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206" w:rsidRDefault="006278CF" w:rsidP="002526DF">
      <w:pPr>
        <w:spacing w:after="200"/>
        <w:jc w:val="center"/>
        <w:rPr>
          <w:rFonts w:ascii="Verdana" w:hAnsi="Verdana"/>
          <w:b/>
          <w:sz w:val="32"/>
          <w:szCs w:val="32"/>
          <w:lang w:bidi="en-US"/>
        </w:rPr>
      </w:pPr>
      <w:r w:rsidRPr="00965B14">
        <w:rPr>
          <w:rFonts w:ascii="Verdana" w:hAnsi="Verdana"/>
          <w:b/>
          <w:sz w:val="32"/>
          <w:szCs w:val="32"/>
          <w:lang w:bidi="en-US"/>
        </w:rPr>
        <w:t xml:space="preserve">Scientific </w:t>
      </w:r>
      <w:r w:rsidR="00B62945" w:rsidRPr="00965B14">
        <w:rPr>
          <w:rFonts w:ascii="Verdana" w:hAnsi="Verdana"/>
          <w:b/>
          <w:sz w:val="32"/>
          <w:szCs w:val="32"/>
          <w:lang w:bidi="en-US"/>
        </w:rPr>
        <w:t>Basi</w:t>
      </w:r>
      <w:r w:rsidRPr="00965B14">
        <w:rPr>
          <w:rFonts w:ascii="Verdana" w:hAnsi="Verdana"/>
          <w:b/>
          <w:sz w:val="32"/>
          <w:szCs w:val="32"/>
          <w:lang w:bidi="en-US"/>
        </w:rPr>
        <w:t xml:space="preserve">s to Assess </w:t>
      </w:r>
      <w:r w:rsidR="00160561">
        <w:rPr>
          <w:rFonts w:ascii="Verdana" w:hAnsi="Verdana"/>
          <w:b/>
          <w:sz w:val="32"/>
          <w:szCs w:val="32"/>
          <w:lang w:bidi="en-US"/>
        </w:rPr>
        <w:t>t</w:t>
      </w:r>
      <w:r w:rsidR="001B7F04" w:rsidRPr="00965B14">
        <w:rPr>
          <w:rFonts w:ascii="Verdana" w:hAnsi="Verdana"/>
          <w:b/>
          <w:sz w:val="32"/>
          <w:szCs w:val="32"/>
          <w:lang w:bidi="en-US"/>
        </w:rPr>
        <w:t xml:space="preserve">he Effects of </w:t>
      </w:r>
      <w:r w:rsidRPr="00965B14">
        <w:rPr>
          <w:rFonts w:ascii="Verdana" w:hAnsi="Verdana"/>
          <w:b/>
          <w:sz w:val="32"/>
          <w:szCs w:val="32"/>
          <w:lang w:bidi="en-US"/>
        </w:rPr>
        <w:t>Nutrient</w:t>
      </w:r>
      <w:r w:rsidR="001B7F04" w:rsidRPr="00965B14">
        <w:rPr>
          <w:rFonts w:ascii="Verdana" w:hAnsi="Verdana"/>
          <w:b/>
          <w:sz w:val="32"/>
          <w:szCs w:val="32"/>
          <w:lang w:bidi="en-US"/>
        </w:rPr>
        <w:t>s</w:t>
      </w:r>
      <w:r w:rsidRPr="00965B14">
        <w:rPr>
          <w:rFonts w:ascii="Verdana" w:hAnsi="Verdana"/>
          <w:b/>
          <w:sz w:val="32"/>
          <w:szCs w:val="32"/>
          <w:lang w:bidi="en-US"/>
        </w:rPr>
        <w:t xml:space="preserve"> </w:t>
      </w:r>
      <w:r w:rsidR="001B7F04" w:rsidRPr="00965B14">
        <w:rPr>
          <w:rFonts w:ascii="Verdana" w:hAnsi="Verdana"/>
          <w:b/>
          <w:sz w:val="32"/>
          <w:szCs w:val="32"/>
          <w:lang w:bidi="en-US"/>
        </w:rPr>
        <w:t>on</w:t>
      </w:r>
      <w:r w:rsidRPr="00965B14">
        <w:rPr>
          <w:rFonts w:ascii="Verdana" w:hAnsi="Verdana"/>
          <w:b/>
          <w:sz w:val="32"/>
          <w:szCs w:val="32"/>
          <w:lang w:bidi="en-US"/>
        </w:rPr>
        <w:t xml:space="preserve"> </w:t>
      </w:r>
      <w:r w:rsidR="001B7F04" w:rsidRPr="00965B14">
        <w:rPr>
          <w:rFonts w:ascii="Verdana" w:hAnsi="Verdana"/>
          <w:b/>
          <w:sz w:val="32"/>
          <w:szCs w:val="32"/>
          <w:lang w:bidi="en-US"/>
        </w:rPr>
        <w:t>San Francisco</w:t>
      </w:r>
      <w:r w:rsidRPr="00965B14">
        <w:rPr>
          <w:rFonts w:ascii="Verdana" w:hAnsi="Verdana"/>
          <w:b/>
          <w:sz w:val="32"/>
          <w:szCs w:val="32"/>
          <w:lang w:bidi="en-US"/>
        </w:rPr>
        <w:t xml:space="preserve"> Bay</w:t>
      </w:r>
      <w:r w:rsidR="001B7F04" w:rsidRPr="00965B14">
        <w:rPr>
          <w:rFonts w:ascii="Verdana" w:hAnsi="Verdana"/>
          <w:b/>
          <w:sz w:val="32"/>
          <w:szCs w:val="32"/>
          <w:lang w:bidi="en-US"/>
        </w:rPr>
        <w:t xml:space="preserve"> Beneficial Uses</w:t>
      </w:r>
    </w:p>
    <w:p w:rsidR="00965B14" w:rsidRDefault="00965B14" w:rsidP="002526DF">
      <w:pPr>
        <w:spacing w:after="200"/>
        <w:jc w:val="center"/>
        <w:rPr>
          <w:rFonts w:ascii="Verdana" w:hAnsi="Verdana"/>
          <w:b/>
          <w:sz w:val="32"/>
          <w:szCs w:val="32"/>
          <w:lang w:bidi="en-US"/>
        </w:rPr>
      </w:pPr>
    </w:p>
    <w:p w:rsidR="00965B14" w:rsidRPr="00965B14" w:rsidRDefault="00965B14" w:rsidP="002526DF">
      <w:pPr>
        <w:jc w:val="center"/>
        <w:rPr>
          <w:rFonts w:ascii="Verdana" w:hAnsi="Verdana"/>
          <w:lang w:bidi="en-US"/>
        </w:rPr>
      </w:pPr>
      <w:r w:rsidRPr="00965B14">
        <w:rPr>
          <w:rFonts w:ascii="Verdana" w:hAnsi="Verdana"/>
          <w:lang w:bidi="en-US"/>
        </w:rPr>
        <w:t>Prepared for:</w:t>
      </w:r>
    </w:p>
    <w:p w:rsidR="00965B14" w:rsidRPr="00965B14" w:rsidRDefault="00965B14" w:rsidP="002526DF">
      <w:pPr>
        <w:jc w:val="center"/>
        <w:rPr>
          <w:rFonts w:ascii="Verdana" w:hAnsi="Verdana"/>
          <w:lang w:bidi="en-US"/>
        </w:rPr>
      </w:pPr>
      <w:r w:rsidRPr="00965B14">
        <w:rPr>
          <w:rFonts w:ascii="Verdana" w:hAnsi="Verdana"/>
          <w:lang w:bidi="en-US"/>
        </w:rPr>
        <w:t xml:space="preserve">San Francisco Bay Regional Water Quality Control Board </w:t>
      </w:r>
      <w:r>
        <w:rPr>
          <w:rFonts w:ascii="Verdana" w:hAnsi="Verdana"/>
          <w:lang w:bidi="en-US"/>
        </w:rPr>
        <w:br/>
      </w:r>
      <w:r w:rsidR="00160561">
        <w:rPr>
          <w:rFonts w:ascii="Verdana" w:hAnsi="Verdana"/>
          <w:lang w:bidi="en-US"/>
        </w:rPr>
        <w:t>Contract 11-151-120</w:t>
      </w:r>
    </w:p>
    <w:p w:rsidR="00965B14" w:rsidRPr="00965B14" w:rsidRDefault="00965B14" w:rsidP="002526DF">
      <w:pPr>
        <w:jc w:val="center"/>
        <w:rPr>
          <w:rFonts w:ascii="Verdana" w:hAnsi="Verdana"/>
          <w:lang w:bidi="en-US"/>
        </w:rPr>
      </w:pPr>
      <w:r w:rsidRPr="00965B14">
        <w:rPr>
          <w:rFonts w:ascii="Verdana" w:hAnsi="Verdana"/>
          <w:lang w:bidi="en-US"/>
        </w:rPr>
        <w:t>Contract Manager: Naomi Feger</w:t>
      </w:r>
    </w:p>
    <w:p w:rsidR="00965B14" w:rsidRDefault="00965B14" w:rsidP="002526DF">
      <w:pPr>
        <w:spacing w:after="200"/>
        <w:jc w:val="center"/>
        <w:rPr>
          <w:rFonts w:ascii="Verdana" w:hAnsi="Verdana"/>
          <w:lang w:bidi="en-US"/>
        </w:rPr>
      </w:pPr>
    </w:p>
    <w:p w:rsidR="00673718" w:rsidRPr="00965B14" w:rsidRDefault="00673718" w:rsidP="002526DF">
      <w:pPr>
        <w:jc w:val="center"/>
        <w:rPr>
          <w:rFonts w:ascii="Verdana" w:hAnsi="Verdana"/>
          <w:lang w:bidi="en-US"/>
        </w:rPr>
      </w:pPr>
    </w:p>
    <w:p w:rsidR="00673718" w:rsidRPr="00965B14" w:rsidRDefault="00673718" w:rsidP="002526DF">
      <w:pPr>
        <w:jc w:val="center"/>
        <w:rPr>
          <w:rFonts w:ascii="Verdana" w:hAnsi="Verdana"/>
          <w:lang w:bidi="en-US"/>
        </w:rPr>
      </w:pPr>
      <w:r w:rsidRPr="00965B14">
        <w:rPr>
          <w:rFonts w:ascii="Verdana" w:hAnsi="Verdana"/>
          <w:lang w:bidi="en-US"/>
        </w:rPr>
        <w:t xml:space="preserve">Martha </w:t>
      </w:r>
      <w:proofErr w:type="spellStart"/>
      <w:r w:rsidRPr="00965B14">
        <w:rPr>
          <w:rFonts w:ascii="Verdana" w:hAnsi="Verdana"/>
          <w:lang w:bidi="en-US"/>
        </w:rPr>
        <w:t>Sutula</w:t>
      </w:r>
      <w:proofErr w:type="spellEnd"/>
    </w:p>
    <w:p w:rsidR="009E4206" w:rsidRPr="00965B14" w:rsidRDefault="009E4206" w:rsidP="002526DF">
      <w:pPr>
        <w:jc w:val="center"/>
        <w:rPr>
          <w:rFonts w:ascii="Verdana" w:hAnsi="Verdana"/>
          <w:lang w:bidi="en-US"/>
        </w:rPr>
      </w:pPr>
      <w:r w:rsidRPr="00965B14">
        <w:rPr>
          <w:rFonts w:ascii="Verdana" w:hAnsi="Verdana"/>
          <w:lang w:bidi="en-US"/>
        </w:rPr>
        <w:t>So</w:t>
      </w:r>
      <w:r w:rsidR="00965B14">
        <w:rPr>
          <w:rFonts w:ascii="Verdana" w:hAnsi="Verdana"/>
          <w:lang w:bidi="en-US"/>
        </w:rPr>
        <w:t>uthern</w:t>
      </w:r>
      <w:r w:rsidRPr="00965B14">
        <w:rPr>
          <w:rFonts w:ascii="Verdana" w:hAnsi="Verdana"/>
          <w:lang w:bidi="en-US"/>
        </w:rPr>
        <w:t xml:space="preserve"> California Coastal Water Research Project</w:t>
      </w:r>
      <w:r w:rsidR="006278CF" w:rsidRPr="00965B14">
        <w:rPr>
          <w:rFonts w:ascii="Verdana" w:hAnsi="Verdana"/>
          <w:lang w:bidi="en-US"/>
        </w:rPr>
        <w:t xml:space="preserve">, </w:t>
      </w:r>
      <w:r w:rsidRPr="00965B14">
        <w:rPr>
          <w:rFonts w:ascii="Verdana" w:hAnsi="Verdana"/>
          <w:lang w:bidi="en-US"/>
        </w:rPr>
        <w:t>Costa Mesa CA</w:t>
      </w:r>
    </w:p>
    <w:p w:rsidR="00F04BA2" w:rsidRPr="00965B14" w:rsidRDefault="00F04BA2" w:rsidP="002526DF">
      <w:pPr>
        <w:jc w:val="center"/>
        <w:rPr>
          <w:rFonts w:ascii="Verdana" w:hAnsi="Verdana"/>
          <w:lang w:bidi="en-US"/>
        </w:rPr>
      </w:pPr>
    </w:p>
    <w:p w:rsidR="00F04BA2" w:rsidRPr="00965B14" w:rsidRDefault="00F04BA2" w:rsidP="002526DF">
      <w:pPr>
        <w:jc w:val="center"/>
        <w:rPr>
          <w:rFonts w:ascii="Verdana" w:hAnsi="Verdana"/>
          <w:lang w:bidi="en-US"/>
        </w:rPr>
      </w:pPr>
      <w:r w:rsidRPr="00965B14">
        <w:rPr>
          <w:rFonts w:ascii="Verdana" w:hAnsi="Verdana"/>
          <w:lang w:bidi="en-US"/>
        </w:rPr>
        <w:t xml:space="preserve">David </w:t>
      </w:r>
      <w:proofErr w:type="spellStart"/>
      <w:r w:rsidRPr="00965B14">
        <w:rPr>
          <w:rFonts w:ascii="Verdana" w:hAnsi="Verdana"/>
          <w:lang w:bidi="en-US"/>
        </w:rPr>
        <w:t>Senn</w:t>
      </w:r>
      <w:proofErr w:type="spellEnd"/>
      <w:r w:rsidRPr="00965B14">
        <w:rPr>
          <w:rFonts w:ascii="Verdana" w:hAnsi="Verdana"/>
          <w:lang w:bidi="en-US"/>
        </w:rPr>
        <w:t xml:space="preserve"> </w:t>
      </w:r>
    </w:p>
    <w:p w:rsidR="00F04BA2" w:rsidRPr="00965B14" w:rsidRDefault="00F04BA2" w:rsidP="002526DF">
      <w:pPr>
        <w:jc w:val="center"/>
        <w:rPr>
          <w:rFonts w:ascii="Verdana" w:hAnsi="Verdana"/>
          <w:lang w:bidi="en-US"/>
        </w:rPr>
      </w:pPr>
      <w:r w:rsidRPr="00965B14">
        <w:rPr>
          <w:rFonts w:ascii="Verdana" w:hAnsi="Verdana"/>
          <w:lang w:bidi="en-US"/>
        </w:rPr>
        <w:t>San Francisco Estuary Institute</w:t>
      </w:r>
      <w:r w:rsidR="00965B14">
        <w:rPr>
          <w:rFonts w:ascii="Verdana" w:hAnsi="Verdana"/>
          <w:lang w:bidi="en-US"/>
        </w:rPr>
        <w:t xml:space="preserve">, </w:t>
      </w:r>
      <w:r w:rsidRPr="00965B14">
        <w:rPr>
          <w:rFonts w:ascii="Verdana" w:hAnsi="Verdana"/>
          <w:lang w:bidi="en-US"/>
        </w:rPr>
        <w:t>Richmond, CA</w:t>
      </w:r>
    </w:p>
    <w:p w:rsidR="00B870BA" w:rsidRPr="00A56BA8" w:rsidRDefault="00B870BA" w:rsidP="000B3C0F">
      <w:pPr>
        <w:pStyle w:val="Arial"/>
        <w:spacing w:line="276" w:lineRule="auto"/>
        <w:jc w:val="center"/>
        <w:rPr>
          <w:rFonts w:asciiTheme="minorHAnsi" w:hAnsiTheme="minorHAnsi"/>
          <w:sz w:val="24"/>
        </w:rPr>
      </w:pPr>
    </w:p>
    <w:p w:rsidR="006278CF" w:rsidRPr="00A56BA8" w:rsidRDefault="006278CF" w:rsidP="000B3C0F">
      <w:pPr>
        <w:pStyle w:val="Arial"/>
        <w:spacing w:line="276" w:lineRule="auto"/>
        <w:jc w:val="center"/>
        <w:rPr>
          <w:rFonts w:asciiTheme="minorHAnsi" w:hAnsiTheme="minorHAnsi"/>
          <w:i/>
          <w:sz w:val="24"/>
        </w:rPr>
      </w:pPr>
    </w:p>
    <w:p w:rsidR="00F04BA2" w:rsidRDefault="00F04BA2">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0B3C0F" w:rsidRDefault="000B3C0F">
      <w:pPr>
        <w:jc w:val="center"/>
        <w:rPr>
          <w:rFonts w:ascii="Verdana" w:hAnsi="Verdana"/>
          <w:sz w:val="20"/>
          <w:lang w:bidi="en-US"/>
        </w:rPr>
      </w:pPr>
    </w:p>
    <w:p w:rsidR="00160561" w:rsidRPr="00A56BA8" w:rsidRDefault="00160561" w:rsidP="000B3C0F">
      <w:pPr>
        <w:pStyle w:val="Arial"/>
        <w:spacing w:line="276" w:lineRule="auto"/>
        <w:jc w:val="center"/>
        <w:rPr>
          <w:rFonts w:asciiTheme="minorHAnsi" w:hAnsiTheme="minorHAnsi"/>
          <w:i/>
          <w:sz w:val="24"/>
        </w:rPr>
      </w:pPr>
    </w:p>
    <w:p w:rsidR="00160561" w:rsidRDefault="009A58D3" w:rsidP="00B747E5">
      <w:pPr>
        <w:tabs>
          <w:tab w:val="left" w:pos="2448"/>
          <w:tab w:val="center" w:pos="4680"/>
        </w:tabs>
        <w:jc w:val="center"/>
        <w:rPr>
          <w:rFonts w:ascii="Verdana" w:hAnsi="Verdana"/>
          <w:b/>
          <w:bCs/>
          <w:sz w:val="20"/>
        </w:rPr>
      </w:pPr>
      <w:r>
        <w:rPr>
          <w:rFonts w:ascii="Verdana" w:hAnsi="Verdana"/>
          <w:b/>
          <w:bCs/>
          <w:sz w:val="20"/>
        </w:rPr>
        <w:t>October 2015</w:t>
      </w:r>
    </w:p>
    <w:p w:rsidR="00A56BA8" w:rsidRPr="00160561" w:rsidRDefault="00160561" w:rsidP="00B747E5">
      <w:pPr>
        <w:tabs>
          <w:tab w:val="left" w:pos="2448"/>
          <w:tab w:val="center" w:pos="4680"/>
        </w:tabs>
        <w:jc w:val="center"/>
        <w:rPr>
          <w:rFonts w:ascii="Verdana" w:hAnsi="Verdana"/>
          <w:bCs/>
          <w:sz w:val="20"/>
        </w:rPr>
      </w:pPr>
      <w:r>
        <w:rPr>
          <w:rFonts w:ascii="Verdana" w:hAnsi="Verdana"/>
          <w:bCs/>
          <w:sz w:val="20"/>
        </w:rPr>
        <w:t xml:space="preserve">Technical Report </w:t>
      </w:r>
      <w:r w:rsidR="00A56BA8" w:rsidRPr="00160561">
        <w:rPr>
          <w:rFonts w:ascii="Verdana" w:hAnsi="Verdana"/>
          <w:bCs/>
          <w:sz w:val="20"/>
        </w:rPr>
        <w:t>864</w:t>
      </w:r>
    </w:p>
    <w:p w:rsidR="00A56BA8" w:rsidRPr="00160561" w:rsidRDefault="00A56BA8" w:rsidP="000B3C0F">
      <w:pPr>
        <w:tabs>
          <w:tab w:val="left" w:pos="2448"/>
          <w:tab w:val="center" w:pos="4680"/>
        </w:tabs>
        <w:rPr>
          <w:rFonts w:ascii="Verdana" w:hAnsi="Verdana"/>
          <w:b/>
          <w:bCs/>
          <w:sz w:val="20"/>
        </w:rPr>
        <w:sectPr w:rsidR="00A56BA8" w:rsidRPr="00160561" w:rsidSect="00521D92">
          <w:headerReference w:type="default" r:id="rId10"/>
          <w:footerReference w:type="even" r:id="rId11"/>
          <w:headerReference w:type="first" r:id="rId12"/>
          <w:footerReference w:type="first" r:id="rId13"/>
          <w:type w:val="continuous"/>
          <w:pgSz w:w="12240" w:h="15840"/>
          <w:pgMar w:top="1440" w:right="1440" w:bottom="1440" w:left="1440" w:header="720" w:footer="720" w:gutter="0"/>
          <w:cols w:space="180"/>
          <w:titlePg/>
          <w:docGrid w:linePitch="360"/>
        </w:sectPr>
      </w:pPr>
    </w:p>
    <w:p w:rsidR="000B3C0F" w:rsidRDefault="000B3C0F" w:rsidP="000B3C0F">
      <w:pPr>
        <w:pStyle w:val="Heading1"/>
        <w:numPr>
          <w:ilvl w:val="0"/>
          <w:numId w:val="0"/>
        </w:numPr>
        <w:ind w:left="432" w:hanging="432"/>
      </w:pPr>
      <w:bookmarkStart w:id="0" w:name="_Toc433370044"/>
      <w:r>
        <w:lastRenderedPageBreak/>
        <w:t>Expert Workgroup</w:t>
      </w:r>
      <w:bookmarkEnd w:id="0"/>
    </w:p>
    <w:p w:rsidR="00FB51B4" w:rsidRPr="00FB51B4" w:rsidRDefault="00FB51B4" w:rsidP="00FB51B4"/>
    <w:p w:rsidR="000B3C0F" w:rsidRPr="000B3C0F" w:rsidRDefault="000B3C0F" w:rsidP="000B3C0F"/>
    <w:p w:rsidR="000B3C0F" w:rsidRPr="000B3C0F" w:rsidRDefault="000B3C0F" w:rsidP="000B3C0F">
      <w:pPr>
        <w:rPr>
          <w:szCs w:val="24"/>
          <w:lang w:bidi="en-US"/>
        </w:rPr>
      </w:pPr>
      <w:proofErr w:type="spellStart"/>
      <w:r w:rsidRPr="000B3C0F">
        <w:rPr>
          <w:szCs w:val="24"/>
          <w:lang w:bidi="en-US"/>
        </w:rPr>
        <w:t>Gry</w:t>
      </w:r>
      <w:proofErr w:type="spellEnd"/>
      <w:r w:rsidRPr="000B3C0F">
        <w:rPr>
          <w:szCs w:val="24"/>
          <w:lang w:bidi="en-US"/>
        </w:rPr>
        <w:t xml:space="preserve"> Mine Berg</w:t>
      </w:r>
    </w:p>
    <w:p w:rsidR="000B3C0F" w:rsidRPr="000B3C0F" w:rsidRDefault="000B3C0F" w:rsidP="000B3C0F">
      <w:pPr>
        <w:rPr>
          <w:szCs w:val="24"/>
          <w:lang w:bidi="en-US"/>
        </w:rPr>
      </w:pPr>
      <w:r w:rsidRPr="000B3C0F">
        <w:rPr>
          <w:szCs w:val="24"/>
          <w:lang w:bidi="en-US"/>
        </w:rPr>
        <w:t>Applied Marine Sciences, Santa Cruz, CA</w:t>
      </w:r>
    </w:p>
    <w:p w:rsidR="000B3C0F" w:rsidRPr="000B3C0F" w:rsidRDefault="000B3C0F" w:rsidP="000B3C0F">
      <w:pPr>
        <w:rPr>
          <w:szCs w:val="24"/>
          <w:lang w:bidi="en-US"/>
        </w:rPr>
      </w:pPr>
    </w:p>
    <w:p w:rsidR="000B3C0F" w:rsidRPr="000B3C0F" w:rsidRDefault="000B3C0F" w:rsidP="000B3C0F">
      <w:pPr>
        <w:rPr>
          <w:szCs w:val="24"/>
          <w:lang w:bidi="en-US"/>
        </w:rPr>
      </w:pPr>
      <w:r w:rsidRPr="000B3C0F">
        <w:rPr>
          <w:szCs w:val="24"/>
          <w:lang w:bidi="en-US"/>
        </w:rPr>
        <w:t>Suzanne Bricker</w:t>
      </w:r>
    </w:p>
    <w:p w:rsidR="000B3C0F" w:rsidRPr="000B3C0F" w:rsidRDefault="000B3C0F" w:rsidP="000B3C0F">
      <w:pPr>
        <w:rPr>
          <w:szCs w:val="24"/>
          <w:lang w:bidi="en-US"/>
        </w:rPr>
      </w:pPr>
      <w:r w:rsidRPr="000B3C0F">
        <w:rPr>
          <w:szCs w:val="24"/>
          <w:lang w:bidi="en-US"/>
        </w:rPr>
        <w:t>NOAA National Centers for Coastal Ocean Science, Silver Spring, MD</w:t>
      </w:r>
    </w:p>
    <w:p w:rsidR="000B3C0F" w:rsidRPr="000B3C0F" w:rsidRDefault="000B3C0F" w:rsidP="000B3C0F">
      <w:pPr>
        <w:rPr>
          <w:szCs w:val="24"/>
          <w:lang w:bidi="en-US"/>
        </w:rPr>
      </w:pPr>
    </w:p>
    <w:p w:rsidR="000B3C0F" w:rsidRPr="000B3C0F" w:rsidRDefault="000B3C0F" w:rsidP="000B3C0F">
      <w:pPr>
        <w:rPr>
          <w:szCs w:val="24"/>
          <w:lang w:bidi="en-US"/>
        </w:rPr>
      </w:pPr>
      <w:r w:rsidRPr="000B3C0F">
        <w:rPr>
          <w:szCs w:val="24"/>
          <w:lang w:bidi="en-US"/>
        </w:rPr>
        <w:t xml:space="preserve">James </w:t>
      </w:r>
      <w:proofErr w:type="spellStart"/>
      <w:r w:rsidRPr="000B3C0F">
        <w:rPr>
          <w:szCs w:val="24"/>
          <w:lang w:bidi="en-US"/>
        </w:rPr>
        <w:t>Cloern</w:t>
      </w:r>
      <w:proofErr w:type="spellEnd"/>
    </w:p>
    <w:p w:rsidR="000B3C0F" w:rsidRPr="000B3C0F" w:rsidRDefault="000B3C0F" w:rsidP="000B3C0F">
      <w:pPr>
        <w:rPr>
          <w:szCs w:val="24"/>
          <w:lang w:bidi="en-US"/>
        </w:rPr>
      </w:pPr>
      <w:r w:rsidRPr="000B3C0F">
        <w:rPr>
          <w:szCs w:val="24"/>
          <w:lang w:bidi="en-US"/>
        </w:rPr>
        <w:t>U.S. Geological Survey, Menlo Park, CA</w:t>
      </w:r>
    </w:p>
    <w:p w:rsidR="000B3C0F" w:rsidRPr="000B3C0F" w:rsidRDefault="000B3C0F" w:rsidP="000B3C0F">
      <w:pPr>
        <w:rPr>
          <w:szCs w:val="24"/>
          <w:lang w:bidi="en-US"/>
        </w:rPr>
      </w:pPr>
    </w:p>
    <w:p w:rsidR="000B3C0F" w:rsidRPr="000B3C0F" w:rsidRDefault="000B3C0F" w:rsidP="000B3C0F">
      <w:pPr>
        <w:rPr>
          <w:szCs w:val="24"/>
          <w:lang w:bidi="en-US"/>
        </w:rPr>
      </w:pPr>
      <w:r w:rsidRPr="000B3C0F">
        <w:rPr>
          <w:szCs w:val="24"/>
          <w:lang w:bidi="en-US"/>
        </w:rPr>
        <w:t xml:space="preserve">Richard </w:t>
      </w:r>
      <w:proofErr w:type="spellStart"/>
      <w:r w:rsidRPr="000B3C0F">
        <w:rPr>
          <w:szCs w:val="24"/>
          <w:lang w:bidi="en-US"/>
        </w:rPr>
        <w:t>Dugdale</w:t>
      </w:r>
      <w:proofErr w:type="spellEnd"/>
    </w:p>
    <w:p w:rsidR="000B3C0F" w:rsidRPr="000B3C0F" w:rsidRDefault="000B3C0F" w:rsidP="000B3C0F">
      <w:pPr>
        <w:rPr>
          <w:szCs w:val="24"/>
          <w:lang w:bidi="en-US"/>
        </w:rPr>
      </w:pPr>
      <w:r w:rsidRPr="000B3C0F">
        <w:rPr>
          <w:szCs w:val="24"/>
          <w:lang w:bidi="en-US"/>
        </w:rPr>
        <w:t xml:space="preserve">Romberg </w:t>
      </w:r>
      <w:proofErr w:type="spellStart"/>
      <w:r w:rsidRPr="000B3C0F">
        <w:rPr>
          <w:szCs w:val="24"/>
          <w:lang w:bidi="en-US"/>
        </w:rPr>
        <w:t>Tiberon</w:t>
      </w:r>
      <w:proofErr w:type="spellEnd"/>
      <w:r w:rsidRPr="000B3C0F">
        <w:rPr>
          <w:szCs w:val="24"/>
          <w:lang w:bidi="en-US"/>
        </w:rPr>
        <w:t xml:space="preserve"> Center, San Francisco State University, </w:t>
      </w:r>
      <w:proofErr w:type="spellStart"/>
      <w:r w:rsidRPr="000B3C0F">
        <w:rPr>
          <w:szCs w:val="24"/>
          <w:lang w:bidi="en-US"/>
        </w:rPr>
        <w:t>Tiberon</w:t>
      </w:r>
      <w:proofErr w:type="spellEnd"/>
      <w:r w:rsidRPr="000B3C0F">
        <w:rPr>
          <w:szCs w:val="24"/>
          <w:lang w:bidi="en-US"/>
        </w:rPr>
        <w:t>, CA</w:t>
      </w:r>
    </w:p>
    <w:p w:rsidR="000B3C0F" w:rsidRPr="000B3C0F" w:rsidRDefault="000B3C0F" w:rsidP="000B3C0F">
      <w:pPr>
        <w:rPr>
          <w:szCs w:val="24"/>
          <w:lang w:bidi="en-US"/>
        </w:rPr>
      </w:pPr>
    </w:p>
    <w:p w:rsidR="000B3C0F" w:rsidRPr="000B3C0F" w:rsidRDefault="000B3C0F" w:rsidP="000B3C0F">
      <w:pPr>
        <w:rPr>
          <w:szCs w:val="24"/>
          <w:lang w:bidi="en-US"/>
        </w:rPr>
      </w:pPr>
      <w:r w:rsidRPr="000B3C0F">
        <w:rPr>
          <w:szCs w:val="24"/>
          <w:lang w:bidi="en-US"/>
        </w:rPr>
        <w:t xml:space="preserve">James Hagy </w:t>
      </w:r>
    </w:p>
    <w:p w:rsidR="000B3C0F" w:rsidRPr="000B3C0F" w:rsidRDefault="000B3C0F" w:rsidP="000B3C0F">
      <w:pPr>
        <w:rPr>
          <w:szCs w:val="24"/>
          <w:lang w:bidi="en-US"/>
        </w:rPr>
      </w:pPr>
      <w:r w:rsidRPr="000B3C0F">
        <w:rPr>
          <w:szCs w:val="24"/>
          <w:lang w:bidi="en-US"/>
        </w:rPr>
        <w:t>U.S. Environmental Protection Agency</w:t>
      </w:r>
    </w:p>
    <w:p w:rsidR="000B3C0F" w:rsidRPr="000B3C0F" w:rsidRDefault="000B3C0F" w:rsidP="000B3C0F">
      <w:pPr>
        <w:rPr>
          <w:szCs w:val="24"/>
          <w:lang w:bidi="en-US"/>
        </w:rPr>
      </w:pPr>
      <w:r w:rsidRPr="000B3C0F">
        <w:rPr>
          <w:szCs w:val="24"/>
          <w:lang w:bidi="en-US"/>
        </w:rPr>
        <w:t>Office of Research &amp; Development, Gulf Ecology Division, Gulf Breeze, FL</w:t>
      </w:r>
    </w:p>
    <w:p w:rsidR="000B3C0F" w:rsidRPr="000B3C0F" w:rsidRDefault="000B3C0F" w:rsidP="000B3C0F">
      <w:pPr>
        <w:rPr>
          <w:szCs w:val="24"/>
          <w:lang w:bidi="en-US"/>
        </w:rPr>
      </w:pPr>
    </w:p>
    <w:p w:rsidR="000B3C0F" w:rsidRPr="000B3C0F" w:rsidRDefault="000B3C0F" w:rsidP="000B3C0F">
      <w:pPr>
        <w:rPr>
          <w:szCs w:val="24"/>
          <w:lang w:bidi="en-US"/>
        </w:rPr>
      </w:pPr>
      <w:r w:rsidRPr="000B3C0F">
        <w:rPr>
          <w:szCs w:val="24"/>
          <w:lang w:bidi="en-US"/>
        </w:rPr>
        <w:t>Lawrence Harding</w:t>
      </w:r>
    </w:p>
    <w:p w:rsidR="000B3C0F" w:rsidRPr="000B3C0F" w:rsidRDefault="000B3C0F" w:rsidP="000B3C0F">
      <w:pPr>
        <w:rPr>
          <w:szCs w:val="24"/>
          <w:lang w:bidi="en-US"/>
        </w:rPr>
      </w:pPr>
      <w:r w:rsidRPr="000B3C0F">
        <w:rPr>
          <w:szCs w:val="24"/>
          <w:lang w:bidi="en-US"/>
        </w:rPr>
        <w:t>Department of Earth and Atmospheric Sciences, University of California Los Angeles, CA</w:t>
      </w:r>
    </w:p>
    <w:p w:rsidR="000B3C0F" w:rsidRPr="000B3C0F" w:rsidRDefault="000B3C0F" w:rsidP="000B3C0F">
      <w:pPr>
        <w:rPr>
          <w:szCs w:val="24"/>
          <w:lang w:bidi="en-US"/>
        </w:rPr>
      </w:pPr>
    </w:p>
    <w:p w:rsidR="000B3C0F" w:rsidRPr="000B3C0F" w:rsidRDefault="000B3C0F" w:rsidP="000B3C0F">
      <w:pPr>
        <w:rPr>
          <w:szCs w:val="24"/>
          <w:lang w:bidi="en-US"/>
        </w:rPr>
      </w:pPr>
      <w:r w:rsidRPr="000B3C0F">
        <w:rPr>
          <w:szCs w:val="24"/>
          <w:lang w:bidi="en-US"/>
        </w:rPr>
        <w:t xml:space="preserve">Raphael </w:t>
      </w:r>
      <w:proofErr w:type="spellStart"/>
      <w:r w:rsidRPr="000B3C0F">
        <w:rPr>
          <w:szCs w:val="24"/>
          <w:lang w:bidi="en-US"/>
        </w:rPr>
        <w:t>Kudela</w:t>
      </w:r>
      <w:proofErr w:type="spellEnd"/>
    </w:p>
    <w:p w:rsidR="000B3C0F" w:rsidRDefault="000B3C0F">
      <w:pPr>
        <w:rPr>
          <w:rFonts w:ascii="Arial" w:hAnsi="Arial"/>
          <w:b/>
          <w:bCs/>
          <w:smallCaps/>
          <w:sz w:val="28"/>
        </w:rPr>
      </w:pPr>
      <w:r w:rsidRPr="000B3C0F">
        <w:rPr>
          <w:szCs w:val="24"/>
          <w:lang w:bidi="en-US"/>
        </w:rPr>
        <w:t>Ocean Sciences Department, University of California, Santa Cruz, CA</w:t>
      </w:r>
      <w:r>
        <w:rPr>
          <w:rFonts w:ascii="Arial" w:hAnsi="Arial"/>
          <w:b/>
          <w:bCs/>
          <w:smallCaps/>
          <w:sz w:val="28"/>
        </w:rPr>
        <w:br w:type="page"/>
      </w:r>
    </w:p>
    <w:p w:rsidR="000B3C0F" w:rsidRPr="00E224FC" w:rsidRDefault="000B3C0F" w:rsidP="000B3C0F">
      <w:pPr>
        <w:pStyle w:val="Heading1"/>
        <w:numPr>
          <w:ilvl w:val="0"/>
          <w:numId w:val="0"/>
        </w:numPr>
        <w:ind w:left="432" w:hanging="432"/>
      </w:pPr>
      <w:bookmarkStart w:id="1" w:name="_Toc433370045"/>
      <w:r w:rsidRPr="00E224FC">
        <w:lastRenderedPageBreak/>
        <w:t>Executive Summary</w:t>
      </w:r>
      <w:bookmarkEnd w:id="1"/>
    </w:p>
    <w:p w:rsidR="00D814A1" w:rsidRDefault="004733B6">
      <w:r w:rsidRPr="00E224FC">
        <w:t xml:space="preserve">San Francisco Bay </w:t>
      </w:r>
      <w:r w:rsidR="00057550">
        <w:t xml:space="preserve">(SFB) </w:t>
      </w:r>
      <w:r w:rsidRPr="00E224FC">
        <w:t>has long been recognized as a nutrient-enriched</w:t>
      </w:r>
      <w:r w:rsidRPr="005F19C7">
        <w:t xml:space="preserve"> estuary; however, </w:t>
      </w:r>
      <w:r w:rsidR="00D814A1">
        <w:t xml:space="preserve">until recently, </w:t>
      </w:r>
      <w:r w:rsidRPr="005F19C7">
        <w:t xml:space="preserve">it has exhibited resistance to symptoms of nutrient </w:t>
      </w:r>
      <w:proofErr w:type="spellStart"/>
      <w:r w:rsidRPr="005F19C7">
        <w:t>overenrichment</w:t>
      </w:r>
      <w:proofErr w:type="spellEnd"/>
      <w:r w:rsidRPr="005F19C7">
        <w:t xml:space="preserve"> due to a number of factors such as high turbidity, strong tidal mixing, and grazing</w:t>
      </w:r>
      <w:r w:rsidR="00F96CF2">
        <w:t xml:space="preserve"> by bivalves</w:t>
      </w:r>
      <w:r w:rsidRPr="005F19C7">
        <w:t xml:space="preserve">. </w:t>
      </w:r>
      <w:r w:rsidR="00D814A1">
        <w:t xml:space="preserve">Recent </w:t>
      </w:r>
      <w:r w:rsidRPr="00E224FC">
        <w:t xml:space="preserve">observations have reinforced the need to identify numeric water quality objectives </w:t>
      </w:r>
      <w:r w:rsidR="00D814A1">
        <w:t xml:space="preserve">and management actions </w:t>
      </w:r>
      <w:r w:rsidRPr="00E224FC">
        <w:t xml:space="preserve">to protect </w:t>
      </w:r>
      <w:r w:rsidR="00D814A1">
        <w:t>SFB</w:t>
      </w:r>
      <w:r w:rsidRPr="00E224FC">
        <w:t xml:space="preserve"> </w:t>
      </w:r>
      <w:r w:rsidRPr="005F19C7">
        <w:t xml:space="preserve">from </w:t>
      </w:r>
      <w:r w:rsidRPr="00E224FC">
        <w:t>the potential effects of nutrient</w:t>
      </w:r>
      <w:r>
        <w:t xml:space="preserve"> over-enrichment</w:t>
      </w:r>
      <w:r w:rsidRPr="00E224FC">
        <w:t>.</w:t>
      </w:r>
      <w:r w:rsidR="00D72900">
        <w:t xml:space="preserve"> </w:t>
      </w:r>
      <w:r>
        <w:t xml:space="preserve">The purpose of this work was to develop </w:t>
      </w:r>
      <w:r w:rsidRPr="005F19C7">
        <w:t>a quantitative framework</w:t>
      </w:r>
      <w:r w:rsidR="00057550">
        <w:t xml:space="preserve">, hereto referred to as an </w:t>
      </w:r>
      <w:r w:rsidR="00057550" w:rsidRPr="00057550">
        <w:rPr>
          <w:i/>
        </w:rPr>
        <w:t>assessment framework</w:t>
      </w:r>
      <w:r w:rsidR="00057550">
        <w:t xml:space="preserve">, </w:t>
      </w:r>
      <w:r w:rsidRPr="005F19C7">
        <w:t xml:space="preserve"> to assess eutrophication in the SFB, based on indicators of </w:t>
      </w:r>
      <w:r w:rsidR="00D814A1">
        <w:t xml:space="preserve">dissolved oxygen (DO), </w:t>
      </w:r>
      <w:r w:rsidRPr="005F19C7">
        <w:t>phytoplankton biomass (chlorophyll-a)</w:t>
      </w:r>
      <w:r>
        <w:t>, gross primary productivity,</w:t>
      </w:r>
      <w:r w:rsidRPr="005F19C7">
        <w:t xml:space="preserve"> the prevalence of harmful algal blooms (HAB) and toxin</w:t>
      </w:r>
      <w:r w:rsidR="00D814A1">
        <w:t>s</w:t>
      </w:r>
      <w:r w:rsidRPr="005F19C7">
        <w:t xml:space="preserve">. </w:t>
      </w:r>
    </w:p>
    <w:p w:rsidR="00D814A1" w:rsidRDefault="00D814A1"/>
    <w:p w:rsidR="004733B6" w:rsidRDefault="004733B6">
      <w:r>
        <w:t xml:space="preserve">A group of experts </w:t>
      </w:r>
      <w:r w:rsidR="00D814A1">
        <w:t xml:space="preserve">in the ecology of </w:t>
      </w:r>
      <w:r>
        <w:t>SFB</w:t>
      </w:r>
      <w:r w:rsidR="00B33B52">
        <w:t>,</w:t>
      </w:r>
      <w:r>
        <w:t xml:space="preserve"> as well as international experts in assessment frameworks </w:t>
      </w:r>
      <w:r w:rsidR="00F64F28">
        <w:t xml:space="preserve">(AF) </w:t>
      </w:r>
      <w:r>
        <w:t>and nutrient criteria</w:t>
      </w:r>
      <w:r w:rsidR="00B33B52">
        <w:t>,</w:t>
      </w:r>
      <w:r>
        <w:t xml:space="preserve"> </w:t>
      </w:r>
      <w:r w:rsidR="00D814A1">
        <w:t xml:space="preserve">worked in concert to </w:t>
      </w:r>
      <w:r>
        <w:t>define core principles</w:t>
      </w:r>
      <w:r w:rsidR="00F96CF2">
        <w:t xml:space="preserve"> for </w:t>
      </w:r>
      <w:r w:rsidR="00057550">
        <w:t>the AF</w:t>
      </w:r>
      <w:r w:rsidR="00F96CF2">
        <w:t xml:space="preserve">. These principles include the </w:t>
      </w:r>
      <w:r>
        <w:t>geographic scope, recommended Bay segmentation</w:t>
      </w:r>
      <w:r w:rsidR="00F96CF2">
        <w:t xml:space="preserve"> of </w:t>
      </w:r>
      <w:proofErr w:type="spellStart"/>
      <w:r w:rsidR="00F96CF2">
        <w:t>subembayments</w:t>
      </w:r>
      <w:proofErr w:type="spellEnd"/>
      <w:r w:rsidR="00F96CF2">
        <w:t xml:space="preserve"> for assessment</w:t>
      </w:r>
      <w:r>
        <w:t xml:space="preserve">, and the protocols and recommended spatial and temporal frequency of monitoring that would support </w:t>
      </w:r>
      <w:r w:rsidR="00F96CF2">
        <w:t xml:space="preserve">use of the framework to </w:t>
      </w:r>
      <w:r>
        <w:t>assess</w:t>
      </w:r>
      <w:r w:rsidR="00F96CF2">
        <w:t xml:space="preserve"> </w:t>
      </w:r>
      <w:r>
        <w:t xml:space="preserve">nutrient effects on SFB. A quantitative scheme was developed to classify SFB </w:t>
      </w:r>
      <w:proofErr w:type="spellStart"/>
      <w:r>
        <w:t>subembayments</w:t>
      </w:r>
      <w:proofErr w:type="spellEnd"/>
      <w:r>
        <w:t xml:space="preserve"> in tiers of ecological condition, from very high to very low, based on risk </w:t>
      </w:r>
      <w:r w:rsidR="00D814A1">
        <w:t>of</w:t>
      </w:r>
      <w:r>
        <w:t xml:space="preserve"> </w:t>
      </w:r>
      <w:r w:rsidR="00D814A1">
        <w:t xml:space="preserve">potential </w:t>
      </w:r>
      <w:r>
        <w:t xml:space="preserve">adverse effects of nutrient </w:t>
      </w:r>
      <w:proofErr w:type="spellStart"/>
      <w:r>
        <w:t>overenrichment</w:t>
      </w:r>
      <w:proofErr w:type="spellEnd"/>
      <w:r>
        <w:t xml:space="preserve"> and eutrophication. Decisions on classification bins were supported by a combination of existing literature and guidance, quantitative analyses of existing SFB data from the USGS research program, and expert best professional judgment. </w:t>
      </w:r>
      <w:r w:rsidRPr="005F19C7">
        <w:t xml:space="preserve">Analyses of </w:t>
      </w:r>
      <w:r w:rsidRPr="00E224FC">
        <w:t xml:space="preserve">two decades of phytoplankton species composition, chlorophyll-a, and dissolved oxygen (DO), and 3 years of toxin data </w:t>
      </w:r>
      <w:r w:rsidRPr="005F19C7">
        <w:t xml:space="preserve">from solid phase adsorption toxin tracking </w:t>
      </w:r>
      <w:r w:rsidRPr="00EA2D56">
        <w:t>(SPATT</w:t>
      </w:r>
      <w:r w:rsidRPr="005F19C7">
        <w:t xml:space="preserve">) samplers </w:t>
      </w:r>
      <w:r>
        <w:t xml:space="preserve">were used to </w:t>
      </w:r>
      <w:r w:rsidR="00D814A1">
        <w:t xml:space="preserve">support decisions on the </w:t>
      </w:r>
      <w:r w:rsidR="00F64F28">
        <w:t>AF</w:t>
      </w:r>
      <w:r w:rsidR="00D814A1">
        <w:t xml:space="preserve"> and </w:t>
      </w:r>
      <w:r>
        <w:t>demonstrate</w:t>
      </w:r>
      <w:r w:rsidR="00D814A1">
        <w:t>d</w:t>
      </w:r>
      <w:r>
        <w:t xml:space="preserve">: 1) </w:t>
      </w:r>
      <w:r w:rsidRPr="005F19C7">
        <w:t xml:space="preserve">significant increases in </w:t>
      </w:r>
      <w:r w:rsidR="007C2CC0">
        <w:t>chlorophyll-a</w:t>
      </w:r>
      <w:r w:rsidRPr="005F19C7">
        <w:t xml:space="preserve">, declines in DO, and a high prevalence of HAB species and toxins across most SFB </w:t>
      </w:r>
      <w:proofErr w:type="spellStart"/>
      <w:r w:rsidRPr="005F19C7">
        <w:t>subembayments</w:t>
      </w:r>
      <w:proofErr w:type="spellEnd"/>
      <w:r>
        <w:t xml:space="preserve"> and 2) strong linkage of increasing chlorophyll-a to declining DO and HAB abundance. Statistical approaches were used to define thresholds in</w:t>
      </w:r>
      <w:r w:rsidR="00B50152">
        <w:t xml:space="preserve"> chlorophyll-a relating</w:t>
      </w:r>
      <w:r>
        <w:t xml:space="preserve"> </w:t>
      </w:r>
      <w:r w:rsidR="00F64F28">
        <w:t>to increased risks of HABs and declining</w:t>
      </w:r>
      <w:r>
        <w:t xml:space="preserve"> DO. </w:t>
      </w:r>
      <w:r w:rsidR="00F64F28">
        <w:t xml:space="preserve">These thresholds were used, in combination with expert best professional judgment, to </w:t>
      </w:r>
      <w:r>
        <w:t>develop</w:t>
      </w:r>
      <w:r w:rsidR="00F64F28">
        <w:t xml:space="preserve"> an</w:t>
      </w:r>
      <w:r>
        <w:t xml:space="preserve"> </w:t>
      </w:r>
      <w:r w:rsidR="00F64F28">
        <w:t>AF</w:t>
      </w:r>
      <w:r>
        <w:t xml:space="preserve"> classification scheme</w:t>
      </w:r>
      <w:r w:rsidR="00F64F28">
        <w:t>. A</w:t>
      </w:r>
      <w:r>
        <w:t xml:space="preserve"> qualitative summary of uncertainty associated with each indicator was made for the purpose of focusing future research, monitoring, and modeling on </w:t>
      </w:r>
      <w:r w:rsidR="00F64F28">
        <w:t>AF</w:t>
      </w:r>
      <w:r>
        <w:t xml:space="preserve"> refinement.</w:t>
      </w:r>
      <w:r w:rsidR="00D72900">
        <w:t xml:space="preserve"> </w:t>
      </w:r>
    </w:p>
    <w:p w:rsidR="004733B6" w:rsidRDefault="004733B6"/>
    <w:p w:rsidR="004733B6" w:rsidRDefault="004733B6">
      <w:r w:rsidRPr="00E224FC">
        <w:t xml:space="preserve">The </w:t>
      </w:r>
      <w:r w:rsidR="00F64F28">
        <w:t>AF</w:t>
      </w:r>
      <w:r w:rsidRPr="00E224FC">
        <w:t xml:space="preserve"> is intended to provide a decision framework for quantifying </w:t>
      </w:r>
      <w:r w:rsidRPr="00E224FC">
        <w:rPr>
          <w:rFonts w:cs="Calibri"/>
        </w:rPr>
        <w:t xml:space="preserve">the </w:t>
      </w:r>
      <w:r w:rsidRPr="00E224FC">
        <w:t xml:space="preserve">extent to which SFB is </w:t>
      </w:r>
      <w:r w:rsidRPr="00E224FC">
        <w:rPr>
          <w:rFonts w:cs="Calibri"/>
        </w:rPr>
        <w:t>supporting</w:t>
      </w:r>
      <w:r w:rsidRPr="00E224FC">
        <w:t xml:space="preserve"> beneficial uses with respect to nutrients. </w:t>
      </w:r>
      <w:r>
        <w:t xml:space="preserve">This </w:t>
      </w:r>
      <w:r w:rsidR="00F64F28">
        <w:t>AF</w:t>
      </w:r>
      <w:r>
        <w:t xml:space="preserve"> is comprised of three important elements: 1) a set of conceptual models that defines what a problem would look like in SFB, if it occurred, 2) a set of core principles supporting the </w:t>
      </w:r>
      <w:r w:rsidR="00F64F28">
        <w:t>AF</w:t>
      </w:r>
      <w:r>
        <w:t xml:space="preserve">, and 3) classification tables. The </w:t>
      </w:r>
      <w:r w:rsidR="00F64F28">
        <w:t>AF</w:t>
      </w:r>
      <w:r>
        <w:t xml:space="preserve"> </w:t>
      </w:r>
      <w:r w:rsidRPr="00E224FC">
        <w:t>supports</w:t>
      </w:r>
      <w:r>
        <w:t xml:space="preserve"> and is supported through</w:t>
      </w:r>
      <w:r w:rsidRPr="00E224FC">
        <w:t xml:space="preserve"> the other major </w:t>
      </w:r>
      <w:r w:rsidR="00DF08E3">
        <w:t xml:space="preserve">science </w:t>
      </w:r>
      <w:r w:rsidRPr="00E224FC">
        <w:t>elements</w:t>
      </w:r>
      <w:r w:rsidR="00DF08E3">
        <w:t xml:space="preserve">. </w:t>
      </w:r>
      <w:r>
        <w:t xml:space="preserve">The conceptual models and </w:t>
      </w:r>
      <w:r w:rsidR="00F64F28">
        <w:t>AF</w:t>
      </w:r>
      <w:r>
        <w:t xml:space="preserve"> c</w:t>
      </w:r>
      <w:r w:rsidRPr="00872FC3">
        <w:t>ore principles provid</w:t>
      </w:r>
      <w:r>
        <w:t xml:space="preserve">e a sound scientific foundation for informing modeling and monitoring. </w:t>
      </w:r>
      <w:r w:rsidRPr="00EA2D56">
        <w:t xml:space="preserve">Through early interactions with the stakeholder community, these </w:t>
      </w:r>
      <w:r w:rsidR="00EA2D56">
        <w:t xml:space="preserve">two </w:t>
      </w:r>
      <w:r w:rsidRPr="00EA2D56">
        <w:t xml:space="preserve">components of the </w:t>
      </w:r>
      <w:r w:rsidR="00F64F28" w:rsidRPr="00EA2D56">
        <w:t>AF</w:t>
      </w:r>
      <w:r w:rsidRPr="00EA2D56">
        <w:t xml:space="preserve"> appear to have the greatest consensus and the least “uncertainty.”</w:t>
      </w:r>
      <w:r>
        <w:t xml:space="preserve"> </w:t>
      </w:r>
    </w:p>
    <w:p w:rsidR="004733B6" w:rsidRDefault="004733B6"/>
    <w:p w:rsidR="004733B6" w:rsidRDefault="004733B6">
      <w:r>
        <w:t xml:space="preserve">The classification scheme is a critical element of the </w:t>
      </w:r>
      <w:r w:rsidR="00F64F28">
        <w:t>AF</w:t>
      </w:r>
      <w:r>
        <w:t>, because it represents a quantitative and transparent mechanism through which SFB data</w:t>
      </w:r>
      <w:r w:rsidR="00B50152">
        <w:t xml:space="preserve"> can be</w:t>
      </w:r>
      <w:r>
        <w:t xml:space="preserve"> interpreted to assess, nutrient-related beneficial use support. Given its importance, </w:t>
      </w:r>
      <w:r w:rsidRPr="00E224FC">
        <w:rPr>
          <w:u w:val="single"/>
        </w:rPr>
        <w:t xml:space="preserve">the authors of this document fully acknowledge the uncertainty in the </w:t>
      </w:r>
      <w:r w:rsidR="00F64F28">
        <w:rPr>
          <w:u w:val="single"/>
        </w:rPr>
        <w:t>AF</w:t>
      </w:r>
      <w:r w:rsidRPr="00E224FC">
        <w:rPr>
          <w:u w:val="single"/>
        </w:rPr>
        <w:t xml:space="preserve"> classification scheme and need for refinement, through multiple iterations of basic resea</w:t>
      </w:r>
      <w:r>
        <w:rPr>
          <w:u w:val="single"/>
        </w:rPr>
        <w:t>rch, monitoring, and modeling</w:t>
      </w:r>
      <w:r w:rsidRPr="00A236F6">
        <w:t>.</w:t>
      </w:r>
      <w:r w:rsidR="00D72900">
        <w:t xml:space="preserve"> </w:t>
      </w:r>
      <w:r>
        <w:t xml:space="preserve">We suggest that the near-term use of the </w:t>
      </w:r>
      <w:r w:rsidR="00F64F28">
        <w:t>AF</w:t>
      </w:r>
      <w:r>
        <w:t xml:space="preserve"> </w:t>
      </w:r>
      <w:r>
        <w:lastRenderedPageBreak/>
        <w:t xml:space="preserve">classification system be focused on a scientific “test drive” focused on understanding how to collectively use and improve efficiencies for assessment, monitoring and modeling. </w:t>
      </w:r>
      <w:r w:rsidR="00D814A1">
        <w:t xml:space="preserve">The “test drive” of the </w:t>
      </w:r>
      <w:r w:rsidR="00F64F28">
        <w:t>AF</w:t>
      </w:r>
      <w:r w:rsidR="00DF08E3">
        <w:t xml:space="preserve"> can be conducted in tandem with research, monitoring, and modeling to improve the scientific foundation for the </w:t>
      </w:r>
      <w:r w:rsidR="00F64F28">
        <w:t>AF</w:t>
      </w:r>
      <w:r w:rsidR="006C6897">
        <w:t xml:space="preserve">, aimed at the following </w:t>
      </w:r>
      <w:r w:rsidR="00353722">
        <w:t>six</w:t>
      </w:r>
      <w:r w:rsidR="005308A8">
        <w:t xml:space="preserve"> major </w:t>
      </w:r>
      <w:r w:rsidR="006C6897">
        <w:t>recommended actions:</w:t>
      </w:r>
    </w:p>
    <w:p w:rsidR="006C6897" w:rsidRDefault="006C6897"/>
    <w:p w:rsidR="004733B6" w:rsidRPr="004233BA" w:rsidRDefault="004733B6" w:rsidP="00057550">
      <w:pPr>
        <w:pStyle w:val="ListParagraph"/>
        <w:numPr>
          <w:ilvl w:val="0"/>
          <w:numId w:val="30"/>
        </w:numPr>
        <w:rPr>
          <w:rFonts w:cstheme="minorHAnsi"/>
        </w:rPr>
      </w:pPr>
      <w:r w:rsidRPr="00A56BA8">
        <w:t xml:space="preserve">Improve </w:t>
      </w:r>
      <w:r w:rsidR="00213E0A">
        <w:t xml:space="preserve">the </w:t>
      </w:r>
      <w:r w:rsidRPr="00A56BA8">
        <w:t xml:space="preserve">scientific basis for nutrient-related segmentation of SFB. </w:t>
      </w:r>
    </w:p>
    <w:p w:rsidR="004233BA" w:rsidRPr="004233BA" w:rsidRDefault="004233BA" w:rsidP="00CF0F3E">
      <w:pPr>
        <w:pStyle w:val="ListParagraph"/>
        <w:ind w:left="1080"/>
        <w:rPr>
          <w:rFonts w:cstheme="minorHAnsi"/>
        </w:rPr>
      </w:pPr>
    </w:p>
    <w:p w:rsidR="004233BA" w:rsidRPr="008A32BC" w:rsidRDefault="004233BA" w:rsidP="004233BA">
      <w:pPr>
        <w:pStyle w:val="ListParagraph"/>
        <w:numPr>
          <w:ilvl w:val="0"/>
          <w:numId w:val="30"/>
        </w:numPr>
        <w:rPr>
          <w:szCs w:val="24"/>
        </w:rPr>
      </w:pPr>
      <w:r w:rsidRPr="00A56BA8">
        <w:t>Reduce sources of uncertainty in chlorophyll-a, HAB abundance and toxin classification by: 1</w:t>
      </w:r>
      <w:r w:rsidRPr="005308A8">
        <w:t xml:space="preserve">) Better </w:t>
      </w:r>
      <w:r>
        <w:t>assessment and characterization</w:t>
      </w:r>
      <w:r w:rsidRPr="005308A8">
        <w:t xml:space="preserve"> </w:t>
      </w:r>
      <w:r>
        <w:t xml:space="preserve">of </w:t>
      </w:r>
      <w:r w:rsidRPr="005308A8">
        <w:t>the ecological and human risk of HABs in SFB, 2</w:t>
      </w:r>
      <w:r w:rsidR="00EA2D56">
        <w:t>) Co-location of chlorophyll-a  and monitoring of toxins in Bay surface waters</w:t>
      </w:r>
      <w:r w:rsidRPr="005308A8">
        <w:t>, shellfish and SPATT to improve documentation of linkage of chlorophyll-a to HAB toxin concentrations, 3) Expand SPATT samplers to include other toxins and conduct</w:t>
      </w:r>
      <w:r>
        <w:t xml:space="preserve"> </w:t>
      </w:r>
      <w:r w:rsidRPr="005308A8">
        <w:t xml:space="preserve">better validation of SPATT toxin data relative to </w:t>
      </w:r>
      <w:r w:rsidR="00EA2D56">
        <w:t>surface waters</w:t>
      </w:r>
      <w:r w:rsidRPr="005308A8">
        <w:t xml:space="preserve"> or mussel toxin tissues, 4) Assemble a scientific workgroup to </w:t>
      </w:r>
      <w:r>
        <w:t>evaluate</w:t>
      </w:r>
      <w:r w:rsidRPr="005308A8">
        <w:t xml:space="preserve"> </w:t>
      </w:r>
      <w:r>
        <w:t xml:space="preserve">and provide recommendations on the </w:t>
      </w:r>
      <w:r w:rsidRPr="005308A8">
        <w:t xml:space="preserve">chronic effects of HAB toxins, and 5) Improve monitoring through better spatial and temporal coverage of </w:t>
      </w:r>
      <w:r>
        <w:t xml:space="preserve">HAB </w:t>
      </w:r>
      <w:r w:rsidRPr="005308A8">
        <w:t xml:space="preserve">data to link chlorophyll-a to DO. </w:t>
      </w:r>
    </w:p>
    <w:p w:rsidR="00A236F6" w:rsidRDefault="00A236F6">
      <w:pPr>
        <w:pStyle w:val="ListParagraph"/>
      </w:pPr>
    </w:p>
    <w:p w:rsidR="00A236F6" w:rsidRDefault="005308A8" w:rsidP="00057550">
      <w:pPr>
        <w:pStyle w:val="ListParagraph"/>
        <w:numPr>
          <w:ilvl w:val="0"/>
          <w:numId w:val="30"/>
        </w:numPr>
      </w:pPr>
      <w:r w:rsidRPr="00A56BA8">
        <w:t xml:space="preserve">Optimize spatial and temporal sampling of </w:t>
      </w:r>
      <w:r w:rsidR="00F64F28">
        <w:t>AF</w:t>
      </w:r>
      <w:r w:rsidRPr="00A56BA8">
        <w:t xml:space="preserve"> indicators to best align quality of the information produced, while balancing costs, logistics, and power to detect trends. </w:t>
      </w:r>
    </w:p>
    <w:p w:rsidR="00A236F6" w:rsidRPr="00A236F6" w:rsidRDefault="00A236F6">
      <w:pPr>
        <w:pStyle w:val="ListParagraph"/>
        <w:rPr>
          <w:rFonts w:cstheme="minorHAnsi"/>
        </w:rPr>
      </w:pPr>
    </w:p>
    <w:p w:rsidR="00A236F6" w:rsidRDefault="006C6897" w:rsidP="00057550">
      <w:pPr>
        <w:pStyle w:val="ListParagraph"/>
        <w:numPr>
          <w:ilvl w:val="0"/>
          <w:numId w:val="30"/>
        </w:numPr>
      </w:pPr>
      <w:r w:rsidRPr="00A236F6">
        <w:rPr>
          <w:rFonts w:cstheme="minorHAnsi"/>
        </w:rPr>
        <w:t>Improve</w:t>
      </w:r>
      <w:r w:rsidR="004733B6" w:rsidRPr="00A236F6">
        <w:rPr>
          <w:rFonts w:cstheme="minorHAnsi"/>
        </w:rPr>
        <w:t xml:space="preserve"> </w:t>
      </w:r>
      <w:r w:rsidR="00213E0A">
        <w:rPr>
          <w:rFonts w:cstheme="minorHAnsi"/>
        </w:rPr>
        <w:t xml:space="preserve">the </w:t>
      </w:r>
      <w:r w:rsidRPr="00A236F6">
        <w:rPr>
          <w:rFonts w:cstheme="minorHAnsi"/>
        </w:rPr>
        <w:t xml:space="preserve">scientific basis for </w:t>
      </w:r>
      <w:r w:rsidR="004733B6" w:rsidRPr="00A236F6">
        <w:rPr>
          <w:rFonts w:cstheme="minorHAnsi"/>
        </w:rPr>
        <w:t xml:space="preserve">dissolved oxygen classification and monitoring in future iterations of the </w:t>
      </w:r>
      <w:r w:rsidR="00F64F28" w:rsidRPr="00A236F6">
        <w:rPr>
          <w:rFonts w:cstheme="minorHAnsi"/>
        </w:rPr>
        <w:t>AF</w:t>
      </w:r>
      <w:r w:rsidR="004733B6" w:rsidRPr="00A236F6">
        <w:rPr>
          <w:rFonts w:cstheme="minorHAnsi"/>
        </w:rPr>
        <w:t>.</w:t>
      </w:r>
      <w:r w:rsidR="004733B6" w:rsidRPr="006C6897">
        <w:t xml:space="preserve"> Current recommendations focus on indicators</w:t>
      </w:r>
      <w:r w:rsidR="005308A8">
        <w:t xml:space="preserve"> of phytoplankton. We recommend</w:t>
      </w:r>
      <w:r w:rsidR="00520CA1">
        <w:t xml:space="preserve">: 1) </w:t>
      </w:r>
      <w:r w:rsidR="00EA2D56">
        <w:t xml:space="preserve">synthesis </w:t>
      </w:r>
      <w:r w:rsidR="004733B6" w:rsidRPr="006C6897">
        <w:t xml:space="preserve">of </w:t>
      </w:r>
      <w:r w:rsidRPr="006C6897">
        <w:t xml:space="preserve">DO expectations for SFB species types </w:t>
      </w:r>
      <w:r w:rsidR="004733B6" w:rsidRPr="006C6897">
        <w:t xml:space="preserve">and </w:t>
      </w:r>
      <w:r w:rsidR="00EA2D56">
        <w:t xml:space="preserve">the seasonal use of specific habitat types (deep channel, shallow </w:t>
      </w:r>
      <w:proofErr w:type="spellStart"/>
      <w:r w:rsidR="00EA2D56">
        <w:t>subtidal</w:t>
      </w:r>
      <w:proofErr w:type="spellEnd"/>
      <w:r w:rsidR="00EA2D56">
        <w:t xml:space="preserve">, tidal sloughs, etc.) within </w:t>
      </w:r>
      <w:r w:rsidR="004733B6" w:rsidRPr="006C6897">
        <w:t xml:space="preserve">SFB </w:t>
      </w:r>
      <w:proofErr w:type="spellStart"/>
      <w:r w:rsidR="004733B6" w:rsidRPr="006C6897">
        <w:t>subembayments</w:t>
      </w:r>
      <w:proofErr w:type="spellEnd"/>
      <w:r w:rsidR="00520CA1">
        <w:t>; 2) i</w:t>
      </w:r>
      <w:r w:rsidR="004733B6" w:rsidRPr="006C6897">
        <w:t>mprove</w:t>
      </w:r>
      <w:r w:rsidR="005308A8">
        <w:t>d</w:t>
      </w:r>
      <w:r w:rsidR="004733B6" w:rsidRPr="006C6897">
        <w:t xml:space="preserve"> characterization of the </w:t>
      </w:r>
      <w:proofErr w:type="spellStart"/>
      <w:r w:rsidR="004733B6" w:rsidRPr="006C6897">
        <w:t>diel</w:t>
      </w:r>
      <w:proofErr w:type="spellEnd"/>
      <w:r w:rsidR="004733B6" w:rsidRPr="006C6897">
        <w:t xml:space="preserve"> variability of DO at key points within the deep water and shallow margin habitat of each </w:t>
      </w:r>
      <w:proofErr w:type="spellStart"/>
      <w:r w:rsidR="004733B6" w:rsidRPr="006C6897">
        <w:t>subembayment</w:t>
      </w:r>
      <w:proofErr w:type="spellEnd"/>
      <w:r w:rsidR="004733B6" w:rsidRPr="006C6897">
        <w:t xml:space="preserve"> in order to better characterize </w:t>
      </w:r>
      <w:r w:rsidRPr="006C6897">
        <w:t>support of species and habitats</w:t>
      </w:r>
      <w:r w:rsidR="00520CA1">
        <w:t>;</w:t>
      </w:r>
      <w:r w:rsidRPr="006C6897">
        <w:t xml:space="preserve"> </w:t>
      </w:r>
      <w:r w:rsidR="00520CA1">
        <w:t>and 3) i</w:t>
      </w:r>
      <w:r w:rsidR="004733B6" w:rsidRPr="006C6897">
        <w:t>mprove</w:t>
      </w:r>
      <w:r w:rsidR="005308A8">
        <w:t>d</w:t>
      </w:r>
      <w:r w:rsidR="004733B6" w:rsidRPr="006C6897">
        <w:t xml:space="preserve"> mechanistic understanding of the physical and biological factors influencing DO within and between the deep channel and shallow water margin habitat. </w:t>
      </w:r>
    </w:p>
    <w:p w:rsidR="004233BA" w:rsidRPr="00A56BA8" w:rsidRDefault="004233BA" w:rsidP="004233BA">
      <w:pPr>
        <w:rPr>
          <w:rFonts w:cstheme="minorHAnsi"/>
        </w:rPr>
      </w:pPr>
    </w:p>
    <w:p w:rsidR="004233BA" w:rsidRPr="00A236F6" w:rsidRDefault="004233BA" w:rsidP="004233BA">
      <w:pPr>
        <w:pStyle w:val="ListParagraph"/>
        <w:numPr>
          <w:ilvl w:val="0"/>
          <w:numId w:val="30"/>
        </w:numPr>
      </w:pPr>
      <w:r w:rsidRPr="00A236F6">
        <w:rPr>
          <w:rFonts w:cstheme="minorHAnsi"/>
        </w:rPr>
        <w:t xml:space="preserve">Include diked </w:t>
      </w:r>
      <w:proofErr w:type="spellStart"/>
      <w:r w:rsidRPr="00A236F6">
        <w:rPr>
          <w:rFonts w:cstheme="minorHAnsi"/>
        </w:rPr>
        <w:t>baylands</w:t>
      </w:r>
      <w:proofErr w:type="spellEnd"/>
      <w:r w:rsidRPr="00A236F6">
        <w:rPr>
          <w:rFonts w:cstheme="minorHAnsi"/>
        </w:rPr>
        <w:t>, restored salt ponds and tidal sloughs in future iterations of th</w:t>
      </w:r>
      <w:r>
        <w:rPr>
          <w:rFonts w:cstheme="minorHAnsi"/>
        </w:rPr>
        <w:t>e</w:t>
      </w:r>
      <w:r w:rsidRPr="00A236F6">
        <w:rPr>
          <w:rFonts w:cstheme="minorHAnsi"/>
        </w:rPr>
        <w:t xml:space="preserve"> AF, which is currently focused on open water habitats.</w:t>
      </w:r>
      <w:r>
        <w:rPr>
          <w:rFonts w:cstheme="minorHAnsi"/>
        </w:rPr>
        <w:t xml:space="preserve"> </w:t>
      </w:r>
    </w:p>
    <w:p w:rsidR="004233BA" w:rsidRDefault="004233BA" w:rsidP="00CF0F3E">
      <w:pPr>
        <w:pStyle w:val="ListParagraph"/>
        <w:ind w:left="1080"/>
      </w:pPr>
    </w:p>
    <w:p w:rsidR="00A236F6" w:rsidRDefault="00A236F6">
      <w:pPr>
        <w:pStyle w:val="ListParagraph"/>
      </w:pPr>
    </w:p>
    <w:p w:rsidR="008A32BC" w:rsidRPr="008A32BC" w:rsidRDefault="008A32BC" w:rsidP="008A32BC">
      <w:pPr>
        <w:pStyle w:val="ListParagraph"/>
        <w:rPr>
          <w:sz w:val="22"/>
          <w:szCs w:val="22"/>
        </w:rPr>
      </w:pPr>
    </w:p>
    <w:p w:rsidR="006862D8" w:rsidRDefault="006862D8" w:rsidP="00CF0F3E">
      <w:pPr>
        <w:rPr>
          <w:sz w:val="22"/>
          <w:szCs w:val="22"/>
        </w:rPr>
      </w:pPr>
    </w:p>
    <w:p w:rsidR="00276D3A" w:rsidRDefault="00276D3A" w:rsidP="00CF0F3E">
      <w:pPr>
        <w:rPr>
          <w:b/>
          <w:sz w:val="22"/>
          <w:szCs w:val="22"/>
        </w:rPr>
      </w:pPr>
    </w:p>
    <w:p w:rsidR="00B72EAC" w:rsidRPr="00CF0F3E" w:rsidRDefault="00B72EAC" w:rsidP="00CF0F3E">
      <w:pPr>
        <w:rPr>
          <w:b/>
          <w:szCs w:val="24"/>
        </w:rPr>
      </w:pPr>
      <w:r w:rsidRPr="00CF0F3E">
        <w:rPr>
          <w:b/>
          <w:sz w:val="22"/>
          <w:szCs w:val="22"/>
        </w:rPr>
        <w:br w:type="page"/>
      </w:r>
    </w:p>
    <w:p w:rsidR="009E4206" w:rsidRPr="009A58D3" w:rsidRDefault="009E4206" w:rsidP="00FD7D57">
      <w:pPr>
        <w:pStyle w:val="Heading1"/>
        <w:numPr>
          <w:ilvl w:val="0"/>
          <w:numId w:val="0"/>
        </w:numPr>
        <w:ind w:left="432" w:hanging="432"/>
        <w:rPr>
          <w:rFonts w:ascii="Times New Roman" w:hAnsi="Times New Roman"/>
          <w:sz w:val="24"/>
          <w:szCs w:val="24"/>
        </w:rPr>
      </w:pPr>
      <w:bookmarkStart w:id="2" w:name="_Toc433370046"/>
      <w:r w:rsidRPr="009A58D3">
        <w:rPr>
          <w:rFonts w:ascii="Times New Roman" w:hAnsi="Times New Roman"/>
          <w:sz w:val="24"/>
          <w:szCs w:val="24"/>
        </w:rPr>
        <w:lastRenderedPageBreak/>
        <w:t>Table of Contents</w:t>
      </w:r>
      <w:bookmarkEnd w:id="2"/>
    </w:p>
    <w:p w:rsidR="000623C6" w:rsidRPr="009A58D3" w:rsidRDefault="00D72900">
      <w:pPr>
        <w:pStyle w:val="TOC1"/>
        <w:rPr>
          <w:rFonts w:ascii="Times New Roman" w:eastAsiaTheme="minorEastAsia" w:hAnsi="Times New Roman"/>
          <w:b w:val="0"/>
          <w:smallCaps w:val="0"/>
          <w:szCs w:val="24"/>
        </w:rPr>
      </w:pPr>
      <w:r w:rsidRPr="009A58D3">
        <w:rPr>
          <w:rFonts w:ascii="Times New Roman" w:hAnsi="Times New Roman"/>
          <w:smallCaps w:val="0"/>
          <w:szCs w:val="24"/>
        </w:rPr>
        <w:fldChar w:fldCharType="begin"/>
      </w:r>
      <w:r w:rsidRPr="009A58D3">
        <w:rPr>
          <w:rFonts w:ascii="Times New Roman" w:hAnsi="Times New Roman"/>
          <w:smallCaps w:val="0"/>
          <w:szCs w:val="24"/>
        </w:rPr>
        <w:instrText xml:space="preserve"> TOC \o "1-3" \h \z \u </w:instrText>
      </w:r>
      <w:r w:rsidRPr="009A58D3">
        <w:rPr>
          <w:rFonts w:ascii="Times New Roman" w:hAnsi="Times New Roman"/>
          <w:smallCaps w:val="0"/>
          <w:szCs w:val="24"/>
        </w:rPr>
        <w:fldChar w:fldCharType="separate"/>
      </w:r>
      <w:hyperlink w:anchor="_Toc433370044" w:history="1">
        <w:r w:rsidR="000623C6" w:rsidRPr="009A58D3">
          <w:rPr>
            <w:rStyle w:val="Hyperlink"/>
            <w:rFonts w:ascii="Times New Roman" w:hAnsi="Times New Roman"/>
            <w:szCs w:val="24"/>
          </w:rPr>
          <w:t>Expert Workgroup</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_Toc433370044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i</w:t>
        </w:r>
        <w:r w:rsidR="000623C6" w:rsidRPr="009A58D3">
          <w:rPr>
            <w:rFonts w:ascii="Times New Roman" w:hAnsi="Times New Roman"/>
            <w:webHidden/>
            <w:szCs w:val="24"/>
          </w:rPr>
          <w:fldChar w:fldCharType="end"/>
        </w:r>
      </w:hyperlink>
    </w:p>
    <w:p w:rsidR="000623C6" w:rsidRPr="009A58D3" w:rsidRDefault="005D6FC2">
      <w:pPr>
        <w:pStyle w:val="TOC1"/>
        <w:rPr>
          <w:rFonts w:ascii="Times New Roman" w:eastAsiaTheme="minorEastAsia" w:hAnsi="Times New Roman"/>
          <w:b w:val="0"/>
          <w:smallCaps w:val="0"/>
          <w:szCs w:val="24"/>
        </w:rPr>
      </w:pPr>
      <w:hyperlink w:anchor="_Toc433370045" w:history="1">
        <w:r w:rsidR="000623C6" w:rsidRPr="009A58D3">
          <w:rPr>
            <w:rStyle w:val="Hyperlink"/>
            <w:rFonts w:ascii="Times New Roman" w:hAnsi="Times New Roman"/>
            <w:szCs w:val="24"/>
          </w:rPr>
          <w:t>Executive Summary</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_Toc433370045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ii</w:t>
        </w:r>
        <w:r w:rsidR="000623C6" w:rsidRPr="009A58D3">
          <w:rPr>
            <w:rFonts w:ascii="Times New Roman" w:hAnsi="Times New Roman"/>
            <w:webHidden/>
            <w:szCs w:val="24"/>
          </w:rPr>
          <w:fldChar w:fldCharType="end"/>
        </w:r>
      </w:hyperlink>
    </w:p>
    <w:p w:rsidR="000623C6" w:rsidRPr="009A58D3" w:rsidRDefault="005D6FC2">
      <w:pPr>
        <w:pStyle w:val="TOC1"/>
        <w:rPr>
          <w:rFonts w:ascii="Times New Roman" w:eastAsiaTheme="minorEastAsia" w:hAnsi="Times New Roman"/>
          <w:b w:val="0"/>
          <w:smallCaps w:val="0"/>
          <w:szCs w:val="24"/>
        </w:rPr>
      </w:pPr>
      <w:hyperlink w:anchor="_Toc433370046" w:history="1">
        <w:r w:rsidR="000623C6" w:rsidRPr="009A58D3">
          <w:rPr>
            <w:rStyle w:val="Hyperlink"/>
            <w:rFonts w:ascii="Times New Roman" w:hAnsi="Times New Roman"/>
            <w:szCs w:val="24"/>
          </w:rPr>
          <w:t>Table of Contents</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_Toc433370046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iv</w:t>
        </w:r>
        <w:r w:rsidR="000623C6" w:rsidRPr="009A58D3">
          <w:rPr>
            <w:rFonts w:ascii="Times New Roman" w:hAnsi="Times New Roman"/>
            <w:webHidden/>
            <w:szCs w:val="24"/>
          </w:rPr>
          <w:fldChar w:fldCharType="end"/>
        </w:r>
      </w:hyperlink>
    </w:p>
    <w:p w:rsidR="000623C6" w:rsidRPr="009A58D3" w:rsidRDefault="005D6FC2">
      <w:pPr>
        <w:pStyle w:val="TOC1"/>
        <w:rPr>
          <w:rFonts w:ascii="Times New Roman" w:eastAsiaTheme="minorEastAsia" w:hAnsi="Times New Roman"/>
          <w:b w:val="0"/>
          <w:smallCaps w:val="0"/>
          <w:szCs w:val="24"/>
        </w:rPr>
      </w:pPr>
      <w:hyperlink w:anchor="_Toc433370047" w:history="1">
        <w:r w:rsidR="000623C6" w:rsidRPr="009A58D3">
          <w:rPr>
            <w:rStyle w:val="Hyperlink"/>
            <w:rFonts w:ascii="Times New Roman" w:hAnsi="Times New Roman"/>
            <w:szCs w:val="24"/>
          </w:rPr>
          <w:t>List of Figures</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_Toc433370047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vi</w:t>
        </w:r>
        <w:r w:rsidR="000623C6" w:rsidRPr="009A58D3">
          <w:rPr>
            <w:rFonts w:ascii="Times New Roman" w:hAnsi="Times New Roman"/>
            <w:webHidden/>
            <w:szCs w:val="24"/>
          </w:rPr>
          <w:fldChar w:fldCharType="end"/>
        </w:r>
      </w:hyperlink>
    </w:p>
    <w:p w:rsidR="000623C6" w:rsidRPr="009A58D3" w:rsidRDefault="005D6FC2">
      <w:pPr>
        <w:pStyle w:val="TOC1"/>
        <w:rPr>
          <w:rFonts w:ascii="Times New Roman" w:eastAsiaTheme="minorEastAsia" w:hAnsi="Times New Roman"/>
          <w:b w:val="0"/>
          <w:smallCaps w:val="0"/>
          <w:szCs w:val="24"/>
        </w:rPr>
      </w:pPr>
      <w:hyperlink w:anchor="_Toc433370048" w:history="1">
        <w:r w:rsidR="000623C6" w:rsidRPr="009A58D3">
          <w:rPr>
            <w:rStyle w:val="Hyperlink"/>
            <w:rFonts w:ascii="Times New Roman" w:hAnsi="Times New Roman"/>
            <w:szCs w:val="24"/>
          </w:rPr>
          <w:t>List of Tables</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_Toc433370048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viii</w:t>
        </w:r>
        <w:r w:rsidR="000623C6" w:rsidRPr="009A58D3">
          <w:rPr>
            <w:rFonts w:ascii="Times New Roman" w:hAnsi="Times New Roman"/>
            <w:webHidden/>
            <w:szCs w:val="24"/>
          </w:rPr>
          <w:fldChar w:fldCharType="end"/>
        </w:r>
      </w:hyperlink>
    </w:p>
    <w:p w:rsidR="000623C6" w:rsidRPr="009A58D3" w:rsidRDefault="005D6FC2">
      <w:pPr>
        <w:pStyle w:val="TOC1"/>
        <w:rPr>
          <w:rFonts w:ascii="Times New Roman" w:eastAsiaTheme="minorEastAsia" w:hAnsi="Times New Roman"/>
          <w:b w:val="0"/>
          <w:smallCaps w:val="0"/>
          <w:szCs w:val="24"/>
        </w:rPr>
      </w:pPr>
      <w:hyperlink w:anchor="_Toc433370049" w:history="1">
        <w:r w:rsidR="000623C6" w:rsidRPr="009A58D3">
          <w:rPr>
            <w:rStyle w:val="Hyperlink"/>
            <w:rFonts w:ascii="Times New Roman" w:hAnsi="Times New Roman"/>
            <w:szCs w:val="24"/>
          </w:rPr>
          <w:t>Acknowledgements</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_Toc433370049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ix</w:t>
        </w:r>
        <w:r w:rsidR="000623C6" w:rsidRPr="009A58D3">
          <w:rPr>
            <w:rFonts w:ascii="Times New Roman" w:hAnsi="Times New Roman"/>
            <w:webHidden/>
            <w:szCs w:val="24"/>
          </w:rPr>
          <w:fldChar w:fldCharType="end"/>
        </w:r>
      </w:hyperlink>
    </w:p>
    <w:p w:rsidR="000623C6" w:rsidRPr="009A58D3" w:rsidRDefault="005D6FC2">
      <w:pPr>
        <w:pStyle w:val="TOC1"/>
        <w:rPr>
          <w:rFonts w:ascii="Times New Roman" w:eastAsiaTheme="minorEastAsia" w:hAnsi="Times New Roman"/>
          <w:b w:val="0"/>
          <w:smallCaps w:val="0"/>
          <w:szCs w:val="24"/>
        </w:rPr>
      </w:pPr>
      <w:hyperlink w:anchor="_Toc433370050" w:history="1">
        <w:r w:rsidR="000623C6" w:rsidRPr="009A58D3">
          <w:rPr>
            <w:rStyle w:val="Hyperlink"/>
            <w:rFonts w:ascii="Times New Roman" w:hAnsi="Times New Roman"/>
            <w:szCs w:val="24"/>
          </w:rPr>
          <w:t>1</w:t>
        </w:r>
        <w:r w:rsidR="000623C6" w:rsidRPr="009A58D3">
          <w:rPr>
            <w:rFonts w:ascii="Times New Roman" w:eastAsiaTheme="minorEastAsia" w:hAnsi="Times New Roman"/>
            <w:b w:val="0"/>
            <w:smallCaps w:val="0"/>
            <w:szCs w:val="24"/>
          </w:rPr>
          <w:tab/>
        </w:r>
        <w:r w:rsidR="000623C6" w:rsidRPr="009A58D3">
          <w:rPr>
            <w:rStyle w:val="Hyperlink"/>
            <w:rFonts w:ascii="Times New Roman" w:hAnsi="Times New Roman"/>
            <w:szCs w:val="24"/>
          </w:rPr>
          <w:t>Introduction</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_Toc433370050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1</w:t>
        </w:r>
        <w:r w:rsidR="000623C6" w:rsidRPr="009A58D3">
          <w:rPr>
            <w:rFonts w:ascii="Times New Roman" w:hAnsi="Times New Roman"/>
            <w:webHidden/>
            <w:szCs w:val="24"/>
          </w:rPr>
          <w:fldChar w:fldCharType="end"/>
        </w:r>
      </w:hyperlink>
    </w:p>
    <w:p w:rsidR="000623C6" w:rsidRPr="009A58D3" w:rsidRDefault="005D6FC2">
      <w:pPr>
        <w:pStyle w:val="TOC2"/>
        <w:tabs>
          <w:tab w:val="left" w:pos="1100"/>
        </w:tabs>
        <w:rPr>
          <w:rFonts w:ascii="Times New Roman" w:eastAsiaTheme="minorEastAsia" w:hAnsi="Times New Roman"/>
          <w:b w:val="0"/>
          <w:caps w:val="0"/>
          <w:smallCaps w:val="0"/>
          <w:szCs w:val="24"/>
        </w:rPr>
      </w:pPr>
      <w:hyperlink w:anchor="_Toc433370051" w:history="1">
        <w:r w:rsidR="000623C6" w:rsidRPr="009A58D3">
          <w:rPr>
            <w:rStyle w:val="Hyperlink"/>
            <w:rFonts w:ascii="Times New Roman" w:hAnsi="Times New Roman"/>
            <w:szCs w:val="24"/>
          </w:rPr>
          <w:t>1.1</w:t>
        </w:r>
        <w:r w:rsidR="000623C6" w:rsidRPr="009A58D3">
          <w:rPr>
            <w:rFonts w:ascii="Times New Roman" w:eastAsiaTheme="minorEastAsia" w:hAnsi="Times New Roman"/>
            <w:b w:val="0"/>
            <w:caps w:val="0"/>
            <w:smallCaps w:val="0"/>
            <w:szCs w:val="24"/>
          </w:rPr>
          <w:tab/>
        </w:r>
        <w:r w:rsidR="000623C6" w:rsidRPr="009A58D3">
          <w:rPr>
            <w:rStyle w:val="Hyperlink"/>
            <w:rFonts w:ascii="Times New Roman" w:hAnsi="Times New Roman"/>
            <w:szCs w:val="24"/>
          </w:rPr>
          <w:t>Background and Purpose</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_Toc433370051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1</w:t>
        </w:r>
        <w:r w:rsidR="000623C6" w:rsidRPr="009A58D3">
          <w:rPr>
            <w:rFonts w:ascii="Times New Roman" w:hAnsi="Times New Roman"/>
            <w:webHidden/>
            <w:szCs w:val="24"/>
          </w:rPr>
          <w:fldChar w:fldCharType="end"/>
        </w:r>
      </w:hyperlink>
    </w:p>
    <w:p w:rsidR="000623C6" w:rsidRPr="009A58D3" w:rsidRDefault="005D6FC2">
      <w:pPr>
        <w:pStyle w:val="TOC2"/>
        <w:tabs>
          <w:tab w:val="left" w:pos="1100"/>
        </w:tabs>
        <w:rPr>
          <w:rFonts w:ascii="Times New Roman" w:eastAsiaTheme="minorEastAsia" w:hAnsi="Times New Roman"/>
          <w:b w:val="0"/>
          <w:caps w:val="0"/>
          <w:smallCaps w:val="0"/>
          <w:szCs w:val="24"/>
        </w:rPr>
      </w:pPr>
      <w:hyperlink w:anchor="_Toc433370052" w:history="1">
        <w:r w:rsidR="000623C6" w:rsidRPr="009A58D3">
          <w:rPr>
            <w:rStyle w:val="Hyperlink"/>
            <w:rFonts w:ascii="Times New Roman" w:hAnsi="Times New Roman"/>
            <w:szCs w:val="24"/>
          </w:rPr>
          <w:t>1.2</w:t>
        </w:r>
        <w:r w:rsidR="000623C6" w:rsidRPr="009A58D3">
          <w:rPr>
            <w:rFonts w:ascii="Times New Roman" w:eastAsiaTheme="minorEastAsia" w:hAnsi="Times New Roman"/>
            <w:b w:val="0"/>
            <w:caps w:val="0"/>
            <w:smallCaps w:val="0"/>
            <w:szCs w:val="24"/>
          </w:rPr>
          <w:tab/>
        </w:r>
        <w:r w:rsidR="000623C6" w:rsidRPr="009A58D3">
          <w:rPr>
            <w:rStyle w:val="Hyperlink"/>
            <w:rFonts w:ascii="Times New Roman" w:hAnsi="Times New Roman"/>
            <w:szCs w:val="24"/>
          </w:rPr>
          <w:t>Document Audience, Authorship, and Organization</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_Toc433370052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1</w:t>
        </w:r>
        <w:r w:rsidR="000623C6" w:rsidRPr="009A58D3">
          <w:rPr>
            <w:rFonts w:ascii="Times New Roman" w:hAnsi="Times New Roman"/>
            <w:webHidden/>
            <w:szCs w:val="24"/>
          </w:rPr>
          <w:fldChar w:fldCharType="end"/>
        </w:r>
      </w:hyperlink>
    </w:p>
    <w:p w:rsidR="000623C6" w:rsidRPr="009A58D3" w:rsidRDefault="005D6FC2">
      <w:pPr>
        <w:pStyle w:val="TOC1"/>
        <w:rPr>
          <w:rFonts w:ascii="Times New Roman" w:eastAsiaTheme="minorEastAsia" w:hAnsi="Times New Roman"/>
          <w:b w:val="0"/>
          <w:smallCaps w:val="0"/>
          <w:szCs w:val="24"/>
        </w:rPr>
      </w:pPr>
      <w:hyperlink w:anchor="_Toc433370053" w:history="1">
        <w:r w:rsidR="000623C6" w:rsidRPr="009A58D3">
          <w:rPr>
            <w:rStyle w:val="Hyperlink"/>
            <w:rFonts w:ascii="Times New Roman" w:hAnsi="Times New Roman"/>
            <w:szCs w:val="24"/>
          </w:rPr>
          <w:t>2</w:t>
        </w:r>
        <w:r w:rsidR="000623C6" w:rsidRPr="009A58D3">
          <w:rPr>
            <w:rFonts w:ascii="Times New Roman" w:eastAsiaTheme="minorEastAsia" w:hAnsi="Times New Roman"/>
            <w:b w:val="0"/>
            <w:smallCaps w:val="0"/>
            <w:szCs w:val="24"/>
          </w:rPr>
          <w:tab/>
        </w:r>
        <w:r w:rsidR="000623C6" w:rsidRPr="009A58D3">
          <w:rPr>
            <w:rStyle w:val="Hyperlink"/>
            <w:rFonts w:ascii="Times New Roman" w:hAnsi="Times New Roman"/>
            <w:szCs w:val="24"/>
          </w:rPr>
          <w:t>Context for Framework Development: Detailed Background, Process for Development, and Review of Existing Approaches</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_Toc433370053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2</w:t>
        </w:r>
        <w:r w:rsidR="000623C6" w:rsidRPr="009A58D3">
          <w:rPr>
            <w:rFonts w:ascii="Times New Roman" w:hAnsi="Times New Roman"/>
            <w:webHidden/>
            <w:szCs w:val="24"/>
          </w:rPr>
          <w:fldChar w:fldCharType="end"/>
        </w:r>
      </w:hyperlink>
    </w:p>
    <w:p w:rsidR="000623C6" w:rsidRPr="009A58D3" w:rsidRDefault="005D6FC2">
      <w:pPr>
        <w:pStyle w:val="TOC2"/>
        <w:tabs>
          <w:tab w:val="left" w:pos="1100"/>
        </w:tabs>
        <w:rPr>
          <w:rFonts w:ascii="Times New Roman" w:eastAsiaTheme="minorEastAsia" w:hAnsi="Times New Roman"/>
          <w:b w:val="0"/>
          <w:caps w:val="0"/>
          <w:smallCaps w:val="0"/>
          <w:szCs w:val="24"/>
        </w:rPr>
      </w:pPr>
      <w:hyperlink w:anchor="_Toc433370054" w:history="1">
        <w:r w:rsidR="000623C6" w:rsidRPr="009A58D3">
          <w:rPr>
            <w:rStyle w:val="Hyperlink"/>
            <w:rFonts w:ascii="Times New Roman" w:hAnsi="Times New Roman"/>
            <w:szCs w:val="24"/>
          </w:rPr>
          <w:t>2.1</w:t>
        </w:r>
        <w:r w:rsidR="000623C6" w:rsidRPr="009A58D3">
          <w:rPr>
            <w:rFonts w:ascii="Times New Roman" w:eastAsiaTheme="minorEastAsia" w:hAnsi="Times New Roman"/>
            <w:b w:val="0"/>
            <w:caps w:val="0"/>
            <w:smallCaps w:val="0"/>
            <w:szCs w:val="24"/>
          </w:rPr>
          <w:tab/>
        </w:r>
        <w:r w:rsidR="000623C6" w:rsidRPr="009A58D3">
          <w:rPr>
            <w:rStyle w:val="Hyperlink"/>
            <w:rFonts w:ascii="Times New Roman" w:hAnsi="Times New Roman"/>
            <w:szCs w:val="24"/>
          </w:rPr>
          <w:t>San Francisco Bay: A Brief History and Context for Nutrient Management</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_Toc433370054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2</w:t>
        </w:r>
        <w:r w:rsidR="000623C6" w:rsidRPr="009A58D3">
          <w:rPr>
            <w:rFonts w:ascii="Times New Roman" w:hAnsi="Times New Roman"/>
            <w:webHidden/>
            <w:szCs w:val="24"/>
          </w:rPr>
          <w:fldChar w:fldCharType="end"/>
        </w:r>
      </w:hyperlink>
    </w:p>
    <w:p w:rsidR="000623C6" w:rsidRPr="009A58D3" w:rsidRDefault="005D6FC2">
      <w:pPr>
        <w:pStyle w:val="TOC2"/>
        <w:tabs>
          <w:tab w:val="left" w:pos="1100"/>
        </w:tabs>
        <w:rPr>
          <w:rFonts w:ascii="Times New Roman" w:eastAsiaTheme="minorEastAsia" w:hAnsi="Times New Roman"/>
          <w:b w:val="0"/>
          <w:caps w:val="0"/>
          <w:smallCaps w:val="0"/>
          <w:szCs w:val="24"/>
        </w:rPr>
      </w:pPr>
      <w:hyperlink w:anchor="_Toc433370055" w:history="1">
        <w:r w:rsidR="000623C6" w:rsidRPr="009A58D3">
          <w:rPr>
            <w:rStyle w:val="Hyperlink"/>
            <w:rFonts w:ascii="Times New Roman" w:hAnsi="Times New Roman"/>
            <w:szCs w:val="24"/>
          </w:rPr>
          <w:t>2.2</w:t>
        </w:r>
        <w:r w:rsidR="000623C6" w:rsidRPr="009A58D3">
          <w:rPr>
            <w:rFonts w:ascii="Times New Roman" w:eastAsiaTheme="minorEastAsia" w:hAnsi="Times New Roman"/>
            <w:b w:val="0"/>
            <w:caps w:val="0"/>
            <w:smallCaps w:val="0"/>
            <w:szCs w:val="24"/>
          </w:rPr>
          <w:tab/>
        </w:r>
        <w:r w:rsidR="000623C6" w:rsidRPr="009A58D3">
          <w:rPr>
            <w:rStyle w:val="Hyperlink"/>
            <w:rFonts w:ascii="Times New Roman" w:hAnsi="Times New Roman"/>
            <w:szCs w:val="24"/>
          </w:rPr>
          <w:t>SFB Nutrient Management Strategy: Management Questions, Major Work Elements, and Linkage to AF</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_Toc433370055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3</w:t>
        </w:r>
        <w:r w:rsidR="000623C6" w:rsidRPr="009A58D3">
          <w:rPr>
            <w:rFonts w:ascii="Times New Roman" w:hAnsi="Times New Roman"/>
            <w:webHidden/>
            <w:szCs w:val="24"/>
          </w:rPr>
          <w:fldChar w:fldCharType="end"/>
        </w:r>
      </w:hyperlink>
    </w:p>
    <w:p w:rsidR="000623C6" w:rsidRPr="009A58D3" w:rsidRDefault="005D6FC2">
      <w:pPr>
        <w:pStyle w:val="TOC2"/>
        <w:tabs>
          <w:tab w:val="left" w:pos="1100"/>
        </w:tabs>
        <w:rPr>
          <w:rFonts w:ascii="Times New Roman" w:eastAsiaTheme="minorEastAsia" w:hAnsi="Times New Roman"/>
          <w:b w:val="0"/>
          <w:caps w:val="0"/>
          <w:smallCaps w:val="0"/>
          <w:szCs w:val="24"/>
        </w:rPr>
      </w:pPr>
      <w:hyperlink w:anchor="_Toc433370056" w:history="1">
        <w:r w:rsidR="000623C6" w:rsidRPr="009A58D3">
          <w:rPr>
            <w:rStyle w:val="Hyperlink"/>
            <w:rFonts w:ascii="Times New Roman" w:hAnsi="Times New Roman"/>
            <w:szCs w:val="24"/>
          </w:rPr>
          <w:t>2.3</w:t>
        </w:r>
        <w:r w:rsidR="000623C6" w:rsidRPr="009A58D3">
          <w:rPr>
            <w:rFonts w:ascii="Times New Roman" w:eastAsiaTheme="minorEastAsia" w:hAnsi="Times New Roman"/>
            <w:b w:val="0"/>
            <w:caps w:val="0"/>
            <w:smallCaps w:val="0"/>
            <w:szCs w:val="24"/>
          </w:rPr>
          <w:tab/>
        </w:r>
        <w:r w:rsidR="000623C6" w:rsidRPr="009A58D3">
          <w:rPr>
            <w:rStyle w:val="Hyperlink"/>
            <w:rFonts w:ascii="Times New Roman" w:hAnsi="Times New Roman"/>
            <w:szCs w:val="24"/>
          </w:rPr>
          <w:t>Conceptual Approach, Desired Attributes of a Nutrient AF and Process for Development</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_Toc433370056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4</w:t>
        </w:r>
        <w:r w:rsidR="000623C6" w:rsidRPr="009A58D3">
          <w:rPr>
            <w:rFonts w:ascii="Times New Roman" w:hAnsi="Times New Roman"/>
            <w:webHidden/>
            <w:szCs w:val="24"/>
          </w:rPr>
          <w:fldChar w:fldCharType="end"/>
        </w:r>
      </w:hyperlink>
    </w:p>
    <w:p w:rsidR="000623C6" w:rsidRPr="009A58D3" w:rsidRDefault="005D6FC2">
      <w:pPr>
        <w:pStyle w:val="TOC3"/>
        <w:rPr>
          <w:rFonts w:eastAsiaTheme="minorEastAsia"/>
          <w:noProof/>
          <w:szCs w:val="24"/>
        </w:rPr>
      </w:pPr>
      <w:hyperlink w:anchor="_Toc433370057" w:history="1">
        <w:r w:rsidR="000623C6" w:rsidRPr="009A58D3">
          <w:rPr>
            <w:rStyle w:val="Hyperlink"/>
            <w:noProof/>
            <w:szCs w:val="24"/>
          </w:rPr>
          <w:t>Conceptual Approach to AF Development</w:t>
        </w:r>
        <w:r w:rsidR="000623C6" w:rsidRPr="009A58D3">
          <w:rPr>
            <w:noProof/>
            <w:webHidden/>
            <w:szCs w:val="24"/>
          </w:rPr>
          <w:tab/>
        </w:r>
        <w:r w:rsidR="000623C6" w:rsidRPr="009A58D3">
          <w:rPr>
            <w:noProof/>
            <w:webHidden/>
            <w:szCs w:val="24"/>
          </w:rPr>
          <w:fldChar w:fldCharType="begin"/>
        </w:r>
        <w:r w:rsidR="000623C6" w:rsidRPr="009A58D3">
          <w:rPr>
            <w:noProof/>
            <w:webHidden/>
            <w:szCs w:val="24"/>
          </w:rPr>
          <w:instrText xml:space="preserve"> PAGEREF _Toc433370057 \h </w:instrText>
        </w:r>
        <w:r w:rsidR="000623C6" w:rsidRPr="009A58D3">
          <w:rPr>
            <w:noProof/>
            <w:webHidden/>
            <w:szCs w:val="24"/>
          </w:rPr>
        </w:r>
        <w:r w:rsidR="000623C6" w:rsidRPr="009A58D3">
          <w:rPr>
            <w:noProof/>
            <w:webHidden/>
            <w:szCs w:val="24"/>
          </w:rPr>
          <w:fldChar w:fldCharType="separate"/>
        </w:r>
        <w:r w:rsidR="000623C6" w:rsidRPr="009A58D3">
          <w:rPr>
            <w:noProof/>
            <w:webHidden/>
            <w:szCs w:val="24"/>
          </w:rPr>
          <w:t>4</w:t>
        </w:r>
        <w:r w:rsidR="000623C6" w:rsidRPr="009A58D3">
          <w:rPr>
            <w:noProof/>
            <w:webHidden/>
            <w:szCs w:val="24"/>
          </w:rPr>
          <w:fldChar w:fldCharType="end"/>
        </w:r>
      </w:hyperlink>
    </w:p>
    <w:p w:rsidR="000623C6" w:rsidRPr="009A58D3" w:rsidRDefault="005D6FC2">
      <w:pPr>
        <w:pStyle w:val="TOC3"/>
        <w:rPr>
          <w:rFonts w:eastAsiaTheme="minorEastAsia"/>
          <w:noProof/>
          <w:szCs w:val="24"/>
        </w:rPr>
      </w:pPr>
      <w:hyperlink w:anchor="_Toc433370058" w:history="1">
        <w:r w:rsidR="000623C6" w:rsidRPr="009A58D3">
          <w:rPr>
            <w:rStyle w:val="Hyperlink"/>
            <w:noProof/>
            <w:szCs w:val="24"/>
          </w:rPr>
          <w:t>Desirable Attributes of an AF</w:t>
        </w:r>
        <w:r w:rsidR="000623C6" w:rsidRPr="009A58D3">
          <w:rPr>
            <w:noProof/>
            <w:webHidden/>
            <w:szCs w:val="24"/>
          </w:rPr>
          <w:tab/>
        </w:r>
        <w:r w:rsidR="000623C6" w:rsidRPr="009A58D3">
          <w:rPr>
            <w:noProof/>
            <w:webHidden/>
            <w:szCs w:val="24"/>
          </w:rPr>
          <w:fldChar w:fldCharType="begin"/>
        </w:r>
        <w:r w:rsidR="000623C6" w:rsidRPr="009A58D3">
          <w:rPr>
            <w:noProof/>
            <w:webHidden/>
            <w:szCs w:val="24"/>
          </w:rPr>
          <w:instrText xml:space="preserve"> PAGEREF _Toc433370058 \h </w:instrText>
        </w:r>
        <w:r w:rsidR="000623C6" w:rsidRPr="009A58D3">
          <w:rPr>
            <w:noProof/>
            <w:webHidden/>
            <w:szCs w:val="24"/>
          </w:rPr>
        </w:r>
        <w:r w:rsidR="000623C6" w:rsidRPr="009A58D3">
          <w:rPr>
            <w:noProof/>
            <w:webHidden/>
            <w:szCs w:val="24"/>
          </w:rPr>
          <w:fldChar w:fldCharType="separate"/>
        </w:r>
        <w:r w:rsidR="000623C6" w:rsidRPr="009A58D3">
          <w:rPr>
            <w:noProof/>
            <w:webHidden/>
            <w:szCs w:val="24"/>
          </w:rPr>
          <w:t>5</w:t>
        </w:r>
        <w:r w:rsidR="000623C6" w:rsidRPr="009A58D3">
          <w:rPr>
            <w:noProof/>
            <w:webHidden/>
            <w:szCs w:val="24"/>
          </w:rPr>
          <w:fldChar w:fldCharType="end"/>
        </w:r>
      </w:hyperlink>
    </w:p>
    <w:p w:rsidR="000623C6" w:rsidRPr="009A58D3" w:rsidRDefault="005D6FC2">
      <w:pPr>
        <w:pStyle w:val="TOC3"/>
        <w:rPr>
          <w:rFonts w:eastAsiaTheme="minorEastAsia"/>
          <w:noProof/>
          <w:szCs w:val="24"/>
        </w:rPr>
      </w:pPr>
      <w:hyperlink w:anchor="_Toc433370059" w:history="1">
        <w:r w:rsidR="000623C6" w:rsidRPr="009A58D3">
          <w:rPr>
            <w:rStyle w:val="Hyperlink"/>
            <w:noProof/>
            <w:szCs w:val="24"/>
          </w:rPr>
          <w:t>Methodology Used to Develop AF</w:t>
        </w:r>
        <w:r w:rsidR="000623C6" w:rsidRPr="009A58D3">
          <w:rPr>
            <w:noProof/>
            <w:webHidden/>
            <w:szCs w:val="24"/>
          </w:rPr>
          <w:tab/>
        </w:r>
        <w:r w:rsidR="000623C6" w:rsidRPr="009A58D3">
          <w:rPr>
            <w:noProof/>
            <w:webHidden/>
            <w:szCs w:val="24"/>
          </w:rPr>
          <w:fldChar w:fldCharType="begin"/>
        </w:r>
        <w:r w:rsidR="000623C6" w:rsidRPr="009A58D3">
          <w:rPr>
            <w:noProof/>
            <w:webHidden/>
            <w:szCs w:val="24"/>
          </w:rPr>
          <w:instrText xml:space="preserve"> PAGEREF _Toc433370059 \h </w:instrText>
        </w:r>
        <w:r w:rsidR="000623C6" w:rsidRPr="009A58D3">
          <w:rPr>
            <w:noProof/>
            <w:webHidden/>
            <w:szCs w:val="24"/>
          </w:rPr>
        </w:r>
        <w:r w:rsidR="000623C6" w:rsidRPr="009A58D3">
          <w:rPr>
            <w:noProof/>
            <w:webHidden/>
            <w:szCs w:val="24"/>
          </w:rPr>
          <w:fldChar w:fldCharType="separate"/>
        </w:r>
        <w:r w:rsidR="000623C6" w:rsidRPr="009A58D3">
          <w:rPr>
            <w:noProof/>
            <w:webHidden/>
            <w:szCs w:val="24"/>
          </w:rPr>
          <w:t>6</w:t>
        </w:r>
        <w:r w:rsidR="000623C6" w:rsidRPr="009A58D3">
          <w:rPr>
            <w:noProof/>
            <w:webHidden/>
            <w:szCs w:val="24"/>
          </w:rPr>
          <w:fldChar w:fldCharType="end"/>
        </w:r>
      </w:hyperlink>
    </w:p>
    <w:p w:rsidR="000623C6" w:rsidRPr="009A58D3" w:rsidRDefault="005D6FC2">
      <w:pPr>
        <w:pStyle w:val="TOC2"/>
        <w:tabs>
          <w:tab w:val="left" w:pos="1100"/>
        </w:tabs>
        <w:rPr>
          <w:rFonts w:ascii="Times New Roman" w:eastAsiaTheme="minorEastAsia" w:hAnsi="Times New Roman"/>
          <w:b w:val="0"/>
          <w:caps w:val="0"/>
          <w:smallCaps w:val="0"/>
          <w:szCs w:val="24"/>
        </w:rPr>
      </w:pPr>
      <w:hyperlink w:anchor="_Toc433370060" w:history="1">
        <w:r w:rsidR="000623C6" w:rsidRPr="009A58D3">
          <w:rPr>
            <w:rStyle w:val="Hyperlink"/>
            <w:rFonts w:ascii="Times New Roman" w:hAnsi="Times New Roman"/>
            <w:szCs w:val="24"/>
          </w:rPr>
          <w:t>2.4</w:t>
        </w:r>
        <w:r w:rsidR="000623C6" w:rsidRPr="009A58D3">
          <w:rPr>
            <w:rFonts w:ascii="Times New Roman" w:eastAsiaTheme="minorEastAsia" w:hAnsi="Times New Roman"/>
            <w:b w:val="0"/>
            <w:caps w:val="0"/>
            <w:smallCaps w:val="0"/>
            <w:szCs w:val="24"/>
          </w:rPr>
          <w:tab/>
        </w:r>
        <w:r w:rsidR="000623C6" w:rsidRPr="009A58D3">
          <w:rPr>
            <w:rStyle w:val="Hyperlink"/>
            <w:rFonts w:ascii="Times New Roman" w:hAnsi="Times New Roman"/>
            <w:szCs w:val="24"/>
          </w:rPr>
          <w:t>Review of Existing Frameworks to Assess the Effects of Nutrient Over-Enrichment on Estuaries</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_Toc433370060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7</w:t>
        </w:r>
        <w:r w:rsidR="000623C6" w:rsidRPr="009A58D3">
          <w:rPr>
            <w:rFonts w:ascii="Times New Roman" w:hAnsi="Times New Roman"/>
            <w:webHidden/>
            <w:szCs w:val="24"/>
          </w:rPr>
          <w:fldChar w:fldCharType="end"/>
        </w:r>
      </w:hyperlink>
    </w:p>
    <w:p w:rsidR="000623C6" w:rsidRPr="009A58D3" w:rsidRDefault="005D6FC2">
      <w:pPr>
        <w:pStyle w:val="TOC1"/>
        <w:rPr>
          <w:rFonts w:ascii="Times New Roman" w:eastAsiaTheme="minorEastAsia" w:hAnsi="Times New Roman"/>
          <w:b w:val="0"/>
          <w:smallCaps w:val="0"/>
          <w:szCs w:val="24"/>
        </w:rPr>
      </w:pPr>
      <w:hyperlink w:anchor="_Toc433370061" w:history="1">
        <w:r w:rsidR="000623C6" w:rsidRPr="009A58D3">
          <w:rPr>
            <w:rStyle w:val="Hyperlink"/>
            <w:rFonts w:ascii="Times New Roman" w:hAnsi="Times New Roman"/>
            <w:szCs w:val="24"/>
          </w:rPr>
          <w:t>3</w:t>
        </w:r>
        <w:r w:rsidR="000623C6" w:rsidRPr="009A58D3">
          <w:rPr>
            <w:rFonts w:ascii="Times New Roman" w:eastAsiaTheme="minorEastAsia" w:hAnsi="Times New Roman"/>
            <w:b w:val="0"/>
            <w:smallCaps w:val="0"/>
            <w:szCs w:val="24"/>
          </w:rPr>
          <w:tab/>
        </w:r>
        <w:r w:rsidR="000623C6" w:rsidRPr="009A58D3">
          <w:rPr>
            <w:rStyle w:val="Hyperlink"/>
            <w:rFonts w:ascii="Times New Roman" w:hAnsi="Times New Roman"/>
            <w:szCs w:val="24"/>
          </w:rPr>
          <w:t>Framework to Assess The Effects of Nutrients on San Francisco Bay Beneficial Uses</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_Toc433370061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11</w:t>
        </w:r>
        <w:r w:rsidR="000623C6" w:rsidRPr="009A58D3">
          <w:rPr>
            <w:rFonts w:ascii="Times New Roman" w:hAnsi="Times New Roman"/>
            <w:webHidden/>
            <w:szCs w:val="24"/>
          </w:rPr>
          <w:fldChar w:fldCharType="end"/>
        </w:r>
      </w:hyperlink>
    </w:p>
    <w:p w:rsidR="000623C6" w:rsidRPr="009A58D3" w:rsidRDefault="005D6FC2">
      <w:pPr>
        <w:pStyle w:val="TOC2"/>
        <w:tabs>
          <w:tab w:val="left" w:pos="1100"/>
        </w:tabs>
        <w:rPr>
          <w:rFonts w:ascii="Times New Roman" w:eastAsiaTheme="minorEastAsia" w:hAnsi="Times New Roman"/>
          <w:b w:val="0"/>
          <w:caps w:val="0"/>
          <w:smallCaps w:val="0"/>
          <w:szCs w:val="24"/>
        </w:rPr>
      </w:pPr>
      <w:hyperlink w:anchor="_Toc433370062" w:history="1">
        <w:r w:rsidR="000623C6" w:rsidRPr="009A58D3">
          <w:rPr>
            <w:rStyle w:val="Hyperlink"/>
            <w:rFonts w:ascii="Times New Roman" w:hAnsi="Times New Roman"/>
            <w:szCs w:val="24"/>
          </w:rPr>
          <w:t>3.1</w:t>
        </w:r>
        <w:r w:rsidR="000623C6" w:rsidRPr="009A58D3">
          <w:rPr>
            <w:rFonts w:ascii="Times New Roman" w:eastAsiaTheme="minorEastAsia" w:hAnsi="Times New Roman"/>
            <w:b w:val="0"/>
            <w:caps w:val="0"/>
            <w:smallCaps w:val="0"/>
            <w:szCs w:val="24"/>
          </w:rPr>
          <w:tab/>
        </w:r>
        <w:r w:rsidR="000623C6" w:rsidRPr="009A58D3">
          <w:rPr>
            <w:rStyle w:val="Hyperlink"/>
            <w:rFonts w:ascii="Times New Roman" w:hAnsi="Times New Roman"/>
            <w:szCs w:val="24"/>
          </w:rPr>
          <w:t>AF Core Principles</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_Toc433370062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11</w:t>
        </w:r>
        <w:r w:rsidR="000623C6" w:rsidRPr="009A58D3">
          <w:rPr>
            <w:rFonts w:ascii="Times New Roman" w:hAnsi="Times New Roman"/>
            <w:webHidden/>
            <w:szCs w:val="24"/>
          </w:rPr>
          <w:fldChar w:fldCharType="end"/>
        </w:r>
      </w:hyperlink>
    </w:p>
    <w:p w:rsidR="000623C6" w:rsidRPr="009A58D3" w:rsidRDefault="005D6FC2">
      <w:pPr>
        <w:pStyle w:val="TOC3"/>
        <w:rPr>
          <w:rFonts w:eastAsiaTheme="minorEastAsia"/>
          <w:noProof/>
          <w:szCs w:val="24"/>
        </w:rPr>
      </w:pPr>
      <w:hyperlink w:anchor="_Toc433370063" w:history="1">
        <w:r w:rsidR="000623C6" w:rsidRPr="009A58D3">
          <w:rPr>
            <w:rStyle w:val="Hyperlink"/>
            <w:noProof/>
            <w:szCs w:val="24"/>
          </w:rPr>
          <w:t>Geographic Scope and Focal Habitats</w:t>
        </w:r>
        <w:r w:rsidR="000623C6" w:rsidRPr="009A58D3">
          <w:rPr>
            <w:noProof/>
            <w:webHidden/>
            <w:szCs w:val="24"/>
          </w:rPr>
          <w:tab/>
        </w:r>
        <w:r w:rsidR="000623C6" w:rsidRPr="009A58D3">
          <w:rPr>
            <w:noProof/>
            <w:webHidden/>
            <w:szCs w:val="24"/>
          </w:rPr>
          <w:fldChar w:fldCharType="begin"/>
        </w:r>
        <w:r w:rsidR="000623C6" w:rsidRPr="009A58D3">
          <w:rPr>
            <w:noProof/>
            <w:webHidden/>
            <w:szCs w:val="24"/>
          </w:rPr>
          <w:instrText xml:space="preserve"> PAGEREF _Toc433370063 \h </w:instrText>
        </w:r>
        <w:r w:rsidR="000623C6" w:rsidRPr="009A58D3">
          <w:rPr>
            <w:noProof/>
            <w:webHidden/>
            <w:szCs w:val="24"/>
          </w:rPr>
        </w:r>
        <w:r w:rsidR="000623C6" w:rsidRPr="009A58D3">
          <w:rPr>
            <w:noProof/>
            <w:webHidden/>
            <w:szCs w:val="24"/>
          </w:rPr>
          <w:fldChar w:fldCharType="separate"/>
        </w:r>
        <w:r w:rsidR="000623C6" w:rsidRPr="009A58D3">
          <w:rPr>
            <w:noProof/>
            <w:webHidden/>
            <w:szCs w:val="24"/>
          </w:rPr>
          <w:t>11</w:t>
        </w:r>
        <w:r w:rsidR="000623C6" w:rsidRPr="009A58D3">
          <w:rPr>
            <w:noProof/>
            <w:webHidden/>
            <w:szCs w:val="24"/>
          </w:rPr>
          <w:fldChar w:fldCharType="end"/>
        </w:r>
      </w:hyperlink>
    </w:p>
    <w:p w:rsidR="000623C6" w:rsidRPr="009A58D3" w:rsidRDefault="005D6FC2">
      <w:pPr>
        <w:pStyle w:val="TOC3"/>
        <w:rPr>
          <w:rFonts w:eastAsiaTheme="minorEastAsia"/>
          <w:noProof/>
          <w:szCs w:val="24"/>
        </w:rPr>
      </w:pPr>
      <w:hyperlink w:anchor="_Toc433370064" w:history="1">
        <w:r w:rsidR="000623C6" w:rsidRPr="009A58D3">
          <w:rPr>
            <w:rStyle w:val="Hyperlink"/>
            <w:noProof/>
            <w:szCs w:val="24"/>
          </w:rPr>
          <w:t>Segmentation</w:t>
        </w:r>
        <w:r w:rsidR="000623C6" w:rsidRPr="009A58D3">
          <w:rPr>
            <w:noProof/>
            <w:webHidden/>
            <w:szCs w:val="24"/>
          </w:rPr>
          <w:tab/>
        </w:r>
        <w:r w:rsidR="000623C6" w:rsidRPr="009A58D3">
          <w:rPr>
            <w:noProof/>
            <w:webHidden/>
            <w:szCs w:val="24"/>
          </w:rPr>
          <w:fldChar w:fldCharType="begin"/>
        </w:r>
        <w:r w:rsidR="000623C6" w:rsidRPr="009A58D3">
          <w:rPr>
            <w:noProof/>
            <w:webHidden/>
            <w:szCs w:val="24"/>
          </w:rPr>
          <w:instrText xml:space="preserve"> PAGEREF _Toc433370064 \h </w:instrText>
        </w:r>
        <w:r w:rsidR="000623C6" w:rsidRPr="009A58D3">
          <w:rPr>
            <w:noProof/>
            <w:webHidden/>
            <w:szCs w:val="24"/>
          </w:rPr>
        </w:r>
        <w:r w:rsidR="000623C6" w:rsidRPr="009A58D3">
          <w:rPr>
            <w:noProof/>
            <w:webHidden/>
            <w:szCs w:val="24"/>
          </w:rPr>
          <w:fldChar w:fldCharType="separate"/>
        </w:r>
        <w:r w:rsidR="000623C6" w:rsidRPr="009A58D3">
          <w:rPr>
            <w:noProof/>
            <w:webHidden/>
            <w:szCs w:val="24"/>
          </w:rPr>
          <w:t>11</w:t>
        </w:r>
        <w:r w:rsidR="000623C6" w:rsidRPr="009A58D3">
          <w:rPr>
            <w:noProof/>
            <w:webHidden/>
            <w:szCs w:val="24"/>
          </w:rPr>
          <w:fldChar w:fldCharType="end"/>
        </w:r>
      </w:hyperlink>
    </w:p>
    <w:p w:rsidR="000623C6" w:rsidRPr="009A58D3" w:rsidRDefault="005D6FC2">
      <w:pPr>
        <w:pStyle w:val="TOC3"/>
        <w:rPr>
          <w:rFonts w:eastAsiaTheme="minorEastAsia"/>
          <w:noProof/>
          <w:szCs w:val="24"/>
        </w:rPr>
      </w:pPr>
      <w:hyperlink w:anchor="_Toc433370065" w:history="1">
        <w:r w:rsidR="000623C6" w:rsidRPr="009A58D3">
          <w:rPr>
            <w:rStyle w:val="Hyperlink"/>
            <w:noProof/>
            <w:szCs w:val="24"/>
          </w:rPr>
          <w:t>Key Indicators and Linkage to SFB Beneficial Uses</w:t>
        </w:r>
        <w:r w:rsidR="000623C6" w:rsidRPr="009A58D3">
          <w:rPr>
            <w:noProof/>
            <w:webHidden/>
            <w:szCs w:val="24"/>
          </w:rPr>
          <w:tab/>
        </w:r>
        <w:r w:rsidR="000623C6" w:rsidRPr="009A58D3">
          <w:rPr>
            <w:noProof/>
            <w:webHidden/>
            <w:szCs w:val="24"/>
          </w:rPr>
          <w:fldChar w:fldCharType="begin"/>
        </w:r>
        <w:r w:rsidR="000623C6" w:rsidRPr="009A58D3">
          <w:rPr>
            <w:noProof/>
            <w:webHidden/>
            <w:szCs w:val="24"/>
          </w:rPr>
          <w:instrText xml:space="preserve"> PAGEREF _Toc433370065 \h </w:instrText>
        </w:r>
        <w:r w:rsidR="000623C6" w:rsidRPr="009A58D3">
          <w:rPr>
            <w:noProof/>
            <w:webHidden/>
            <w:szCs w:val="24"/>
          </w:rPr>
        </w:r>
        <w:r w:rsidR="000623C6" w:rsidRPr="009A58D3">
          <w:rPr>
            <w:noProof/>
            <w:webHidden/>
            <w:szCs w:val="24"/>
          </w:rPr>
          <w:fldChar w:fldCharType="separate"/>
        </w:r>
        <w:r w:rsidR="000623C6" w:rsidRPr="009A58D3">
          <w:rPr>
            <w:noProof/>
            <w:webHidden/>
            <w:szCs w:val="24"/>
          </w:rPr>
          <w:t>13</w:t>
        </w:r>
        <w:r w:rsidR="000623C6" w:rsidRPr="009A58D3">
          <w:rPr>
            <w:noProof/>
            <w:webHidden/>
            <w:szCs w:val="24"/>
          </w:rPr>
          <w:fldChar w:fldCharType="end"/>
        </w:r>
      </w:hyperlink>
    </w:p>
    <w:p w:rsidR="000623C6" w:rsidRPr="009A58D3" w:rsidRDefault="005D6FC2">
      <w:pPr>
        <w:pStyle w:val="TOC2"/>
        <w:tabs>
          <w:tab w:val="left" w:pos="1100"/>
        </w:tabs>
        <w:rPr>
          <w:rFonts w:ascii="Times New Roman" w:eastAsiaTheme="minorEastAsia" w:hAnsi="Times New Roman"/>
          <w:b w:val="0"/>
          <w:caps w:val="0"/>
          <w:smallCaps w:val="0"/>
          <w:szCs w:val="24"/>
        </w:rPr>
      </w:pPr>
      <w:hyperlink w:anchor="_Toc433370066" w:history="1">
        <w:r w:rsidR="000623C6" w:rsidRPr="009A58D3">
          <w:rPr>
            <w:rStyle w:val="Hyperlink"/>
            <w:rFonts w:ascii="Times New Roman" w:hAnsi="Times New Roman"/>
            <w:szCs w:val="24"/>
          </w:rPr>
          <w:t>3.2</w:t>
        </w:r>
        <w:r w:rsidR="000623C6" w:rsidRPr="009A58D3">
          <w:rPr>
            <w:rFonts w:ascii="Times New Roman" w:eastAsiaTheme="minorEastAsia" w:hAnsi="Times New Roman"/>
            <w:b w:val="0"/>
            <w:caps w:val="0"/>
            <w:smallCaps w:val="0"/>
            <w:szCs w:val="24"/>
          </w:rPr>
          <w:tab/>
        </w:r>
        <w:r w:rsidR="000623C6" w:rsidRPr="009A58D3">
          <w:rPr>
            <w:rStyle w:val="Hyperlink"/>
            <w:rFonts w:ascii="Times New Roman" w:hAnsi="Times New Roman"/>
            <w:szCs w:val="24"/>
          </w:rPr>
          <w:t>Protocols, Temporal and Spatial Frequency Recommended for Measurement of Key Indicators</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_Toc433370066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21</w:t>
        </w:r>
        <w:r w:rsidR="000623C6" w:rsidRPr="009A58D3">
          <w:rPr>
            <w:rFonts w:ascii="Times New Roman" w:hAnsi="Times New Roman"/>
            <w:webHidden/>
            <w:szCs w:val="24"/>
          </w:rPr>
          <w:fldChar w:fldCharType="end"/>
        </w:r>
      </w:hyperlink>
    </w:p>
    <w:p w:rsidR="000623C6" w:rsidRPr="009A58D3" w:rsidRDefault="005D6FC2">
      <w:pPr>
        <w:pStyle w:val="TOC3"/>
        <w:rPr>
          <w:rFonts w:eastAsiaTheme="minorEastAsia"/>
          <w:noProof/>
          <w:szCs w:val="24"/>
        </w:rPr>
      </w:pPr>
      <w:hyperlink w:anchor="_Toc433370067" w:history="1">
        <w:r w:rsidR="000623C6" w:rsidRPr="009A58D3">
          <w:rPr>
            <w:rStyle w:val="Hyperlink"/>
            <w:noProof/>
            <w:szCs w:val="24"/>
          </w:rPr>
          <w:t>Temporal Scales of Interest and Recommended Frequency</w:t>
        </w:r>
        <w:r w:rsidR="000623C6" w:rsidRPr="009A58D3">
          <w:rPr>
            <w:noProof/>
            <w:webHidden/>
            <w:szCs w:val="24"/>
          </w:rPr>
          <w:tab/>
        </w:r>
        <w:r w:rsidR="000623C6" w:rsidRPr="009A58D3">
          <w:rPr>
            <w:noProof/>
            <w:webHidden/>
            <w:szCs w:val="24"/>
          </w:rPr>
          <w:fldChar w:fldCharType="begin"/>
        </w:r>
        <w:r w:rsidR="000623C6" w:rsidRPr="009A58D3">
          <w:rPr>
            <w:noProof/>
            <w:webHidden/>
            <w:szCs w:val="24"/>
          </w:rPr>
          <w:instrText xml:space="preserve"> PAGEREF _Toc433370067 \h </w:instrText>
        </w:r>
        <w:r w:rsidR="000623C6" w:rsidRPr="009A58D3">
          <w:rPr>
            <w:noProof/>
            <w:webHidden/>
            <w:szCs w:val="24"/>
          </w:rPr>
        </w:r>
        <w:r w:rsidR="000623C6" w:rsidRPr="009A58D3">
          <w:rPr>
            <w:noProof/>
            <w:webHidden/>
            <w:szCs w:val="24"/>
          </w:rPr>
          <w:fldChar w:fldCharType="separate"/>
        </w:r>
        <w:r w:rsidR="000623C6" w:rsidRPr="009A58D3">
          <w:rPr>
            <w:noProof/>
            <w:webHidden/>
            <w:szCs w:val="24"/>
          </w:rPr>
          <w:t>22</w:t>
        </w:r>
        <w:r w:rsidR="000623C6" w:rsidRPr="009A58D3">
          <w:rPr>
            <w:noProof/>
            <w:webHidden/>
            <w:szCs w:val="24"/>
          </w:rPr>
          <w:fldChar w:fldCharType="end"/>
        </w:r>
      </w:hyperlink>
    </w:p>
    <w:p w:rsidR="000623C6" w:rsidRPr="009A58D3" w:rsidRDefault="005D6FC2">
      <w:pPr>
        <w:pStyle w:val="TOC3"/>
        <w:rPr>
          <w:rFonts w:eastAsiaTheme="minorEastAsia"/>
          <w:noProof/>
          <w:szCs w:val="24"/>
        </w:rPr>
      </w:pPr>
      <w:hyperlink w:anchor="_Toc433370068" w:history="1">
        <w:r w:rsidR="000623C6" w:rsidRPr="009A58D3">
          <w:rPr>
            <w:rStyle w:val="Hyperlink"/>
            <w:noProof/>
            <w:szCs w:val="24"/>
          </w:rPr>
          <w:t>Spatial Elements and Minimum Recommended Density</w:t>
        </w:r>
        <w:r w:rsidR="000623C6" w:rsidRPr="009A58D3">
          <w:rPr>
            <w:noProof/>
            <w:webHidden/>
            <w:szCs w:val="24"/>
          </w:rPr>
          <w:tab/>
        </w:r>
        <w:r w:rsidR="000623C6" w:rsidRPr="009A58D3">
          <w:rPr>
            <w:noProof/>
            <w:webHidden/>
            <w:szCs w:val="24"/>
          </w:rPr>
          <w:fldChar w:fldCharType="begin"/>
        </w:r>
        <w:r w:rsidR="000623C6" w:rsidRPr="009A58D3">
          <w:rPr>
            <w:noProof/>
            <w:webHidden/>
            <w:szCs w:val="24"/>
          </w:rPr>
          <w:instrText xml:space="preserve"> PAGEREF _Toc433370068 \h </w:instrText>
        </w:r>
        <w:r w:rsidR="000623C6" w:rsidRPr="009A58D3">
          <w:rPr>
            <w:noProof/>
            <w:webHidden/>
            <w:szCs w:val="24"/>
          </w:rPr>
        </w:r>
        <w:r w:rsidR="000623C6" w:rsidRPr="009A58D3">
          <w:rPr>
            <w:noProof/>
            <w:webHidden/>
            <w:szCs w:val="24"/>
          </w:rPr>
          <w:fldChar w:fldCharType="separate"/>
        </w:r>
        <w:r w:rsidR="000623C6" w:rsidRPr="009A58D3">
          <w:rPr>
            <w:noProof/>
            <w:webHidden/>
            <w:szCs w:val="24"/>
          </w:rPr>
          <w:t>23</w:t>
        </w:r>
        <w:r w:rsidR="000623C6" w:rsidRPr="009A58D3">
          <w:rPr>
            <w:noProof/>
            <w:webHidden/>
            <w:szCs w:val="24"/>
          </w:rPr>
          <w:fldChar w:fldCharType="end"/>
        </w:r>
      </w:hyperlink>
    </w:p>
    <w:p w:rsidR="000623C6" w:rsidRPr="009A58D3" w:rsidRDefault="005D6FC2">
      <w:pPr>
        <w:pStyle w:val="TOC2"/>
        <w:tabs>
          <w:tab w:val="left" w:pos="1100"/>
        </w:tabs>
        <w:rPr>
          <w:rFonts w:ascii="Times New Roman" w:eastAsiaTheme="minorEastAsia" w:hAnsi="Times New Roman"/>
          <w:b w:val="0"/>
          <w:caps w:val="0"/>
          <w:smallCaps w:val="0"/>
          <w:szCs w:val="24"/>
        </w:rPr>
      </w:pPr>
      <w:hyperlink w:anchor="_Toc433370069" w:history="1">
        <w:r w:rsidR="000623C6" w:rsidRPr="009A58D3">
          <w:rPr>
            <w:rStyle w:val="Hyperlink"/>
            <w:rFonts w:ascii="Times New Roman" w:hAnsi="Times New Roman"/>
            <w:szCs w:val="24"/>
          </w:rPr>
          <w:t>3.3</w:t>
        </w:r>
        <w:r w:rsidR="000623C6" w:rsidRPr="009A58D3">
          <w:rPr>
            <w:rFonts w:ascii="Times New Roman" w:eastAsiaTheme="minorEastAsia" w:hAnsi="Times New Roman"/>
            <w:b w:val="0"/>
            <w:caps w:val="0"/>
            <w:smallCaps w:val="0"/>
            <w:szCs w:val="24"/>
          </w:rPr>
          <w:tab/>
        </w:r>
        <w:r w:rsidR="000623C6" w:rsidRPr="009A58D3">
          <w:rPr>
            <w:rStyle w:val="Hyperlink"/>
            <w:rFonts w:ascii="Times New Roman" w:hAnsi="Times New Roman"/>
            <w:szCs w:val="24"/>
          </w:rPr>
          <w:t>Proposed AF Classification Tables, Justification, and Sources of Uncertainty</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_Toc433370069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24</w:t>
        </w:r>
        <w:r w:rsidR="000623C6" w:rsidRPr="009A58D3">
          <w:rPr>
            <w:rFonts w:ascii="Times New Roman" w:hAnsi="Times New Roman"/>
            <w:webHidden/>
            <w:szCs w:val="24"/>
          </w:rPr>
          <w:fldChar w:fldCharType="end"/>
        </w:r>
      </w:hyperlink>
    </w:p>
    <w:p w:rsidR="000623C6" w:rsidRPr="009A58D3" w:rsidRDefault="005D6FC2">
      <w:pPr>
        <w:pStyle w:val="TOC3"/>
        <w:rPr>
          <w:rFonts w:eastAsiaTheme="minorEastAsia"/>
          <w:noProof/>
          <w:szCs w:val="24"/>
        </w:rPr>
      </w:pPr>
      <w:hyperlink w:anchor="_Toc433370070" w:history="1">
        <w:r w:rsidR="000623C6" w:rsidRPr="009A58D3">
          <w:rPr>
            <w:rStyle w:val="Hyperlink"/>
            <w:noProof/>
            <w:szCs w:val="24"/>
          </w:rPr>
          <w:t>Phytoplankton Biomass (Chlorophyll-a)</w:t>
        </w:r>
        <w:r w:rsidR="000623C6" w:rsidRPr="009A58D3">
          <w:rPr>
            <w:noProof/>
            <w:webHidden/>
            <w:szCs w:val="24"/>
          </w:rPr>
          <w:tab/>
        </w:r>
        <w:r w:rsidR="000623C6" w:rsidRPr="009A58D3">
          <w:rPr>
            <w:noProof/>
            <w:webHidden/>
            <w:szCs w:val="24"/>
          </w:rPr>
          <w:fldChar w:fldCharType="begin"/>
        </w:r>
        <w:r w:rsidR="000623C6" w:rsidRPr="009A58D3">
          <w:rPr>
            <w:noProof/>
            <w:webHidden/>
            <w:szCs w:val="24"/>
          </w:rPr>
          <w:instrText xml:space="preserve"> PAGEREF _Toc433370070 \h </w:instrText>
        </w:r>
        <w:r w:rsidR="000623C6" w:rsidRPr="009A58D3">
          <w:rPr>
            <w:noProof/>
            <w:webHidden/>
            <w:szCs w:val="24"/>
          </w:rPr>
        </w:r>
        <w:r w:rsidR="000623C6" w:rsidRPr="009A58D3">
          <w:rPr>
            <w:noProof/>
            <w:webHidden/>
            <w:szCs w:val="24"/>
          </w:rPr>
          <w:fldChar w:fldCharType="separate"/>
        </w:r>
        <w:r w:rsidR="000623C6" w:rsidRPr="009A58D3">
          <w:rPr>
            <w:noProof/>
            <w:webHidden/>
            <w:szCs w:val="24"/>
          </w:rPr>
          <w:t>25</w:t>
        </w:r>
        <w:r w:rsidR="000623C6" w:rsidRPr="009A58D3">
          <w:rPr>
            <w:noProof/>
            <w:webHidden/>
            <w:szCs w:val="24"/>
          </w:rPr>
          <w:fldChar w:fldCharType="end"/>
        </w:r>
      </w:hyperlink>
    </w:p>
    <w:p w:rsidR="000623C6" w:rsidRPr="009A58D3" w:rsidRDefault="005D6FC2">
      <w:pPr>
        <w:pStyle w:val="TOC3"/>
        <w:rPr>
          <w:rFonts w:eastAsiaTheme="minorEastAsia"/>
          <w:noProof/>
          <w:szCs w:val="24"/>
        </w:rPr>
      </w:pPr>
      <w:hyperlink w:anchor="_Toc433370071" w:history="1">
        <w:r w:rsidR="000623C6" w:rsidRPr="009A58D3">
          <w:rPr>
            <w:rStyle w:val="Hyperlink"/>
            <w:noProof/>
            <w:szCs w:val="24"/>
          </w:rPr>
          <w:t>Gross and Net Primary Production</w:t>
        </w:r>
        <w:r w:rsidR="000623C6" w:rsidRPr="009A58D3">
          <w:rPr>
            <w:noProof/>
            <w:webHidden/>
            <w:szCs w:val="24"/>
          </w:rPr>
          <w:tab/>
        </w:r>
        <w:r w:rsidR="000623C6" w:rsidRPr="009A58D3">
          <w:rPr>
            <w:noProof/>
            <w:webHidden/>
            <w:szCs w:val="24"/>
          </w:rPr>
          <w:fldChar w:fldCharType="begin"/>
        </w:r>
        <w:r w:rsidR="000623C6" w:rsidRPr="009A58D3">
          <w:rPr>
            <w:noProof/>
            <w:webHidden/>
            <w:szCs w:val="24"/>
          </w:rPr>
          <w:instrText xml:space="preserve"> PAGEREF _Toc433370071 \h </w:instrText>
        </w:r>
        <w:r w:rsidR="000623C6" w:rsidRPr="009A58D3">
          <w:rPr>
            <w:noProof/>
            <w:webHidden/>
            <w:szCs w:val="24"/>
          </w:rPr>
        </w:r>
        <w:r w:rsidR="000623C6" w:rsidRPr="009A58D3">
          <w:rPr>
            <w:noProof/>
            <w:webHidden/>
            <w:szCs w:val="24"/>
          </w:rPr>
          <w:fldChar w:fldCharType="separate"/>
        </w:r>
        <w:r w:rsidR="000623C6" w:rsidRPr="009A58D3">
          <w:rPr>
            <w:noProof/>
            <w:webHidden/>
            <w:szCs w:val="24"/>
          </w:rPr>
          <w:t>30</w:t>
        </w:r>
        <w:r w:rsidR="000623C6" w:rsidRPr="009A58D3">
          <w:rPr>
            <w:noProof/>
            <w:webHidden/>
            <w:szCs w:val="24"/>
          </w:rPr>
          <w:fldChar w:fldCharType="end"/>
        </w:r>
      </w:hyperlink>
    </w:p>
    <w:p w:rsidR="000623C6" w:rsidRPr="009A58D3" w:rsidRDefault="005D6FC2">
      <w:pPr>
        <w:pStyle w:val="TOC3"/>
        <w:rPr>
          <w:rFonts w:eastAsiaTheme="minorEastAsia"/>
          <w:noProof/>
          <w:szCs w:val="24"/>
        </w:rPr>
      </w:pPr>
      <w:hyperlink w:anchor="_Toc433370072" w:history="1">
        <w:r w:rsidR="000623C6" w:rsidRPr="009A58D3">
          <w:rPr>
            <w:rStyle w:val="Hyperlink"/>
            <w:noProof/>
            <w:szCs w:val="24"/>
          </w:rPr>
          <w:t>HAB Abundance and Toxins</w:t>
        </w:r>
        <w:r w:rsidR="000623C6" w:rsidRPr="009A58D3">
          <w:rPr>
            <w:noProof/>
            <w:webHidden/>
            <w:szCs w:val="24"/>
          </w:rPr>
          <w:tab/>
        </w:r>
        <w:r w:rsidR="000623C6" w:rsidRPr="009A58D3">
          <w:rPr>
            <w:noProof/>
            <w:webHidden/>
            <w:szCs w:val="24"/>
          </w:rPr>
          <w:fldChar w:fldCharType="begin"/>
        </w:r>
        <w:r w:rsidR="000623C6" w:rsidRPr="009A58D3">
          <w:rPr>
            <w:noProof/>
            <w:webHidden/>
            <w:szCs w:val="24"/>
          </w:rPr>
          <w:instrText xml:space="preserve"> PAGEREF _Toc433370072 \h </w:instrText>
        </w:r>
        <w:r w:rsidR="000623C6" w:rsidRPr="009A58D3">
          <w:rPr>
            <w:noProof/>
            <w:webHidden/>
            <w:szCs w:val="24"/>
          </w:rPr>
        </w:r>
        <w:r w:rsidR="000623C6" w:rsidRPr="009A58D3">
          <w:rPr>
            <w:noProof/>
            <w:webHidden/>
            <w:szCs w:val="24"/>
          </w:rPr>
          <w:fldChar w:fldCharType="separate"/>
        </w:r>
        <w:r w:rsidR="000623C6" w:rsidRPr="009A58D3">
          <w:rPr>
            <w:noProof/>
            <w:webHidden/>
            <w:szCs w:val="24"/>
          </w:rPr>
          <w:t>31</w:t>
        </w:r>
        <w:r w:rsidR="000623C6" w:rsidRPr="009A58D3">
          <w:rPr>
            <w:noProof/>
            <w:webHidden/>
            <w:szCs w:val="24"/>
          </w:rPr>
          <w:fldChar w:fldCharType="end"/>
        </w:r>
      </w:hyperlink>
    </w:p>
    <w:p w:rsidR="000623C6" w:rsidRPr="009A58D3" w:rsidRDefault="005D6FC2">
      <w:pPr>
        <w:pStyle w:val="TOC3"/>
        <w:rPr>
          <w:rFonts w:eastAsiaTheme="minorEastAsia"/>
          <w:noProof/>
          <w:szCs w:val="24"/>
        </w:rPr>
      </w:pPr>
      <w:hyperlink w:anchor="_Toc433370073" w:history="1">
        <w:r w:rsidR="000623C6" w:rsidRPr="009A58D3">
          <w:rPr>
            <w:rStyle w:val="Hyperlink"/>
            <w:noProof/>
            <w:szCs w:val="24"/>
          </w:rPr>
          <w:t>Dissolved oxygen</w:t>
        </w:r>
        <w:r w:rsidR="000623C6" w:rsidRPr="009A58D3">
          <w:rPr>
            <w:noProof/>
            <w:webHidden/>
            <w:szCs w:val="24"/>
          </w:rPr>
          <w:tab/>
        </w:r>
        <w:r w:rsidR="000623C6" w:rsidRPr="009A58D3">
          <w:rPr>
            <w:noProof/>
            <w:webHidden/>
            <w:szCs w:val="24"/>
          </w:rPr>
          <w:fldChar w:fldCharType="begin"/>
        </w:r>
        <w:r w:rsidR="000623C6" w:rsidRPr="009A58D3">
          <w:rPr>
            <w:noProof/>
            <w:webHidden/>
            <w:szCs w:val="24"/>
          </w:rPr>
          <w:instrText xml:space="preserve"> PAGEREF _Toc433370073 \h </w:instrText>
        </w:r>
        <w:r w:rsidR="000623C6" w:rsidRPr="009A58D3">
          <w:rPr>
            <w:noProof/>
            <w:webHidden/>
            <w:szCs w:val="24"/>
          </w:rPr>
        </w:r>
        <w:r w:rsidR="000623C6" w:rsidRPr="009A58D3">
          <w:rPr>
            <w:noProof/>
            <w:webHidden/>
            <w:szCs w:val="24"/>
          </w:rPr>
          <w:fldChar w:fldCharType="separate"/>
        </w:r>
        <w:r w:rsidR="000623C6" w:rsidRPr="009A58D3">
          <w:rPr>
            <w:noProof/>
            <w:webHidden/>
            <w:szCs w:val="24"/>
          </w:rPr>
          <w:t>37</w:t>
        </w:r>
        <w:r w:rsidR="000623C6" w:rsidRPr="009A58D3">
          <w:rPr>
            <w:noProof/>
            <w:webHidden/>
            <w:szCs w:val="24"/>
          </w:rPr>
          <w:fldChar w:fldCharType="end"/>
        </w:r>
      </w:hyperlink>
    </w:p>
    <w:p w:rsidR="000623C6" w:rsidRPr="009A58D3" w:rsidRDefault="005D6FC2">
      <w:pPr>
        <w:pStyle w:val="TOC2"/>
        <w:tabs>
          <w:tab w:val="left" w:pos="1100"/>
        </w:tabs>
        <w:rPr>
          <w:rFonts w:ascii="Times New Roman" w:eastAsiaTheme="minorEastAsia" w:hAnsi="Times New Roman"/>
          <w:b w:val="0"/>
          <w:caps w:val="0"/>
          <w:smallCaps w:val="0"/>
          <w:szCs w:val="24"/>
        </w:rPr>
      </w:pPr>
      <w:hyperlink w:anchor="_Toc433370074" w:history="1">
        <w:r w:rsidR="000623C6" w:rsidRPr="009A58D3">
          <w:rPr>
            <w:rStyle w:val="Hyperlink"/>
            <w:rFonts w:ascii="Times New Roman" w:hAnsi="Times New Roman"/>
            <w:szCs w:val="24"/>
          </w:rPr>
          <w:t>3.4</w:t>
        </w:r>
        <w:r w:rsidR="000623C6" w:rsidRPr="009A58D3">
          <w:rPr>
            <w:rFonts w:ascii="Times New Roman" w:eastAsiaTheme="minorEastAsia" w:hAnsi="Times New Roman"/>
            <w:b w:val="0"/>
            <w:caps w:val="0"/>
            <w:smallCaps w:val="0"/>
            <w:szCs w:val="24"/>
          </w:rPr>
          <w:tab/>
        </w:r>
        <w:r w:rsidR="000623C6" w:rsidRPr="009A58D3">
          <w:rPr>
            <w:rStyle w:val="Hyperlink"/>
            <w:rFonts w:ascii="Times New Roman" w:hAnsi="Times New Roman"/>
            <w:szCs w:val="24"/>
          </w:rPr>
          <w:t>AF Indicators as Multiple Lines of Evidence</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_Toc433370074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38</w:t>
        </w:r>
        <w:r w:rsidR="000623C6" w:rsidRPr="009A58D3">
          <w:rPr>
            <w:rFonts w:ascii="Times New Roman" w:hAnsi="Times New Roman"/>
            <w:webHidden/>
            <w:szCs w:val="24"/>
          </w:rPr>
          <w:fldChar w:fldCharType="end"/>
        </w:r>
      </w:hyperlink>
    </w:p>
    <w:p w:rsidR="000623C6" w:rsidRPr="009A58D3" w:rsidRDefault="005D6FC2">
      <w:pPr>
        <w:pStyle w:val="TOC1"/>
        <w:rPr>
          <w:rFonts w:ascii="Times New Roman" w:eastAsiaTheme="minorEastAsia" w:hAnsi="Times New Roman"/>
          <w:b w:val="0"/>
          <w:smallCaps w:val="0"/>
          <w:szCs w:val="24"/>
        </w:rPr>
      </w:pPr>
      <w:hyperlink w:anchor="_Toc433370075" w:history="1">
        <w:r w:rsidR="000623C6" w:rsidRPr="009A58D3">
          <w:rPr>
            <w:rStyle w:val="Hyperlink"/>
            <w:rFonts w:ascii="Times New Roman" w:hAnsi="Times New Roman"/>
            <w:szCs w:val="24"/>
          </w:rPr>
          <w:t>4</w:t>
        </w:r>
        <w:r w:rsidR="000623C6" w:rsidRPr="009A58D3">
          <w:rPr>
            <w:rFonts w:ascii="Times New Roman" w:eastAsiaTheme="minorEastAsia" w:hAnsi="Times New Roman"/>
            <w:b w:val="0"/>
            <w:smallCaps w:val="0"/>
            <w:szCs w:val="24"/>
          </w:rPr>
          <w:tab/>
        </w:r>
        <w:r w:rsidR="000623C6" w:rsidRPr="009A58D3">
          <w:rPr>
            <w:rStyle w:val="Hyperlink"/>
            <w:rFonts w:ascii="Times New Roman" w:hAnsi="Times New Roman"/>
            <w:szCs w:val="24"/>
          </w:rPr>
          <w:t>Summary of Findings, Vision for Near-term Use, and Recommendations for AF Refinement</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_Toc433370075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39</w:t>
        </w:r>
        <w:r w:rsidR="000623C6" w:rsidRPr="009A58D3">
          <w:rPr>
            <w:rFonts w:ascii="Times New Roman" w:hAnsi="Times New Roman"/>
            <w:webHidden/>
            <w:szCs w:val="24"/>
          </w:rPr>
          <w:fldChar w:fldCharType="end"/>
        </w:r>
      </w:hyperlink>
    </w:p>
    <w:p w:rsidR="000623C6" w:rsidRPr="009A58D3" w:rsidRDefault="005D6FC2">
      <w:pPr>
        <w:pStyle w:val="TOC2"/>
        <w:tabs>
          <w:tab w:val="left" w:pos="1100"/>
        </w:tabs>
        <w:rPr>
          <w:rFonts w:ascii="Times New Roman" w:eastAsiaTheme="minorEastAsia" w:hAnsi="Times New Roman"/>
          <w:b w:val="0"/>
          <w:caps w:val="0"/>
          <w:smallCaps w:val="0"/>
          <w:szCs w:val="24"/>
        </w:rPr>
      </w:pPr>
      <w:hyperlink w:anchor="_Toc433370076" w:history="1">
        <w:r w:rsidR="000623C6" w:rsidRPr="009A58D3">
          <w:rPr>
            <w:rStyle w:val="Hyperlink"/>
            <w:rFonts w:ascii="Times New Roman" w:hAnsi="Times New Roman"/>
            <w:szCs w:val="24"/>
          </w:rPr>
          <w:t>4.1</w:t>
        </w:r>
        <w:r w:rsidR="000623C6" w:rsidRPr="009A58D3">
          <w:rPr>
            <w:rFonts w:ascii="Times New Roman" w:eastAsiaTheme="minorEastAsia" w:hAnsi="Times New Roman"/>
            <w:b w:val="0"/>
            <w:caps w:val="0"/>
            <w:smallCaps w:val="0"/>
            <w:szCs w:val="24"/>
          </w:rPr>
          <w:tab/>
        </w:r>
        <w:r w:rsidR="000623C6" w:rsidRPr="009A58D3">
          <w:rPr>
            <w:rStyle w:val="Hyperlink"/>
            <w:rFonts w:ascii="Times New Roman" w:hAnsi="Times New Roman"/>
            <w:szCs w:val="24"/>
          </w:rPr>
          <w:t>Summary of Findings</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_Toc433370076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39</w:t>
        </w:r>
        <w:r w:rsidR="000623C6" w:rsidRPr="009A58D3">
          <w:rPr>
            <w:rFonts w:ascii="Times New Roman" w:hAnsi="Times New Roman"/>
            <w:webHidden/>
            <w:szCs w:val="24"/>
          </w:rPr>
          <w:fldChar w:fldCharType="end"/>
        </w:r>
      </w:hyperlink>
    </w:p>
    <w:p w:rsidR="000623C6" w:rsidRPr="009A58D3" w:rsidRDefault="005D6FC2">
      <w:pPr>
        <w:pStyle w:val="TOC2"/>
        <w:tabs>
          <w:tab w:val="left" w:pos="1100"/>
        </w:tabs>
        <w:rPr>
          <w:rFonts w:ascii="Times New Roman" w:eastAsiaTheme="minorEastAsia" w:hAnsi="Times New Roman"/>
          <w:b w:val="0"/>
          <w:caps w:val="0"/>
          <w:smallCaps w:val="0"/>
          <w:szCs w:val="24"/>
        </w:rPr>
      </w:pPr>
      <w:hyperlink w:anchor="_Toc433370077" w:history="1">
        <w:r w:rsidR="000623C6" w:rsidRPr="009A58D3">
          <w:rPr>
            <w:rStyle w:val="Hyperlink"/>
            <w:rFonts w:ascii="Times New Roman" w:hAnsi="Times New Roman"/>
            <w:szCs w:val="24"/>
          </w:rPr>
          <w:t>4.2</w:t>
        </w:r>
        <w:r w:rsidR="000623C6" w:rsidRPr="009A58D3">
          <w:rPr>
            <w:rFonts w:ascii="Times New Roman" w:eastAsiaTheme="minorEastAsia" w:hAnsi="Times New Roman"/>
            <w:b w:val="0"/>
            <w:caps w:val="0"/>
            <w:smallCaps w:val="0"/>
            <w:szCs w:val="24"/>
          </w:rPr>
          <w:tab/>
        </w:r>
        <w:r w:rsidR="000623C6" w:rsidRPr="009A58D3">
          <w:rPr>
            <w:rStyle w:val="Hyperlink"/>
            <w:rFonts w:ascii="Times New Roman" w:hAnsi="Times New Roman"/>
            <w:szCs w:val="24"/>
          </w:rPr>
          <w:t>Vision for Near-Term Use of AF</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_Toc433370077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41</w:t>
        </w:r>
        <w:r w:rsidR="000623C6" w:rsidRPr="009A58D3">
          <w:rPr>
            <w:rFonts w:ascii="Times New Roman" w:hAnsi="Times New Roman"/>
            <w:webHidden/>
            <w:szCs w:val="24"/>
          </w:rPr>
          <w:fldChar w:fldCharType="end"/>
        </w:r>
      </w:hyperlink>
    </w:p>
    <w:p w:rsidR="000623C6" w:rsidRPr="009A58D3" w:rsidRDefault="005D6FC2">
      <w:pPr>
        <w:pStyle w:val="TOC2"/>
        <w:tabs>
          <w:tab w:val="left" w:pos="1100"/>
        </w:tabs>
        <w:rPr>
          <w:rFonts w:ascii="Times New Roman" w:eastAsiaTheme="minorEastAsia" w:hAnsi="Times New Roman"/>
          <w:b w:val="0"/>
          <w:caps w:val="0"/>
          <w:smallCaps w:val="0"/>
          <w:szCs w:val="24"/>
        </w:rPr>
      </w:pPr>
      <w:hyperlink w:anchor="_Toc433370078" w:history="1">
        <w:r w:rsidR="000623C6" w:rsidRPr="009A58D3">
          <w:rPr>
            <w:rStyle w:val="Hyperlink"/>
            <w:rFonts w:ascii="Times New Roman" w:hAnsi="Times New Roman"/>
            <w:szCs w:val="24"/>
          </w:rPr>
          <w:t>4.3</w:t>
        </w:r>
        <w:r w:rsidR="000623C6" w:rsidRPr="009A58D3">
          <w:rPr>
            <w:rFonts w:ascii="Times New Roman" w:eastAsiaTheme="minorEastAsia" w:hAnsi="Times New Roman"/>
            <w:b w:val="0"/>
            <w:caps w:val="0"/>
            <w:smallCaps w:val="0"/>
            <w:szCs w:val="24"/>
          </w:rPr>
          <w:tab/>
        </w:r>
        <w:r w:rsidR="000623C6" w:rsidRPr="009A58D3">
          <w:rPr>
            <w:rStyle w:val="Hyperlink"/>
            <w:rFonts w:ascii="Times New Roman" w:hAnsi="Times New Roman"/>
            <w:szCs w:val="24"/>
          </w:rPr>
          <w:t>Recommendations for Refinement of the AF</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_Toc433370078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42</w:t>
        </w:r>
        <w:r w:rsidR="000623C6" w:rsidRPr="009A58D3">
          <w:rPr>
            <w:rFonts w:ascii="Times New Roman" w:hAnsi="Times New Roman"/>
            <w:webHidden/>
            <w:szCs w:val="24"/>
          </w:rPr>
          <w:fldChar w:fldCharType="end"/>
        </w:r>
      </w:hyperlink>
    </w:p>
    <w:p w:rsidR="000623C6" w:rsidRPr="009A58D3" w:rsidRDefault="005D6FC2">
      <w:pPr>
        <w:pStyle w:val="TOC1"/>
        <w:rPr>
          <w:rFonts w:ascii="Times New Roman" w:eastAsiaTheme="minorEastAsia" w:hAnsi="Times New Roman"/>
          <w:b w:val="0"/>
          <w:smallCaps w:val="0"/>
          <w:szCs w:val="24"/>
        </w:rPr>
      </w:pPr>
      <w:hyperlink w:anchor="_Toc433370079" w:history="1">
        <w:r w:rsidR="000623C6" w:rsidRPr="009A58D3">
          <w:rPr>
            <w:rStyle w:val="Hyperlink"/>
            <w:rFonts w:ascii="Times New Roman" w:hAnsi="Times New Roman"/>
            <w:szCs w:val="24"/>
          </w:rPr>
          <w:t>5</w:t>
        </w:r>
        <w:r w:rsidR="000623C6" w:rsidRPr="009A58D3">
          <w:rPr>
            <w:rFonts w:ascii="Times New Roman" w:eastAsiaTheme="minorEastAsia" w:hAnsi="Times New Roman"/>
            <w:b w:val="0"/>
            <w:smallCaps w:val="0"/>
            <w:szCs w:val="24"/>
          </w:rPr>
          <w:tab/>
        </w:r>
        <w:r w:rsidR="000623C6" w:rsidRPr="009A58D3">
          <w:rPr>
            <w:rStyle w:val="Hyperlink"/>
            <w:rFonts w:ascii="Times New Roman" w:hAnsi="Times New Roman"/>
            <w:szCs w:val="24"/>
          </w:rPr>
          <w:t>Literature Cited</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_Toc433370079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44</w:t>
        </w:r>
        <w:r w:rsidR="000623C6" w:rsidRPr="009A58D3">
          <w:rPr>
            <w:rFonts w:ascii="Times New Roman" w:hAnsi="Times New Roman"/>
            <w:webHidden/>
            <w:szCs w:val="24"/>
          </w:rPr>
          <w:fldChar w:fldCharType="end"/>
        </w:r>
      </w:hyperlink>
    </w:p>
    <w:p w:rsidR="000623C6" w:rsidRPr="009A58D3" w:rsidRDefault="005D6FC2">
      <w:pPr>
        <w:pStyle w:val="TOC1"/>
        <w:rPr>
          <w:rFonts w:ascii="Times New Roman" w:eastAsiaTheme="minorEastAsia" w:hAnsi="Times New Roman"/>
          <w:b w:val="0"/>
          <w:smallCaps w:val="0"/>
          <w:szCs w:val="24"/>
        </w:rPr>
      </w:pPr>
      <w:hyperlink w:anchor="_Toc433370080" w:history="1">
        <w:r w:rsidR="000623C6" w:rsidRPr="009A58D3">
          <w:rPr>
            <w:rStyle w:val="Hyperlink"/>
            <w:rFonts w:ascii="Times New Roman" w:hAnsi="Times New Roman"/>
            <w:szCs w:val="24"/>
          </w:rPr>
          <w:t>Appendix A Definitions of Key Terms and SFB Beneficial Uses</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_Toc433370080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51</w:t>
        </w:r>
        <w:r w:rsidR="000623C6" w:rsidRPr="009A58D3">
          <w:rPr>
            <w:rFonts w:ascii="Times New Roman" w:hAnsi="Times New Roman"/>
            <w:webHidden/>
            <w:szCs w:val="24"/>
          </w:rPr>
          <w:fldChar w:fldCharType="end"/>
        </w:r>
      </w:hyperlink>
    </w:p>
    <w:p w:rsidR="000623C6" w:rsidRPr="009A58D3" w:rsidRDefault="005D6FC2">
      <w:pPr>
        <w:pStyle w:val="TOC1"/>
        <w:rPr>
          <w:rFonts w:ascii="Times New Roman" w:eastAsiaTheme="minorEastAsia" w:hAnsi="Times New Roman"/>
          <w:b w:val="0"/>
          <w:smallCaps w:val="0"/>
          <w:szCs w:val="24"/>
        </w:rPr>
      </w:pPr>
      <w:hyperlink w:anchor="_Toc433370081" w:history="1">
        <w:r w:rsidR="000623C6" w:rsidRPr="009A58D3">
          <w:rPr>
            <w:rStyle w:val="Hyperlink"/>
            <w:rFonts w:ascii="Times New Roman" w:hAnsi="Times New Roman"/>
            <w:szCs w:val="24"/>
          </w:rPr>
          <w:t>Appendix B Review of Approaches to Assessment of Nutrient Effects on Estuaries</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_Toc433370081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52</w:t>
        </w:r>
        <w:r w:rsidR="000623C6" w:rsidRPr="009A58D3">
          <w:rPr>
            <w:rFonts w:ascii="Times New Roman" w:hAnsi="Times New Roman"/>
            <w:webHidden/>
            <w:szCs w:val="24"/>
          </w:rPr>
          <w:fldChar w:fldCharType="end"/>
        </w:r>
      </w:hyperlink>
    </w:p>
    <w:p w:rsidR="000623C6" w:rsidRPr="009A58D3" w:rsidRDefault="005D6FC2">
      <w:pPr>
        <w:pStyle w:val="TOC1"/>
        <w:rPr>
          <w:rFonts w:ascii="Times New Roman" w:eastAsiaTheme="minorEastAsia" w:hAnsi="Times New Roman"/>
          <w:b w:val="0"/>
          <w:smallCaps w:val="0"/>
          <w:szCs w:val="24"/>
        </w:rPr>
      </w:pPr>
      <w:hyperlink w:anchor="_Toc433370082" w:history="1">
        <w:r w:rsidR="000623C6" w:rsidRPr="009A58D3">
          <w:rPr>
            <w:rStyle w:val="Hyperlink"/>
            <w:rFonts w:ascii="Times New Roman" w:hAnsi="Times New Roman"/>
            <w:szCs w:val="24"/>
          </w:rPr>
          <w:t>Appendix C Quantitative Analyses Supporting Decisions on Chlorophyll-A Assessment Endpoints (Sutula et al. Manuscript in prep for Submission to a Scientific Journal)</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_Toc433370082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53</w:t>
        </w:r>
        <w:r w:rsidR="000623C6" w:rsidRPr="009A58D3">
          <w:rPr>
            <w:rFonts w:ascii="Times New Roman" w:hAnsi="Times New Roman"/>
            <w:webHidden/>
            <w:szCs w:val="24"/>
          </w:rPr>
          <w:fldChar w:fldCharType="end"/>
        </w:r>
      </w:hyperlink>
    </w:p>
    <w:p w:rsidR="000623C6" w:rsidRPr="009A58D3" w:rsidRDefault="005D6FC2">
      <w:pPr>
        <w:pStyle w:val="TOC1"/>
        <w:rPr>
          <w:rFonts w:ascii="Times New Roman" w:eastAsiaTheme="minorEastAsia" w:hAnsi="Times New Roman"/>
          <w:b w:val="0"/>
          <w:smallCaps w:val="0"/>
          <w:szCs w:val="24"/>
        </w:rPr>
      </w:pPr>
      <w:hyperlink w:anchor="_Toc433370083" w:history="1">
        <w:r w:rsidR="000623C6" w:rsidRPr="009A58D3">
          <w:rPr>
            <w:rStyle w:val="Hyperlink"/>
            <w:rFonts w:ascii="Times New Roman" w:hAnsi="Times New Roman"/>
            <w:szCs w:val="24"/>
          </w:rPr>
          <w:t>Appendix D. Supplemental Analyses Supporting Discussion of the Importance of Stratification on the Relationship between Dissolved Oxygen and Chlorophyll-a In SF Bay (Stacey and Senn, 2015 Technical Memo)</w:t>
        </w:r>
        <w:r w:rsidR="000623C6" w:rsidRPr="009A58D3">
          <w:rPr>
            <w:rFonts w:ascii="Times New Roman" w:hAnsi="Times New Roman"/>
            <w:webHidden/>
            <w:szCs w:val="24"/>
          </w:rPr>
          <w:tab/>
        </w:r>
        <w:r w:rsidR="000623C6" w:rsidRPr="009A58D3">
          <w:rPr>
            <w:rFonts w:ascii="Times New Roman" w:hAnsi="Times New Roman"/>
            <w:webHidden/>
            <w:szCs w:val="24"/>
          </w:rPr>
          <w:fldChar w:fldCharType="begin"/>
        </w:r>
        <w:r w:rsidR="000623C6" w:rsidRPr="009A58D3">
          <w:rPr>
            <w:rFonts w:ascii="Times New Roman" w:hAnsi="Times New Roman"/>
            <w:webHidden/>
            <w:szCs w:val="24"/>
          </w:rPr>
          <w:instrText xml:space="preserve"> PAGEREF _Toc433370083 \h </w:instrText>
        </w:r>
        <w:r w:rsidR="000623C6" w:rsidRPr="009A58D3">
          <w:rPr>
            <w:rFonts w:ascii="Times New Roman" w:hAnsi="Times New Roman"/>
            <w:webHidden/>
            <w:szCs w:val="24"/>
          </w:rPr>
        </w:r>
        <w:r w:rsidR="000623C6" w:rsidRPr="009A58D3">
          <w:rPr>
            <w:rFonts w:ascii="Times New Roman" w:hAnsi="Times New Roman"/>
            <w:webHidden/>
            <w:szCs w:val="24"/>
          </w:rPr>
          <w:fldChar w:fldCharType="separate"/>
        </w:r>
        <w:r w:rsidR="000623C6" w:rsidRPr="009A58D3">
          <w:rPr>
            <w:rFonts w:ascii="Times New Roman" w:hAnsi="Times New Roman"/>
            <w:webHidden/>
            <w:szCs w:val="24"/>
          </w:rPr>
          <w:t>54</w:t>
        </w:r>
        <w:r w:rsidR="000623C6" w:rsidRPr="009A58D3">
          <w:rPr>
            <w:rFonts w:ascii="Times New Roman" w:hAnsi="Times New Roman"/>
            <w:webHidden/>
            <w:szCs w:val="24"/>
          </w:rPr>
          <w:fldChar w:fldCharType="end"/>
        </w:r>
      </w:hyperlink>
    </w:p>
    <w:p w:rsidR="00F741D0" w:rsidRPr="009A58D3" w:rsidRDefault="00D72900" w:rsidP="00FD7D57">
      <w:pPr>
        <w:pStyle w:val="Heading1"/>
        <w:numPr>
          <w:ilvl w:val="0"/>
          <w:numId w:val="0"/>
        </w:numPr>
        <w:spacing w:before="120" w:line="276" w:lineRule="auto"/>
        <w:ind w:left="432" w:hanging="432"/>
        <w:rPr>
          <w:rFonts w:ascii="Times New Roman" w:hAnsi="Times New Roman"/>
          <w:sz w:val="22"/>
          <w:szCs w:val="22"/>
        </w:rPr>
      </w:pPr>
      <w:r w:rsidRPr="009A58D3">
        <w:rPr>
          <w:rFonts w:ascii="Times New Roman" w:hAnsi="Times New Roman"/>
          <w:smallCaps w:val="0"/>
          <w:noProof/>
          <w:sz w:val="24"/>
          <w:szCs w:val="24"/>
        </w:rPr>
        <w:fldChar w:fldCharType="end"/>
      </w:r>
      <w:r w:rsidR="00F741D0" w:rsidRPr="009A58D3">
        <w:rPr>
          <w:rFonts w:ascii="Times New Roman" w:hAnsi="Times New Roman"/>
          <w:sz w:val="22"/>
          <w:szCs w:val="22"/>
        </w:rPr>
        <w:t xml:space="preserve"> </w:t>
      </w:r>
    </w:p>
    <w:p w:rsidR="00F741D0" w:rsidRPr="009A58D3" w:rsidRDefault="00F741D0" w:rsidP="00FD7D57">
      <w:pPr>
        <w:spacing w:line="276" w:lineRule="auto"/>
        <w:rPr>
          <w:sz w:val="22"/>
          <w:szCs w:val="22"/>
        </w:rPr>
        <w:sectPr w:rsidR="00F741D0" w:rsidRPr="009A58D3" w:rsidSect="00521D92">
          <w:footerReference w:type="default" r:id="rId14"/>
          <w:pgSz w:w="12240" w:h="15840"/>
          <w:pgMar w:top="1440" w:right="1440" w:bottom="1440" w:left="1440" w:header="720" w:footer="720" w:gutter="0"/>
          <w:pgNumType w:fmt="lowerRoman" w:start="1"/>
          <w:cols w:space="720"/>
          <w:docGrid w:linePitch="360"/>
        </w:sectPr>
      </w:pPr>
    </w:p>
    <w:p w:rsidR="009E4206" w:rsidRPr="009A58D3" w:rsidRDefault="009E4206" w:rsidP="00FD7D57">
      <w:pPr>
        <w:pStyle w:val="Heading1"/>
        <w:numPr>
          <w:ilvl w:val="0"/>
          <w:numId w:val="0"/>
        </w:numPr>
        <w:ind w:left="432" w:hanging="432"/>
        <w:rPr>
          <w:rFonts w:ascii="Times New Roman" w:hAnsi="Times New Roman"/>
          <w:sz w:val="24"/>
          <w:szCs w:val="24"/>
        </w:rPr>
      </w:pPr>
      <w:bookmarkStart w:id="3" w:name="_Toc433370047"/>
      <w:r w:rsidRPr="009A58D3">
        <w:rPr>
          <w:rFonts w:ascii="Times New Roman" w:hAnsi="Times New Roman"/>
          <w:sz w:val="24"/>
          <w:szCs w:val="24"/>
        </w:rPr>
        <w:lastRenderedPageBreak/>
        <w:t>List of Figures</w:t>
      </w:r>
      <w:bookmarkEnd w:id="3"/>
    </w:p>
    <w:p w:rsidR="000623C6" w:rsidRPr="009A58D3" w:rsidRDefault="00767C99">
      <w:pPr>
        <w:pStyle w:val="TableofFigures"/>
        <w:rPr>
          <w:rFonts w:ascii="Times New Roman" w:eastAsiaTheme="minorEastAsia" w:hAnsi="Times New Roman"/>
          <w:noProof/>
          <w:szCs w:val="24"/>
        </w:rPr>
      </w:pPr>
      <w:r w:rsidRPr="009A58D3">
        <w:rPr>
          <w:rFonts w:ascii="Times New Roman" w:hAnsi="Times New Roman"/>
          <w:szCs w:val="24"/>
        </w:rPr>
        <w:fldChar w:fldCharType="begin"/>
      </w:r>
      <w:r w:rsidRPr="009A58D3">
        <w:rPr>
          <w:rFonts w:ascii="Times New Roman" w:hAnsi="Times New Roman"/>
          <w:szCs w:val="24"/>
        </w:rPr>
        <w:instrText xml:space="preserve"> TOC \h \z \t "TOF" \c </w:instrText>
      </w:r>
      <w:r w:rsidRPr="009A58D3">
        <w:rPr>
          <w:rFonts w:ascii="Times New Roman" w:hAnsi="Times New Roman"/>
          <w:szCs w:val="24"/>
        </w:rPr>
        <w:fldChar w:fldCharType="separate"/>
      </w:r>
      <w:hyperlink w:anchor="_Toc433370084" w:history="1">
        <w:r w:rsidR="000623C6" w:rsidRPr="009A58D3">
          <w:rPr>
            <w:rStyle w:val="Hyperlink"/>
            <w:rFonts w:ascii="Times New Roman" w:hAnsi="Times New Roman"/>
            <w:noProof/>
            <w:szCs w:val="24"/>
            <w:lang w:bidi="en-US"/>
          </w:rPr>
          <w:t>Figure 3.1 Map of SFB showing geographic scope of AF, focal habitats and subembayment boundaries. Subembayment names are designated on the map.</w:t>
        </w:r>
        <w:r w:rsidR="000623C6" w:rsidRPr="009A58D3">
          <w:rPr>
            <w:rFonts w:ascii="Times New Roman" w:hAnsi="Times New Roman"/>
            <w:noProof/>
            <w:webHidden/>
            <w:szCs w:val="24"/>
          </w:rPr>
          <w:tab/>
        </w:r>
        <w:r w:rsidR="000623C6" w:rsidRPr="009A58D3">
          <w:rPr>
            <w:rFonts w:ascii="Times New Roman" w:hAnsi="Times New Roman"/>
            <w:noProof/>
            <w:webHidden/>
            <w:szCs w:val="24"/>
          </w:rPr>
          <w:fldChar w:fldCharType="begin"/>
        </w:r>
        <w:r w:rsidR="000623C6" w:rsidRPr="009A58D3">
          <w:rPr>
            <w:rFonts w:ascii="Times New Roman" w:hAnsi="Times New Roman"/>
            <w:noProof/>
            <w:webHidden/>
            <w:szCs w:val="24"/>
          </w:rPr>
          <w:instrText xml:space="preserve"> PAGEREF _Toc433370084 \h </w:instrText>
        </w:r>
        <w:r w:rsidR="000623C6" w:rsidRPr="009A58D3">
          <w:rPr>
            <w:rFonts w:ascii="Times New Roman" w:hAnsi="Times New Roman"/>
            <w:noProof/>
            <w:webHidden/>
            <w:szCs w:val="24"/>
          </w:rPr>
        </w:r>
        <w:r w:rsidR="000623C6" w:rsidRPr="009A58D3">
          <w:rPr>
            <w:rFonts w:ascii="Times New Roman" w:hAnsi="Times New Roman"/>
            <w:noProof/>
            <w:webHidden/>
            <w:szCs w:val="24"/>
          </w:rPr>
          <w:fldChar w:fldCharType="separate"/>
        </w:r>
        <w:r w:rsidR="000623C6" w:rsidRPr="009A58D3">
          <w:rPr>
            <w:rFonts w:ascii="Times New Roman" w:hAnsi="Times New Roman"/>
            <w:noProof/>
            <w:webHidden/>
            <w:szCs w:val="24"/>
          </w:rPr>
          <w:t>12</w:t>
        </w:r>
        <w:r w:rsidR="000623C6" w:rsidRPr="009A58D3">
          <w:rPr>
            <w:rFonts w:ascii="Times New Roman" w:hAnsi="Times New Roman"/>
            <w:noProof/>
            <w:webHidden/>
            <w:szCs w:val="24"/>
          </w:rPr>
          <w:fldChar w:fldCharType="end"/>
        </w:r>
      </w:hyperlink>
    </w:p>
    <w:p w:rsidR="000623C6" w:rsidRPr="009A58D3" w:rsidRDefault="005D6FC2">
      <w:pPr>
        <w:pStyle w:val="TableofFigures"/>
        <w:rPr>
          <w:rFonts w:ascii="Times New Roman" w:eastAsiaTheme="minorEastAsia" w:hAnsi="Times New Roman"/>
          <w:noProof/>
          <w:szCs w:val="24"/>
        </w:rPr>
      </w:pPr>
      <w:hyperlink w:anchor="_Toc433370085" w:history="1">
        <w:r w:rsidR="000623C6" w:rsidRPr="009A58D3">
          <w:rPr>
            <w:rStyle w:val="Hyperlink"/>
            <w:rFonts w:ascii="Times New Roman" w:hAnsi="Times New Roman"/>
            <w:noProof/>
            <w:szCs w:val="24"/>
            <w:lang w:bidi="en-US"/>
          </w:rPr>
          <w:t>Figure 3.2 Potential adverse impact pathways: linkages between anthropogenic nutrient loads and adverse ecosystem response. The shaded rectangles represent indicators that are recommended for measurement along each pathway to assess condition. From Senn et al. (2014).</w:t>
        </w:r>
        <w:r w:rsidR="000623C6" w:rsidRPr="009A58D3">
          <w:rPr>
            <w:rFonts w:ascii="Times New Roman" w:hAnsi="Times New Roman"/>
            <w:noProof/>
            <w:webHidden/>
            <w:szCs w:val="24"/>
          </w:rPr>
          <w:tab/>
        </w:r>
        <w:r w:rsidR="000623C6" w:rsidRPr="009A58D3">
          <w:rPr>
            <w:rFonts w:ascii="Times New Roman" w:hAnsi="Times New Roman"/>
            <w:noProof/>
            <w:webHidden/>
            <w:szCs w:val="24"/>
          </w:rPr>
          <w:fldChar w:fldCharType="begin"/>
        </w:r>
        <w:r w:rsidR="000623C6" w:rsidRPr="009A58D3">
          <w:rPr>
            <w:rFonts w:ascii="Times New Roman" w:hAnsi="Times New Roman"/>
            <w:noProof/>
            <w:webHidden/>
            <w:szCs w:val="24"/>
          </w:rPr>
          <w:instrText xml:space="preserve"> PAGEREF _Toc433370085 \h </w:instrText>
        </w:r>
        <w:r w:rsidR="000623C6" w:rsidRPr="009A58D3">
          <w:rPr>
            <w:rFonts w:ascii="Times New Roman" w:hAnsi="Times New Roman"/>
            <w:noProof/>
            <w:webHidden/>
            <w:szCs w:val="24"/>
          </w:rPr>
        </w:r>
        <w:r w:rsidR="000623C6" w:rsidRPr="009A58D3">
          <w:rPr>
            <w:rFonts w:ascii="Times New Roman" w:hAnsi="Times New Roman"/>
            <w:noProof/>
            <w:webHidden/>
            <w:szCs w:val="24"/>
          </w:rPr>
          <w:fldChar w:fldCharType="separate"/>
        </w:r>
        <w:r w:rsidR="000623C6" w:rsidRPr="009A58D3">
          <w:rPr>
            <w:rFonts w:ascii="Times New Roman" w:hAnsi="Times New Roman"/>
            <w:noProof/>
            <w:webHidden/>
            <w:szCs w:val="24"/>
          </w:rPr>
          <w:t>14</w:t>
        </w:r>
        <w:r w:rsidR="000623C6" w:rsidRPr="009A58D3">
          <w:rPr>
            <w:rFonts w:ascii="Times New Roman" w:hAnsi="Times New Roman"/>
            <w:noProof/>
            <w:webHidden/>
            <w:szCs w:val="24"/>
          </w:rPr>
          <w:fldChar w:fldCharType="end"/>
        </w:r>
      </w:hyperlink>
    </w:p>
    <w:p w:rsidR="000623C6" w:rsidRPr="009A58D3" w:rsidRDefault="005D6FC2">
      <w:pPr>
        <w:pStyle w:val="TableofFigures"/>
        <w:rPr>
          <w:rFonts w:ascii="Times New Roman" w:eastAsiaTheme="minorEastAsia" w:hAnsi="Times New Roman"/>
          <w:noProof/>
          <w:szCs w:val="24"/>
        </w:rPr>
      </w:pPr>
      <w:hyperlink w:anchor="_Toc433370086" w:history="1">
        <w:r w:rsidR="000623C6" w:rsidRPr="009A58D3">
          <w:rPr>
            <w:rStyle w:val="Hyperlink"/>
            <w:rFonts w:ascii="Times New Roman" w:hAnsi="Times New Roman"/>
            <w:noProof/>
            <w:szCs w:val="24"/>
            <w:lang w:bidi="en-US"/>
          </w:rPr>
          <w:t xml:space="preserve">Figure 3.3. Example of dissolved oxygen as a function of chlorophyll-a in Chesapeake Bay. From Harding et al. 2013. Scientific bases for numerical chlorophyll criteria in Chesapeake Bay. </w:t>
        </w:r>
        <w:r w:rsidR="000623C6" w:rsidRPr="009A58D3">
          <w:rPr>
            <w:rStyle w:val="Hyperlink"/>
            <w:rFonts w:ascii="Times New Roman" w:hAnsi="Times New Roman"/>
            <w:i/>
            <w:noProof/>
            <w:szCs w:val="24"/>
            <w:lang w:bidi="en-US"/>
          </w:rPr>
          <w:t>Estuaries and Coasts</w:t>
        </w:r>
        <w:r w:rsidR="000623C6" w:rsidRPr="009A58D3">
          <w:rPr>
            <w:rStyle w:val="Hyperlink"/>
            <w:rFonts w:ascii="Times New Roman" w:hAnsi="Times New Roman"/>
            <w:noProof/>
            <w:szCs w:val="24"/>
            <w:lang w:bidi="en-US"/>
          </w:rPr>
          <w:t xml:space="preserve"> doi:10.1007/s12237-013-9656-6</w:t>
        </w:r>
        <w:r w:rsidR="000623C6" w:rsidRPr="009A58D3">
          <w:rPr>
            <w:rFonts w:ascii="Times New Roman" w:hAnsi="Times New Roman"/>
            <w:noProof/>
            <w:webHidden/>
            <w:szCs w:val="24"/>
          </w:rPr>
          <w:tab/>
        </w:r>
        <w:r w:rsidR="000623C6" w:rsidRPr="009A58D3">
          <w:rPr>
            <w:rFonts w:ascii="Times New Roman" w:hAnsi="Times New Roman"/>
            <w:noProof/>
            <w:webHidden/>
            <w:szCs w:val="24"/>
          </w:rPr>
          <w:fldChar w:fldCharType="begin"/>
        </w:r>
        <w:r w:rsidR="000623C6" w:rsidRPr="009A58D3">
          <w:rPr>
            <w:rFonts w:ascii="Times New Roman" w:hAnsi="Times New Roman"/>
            <w:noProof/>
            <w:webHidden/>
            <w:szCs w:val="24"/>
          </w:rPr>
          <w:instrText xml:space="preserve"> PAGEREF _Toc433370086 \h </w:instrText>
        </w:r>
        <w:r w:rsidR="000623C6" w:rsidRPr="009A58D3">
          <w:rPr>
            <w:rFonts w:ascii="Times New Roman" w:hAnsi="Times New Roman"/>
            <w:noProof/>
            <w:webHidden/>
            <w:szCs w:val="24"/>
          </w:rPr>
        </w:r>
        <w:r w:rsidR="000623C6" w:rsidRPr="009A58D3">
          <w:rPr>
            <w:rFonts w:ascii="Times New Roman" w:hAnsi="Times New Roman"/>
            <w:noProof/>
            <w:webHidden/>
            <w:szCs w:val="24"/>
          </w:rPr>
          <w:fldChar w:fldCharType="separate"/>
        </w:r>
        <w:r w:rsidR="000623C6" w:rsidRPr="009A58D3">
          <w:rPr>
            <w:rFonts w:ascii="Times New Roman" w:hAnsi="Times New Roman"/>
            <w:noProof/>
            <w:webHidden/>
            <w:szCs w:val="24"/>
          </w:rPr>
          <w:t>16</w:t>
        </w:r>
        <w:r w:rsidR="000623C6" w:rsidRPr="009A58D3">
          <w:rPr>
            <w:rFonts w:ascii="Times New Roman" w:hAnsi="Times New Roman"/>
            <w:noProof/>
            <w:webHidden/>
            <w:szCs w:val="24"/>
          </w:rPr>
          <w:fldChar w:fldCharType="end"/>
        </w:r>
      </w:hyperlink>
    </w:p>
    <w:p w:rsidR="000623C6" w:rsidRPr="009A58D3" w:rsidRDefault="005D6FC2">
      <w:pPr>
        <w:pStyle w:val="TableofFigures"/>
        <w:rPr>
          <w:rFonts w:ascii="Times New Roman" w:eastAsiaTheme="minorEastAsia" w:hAnsi="Times New Roman"/>
          <w:noProof/>
          <w:szCs w:val="24"/>
        </w:rPr>
      </w:pPr>
      <w:hyperlink w:anchor="_Toc433370087" w:history="1">
        <w:r w:rsidR="000623C6" w:rsidRPr="009A58D3">
          <w:rPr>
            <w:rStyle w:val="Hyperlink"/>
            <w:rFonts w:ascii="Times New Roman" w:hAnsi="Times New Roman"/>
            <w:noProof/>
            <w:szCs w:val="24"/>
            <w:lang w:bidi="en-US"/>
          </w:rPr>
          <w:t>Figure 3.4. Comparative evaluation of fishery response to nutrients along continuum of oligotrophic, mesotrophic, eutrophic and dystrophic states of primary productivity (Nixon 1995).</w:t>
        </w:r>
        <w:r w:rsidR="000623C6" w:rsidRPr="009A58D3">
          <w:rPr>
            <w:rFonts w:ascii="Times New Roman" w:hAnsi="Times New Roman"/>
            <w:noProof/>
            <w:webHidden/>
            <w:szCs w:val="24"/>
          </w:rPr>
          <w:tab/>
        </w:r>
        <w:r w:rsidR="000623C6" w:rsidRPr="009A58D3">
          <w:rPr>
            <w:rFonts w:ascii="Times New Roman" w:hAnsi="Times New Roman"/>
            <w:noProof/>
            <w:webHidden/>
            <w:szCs w:val="24"/>
          </w:rPr>
          <w:fldChar w:fldCharType="begin"/>
        </w:r>
        <w:r w:rsidR="000623C6" w:rsidRPr="009A58D3">
          <w:rPr>
            <w:rFonts w:ascii="Times New Roman" w:hAnsi="Times New Roman"/>
            <w:noProof/>
            <w:webHidden/>
            <w:szCs w:val="24"/>
          </w:rPr>
          <w:instrText xml:space="preserve"> PAGEREF _Toc433370087 \h </w:instrText>
        </w:r>
        <w:r w:rsidR="000623C6" w:rsidRPr="009A58D3">
          <w:rPr>
            <w:rFonts w:ascii="Times New Roman" w:hAnsi="Times New Roman"/>
            <w:noProof/>
            <w:webHidden/>
            <w:szCs w:val="24"/>
          </w:rPr>
        </w:r>
        <w:r w:rsidR="000623C6" w:rsidRPr="009A58D3">
          <w:rPr>
            <w:rFonts w:ascii="Times New Roman" w:hAnsi="Times New Roman"/>
            <w:noProof/>
            <w:webHidden/>
            <w:szCs w:val="24"/>
          </w:rPr>
          <w:fldChar w:fldCharType="separate"/>
        </w:r>
        <w:r w:rsidR="000623C6" w:rsidRPr="009A58D3">
          <w:rPr>
            <w:rFonts w:ascii="Times New Roman" w:hAnsi="Times New Roman"/>
            <w:noProof/>
            <w:webHidden/>
            <w:szCs w:val="24"/>
          </w:rPr>
          <w:t>17</w:t>
        </w:r>
        <w:r w:rsidR="000623C6" w:rsidRPr="009A58D3">
          <w:rPr>
            <w:rFonts w:ascii="Times New Roman" w:hAnsi="Times New Roman"/>
            <w:noProof/>
            <w:webHidden/>
            <w:szCs w:val="24"/>
          </w:rPr>
          <w:fldChar w:fldCharType="end"/>
        </w:r>
      </w:hyperlink>
    </w:p>
    <w:p w:rsidR="000623C6" w:rsidRPr="009A58D3" w:rsidRDefault="005D6FC2">
      <w:pPr>
        <w:pStyle w:val="TableofFigures"/>
        <w:rPr>
          <w:rFonts w:ascii="Times New Roman" w:eastAsiaTheme="minorEastAsia" w:hAnsi="Times New Roman"/>
          <w:noProof/>
          <w:szCs w:val="24"/>
        </w:rPr>
      </w:pPr>
      <w:hyperlink w:anchor="_Toc433370088" w:history="1">
        <w:r w:rsidR="000623C6" w:rsidRPr="009A58D3">
          <w:rPr>
            <w:rStyle w:val="Hyperlink"/>
            <w:rFonts w:ascii="Times New Roman" w:hAnsi="Times New Roman"/>
            <w:noProof/>
            <w:szCs w:val="24"/>
            <w:lang w:bidi="en-US"/>
          </w:rPr>
          <w:t xml:space="preserve">Figure 3.5. Example of relationships between chlorophyll-a, cyanobacteria Microsystis spp. abundance, and toxin concentrations, From L. W. Harding et al. 2013. Scientific bases for numerical chlorophyll criteria in Chesapeake Bay. </w:t>
        </w:r>
        <w:r w:rsidR="000623C6" w:rsidRPr="009A58D3">
          <w:rPr>
            <w:rStyle w:val="Hyperlink"/>
            <w:rFonts w:ascii="Times New Roman" w:hAnsi="Times New Roman"/>
            <w:i/>
            <w:noProof/>
            <w:szCs w:val="24"/>
            <w:lang w:bidi="en-US"/>
          </w:rPr>
          <w:t>Estuaries and Coasts</w:t>
        </w:r>
        <w:r w:rsidR="000623C6" w:rsidRPr="009A58D3">
          <w:rPr>
            <w:rStyle w:val="Hyperlink"/>
            <w:rFonts w:ascii="Times New Roman" w:hAnsi="Times New Roman"/>
            <w:noProof/>
            <w:szCs w:val="24"/>
            <w:lang w:bidi="en-US"/>
          </w:rPr>
          <w:t xml:space="preserve"> doi:10.1007/s12237-013-9656-6</w:t>
        </w:r>
        <w:r w:rsidR="000623C6" w:rsidRPr="009A58D3">
          <w:rPr>
            <w:rFonts w:ascii="Times New Roman" w:hAnsi="Times New Roman"/>
            <w:noProof/>
            <w:webHidden/>
            <w:szCs w:val="24"/>
          </w:rPr>
          <w:tab/>
        </w:r>
        <w:r w:rsidR="000623C6" w:rsidRPr="009A58D3">
          <w:rPr>
            <w:rFonts w:ascii="Times New Roman" w:hAnsi="Times New Roman"/>
            <w:noProof/>
            <w:webHidden/>
            <w:szCs w:val="24"/>
          </w:rPr>
          <w:fldChar w:fldCharType="begin"/>
        </w:r>
        <w:r w:rsidR="000623C6" w:rsidRPr="009A58D3">
          <w:rPr>
            <w:rFonts w:ascii="Times New Roman" w:hAnsi="Times New Roman"/>
            <w:noProof/>
            <w:webHidden/>
            <w:szCs w:val="24"/>
          </w:rPr>
          <w:instrText xml:space="preserve"> PAGEREF _Toc433370088 \h </w:instrText>
        </w:r>
        <w:r w:rsidR="000623C6" w:rsidRPr="009A58D3">
          <w:rPr>
            <w:rFonts w:ascii="Times New Roman" w:hAnsi="Times New Roman"/>
            <w:noProof/>
            <w:webHidden/>
            <w:szCs w:val="24"/>
          </w:rPr>
        </w:r>
        <w:r w:rsidR="000623C6" w:rsidRPr="009A58D3">
          <w:rPr>
            <w:rFonts w:ascii="Times New Roman" w:hAnsi="Times New Roman"/>
            <w:noProof/>
            <w:webHidden/>
            <w:szCs w:val="24"/>
          </w:rPr>
          <w:fldChar w:fldCharType="separate"/>
        </w:r>
        <w:r w:rsidR="000623C6" w:rsidRPr="009A58D3">
          <w:rPr>
            <w:rFonts w:ascii="Times New Roman" w:hAnsi="Times New Roman"/>
            <w:noProof/>
            <w:webHidden/>
            <w:szCs w:val="24"/>
          </w:rPr>
          <w:t>18</w:t>
        </w:r>
        <w:r w:rsidR="000623C6" w:rsidRPr="009A58D3">
          <w:rPr>
            <w:rFonts w:ascii="Times New Roman" w:hAnsi="Times New Roman"/>
            <w:noProof/>
            <w:webHidden/>
            <w:szCs w:val="24"/>
          </w:rPr>
          <w:fldChar w:fldCharType="end"/>
        </w:r>
      </w:hyperlink>
    </w:p>
    <w:p w:rsidR="000623C6" w:rsidRPr="009A58D3" w:rsidRDefault="005D6FC2">
      <w:pPr>
        <w:pStyle w:val="TableofFigures"/>
        <w:rPr>
          <w:rFonts w:ascii="Times New Roman" w:eastAsiaTheme="minorEastAsia" w:hAnsi="Times New Roman"/>
          <w:noProof/>
          <w:szCs w:val="24"/>
        </w:rPr>
      </w:pPr>
      <w:hyperlink w:anchor="_Toc433370089" w:history="1">
        <w:r w:rsidR="000623C6" w:rsidRPr="009A58D3">
          <w:rPr>
            <w:rStyle w:val="Hyperlink"/>
            <w:rFonts w:ascii="Times New Roman" w:hAnsi="Times New Roman"/>
            <w:noProof/>
            <w:szCs w:val="24"/>
            <w:lang w:bidi="en-US"/>
          </w:rPr>
          <w:t>Figure 3.6. Example of a marine food web showing the complex pico-phytoplankton and diatom food web structure in diatom-dominated blooms. For simplicity, the regeneration paths are shown only on the left side of the figure (Source: Barber and Hisock 2006).</w:t>
        </w:r>
        <w:r w:rsidR="000623C6" w:rsidRPr="009A58D3">
          <w:rPr>
            <w:rFonts w:ascii="Times New Roman" w:hAnsi="Times New Roman"/>
            <w:noProof/>
            <w:webHidden/>
            <w:szCs w:val="24"/>
          </w:rPr>
          <w:tab/>
        </w:r>
        <w:r w:rsidR="000623C6" w:rsidRPr="009A58D3">
          <w:rPr>
            <w:rFonts w:ascii="Times New Roman" w:hAnsi="Times New Roman"/>
            <w:noProof/>
            <w:webHidden/>
            <w:szCs w:val="24"/>
          </w:rPr>
          <w:fldChar w:fldCharType="begin"/>
        </w:r>
        <w:r w:rsidR="000623C6" w:rsidRPr="009A58D3">
          <w:rPr>
            <w:rFonts w:ascii="Times New Roman" w:hAnsi="Times New Roman"/>
            <w:noProof/>
            <w:webHidden/>
            <w:szCs w:val="24"/>
          </w:rPr>
          <w:instrText xml:space="preserve"> PAGEREF _Toc433370089 \h </w:instrText>
        </w:r>
        <w:r w:rsidR="000623C6" w:rsidRPr="009A58D3">
          <w:rPr>
            <w:rFonts w:ascii="Times New Roman" w:hAnsi="Times New Roman"/>
            <w:noProof/>
            <w:webHidden/>
            <w:szCs w:val="24"/>
          </w:rPr>
        </w:r>
        <w:r w:rsidR="000623C6" w:rsidRPr="009A58D3">
          <w:rPr>
            <w:rFonts w:ascii="Times New Roman" w:hAnsi="Times New Roman"/>
            <w:noProof/>
            <w:webHidden/>
            <w:szCs w:val="24"/>
          </w:rPr>
          <w:fldChar w:fldCharType="separate"/>
        </w:r>
        <w:r w:rsidR="000623C6" w:rsidRPr="009A58D3">
          <w:rPr>
            <w:rFonts w:ascii="Times New Roman" w:hAnsi="Times New Roman"/>
            <w:noProof/>
            <w:webHidden/>
            <w:szCs w:val="24"/>
          </w:rPr>
          <w:t>19</w:t>
        </w:r>
        <w:r w:rsidR="000623C6" w:rsidRPr="009A58D3">
          <w:rPr>
            <w:rFonts w:ascii="Times New Roman" w:hAnsi="Times New Roman"/>
            <w:noProof/>
            <w:webHidden/>
            <w:szCs w:val="24"/>
          </w:rPr>
          <w:fldChar w:fldCharType="end"/>
        </w:r>
      </w:hyperlink>
    </w:p>
    <w:p w:rsidR="000623C6" w:rsidRPr="009A58D3" w:rsidRDefault="005D6FC2">
      <w:pPr>
        <w:pStyle w:val="TableofFigures"/>
        <w:rPr>
          <w:rFonts w:ascii="Times New Roman" w:eastAsiaTheme="minorEastAsia" w:hAnsi="Times New Roman"/>
          <w:noProof/>
          <w:szCs w:val="24"/>
        </w:rPr>
      </w:pPr>
      <w:hyperlink w:anchor="_Toc433370090" w:history="1">
        <w:r w:rsidR="000623C6" w:rsidRPr="009A58D3">
          <w:rPr>
            <w:rStyle w:val="Hyperlink"/>
            <w:rFonts w:ascii="Times New Roman" w:hAnsi="Times New Roman"/>
            <w:noProof/>
            <w:szCs w:val="24"/>
            <w:lang w:bidi="en-US"/>
          </w:rPr>
          <w:t xml:space="preserve">Figure 3.7. From Galloway and </w:t>
        </w:r>
        <w:r w:rsidR="00EA1DB1" w:rsidRPr="009A58D3">
          <w:rPr>
            <w:rStyle w:val="Hyperlink"/>
            <w:rFonts w:ascii="Times New Roman" w:hAnsi="Times New Roman"/>
            <w:noProof/>
            <w:szCs w:val="24"/>
            <w:lang w:bidi="en-US"/>
          </w:rPr>
          <w:t xml:space="preserve">Winder </w:t>
        </w:r>
        <w:r w:rsidR="000623C6" w:rsidRPr="009A58D3">
          <w:rPr>
            <w:rStyle w:val="Hyperlink"/>
            <w:rFonts w:ascii="Times New Roman" w:hAnsi="Times New Roman"/>
            <w:noProof/>
            <w:szCs w:val="24"/>
            <w:lang w:bidi="en-US"/>
          </w:rPr>
          <w:t xml:space="preserve"> 2015). Boxplots of species averages of Σ long-chain essential fatty acids (LCEFA) in six major phytoplankton groups. (a) Shows the percent total fatty acidds (% FA) dataset, consisting of 208 averages from 666 raw profiles. (b) Shows the percentage of algal dry weight (FA % DW) dataset, consisting of 55 averages from 105 raw profiles. Group name abbreviations follow Fig 1..</w:t>
        </w:r>
        <w:r w:rsidR="000623C6" w:rsidRPr="009A58D3">
          <w:rPr>
            <w:rFonts w:ascii="Times New Roman" w:hAnsi="Times New Roman"/>
            <w:noProof/>
            <w:webHidden/>
            <w:szCs w:val="24"/>
          </w:rPr>
          <w:tab/>
        </w:r>
        <w:r w:rsidR="000623C6" w:rsidRPr="009A58D3">
          <w:rPr>
            <w:rFonts w:ascii="Times New Roman" w:hAnsi="Times New Roman"/>
            <w:noProof/>
            <w:webHidden/>
            <w:szCs w:val="24"/>
          </w:rPr>
          <w:fldChar w:fldCharType="begin"/>
        </w:r>
        <w:r w:rsidR="000623C6" w:rsidRPr="009A58D3">
          <w:rPr>
            <w:rFonts w:ascii="Times New Roman" w:hAnsi="Times New Roman"/>
            <w:noProof/>
            <w:webHidden/>
            <w:szCs w:val="24"/>
          </w:rPr>
          <w:instrText xml:space="preserve"> PAGEREF _Toc433370090 \h </w:instrText>
        </w:r>
        <w:r w:rsidR="000623C6" w:rsidRPr="009A58D3">
          <w:rPr>
            <w:rFonts w:ascii="Times New Roman" w:hAnsi="Times New Roman"/>
            <w:noProof/>
            <w:webHidden/>
            <w:szCs w:val="24"/>
          </w:rPr>
        </w:r>
        <w:r w:rsidR="000623C6" w:rsidRPr="009A58D3">
          <w:rPr>
            <w:rFonts w:ascii="Times New Roman" w:hAnsi="Times New Roman"/>
            <w:noProof/>
            <w:webHidden/>
            <w:szCs w:val="24"/>
          </w:rPr>
          <w:fldChar w:fldCharType="separate"/>
        </w:r>
        <w:r w:rsidR="000623C6" w:rsidRPr="009A58D3">
          <w:rPr>
            <w:rFonts w:ascii="Times New Roman" w:hAnsi="Times New Roman"/>
            <w:noProof/>
            <w:webHidden/>
            <w:szCs w:val="24"/>
          </w:rPr>
          <w:t>20</w:t>
        </w:r>
        <w:r w:rsidR="000623C6" w:rsidRPr="009A58D3">
          <w:rPr>
            <w:rFonts w:ascii="Times New Roman" w:hAnsi="Times New Roman"/>
            <w:noProof/>
            <w:webHidden/>
            <w:szCs w:val="24"/>
          </w:rPr>
          <w:fldChar w:fldCharType="end"/>
        </w:r>
      </w:hyperlink>
    </w:p>
    <w:p w:rsidR="000623C6" w:rsidRPr="009A58D3" w:rsidRDefault="005D6FC2">
      <w:pPr>
        <w:pStyle w:val="TableofFigures"/>
        <w:rPr>
          <w:rFonts w:ascii="Times New Roman" w:eastAsiaTheme="minorEastAsia" w:hAnsi="Times New Roman"/>
          <w:noProof/>
          <w:szCs w:val="24"/>
        </w:rPr>
      </w:pPr>
      <w:hyperlink w:anchor="_Toc433370091" w:history="1">
        <w:r w:rsidR="000623C6" w:rsidRPr="009A58D3">
          <w:rPr>
            <w:rStyle w:val="Hyperlink"/>
            <w:rFonts w:ascii="Times New Roman" w:hAnsi="Times New Roman"/>
            <w:noProof/>
            <w:szCs w:val="24"/>
            <w:lang w:bidi="en-US"/>
          </w:rPr>
          <w:t>Figure 3.8. 10-year rolling average chlorophyll-a by month of the year in Lower South Bay, illustrating the four elements of interest in phytoplankton variability: (1) spring bloom, (2) fall bloom, (3) elevated baseline during non-bloom periods, and (4) interannual variablility. Source: Jim Cloern, USGS</w:t>
        </w:r>
        <w:r w:rsidR="000623C6" w:rsidRPr="009A58D3">
          <w:rPr>
            <w:rFonts w:ascii="Times New Roman" w:hAnsi="Times New Roman"/>
            <w:noProof/>
            <w:webHidden/>
            <w:szCs w:val="24"/>
          </w:rPr>
          <w:tab/>
        </w:r>
        <w:r w:rsidR="000623C6" w:rsidRPr="009A58D3">
          <w:rPr>
            <w:rFonts w:ascii="Times New Roman" w:hAnsi="Times New Roman"/>
            <w:noProof/>
            <w:webHidden/>
            <w:szCs w:val="24"/>
          </w:rPr>
          <w:fldChar w:fldCharType="begin"/>
        </w:r>
        <w:r w:rsidR="000623C6" w:rsidRPr="009A58D3">
          <w:rPr>
            <w:rFonts w:ascii="Times New Roman" w:hAnsi="Times New Roman"/>
            <w:noProof/>
            <w:webHidden/>
            <w:szCs w:val="24"/>
          </w:rPr>
          <w:instrText xml:space="preserve"> PAGEREF _Toc433370091 \h </w:instrText>
        </w:r>
        <w:r w:rsidR="000623C6" w:rsidRPr="009A58D3">
          <w:rPr>
            <w:rFonts w:ascii="Times New Roman" w:hAnsi="Times New Roman"/>
            <w:noProof/>
            <w:webHidden/>
            <w:szCs w:val="24"/>
          </w:rPr>
        </w:r>
        <w:r w:rsidR="000623C6" w:rsidRPr="009A58D3">
          <w:rPr>
            <w:rFonts w:ascii="Times New Roman" w:hAnsi="Times New Roman"/>
            <w:noProof/>
            <w:webHidden/>
            <w:szCs w:val="24"/>
          </w:rPr>
          <w:fldChar w:fldCharType="separate"/>
        </w:r>
        <w:r w:rsidR="000623C6" w:rsidRPr="009A58D3">
          <w:rPr>
            <w:rFonts w:ascii="Times New Roman" w:hAnsi="Times New Roman"/>
            <w:noProof/>
            <w:webHidden/>
            <w:szCs w:val="24"/>
          </w:rPr>
          <w:t>22</w:t>
        </w:r>
        <w:r w:rsidR="000623C6" w:rsidRPr="009A58D3">
          <w:rPr>
            <w:rFonts w:ascii="Times New Roman" w:hAnsi="Times New Roman"/>
            <w:noProof/>
            <w:webHidden/>
            <w:szCs w:val="24"/>
          </w:rPr>
          <w:fldChar w:fldCharType="end"/>
        </w:r>
      </w:hyperlink>
    </w:p>
    <w:p w:rsidR="000623C6" w:rsidRPr="009A58D3" w:rsidRDefault="005D6FC2">
      <w:pPr>
        <w:pStyle w:val="TableofFigures"/>
        <w:rPr>
          <w:rFonts w:ascii="Times New Roman" w:eastAsiaTheme="minorEastAsia" w:hAnsi="Times New Roman"/>
          <w:noProof/>
          <w:szCs w:val="24"/>
        </w:rPr>
      </w:pPr>
      <w:hyperlink w:anchor="_Toc433370092" w:history="1">
        <w:r w:rsidR="000623C6" w:rsidRPr="009A58D3">
          <w:rPr>
            <w:rStyle w:val="Hyperlink"/>
            <w:rFonts w:ascii="Times New Roman" w:hAnsi="Times New Roman"/>
            <w:noProof/>
            <w:szCs w:val="24"/>
            <w:lang w:bidi="en-US"/>
          </w:rPr>
          <w:t>Figure 3.9. Trends in estimated annual GPP over time. From Cloern and Jasby (2012). Drivers of change in estuarine-coastal ecosystems: discoveries from four decades of study in San Francisco Bay. Rev. Geophys., 50, RG4001, doi:10.1029/2012RG000397.</w:t>
        </w:r>
        <w:r w:rsidR="000623C6" w:rsidRPr="009A58D3">
          <w:rPr>
            <w:rFonts w:ascii="Times New Roman" w:hAnsi="Times New Roman"/>
            <w:noProof/>
            <w:webHidden/>
            <w:szCs w:val="24"/>
          </w:rPr>
          <w:tab/>
        </w:r>
        <w:r w:rsidR="000623C6" w:rsidRPr="009A58D3">
          <w:rPr>
            <w:rFonts w:ascii="Times New Roman" w:hAnsi="Times New Roman"/>
            <w:noProof/>
            <w:webHidden/>
            <w:szCs w:val="24"/>
          </w:rPr>
          <w:fldChar w:fldCharType="begin"/>
        </w:r>
        <w:r w:rsidR="000623C6" w:rsidRPr="009A58D3">
          <w:rPr>
            <w:rFonts w:ascii="Times New Roman" w:hAnsi="Times New Roman"/>
            <w:noProof/>
            <w:webHidden/>
            <w:szCs w:val="24"/>
          </w:rPr>
          <w:instrText xml:space="preserve"> PAGEREF _Toc433370092 \h </w:instrText>
        </w:r>
        <w:r w:rsidR="000623C6" w:rsidRPr="009A58D3">
          <w:rPr>
            <w:rFonts w:ascii="Times New Roman" w:hAnsi="Times New Roman"/>
            <w:noProof/>
            <w:webHidden/>
            <w:szCs w:val="24"/>
          </w:rPr>
        </w:r>
        <w:r w:rsidR="000623C6" w:rsidRPr="009A58D3">
          <w:rPr>
            <w:rFonts w:ascii="Times New Roman" w:hAnsi="Times New Roman"/>
            <w:noProof/>
            <w:webHidden/>
            <w:szCs w:val="24"/>
          </w:rPr>
          <w:fldChar w:fldCharType="separate"/>
        </w:r>
        <w:r w:rsidR="000623C6" w:rsidRPr="009A58D3">
          <w:rPr>
            <w:rFonts w:ascii="Times New Roman" w:hAnsi="Times New Roman"/>
            <w:noProof/>
            <w:webHidden/>
            <w:szCs w:val="24"/>
          </w:rPr>
          <w:t>23</w:t>
        </w:r>
        <w:r w:rsidR="000623C6" w:rsidRPr="009A58D3">
          <w:rPr>
            <w:rFonts w:ascii="Times New Roman" w:hAnsi="Times New Roman"/>
            <w:noProof/>
            <w:webHidden/>
            <w:szCs w:val="24"/>
          </w:rPr>
          <w:fldChar w:fldCharType="end"/>
        </w:r>
      </w:hyperlink>
    </w:p>
    <w:p w:rsidR="000623C6" w:rsidRPr="009A58D3" w:rsidRDefault="005D6FC2">
      <w:pPr>
        <w:pStyle w:val="TableofFigures"/>
        <w:rPr>
          <w:rFonts w:ascii="Times New Roman" w:eastAsiaTheme="minorEastAsia" w:hAnsi="Times New Roman"/>
          <w:noProof/>
          <w:szCs w:val="24"/>
        </w:rPr>
      </w:pPr>
      <w:hyperlink w:anchor="_Toc433370093" w:history="1">
        <w:r w:rsidR="000623C6" w:rsidRPr="009A58D3">
          <w:rPr>
            <w:rStyle w:val="Hyperlink"/>
            <w:rFonts w:ascii="Times New Roman" w:hAnsi="Times New Roman"/>
            <w:noProof/>
            <w:szCs w:val="24"/>
            <w:lang w:bidi="en-US"/>
          </w:rPr>
          <w:t>Figure 3.10. Recommendation of sampling stations representing minimum effort needed to support ambient nutrient assessment of SFB subembayments. Locations should be considered provisional, subject to funding availability and optimization in concert with other nutrient strategy components that require monitoring (e.g., model development, etc.).</w:t>
        </w:r>
        <w:r w:rsidR="000623C6" w:rsidRPr="009A58D3">
          <w:rPr>
            <w:rFonts w:ascii="Times New Roman" w:hAnsi="Times New Roman"/>
            <w:noProof/>
            <w:webHidden/>
            <w:szCs w:val="24"/>
          </w:rPr>
          <w:tab/>
        </w:r>
        <w:r w:rsidR="000623C6" w:rsidRPr="009A58D3">
          <w:rPr>
            <w:rFonts w:ascii="Times New Roman" w:hAnsi="Times New Roman"/>
            <w:noProof/>
            <w:webHidden/>
            <w:szCs w:val="24"/>
          </w:rPr>
          <w:fldChar w:fldCharType="begin"/>
        </w:r>
        <w:r w:rsidR="000623C6" w:rsidRPr="009A58D3">
          <w:rPr>
            <w:rFonts w:ascii="Times New Roman" w:hAnsi="Times New Roman"/>
            <w:noProof/>
            <w:webHidden/>
            <w:szCs w:val="24"/>
          </w:rPr>
          <w:instrText xml:space="preserve"> PAGEREF _Toc433370093 \h </w:instrText>
        </w:r>
        <w:r w:rsidR="000623C6" w:rsidRPr="009A58D3">
          <w:rPr>
            <w:rFonts w:ascii="Times New Roman" w:hAnsi="Times New Roman"/>
            <w:noProof/>
            <w:webHidden/>
            <w:szCs w:val="24"/>
          </w:rPr>
        </w:r>
        <w:r w:rsidR="000623C6" w:rsidRPr="009A58D3">
          <w:rPr>
            <w:rFonts w:ascii="Times New Roman" w:hAnsi="Times New Roman"/>
            <w:noProof/>
            <w:webHidden/>
            <w:szCs w:val="24"/>
          </w:rPr>
          <w:fldChar w:fldCharType="separate"/>
        </w:r>
        <w:r w:rsidR="000623C6" w:rsidRPr="009A58D3">
          <w:rPr>
            <w:rFonts w:ascii="Times New Roman" w:hAnsi="Times New Roman"/>
            <w:noProof/>
            <w:webHidden/>
            <w:szCs w:val="24"/>
          </w:rPr>
          <w:t>24</w:t>
        </w:r>
        <w:r w:rsidR="000623C6" w:rsidRPr="009A58D3">
          <w:rPr>
            <w:rFonts w:ascii="Times New Roman" w:hAnsi="Times New Roman"/>
            <w:noProof/>
            <w:webHidden/>
            <w:szCs w:val="24"/>
          </w:rPr>
          <w:fldChar w:fldCharType="end"/>
        </w:r>
      </w:hyperlink>
    </w:p>
    <w:p w:rsidR="00767C99" w:rsidRPr="009A58D3" w:rsidRDefault="00767C99" w:rsidP="00FD7D57">
      <w:pPr>
        <w:pStyle w:val="TOCLevel1"/>
        <w:tabs>
          <w:tab w:val="left" w:pos="360"/>
        </w:tabs>
        <w:spacing w:before="0" w:after="0" w:line="276" w:lineRule="auto"/>
        <w:ind w:left="360" w:hanging="360"/>
        <w:rPr>
          <w:rFonts w:ascii="Times New Roman" w:hAnsi="Times New Roman"/>
          <w:szCs w:val="24"/>
        </w:rPr>
      </w:pPr>
      <w:r w:rsidRPr="009A58D3">
        <w:rPr>
          <w:rFonts w:ascii="Times New Roman" w:hAnsi="Times New Roman"/>
          <w:b w:val="0"/>
          <w:szCs w:val="24"/>
        </w:rPr>
        <w:fldChar w:fldCharType="end"/>
      </w:r>
    </w:p>
    <w:p w:rsidR="00D57526" w:rsidRPr="009A58D3" w:rsidRDefault="00D57526" w:rsidP="00FD7D57">
      <w:pPr>
        <w:tabs>
          <w:tab w:val="left" w:pos="360"/>
        </w:tabs>
        <w:spacing w:line="276" w:lineRule="auto"/>
        <w:ind w:left="360" w:hanging="360"/>
        <w:rPr>
          <w:b/>
          <w:smallCaps/>
          <w:szCs w:val="24"/>
        </w:rPr>
      </w:pPr>
      <w:r w:rsidRPr="009A58D3">
        <w:rPr>
          <w:szCs w:val="24"/>
        </w:rPr>
        <w:br w:type="page"/>
      </w:r>
    </w:p>
    <w:p w:rsidR="00767C99" w:rsidRPr="009A58D3" w:rsidRDefault="00767C99" w:rsidP="00FD7D57">
      <w:pPr>
        <w:pStyle w:val="Heading1"/>
        <w:numPr>
          <w:ilvl w:val="0"/>
          <w:numId w:val="0"/>
        </w:numPr>
        <w:ind w:left="432" w:hanging="432"/>
        <w:rPr>
          <w:rFonts w:ascii="Times New Roman" w:hAnsi="Times New Roman"/>
          <w:sz w:val="24"/>
          <w:szCs w:val="24"/>
        </w:rPr>
      </w:pPr>
      <w:bookmarkStart w:id="4" w:name="_Toc433370048"/>
      <w:r w:rsidRPr="009A58D3">
        <w:rPr>
          <w:rFonts w:ascii="Times New Roman" w:hAnsi="Times New Roman"/>
          <w:sz w:val="24"/>
          <w:szCs w:val="24"/>
        </w:rPr>
        <w:lastRenderedPageBreak/>
        <w:t>List of Tables</w:t>
      </w:r>
      <w:bookmarkEnd w:id="4"/>
    </w:p>
    <w:p w:rsidR="00D5413A" w:rsidRPr="009A58D3" w:rsidRDefault="00767C99">
      <w:pPr>
        <w:pStyle w:val="TableofFigures"/>
        <w:rPr>
          <w:rFonts w:ascii="Times New Roman" w:eastAsiaTheme="minorEastAsia" w:hAnsi="Times New Roman"/>
          <w:noProof/>
          <w:szCs w:val="24"/>
        </w:rPr>
      </w:pPr>
      <w:r w:rsidRPr="009A58D3">
        <w:rPr>
          <w:rFonts w:ascii="Times New Roman" w:hAnsi="Times New Roman"/>
          <w:szCs w:val="24"/>
        </w:rPr>
        <w:fldChar w:fldCharType="begin"/>
      </w:r>
      <w:r w:rsidRPr="009A58D3">
        <w:rPr>
          <w:rFonts w:ascii="Times New Roman" w:hAnsi="Times New Roman"/>
          <w:szCs w:val="24"/>
        </w:rPr>
        <w:instrText xml:space="preserve"> TOC \h \z \t "TOT" \c </w:instrText>
      </w:r>
      <w:r w:rsidRPr="009A58D3">
        <w:rPr>
          <w:rFonts w:ascii="Times New Roman" w:hAnsi="Times New Roman"/>
          <w:szCs w:val="24"/>
        </w:rPr>
        <w:fldChar w:fldCharType="separate"/>
      </w:r>
      <w:hyperlink w:anchor="_Toc440224070" w:history="1">
        <w:r w:rsidR="00D5413A" w:rsidRPr="009A58D3">
          <w:rPr>
            <w:rStyle w:val="Hyperlink"/>
            <w:rFonts w:ascii="Times New Roman" w:hAnsi="Times New Roman"/>
            <w:noProof/>
            <w:szCs w:val="24"/>
            <w:lang w:bidi="en-US"/>
          </w:rPr>
          <w:t>Table 2.1 Methods of eutrophication assessment and examples of biological and physico-chemical indicators used and integration capabilities (pressure-state and overall; modified from Borja et al. 2009). From Ferreira et al. 2012.</w:t>
        </w:r>
        <w:r w:rsidR="00D5413A" w:rsidRPr="009A58D3">
          <w:rPr>
            <w:rFonts w:ascii="Times New Roman" w:hAnsi="Times New Roman"/>
            <w:noProof/>
            <w:webHidden/>
            <w:szCs w:val="24"/>
          </w:rPr>
          <w:tab/>
        </w:r>
        <w:r w:rsidR="00D5413A" w:rsidRPr="009A58D3">
          <w:rPr>
            <w:rFonts w:ascii="Times New Roman" w:hAnsi="Times New Roman"/>
            <w:noProof/>
            <w:webHidden/>
            <w:szCs w:val="24"/>
          </w:rPr>
          <w:fldChar w:fldCharType="begin"/>
        </w:r>
        <w:r w:rsidR="00D5413A" w:rsidRPr="009A58D3">
          <w:rPr>
            <w:rFonts w:ascii="Times New Roman" w:hAnsi="Times New Roman"/>
            <w:noProof/>
            <w:webHidden/>
            <w:szCs w:val="24"/>
          </w:rPr>
          <w:instrText xml:space="preserve"> PAGEREF _Toc440224070 \h </w:instrText>
        </w:r>
        <w:r w:rsidR="00D5413A" w:rsidRPr="009A58D3">
          <w:rPr>
            <w:rFonts w:ascii="Times New Roman" w:hAnsi="Times New Roman"/>
            <w:noProof/>
            <w:webHidden/>
            <w:szCs w:val="24"/>
          </w:rPr>
        </w:r>
        <w:r w:rsidR="00D5413A" w:rsidRPr="009A58D3">
          <w:rPr>
            <w:rFonts w:ascii="Times New Roman" w:hAnsi="Times New Roman"/>
            <w:noProof/>
            <w:webHidden/>
            <w:szCs w:val="24"/>
          </w:rPr>
          <w:fldChar w:fldCharType="separate"/>
        </w:r>
        <w:r w:rsidR="00D5413A" w:rsidRPr="009A58D3">
          <w:rPr>
            <w:rFonts w:ascii="Times New Roman" w:hAnsi="Times New Roman"/>
            <w:noProof/>
            <w:webHidden/>
            <w:szCs w:val="24"/>
          </w:rPr>
          <w:t>9</w:t>
        </w:r>
        <w:r w:rsidR="00D5413A" w:rsidRPr="009A58D3">
          <w:rPr>
            <w:rFonts w:ascii="Times New Roman" w:hAnsi="Times New Roman"/>
            <w:noProof/>
            <w:webHidden/>
            <w:szCs w:val="24"/>
          </w:rPr>
          <w:fldChar w:fldCharType="end"/>
        </w:r>
      </w:hyperlink>
    </w:p>
    <w:p w:rsidR="00D5413A" w:rsidRPr="009A58D3" w:rsidRDefault="005D6FC2">
      <w:pPr>
        <w:pStyle w:val="TableofFigures"/>
        <w:rPr>
          <w:rFonts w:ascii="Times New Roman" w:eastAsiaTheme="minorEastAsia" w:hAnsi="Times New Roman"/>
          <w:noProof/>
          <w:szCs w:val="24"/>
        </w:rPr>
      </w:pPr>
      <w:hyperlink w:anchor="_Toc440224071" w:history="1">
        <w:r w:rsidR="00D5413A" w:rsidRPr="009A58D3">
          <w:rPr>
            <w:rStyle w:val="Hyperlink"/>
            <w:rFonts w:ascii="Times New Roman" w:hAnsi="Times New Roman"/>
            <w:noProof/>
            <w:szCs w:val="24"/>
            <w:lang w:bidi="en-US"/>
          </w:rPr>
          <w:t>Table 2.2. Summary of approaches used for assessment of eutrophication applicable to shallow and deepwater unvegetated subtidal habitat. Adapted from Devlin et al. 2011.</w:t>
        </w:r>
        <w:r w:rsidR="00D5413A" w:rsidRPr="009A58D3">
          <w:rPr>
            <w:rFonts w:ascii="Times New Roman" w:hAnsi="Times New Roman"/>
            <w:noProof/>
            <w:webHidden/>
            <w:szCs w:val="24"/>
          </w:rPr>
          <w:tab/>
        </w:r>
        <w:r w:rsidR="00D5413A" w:rsidRPr="009A58D3">
          <w:rPr>
            <w:rFonts w:ascii="Times New Roman" w:hAnsi="Times New Roman"/>
            <w:noProof/>
            <w:webHidden/>
            <w:szCs w:val="24"/>
          </w:rPr>
          <w:fldChar w:fldCharType="begin"/>
        </w:r>
        <w:r w:rsidR="00D5413A" w:rsidRPr="009A58D3">
          <w:rPr>
            <w:rFonts w:ascii="Times New Roman" w:hAnsi="Times New Roman"/>
            <w:noProof/>
            <w:webHidden/>
            <w:szCs w:val="24"/>
          </w:rPr>
          <w:instrText xml:space="preserve"> PAGEREF _Toc440224071 \h </w:instrText>
        </w:r>
        <w:r w:rsidR="00D5413A" w:rsidRPr="009A58D3">
          <w:rPr>
            <w:rFonts w:ascii="Times New Roman" w:hAnsi="Times New Roman"/>
            <w:noProof/>
            <w:webHidden/>
            <w:szCs w:val="24"/>
          </w:rPr>
        </w:r>
        <w:r w:rsidR="00D5413A" w:rsidRPr="009A58D3">
          <w:rPr>
            <w:rFonts w:ascii="Times New Roman" w:hAnsi="Times New Roman"/>
            <w:noProof/>
            <w:webHidden/>
            <w:szCs w:val="24"/>
          </w:rPr>
          <w:fldChar w:fldCharType="separate"/>
        </w:r>
        <w:r w:rsidR="00D5413A" w:rsidRPr="009A58D3">
          <w:rPr>
            <w:rFonts w:ascii="Times New Roman" w:hAnsi="Times New Roman"/>
            <w:noProof/>
            <w:webHidden/>
            <w:szCs w:val="24"/>
          </w:rPr>
          <w:t>10</w:t>
        </w:r>
        <w:r w:rsidR="00D5413A" w:rsidRPr="009A58D3">
          <w:rPr>
            <w:rFonts w:ascii="Times New Roman" w:hAnsi="Times New Roman"/>
            <w:noProof/>
            <w:webHidden/>
            <w:szCs w:val="24"/>
          </w:rPr>
          <w:fldChar w:fldCharType="end"/>
        </w:r>
      </w:hyperlink>
    </w:p>
    <w:p w:rsidR="00D5413A" w:rsidRPr="009A58D3" w:rsidRDefault="005D6FC2">
      <w:pPr>
        <w:pStyle w:val="TableofFigures"/>
        <w:rPr>
          <w:rFonts w:ascii="Times New Roman" w:eastAsiaTheme="minorEastAsia" w:hAnsi="Times New Roman"/>
          <w:noProof/>
          <w:szCs w:val="24"/>
        </w:rPr>
      </w:pPr>
      <w:hyperlink w:anchor="_Toc440224072" w:history="1">
        <w:r w:rsidR="00D5413A" w:rsidRPr="009A58D3">
          <w:rPr>
            <w:rStyle w:val="Hyperlink"/>
            <w:rFonts w:ascii="Times New Roman" w:hAnsi="Times New Roman"/>
            <w:noProof/>
            <w:szCs w:val="24"/>
            <w:lang w:bidi="en-US"/>
          </w:rPr>
          <w:t>Table 3.1. Size and locations of boundaries defined by preliminary AF classification scheme (from Jassby et al. 1997).</w:t>
        </w:r>
        <w:r w:rsidR="00D5413A" w:rsidRPr="009A58D3">
          <w:rPr>
            <w:rFonts w:ascii="Times New Roman" w:hAnsi="Times New Roman"/>
            <w:noProof/>
            <w:webHidden/>
            <w:szCs w:val="24"/>
          </w:rPr>
          <w:tab/>
        </w:r>
        <w:r w:rsidR="00D5413A" w:rsidRPr="009A58D3">
          <w:rPr>
            <w:rFonts w:ascii="Times New Roman" w:hAnsi="Times New Roman"/>
            <w:noProof/>
            <w:webHidden/>
            <w:szCs w:val="24"/>
          </w:rPr>
          <w:fldChar w:fldCharType="begin"/>
        </w:r>
        <w:r w:rsidR="00D5413A" w:rsidRPr="009A58D3">
          <w:rPr>
            <w:rFonts w:ascii="Times New Roman" w:hAnsi="Times New Roman"/>
            <w:noProof/>
            <w:webHidden/>
            <w:szCs w:val="24"/>
          </w:rPr>
          <w:instrText xml:space="preserve"> PAGEREF _Toc440224072 \h </w:instrText>
        </w:r>
        <w:r w:rsidR="00D5413A" w:rsidRPr="009A58D3">
          <w:rPr>
            <w:rFonts w:ascii="Times New Roman" w:hAnsi="Times New Roman"/>
            <w:noProof/>
            <w:webHidden/>
            <w:szCs w:val="24"/>
          </w:rPr>
        </w:r>
        <w:r w:rsidR="00D5413A" w:rsidRPr="009A58D3">
          <w:rPr>
            <w:rFonts w:ascii="Times New Roman" w:hAnsi="Times New Roman"/>
            <w:noProof/>
            <w:webHidden/>
            <w:szCs w:val="24"/>
          </w:rPr>
          <w:fldChar w:fldCharType="separate"/>
        </w:r>
        <w:r w:rsidR="00D5413A" w:rsidRPr="009A58D3">
          <w:rPr>
            <w:rFonts w:ascii="Times New Roman" w:hAnsi="Times New Roman"/>
            <w:noProof/>
            <w:webHidden/>
            <w:szCs w:val="24"/>
          </w:rPr>
          <w:t>13</w:t>
        </w:r>
        <w:r w:rsidR="00D5413A" w:rsidRPr="009A58D3">
          <w:rPr>
            <w:rFonts w:ascii="Times New Roman" w:hAnsi="Times New Roman"/>
            <w:noProof/>
            <w:webHidden/>
            <w:szCs w:val="24"/>
          </w:rPr>
          <w:fldChar w:fldCharType="end"/>
        </w:r>
      </w:hyperlink>
    </w:p>
    <w:p w:rsidR="00D5413A" w:rsidRPr="009A58D3" w:rsidRDefault="005D6FC2">
      <w:pPr>
        <w:pStyle w:val="TableofFigures"/>
        <w:rPr>
          <w:rFonts w:ascii="Times New Roman" w:eastAsiaTheme="minorEastAsia" w:hAnsi="Times New Roman"/>
          <w:noProof/>
          <w:szCs w:val="24"/>
        </w:rPr>
      </w:pPr>
      <w:hyperlink w:anchor="_Toc440224073" w:history="1">
        <w:r w:rsidR="00D5413A" w:rsidRPr="009A58D3">
          <w:rPr>
            <w:rStyle w:val="Hyperlink"/>
            <w:rFonts w:ascii="Times New Roman" w:hAnsi="Times New Roman"/>
            <w:noProof/>
            <w:szCs w:val="24"/>
            <w:lang w:bidi="en-US"/>
          </w:rPr>
          <w:t>Table 3.2 Plausible undesirable states and link to beneficial uses (adapted from SFEI 2014b).</w:t>
        </w:r>
        <w:r w:rsidR="00D5413A" w:rsidRPr="009A58D3">
          <w:rPr>
            <w:rFonts w:ascii="Times New Roman" w:hAnsi="Times New Roman"/>
            <w:noProof/>
            <w:webHidden/>
            <w:szCs w:val="24"/>
          </w:rPr>
          <w:tab/>
        </w:r>
        <w:r w:rsidR="00D5413A" w:rsidRPr="009A58D3">
          <w:rPr>
            <w:rFonts w:ascii="Times New Roman" w:hAnsi="Times New Roman"/>
            <w:noProof/>
            <w:webHidden/>
            <w:szCs w:val="24"/>
          </w:rPr>
          <w:fldChar w:fldCharType="begin"/>
        </w:r>
        <w:r w:rsidR="00D5413A" w:rsidRPr="009A58D3">
          <w:rPr>
            <w:rFonts w:ascii="Times New Roman" w:hAnsi="Times New Roman"/>
            <w:noProof/>
            <w:webHidden/>
            <w:szCs w:val="24"/>
          </w:rPr>
          <w:instrText xml:space="preserve"> PAGEREF _Toc440224073 \h </w:instrText>
        </w:r>
        <w:r w:rsidR="00D5413A" w:rsidRPr="009A58D3">
          <w:rPr>
            <w:rFonts w:ascii="Times New Roman" w:hAnsi="Times New Roman"/>
            <w:noProof/>
            <w:webHidden/>
            <w:szCs w:val="24"/>
          </w:rPr>
        </w:r>
        <w:r w:rsidR="00D5413A" w:rsidRPr="009A58D3">
          <w:rPr>
            <w:rFonts w:ascii="Times New Roman" w:hAnsi="Times New Roman"/>
            <w:noProof/>
            <w:webHidden/>
            <w:szCs w:val="24"/>
          </w:rPr>
          <w:fldChar w:fldCharType="separate"/>
        </w:r>
        <w:r w:rsidR="00D5413A" w:rsidRPr="009A58D3">
          <w:rPr>
            <w:rFonts w:ascii="Times New Roman" w:hAnsi="Times New Roman"/>
            <w:noProof/>
            <w:webHidden/>
            <w:szCs w:val="24"/>
          </w:rPr>
          <w:t>15</w:t>
        </w:r>
        <w:r w:rsidR="00D5413A" w:rsidRPr="009A58D3">
          <w:rPr>
            <w:rFonts w:ascii="Times New Roman" w:hAnsi="Times New Roman"/>
            <w:noProof/>
            <w:webHidden/>
            <w:szCs w:val="24"/>
          </w:rPr>
          <w:fldChar w:fldCharType="end"/>
        </w:r>
      </w:hyperlink>
    </w:p>
    <w:p w:rsidR="00D5413A" w:rsidRPr="009A58D3" w:rsidRDefault="005D6FC2">
      <w:pPr>
        <w:pStyle w:val="TableofFigures"/>
        <w:rPr>
          <w:rFonts w:ascii="Times New Roman" w:eastAsiaTheme="minorEastAsia" w:hAnsi="Times New Roman"/>
          <w:noProof/>
          <w:szCs w:val="24"/>
        </w:rPr>
      </w:pPr>
      <w:hyperlink w:anchor="_Toc440224074" w:history="1">
        <w:r w:rsidR="00D5413A" w:rsidRPr="009A58D3">
          <w:rPr>
            <w:rStyle w:val="Hyperlink"/>
            <w:rFonts w:ascii="Times New Roman" w:hAnsi="Times New Roman"/>
            <w:noProof/>
            <w:szCs w:val="24"/>
            <w:lang w:bidi="en-US"/>
          </w:rPr>
          <w:t>Table 3.3 Recommended indicators, analytes and basis for classification scheme.</w:t>
        </w:r>
        <w:r w:rsidR="00D5413A" w:rsidRPr="009A58D3">
          <w:rPr>
            <w:rFonts w:ascii="Times New Roman" w:hAnsi="Times New Roman"/>
            <w:noProof/>
            <w:webHidden/>
            <w:szCs w:val="24"/>
          </w:rPr>
          <w:tab/>
        </w:r>
        <w:r w:rsidR="00D5413A" w:rsidRPr="009A58D3">
          <w:rPr>
            <w:rFonts w:ascii="Times New Roman" w:hAnsi="Times New Roman"/>
            <w:noProof/>
            <w:webHidden/>
            <w:szCs w:val="24"/>
          </w:rPr>
          <w:fldChar w:fldCharType="begin"/>
        </w:r>
        <w:r w:rsidR="00D5413A" w:rsidRPr="009A58D3">
          <w:rPr>
            <w:rFonts w:ascii="Times New Roman" w:hAnsi="Times New Roman"/>
            <w:noProof/>
            <w:webHidden/>
            <w:szCs w:val="24"/>
          </w:rPr>
          <w:instrText xml:space="preserve"> PAGEREF _Toc440224074 \h </w:instrText>
        </w:r>
        <w:r w:rsidR="00D5413A" w:rsidRPr="009A58D3">
          <w:rPr>
            <w:rFonts w:ascii="Times New Roman" w:hAnsi="Times New Roman"/>
            <w:noProof/>
            <w:webHidden/>
            <w:szCs w:val="24"/>
          </w:rPr>
        </w:r>
        <w:r w:rsidR="00D5413A" w:rsidRPr="009A58D3">
          <w:rPr>
            <w:rFonts w:ascii="Times New Roman" w:hAnsi="Times New Roman"/>
            <w:noProof/>
            <w:webHidden/>
            <w:szCs w:val="24"/>
          </w:rPr>
          <w:fldChar w:fldCharType="separate"/>
        </w:r>
        <w:r w:rsidR="00D5413A" w:rsidRPr="009A58D3">
          <w:rPr>
            <w:rFonts w:ascii="Times New Roman" w:hAnsi="Times New Roman"/>
            <w:noProof/>
            <w:webHidden/>
            <w:szCs w:val="24"/>
          </w:rPr>
          <w:t>21</w:t>
        </w:r>
        <w:r w:rsidR="00D5413A" w:rsidRPr="009A58D3">
          <w:rPr>
            <w:rFonts w:ascii="Times New Roman" w:hAnsi="Times New Roman"/>
            <w:noProof/>
            <w:webHidden/>
            <w:szCs w:val="24"/>
          </w:rPr>
          <w:fldChar w:fldCharType="end"/>
        </w:r>
      </w:hyperlink>
    </w:p>
    <w:p w:rsidR="00D5413A" w:rsidRPr="009A58D3" w:rsidRDefault="005D6FC2">
      <w:pPr>
        <w:pStyle w:val="TableofFigures"/>
        <w:rPr>
          <w:rFonts w:ascii="Times New Roman" w:eastAsiaTheme="minorEastAsia" w:hAnsi="Times New Roman"/>
          <w:noProof/>
          <w:szCs w:val="24"/>
        </w:rPr>
      </w:pPr>
      <w:hyperlink w:anchor="_Toc440224075" w:history="1">
        <w:r w:rsidR="00D5413A" w:rsidRPr="009A58D3">
          <w:rPr>
            <w:rStyle w:val="Hyperlink"/>
            <w:rFonts w:ascii="Times New Roman" w:hAnsi="Times New Roman"/>
            <w:noProof/>
            <w:szCs w:val="24"/>
            <w:lang w:bidi="en-US"/>
          </w:rPr>
          <w:t>Table 3.4. Chlorophyll-a Classification Table Linked to HAB Abundance, Based on Annual Frequency of Occurrence in Monthly Samples. Classification should be applied to each subembayment.</w:t>
        </w:r>
        <w:r w:rsidR="00D5413A" w:rsidRPr="009A58D3">
          <w:rPr>
            <w:rFonts w:ascii="Times New Roman" w:hAnsi="Times New Roman"/>
            <w:noProof/>
            <w:webHidden/>
            <w:szCs w:val="24"/>
          </w:rPr>
          <w:tab/>
        </w:r>
        <w:r w:rsidR="00D5413A" w:rsidRPr="009A58D3">
          <w:rPr>
            <w:rFonts w:ascii="Times New Roman" w:hAnsi="Times New Roman"/>
            <w:noProof/>
            <w:webHidden/>
            <w:szCs w:val="24"/>
          </w:rPr>
          <w:fldChar w:fldCharType="begin"/>
        </w:r>
        <w:r w:rsidR="00D5413A" w:rsidRPr="009A58D3">
          <w:rPr>
            <w:rFonts w:ascii="Times New Roman" w:hAnsi="Times New Roman"/>
            <w:noProof/>
            <w:webHidden/>
            <w:szCs w:val="24"/>
          </w:rPr>
          <w:instrText xml:space="preserve"> PAGEREF _Toc440224075 \h </w:instrText>
        </w:r>
        <w:r w:rsidR="00D5413A" w:rsidRPr="009A58D3">
          <w:rPr>
            <w:rFonts w:ascii="Times New Roman" w:hAnsi="Times New Roman"/>
            <w:noProof/>
            <w:webHidden/>
            <w:szCs w:val="24"/>
          </w:rPr>
        </w:r>
        <w:r w:rsidR="00D5413A" w:rsidRPr="009A58D3">
          <w:rPr>
            <w:rFonts w:ascii="Times New Roman" w:hAnsi="Times New Roman"/>
            <w:noProof/>
            <w:webHidden/>
            <w:szCs w:val="24"/>
          </w:rPr>
          <w:fldChar w:fldCharType="separate"/>
        </w:r>
        <w:r w:rsidR="00D5413A" w:rsidRPr="009A58D3">
          <w:rPr>
            <w:rFonts w:ascii="Times New Roman" w:hAnsi="Times New Roman"/>
            <w:noProof/>
            <w:webHidden/>
            <w:szCs w:val="24"/>
          </w:rPr>
          <w:t>27</w:t>
        </w:r>
        <w:r w:rsidR="00D5413A" w:rsidRPr="009A58D3">
          <w:rPr>
            <w:rFonts w:ascii="Times New Roman" w:hAnsi="Times New Roman"/>
            <w:noProof/>
            <w:webHidden/>
            <w:szCs w:val="24"/>
          </w:rPr>
          <w:fldChar w:fldCharType="end"/>
        </w:r>
      </w:hyperlink>
    </w:p>
    <w:p w:rsidR="00D5413A" w:rsidRPr="009A58D3" w:rsidRDefault="005D6FC2">
      <w:pPr>
        <w:pStyle w:val="TableofFigures"/>
        <w:rPr>
          <w:rFonts w:ascii="Times New Roman" w:eastAsiaTheme="minorEastAsia" w:hAnsi="Times New Roman"/>
          <w:noProof/>
          <w:szCs w:val="24"/>
        </w:rPr>
      </w:pPr>
      <w:hyperlink w:anchor="_Toc440224076" w:history="1">
        <w:r w:rsidR="00D5413A" w:rsidRPr="009A58D3">
          <w:rPr>
            <w:rStyle w:val="Hyperlink"/>
            <w:rFonts w:ascii="Times New Roman" w:hAnsi="Times New Roman"/>
            <w:noProof/>
            <w:szCs w:val="24"/>
            <w:lang w:bidi="en-US"/>
          </w:rPr>
          <w:t>Table 3.5. Chlorophyll-a Classification Table Based on Risk of Falling Below DO Water Quality Objectives, Based on Annual February-September Mean Chlorophyll-a, for South Bay and Lower South Bay only.</w:t>
        </w:r>
        <w:r w:rsidR="00D5413A" w:rsidRPr="009A58D3">
          <w:rPr>
            <w:rFonts w:ascii="Times New Roman" w:hAnsi="Times New Roman"/>
            <w:noProof/>
            <w:webHidden/>
            <w:szCs w:val="24"/>
          </w:rPr>
          <w:tab/>
        </w:r>
        <w:r w:rsidR="00D5413A" w:rsidRPr="009A58D3">
          <w:rPr>
            <w:rFonts w:ascii="Times New Roman" w:hAnsi="Times New Roman"/>
            <w:noProof/>
            <w:webHidden/>
            <w:szCs w:val="24"/>
          </w:rPr>
          <w:fldChar w:fldCharType="begin"/>
        </w:r>
        <w:r w:rsidR="00D5413A" w:rsidRPr="009A58D3">
          <w:rPr>
            <w:rFonts w:ascii="Times New Roman" w:hAnsi="Times New Roman"/>
            <w:noProof/>
            <w:webHidden/>
            <w:szCs w:val="24"/>
          </w:rPr>
          <w:instrText xml:space="preserve"> PAGEREF _Toc440224076 \h </w:instrText>
        </w:r>
        <w:r w:rsidR="00D5413A" w:rsidRPr="009A58D3">
          <w:rPr>
            <w:rFonts w:ascii="Times New Roman" w:hAnsi="Times New Roman"/>
            <w:noProof/>
            <w:webHidden/>
            <w:szCs w:val="24"/>
          </w:rPr>
        </w:r>
        <w:r w:rsidR="00D5413A" w:rsidRPr="009A58D3">
          <w:rPr>
            <w:rFonts w:ascii="Times New Roman" w:hAnsi="Times New Roman"/>
            <w:noProof/>
            <w:webHidden/>
            <w:szCs w:val="24"/>
          </w:rPr>
          <w:fldChar w:fldCharType="separate"/>
        </w:r>
        <w:r w:rsidR="00D5413A" w:rsidRPr="009A58D3">
          <w:rPr>
            <w:rFonts w:ascii="Times New Roman" w:hAnsi="Times New Roman"/>
            <w:noProof/>
            <w:webHidden/>
            <w:szCs w:val="24"/>
          </w:rPr>
          <w:t>28</w:t>
        </w:r>
        <w:r w:rsidR="00D5413A" w:rsidRPr="009A58D3">
          <w:rPr>
            <w:rFonts w:ascii="Times New Roman" w:hAnsi="Times New Roman"/>
            <w:noProof/>
            <w:webHidden/>
            <w:szCs w:val="24"/>
          </w:rPr>
          <w:fldChar w:fldCharType="end"/>
        </w:r>
      </w:hyperlink>
    </w:p>
    <w:p w:rsidR="00D5413A" w:rsidRPr="009A58D3" w:rsidRDefault="005D6FC2">
      <w:pPr>
        <w:pStyle w:val="TableofFigures"/>
        <w:rPr>
          <w:rFonts w:ascii="Times New Roman" w:eastAsiaTheme="minorEastAsia" w:hAnsi="Times New Roman"/>
          <w:noProof/>
          <w:szCs w:val="24"/>
        </w:rPr>
      </w:pPr>
      <w:hyperlink w:anchor="_Toc440224077" w:history="1">
        <w:r w:rsidR="00D5413A" w:rsidRPr="009A58D3">
          <w:rPr>
            <w:rStyle w:val="Hyperlink"/>
            <w:rFonts w:ascii="Times New Roman" w:hAnsi="Times New Roman"/>
            <w:noProof/>
            <w:szCs w:val="24"/>
            <w:lang w:bidi="en-US"/>
          </w:rPr>
          <w:t>Table 3.6. Gross Primary Productivity Classification Table Based on Annual Rate (g m</w:t>
        </w:r>
        <w:r w:rsidR="00D5413A" w:rsidRPr="009A58D3">
          <w:rPr>
            <w:rStyle w:val="Hyperlink"/>
            <w:rFonts w:ascii="Times New Roman" w:hAnsi="Times New Roman"/>
            <w:noProof/>
            <w:szCs w:val="24"/>
            <w:vertAlign w:val="superscript"/>
            <w:lang w:bidi="en-US"/>
          </w:rPr>
          <w:t>-2</w:t>
        </w:r>
        <w:r w:rsidR="00D5413A" w:rsidRPr="009A58D3">
          <w:rPr>
            <w:rStyle w:val="Hyperlink"/>
            <w:rFonts w:ascii="Times New Roman" w:hAnsi="Times New Roman"/>
            <w:noProof/>
            <w:szCs w:val="24"/>
            <w:lang w:bidi="en-US"/>
          </w:rPr>
          <w:t xml:space="preserve"> yr-</w:t>
        </w:r>
        <w:r w:rsidR="00D5413A" w:rsidRPr="009A58D3">
          <w:rPr>
            <w:rStyle w:val="Hyperlink"/>
            <w:rFonts w:ascii="Times New Roman" w:hAnsi="Times New Roman"/>
            <w:noProof/>
            <w:szCs w:val="24"/>
            <w:vertAlign w:val="superscript"/>
            <w:lang w:bidi="en-US"/>
          </w:rPr>
          <w:t>1</w:t>
        </w:r>
        <w:r w:rsidR="00D5413A" w:rsidRPr="009A58D3">
          <w:rPr>
            <w:rStyle w:val="Hyperlink"/>
            <w:rFonts w:ascii="Times New Roman" w:hAnsi="Times New Roman"/>
            <w:noProof/>
            <w:szCs w:val="24"/>
            <w:lang w:bidi="en-US"/>
          </w:rPr>
          <w:t>). Classification should be applied to each subembayment.</w:t>
        </w:r>
        <w:r w:rsidR="00D5413A" w:rsidRPr="009A58D3">
          <w:rPr>
            <w:rFonts w:ascii="Times New Roman" w:hAnsi="Times New Roman"/>
            <w:noProof/>
            <w:webHidden/>
            <w:szCs w:val="24"/>
          </w:rPr>
          <w:tab/>
        </w:r>
        <w:r w:rsidR="00D5413A" w:rsidRPr="009A58D3">
          <w:rPr>
            <w:rFonts w:ascii="Times New Roman" w:hAnsi="Times New Roman"/>
            <w:noProof/>
            <w:webHidden/>
            <w:szCs w:val="24"/>
          </w:rPr>
          <w:fldChar w:fldCharType="begin"/>
        </w:r>
        <w:r w:rsidR="00D5413A" w:rsidRPr="009A58D3">
          <w:rPr>
            <w:rFonts w:ascii="Times New Roman" w:hAnsi="Times New Roman"/>
            <w:noProof/>
            <w:webHidden/>
            <w:szCs w:val="24"/>
          </w:rPr>
          <w:instrText xml:space="preserve"> PAGEREF _Toc440224077 \h </w:instrText>
        </w:r>
        <w:r w:rsidR="00D5413A" w:rsidRPr="009A58D3">
          <w:rPr>
            <w:rFonts w:ascii="Times New Roman" w:hAnsi="Times New Roman"/>
            <w:noProof/>
            <w:webHidden/>
            <w:szCs w:val="24"/>
          </w:rPr>
        </w:r>
        <w:r w:rsidR="00D5413A" w:rsidRPr="009A58D3">
          <w:rPr>
            <w:rFonts w:ascii="Times New Roman" w:hAnsi="Times New Roman"/>
            <w:noProof/>
            <w:webHidden/>
            <w:szCs w:val="24"/>
          </w:rPr>
          <w:fldChar w:fldCharType="separate"/>
        </w:r>
        <w:r w:rsidR="00D5413A" w:rsidRPr="009A58D3">
          <w:rPr>
            <w:rFonts w:ascii="Times New Roman" w:hAnsi="Times New Roman"/>
            <w:noProof/>
            <w:webHidden/>
            <w:szCs w:val="24"/>
          </w:rPr>
          <w:t>31</w:t>
        </w:r>
        <w:r w:rsidR="00D5413A" w:rsidRPr="009A58D3">
          <w:rPr>
            <w:rFonts w:ascii="Times New Roman" w:hAnsi="Times New Roman"/>
            <w:noProof/>
            <w:webHidden/>
            <w:szCs w:val="24"/>
          </w:rPr>
          <w:fldChar w:fldCharType="end"/>
        </w:r>
      </w:hyperlink>
    </w:p>
    <w:p w:rsidR="00D5413A" w:rsidRPr="009A58D3" w:rsidRDefault="005D6FC2">
      <w:pPr>
        <w:pStyle w:val="TableofFigures"/>
        <w:rPr>
          <w:rFonts w:ascii="Times New Roman" w:eastAsiaTheme="minorEastAsia" w:hAnsi="Times New Roman"/>
          <w:noProof/>
          <w:szCs w:val="24"/>
        </w:rPr>
      </w:pPr>
      <w:hyperlink w:anchor="_Toc440224078" w:history="1">
        <w:r w:rsidR="00D5413A" w:rsidRPr="009A58D3">
          <w:rPr>
            <w:rStyle w:val="Hyperlink"/>
            <w:rFonts w:ascii="Times New Roman" w:eastAsiaTheme="minorHAnsi" w:hAnsi="Times New Roman"/>
            <w:noProof/>
            <w:szCs w:val="24"/>
            <w:lang w:bidi="en-US"/>
          </w:rPr>
          <w:t>Table 3.7. Potential HABs from San Francisco Bay, and alert levels used in other regions.</w:t>
        </w:r>
        <w:r w:rsidR="00D5413A" w:rsidRPr="009A58D3">
          <w:rPr>
            <w:rFonts w:ascii="Times New Roman" w:hAnsi="Times New Roman"/>
            <w:noProof/>
            <w:webHidden/>
            <w:szCs w:val="24"/>
          </w:rPr>
          <w:tab/>
        </w:r>
        <w:r w:rsidR="00D5413A" w:rsidRPr="009A58D3">
          <w:rPr>
            <w:rFonts w:ascii="Times New Roman" w:hAnsi="Times New Roman"/>
            <w:noProof/>
            <w:webHidden/>
            <w:szCs w:val="24"/>
          </w:rPr>
          <w:fldChar w:fldCharType="begin"/>
        </w:r>
        <w:r w:rsidR="00D5413A" w:rsidRPr="009A58D3">
          <w:rPr>
            <w:rFonts w:ascii="Times New Roman" w:hAnsi="Times New Roman"/>
            <w:noProof/>
            <w:webHidden/>
            <w:szCs w:val="24"/>
          </w:rPr>
          <w:instrText xml:space="preserve"> PAGEREF _Toc440224078 \h </w:instrText>
        </w:r>
        <w:r w:rsidR="00D5413A" w:rsidRPr="009A58D3">
          <w:rPr>
            <w:rFonts w:ascii="Times New Roman" w:hAnsi="Times New Roman"/>
            <w:noProof/>
            <w:webHidden/>
            <w:szCs w:val="24"/>
          </w:rPr>
        </w:r>
        <w:r w:rsidR="00D5413A" w:rsidRPr="009A58D3">
          <w:rPr>
            <w:rFonts w:ascii="Times New Roman" w:hAnsi="Times New Roman"/>
            <w:noProof/>
            <w:webHidden/>
            <w:szCs w:val="24"/>
          </w:rPr>
          <w:fldChar w:fldCharType="separate"/>
        </w:r>
        <w:r w:rsidR="00D5413A" w:rsidRPr="009A58D3">
          <w:rPr>
            <w:rFonts w:ascii="Times New Roman" w:hAnsi="Times New Roman"/>
            <w:noProof/>
            <w:webHidden/>
            <w:szCs w:val="24"/>
          </w:rPr>
          <w:t>31</w:t>
        </w:r>
        <w:r w:rsidR="00D5413A" w:rsidRPr="009A58D3">
          <w:rPr>
            <w:rFonts w:ascii="Times New Roman" w:hAnsi="Times New Roman"/>
            <w:noProof/>
            <w:webHidden/>
            <w:szCs w:val="24"/>
          </w:rPr>
          <w:fldChar w:fldCharType="end"/>
        </w:r>
      </w:hyperlink>
    </w:p>
    <w:p w:rsidR="00D5413A" w:rsidRPr="009A58D3" w:rsidRDefault="005D6FC2">
      <w:pPr>
        <w:pStyle w:val="TableofFigures"/>
        <w:rPr>
          <w:rFonts w:ascii="Times New Roman" w:eastAsiaTheme="minorEastAsia" w:hAnsi="Times New Roman"/>
          <w:noProof/>
          <w:szCs w:val="24"/>
        </w:rPr>
      </w:pPr>
      <w:hyperlink w:anchor="_Toc440224079" w:history="1">
        <w:r w:rsidR="00D5413A" w:rsidRPr="009A58D3">
          <w:rPr>
            <w:rStyle w:val="Hyperlink"/>
            <w:rFonts w:ascii="Times New Roman" w:hAnsi="Times New Roman"/>
            <w:noProof/>
            <w:szCs w:val="24"/>
            <w:lang w:bidi="en-US"/>
          </w:rPr>
          <w:t>Table 3.8. Toxin Classification Table for Microcystin. Classification should be applied to each subembayment. If multiple occurrences in different media (particulate, SPATT, tissue) are detected within a subembayment on an annual basis, the lowest rating for the year should be applied.</w:t>
        </w:r>
        <w:r w:rsidR="00D5413A" w:rsidRPr="009A58D3">
          <w:rPr>
            <w:rFonts w:ascii="Times New Roman" w:hAnsi="Times New Roman"/>
            <w:noProof/>
            <w:webHidden/>
            <w:szCs w:val="24"/>
          </w:rPr>
          <w:tab/>
        </w:r>
        <w:r w:rsidR="00D5413A" w:rsidRPr="009A58D3">
          <w:rPr>
            <w:rFonts w:ascii="Times New Roman" w:hAnsi="Times New Roman"/>
            <w:noProof/>
            <w:webHidden/>
            <w:szCs w:val="24"/>
          </w:rPr>
          <w:fldChar w:fldCharType="begin"/>
        </w:r>
        <w:r w:rsidR="00D5413A" w:rsidRPr="009A58D3">
          <w:rPr>
            <w:rFonts w:ascii="Times New Roman" w:hAnsi="Times New Roman"/>
            <w:noProof/>
            <w:webHidden/>
            <w:szCs w:val="24"/>
          </w:rPr>
          <w:instrText xml:space="preserve"> PAGEREF _Toc440224079 \h </w:instrText>
        </w:r>
        <w:r w:rsidR="00D5413A" w:rsidRPr="009A58D3">
          <w:rPr>
            <w:rFonts w:ascii="Times New Roman" w:hAnsi="Times New Roman"/>
            <w:noProof/>
            <w:webHidden/>
            <w:szCs w:val="24"/>
          </w:rPr>
        </w:r>
        <w:r w:rsidR="00D5413A" w:rsidRPr="009A58D3">
          <w:rPr>
            <w:rFonts w:ascii="Times New Roman" w:hAnsi="Times New Roman"/>
            <w:noProof/>
            <w:webHidden/>
            <w:szCs w:val="24"/>
          </w:rPr>
          <w:fldChar w:fldCharType="separate"/>
        </w:r>
        <w:r w:rsidR="00D5413A" w:rsidRPr="009A58D3">
          <w:rPr>
            <w:rFonts w:ascii="Times New Roman" w:hAnsi="Times New Roman"/>
            <w:noProof/>
            <w:webHidden/>
            <w:szCs w:val="24"/>
          </w:rPr>
          <w:t>32</w:t>
        </w:r>
        <w:r w:rsidR="00D5413A" w:rsidRPr="009A58D3">
          <w:rPr>
            <w:rFonts w:ascii="Times New Roman" w:hAnsi="Times New Roman"/>
            <w:noProof/>
            <w:webHidden/>
            <w:szCs w:val="24"/>
          </w:rPr>
          <w:fldChar w:fldCharType="end"/>
        </w:r>
      </w:hyperlink>
    </w:p>
    <w:p w:rsidR="00D5413A" w:rsidRPr="009A58D3" w:rsidRDefault="005D6FC2">
      <w:pPr>
        <w:pStyle w:val="TableofFigures"/>
        <w:rPr>
          <w:rFonts w:ascii="Times New Roman" w:eastAsiaTheme="minorEastAsia" w:hAnsi="Times New Roman"/>
          <w:noProof/>
          <w:szCs w:val="24"/>
        </w:rPr>
      </w:pPr>
      <w:hyperlink w:anchor="_Toc440224080" w:history="1">
        <w:r w:rsidR="00D5413A" w:rsidRPr="009A58D3">
          <w:rPr>
            <w:rStyle w:val="Hyperlink"/>
            <w:rFonts w:ascii="Times New Roman" w:hAnsi="Times New Roman"/>
            <w:noProof/>
            <w:szCs w:val="24"/>
            <w:lang w:bidi="en-US"/>
          </w:rPr>
          <w:t>Table 3.9. Toxin Classification Table for Domoic Acid. Classification should be applied to each subembayment. If multiple hits in different media (particulate, SPATT, tissue) are detected within a subembayment on an annual basis, lowest rating for the year should be applied.</w:t>
        </w:r>
        <w:r w:rsidR="00D5413A" w:rsidRPr="009A58D3">
          <w:rPr>
            <w:rFonts w:ascii="Times New Roman" w:hAnsi="Times New Roman"/>
            <w:noProof/>
            <w:webHidden/>
            <w:szCs w:val="24"/>
          </w:rPr>
          <w:tab/>
        </w:r>
        <w:r w:rsidR="00D5413A" w:rsidRPr="009A58D3">
          <w:rPr>
            <w:rFonts w:ascii="Times New Roman" w:hAnsi="Times New Roman"/>
            <w:noProof/>
            <w:webHidden/>
            <w:szCs w:val="24"/>
          </w:rPr>
          <w:fldChar w:fldCharType="begin"/>
        </w:r>
        <w:r w:rsidR="00D5413A" w:rsidRPr="009A58D3">
          <w:rPr>
            <w:rFonts w:ascii="Times New Roman" w:hAnsi="Times New Roman"/>
            <w:noProof/>
            <w:webHidden/>
            <w:szCs w:val="24"/>
          </w:rPr>
          <w:instrText xml:space="preserve"> PAGEREF _Toc440224080 \h </w:instrText>
        </w:r>
        <w:r w:rsidR="00D5413A" w:rsidRPr="009A58D3">
          <w:rPr>
            <w:rFonts w:ascii="Times New Roman" w:hAnsi="Times New Roman"/>
            <w:noProof/>
            <w:webHidden/>
            <w:szCs w:val="24"/>
          </w:rPr>
        </w:r>
        <w:r w:rsidR="00D5413A" w:rsidRPr="009A58D3">
          <w:rPr>
            <w:rFonts w:ascii="Times New Roman" w:hAnsi="Times New Roman"/>
            <w:noProof/>
            <w:webHidden/>
            <w:szCs w:val="24"/>
          </w:rPr>
          <w:fldChar w:fldCharType="separate"/>
        </w:r>
        <w:r w:rsidR="00D5413A" w:rsidRPr="009A58D3">
          <w:rPr>
            <w:rFonts w:ascii="Times New Roman" w:hAnsi="Times New Roman"/>
            <w:noProof/>
            <w:webHidden/>
            <w:szCs w:val="24"/>
          </w:rPr>
          <w:t>34</w:t>
        </w:r>
        <w:r w:rsidR="00D5413A" w:rsidRPr="009A58D3">
          <w:rPr>
            <w:rFonts w:ascii="Times New Roman" w:hAnsi="Times New Roman"/>
            <w:noProof/>
            <w:webHidden/>
            <w:szCs w:val="24"/>
          </w:rPr>
          <w:fldChar w:fldCharType="end"/>
        </w:r>
      </w:hyperlink>
    </w:p>
    <w:p w:rsidR="00D5413A" w:rsidRPr="009A58D3" w:rsidRDefault="005D6FC2">
      <w:pPr>
        <w:pStyle w:val="TableofFigures"/>
        <w:rPr>
          <w:rFonts w:ascii="Times New Roman" w:eastAsiaTheme="minorEastAsia" w:hAnsi="Times New Roman"/>
          <w:noProof/>
          <w:szCs w:val="24"/>
        </w:rPr>
      </w:pPr>
      <w:hyperlink w:anchor="_Toc440224081" w:history="1">
        <w:r w:rsidR="00D5413A" w:rsidRPr="009A58D3">
          <w:rPr>
            <w:rStyle w:val="Hyperlink"/>
            <w:rFonts w:ascii="Times New Roman" w:hAnsi="Times New Roman"/>
            <w:noProof/>
            <w:szCs w:val="24"/>
            <w:lang w:bidi="en-US"/>
          </w:rPr>
          <w:t>Table 3.10. Toxin Classification Table for Paralytic Shellfish Toxins. Classification should be applied to each subembayment. If multiple hits in different media (particulate, SPATT, tissue) are detected within a subembayment on an annual basis, lowest rating for the year should be applied.</w:t>
        </w:r>
        <w:r w:rsidR="00D5413A" w:rsidRPr="009A58D3">
          <w:rPr>
            <w:rFonts w:ascii="Times New Roman" w:hAnsi="Times New Roman"/>
            <w:noProof/>
            <w:webHidden/>
            <w:szCs w:val="24"/>
          </w:rPr>
          <w:tab/>
        </w:r>
        <w:r w:rsidR="00D5413A" w:rsidRPr="009A58D3">
          <w:rPr>
            <w:rFonts w:ascii="Times New Roman" w:hAnsi="Times New Roman"/>
            <w:noProof/>
            <w:webHidden/>
            <w:szCs w:val="24"/>
          </w:rPr>
          <w:fldChar w:fldCharType="begin"/>
        </w:r>
        <w:r w:rsidR="00D5413A" w:rsidRPr="009A58D3">
          <w:rPr>
            <w:rFonts w:ascii="Times New Roman" w:hAnsi="Times New Roman"/>
            <w:noProof/>
            <w:webHidden/>
            <w:szCs w:val="24"/>
          </w:rPr>
          <w:instrText xml:space="preserve"> PAGEREF _Toc440224081 \h </w:instrText>
        </w:r>
        <w:r w:rsidR="00D5413A" w:rsidRPr="009A58D3">
          <w:rPr>
            <w:rFonts w:ascii="Times New Roman" w:hAnsi="Times New Roman"/>
            <w:noProof/>
            <w:webHidden/>
            <w:szCs w:val="24"/>
          </w:rPr>
        </w:r>
        <w:r w:rsidR="00D5413A" w:rsidRPr="009A58D3">
          <w:rPr>
            <w:rFonts w:ascii="Times New Roman" w:hAnsi="Times New Roman"/>
            <w:noProof/>
            <w:webHidden/>
            <w:szCs w:val="24"/>
          </w:rPr>
          <w:fldChar w:fldCharType="separate"/>
        </w:r>
        <w:r w:rsidR="00D5413A" w:rsidRPr="009A58D3">
          <w:rPr>
            <w:rFonts w:ascii="Times New Roman" w:hAnsi="Times New Roman"/>
            <w:noProof/>
            <w:webHidden/>
            <w:szCs w:val="24"/>
          </w:rPr>
          <w:t>35</w:t>
        </w:r>
        <w:r w:rsidR="00D5413A" w:rsidRPr="009A58D3">
          <w:rPr>
            <w:rFonts w:ascii="Times New Roman" w:hAnsi="Times New Roman"/>
            <w:noProof/>
            <w:webHidden/>
            <w:szCs w:val="24"/>
          </w:rPr>
          <w:fldChar w:fldCharType="end"/>
        </w:r>
      </w:hyperlink>
    </w:p>
    <w:p w:rsidR="00D5413A" w:rsidRPr="009A58D3" w:rsidRDefault="005D6FC2">
      <w:pPr>
        <w:pStyle w:val="TableofFigures"/>
        <w:rPr>
          <w:rFonts w:ascii="Times New Roman" w:eastAsiaTheme="minorEastAsia" w:hAnsi="Times New Roman"/>
          <w:noProof/>
          <w:szCs w:val="24"/>
        </w:rPr>
      </w:pPr>
      <w:hyperlink w:anchor="_Toc440224082" w:history="1">
        <w:r w:rsidR="00D5413A" w:rsidRPr="009A58D3">
          <w:rPr>
            <w:rStyle w:val="Hyperlink"/>
            <w:rFonts w:ascii="Times New Roman" w:hAnsi="Times New Roman"/>
            <w:noProof/>
            <w:szCs w:val="24"/>
            <w:lang w:bidi="en-US"/>
          </w:rPr>
          <w:t>Table 3.10. HAB Abundance Classification Table. Classification should be applied to each subembayment. If multiple HABs are detected within a subembayment on an annual basis, lowest rating for the year should be applied.</w:t>
        </w:r>
        <w:r w:rsidR="00D5413A" w:rsidRPr="009A58D3">
          <w:rPr>
            <w:rFonts w:ascii="Times New Roman" w:hAnsi="Times New Roman"/>
            <w:noProof/>
            <w:webHidden/>
            <w:szCs w:val="24"/>
          </w:rPr>
          <w:tab/>
        </w:r>
        <w:r w:rsidR="00D5413A" w:rsidRPr="009A58D3">
          <w:rPr>
            <w:rFonts w:ascii="Times New Roman" w:hAnsi="Times New Roman"/>
            <w:noProof/>
            <w:webHidden/>
            <w:szCs w:val="24"/>
          </w:rPr>
          <w:fldChar w:fldCharType="begin"/>
        </w:r>
        <w:r w:rsidR="00D5413A" w:rsidRPr="009A58D3">
          <w:rPr>
            <w:rFonts w:ascii="Times New Roman" w:hAnsi="Times New Roman"/>
            <w:noProof/>
            <w:webHidden/>
            <w:szCs w:val="24"/>
          </w:rPr>
          <w:instrText xml:space="preserve"> PAGEREF _Toc440224082 \h </w:instrText>
        </w:r>
        <w:r w:rsidR="00D5413A" w:rsidRPr="009A58D3">
          <w:rPr>
            <w:rFonts w:ascii="Times New Roman" w:hAnsi="Times New Roman"/>
            <w:noProof/>
            <w:webHidden/>
            <w:szCs w:val="24"/>
          </w:rPr>
        </w:r>
        <w:r w:rsidR="00D5413A" w:rsidRPr="009A58D3">
          <w:rPr>
            <w:rFonts w:ascii="Times New Roman" w:hAnsi="Times New Roman"/>
            <w:noProof/>
            <w:webHidden/>
            <w:szCs w:val="24"/>
          </w:rPr>
          <w:fldChar w:fldCharType="separate"/>
        </w:r>
        <w:r w:rsidR="00D5413A" w:rsidRPr="009A58D3">
          <w:rPr>
            <w:rFonts w:ascii="Times New Roman" w:hAnsi="Times New Roman"/>
            <w:noProof/>
            <w:webHidden/>
            <w:szCs w:val="24"/>
          </w:rPr>
          <w:t>36</w:t>
        </w:r>
        <w:r w:rsidR="00D5413A" w:rsidRPr="009A58D3">
          <w:rPr>
            <w:rFonts w:ascii="Times New Roman" w:hAnsi="Times New Roman"/>
            <w:noProof/>
            <w:webHidden/>
            <w:szCs w:val="24"/>
          </w:rPr>
          <w:fldChar w:fldCharType="end"/>
        </w:r>
      </w:hyperlink>
    </w:p>
    <w:p w:rsidR="00E760FF" w:rsidRPr="00D5413A" w:rsidRDefault="00767C99" w:rsidP="00FD7D57">
      <w:pPr>
        <w:pStyle w:val="BodyText"/>
        <w:tabs>
          <w:tab w:val="left" w:pos="360"/>
        </w:tabs>
        <w:spacing w:after="0" w:line="276" w:lineRule="auto"/>
        <w:ind w:left="360" w:hanging="360"/>
        <w:jc w:val="left"/>
        <w:rPr>
          <w:rFonts w:ascii="Arial" w:hAnsi="Arial" w:cs="Arial"/>
        </w:rPr>
      </w:pPr>
      <w:r w:rsidRPr="009A58D3">
        <w:rPr>
          <w:szCs w:val="24"/>
        </w:rPr>
        <w:fldChar w:fldCharType="end"/>
      </w:r>
    </w:p>
    <w:p w:rsidR="00E760FF" w:rsidRPr="00566F8D" w:rsidRDefault="00E760FF" w:rsidP="00FD7D57">
      <w:pPr>
        <w:spacing w:line="276" w:lineRule="auto"/>
        <w:rPr>
          <w:rFonts w:asciiTheme="minorHAnsi" w:hAnsiTheme="minorHAnsi"/>
        </w:rPr>
      </w:pPr>
      <w:r w:rsidRPr="00566F8D">
        <w:rPr>
          <w:rFonts w:asciiTheme="minorHAnsi" w:hAnsiTheme="minorHAnsi"/>
        </w:rPr>
        <w:br w:type="page"/>
      </w:r>
    </w:p>
    <w:p w:rsidR="00773EA5" w:rsidRPr="00E224FC" w:rsidRDefault="005753EB" w:rsidP="00FD7D57">
      <w:pPr>
        <w:pStyle w:val="Heading1"/>
        <w:numPr>
          <w:ilvl w:val="0"/>
          <w:numId w:val="0"/>
        </w:numPr>
        <w:ind w:left="432" w:hanging="432"/>
      </w:pPr>
      <w:bookmarkStart w:id="5" w:name="_Toc433370049"/>
      <w:r w:rsidRPr="00E224FC">
        <w:lastRenderedPageBreak/>
        <w:t>Acknowledgements</w:t>
      </w:r>
      <w:bookmarkEnd w:id="5"/>
    </w:p>
    <w:p w:rsidR="00B630CB" w:rsidRDefault="000B3C0F">
      <w:r>
        <w:t>We</w:t>
      </w:r>
      <w:r w:rsidR="00B630CB" w:rsidRPr="00E224FC">
        <w:t xml:space="preserve"> wish to thank San Francisco </w:t>
      </w:r>
      <w:r w:rsidR="00A31737" w:rsidRPr="00E224FC">
        <w:t>Bay</w:t>
      </w:r>
      <w:r w:rsidR="00B630CB" w:rsidRPr="00E224FC">
        <w:t xml:space="preserve"> </w:t>
      </w:r>
      <w:r w:rsidR="00557628">
        <w:t xml:space="preserve">Regional </w:t>
      </w:r>
      <w:r w:rsidR="00B630CB" w:rsidRPr="00E224FC">
        <w:t xml:space="preserve">Water </w:t>
      </w:r>
      <w:r w:rsidR="00557628">
        <w:t xml:space="preserve">Quality Control </w:t>
      </w:r>
      <w:r w:rsidR="00B630CB" w:rsidRPr="00E224FC">
        <w:t>Board</w:t>
      </w:r>
      <w:r w:rsidR="00A31737" w:rsidRPr="00E224FC">
        <w:t xml:space="preserve"> staff</w:t>
      </w:r>
      <w:r w:rsidR="00B630CB" w:rsidRPr="00E224FC">
        <w:t xml:space="preserve"> and the members of the San Francisco Bay Nutrient Technical Workgroup </w:t>
      </w:r>
      <w:r w:rsidR="00A91486">
        <w:t xml:space="preserve">and Steering Committee </w:t>
      </w:r>
      <w:r w:rsidR="00B630CB" w:rsidRPr="00E224FC">
        <w:t xml:space="preserve">for their thoughtful feedback and guidance throughout the study. This report was produced under San Francisco </w:t>
      </w:r>
      <w:r w:rsidR="002526DF">
        <w:t xml:space="preserve">Bay </w:t>
      </w:r>
      <w:r w:rsidR="00B630CB" w:rsidRPr="00E224FC">
        <w:t>Regional Water Quality Control Board contract to the Southern California Coastal Water Research Project (Agreement Number 11-151-120).</w:t>
      </w:r>
    </w:p>
    <w:p w:rsidR="000B3C0F" w:rsidRDefault="000B3C0F"/>
    <w:p w:rsidR="000B3C0F" w:rsidRDefault="000B3C0F">
      <w:r>
        <w:t xml:space="preserve">Emily </w:t>
      </w:r>
      <w:proofErr w:type="spellStart"/>
      <w:r>
        <w:t>Novick</w:t>
      </w:r>
      <w:proofErr w:type="spellEnd"/>
      <w:r>
        <w:t xml:space="preserve"> of SFEI, Marcus Beck (US EPA ORD), and Karen McLaughlin (SCCWRP) provided assistance with data management and analyses. We are </w:t>
      </w:r>
      <w:r w:rsidR="000623C6">
        <w:t xml:space="preserve">extremely </w:t>
      </w:r>
      <w:r>
        <w:t xml:space="preserve">grateful for their </w:t>
      </w:r>
      <w:r w:rsidR="000623C6">
        <w:t>assistance</w:t>
      </w:r>
      <w:r>
        <w:t xml:space="preserve">. </w:t>
      </w: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A236F6" w:rsidP="00FD7D57">
      <w:pPr>
        <w:tabs>
          <w:tab w:val="left" w:pos="7782"/>
        </w:tabs>
        <w:autoSpaceDE w:val="0"/>
        <w:autoSpaceDN w:val="0"/>
        <w:adjustRightInd w:val="0"/>
        <w:spacing w:line="276" w:lineRule="auto"/>
        <w:rPr>
          <w:rFonts w:asciiTheme="minorHAnsi" w:hAnsiTheme="minorHAnsi" w:cs="Calibri"/>
        </w:rPr>
      </w:pPr>
      <w:r>
        <w:rPr>
          <w:rFonts w:asciiTheme="minorHAnsi" w:hAnsiTheme="minorHAnsi" w:cs="Calibri"/>
        </w:rPr>
        <w:tab/>
      </w: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Default="003D7B21" w:rsidP="00FD7D57">
      <w:pPr>
        <w:autoSpaceDE w:val="0"/>
        <w:autoSpaceDN w:val="0"/>
        <w:adjustRightInd w:val="0"/>
        <w:spacing w:line="276" w:lineRule="auto"/>
        <w:rPr>
          <w:rFonts w:asciiTheme="minorHAnsi" w:hAnsiTheme="minorHAnsi" w:cs="Calibri"/>
        </w:rPr>
      </w:pPr>
    </w:p>
    <w:p w:rsidR="003D7B21" w:rsidRPr="00CF577D" w:rsidRDefault="003D7B21">
      <w:pPr>
        <w:rPr>
          <w:u w:val="single"/>
        </w:rPr>
      </w:pPr>
      <w:r w:rsidRPr="00CF577D">
        <w:rPr>
          <w:u w:val="single"/>
        </w:rPr>
        <w:t>This report should be cited as:</w:t>
      </w:r>
    </w:p>
    <w:p w:rsidR="003D7B21" w:rsidRPr="00D07C57" w:rsidRDefault="003D7B21">
      <w:proofErr w:type="spellStart"/>
      <w:proofErr w:type="gramStart"/>
      <w:r>
        <w:t>Sutula</w:t>
      </w:r>
      <w:proofErr w:type="spellEnd"/>
      <w:r w:rsidR="00CF577D">
        <w:t>,</w:t>
      </w:r>
      <w:r>
        <w:t xml:space="preserve"> M</w:t>
      </w:r>
      <w:r w:rsidR="00FD7D57">
        <w:t xml:space="preserve">. and D. </w:t>
      </w:r>
      <w:proofErr w:type="spellStart"/>
      <w:r w:rsidR="00FD7D57">
        <w:t>Senn</w:t>
      </w:r>
      <w:proofErr w:type="spellEnd"/>
      <w:r w:rsidRPr="00D07C57">
        <w:t>.</w:t>
      </w:r>
      <w:proofErr w:type="gramEnd"/>
      <w:r w:rsidRPr="00D07C57">
        <w:t xml:space="preserve"> </w:t>
      </w:r>
      <w:r>
        <w:t>Scientific basis for assessment of nutrient impacts on San Francisco Bay</w:t>
      </w:r>
      <w:r w:rsidRPr="00D07C57">
        <w:t xml:space="preserve">. </w:t>
      </w:r>
      <w:proofErr w:type="gramStart"/>
      <w:r w:rsidR="00F00B5F">
        <w:t>Technical Report 864.</w:t>
      </w:r>
      <w:proofErr w:type="gramEnd"/>
      <w:r w:rsidR="00F00B5F">
        <w:t xml:space="preserve"> </w:t>
      </w:r>
      <w:proofErr w:type="gramStart"/>
      <w:r w:rsidRPr="00D07C57">
        <w:t>Southern California Coastal Water Research Project.</w:t>
      </w:r>
      <w:proofErr w:type="gramEnd"/>
      <w:r>
        <w:t xml:space="preserve"> </w:t>
      </w:r>
      <w:r w:rsidR="00CF577D">
        <w:t>Costa Mesa, CA</w:t>
      </w:r>
      <w:r w:rsidRPr="00D07C57">
        <w:t>.</w:t>
      </w:r>
      <w:r w:rsidRPr="00FD7D57">
        <w:rPr>
          <w:szCs w:val="24"/>
        </w:rPr>
        <w:t xml:space="preserve"> </w:t>
      </w:r>
      <w:hyperlink r:id="rId15" w:history="1">
        <w:r w:rsidRPr="00FD7D57">
          <w:rPr>
            <w:rStyle w:val="Hyperlink"/>
            <w:szCs w:val="24"/>
          </w:rPr>
          <w:t>www.sccwrp.org</w:t>
        </w:r>
      </w:hyperlink>
    </w:p>
    <w:p w:rsidR="003D7B21" w:rsidRPr="00E224FC" w:rsidRDefault="003D7B21" w:rsidP="0065032F">
      <w:pPr>
        <w:autoSpaceDE w:val="0"/>
        <w:autoSpaceDN w:val="0"/>
        <w:adjustRightInd w:val="0"/>
        <w:spacing w:line="276" w:lineRule="auto"/>
        <w:rPr>
          <w:rFonts w:asciiTheme="minorHAnsi" w:hAnsiTheme="minorHAnsi"/>
        </w:rPr>
        <w:sectPr w:rsidR="003D7B21" w:rsidRPr="00E224FC" w:rsidSect="00521D92">
          <w:footerReference w:type="default" r:id="rId16"/>
          <w:pgSz w:w="12240" w:h="15840"/>
          <w:pgMar w:top="1440" w:right="1440" w:bottom="1440" w:left="1440" w:header="720" w:footer="720" w:gutter="0"/>
          <w:lnNumType w:countBy="1" w:restart="continuous"/>
          <w:pgNumType w:fmt="lowerRoman"/>
          <w:cols w:space="720"/>
          <w:docGrid w:linePitch="360"/>
        </w:sectPr>
      </w:pPr>
    </w:p>
    <w:p w:rsidR="009E4206" w:rsidRPr="00E224FC" w:rsidRDefault="009E4206">
      <w:pPr>
        <w:pStyle w:val="Heading1"/>
      </w:pPr>
      <w:bookmarkStart w:id="6" w:name="_Toc433370050"/>
      <w:r w:rsidRPr="00E224FC">
        <w:lastRenderedPageBreak/>
        <w:t>Introduction</w:t>
      </w:r>
      <w:bookmarkEnd w:id="6"/>
      <w:r w:rsidRPr="00E224FC">
        <w:t xml:space="preserve"> </w:t>
      </w:r>
    </w:p>
    <w:p w:rsidR="007710FA" w:rsidRPr="005F19C7" w:rsidRDefault="007710FA">
      <w:pPr>
        <w:pStyle w:val="Heading2"/>
      </w:pPr>
      <w:bookmarkStart w:id="7" w:name="_Toc433370051"/>
      <w:r w:rsidRPr="005F19C7">
        <w:t>Background and Purpose</w:t>
      </w:r>
      <w:bookmarkEnd w:id="7"/>
    </w:p>
    <w:p w:rsidR="00FF5BB1" w:rsidRPr="00E224FC" w:rsidRDefault="00175D80">
      <w:r w:rsidRPr="005F19C7">
        <w:t xml:space="preserve">The </w:t>
      </w:r>
      <w:r w:rsidR="00E760FF" w:rsidRPr="005F19C7">
        <w:t>San Francisco</w:t>
      </w:r>
      <w:r w:rsidRPr="005F19C7">
        <w:t xml:space="preserve"> </w:t>
      </w:r>
      <w:r w:rsidR="002526DF">
        <w:t xml:space="preserve">Bay Regional </w:t>
      </w:r>
      <w:r w:rsidRPr="005F19C7">
        <w:t xml:space="preserve">Water </w:t>
      </w:r>
      <w:r w:rsidR="002526DF">
        <w:t>Quality</w:t>
      </w:r>
      <w:r w:rsidR="002526DF" w:rsidRPr="005F19C7">
        <w:t xml:space="preserve"> </w:t>
      </w:r>
      <w:r w:rsidRPr="005F19C7">
        <w:t xml:space="preserve">Control Board </w:t>
      </w:r>
      <w:r w:rsidR="001A674E" w:rsidRPr="005F19C7">
        <w:t>(Water Board</w:t>
      </w:r>
      <w:r w:rsidRPr="005F19C7">
        <w:t xml:space="preserve">) is developing nutrient water quality objectives for </w:t>
      </w:r>
      <w:r w:rsidR="00E760FF" w:rsidRPr="005F19C7">
        <w:t>San Francisco Bay</w:t>
      </w:r>
      <w:r w:rsidR="00B80647" w:rsidRPr="00E224FC">
        <w:rPr>
          <w:rFonts w:cs="Calibri"/>
        </w:rPr>
        <w:t>.</w:t>
      </w:r>
      <w:r w:rsidR="00B80647" w:rsidRPr="00E224FC">
        <w:t xml:space="preserve"> </w:t>
      </w:r>
      <w:r w:rsidR="00D321FF" w:rsidRPr="00E224FC">
        <w:t>Water Board s</w:t>
      </w:r>
      <w:r w:rsidR="00B80647" w:rsidRPr="00E224FC">
        <w:t xml:space="preserve">taff favor an ecological risk assessment </w:t>
      </w:r>
      <w:r w:rsidR="008E3486" w:rsidRPr="00E224FC">
        <w:t>approach</w:t>
      </w:r>
      <w:r w:rsidR="00B80647" w:rsidRPr="00E224FC">
        <w:t xml:space="preserve"> (EPA 1998)</w:t>
      </w:r>
      <w:r w:rsidRPr="00E224FC">
        <w:t>,</w:t>
      </w:r>
      <w:r w:rsidR="003A3B74" w:rsidRPr="00E224FC">
        <w:t xml:space="preserve"> in which ecological response indicators (e.g. change in algal abundance and assemblage, dissolved oxygen) are used as the endpoints to assess whether </w:t>
      </w:r>
      <w:r w:rsidR="00197AB8">
        <w:t>the San Francisco Bay (</w:t>
      </w:r>
      <w:r w:rsidR="003A3B74" w:rsidRPr="00E224FC">
        <w:t>SFB</w:t>
      </w:r>
      <w:r w:rsidR="00FD58AC">
        <w:t>)</w:t>
      </w:r>
      <w:r w:rsidR="003A3B74" w:rsidRPr="00E224FC">
        <w:t xml:space="preserve"> is supporting designated uses. A model would then </w:t>
      </w:r>
      <w:r w:rsidR="002075FF">
        <w:t xml:space="preserve">be </w:t>
      </w:r>
      <w:r w:rsidR="003A3B74" w:rsidRPr="00E224FC">
        <w:t>used to link those endpoints to nutrients and other factors that comprise management options</w:t>
      </w:r>
      <w:r w:rsidR="0003176D" w:rsidRPr="00E224FC">
        <w:t xml:space="preserve"> to </w:t>
      </w:r>
      <w:r w:rsidR="003A3B74" w:rsidRPr="00E224FC">
        <w:t xml:space="preserve">(e.g. </w:t>
      </w:r>
      <w:r w:rsidR="00D30EF1" w:rsidRPr="00E224FC">
        <w:t>best management practices)</w:t>
      </w:r>
      <w:r w:rsidRPr="00E224FC">
        <w:t xml:space="preserve">. </w:t>
      </w:r>
      <w:r w:rsidR="00A240EA" w:rsidRPr="00E224FC">
        <w:t xml:space="preserve">In this risk-based </w:t>
      </w:r>
      <w:r w:rsidR="00D30EF1" w:rsidRPr="00E224FC">
        <w:t>approach</w:t>
      </w:r>
      <w:r w:rsidR="00A240EA" w:rsidRPr="00E224FC">
        <w:t xml:space="preserve">, nutrients are considered a resource that should be managed at levels </w:t>
      </w:r>
      <w:r w:rsidR="00A31737" w:rsidRPr="00E224FC">
        <w:rPr>
          <w:rFonts w:cs="Calibri"/>
        </w:rPr>
        <w:t>that support</w:t>
      </w:r>
      <w:r w:rsidR="00A240EA" w:rsidRPr="00E224FC">
        <w:t xml:space="preserve"> SFB </w:t>
      </w:r>
      <w:r w:rsidR="00A31737" w:rsidRPr="00E224FC">
        <w:rPr>
          <w:rFonts w:cs="Calibri"/>
        </w:rPr>
        <w:t>beneficial</w:t>
      </w:r>
      <w:r w:rsidR="00A240EA" w:rsidRPr="00E224FC">
        <w:t xml:space="preserve"> uses</w:t>
      </w:r>
      <w:r w:rsidR="00A31737" w:rsidRPr="00E224FC">
        <w:rPr>
          <w:rFonts w:cs="Calibri"/>
        </w:rPr>
        <w:t>. The key is managing nutrients at levels that pose a low risk of adverse effects, while ensuring the system doesn’t become nutrient-limited</w:t>
      </w:r>
      <w:r w:rsidR="00A240EA" w:rsidRPr="00E224FC">
        <w:t xml:space="preserve">. This approach is consistent with that being used for nutrient objective development for other </w:t>
      </w:r>
      <w:proofErr w:type="spellStart"/>
      <w:r w:rsidR="00A240EA" w:rsidRPr="00E224FC">
        <w:t>waterbodies</w:t>
      </w:r>
      <w:proofErr w:type="spellEnd"/>
      <w:r w:rsidR="00A240EA" w:rsidRPr="00E224FC">
        <w:t xml:space="preserve"> in California, including other estuaries</w:t>
      </w:r>
      <w:r w:rsidRPr="00E224FC">
        <w:t xml:space="preserve"> (</w:t>
      </w:r>
      <w:r w:rsidR="006278CF" w:rsidRPr="00E224FC">
        <w:t>SWRCB 2014</w:t>
      </w:r>
      <w:r w:rsidRPr="00E224FC">
        <w:t xml:space="preserve">). </w:t>
      </w:r>
    </w:p>
    <w:p w:rsidR="001A674E" w:rsidRPr="00E224FC" w:rsidRDefault="001A674E"/>
    <w:p w:rsidR="006E307C" w:rsidRPr="00E224FC" w:rsidRDefault="006E307C">
      <w:r w:rsidRPr="00E224FC">
        <w:t xml:space="preserve">The process </w:t>
      </w:r>
      <w:r w:rsidR="002075FF">
        <w:t>of</w:t>
      </w:r>
      <w:r w:rsidRPr="00E224FC">
        <w:t xml:space="preserve"> select</w:t>
      </w:r>
      <w:r w:rsidR="002075FF">
        <w:t>ing</w:t>
      </w:r>
      <w:r w:rsidR="004B2D5D">
        <w:t xml:space="preserve"> appropriate</w:t>
      </w:r>
      <w:r w:rsidRPr="00E224FC">
        <w:t xml:space="preserve"> endpoints begins with</w:t>
      </w:r>
      <w:r w:rsidR="002075FF">
        <w:t xml:space="preserve"> a</w:t>
      </w:r>
      <w:r w:rsidRPr="00E224FC">
        <w:t xml:space="preserve"> synthesis of science and</w:t>
      </w:r>
      <w:r w:rsidR="002075FF">
        <w:t xml:space="preserve"> </w:t>
      </w:r>
      <w:r w:rsidR="004B2D5D">
        <w:t xml:space="preserve">the development of a framework for interpreting the endpoints </w:t>
      </w:r>
      <w:r w:rsidR="007F6754">
        <w:t xml:space="preserve">that is ultimately </w:t>
      </w:r>
      <w:r w:rsidR="004B2D5D">
        <w:t>based on</w:t>
      </w:r>
      <w:r w:rsidR="00A240EA" w:rsidRPr="00E224FC">
        <w:t xml:space="preserve"> policy decisions by the Water Board</w:t>
      </w:r>
      <w:r w:rsidR="004B2D5D">
        <w:t>, taking into consideration</w:t>
      </w:r>
      <w:r w:rsidR="00A240EA" w:rsidRPr="00E224FC">
        <w:t xml:space="preserve"> advice from its a</w:t>
      </w:r>
      <w:r w:rsidR="0003176D" w:rsidRPr="00E224FC">
        <w:t>dvisory groups</w:t>
      </w:r>
      <w:r w:rsidRPr="00E224FC">
        <w:t>.</w:t>
      </w:r>
      <w:r w:rsidR="00D72900">
        <w:t xml:space="preserve"> </w:t>
      </w:r>
      <w:r w:rsidR="001A674E" w:rsidRPr="00E224FC">
        <w:t xml:space="preserve">In this document, we refer to the </w:t>
      </w:r>
      <w:r w:rsidRPr="00E224FC">
        <w:t xml:space="preserve">product of </w:t>
      </w:r>
      <w:r w:rsidR="005F01DB" w:rsidRPr="00E224FC">
        <w:t>scientific synthesis</w:t>
      </w:r>
      <w:r w:rsidRPr="00E224FC">
        <w:t xml:space="preserve"> as a </w:t>
      </w:r>
      <w:r w:rsidR="00E760FF" w:rsidRPr="00E224FC">
        <w:rPr>
          <w:b/>
        </w:rPr>
        <w:t>nutrient</w:t>
      </w:r>
      <w:r w:rsidRPr="00E224FC">
        <w:rPr>
          <w:b/>
        </w:rPr>
        <w:t xml:space="preserve"> assessment framework</w:t>
      </w:r>
      <w:r w:rsidR="00F96CF2">
        <w:rPr>
          <w:b/>
        </w:rPr>
        <w:t xml:space="preserve"> (AF)</w:t>
      </w:r>
      <w:r w:rsidR="001A674E" w:rsidRPr="00E224FC">
        <w:t xml:space="preserve">, </w:t>
      </w:r>
      <w:r w:rsidRPr="00E224FC">
        <w:t xml:space="preserve">defined as a structured set of decision rules that specify how to use monitoring data to categorize specific </w:t>
      </w:r>
      <w:proofErr w:type="spellStart"/>
      <w:r w:rsidR="00353722">
        <w:t>subembayment</w:t>
      </w:r>
      <w:r w:rsidRPr="00E224FC">
        <w:t>s</w:t>
      </w:r>
      <w:proofErr w:type="spellEnd"/>
      <w:r w:rsidRPr="00E224FC">
        <w:t xml:space="preserve"> of SFB </w:t>
      </w:r>
      <w:r w:rsidR="0003176D" w:rsidRPr="00E224FC">
        <w:t>from very high to very low ecological condition</w:t>
      </w:r>
      <w:r w:rsidR="002139D3" w:rsidRPr="00E224FC">
        <w:t>, using indicators that have a direct link</w:t>
      </w:r>
      <w:r w:rsidR="0005193C" w:rsidRPr="00E224FC">
        <w:t xml:space="preserve">age to nutrients and support of </w:t>
      </w:r>
      <w:r w:rsidR="0003176D" w:rsidRPr="00E224FC">
        <w:t>SFB beneficial use</w:t>
      </w:r>
      <w:r w:rsidR="0005193C" w:rsidRPr="00E224FC">
        <w:t>s</w:t>
      </w:r>
      <w:r w:rsidRPr="00E224FC">
        <w:t xml:space="preserve">. </w:t>
      </w:r>
      <w:r w:rsidR="0003176D" w:rsidRPr="00E224FC">
        <w:t>Thus, w</w:t>
      </w:r>
      <w:r w:rsidR="005F01DB" w:rsidRPr="00E224FC">
        <w:t>hile the decision on regulatory endpoints should be informed by science</w:t>
      </w:r>
      <w:r w:rsidR="00F411C6" w:rsidRPr="00E224FC">
        <w:t xml:space="preserve">, it is ultimately a policy decision. </w:t>
      </w:r>
      <w:r w:rsidR="001A674E" w:rsidRPr="00E224FC">
        <w:t xml:space="preserve">The </w:t>
      </w:r>
      <w:r w:rsidR="0003176D" w:rsidRPr="00E224FC">
        <w:t>ultimate goal of this effort</w:t>
      </w:r>
      <w:r w:rsidR="001A674E" w:rsidRPr="00E224FC">
        <w:t xml:space="preserve"> is that the Water Board would propose </w:t>
      </w:r>
      <w:r w:rsidR="0003176D" w:rsidRPr="00E224FC">
        <w:t xml:space="preserve">numeric </w:t>
      </w:r>
      <w:r w:rsidR="001A674E" w:rsidRPr="00E224FC">
        <w:t xml:space="preserve">endpoints for SFB, based on the synthesis of science represented in the </w:t>
      </w:r>
      <w:r w:rsidR="00F96CF2">
        <w:t>AF</w:t>
      </w:r>
      <w:r w:rsidR="001A674E" w:rsidRPr="00E224FC">
        <w:t xml:space="preserve"> and feedback from the SFB stakeholders</w:t>
      </w:r>
      <w:r w:rsidR="007847D7" w:rsidRPr="00E224FC">
        <w:rPr>
          <w:rFonts w:cs="Calibri"/>
        </w:rPr>
        <w:t xml:space="preserve"> and scientific peer review.</w:t>
      </w:r>
      <w:r w:rsidR="001A674E" w:rsidRPr="00E224FC">
        <w:t xml:space="preserve"> </w:t>
      </w:r>
    </w:p>
    <w:p w:rsidR="001A674E" w:rsidRPr="00E224FC" w:rsidRDefault="001A674E"/>
    <w:p w:rsidR="001A674E" w:rsidRPr="00E224FC" w:rsidRDefault="001A674E">
      <w:r w:rsidRPr="00E224FC">
        <w:t xml:space="preserve">The purpose of this document </w:t>
      </w:r>
      <w:r w:rsidR="006A2628" w:rsidRPr="00E224FC">
        <w:t xml:space="preserve">is to describe the </w:t>
      </w:r>
      <w:r w:rsidR="002139D3" w:rsidRPr="00E224FC">
        <w:t xml:space="preserve">SFB </w:t>
      </w:r>
      <w:r w:rsidR="006A2628" w:rsidRPr="00E224FC">
        <w:t xml:space="preserve">nutrient </w:t>
      </w:r>
      <w:r w:rsidR="00F96CF2">
        <w:t>AF</w:t>
      </w:r>
      <w:r w:rsidR="005F19C7">
        <w:t>, th</w:t>
      </w:r>
      <w:r w:rsidR="006A2628" w:rsidRPr="00E224FC">
        <w:t xml:space="preserve">e scientific synthesis upon which it is </w:t>
      </w:r>
      <w:proofErr w:type="gramStart"/>
      <w:r w:rsidR="006A2628" w:rsidRPr="00E224FC">
        <w:t>based</w:t>
      </w:r>
      <w:r w:rsidR="005F19C7">
        <w:t>,</w:t>
      </w:r>
      <w:proofErr w:type="gramEnd"/>
      <w:r w:rsidR="005F19C7">
        <w:t xml:space="preserve"> and </w:t>
      </w:r>
      <w:r w:rsidR="00566F8D">
        <w:t xml:space="preserve">key data gaps and </w:t>
      </w:r>
      <w:r w:rsidR="005F19C7">
        <w:t xml:space="preserve">recommendations </w:t>
      </w:r>
      <w:r w:rsidR="00566F8D">
        <w:t xml:space="preserve">for its future refinement. </w:t>
      </w:r>
    </w:p>
    <w:p w:rsidR="00773EA5" w:rsidRPr="00E224FC" w:rsidRDefault="00773EA5" w:rsidP="00FD7D57">
      <w:pPr>
        <w:autoSpaceDE w:val="0"/>
        <w:autoSpaceDN w:val="0"/>
        <w:adjustRightInd w:val="0"/>
        <w:spacing w:line="276" w:lineRule="auto"/>
        <w:rPr>
          <w:rFonts w:asciiTheme="minorHAnsi" w:hAnsiTheme="minorHAnsi"/>
        </w:rPr>
      </w:pPr>
    </w:p>
    <w:p w:rsidR="000E2BF2" w:rsidRPr="00E224FC" w:rsidRDefault="000E2BF2">
      <w:pPr>
        <w:pStyle w:val="Heading2"/>
      </w:pPr>
      <w:bookmarkStart w:id="8" w:name="_Toc433370052"/>
      <w:r w:rsidRPr="00E224FC">
        <w:t xml:space="preserve">Document </w:t>
      </w:r>
      <w:r w:rsidR="00505421" w:rsidRPr="00E224FC">
        <w:t xml:space="preserve">Audience, Authorship, and </w:t>
      </w:r>
      <w:r w:rsidRPr="00E224FC">
        <w:t>Organization</w:t>
      </w:r>
      <w:bookmarkEnd w:id="8"/>
      <w:r w:rsidRPr="00E224FC">
        <w:t xml:space="preserve"> </w:t>
      </w:r>
    </w:p>
    <w:p w:rsidR="00505421" w:rsidRPr="00E224FC" w:rsidRDefault="00505421">
      <w:r w:rsidRPr="00E224FC">
        <w:t>This report was written to address the information needs of both scientists and technically-oriented decision makers and stakeholders involved in the SFB Nutrient Management Strategy.</w:t>
      </w:r>
      <w:r w:rsidR="00D72900">
        <w:t xml:space="preserve"> </w:t>
      </w:r>
      <w:r w:rsidRPr="00E224FC">
        <w:t xml:space="preserve">With that audience in mind, the report assumes a certain baseline familiarity with SFB as well as a basic understanding of the biology, nutrient cycling, biogeochemistry, and physical processes in estuaries. The scientific synthesis supporting this report was developed collaboratively with a team of co-authors consisting of scientists whose areas of expertise cover a range of relevant disciplines and much of whose work has focused on </w:t>
      </w:r>
      <w:r w:rsidR="00EA6F12" w:rsidRPr="00E224FC">
        <w:t>SFB</w:t>
      </w:r>
      <w:r w:rsidRPr="00E224FC">
        <w:t xml:space="preserve">. </w:t>
      </w:r>
    </w:p>
    <w:p w:rsidR="00505421" w:rsidRPr="00E224FC" w:rsidRDefault="00505421"/>
    <w:p w:rsidR="000E2BF2" w:rsidRPr="00E224FC" w:rsidRDefault="000E2BF2">
      <w:r w:rsidRPr="00E224FC">
        <w:t>This document is organized as follows:</w:t>
      </w:r>
    </w:p>
    <w:p w:rsidR="000E2BF2" w:rsidRPr="00E224FC" w:rsidRDefault="009735A2">
      <w:r>
        <w:t>Section 1</w:t>
      </w:r>
      <w:r w:rsidR="000E2BF2" w:rsidRPr="00E224FC">
        <w:t xml:space="preserve"> </w:t>
      </w:r>
      <w:r w:rsidR="000E2BF2" w:rsidRPr="00E224FC">
        <w:tab/>
        <w:t>Introduction</w:t>
      </w:r>
      <w:r w:rsidR="001B76DA">
        <w:t xml:space="preserve">. </w:t>
      </w:r>
      <w:proofErr w:type="gramStart"/>
      <w:r w:rsidR="001B76DA">
        <w:t>Purpose,</w:t>
      </w:r>
      <w:proofErr w:type="gramEnd"/>
      <w:r w:rsidR="001B76DA">
        <w:t xml:space="preserve"> and</w:t>
      </w:r>
      <w:r w:rsidR="000E2BF2" w:rsidRPr="00E224FC">
        <w:t xml:space="preserve"> Organization </w:t>
      </w:r>
    </w:p>
    <w:p w:rsidR="000E2BF2" w:rsidRPr="00E224FC" w:rsidRDefault="009735A2" w:rsidP="00FD7D57">
      <w:pPr>
        <w:ind w:left="1440" w:hanging="1440"/>
      </w:pPr>
      <w:r>
        <w:t>Section 2</w:t>
      </w:r>
      <w:r w:rsidR="000E2BF2" w:rsidRPr="00E224FC">
        <w:t xml:space="preserve"> </w:t>
      </w:r>
      <w:r w:rsidR="000E2BF2" w:rsidRPr="00E224FC">
        <w:tab/>
        <w:t>Context</w:t>
      </w:r>
      <w:r w:rsidR="007462CE" w:rsidRPr="00E224FC">
        <w:t xml:space="preserve">: </w:t>
      </w:r>
      <w:r w:rsidR="000E2BF2" w:rsidRPr="00E224FC">
        <w:t>Detailed Background</w:t>
      </w:r>
      <w:r w:rsidR="007462CE" w:rsidRPr="00E224FC">
        <w:t xml:space="preserve">, </w:t>
      </w:r>
      <w:r w:rsidR="000E2BF2" w:rsidRPr="00E224FC">
        <w:t xml:space="preserve">Process for </w:t>
      </w:r>
      <w:r w:rsidR="00353722">
        <w:t>AF</w:t>
      </w:r>
      <w:r w:rsidR="000E2BF2" w:rsidRPr="00E224FC">
        <w:t xml:space="preserve"> Development</w:t>
      </w:r>
      <w:r w:rsidR="007462CE" w:rsidRPr="00E224FC">
        <w:t>, and Review of Existing Approaches</w:t>
      </w:r>
    </w:p>
    <w:p w:rsidR="000E2BF2" w:rsidRPr="00E224FC" w:rsidRDefault="000E2BF2">
      <w:r w:rsidRPr="00E224FC">
        <w:t>Sec</w:t>
      </w:r>
      <w:r w:rsidR="009735A2">
        <w:t>tion 3</w:t>
      </w:r>
      <w:r w:rsidRPr="00E224FC">
        <w:t xml:space="preserve"> </w:t>
      </w:r>
      <w:r w:rsidR="009573DA" w:rsidRPr="00E224FC">
        <w:tab/>
      </w:r>
      <w:r w:rsidR="00F04BA2" w:rsidRPr="00E224FC">
        <w:t xml:space="preserve">Proposed </w:t>
      </w:r>
      <w:r w:rsidR="00353722">
        <w:t>AF</w:t>
      </w:r>
      <w:r w:rsidR="00B32938">
        <w:t xml:space="preserve"> Core Principles and Classification Tables</w:t>
      </w:r>
    </w:p>
    <w:p w:rsidR="00F04BA2" w:rsidRDefault="00F04BA2">
      <w:r w:rsidRPr="00E224FC">
        <w:t xml:space="preserve">Section </w:t>
      </w:r>
      <w:r w:rsidR="00B32938">
        <w:t>4</w:t>
      </w:r>
      <w:r w:rsidRPr="00E224FC">
        <w:t xml:space="preserve"> </w:t>
      </w:r>
      <w:r w:rsidRPr="00E224FC">
        <w:tab/>
        <w:t>Summary and Recommendations</w:t>
      </w:r>
    </w:p>
    <w:p w:rsidR="00B32938" w:rsidRPr="00E224FC" w:rsidRDefault="00B32938">
      <w:r>
        <w:lastRenderedPageBreak/>
        <w:t>Appendices</w:t>
      </w:r>
      <w:r>
        <w:tab/>
        <w:t>Key definitions, supporting literatures reviews and quantitative analyses</w:t>
      </w:r>
    </w:p>
    <w:p w:rsidR="007462CE" w:rsidRPr="00E224FC" w:rsidRDefault="007462CE">
      <w:pPr>
        <w:pStyle w:val="Heading1"/>
      </w:pPr>
      <w:bookmarkStart w:id="9" w:name="_Toc433370053"/>
      <w:r w:rsidRPr="00E224FC">
        <w:t>Context</w:t>
      </w:r>
      <w:r w:rsidR="009628F7" w:rsidRPr="00E224FC">
        <w:t xml:space="preserve"> for Framework Development</w:t>
      </w:r>
      <w:r w:rsidRPr="00E224FC">
        <w:t>: Detailed Background, Process for Development, and Review of Existing Approaches</w:t>
      </w:r>
      <w:bookmarkEnd w:id="9"/>
    </w:p>
    <w:p w:rsidR="007645A7" w:rsidRPr="00E224FC" w:rsidRDefault="007645A7" w:rsidP="00FD7D57">
      <w:pPr>
        <w:spacing w:line="276" w:lineRule="auto"/>
        <w:rPr>
          <w:rFonts w:asciiTheme="minorHAnsi" w:hAnsiTheme="minorHAnsi"/>
        </w:rPr>
      </w:pPr>
    </w:p>
    <w:p w:rsidR="00BC5A96" w:rsidRPr="00E224FC" w:rsidRDefault="007645A7">
      <w:pPr>
        <w:pStyle w:val="Heading2"/>
      </w:pPr>
      <w:bookmarkStart w:id="10" w:name="_Toc433370054"/>
      <w:r w:rsidRPr="00E224FC">
        <w:t>San Francisco Bay</w:t>
      </w:r>
      <w:r w:rsidR="00BC5A96" w:rsidRPr="00E224FC">
        <w:t>: A Brief History</w:t>
      </w:r>
      <w:r w:rsidR="009628F7" w:rsidRPr="00E224FC">
        <w:t xml:space="preserve"> and Context for Nutrient Management</w:t>
      </w:r>
      <w:bookmarkEnd w:id="10"/>
    </w:p>
    <w:p w:rsidR="00BC5A96" w:rsidRPr="00E224FC" w:rsidRDefault="00BC5A96">
      <w:r w:rsidRPr="00E224FC">
        <w:t xml:space="preserve">SFB encompasses several </w:t>
      </w:r>
      <w:proofErr w:type="spellStart"/>
      <w:r w:rsidRPr="00E224FC">
        <w:t>subembayments</w:t>
      </w:r>
      <w:proofErr w:type="spellEnd"/>
      <w:r w:rsidRPr="00E224FC">
        <w:t xml:space="preserve"> of the San Francisco Estuary, the largest estuary in California. SFB is surrounded by remnant tidal marshes, an array of intertidal and </w:t>
      </w:r>
      <w:proofErr w:type="spellStart"/>
      <w:r w:rsidRPr="00E224FC">
        <w:t>subtidal</w:t>
      </w:r>
      <w:proofErr w:type="spellEnd"/>
      <w:r w:rsidRPr="00E224FC">
        <w:t xml:space="preserve"> habitats, tributary rivers, the freshwater “Delta” portion of the estuary, and the large mixed-land-use area known as the San Francisco Bay Area.</w:t>
      </w:r>
      <w:r w:rsidR="00D72900">
        <w:t xml:space="preserve"> </w:t>
      </w:r>
      <w:r w:rsidRPr="00E224FC">
        <w:t>San Francisco Bay hosts an array of habitat types, many of which have undergone substantial changes in their size or quality due to human activities (</w:t>
      </w:r>
      <w:proofErr w:type="spellStart"/>
      <w:r w:rsidR="00716985" w:rsidRPr="00E224FC">
        <w:t>Co</w:t>
      </w:r>
      <w:r w:rsidR="00FD7D57">
        <w:t>n</w:t>
      </w:r>
      <w:r w:rsidR="00716985" w:rsidRPr="00E224FC">
        <w:t>omos</w:t>
      </w:r>
      <w:proofErr w:type="spellEnd"/>
      <w:r w:rsidR="00716985" w:rsidRPr="00E224FC">
        <w:t xml:space="preserve"> (ed.) 1979</w:t>
      </w:r>
      <w:r w:rsidRPr="00E224FC">
        <w:t>). Urban residential and commercial land uses comprise a large portion of Bay Area watersheds, in particular those adjacent to Central Bay, South Bay and Lower South Bay.</w:t>
      </w:r>
      <w:r w:rsidR="00D72900">
        <w:t xml:space="preserve"> </w:t>
      </w:r>
      <w:r w:rsidRPr="00E224FC">
        <w:t>Open space and agricultural land uses comprise larger proportions of the areas draining to Suisun Bay and San Pablo Bay.</w:t>
      </w:r>
      <w:r w:rsidR="00D72900">
        <w:t xml:space="preserve"> </w:t>
      </w:r>
      <w:r w:rsidRPr="00E224FC">
        <w:t>The San Joaquin and Sacramento Rivers drain 40% of California, including agricultural-intensive land use areas in the Central Valley.</w:t>
      </w:r>
      <w:r w:rsidR="00D72900">
        <w:t xml:space="preserve"> </w:t>
      </w:r>
      <w:r w:rsidRPr="00E224FC">
        <w:t>Flows from several urban centers also enter these rivers, most notably Sacramento which is ~100 km upstream of Suisun Bay along the Sacramento River.</w:t>
      </w:r>
    </w:p>
    <w:p w:rsidR="00BC5A96" w:rsidRPr="00E224FC" w:rsidRDefault="00BC5A96"/>
    <w:p w:rsidR="00BC5A96" w:rsidRPr="00E224FC" w:rsidRDefault="00BC5A96">
      <w:r w:rsidRPr="00E224FC">
        <w:t xml:space="preserve">SFB receives high nutrient loads from </w:t>
      </w:r>
      <w:r w:rsidR="005A589C" w:rsidRPr="00E224FC">
        <w:rPr>
          <w:rFonts w:cs="Calibri"/>
        </w:rPr>
        <w:t>37</w:t>
      </w:r>
      <w:r w:rsidRPr="00E224FC">
        <w:t xml:space="preserve"> public owned wastewater treatment works (POTWs) servicing the Bay Area’s 7.2 million people</w:t>
      </w:r>
      <w:r w:rsidR="00FD7D57">
        <w:t xml:space="preserve"> (Association of Bay Area Governments, </w:t>
      </w:r>
      <w:r w:rsidR="00FD7D57" w:rsidRPr="00FD7D57">
        <w:t>www.abag.ca.gov</w:t>
      </w:r>
      <w:r w:rsidR="00FD7D57">
        <w:t>)</w:t>
      </w:r>
      <w:r w:rsidRPr="00E224FC">
        <w:t>.</w:t>
      </w:r>
      <w:r w:rsidR="00D72900">
        <w:t xml:space="preserve"> </w:t>
      </w:r>
      <w:r w:rsidRPr="00E224FC">
        <w:t>Several POTWs carry out nutrient removal before effluent discharge; however</w:t>
      </w:r>
      <w:r w:rsidR="00934E26">
        <w:t>,</w:t>
      </w:r>
      <w:r w:rsidRPr="00E224FC">
        <w:t xml:space="preserve"> the </w:t>
      </w:r>
      <w:proofErr w:type="gramStart"/>
      <w:r w:rsidRPr="00E224FC">
        <w:t xml:space="preserve">majority </w:t>
      </w:r>
      <w:r w:rsidR="00FD58AC">
        <w:t>are</w:t>
      </w:r>
      <w:proofErr w:type="gramEnd"/>
      <w:r w:rsidR="00FD58AC">
        <w:t xml:space="preserve"> designed to have</w:t>
      </w:r>
      <w:r w:rsidRPr="00E224FC">
        <w:t xml:space="preserve"> secondary treatment without additional N or P removal.</w:t>
      </w:r>
      <w:r w:rsidR="00D72900">
        <w:t xml:space="preserve"> </w:t>
      </w:r>
      <w:r w:rsidRPr="00E224FC">
        <w:t xml:space="preserve">Nutrients also enter SFB via </w:t>
      </w:r>
      <w:proofErr w:type="spellStart"/>
      <w:r w:rsidRPr="00E224FC">
        <w:t>stormwater</w:t>
      </w:r>
      <w:proofErr w:type="spellEnd"/>
      <w:r w:rsidRPr="00E224FC">
        <w:t xml:space="preserve"> runoff from the densely populated watersheds that surround SFB.</w:t>
      </w:r>
      <w:r w:rsidR="00D72900">
        <w:t xml:space="preserve"> </w:t>
      </w:r>
      <w:r w:rsidRPr="00E224FC">
        <w:t xml:space="preserve">Flows from the Sacramento and San Joaquin Rivers deliver large nutrient loads, and enter the northern estuary through the Sacramento/San Joaquin Delta. </w:t>
      </w:r>
    </w:p>
    <w:p w:rsidR="00BC5A96" w:rsidRPr="00E224FC" w:rsidRDefault="00BC5A96"/>
    <w:p w:rsidR="00BC5A96" w:rsidRPr="00E224FC" w:rsidRDefault="00BC5A96">
      <w:r w:rsidRPr="00E224FC">
        <w:t>SFB nutrient loads and ambient nutrient concentrations are among the highest of the U</w:t>
      </w:r>
      <w:r w:rsidR="00BF7A17">
        <w:t>.</w:t>
      </w:r>
      <w:r w:rsidRPr="00E224FC">
        <w:t>S</w:t>
      </w:r>
      <w:r w:rsidR="00BF7A17">
        <w:t>.</w:t>
      </w:r>
      <w:r w:rsidRPr="00E224FC">
        <w:t xml:space="preserve"> estuaries (2012), However, SFB has long been considered relatively immune to its high nutrient loads. For example, the </w:t>
      </w:r>
      <w:r w:rsidR="00FD58AC">
        <w:t>first</w:t>
      </w:r>
      <w:r w:rsidRPr="00E224FC">
        <w:t xml:space="preserve"> San Francisco Bay Regional Basin Plan from 1975 stated that only limited treatment for nutrients was necessary because the system was considered to be light</w:t>
      </w:r>
      <w:r w:rsidR="00056745">
        <w:t>-</w:t>
      </w:r>
      <w:r w:rsidRPr="00E224FC">
        <w:t>limited (SFRWQCB, 1975</w:t>
      </w:r>
      <w:r w:rsidRPr="00E224FC">
        <w:fldChar w:fldCharType="begin"/>
      </w:r>
      <w:r w:rsidRPr="00E224FC">
        <w:instrText xml:space="preserve"> ADDIN EN.CITE &lt;EndNote&gt;&lt;Cite ExcludeAuth="1" ExcludeYear="1"&gt;&lt;RecNum&gt;335&lt;/RecNum&gt;&lt;record&gt;&lt;rec-number&gt;335&lt;/rec-number&gt;&lt;foreign-keys&gt;&lt;key app="EN" db-id="zwd9tpe28dr5wwervvgv2vzdpvvfvptatxpz"&gt;335&lt;/key&gt;&lt;/foreign-keys&gt;&lt;ref-type name="Journal Article"&gt;17&lt;/ref-type&gt;&lt;contributors&gt;&lt;authors&gt;&lt;author&gt;SFBRWQCB&lt;/author&gt;&lt;/authors&gt;&lt;/contributors&gt;&lt;titles&gt;&lt;title&gt;San Francisco Bay Basin (Region 2) Water Quality Control Plan&lt;/title&gt;&lt;secondary-title&gt;As amended December 2011, available at http://www.waterboards.ca.gov/rwqcb2/basin_planning.shtml&lt;/secondary-title&gt;&lt;/titles&gt;&lt;periodical&gt;&lt;full-title&gt;As amended December 2011, available at http://www.waterboards.ca.gov/rwqcb2/basin_planning.shtml&lt;/full-title&gt;&lt;/periodical&gt;&lt;dates&gt;&lt;year&gt;1975&lt;/year&gt;&lt;/dates&gt;&lt;urls&gt;&lt;/urls&gt;&lt;/record&gt;&lt;/Cite&gt;&lt;/EndNote&gt;</w:instrText>
      </w:r>
      <w:r w:rsidRPr="00E224FC">
        <w:fldChar w:fldCharType="end"/>
      </w:r>
      <w:r w:rsidRPr="00E224FC">
        <w:t>)</w:t>
      </w:r>
      <w:r w:rsidRPr="00E224FC">
        <w:rPr>
          <w:i/>
        </w:rPr>
        <w:t xml:space="preserve">. </w:t>
      </w:r>
      <w:r w:rsidRPr="00E224FC">
        <w:t>Research and monitoring over the last 40 years have identified several factors that impart SFB with resilience to high nutrient loads</w:t>
      </w:r>
      <w:r w:rsidR="00056745">
        <w:t>, i.e.,</w:t>
      </w:r>
      <w:r w:rsidR="00F96CF2">
        <w:t xml:space="preserve"> control on phytoplankton production </w:t>
      </w:r>
      <w:r w:rsidRPr="00E224FC">
        <w:t xml:space="preserve">(e.g., see </w:t>
      </w:r>
      <w:proofErr w:type="spellStart"/>
      <w:r w:rsidRPr="00E224FC">
        <w:t>Cloern</w:t>
      </w:r>
      <w:proofErr w:type="spellEnd"/>
      <w:r w:rsidRPr="00E224FC">
        <w:t xml:space="preserve"> and </w:t>
      </w:r>
      <w:proofErr w:type="spellStart"/>
      <w:r w:rsidRPr="00E224FC">
        <w:t>Jassby</w:t>
      </w:r>
      <w:proofErr w:type="spellEnd"/>
      <w:r w:rsidRPr="00E224FC">
        <w:t xml:space="preserve"> 2012; </w:t>
      </w:r>
      <w:proofErr w:type="spellStart"/>
      <w:r w:rsidRPr="00E224FC">
        <w:t>Cloern</w:t>
      </w:r>
      <w:proofErr w:type="spellEnd"/>
      <w:r w:rsidRPr="00E224FC">
        <w:t xml:space="preserve"> et al., 2007)</w:t>
      </w:r>
      <w:r w:rsidR="005418D2">
        <w:t>,</w:t>
      </w:r>
      <w:r w:rsidR="00F96CF2">
        <w:t xml:space="preserve"> including</w:t>
      </w:r>
      <w:r w:rsidRPr="00E224FC">
        <w:t xml:space="preserve"> high turbidity, strong tidal mixing, and abundant filter-feeding clam populations. </w:t>
      </w:r>
    </w:p>
    <w:p w:rsidR="00BC5A96" w:rsidRPr="00E224FC" w:rsidRDefault="00BC5A96"/>
    <w:p w:rsidR="00934E26" w:rsidRPr="00BF7A17" w:rsidRDefault="00BC5A96">
      <w:r w:rsidRPr="005D6FC2">
        <w:t>However, recent studies indicate that the response to nutrients in SFB is changing.</w:t>
      </w:r>
      <w:r w:rsidR="00D72900" w:rsidRPr="005D6FC2">
        <w:t xml:space="preserve"> </w:t>
      </w:r>
      <w:r w:rsidR="00934E26" w:rsidRPr="005D6FC2">
        <w:t xml:space="preserve">These shifts in nutrient responses </w:t>
      </w:r>
      <w:r w:rsidR="00BF7A17" w:rsidRPr="005D6FC2">
        <w:t>may be triggered by o</w:t>
      </w:r>
      <w:r w:rsidR="00056745" w:rsidRPr="005D6FC2">
        <w:t>ne or more recently documented</w:t>
      </w:r>
      <w:r w:rsidR="00BF7A17" w:rsidRPr="005D6FC2">
        <w:t xml:space="preserve"> </w:t>
      </w:r>
      <w:r w:rsidR="00934E26" w:rsidRPr="005D6FC2">
        <w:t>changes</w:t>
      </w:r>
      <w:r w:rsidR="00056745" w:rsidRPr="005D6FC2">
        <w:t xml:space="preserve"> in SFB</w:t>
      </w:r>
      <w:r w:rsidR="00934E26" w:rsidRPr="005D6FC2">
        <w:t xml:space="preserve">, including </w:t>
      </w:r>
      <w:r w:rsidR="00BF7A17" w:rsidRPr="005D6FC2">
        <w:t xml:space="preserve">shifts in </w:t>
      </w:r>
      <w:r w:rsidR="00934E26" w:rsidRPr="005D6FC2">
        <w:t>the timing and extent of freshwater inflow and salinity intrusion, decreasing turbidity, restructuring of plankton communities, and reduced metal contamination of biota, and food web changes that decrease resistance of the estuary to nutrient pollution</w:t>
      </w:r>
      <w:r w:rsidR="00BF7A17" w:rsidRPr="005D6FC2">
        <w:t xml:space="preserve"> (</w:t>
      </w:r>
      <w:proofErr w:type="spellStart"/>
      <w:r w:rsidR="00BF7A17" w:rsidRPr="005D6FC2">
        <w:t>Cloern</w:t>
      </w:r>
      <w:proofErr w:type="spellEnd"/>
      <w:r w:rsidR="00BF7A17" w:rsidRPr="005D6FC2">
        <w:t xml:space="preserve"> and </w:t>
      </w:r>
      <w:proofErr w:type="spellStart"/>
      <w:r w:rsidR="00BF7A17" w:rsidRPr="005D6FC2">
        <w:t>Jassby</w:t>
      </w:r>
      <w:proofErr w:type="spellEnd"/>
      <w:r w:rsidR="00BF7A17" w:rsidRPr="005D6FC2">
        <w:t xml:space="preserve"> 2012)</w:t>
      </w:r>
      <w:r w:rsidR="00934E26" w:rsidRPr="005D6FC2">
        <w:t>.</w:t>
      </w:r>
    </w:p>
    <w:p w:rsidR="00934E26" w:rsidRPr="00BF7A17" w:rsidRDefault="00934E26"/>
    <w:p w:rsidR="00A31737" w:rsidRPr="00BF7A17" w:rsidRDefault="009628F7">
      <w:r w:rsidRPr="00BF7A17">
        <w:t xml:space="preserve">Since 1969, a USGS research program has supported water-quality sampling in the San Francisco Bay. This program collects monthly samples between the South Bay and the lower </w:t>
      </w:r>
      <w:r w:rsidRPr="00BF7A17">
        <w:lastRenderedPageBreak/>
        <w:t xml:space="preserve">Sacramento River to measure salinity, temperature, turbidity, suspended sediments, nutrients, dissolved oxygen and </w:t>
      </w:r>
      <w:r w:rsidR="007C2CC0">
        <w:t>chlorophyll-a</w:t>
      </w:r>
      <w:r w:rsidRPr="00BF7A17">
        <w:t>. The USGS data, along with sampling conducted by the Interagency Ecological Program (IEP), provide coverage for the entire San Francisco Bay</w:t>
      </w:r>
      <w:r w:rsidR="00BF7A17" w:rsidRPr="00BF7A17">
        <w:t>-</w:t>
      </w:r>
      <w:r w:rsidRPr="00BF7A17">
        <w:t xml:space="preserve">Delta system. </w:t>
      </w:r>
      <w:r w:rsidR="00934E26" w:rsidRPr="00BF7A17">
        <w:rPr>
          <w:rFonts w:cs="Calibri"/>
        </w:rPr>
        <w:t>Although t</w:t>
      </w:r>
      <w:r w:rsidR="00A31737" w:rsidRPr="00BF7A17">
        <w:rPr>
          <w:rFonts w:cs="Calibri"/>
        </w:rPr>
        <w:t>hese data are critical to our current understanding of the Bay-Delta Estuary</w:t>
      </w:r>
      <w:r w:rsidR="00934E26" w:rsidRPr="00BF7A17">
        <w:rPr>
          <w:rFonts w:cs="Calibri"/>
        </w:rPr>
        <w:t>,</w:t>
      </w:r>
      <w:r w:rsidR="00A31737" w:rsidRPr="00BF7A17">
        <w:rPr>
          <w:rFonts w:cs="Calibri"/>
        </w:rPr>
        <w:t xml:space="preserve"> the USGS program is a research program</w:t>
      </w:r>
      <w:r w:rsidR="00BF7A17" w:rsidRPr="00BF7A17">
        <w:rPr>
          <w:rFonts w:cs="Calibri"/>
        </w:rPr>
        <w:t xml:space="preserve"> and</w:t>
      </w:r>
      <w:r w:rsidR="00B33B52">
        <w:rPr>
          <w:rFonts w:cs="Calibri"/>
        </w:rPr>
        <w:t>,</w:t>
      </w:r>
      <w:r w:rsidR="00BF7A17" w:rsidRPr="00BF7A17">
        <w:rPr>
          <w:rFonts w:cs="Calibri"/>
        </w:rPr>
        <w:t xml:space="preserve"> thus</w:t>
      </w:r>
      <w:r w:rsidR="00B33B52">
        <w:rPr>
          <w:rFonts w:cs="Calibri"/>
        </w:rPr>
        <w:t xml:space="preserve">, </w:t>
      </w:r>
      <w:r w:rsidR="00FD58AC">
        <w:rPr>
          <w:rFonts w:cs="Calibri"/>
        </w:rPr>
        <w:t xml:space="preserve">is </w:t>
      </w:r>
      <w:r w:rsidR="00FD7D57">
        <w:rPr>
          <w:rFonts w:cs="Calibri"/>
        </w:rPr>
        <w:t xml:space="preserve">not </w:t>
      </w:r>
      <w:r w:rsidR="00FE3482">
        <w:rPr>
          <w:rFonts w:cs="Calibri"/>
        </w:rPr>
        <w:t xml:space="preserve">intended to serve as </w:t>
      </w:r>
      <w:r w:rsidR="00FD7D57">
        <w:rPr>
          <w:rFonts w:cs="Calibri"/>
        </w:rPr>
        <w:t xml:space="preserve">a </w:t>
      </w:r>
      <w:r w:rsidR="00FE3482">
        <w:rPr>
          <w:rFonts w:cs="Calibri"/>
        </w:rPr>
        <w:t xml:space="preserve">comprehensive </w:t>
      </w:r>
      <w:r w:rsidR="00FD7D57">
        <w:rPr>
          <w:rFonts w:cs="Calibri"/>
        </w:rPr>
        <w:t>SFB nutrient monitoring program</w:t>
      </w:r>
      <w:r w:rsidR="00A31737" w:rsidRPr="00BF7A17">
        <w:rPr>
          <w:rFonts w:cs="Calibri"/>
        </w:rPr>
        <w:t xml:space="preserve">. </w:t>
      </w:r>
    </w:p>
    <w:p w:rsidR="003F5B58" w:rsidRPr="00BF7A17" w:rsidRDefault="003F5B58"/>
    <w:p w:rsidR="009628F7" w:rsidRPr="00E224FC" w:rsidRDefault="009628F7">
      <w:r w:rsidRPr="00BF7A17">
        <w:t>The Nutrient Strategy highlights the need to lay the groundwork for a regionally</w:t>
      </w:r>
      <w:r w:rsidR="00B33B52">
        <w:t xml:space="preserve"> </w:t>
      </w:r>
      <w:r w:rsidRPr="00BF7A17">
        <w:t xml:space="preserve">supported, long-term monitoring program </w:t>
      </w:r>
      <w:r w:rsidR="00A31737" w:rsidRPr="00BF7A17">
        <w:rPr>
          <w:rFonts w:cs="Calibri"/>
        </w:rPr>
        <w:t>that should be organized i</w:t>
      </w:r>
      <w:r w:rsidR="00B33B52">
        <w:rPr>
          <w:rFonts w:cs="Calibri"/>
        </w:rPr>
        <w:t>n</w:t>
      </w:r>
      <w:r w:rsidR="00A31737" w:rsidRPr="00BF7A17">
        <w:rPr>
          <w:rFonts w:cs="Calibri"/>
        </w:rPr>
        <w:t xml:space="preserve"> such a way as to collaborate with</w:t>
      </w:r>
      <w:r w:rsidR="00A31737" w:rsidRPr="00E224FC">
        <w:rPr>
          <w:rFonts w:cs="Calibri"/>
        </w:rPr>
        <w:t xml:space="preserve"> ongoing research efforts </w:t>
      </w:r>
      <w:r w:rsidRPr="00E224FC">
        <w:t>to provide the information that is most needed to support management decisions in the Bay.</w:t>
      </w:r>
    </w:p>
    <w:p w:rsidR="009628F7" w:rsidRPr="00E224FC" w:rsidRDefault="009628F7"/>
    <w:p w:rsidR="009628F7" w:rsidRPr="00E224FC" w:rsidRDefault="00EA2D56">
      <w:r>
        <w:t xml:space="preserve">The technical approach underpinning the SFB Nutrient Management Strategy </w:t>
      </w:r>
      <w:r w:rsidR="00977374">
        <w:t xml:space="preserve">is </w:t>
      </w:r>
      <w:r>
        <w:t>compatible</w:t>
      </w:r>
      <w:r w:rsidR="009628F7" w:rsidRPr="00E224FC">
        <w:t xml:space="preserve"> with a major statewide initiative, led by the California State Water Resources Control Board (State Water Board), </w:t>
      </w:r>
      <w:r w:rsidR="00977374">
        <w:t>to develop</w:t>
      </w:r>
      <w:r w:rsidR="009628F7" w:rsidRPr="00E224FC">
        <w:t xml:space="preserve"> nutrient water quality objectives for</w:t>
      </w:r>
      <w:r>
        <w:t xml:space="preserve"> the rest of the State’s estuaries </w:t>
      </w:r>
      <w:hyperlink r:id="rId17" w:history="1">
        <w:r w:rsidRPr="00146894">
          <w:rPr>
            <w:rStyle w:val="Hyperlink"/>
          </w:rPr>
          <w:t>www.swrcb.ca.gov/water_issues/programs/nutrient_objectives/</w:t>
        </w:r>
      </w:hyperlink>
      <w:r>
        <w:t xml:space="preserve"> </w:t>
      </w:r>
      <w:r w:rsidR="009628F7" w:rsidRPr="00E224FC">
        <w:t>.</w:t>
      </w:r>
    </w:p>
    <w:p w:rsidR="00773EA5" w:rsidRPr="00E224FC" w:rsidRDefault="00773EA5" w:rsidP="00FD7D57">
      <w:pPr>
        <w:spacing w:line="276" w:lineRule="auto"/>
        <w:rPr>
          <w:rFonts w:asciiTheme="minorHAnsi" w:hAnsiTheme="minorHAnsi"/>
        </w:rPr>
      </w:pPr>
    </w:p>
    <w:p w:rsidR="00773EA5" w:rsidRPr="00E224FC" w:rsidRDefault="00692741">
      <w:pPr>
        <w:pStyle w:val="Heading2"/>
      </w:pPr>
      <w:bookmarkStart w:id="11" w:name="_Toc433370055"/>
      <w:r>
        <w:t>SFB</w:t>
      </w:r>
      <w:r w:rsidR="00773EA5" w:rsidRPr="00E224FC">
        <w:t xml:space="preserve"> Nutrient Management Strategy: Management Questions, Major Work Elements, and Linkage to </w:t>
      </w:r>
      <w:r w:rsidR="00353722">
        <w:t>AF</w:t>
      </w:r>
      <w:bookmarkEnd w:id="11"/>
    </w:p>
    <w:p w:rsidR="00832933" w:rsidRPr="00E224FC" w:rsidRDefault="00832933" w:rsidP="00FD7D57">
      <w:pPr>
        <w:spacing w:line="276" w:lineRule="auto"/>
        <w:rPr>
          <w:rFonts w:asciiTheme="minorHAnsi" w:hAnsiTheme="minorHAnsi" w:cs="Calibri"/>
        </w:rPr>
      </w:pPr>
    </w:p>
    <w:p w:rsidR="00773EA5" w:rsidRPr="009735A2" w:rsidRDefault="00773EA5" w:rsidP="00FD7D57">
      <w:r w:rsidRPr="009735A2">
        <w:t>To address growing concerns that SFB’s response to nutrients is changing and that conditions may be trending toward adverse impacts due to elevated nutrient loads, the Water Board worked collaboratively with stakeholders to develop the San Francisco Bay Nutrient Management Strategy</w:t>
      </w:r>
      <w:r w:rsidR="00D72900">
        <w:t xml:space="preserve"> </w:t>
      </w:r>
      <w:r w:rsidRPr="009735A2">
        <w:t>(here</w:t>
      </w:r>
      <w:r w:rsidR="00BF7A17">
        <w:t>in</w:t>
      </w:r>
      <w:r w:rsidRPr="009735A2">
        <w:t xml:space="preserve"> referred to as “the Strategy”; SFRWQCB 2012), which lays out an approach for gathering and applying information to inform management decisions.</w:t>
      </w:r>
      <w:r w:rsidR="00D72900">
        <w:t xml:space="preserve"> </w:t>
      </w:r>
      <w:r w:rsidRPr="009735A2">
        <w:t>The Strategy identified four overarching management questions:</w:t>
      </w:r>
    </w:p>
    <w:p w:rsidR="00773EA5" w:rsidRPr="009735A2" w:rsidRDefault="00773EA5" w:rsidP="00FD7D57">
      <w:pPr>
        <w:numPr>
          <w:ilvl w:val="0"/>
          <w:numId w:val="6"/>
        </w:numPr>
      </w:pPr>
      <w:r w:rsidRPr="009735A2">
        <w:t>Is SFB currently experiencing nutrient-related impairment, or are there signs of future impairment?</w:t>
      </w:r>
    </w:p>
    <w:p w:rsidR="00773EA5" w:rsidRPr="009735A2" w:rsidRDefault="00773EA5" w:rsidP="00FD7D57">
      <w:pPr>
        <w:numPr>
          <w:ilvl w:val="0"/>
          <w:numId w:val="6"/>
        </w:numPr>
      </w:pPr>
      <w:r w:rsidRPr="009735A2">
        <w:t>What are appropriate guidelines for identifying a problem? </w:t>
      </w:r>
    </w:p>
    <w:p w:rsidR="00773EA5" w:rsidRPr="009735A2" w:rsidRDefault="00773EA5" w:rsidP="00FD7D57">
      <w:pPr>
        <w:numPr>
          <w:ilvl w:val="0"/>
          <w:numId w:val="6"/>
        </w:numPr>
      </w:pPr>
      <w:r w:rsidRPr="009735A2">
        <w:t>What nutrient loads can the Bay assimilate without impairment of beneficial uses? </w:t>
      </w:r>
    </w:p>
    <w:p w:rsidR="00773EA5" w:rsidRPr="009735A2" w:rsidRDefault="00773EA5" w:rsidP="00FD7D57">
      <w:pPr>
        <w:numPr>
          <w:ilvl w:val="0"/>
          <w:numId w:val="6"/>
        </w:numPr>
      </w:pPr>
      <w:r w:rsidRPr="009735A2">
        <w:t>What are the contributions of different loading pathways, and how do they vary in importance as a function of space and time?</w:t>
      </w:r>
    </w:p>
    <w:p w:rsidR="00773EA5" w:rsidRPr="009735A2" w:rsidRDefault="00773EA5" w:rsidP="00FD7D57"/>
    <w:p w:rsidR="00773EA5" w:rsidRPr="009735A2" w:rsidRDefault="00773EA5" w:rsidP="00FD7D57">
      <w:r w:rsidRPr="009735A2">
        <w:t>To address these management questions, the Strategy identified five major work elements:</w:t>
      </w:r>
    </w:p>
    <w:p w:rsidR="00773EA5" w:rsidRPr="009735A2" w:rsidRDefault="00773EA5" w:rsidP="00FD7D57">
      <w:pPr>
        <w:numPr>
          <w:ilvl w:val="0"/>
          <w:numId w:val="7"/>
        </w:numPr>
      </w:pPr>
      <w:r w:rsidRPr="009735A2">
        <w:t>Conceptual model development, scientific synthesis and basic research</w:t>
      </w:r>
    </w:p>
    <w:p w:rsidR="00773EA5" w:rsidRPr="009735A2" w:rsidRDefault="00773EA5" w:rsidP="00FD7D57">
      <w:pPr>
        <w:numPr>
          <w:ilvl w:val="0"/>
          <w:numId w:val="7"/>
        </w:numPr>
      </w:pPr>
      <w:r w:rsidRPr="009735A2">
        <w:t xml:space="preserve">Nutrient </w:t>
      </w:r>
      <w:r w:rsidR="007D6835">
        <w:t>assessment framework</w:t>
      </w:r>
      <w:r w:rsidRPr="009735A2">
        <w:t xml:space="preserve"> </w:t>
      </w:r>
    </w:p>
    <w:p w:rsidR="00773EA5" w:rsidRPr="009735A2" w:rsidRDefault="00773EA5" w:rsidP="00FD7D57">
      <w:pPr>
        <w:numPr>
          <w:ilvl w:val="0"/>
          <w:numId w:val="7"/>
        </w:numPr>
      </w:pPr>
      <w:r w:rsidRPr="009735A2">
        <w:t>Modeling</w:t>
      </w:r>
    </w:p>
    <w:p w:rsidR="00773EA5" w:rsidRPr="009735A2" w:rsidRDefault="00773EA5" w:rsidP="00FD7D57">
      <w:pPr>
        <w:numPr>
          <w:ilvl w:val="0"/>
          <w:numId w:val="7"/>
        </w:numPr>
      </w:pPr>
      <w:r w:rsidRPr="009735A2">
        <w:t>Monitoring and special studies</w:t>
      </w:r>
    </w:p>
    <w:p w:rsidR="00773EA5" w:rsidRPr="009735A2" w:rsidRDefault="00773EA5" w:rsidP="00FD7D57">
      <w:pPr>
        <w:numPr>
          <w:ilvl w:val="0"/>
          <w:numId w:val="7"/>
        </w:numPr>
      </w:pPr>
      <w:r w:rsidRPr="009735A2">
        <w:t>Characterization of nutrient loads, sources and major pathways</w:t>
      </w:r>
    </w:p>
    <w:p w:rsidR="00773EA5" w:rsidRPr="009735A2" w:rsidRDefault="00773EA5" w:rsidP="00FD7D57"/>
    <w:p w:rsidR="000272E5" w:rsidRDefault="00773EA5" w:rsidP="00FD7D57">
      <w:r w:rsidRPr="009735A2">
        <w:t xml:space="preserve">This report </w:t>
      </w:r>
      <w:r w:rsidR="00977374" w:rsidRPr="009735A2">
        <w:t>consists of the proposed AF</w:t>
      </w:r>
      <w:r w:rsidRPr="009735A2">
        <w:t xml:space="preserve"> and </w:t>
      </w:r>
      <w:r w:rsidR="00977374" w:rsidRPr="009735A2">
        <w:t xml:space="preserve">the </w:t>
      </w:r>
      <w:r w:rsidRPr="009735A2">
        <w:t xml:space="preserve">analyses </w:t>
      </w:r>
      <w:r w:rsidR="00977374" w:rsidRPr="009735A2">
        <w:t>and literature that supported its development</w:t>
      </w:r>
      <w:r w:rsidRPr="009735A2">
        <w:t>. Other major elements</w:t>
      </w:r>
      <w:r w:rsidR="00823A5C">
        <w:t xml:space="preserve"> exist and are </w:t>
      </w:r>
      <w:r w:rsidRPr="009735A2">
        <w:t>in various stages of progress</w:t>
      </w:r>
      <w:r w:rsidR="00823A5C">
        <w:t xml:space="preserve"> (</w:t>
      </w:r>
      <w:hyperlink r:id="rId18" w:history="1">
        <w:r w:rsidR="00823A5C" w:rsidRPr="00146894">
          <w:rPr>
            <w:rStyle w:val="Hyperlink"/>
          </w:rPr>
          <w:t>http://sfbaynutrients.sfei.org/</w:t>
        </w:r>
      </w:hyperlink>
      <w:r w:rsidR="00823A5C">
        <w:t>).</w:t>
      </w:r>
      <w:r w:rsidRPr="009735A2">
        <w:t xml:space="preserve"> </w:t>
      </w:r>
    </w:p>
    <w:p w:rsidR="00773EA5" w:rsidRPr="009735A2" w:rsidRDefault="00773EA5" w:rsidP="00FD7D57"/>
    <w:p w:rsidR="00773EA5" w:rsidRPr="009735A2" w:rsidRDefault="00773EA5" w:rsidP="00FD7D57">
      <w:r w:rsidRPr="009735A2">
        <w:lastRenderedPageBreak/>
        <w:t xml:space="preserve">The nutrient </w:t>
      </w:r>
      <w:r w:rsidR="00977374" w:rsidRPr="009735A2">
        <w:t>AF</w:t>
      </w:r>
      <w:r w:rsidRPr="009735A2">
        <w:t xml:space="preserve"> is intended to provide a decision framework for quantifying </w:t>
      </w:r>
      <w:r w:rsidR="00727E53" w:rsidRPr="009735A2">
        <w:t xml:space="preserve">the </w:t>
      </w:r>
      <w:r w:rsidRPr="009735A2">
        <w:t xml:space="preserve">extent to which SFB is </w:t>
      </w:r>
      <w:r w:rsidR="007847D7" w:rsidRPr="009735A2">
        <w:t>supporting</w:t>
      </w:r>
      <w:r w:rsidRPr="009735A2">
        <w:t xml:space="preserve"> beneficial uses with respect to nutrients. It also </w:t>
      </w:r>
      <w:r w:rsidR="000F74C1">
        <w:t xml:space="preserve">is integral to </w:t>
      </w:r>
      <w:r w:rsidRPr="009735A2">
        <w:t xml:space="preserve">the other major elements </w:t>
      </w:r>
      <w:r w:rsidR="00977374" w:rsidRPr="009735A2">
        <w:t>by</w:t>
      </w:r>
      <w:r w:rsidRPr="009735A2">
        <w:t xml:space="preserve">: </w:t>
      </w:r>
    </w:p>
    <w:p w:rsidR="00773EA5" w:rsidRPr="009735A2" w:rsidRDefault="00773EA5" w:rsidP="00FD7D57">
      <w:pPr>
        <w:numPr>
          <w:ilvl w:val="0"/>
          <w:numId w:val="7"/>
        </w:numPr>
        <w:autoSpaceDE w:val="0"/>
        <w:autoSpaceDN w:val="0"/>
        <w:adjustRightInd w:val="0"/>
      </w:pPr>
      <w:r w:rsidRPr="009735A2">
        <w:t xml:space="preserve">Defining monitoring requirements (the core indicators, spatial and temporal frequency of sampling) needed to support routine assessments of SFB </w:t>
      </w:r>
    </w:p>
    <w:p w:rsidR="00773EA5" w:rsidRPr="009735A2" w:rsidRDefault="000F74C1" w:rsidP="00FD7D57">
      <w:pPr>
        <w:numPr>
          <w:ilvl w:val="0"/>
          <w:numId w:val="7"/>
        </w:numPr>
      </w:pPr>
      <w:r>
        <w:t>Identifying</w:t>
      </w:r>
      <w:r w:rsidR="00773EA5" w:rsidRPr="009735A2">
        <w:t xml:space="preserve"> a set of management endpoints that should constitute the output of SFB water quality models</w:t>
      </w:r>
      <w:r w:rsidR="001B56A2" w:rsidRPr="009735A2">
        <w:t xml:space="preserve"> </w:t>
      </w:r>
      <w:r>
        <w:t xml:space="preserve">that will </w:t>
      </w:r>
      <w:r w:rsidR="001B56A2" w:rsidRPr="009735A2">
        <w:t xml:space="preserve"> improve </w:t>
      </w:r>
      <w:r>
        <w:t xml:space="preserve">the </w:t>
      </w:r>
      <w:r w:rsidR="001B56A2" w:rsidRPr="009735A2">
        <w:t>mechanistic understanding of the linkage of nutrients to adverse outcomes in SFB</w:t>
      </w:r>
    </w:p>
    <w:p w:rsidR="00773EA5" w:rsidRPr="009735A2" w:rsidRDefault="00773EA5" w:rsidP="00FD7D57">
      <w:pPr>
        <w:numPr>
          <w:ilvl w:val="0"/>
          <w:numId w:val="7"/>
        </w:numPr>
      </w:pPr>
      <w:r w:rsidRPr="009735A2">
        <w:t xml:space="preserve">Contributing to key science needs and analyses needed to further refine the </w:t>
      </w:r>
      <w:r w:rsidR="00353722">
        <w:t>AF</w:t>
      </w:r>
      <w:r w:rsidRPr="009735A2">
        <w:t xml:space="preserve"> </w:t>
      </w:r>
    </w:p>
    <w:p w:rsidR="00773EA5" w:rsidRPr="009735A2" w:rsidRDefault="00773EA5" w:rsidP="00FD7D57"/>
    <w:p w:rsidR="00773EA5" w:rsidRPr="009735A2" w:rsidRDefault="00773EA5" w:rsidP="00FD7D57">
      <w:pPr>
        <w:rPr>
          <w:u w:val="single"/>
        </w:rPr>
      </w:pPr>
      <w:r w:rsidRPr="009735A2">
        <w:rPr>
          <w:u w:val="single"/>
        </w:rPr>
        <w:t xml:space="preserve">This last bullet point is a critical product of this effort, as the authors of this document fully acknowledge the considerable uncertainty in the </w:t>
      </w:r>
      <w:r w:rsidR="00446A46">
        <w:rPr>
          <w:u w:val="single"/>
        </w:rPr>
        <w:t>AF</w:t>
      </w:r>
      <w:r w:rsidRPr="009735A2">
        <w:rPr>
          <w:u w:val="single"/>
        </w:rPr>
        <w:t xml:space="preserve"> classification scheme and need for refinement, through multiple iterations of basic research, monitoring, and modeling.</w:t>
      </w:r>
      <w:r w:rsidR="00D72900">
        <w:rPr>
          <w:u w:val="single"/>
        </w:rPr>
        <w:t xml:space="preserve"> </w:t>
      </w:r>
    </w:p>
    <w:p w:rsidR="00773EA5" w:rsidRPr="00E224FC" w:rsidRDefault="00773EA5" w:rsidP="00FD7D57">
      <w:pPr>
        <w:spacing w:line="276" w:lineRule="auto"/>
        <w:rPr>
          <w:rFonts w:asciiTheme="minorHAnsi" w:hAnsiTheme="minorHAnsi"/>
          <w:u w:val="single"/>
        </w:rPr>
      </w:pPr>
    </w:p>
    <w:p w:rsidR="007462CE" w:rsidRPr="00E224FC" w:rsidRDefault="00D335CC">
      <w:pPr>
        <w:pStyle w:val="Heading2"/>
      </w:pPr>
      <w:bookmarkStart w:id="12" w:name="_Toc433370056"/>
      <w:r w:rsidRPr="00E224FC">
        <w:t xml:space="preserve">Conceptual Approach, </w:t>
      </w:r>
      <w:r w:rsidR="00496757" w:rsidRPr="00E224FC">
        <w:t>D</w:t>
      </w:r>
      <w:r w:rsidR="007462CE" w:rsidRPr="00E224FC">
        <w:t xml:space="preserve">esired </w:t>
      </w:r>
      <w:r w:rsidR="00496757" w:rsidRPr="00E224FC">
        <w:t>A</w:t>
      </w:r>
      <w:r w:rsidR="007462CE" w:rsidRPr="00E224FC">
        <w:t xml:space="preserve">ttributes of a </w:t>
      </w:r>
      <w:r w:rsidR="00496757" w:rsidRPr="00E224FC">
        <w:t>N</w:t>
      </w:r>
      <w:r w:rsidR="007462CE" w:rsidRPr="00E224FC">
        <w:t xml:space="preserve">utrient </w:t>
      </w:r>
      <w:r w:rsidR="00446A46">
        <w:t>AF</w:t>
      </w:r>
      <w:r w:rsidR="0005193C" w:rsidRPr="00E224FC">
        <w:t xml:space="preserve"> and Process for Development</w:t>
      </w:r>
      <w:bookmarkEnd w:id="12"/>
    </w:p>
    <w:p w:rsidR="0005193C" w:rsidRPr="009735A2" w:rsidRDefault="00D335CC" w:rsidP="00FD7D57">
      <w:pPr>
        <w:pStyle w:val="Heading3"/>
        <w:jc w:val="left"/>
      </w:pPr>
      <w:bookmarkStart w:id="13" w:name="_Toc433370057"/>
      <w:r w:rsidRPr="009735A2">
        <w:t>Conceptual Approach</w:t>
      </w:r>
      <w:r w:rsidR="008D76B9" w:rsidRPr="009735A2">
        <w:t xml:space="preserve"> to </w:t>
      </w:r>
      <w:r w:rsidR="00446A46">
        <w:t>AF</w:t>
      </w:r>
      <w:r w:rsidR="008D76B9" w:rsidRPr="009735A2">
        <w:t xml:space="preserve"> Development</w:t>
      </w:r>
      <w:bookmarkEnd w:id="13"/>
    </w:p>
    <w:p w:rsidR="006B5666" w:rsidRPr="009735A2" w:rsidRDefault="006B5666" w:rsidP="00FD7D57">
      <w:r w:rsidRPr="009735A2">
        <w:t>Nutrient objectives are scientifically challenging</w:t>
      </w:r>
      <w:r w:rsidR="00B936E4">
        <w:t xml:space="preserve"> because n</w:t>
      </w:r>
      <w:r w:rsidRPr="009735A2">
        <w:t xml:space="preserve">utrients are required to support life and the assessment of how much is “too much” is not straightforward. Typical paradigms used to set thresholds for toxic contaminants do not apply, in part because </w:t>
      </w:r>
      <w:r w:rsidR="00727E53" w:rsidRPr="009735A2">
        <w:t xml:space="preserve">the </w:t>
      </w:r>
      <w:r w:rsidRPr="009735A2">
        <w:t>adverse effects of nutrient over</w:t>
      </w:r>
      <w:r w:rsidR="00727E53" w:rsidRPr="009735A2">
        <w:t>-</w:t>
      </w:r>
      <w:r w:rsidRPr="009735A2">
        <w:t xml:space="preserve">enrichment are visible at orders of magnitude below recognized toxicity thresholds for </w:t>
      </w:r>
      <w:r w:rsidR="00192469" w:rsidRPr="00823A5C">
        <w:t xml:space="preserve">unionized ammonia </w:t>
      </w:r>
      <w:r w:rsidRPr="00823A5C">
        <w:t>and</w:t>
      </w:r>
      <w:r w:rsidRPr="009735A2">
        <w:t xml:space="preserve"> nitrate. In addition, </w:t>
      </w:r>
      <w:r w:rsidR="00727E53" w:rsidRPr="009735A2">
        <w:t xml:space="preserve">the </w:t>
      </w:r>
      <w:r w:rsidRPr="009735A2">
        <w:t xml:space="preserve">effects of nutrient discharges often </w:t>
      </w:r>
      <w:r w:rsidR="00727E53" w:rsidRPr="009735A2">
        <w:t xml:space="preserve">occur </w:t>
      </w:r>
      <w:r w:rsidRPr="009735A2">
        <w:t xml:space="preserve">via indirect </w:t>
      </w:r>
      <w:r w:rsidR="00727E53" w:rsidRPr="009735A2">
        <w:t>exposure</w:t>
      </w:r>
      <w:r w:rsidRPr="009735A2">
        <w:t xml:space="preserve"> pathways, which are spatially and temporally</w:t>
      </w:r>
      <w:r w:rsidR="00B936E4">
        <w:t xml:space="preserve"> </w:t>
      </w:r>
      <w:r w:rsidRPr="009735A2">
        <w:t>disconnected from their points of discharge.</w:t>
      </w:r>
    </w:p>
    <w:p w:rsidR="006B5666" w:rsidRPr="009735A2" w:rsidRDefault="006B5666" w:rsidP="00FD7D57">
      <w:pPr>
        <w:autoSpaceDE w:val="0"/>
        <w:autoSpaceDN w:val="0"/>
        <w:adjustRightInd w:val="0"/>
      </w:pPr>
    </w:p>
    <w:p w:rsidR="003D75DC" w:rsidRPr="009735A2" w:rsidRDefault="004E093F" w:rsidP="00FD7D57">
      <w:pPr>
        <w:autoSpaceDE w:val="0"/>
        <w:autoSpaceDN w:val="0"/>
        <w:adjustRightInd w:val="0"/>
      </w:pPr>
      <w:r w:rsidRPr="009735A2">
        <w:t xml:space="preserve">The </w:t>
      </w:r>
      <w:r w:rsidR="003D75DC" w:rsidRPr="009735A2">
        <w:t xml:space="preserve">conceptual </w:t>
      </w:r>
      <w:r w:rsidRPr="009735A2">
        <w:t xml:space="preserve">approach for </w:t>
      </w:r>
      <w:r w:rsidR="00353722">
        <w:t>AF</w:t>
      </w:r>
      <w:r w:rsidR="00FA6BF2">
        <w:t xml:space="preserve"> development</w:t>
      </w:r>
      <w:r w:rsidRPr="009735A2">
        <w:t xml:space="preserve"> is anchored in </w:t>
      </w:r>
      <w:r w:rsidR="00202D37">
        <w:t>an</w:t>
      </w:r>
      <w:r w:rsidR="003D75DC" w:rsidRPr="009735A2">
        <w:t xml:space="preserve"> ecological risk assessment approach (EPA 1998)</w:t>
      </w:r>
      <w:r w:rsidR="00202D37">
        <w:t>, which</w:t>
      </w:r>
      <w:r w:rsidR="003D75DC" w:rsidRPr="009735A2">
        <w:t xml:space="preserve"> </w:t>
      </w:r>
      <w:r w:rsidR="006B5666" w:rsidRPr="009735A2">
        <w:t>consists of</w:t>
      </w:r>
      <w:r w:rsidR="003D75DC" w:rsidRPr="009735A2">
        <w:t xml:space="preserve"> </w:t>
      </w:r>
      <w:r w:rsidR="00202D37">
        <w:t xml:space="preserve">multiple </w:t>
      </w:r>
      <w:r w:rsidR="003D75DC" w:rsidRPr="009735A2">
        <w:t>ecological response indicators (e.g.</w:t>
      </w:r>
      <w:r w:rsidR="00B936E4">
        <w:t>,</w:t>
      </w:r>
      <w:r w:rsidR="003D75DC" w:rsidRPr="009735A2">
        <w:t xml:space="preserve"> algal abundance and assemblage, dissolved oxygen) as endpoints to assess whether SFB is supporting </w:t>
      </w:r>
      <w:r w:rsidR="000F48A0" w:rsidRPr="009735A2">
        <w:t>beneficial</w:t>
      </w:r>
      <w:r w:rsidR="003D75DC" w:rsidRPr="009735A2">
        <w:t xml:space="preserve"> uses</w:t>
      </w:r>
      <w:r w:rsidR="006B5666" w:rsidRPr="009735A2">
        <w:t xml:space="preserve"> (Tetra Tech 2006)</w:t>
      </w:r>
      <w:r w:rsidR="003D75DC" w:rsidRPr="009735A2">
        <w:t xml:space="preserve">. A </w:t>
      </w:r>
      <w:r w:rsidR="006B5666" w:rsidRPr="009735A2">
        <w:t xml:space="preserve">hydrodynamic and water quality </w:t>
      </w:r>
      <w:r w:rsidR="003D75DC" w:rsidRPr="009735A2">
        <w:t xml:space="preserve">model </w:t>
      </w:r>
      <w:r w:rsidR="00202D37">
        <w:t>is</w:t>
      </w:r>
      <w:r w:rsidR="003D75DC" w:rsidRPr="009735A2">
        <w:t xml:space="preserve"> then used to link those assessment endpoints to nutrients and other factors that comprise management options (e.g.</w:t>
      </w:r>
      <w:r w:rsidR="00B936E4">
        <w:t>,</w:t>
      </w:r>
      <w:r w:rsidR="003D75DC" w:rsidRPr="009735A2">
        <w:t xml:space="preserve"> best management practices). In this risk-based approach, nutrients are considered a resource that should be managed at levels to maintain SFB designated uses, while maintaining </w:t>
      </w:r>
      <w:r w:rsidR="00B46DE3">
        <w:t xml:space="preserve">a </w:t>
      </w:r>
      <w:r w:rsidR="003D75DC" w:rsidRPr="009735A2">
        <w:t>low risk of adverse effects.</w:t>
      </w:r>
      <w:r w:rsidR="008D76B9" w:rsidRPr="009735A2">
        <w:t xml:space="preserve"> If the nutrients present – regardless of actual magnitude – have a low probability of impairing uses, then water quality standards can be considered met.</w:t>
      </w:r>
      <w:r w:rsidR="003D75DC" w:rsidRPr="009735A2">
        <w:t xml:space="preserve"> This approach is consistent with </w:t>
      </w:r>
      <w:r w:rsidR="006B5666" w:rsidRPr="009735A2">
        <w:t>EPA guidance for nutrient criteria development (e.g.</w:t>
      </w:r>
      <w:r w:rsidR="00202D37">
        <w:t>,</w:t>
      </w:r>
      <w:r w:rsidR="006B5666" w:rsidRPr="009735A2">
        <w:t xml:space="preserve"> cause-effect approach; EPA 2001) and </w:t>
      </w:r>
      <w:r w:rsidR="00202D37">
        <w:t>with guidance</w:t>
      </w:r>
      <w:r w:rsidR="00202D37" w:rsidRPr="009735A2">
        <w:t xml:space="preserve"> </w:t>
      </w:r>
      <w:r w:rsidR="003D75DC" w:rsidRPr="009735A2">
        <w:t xml:space="preserve">being used </w:t>
      </w:r>
      <w:r w:rsidR="006B5666" w:rsidRPr="009735A2">
        <w:t xml:space="preserve">by the State Water Board </w:t>
      </w:r>
      <w:r w:rsidR="003D75DC" w:rsidRPr="009735A2">
        <w:t xml:space="preserve">for nutrient objective development for other </w:t>
      </w:r>
      <w:proofErr w:type="spellStart"/>
      <w:r w:rsidR="003D75DC" w:rsidRPr="009735A2">
        <w:t>waterbodies</w:t>
      </w:r>
      <w:proofErr w:type="spellEnd"/>
      <w:r w:rsidR="003D75DC" w:rsidRPr="009735A2">
        <w:t xml:space="preserve"> in California</w:t>
      </w:r>
      <w:r w:rsidR="006B5666" w:rsidRPr="009735A2">
        <w:t xml:space="preserve"> (SWRCB 2014)</w:t>
      </w:r>
      <w:r w:rsidR="003D75DC" w:rsidRPr="009735A2">
        <w:t>, including other estuaries (</w:t>
      </w:r>
      <w:proofErr w:type="spellStart"/>
      <w:r w:rsidR="003D75DC" w:rsidRPr="009735A2">
        <w:t>Sutula</w:t>
      </w:r>
      <w:proofErr w:type="spellEnd"/>
      <w:r w:rsidR="003D75DC" w:rsidRPr="009735A2">
        <w:t xml:space="preserve"> 201</w:t>
      </w:r>
      <w:r w:rsidR="00DE5EEA">
        <w:t>1</w:t>
      </w:r>
      <w:r w:rsidR="003D75DC" w:rsidRPr="009735A2">
        <w:t xml:space="preserve">). </w:t>
      </w:r>
    </w:p>
    <w:p w:rsidR="006B5666" w:rsidRPr="009735A2" w:rsidRDefault="006B5666" w:rsidP="00FD7D57"/>
    <w:p w:rsidR="004E093F" w:rsidRPr="009735A2" w:rsidRDefault="006B5666" w:rsidP="00FD7D57">
      <w:r w:rsidRPr="009735A2">
        <w:t xml:space="preserve">This ecological risk-based approach has </w:t>
      </w:r>
      <w:r w:rsidR="00FA6BF2">
        <w:t>two important</w:t>
      </w:r>
      <w:r w:rsidR="00FA6BF2" w:rsidRPr="009735A2">
        <w:t xml:space="preserve"> </w:t>
      </w:r>
      <w:r w:rsidRPr="009735A2">
        <w:t>advantages. First, it</w:t>
      </w:r>
      <w:r w:rsidR="004E093F" w:rsidRPr="009735A2">
        <w:t xml:space="preserve"> </w:t>
      </w:r>
      <w:r w:rsidR="00FA6BF2">
        <w:t>offers</w:t>
      </w:r>
      <w:r w:rsidR="00FA6BF2" w:rsidRPr="009735A2">
        <w:t xml:space="preserve"> </w:t>
      </w:r>
      <w:r w:rsidR="004E093F" w:rsidRPr="009735A2">
        <w:t>a more direct linkage with beneficial uses and is generally thought to lend itself to a more precise diagnosis of adverse effects. Second, the alternative approaches</w:t>
      </w:r>
      <w:r w:rsidR="008D76B9" w:rsidRPr="009735A2">
        <w:t xml:space="preserve">, such as stress-response or reference-based </w:t>
      </w:r>
      <w:proofErr w:type="gramStart"/>
      <w:r w:rsidR="008D76B9" w:rsidRPr="009735A2">
        <w:t>approaches</w:t>
      </w:r>
      <w:r w:rsidR="00B936E4">
        <w:t>,</w:t>
      </w:r>
      <w:proofErr w:type="gramEnd"/>
      <w:r w:rsidR="008D76B9" w:rsidRPr="009735A2">
        <w:t xml:space="preserve"> are particularly problematic in estuaries. SFB</w:t>
      </w:r>
      <w:r w:rsidR="00B936E4">
        <w:t xml:space="preserve"> and</w:t>
      </w:r>
      <w:r w:rsidR="008D76B9" w:rsidRPr="009735A2">
        <w:t xml:space="preserve"> other e</w:t>
      </w:r>
      <w:r w:rsidR="004E093F" w:rsidRPr="009735A2">
        <w:t>stuaries within California are highly variable in how they respond to nutrient loading</w:t>
      </w:r>
      <w:r w:rsidR="00B936E4">
        <w:t>,</w:t>
      </w:r>
      <w:r w:rsidR="004E093F" w:rsidRPr="009735A2">
        <w:t xml:space="preserve"> due to differences in physiographic setting, salinity regime, frequency and timing of freshwater flows, magnitude of tidal forcing, </w:t>
      </w:r>
      <w:r w:rsidR="004E093F" w:rsidRPr="009735A2">
        <w:lastRenderedPageBreak/>
        <w:t xml:space="preserve">sediment load, stratification, residence time, denitrification, etc. This combination of “co-factors” results in differences in the dominant primary producer communities (i.e., phytoplankton, </w:t>
      </w:r>
      <w:proofErr w:type="spellStart"/>
      <w:r w:rsidR="004E093F" w:rsidRPr="009735A2">
        <w:t>macroalgae</w:t>
      </w:r>
      <w:proofErr w:type="spellEnd"/>
      <w:r w:rsidR="004E093F" w:rsidRPr="009735A2">
        <w:t xml:space="preserve">, benthic algae, submerged aquatic vegetation, emergent </w:t>
      </w:r>
      <w:proofErr w:type="spellStart"/>
      <w:r w:rsidR="004E093F" w:rsidRPr="009735A2">
        <w:t>macrophytes</w:t>
      </w:r>
      <w:proofErr w:type="spellEnd"/>
      <w:r w:rsidR="004E093F" w:rsidRPr="009735A2">
        <w:t xml:space="preserve">). It also creates variability in the pathways that control how nutrients cycle within the estuary. At times, these co-factors can play a larger role in mitigating estuarine response to nutrient loads or concentrations, blurring or completely obscuring a simple prediction of primary productivity limited by nutrients. </w:t>
      </w:r>
    </w:p>
    <w:p w:rsidR="004E093F" w:rsidRPr="009735A2" w:rsidRDefault="004E093F" w:rsidP="00FD7D57">
      <w:pPr>
        <w:autoSpaceDE w:val="0"/>
        <w:autoSpaceDN w:val="0"/>
        <w:adjustRightInd w:val="0"/>
      </w:pPr>
    </w:p>
    <w:p w:rsidR="004E093F" w:rsidRPr="009735A2" w:rsidRDefault="008D76B9" w:rsidP="00FD7D57">
      <w:r w:rsidRPr="009735A2">
        <w:t>T</w:t>
      </w:r>
      <w:r w:rsidR="00D20B62">
        <w:t>hus, t</w:t>
      </w:r>
      <w:r w:rsidRPr="009735A2">
        <w:t>he Water Board</w:t>
      </w:r>
      <w:r w:rsidR="00FA6BF2">
        <w:t xml:space="preserve"> is working to develop an</w:t>
      </w:r>
      <w:r w:rsidR="00D20DE9" w:rsidRPr="009735A2">
        <w:t xml:space="preserve"> </w:t>
      </w:r>
      <w:r w:rsidR="00FD7D57">
        <w:t>AF</w:t>
      </w:r>
      <w:r w:rsidRPr="009735A2">
        <w:t xml:space="preserve"> </w:t>
      </w:r>
      <w:r w:rsidR="00B46DE3">
        <w:t xml:space="preserve">based on </w:t>
      </w:r>
      <w:r w:rsidR="00FA6BF2">
        <w:t>the following key tenets</w:t>
      </w:r>
      <w:r w:rsidR="004E093F" w:rsidRPr="009735A2">
        <w:t>:</w:t>
      </w:r>
    </w:p>
    <w:p w:rsidR="004E093F" w:rsidRPr="009735A2" w:rsidRDefault="004E093F" w:rsidP="00FD7D57"/>
    <w:p w:rsidR="004E093F" w:rsidRPr="009735A2" w:rsidRDefault="004E093F" w:rsidP="00FD7D57">
      <w:pPr>
        <w:pStyle w:val="EndnoteText"/>
        <w:numPr>
          <w:ilvl w:val="0"/>
          <w:numId w:val="4"/>
        </w:numPr>
        <w:rPr>
          <w:sz w:val="24"/>
          <w:szCs w:val="24"/>
          <w:u w:val="single"/>
        </w:rPr>
      </w:pPr>
      <w:r w:rsidRPr="009735A2">
        <w:rPr>
          <w:i/>
          <w:sz w:val="24"/>
          <w:szCs w:val="24"/>
        </w:rPr>
        <w:t xml:space="preserve">Ecological response indicators </w:t>
      </w:r>
      <w:r w:rsidR="00D20DE9" w:rsidRPr="009735A2">
        <w:rPr>
          <w:i/>
          <w:sz w:val="24"/>
          <w:szCs w:val="24"/>
        </w:rPr>
        <w:t>(e.g.</w:t>
      </w:r>
      <w:r w:rsidR="00B936E4">
        <w:rPr>
          <w:i/>
          <w:sz w:val="24"/>
          <w:szCs w:val="24"/>
        </w:rPr>
        <w:t>,</w:t>
      </w:r>
      <w:r w:rsidR="00D20DE9" w:rsidRPr="009735A2">
        <w:rPr>
          <w:i/>
          <w:sz w:val="24"/>
          <w:szCs w:val="24"/>
        </w:rPr>
        <w:t xml:space="preserve"> dissolved oxygen, primary producer abundance, productivity and assemblages) </w:t>
      </w:r>
      <w:r w:rsidR="00FA6BF2">
        <w:rPr>
          <w:i/>
          <w:sz w:val="24"/>
          <w:szCs w:val="24"/>
        </w:rPr>
        <w:t>should</w:t>
      </w:r>
      <w:r w:rsidR="00D20B62">
        <w:rPr>
          <w:i/>
          <w:sz w:val="24"/>
          <w:szCs w:val="24"/>
        </w:rPr>
        <w:t xml:space="preserve"> </w:t>
      </w:r>
      <w:r w:rsidRPr="009735A2">
        <w:rPr>
          <w:i/>
          <w:sz w:val="24"/>
          <w:szCs w:val="24"/>
        </w:rPr>
        <w:t>provide a more direct risk-based linkage to beneficial uses</w:t>
      </w:r>
      <w:r w:rsidR="00D20DE9" w:rsidRPr="009735A2">
        <w:rPr>
          <w:i/>
          <w:sz w:val="24"/>
          <w:szCs w:val="24"/>
        </w:rPr>
        <w:t xml:space="preserve"> t</w:t>
      </w:r>
      <w:r w:rsidR="00D20DE9" w:rsidRPr="00B46DE3">
        <w:rPr>
          <w:i/>
          <w:sz w:val="24"/>
          <w:szCs w:val="24"/>
        </w:rPr>
        <w:t xml:space="preserve">han </w:t>
      </w:r>
      <w:r w:rsidR="00FA6BF2" w:rsidRPr="00B46DE3">
        <w:rPr>
          <w:i/>
          <w:sz w:val="24"/>
          <w:szCs w:val="24"/>
        </w:rPr>
        <w:t xml:space="preserve">to </w:t>
      </w:r>
      <w:r w:rsidR="00D20DE9" w:rsidRPr="00B46DE3">
        <w:rPr>
          <w:i/>
          <w:sz w:val="24"/>
          <w:szCs w:val="24"/>
        </w:rPr>
        <w:t>nutrient concentrations or loads</w:t>
      </w:r>
      <w:r w:rsidRPr="00B46DE3">
        <w:rPr>
          <w:i/>
          <w:sz w:val="24"/>
          <w:szCs w:val="24"/>
        </w:rPr>
        <w:t>.</w:t>
      </w:r>
      <w:r w:rsidRPr="009735A2">
        <w:rPr>
          <w:sz w:val="24"/>
          <w:szCs w:val="24"/>
        </w:rPr>
        <w:t xml:space="preserve"> </w:t>
      </w:r>
      <w:r w:rsidR="00FA6BF2">
        <w:rPr>
          <w:sz w:val="24"/>
          <w:szCs w:val="24"/>
        </w:rPr>
        <w:t>T</w:t>
      </w:r>
      <w:r w:rsidRPr="009735A2">
        <w:rPr>
          <w:sz w:val="24"/>
          <w:szCs w:val="24"/>
        </w:rPr>
        <w:t xml:space="preserve">he </w:t>
      </w:r>
      <w:r w:rsidR="00353722">
        <w:rPr>
          <w:sz w:val="24"/>
          <w:szCs w:val="24"/>
        </w:rPr>
        <w:t>AF</w:t>
      </w:r>
      <w:r w:rsidRPr="009735A2">
        <w:rPr>
          <w:sz w:val="24"/>
          <w:szCs w:val="24"/>
        </w:rPr>
        <w:t xml:space="preserve"> </w:t>
      </w:r>
      <w:r w:rsidR="00D20B62">
        <w:rPr>
          <w:sz w:val="24"/>
          <w:szCs w:val="24"/>
        </w:rPr>
        <w:t>should be</w:t>
      </w:r>
      <w:r w:rsidR="00D20B62" w:rsidRPr="009735A2">
        <w:rPr>
          <w:sz w:val="24"/>
          <w:szCs w:val="24"/>
        </w:rPr>
        <w:t xml:space="preserve"> </w:t>
      </w:r>
      <w:r w:rsidRPr="009735A2">
        <w:rPr>
          <w:sz w:val="24"/>
          <w:szCs w:val="24"/>
        </w:rPr>
        <w:t xml:space="preserve">based on </w:t>
      </w:r>
      <w:r w:rsidR="008D76B9" w:rsidRPr="009735A2">
        <w:rPr>
          <w:sz w:val="24"/>
          <w:szCs w:val="24"/>
        </w:rPr>
        <w:t>assess</w:t>
      </w:r>
      <w:r w:rsidR="00D20B62">
        <w:rPr>
          <w:sz w:val="24"/>
          <w:szCs w:val="24"/>
        </w:rPr>
        <w:t>ing</w:t>
      </w:r>
      <w:r w:rsidRPr="009735A2">
        <w:rPr>
          <w:sz w:val="24"/>
          <w:szCs w:val="24"/>
        </w:rPr>
        <w:t xml:space="preserve"> eutrophication </w:t>
      </w:r>
      <w:r w:rsidR="00D20B62">
        <w:rPr>
          <w:sz w:val="24"/>
          <w:szCs w:val="24"/>
        </w:rPr>
        <w:t>(</w:t>
      </w:r>
      <w:r w:rsidRPr="009735A2">
        <w:rPr>
          <w:sz w:val="24"/>
          <w:szCs w:val="24"/>
        </w:rPr>
        <w:t>or other adverse effects</w:t>
      </w:r>
      <w:r w:rsidR="00D20B62">
        <w:rPr>
          <w:sz w:val="24"/>
          <w:szCs w:val="24"/>
        </w:rPr>
        <w:t>)</w:t>
      </w:r>
      <w:r w:rsidR="00B936E4">
        <w:rPr>
          <w:sz w:val="24"/>
          <w:szCs w:val="24"/>
        </w:rPr>
        <w:t>,</w:t>
      </w:r>
      <w:r w:rsidRPr="009735A2">
        <w:rPr>
          <w:sz w:val="24"/>
          <w:szCs w:val="24"/>
        </w:rPr>
        <w:t xml:space="preserve"> rather than nutrient over</w:t>
      </w:r>
      <w:r w:rsidR="000F48A0" w:rsidRPr="009735A2">
        <w:rPr>
          <w:sz w:val="24"/>
          <w:szCs w:val="24"/>
        </w:rPr>
        <w:t>-</w:t>
      </w:r>
      <w:r w:rsidRPr="009735A2">
        <w:rPr>
          <w:sz w:val="24"/>
          <w:szCs w:val="24"/>
        </w:rPr>
        <w:t xml:space="preserve">enrichment per se. </w:t>
      </w:r>
    </w:p>
    <w:p w:rsidR="004E093F" w:rsidRPr="009735A2" w:rsidRDefault="004E093F" w:rsidP="00FD7D57">
      <w:pPr>
        <w:pStyle w:val="BodyText"/>
        <w:numPr>
          <w:ilvl w:val="0"/>
          <w:numId w:val="4"/>
        </w:numPr>
        <w:spacing w:after="0"/>
        <w:jc w:val="left"/>
      </w:pPr>
      <w:r w:rsidRPr="009735A2">
        <w:rPr>
          <w:i/>
        </w:rPr>
        <w:t>A weight</w:t>
      </w:r>
      <w:r w:rsidR="00B936E4">
        <w:rPr>
          <w:i/>
        </w:rPr>
        <w:t>-</w:t>
      </w:r>
      <w:r w:rsidRPr="009735A2">
        <w:rPr>
          <w:i/>
        </w:rPr>
        <w:t>of</w:t>
      </w:r>
      <w:r w:rsidR="00B936E4">
        <w:rPr>
          <w:i/>
        </w:rPr>
        <w:t>-</w:t>
      </w:r>
      <w:r w:rsidRPr="009735A2">
        <w:rPr>
          <w:i/>
        </w:rPr>
        <w:t xml:space="preserve">evidence approach with multiple indicators </w:t>
      </w:r>
      <w:r w:rsidR="00FA6BF2">
        <w:rPr>
          <w:i/>
        </w:rPr>
        <w:t>can</w:t>
      </w:r>
      <w:r w:rsidR="00FA6BF2" w:rsidRPr="009735A2">
        <w:rPr>
          <w:i/>
        </w:rPr>
        <w:t xml:space="preserve"> </w:t>
      </w:r>
      <w:r w:rsidRPr="009735A2">
        <w:rPr>
          <w:i/>
        </w:rPr>
        <w:t>produce a more robust assessment of eutrophication.</w:t>
      </w:r>
      <w:r w:rsidR="00D20DE9" w:rsidRPr="009735A2">
        <w:rPr>
          <w:i/>
        </w:rPr>
        <w:t xml:space="preserve"> </w:t>
      </w:r>
      <w:r w:rsidRPr="009735A2">
        <w:t>Whe</w:t>
      </w:r>
      <w:r w:rsidR="00D20B62">
        <w:t>rever</w:t>
      </w:r>
      <w:r w:rsidRPr="009735A2">
        <w:t xml:space="preserve"> possible, the use of multiple indicators in a “weight</w:t>
      </w:r>
      <w:r w:rsidR="00B936E4">
        <w:t>-</w:t>
      </w:r>
      <w:r w:rsidRPr="009735A2">
        <w:t>of</w:t>
      </w:r>
      <w:r w:rsidR="00B936E4">
        <w:t>-</w:t>
      </w:r>
      <w:r w:rsidRPr="009735A2">
        <w:t>evidence” approach provide</w:t>
      </w:r>
      <w:r w:rsidR="00FA6BF2">
        <w:t>s</w:t>
      </w:r>
      <w:r w:rsidRPr="009735A2">
        <w:t xml:space="preserve"> a more robust means to assess ecological condition and determine impairment. This approach is similar to the </w:t>
      </w:r>
      <w:proofErr w:type="spellStart"/>
      <w:r w:rsidRPr="009735A2">
        <w:t>multimetric</w:t>
      </w:r>
      <w:proofErr w:type="spellEnd"/>
      <w:r w:rsidRPr="009735A2">
        <w:t xml:space="preserve"> index approach, which defines an array of metrics or measures that provide limited information on biological status</w:t>
      </w:r>
      <w:r w:rsidR="00D20B62">
        <w:t xml:space="preserve"> on an individual basis</w:t>
      </w:r>
      <w:r w:rsidRPr="009735A2">
        <w:t xml:space="preserve">, but when integrated, </w:t>
      </w:r>
      <w:r w:rsidR="00D20B62">
        <w:t xml:space="preserve">serve to inform </w:t>
      </w:r>
      <w:r w:rsidRPr="009735A2">
        <w:t>overall biological condit</w:t>
      </w:r>
      <w:r w:rsidR="00BE4F84" w:rsidRPr="009735A2">
        <w:t>ion.</w:t>
      </w:r>
    </w:p>
    <w:p w:rsidR="004E093F" w:rsidRPr="009735A2" w:rsidRDefault="00BE4F84" w:rsidP="00FD7D57">
      <w:pPr>
        <w:numPr>
          <w:ilvl w:val="0"/>
          <w:numId w:val="4"/>
        </w:numPr>
        <w:autoSpaceDE w:val="0"/>
        <w:autoSpaceDN w:val="0"/>
        <w:adjustRightInd w:val="0"/>
      </w:pPr>
      <w:r w:rsidRPr="009735A2">
        <w:rPr>
          <w:i/>
        </w:rPr>
        <w:t xml:space="preserve">Models </w:t>
      </w:r>
      <w:r w:rsidR="00446A46">
        <w:rPr>
          <w:i/>
        </w:rPr>
        <w:t>can be used</w:t>
      </w:r>
      <w:r w:rsidR="00F546DA" w:rsidRPr="009735A2">
        <w:rPr>
          <w:i/>
        </w:rPr>
        <w:t xml:space="preserve"> </w:t>
      </w:r>
      <w:r w:rsidR="004E093F" w:rsidRPr="009735A2">
        <w:rPr>
          <w:i/>
        </w:rPr>
        <w:t xml:space="preserve">convert response indicators to site-specific nutrient loads or concentrations. </w:t>
      </w:r>
      <w:r w:rsidR="004E093F" w:rsidRPr="009735A2">
        <w:t>A key premise of the NNE framework is the use of models to convert numeric endpoints, based on ecological response indicators, to site-specific nutrient goals appropriate for permitting and TMDLs. A key feature of these models is that they account for site-specific co-factors, such as light availability, temperature, and hydrology</w:t>
      </w:r>
      <w:r w:rsidR="00446A46">
        <w:t xml:space="preserve"> </w:t>
      </w:r>
      <w:r w:rsidR="004E093F" w:rsidRPr="009735A2">
        <w:t>that modify the ecological response of a system to nutrients.</w:t>
      </w:r>
      <w:r w:rsidR="00D72900">
        <w:t xml:space="preserve"> </w:t>
      </w:r>
      <w:r w:rsidR="00D20DE9" w:rsidRPr="009735A2">
        <w:t>Thus</w:t>
      </w:r>
      <w:r w:rsidR="00B936E4">
        <w:t>,</w:t>
      </w:r>
      <w:r w:rsidR="00D20DE9" w:rsidRPr="009735A2">
        <w:t xml:space="preserve"> nutrient forms and ratios are not an explicit element of the </w:t>
      </w:r>
      <w:r w:rsidR="00353722">
        <w:t>AF</w:t>
      </w:r>
      <w:r w:rsidR="00D20DE9" w:rsidRPr="009735A2">
        <w:t>, but become linked to assessment endpoints through modeling</w:t>
      </w:r>
      <w:r w:rsidR="00E224FC" w:rsidRPr="009735A2">
        <w:t xml:space="preserve"> of ecological processes</w:t>
      </w:r>
      <w:r w:rsidR="00D20DE9" w:rsidRPr="009735A2">
        <w:t xml:space="preserve">. </w:t>
      </w:r>
    </w:p>
    <w:p w:rsidR="00D335CC" w:rsidRPr="009735A2" w:rsidRDefault="00D335CC" w:rsidP="00FD7D57"/>
    <w:p w:rsidR="0005193C" w:rsidRPr="009735A2" w:rsidRDefault="0005193C" w:rsidP="00FD7D57">
      <w:pPr>
        <w:pStyle w:val="Heading3"/>
        <w:jc w:val="left"/>
      </w:pPr>
      <w:bookmarkStart w:id="14" w:name="_Toc433370058"/>
      <w:r w:rsidRPr="009735A2">
        <w:t xml:space="preserve">Desirable Attributes of </w:t>
      </w:r>
      <w:r w:rsidR="00B90861" w:rsidRPr="009735A2">
        <w:t>an</w:t>
      </w:r>
      <w:r w:rsidRPr="009735A2">
        <w:t xml:space="preserve"> </w:t>
      </w:r>
      <w:r w:rsidR="00446A46">
        <w:t>AF</w:t>
      </w:r>
      <w:bookmarkEnd w:id="14"/>
    </w:p>
    <w:p w:rsidR="0005193C" w:rsidRPr="009735A2" w:rsidRDefault="00B936E4" w:rsidP="00FD7D57">
      <w:r>
        <w:t>The goal of the</w:t>
      </w:r>
      <w:r w:rsidRPr="009735A2">
        <w:t xml:space="preserve"> </w:t>
      </w:r>
      <w:r w:rsidR="0005193C" w:rsidRPr="009735A2">
        <w:t xml:space="preserve">nutrient </w:t>
      </w:r>
      <w:r w:rsidR="00353722">
        <w:t>AF</w:t>
      </w:r>
      <w:r w:rsidR="0005193C" w:rsidRPr="009735A2">
        <w:t xml:space="preserve"> is </w:t>
      </w:r>
      <w:r>
        <w:t xml:space="preserve">to provide </w:t>
      </w:r>
      <w:r w:rsidR="0005193C" w:rsidRPr="009735A2">
        <w:t xml:space="preserve">a structured set of decision rules that specify how to use monitoring data to categorize specific </w:t>
      </w:r>
      <w:proofErr w:type="spellStart"/>
      <w:r w:rsidR="00353722">
        <w:t>subembayment</w:t>
      </w:r>
      <w:r w:rsidR="0005193C" w:rsidRPr="009735A2">
        <w:t>s</w:t>
      </w:r>
      <w:proofErr w:type="spellEnd"/>
      <w:r w:rsidR="0005193C" w:rsidRPr="009735A2">
        <w:t xml:space="preserve"> of SFB</w:t>
      </w:r>
      <w:r>
        <w:t>,</w:t>
      </w:r>
      <w:r w:rsidR="0005193C" w:rsidRPr="009735A2">
        <w:t xml:space="preserve"> from very high to very low ecological condition, using indicators that have a direct linkage to nutrients and support of SFB beneficial uses. </w:t>
      </w:r>
    </w:p>
    <w:p w:rsidR="005753EB" w:rsidRPr="009735A2" w:rsidRDefault="005753EB" w:rsidP="00FD7D57"/>
    <w:p w:rsidR="0005193C" w:rsidRPr="009735A2" w:rsidRDefault="00F546DA" w:rsidP="00FD7D57">
      <w:r>
        <w:t>To achieve th</w:t>
      </w:r>
      <w:r w:rsidR="00FA6BF2">
        <w:t>is</w:t>
      </w:r>
      <w:r>
        <w:t xml:space="preserve"> goal, </w:t>
      </w:r>
      <w:r w:rsidR="0005193C" w:rsidRPr="009735A2">
        <w:t xml:space="preserve">a nutrient </w:t>
      </w:r>
      <w:r w:rsidR="00353722">
        <w:t>AF</w:t>
      </w:r>
      <w:r w:rsidR="0005193C" w:rsidRPr="009735A2">
        <w:t xml:space="preserve"> for SFB </w:t>
      </w:r>
      <w:r>
        <w:t xml:space="preserve">should </w:t>
      </w:r>
      <w:r w:rsidR="00FA6BF2">
        <w:t>offer the following features</w:t>
      </w:r>
      <w:r w:rsidR="0005193C" w:rsidRPr="009735A2">
        <w:t>:</w:t>
      </w:r>
    </w:p>
    <w:p w:rsidR="0005193C" w:rsidRPr="009735A2" w:rsidRDefault="0005193C" w:rsidP="00FD7D57"/>
    <w:p w:rsidR="0005193C" w:rsidRPr="009735A2" w:rsidRDefault="0005193C" w:rsidP="00FD7D57">
      <w:pPr>
        <w:numPr>
          <w:ilvl w:val="0"/>
          <w:numId w:val="5"/>
        </w:numPr>
      </w:pPr>
      <w:r w:rsidRPr="009735A2">
        <w:t xml:space="preserve">The </w:t>
      </w:r>
      <w:r w:rsidR="00353722">
        <w:t>AF</w:t>
      </w:r>
      <w:r w:rsidRPr="009735A2">
        <w:t xml:space="preserve"> should employ indicator(s) that have a strong linkage to Bay beneficial uses.</w:t>
      </w:r>
      <w:r w:rsidR="00D72900">
        <w:t xml:space="preserve"> </w:t>
      </w:r>
      <w:r w:rsidRPr="009735A2">
        <w:t>This linkage should be scientifically well</w:t>
      </w:r>
      <w:r w:rsidR="00B936E4">
        <w:t>-</w:t>
      </w:r>
      <w:r w:rsidRPr="009735A2">
        <w:t xml:space="preserve">supported and easily communicable to the public. </w:t>
      </w:r>
    </w:p>
    <w:p w:rsidR="0005193C" w:rsidRPr="009735A2" w:rsidRDefault="0005193C" w:rsidP="00FD7D57">
      <w:pPr>
        <w:numPr>
          <w:ilvl w:val="0"/>
          <w:numId w:val="5"/>
        </w:numPr>
      </w:pPr>
      <w:r w:rsidRPr="009735A2">
        <w:t xml:space="preserve">One or more primary indicators of the </w:t>
      </w:r>
      <w:r w:rsidR="00353722">
        <w:t>AF</w:t>
      </w:r>
      <w:r w:rsidRPr="009735A2">
        <w:t xml:space="preserve"> should have a predictive relationship with surface water nutrients and/or nutrient loads to the Bay.</w:t>
      </w:r>
      <w:r w:rsidR="00D72900">
        <w:t xml:space="preserve"> </w:t>
      </w:r>
    </w:p>
    <w:p w:rsidR="0005193C" w:rsidRPr="009735A2" w:rsidRDefault="0005193C" w:rsidP="00FD7D57">
      <w:pPr>
        <w:numPr>
          <w:ilvl w:val="0"/>
          <w:numId w:val="5"/>
        </w:numPr>
      </w:pPr>
      <w:r w:rsidRPr="009735A2">
        <w:t xml:space="preserve">The </w:t>
      </w:r>
      <w:r w:rsidR="00353722">
        <w:t>AF</w:t>
      </w:r>
      <w:r w:rsidRPr="009735A2">
        <w:t xml:space="preserve"> should employ the indicator(s) </w:t>
      </w:r>
      <w:r w:rsidR="000F48A0" w:rsidRPr="009735A2">
        <w:t>that</w:t>
      </w:r>
      <w:r w:rsidRPr="009735A2">
        <w:t xml:space="preserve"> classify the Bay </w:t>
      </w:r>
      <w:proofErr w:type="spellStart"/>
      <w:r w:rsidR="00353722">
        <w:t>subembayment</w:t>
      </w:r>
      <w:r w:rsidRPr="009735A2">
        <w:t>s</w:t>
      </w:r>
      <w:proofErr w:type="spellEnd"/>
      <w:r w:rsidRPr="009735A2">
        <w:t xml:space="preserve"> from very high ecological condition to very low ecological condition. It should be explicit </w:t>
      </w:r>
      <w:r w:rsidR="000F48A0" w:rsidRPr="009735A2">
        <w:t xml:space="preserve">as to </w:t>
      </w:r>
      <w:r w:rsidRPr="009735A2">
        <w:t xml:space="preserve">how </w:t>
      </w:r>
      <w:r w:rsidRPr="009735A2">
        <w:lastRenderedPageBreak/>
        <w:t xml:space="preserve">the magnitude, extent, and duration of the effects cause the </w:t>
      </w:r>
      <w:proofErr w:type="spellStart"/>
      <w:r w:rsidR="000F48A0" w:rsidRPr="009735A2">
        <w:t>subembayments</w:t>
      </w:r>
      <w:proofErr w:type="spellEnd"/>
      <w:r w:rsidRPr="009735A2">
        <w:t xml:space="preserve"> to be classified differently.</w:t>
      </w:r>
      <w:r w:rsidR="00D72900">
        <w:t xml:space="preserve"> </w:t>
      </w:r>
    </w:p>
    <w:p w:rsidR="0005193C" w:rsidRPr="009735A2" w:rsidRDefault="0005193C" w:rsidP="00FD7D57">
      <w:pPr>
        <w:numPr>
          <w:ilvl w:val="0"/>
          <w:numId w:val="5"/>
        </w:numPr>
      </w:pPr>
      <w:r w:rsidRPr="009735A2">
        <w:t xml:space="preserve">The </w:t>
      </w:r>
      <w:r w:rsidR="00353722">
        <w:t>AF</w:t>
      </w:r>
      <w:r w:rsidRPr="009735A2">
        <w:t xml:space="preserve"> should be spatially explicit for different </w:t>
      </w:r>
      <w:proofErr w:type="spellStart"/>
      <w:r w:rsidRPr="009735A2">
        <w:t>s</w:t>
      </w:r>
      <w:r w:rsidR="000F48A0" w:rsidRPr="009735A2">
        <w:t>ubembayments</w:t>
      </w:r>
      <w:proofErr w:type="spellEnd"/>
      <w:r w:rsidRPr="009735A2">
        <w:t xml:space="preserve"> of the Bay and different habitat types (deep </w:t>
      </w:r>
      <w:r w:rsidR="00F546DA">
        <w:t>vs.</w:t>
      </w:r>
      <w:r w:rsidR="00F546DA" w:rsidRPr="009735A2">
        <w:t xml:space="preserve"> </w:t>
      </w:r>
      <w:r w:rsidRPr="009735A2">
        <w:t xml:space="preserve">shallow </w:t>
      </w:r>
      <w:proofErr w:type="spellStart"/>
      <w:r w:rsidRPr="009735A2">
        <w:t>subtidal</w:t>
      </w:r>
      <w:proofErr w:type="spellEnd"/>
      <w:r w:rsidRPr="009735A2">
        <w:t>)</w:t>
      </w:r>
      <w:r w:rsidR="00F546DA">
        <w:t>,</w:t>
      </w:r>
      <w:r w:rsidRPr="009735A2">
        <w:t xml:space="preserve"> as warranted by the ecological nature of response to nutrients.</w:t>
      </w:r>
    </w:p>
    <w:p w:rsidR="0005193C" w:rsidRPr="009735A2" w:rsidRDefault="0005193C" w:rsidP="00FD7D57">
      <w:pPr>
        <w:numPr>
          <w:ilvl w:val="0"/>
          <w:numId w:val="5"/>
        </w:numPr>
      </w:pPr>
      <w:r w:rsidRPr="009735A2">
        <w:t xml:space="preserve">The </w:t>
      </w:r>
      <w:r w:rsidR="00353722">
        <w:t>AF</w:t>
      </w:r>
      <w:r w:rsidRPr="009735A2">
        <w:t xml:space="preserve"> should specify what appropriate methods </w:t>
      </w:r>
      <w:r w:rsidR="0027024A">
        <w:t xml:space="preserve">are </w:t>
      </w:r>
      <w:r w:rsidRPr="009735A2">
        <w:t xml:space="preserve">used to measure the indicator and the temporal </w:t>
      </w:r>
      <w:r w:rsidR="005753EB" w:rsidRPr="009735A2">
        <w:t xml:space="preserve">frequency </w:t>
      </w:r>
      <w:r w:rsidRPr="009735A2">
        <w:t>and spatial density of data required to make that assessment.</w:t>
      </w:r>
    </w:p>
    <w:p w:rsidR="0005193C" w:rsidRPr="009D66F9" w:rsidRDefault="0005193C" w:rsidP="00FD7D57">
      <w:pPr>
        <w:numPr>
          <w:ilvl w:val="0"/>
          <w:numId w:val="5"/>
        </w:numPr>
        <w:rPr>
          <w:rFonts w:asciiTheme="minorHAnsi" w:hAnsiTheme="minorHAnsi"/>
        </w:rPr>
      </w:pPr>
      <w:r w:rsidRPr="009735A2">
        <w:t xml:space="preserve">It should provide guidance on how the data should be analyzed to categorize the Bay </w:t>
      </w:r>
      <w:proofErr w:type="spellStart"/>
      <w:r w:rsidR="00353722">
        <w:t>subembayment</w:t>
      </w:r>
      <w:r w:rsidRPr="009735A2">
        <w:t>s</w:t>
      </w:r>
      <w:proofErr w:type="spellEnd"/>
      <w:r w:rsidRPr="009735A2">
        <w:t>.</w:t>
      </w:r>
    </w:p>
    <w:p w:rsidR="009D66F9" w:rsidRPr="00E224FC" w:rsidRDefault="009D66F9" w:rsidP="00FD7D57">
      <w:pPr>
        <w:ind w:left="720"/>
        <w:rPr>
          <w:rFonts w:asciiTheme="minorHAnsi" w:hAnsiTheme="minorHAnsi"/>
        </w:rPr>
      </w:pPr>
    </w:p>
    <w:p w:rsidR="008B4E5C" w:rsidRPr="009D66F9" w:rsidRDefault="0005193C" w:rsidP="00FD7D57">
      <w:pPr>
        <w:pStyle w:val="Heading3"/>
        <w:jc w:val="left"/>
      </w:pPr>
      <w:bookmarkStart w:id="15" w:name="_Toc433370059"/>
      <w:r w:rsidRPr="009D66F9">
        <w:t xml:space="preserve">Methodology Used to Develop </w:t>
      </w:r>
      <w:r w:rsidR="00353722">
        <w:t>AF</w:t>
      </w:r>
      <w:bookmarkEnd w:id="15"/>
    </w:p>
    <w:p w:rsidR="008B4E5C" w:rsidRPr="009D66F9" w:rsidRDefault="0005193C" w:rsidP="00FD7D57">
      <w:pPr>
        <w:rPr>
          <w:szCs w:val="24"/>
        </w:rPr>
      </w:pPr>
      <w:r w:rsidRPr="009D66F9">
        <w:rPr>
          <w:szCs w:val="24"/>
        </w:rPr>
        <w:t xml:space="preserve">The methodology used to develop the </w:t>
      </w:r>
      <w:r w:rsidR="00353722">
        <w:rPr>
          <w:szCs w:val="24"/>
        </w:rPr>
        <w:t>AF</w:t>
      </w:r>
      <w:r w:rsidRPr="009D66F9">
        <w:rPr>
          <w:szCs w:val="24"/>
        </w:rPr>
        <w:t xml:space="preserve"> consisted of five </w:t>
      </w:r>
      <w:r w:rsidR="00F546DA">
        <w:rPr>
          <w:szCs w:val="24"/>
        </w:rPr>
        <w:t>main</w:t>
      </w:r>
      <w:r w:rsidR="00F546DA" w:rsidRPr="009D66F9">
        <w:rPr>
          <w:szCs w:val="24"/>
        </w:rPr>
        <w:t xml:space="preserve"> </w:t>
      </w:r>
      <w:r w:rsidRPr="009D66F9">
        <w:rPr>
          <w:szCs w:val="24"/>
        </w:rPr>
        <w:t>steps</w:t>
      </w:r>
      <w:r w:rsidR="00B90861" w:rsidRPr="009D66F9">
        <w:rPr>
          <w:szCs w:val="24"/>
        </w:rPr>
        <w:t>:</w:t>
      </w:r>
    </w:p>
    <w:p w:rsidR="008B4E5C" w:rsidRPr="009D66F9" w:rsidRDefault="008B4E5C" w:rsidP="00FD7D57">
      <w:pPr>
        <w:ind w:left="360"/>
        <w:rPr>
          <w:szCs w:val="24"/>
        </w:rPr>
      </w:pPr>
    </w:p>
    <w:p w:rsidR="00355454" w:rsidRPr="009D66F9" w:rsidRDefault="00355454" w:rsidP="00FD7D57">
      <w:pPr>
        <w:numPr>
          <w:ilvl w:val="0"/>
          <w:numId w:val="8"/>
        </w:numPr>
        <w:rPr>
          <w:b/>
          <w:szCs w:val="24"/>
        </w:rPr>
      </w:pPr>
      <w:r w:rsidRPr="009D66F9">
        <w:rPr>
          <w:b/>
          <w:szCs w:val="24"/>
        </w:rPr>
        <w:t xml:space="preserve">Empanel a team of scientific experts to guide </w:t>
      </w:r>
      <w:r w:rsidR="00353722">
        <w:rPr>
          <w:b/>
          <w:szCs w:val="24"/>
        </w:rPr>
        <w:t>AF</w:t>
      </w:r>
      <w:r w:rsidRPr="009D66F9">
        <w:rPr>
          <w:b/>
          <w:szCs w:val="24"/>
        </w:rPr>
        <w:t xml:space="preserve"> development. </w:t>
      </w:r>
      <w:r w:rsidRPr="009D66F9">
        <w:rPr>
          <w:szCs w:val="24"/>
        </w:rPr>
        <w:t>These experts represented a diverse body of knowledge of SFB hydrology, estuarine ecology and nutrient biochemistry</w:t>
      </w:r>
      <w:r w:rsidR="00B936E4">
        <w:rPr>
          <w:szCs w:val="24"/>
        </w:rPr>
        <w:t>,</w:t>
      </w:r>
      <w:r w:rsidRPr="009D66F9">
        <w:rPr>
          <w:szCs w:val="24"/>
        </w:rPr>
        <w:t xml:space="preserve"> as well as expertise in nutrient criteria and </w:t>
      </w:r>
      <w:r w:rsidR="00353722">
        <w:rPr>
          <w:szCs w:val="24"/>
        </w:rPr>
        <w:t>AF</w:t>
      </w:r>
      <w:r w:rsidRPr="009D66F9">
        <w:rPr>
          <w:szCs w:val="24"/>
        </w:rPr>
        <w:t xml:space="preserve"> development.</w:t>
      </w:r>
      <w:r w:rsidRPr="009D66F9">
        <w:rPr>
          <w:b/>
          <w:szCs w:val="24"/>
        </w:rPr>
        <w:t xml:space="preserve"> </w:t>
      </w:r>
      <w:r w:rsidRPr="009D66F9">
        <w:rPr>
          <w:szCs w:val="24"/>
        </w:rPr>
        <w:t xml:space="preserve">This team is listed as contributing authors on this document. </w:t>
      </w:r>
    </w:p>
    <w:p w:rsidR="008B4E5C" w:rsidRPr="009D66F9" w:rsidRDefault="008B4E5C" w:rsidP="00FD7D57">
      <w:pPr>
        <w:numPr>
          <w:ilvl w:val="0"/>
          <w:numId w:val="8"/>
        </w:numPr>
        <w:rPr>
          <w:szCs w:val="24"/>
        </w:rPr>
      </w:pPr>
      <w:r w:rsidRPr="009D66F9">
        <w:rPr>
          <w:b/>
          <w:szCs w:val="24"/>
        </w:rPr>
        <w:t xml:space="preserve">Review existing approaches to nutrient </w:t>
      </w:r>
      <w:r w:rsidR="00353722">
        <w:rPr>
          <w:b/>
          <w:szCs w:val="24"/>
        </w:rPr>
        <w:t>AF</w:t>
      </w:r>
      <w:r w:rsidRPr="009D66F9">
        <w:rPr>
          <w:b/>
          <w:szCs w:val="24"/>
        </w:rPr>
        <w:t xml:space="preserve"> development</w:t>
      </w:r>
      <w:r w:rsidR="00B90861" w:rsidRPr="009D66F9">
        <w:rPr>
          <w:b/>
          <w:szCs w:val="24"/>
        </w:rPr>
        <w:t>.</w:t>
      </w:r>
      <w:r w:rsidR="00B90861" w:rsidRPr="009D66F9">
        <w:rPr>
          <w:szCs w:val="24"/>
        </w:rPr>
        <w:t xml:space="preserve"> A white paper was completed identifying candidate indicators and metrics, summarizing existing literature for how those indicators have been used to assess ecological condition</w:t>
      </w:r>
      <w:r w:rsidR="00B936E4">
        <w:rPr>
          <w:szCs w:val="24"/>
        </w:rPr>
        <w:t>,</w:t>
      </w:r>
      <w:r w:rsidR="00B90861" w:rsidRPr="009D66F9">
        <w:rPr>
          <w:szCs w:val="24"/>
        </w:rPr>
        <w:t xml:space="preserve"> and recommend</w:t>
      </w:r>
      <w:r w:rsidR="00B936E4">
        <w:rPr>
          <w:szCs w:val="24"/>
        </w:rPr>
        <w:t>ing</w:t>
      </w:r>
      <w:r w:rsidR="00B90861" w:rsidRPr="009D66F9">
        <w:rPr>
          <w:szCs w:val="24"/>
        </w:rPr>
        <w:t xml:space="preserve"> a suite of options to consider for further exploration (</w:t>
      </w:r>
      <w:r w:rsidR="00355454" w:rsidRPr="009D66F9">
        <w:rPr>
          <w:szCs w:val="24"/>
        </w:rPr>
        <w:t xml:space="preserve">Appendix </w:t>
      </w:r>
      <w:r w:rsidR="00960603" w:rsidRPr="009D66F9">
        <w:rPr>
          <w:szCs w:val="24"/>
        </w:rPr>
        <w:t>1</w:t>
      </w:r>
      <w:r w:rsidR="00B90861" w:rsidRPr="009D66F9">
        <w:rPr>
          <w:szCs w:val="24"/>
        </w:rPr>
        <w:t>).</w:t>
      </w:r>
      <w:r w:rsidR="00D72900">
        <w:rPr>
          <w:szCs w:val="24"/>
        </w:rPr>
        <w:t xml:space="preserve"> </w:t>
      </w:r>
    </w:p>
    <w:p w:rsidR="0005193C" w:rsidRPr="009D66F9" w:rsidRDefault="0005193C" w:rsidP="00FD7D57">
      <w:pPr>
        <w:numPr>
          <w:ilvl w:val="0"/>
          <w:numId w:val="8"/>
        </w:numPr>
        <w:rPr>
          <w:szCs w:val="24"/>
        </w:rPr>
      </w:pPr>
      <w:r w:rsidRPr="009D66F9">
        <w:rPr>
          <w:b/>
          <w:szCs w:val="24"/>
        </w:rPr>
        <w:t xml:space="preserve">Identify </w:t>
      </w:r>
      <w:r w:rsidR="00353722">
        <w:rPr>
          <w:b/>
          <w:szCs w:val="24"/>
        </w:rPr>
        <w:t>AF</w:t>
      </w:r>
      <w:r w:rsidRPr="009D66F9">
        <w:rPr>
          <w:b/>
          <w:szCs w:val="24"/>
        </w:rPr>
        <w:t xml:space="preserve"> core principles,</w:t>
      </w:r>
      <w:r w:rsidRPr="009D66F9">
        <w:rPr>
          <w:szCs w:val="24"/>
        </w:rPr>
        <w:t xml:space="preserve"> including </w:t>
      </w:r>
      <w:r w:rsidR="00B90861" w:rsidRPr="009D66F9">
        <w:rPr>
          <w:szCs w:val="24"/>
        </w:rPr>
        <w:t xml:space="preserve">geographic scope and key habitats, </w:t>
      </w:r>
      <w:r w:rsidRPr="009D66F9">
        <w:rPr>
          <w:szCs w:val="24"/>
        </w:rPr>
        <w:t>key indicators</w:t>
      </w:r>
      <w:r w:rsidR="00B90861" w:rsidRPr="009D66F9">
        <w:rPr>
          <w:szCs w:val="24"/>
        </w:rPr>
        <w:t xml:space="preserve"> and recommended measures, and the spatial and temporal frequency of sampling required for assessment. </w:t>
      </w:r>
    </w:p>
    <w:p w:rsidR="008B4E5C" w:rsidRPr="009D66F9" w:rsidRDefault="008B4E5C" w:rsidP="00FD7D57">
      <w:pPr>
        <w:numPr>
          <w:ilvl w:val="0"/>
          <w:numId w:val="8"/>
        </w:numPr>
        <w:rPr>
          <w:b/>
          <w:szCs w:val="24"/>
        </w:rPr>
      </w:pPr>
      <w:r w:rsidRPr="009D66F9">
        <w:rPr>
          <w:b/>
          <w:szCs w:val="24"/>
        </w:rPr>
        <w:t xml:space="preserve">Analyze existing data to </w:t>
      </w:r>
      <w:r w:rsidR="00B90861" w:rsidRPr="009D66F9">
        <w:rPr>
          <w:b/>
          <w:szCs w:val="24"/>
        </w:rPr>
        <w:t xml:space="preserve">develop supporting information to develop </w:t>
      </w:r>
      <w:r w:rsidR="00DD1010" w:rsidRPr="009D66F9">
        <w:rPr>
          <w:b/>
          <w:szCs w:val="24"/>
        </w:rPr>
        <w:t>a</w:t>
      </w:r>
      <w:r w:rsidR="00B90861" w:rsidRPr="009D66F9">
        <w:rPr>
          <w:b/>
          <w:szCs w:val="24"/>
        </w:rPr>
        <w:t xml:space="preserve"> classification scheme</w:t>
      </w:r>
      <w:r w:rsidR="00355454" w:rsidRPr="009D66F9">
        <w:rPr>
          <w:b/>
          <w:szCs w:val="24"/>
        </w:rPr>
        <w:t xml:space="preserve">. </w:t>
      </w:r>
      <w:r w:rsidR="00355454" w:rsidRPr="009D66F9">
        <w:rPr>
          <w:szCs w:val="24"/>
        </w:rPr>
        <w:t xml:space="preserve">Existing data were utilized to test out existing classification schemes and to quantify relationships between key variables of interest. These analyses are summarized in Section </w:t>
      </w:r>
      <w:r w:rsidR="00960603" w:rsidRPr="009D66F9">
        <w:rPr>
          <w:szCs w:val="24"/>
        </w:rPr>
        <w:t>3</w:t>
      </w:r>
      <w:r w:rsidR="00B936E4">
        <w:rPr>
          <w:szCs w:val="24"/>
        </w:rPr>
        <w:t>,</w:t>
      </w:r>
      <w:r w:rsidR="00355454" w:rsidRPr="009D66F9">
        <w:rPr>
          <w:szCs w:val="24"/>
        </w:rPr>
        <w:t xml:space="preserve"> and </w:t>
      </w:r>
      <w:r w:rsidR="00012955" w:rsidRPr="009D66F9">
        <w:rPr>
          <w:szCs w:val="24"/>
        </w:rPr>
        <w:t>additional</w:t>
      </w:r>
      <w:r w:rsidR="001C19AB" w:rsidRPr="009D66F9">
        <w:rPr>
          <w:szCs w:val="24"/>
        </w:rPr>
        <w:t xml:space="preserve"> methods and </w:t>
      </w:r>
      <w:r w:rsidR="00355454" w:rsidRPr="009D66F9">
        <w:rPr>
          <w:szCs w:val="24"/>
        </w:rPr>
        <w:t xml:space="preserve">supporting information </w:t>
      </w:r>
      <w:r w:rsidR="00B936E4">
        <w:rPr>
          <w:szCs w:val="24"/>
        </w:rPr>
        <w:t xml:space="preserve">are </w:t>
      </w:r>
      <w:r w:rsidR="00355454" w:rsidRPr="009D66F9">
        <w:rPr>
          <w:szCs w:val="24"/>
        </w:rPr>
        <w:t xml:space="preserve">provided in Appendix </w:t>
      </w:r>
      <w:r w:rsidR="00960603" w:rsidRPr="009D66F9">
        <w:rPr>
          <w:szCs w:val="24"/>
        </w:rPr>
        <w:t>2</w:t>
      </w:r>
      <w:r w:rsidR="00355454" w:rsidRPr="009D66F9">
        <w:rPr>
          <w:szCs w:val="24"/>
        </w:rPr>
        <w:t>.</w:t>
      </w:r>
      <w:r w:rsidR="00D72900">
        <w:rPr>
          <w:szCs w:val="24"/>
        </w:rPr>
        <w:t xml:space="preserve"> </w:t>
      </w:r>
    </w:p>
    <w:p w:rsidR="008B4E5C" w:rsidRPr="009D66F9" w:rsidRDefault="00B90861" w:rsidP="00FD7D57">
      <w:pPr>
        <w:numPr>
          <w:ilvl w:val="0"/>
          <w:numId w:val="8"/>
        </w:numPr>
        <w:rPr>
          <w:szCs w:val="24"/>
        </w:rPr>
      </w:pPr>
      <w:r w:rsidRPr="009D66F9">
        <w:rPr>
          <w:b/>
          <w:szCs w:val="24"/>
        </w:rPr>
        <w:t xml:space="preserve">Develop </w:t>
      </w:r>
      <w:r w:rsidR="00353722">
        <w:rPr>
          <w:b/>
          <w:szCs w:val="24"/>
        </w:rPr>
        <w:t>AF</w:t>
      </w:r>
      <w:r w:rsidRPr="009D66F9">
        <w:rPr>
          <w:b/>
          <w:szCs w:val="24"/>
        </w:rPr>
        <w:t xml:space="preserve"> classification scheme and </w:t>
      </w:r>
      <w:r w:rsidR="0011042D" w:rsidRPr="009D66F9">
        <w:rPr>
          <w:b/>
          <w:szCs w:val="24"/>
        </w:rPr>
        <w:t>quantify/describe</w:t>
      </w:r>
      <w:r w:rsidRPr="009D66F9">
        <w:rPr>
          <w:b/>
          <w:szCs w:val="24"/>
        </w:rPr>
        <w:t xml:space="preserve"> major uncertainties</w:t>
      </w:r>
      <w:r w:rsidR="001C19AB" w:rsidRPr="009D66F9">
        <w:rPr>
          <w:szCs w:val="24"/>
        </w:rPr>
        <w:t>.</w:t>
      </w:r>
      <w:r w:rsidR="00D72900">
        <w:rPr>
          <w:szCs w:val="24"/>
        </w:rPr>
        <w:t xml:space="preserve"> </w:t>
      </w:r>
      <w:r w:rsidR="001C19AB" w:rsidRPr="009D66F9">
        <w:rPr>
          <w:szCs w:val="24"/>
        </w:rPr>
        <w:t xml:space="preserve">Existing literature and supporting analyses were used to develop the </w:t>
      </w:r>
      <w:r w:rsidR="00353722">
        <w:rPr>
          <w:szCs w:val="24"/>
        </w:rPr>
        <w:t>AF</w:t>
      </w:r>
      <w:r w:rsidR="001C19AB" w:rsidRPr="009D66F9">
        <w:rPr>
          <w:szCs w:val="24"/>
        </w:rPr>
        <w:t xml:space="preserve"> classification scheme. For each indicator, uncertainties corresponding to classification “bins” were summarized. Key science needs required for the refinement of the classification scheme and core principles were summarized. </w:t>
      </w:r>
    </w:p>
    <w:p w:rsidR="00B90861" w:rsidRPr="009D66F9" w:rsidRDefault="00B90861" w:rsidP="00FD7D57">
      <w:pPr>
        <w:rPr>
          <w:szCs w:val="24"/>
        </w:rPr>
      </w:pPr>
    </w:p>
    <w:p w:rsidR="008B4E5C" w:rsidRPr="00E224FC" w:rsidRDefault="008B4E5C" w:rsidP="00FD7D57">
      <w:pPr>
        <w:rPr>
          <w:rFonts w:asciiTheme="minorHAnsi" w:hAnsiTheme="minorHAnsi"/>
        </w:rPr>
      </w:pPr>
      <w:r w:rsidRPr="009D66F9">
        <w:rPr>
          <w:szCs w:val="24"/>
        </w:rPr>
        <w:t>Test</w:t>
      </w:r>
      <w:r w:rsidR="00B90861" w:rsidRPr="009D66F9">
        <w:rPr>
          <w:szCs w:val="24"/>
        </w:rPr>
        <w:t xml:space="preserve">ing the </w:t>
      </w:r>
      <w:r w:rsidR="00353722">
        <w:rPr>
          <w:szCs w:val="24"/>
        </w:rPr>
        <w:t>AF</w:t>
      </w:r>
      <w:r w:rsidR="00B90861" w:rsidRPr="009D66F9">
        <w:rPr>
          <w:szCs w:val="24"/>
        </w:rPr>
        <w:t xml:space="preserve"> with </w:t>
      </w:r>
      <w:r w:rsidRPr="009D66F9">
        <w:rPr>
          <w:szCs w:val="24"/>
        </w:rPr>
        <w:t>existing or newly collected monitoring data</w:t>
      </w:r>
      <w:r w:rsidR="00954BA3" w:rsidRPr="009D66F9">
        <w:rPr>
          <w:szCs w:val="24"/>
        </w:rPr>
        <w:t>,</w:t>
      </w:r>
      <w:r w:rsidR="00B90861" w:rsidRPr="009D66F9">
        <w:rPr>
          <w:szCs w:val="24"/>
        </w:rPr>
        <w:t xml:space="preserve"> and further refinement based</w:t>
      </w:r>
      <w:r w:rsidR="001C19AB" w:rsidRPr="009D66F9">
        <w:rPr>
          <w:szCs w:val="24"/>
        </w:rPr>
        <w:t xml:space="preserve"> on monitoring and modeling</w:t>
      </w:r>
      <w:r w:rsidR="00954BA3" w:rsidRPr="009D66F9">
        <w:rPr>
          <w:szCs w:val="24"/>
        </w:rPr>
        <w:t>,</w:t>
      </w:r>
      <w:r w:rsidR="00B90861" w:rsidRPr="009D66F9">
        <w:rPr>
          <w:szCs w:val="24"/>
        </w:rPr>
        <w:t xml:space="preserve"> are steps envision</w:t>
      </w:r>
      <w:r w:rsidR="001C19AB" w:rsidRPr="009D66F9">
        <w:rPr>
          <w:szCs w:val="24"/>
        </w:rPr>
        <w:t>ed</w:t>
      </w:r>
      <w:r w:rsidR="00B90861" w:rsidRPr="009D66F9">
        <w:rPr>
          <w:szCs w:val="24"/>
        </w:rPr>
        <w:t xml:space="preserve"> for the </w:t>
      </w:r>
      <w:r w:rsidR="00353722">
        <w:rPr>
          <w:szCs w:val="24"/>
        </w:rPr>
        <w:t>AF</w:t>
      </w:r>
      <w:r w:rsidR="00B90861" w:rsidRPr="009D66F9">
        <w:rPr>
          <w:szCs w:val="24"/>
        </w:rPr>
        <w:t xml:space="preserve"> in subsequent phase</w:t>
      </w:r>
      <w:r w:rsidR="001C19AB" w:rsidRPr="009D66F9">
        <w:rPr>
          <w:szCs w:val="24"/>
        </w:rPr>
        <w:t>(s)</w:t>
      </w:r>
      <w:r w:rsidR="002F410D">
        <w:rPr>
          <w:szCs w:val="24"/>
        </w:rPr>
        <w:t xml:space="preserve"> outside the scope of this document</w:t>
      </w:r>
      <w:r w:rsidR="00B90861" w:rsidRPr="009D66F9">
        <w:rPr>
          <w:szCs w:val="24"/>
        </w:rPr>
        <w:t xml:space="preserve">. </w:t>
      </w:r>
    </w:p>
    <w:p w:rsidR="00E224FC" w:rsidRPr="00E224FC" w:rsidRDefault="00E224FC" w:rsidP="00FD7D57">
      <w:pPr>
        <w:spacing w:line="276" w:lineRule="auto"/>
        <w:rPr>
          <w:rFonts w:asciiTheme="minorHAnsi" w:hAnsiTheme="minorHAnsi"/>
        </w:rPr>
      </w:pPr>
    </w:p>
    <w:p w:rsidR="00E224FC" w:rsidRPr="00E224FC" w:rsidRDefault="00E224FC">
      <w:pPr>
        <w:pStyle w:val="Heading2"/>
      </w:pPr>
      <w:bookmarkStart w:id="16" w:name="_Toc398785449"/>
      <w:bookmarkStart w:id="17" w:name="_Toc433370060"/>
      <w:r w:rsidRPr="00E224FC">
        <w:t>Review of Existing Frameworks to Assess the Effects of Nutrient Over-Enrichment on Estuaries</w:t>
      </w:r>
      <w:bookmarkEnd w:id="16"/>
      <w:bookmarkEnd w:id="17"/>
    </w:p>
    <w:p w:rsidR="002F410D" w:rsidRDefault="00E224FC" w:rsidP="00446A46">
      <w:pPr>
        <w:autoSpaceDE w:val="0"/>
        <w:autoSpaceDN w:val="0"/>
        <w:adjustRightInd w:val="0"/>
      </w:pPr>
      <w:r w:rsidRPr="009D66F9">
        <w:t>We reviewed the existing regulatory and non-regulatory approaches to the assessment of the effects of nutrient</w:t>
      </w:r>
      <w:r w:rsidR="002F410D">
        <w:t xml:space="preserve"> </w:t>
      </w:r>
      <w:r w:rsidRPr="009D66F9">
        <w:t>over</w:t>
      </w:r>
      <w:r w:rsidR="002F410D">
        <w:t>-</w:t>
      </w:r>
      <w:r w:rsidRPr="009D66F9">
        <w:t xml:space="preserve">enrichment in estuarine </w:t>
      </w:r>
      <w:proofErr w:type="spellStart"/>
      <w:r w:rsidRPr="009D66F9">
        <w:t>waterbodies</w:t>
      </w:r>
      <w:proofErr w:type="spellEnd"/>
      <w:r w:rsidRPr="009D66F9">
        <w:t xml:space="preserve"> worldwide in order to consider an appropriate approach to </w:t>
      </w:r>
      <w:r w:rsidR="00353722">
        <w:t>AF</w:t>
      </w:r>
      <w:r w:rsidRPr="009D66F9">
        <w:t xml:space="preserve"> development (see white paper</w:t>
      </w:r>
      <w:r w:rsidR="002F410D">
        <w:t xml:space="preserve"> in</w:t>
      </w:r>
      <w:r w:rsidRPr="009D66F9">
        <w:t xml:space="preserve"> Appendix </w:t>
      </w:r>
      <w:r w:rsidR="00B32938" w:rsidRPr="009D66F9">
        <w:t>B</w:t>
      </w:r>
      <w:r w:rsidRPr="009D66F9">
        <w:t>). A wide variety of methodologies exist (Table 2.</w:t>
      </w:r>
      <w:r w:rsidR="00B32938" w:rsidRPr="009D66F9">
        <w:t>1</w:t>
      </w:r>
      <w:r w:rsidRPr="009D66F9">
        <w:t xml:space="preserve">). </w:t>
      </w:r>
      <w:r w:rsidR="002F410D">
        <w:t>All of t</w:t>
      </w:r>
      <w:r w:rsidRPr="009D66F9">
        <w:t>he conceptual models reviewed focus</w:t>
      </w:r>
      <w:r w:rsidR="002F410D">
        <w:t>ed</w:t>
      </w:r>
      <w:r w:rsidRPr="009D66F9">
        <w:t xml:space="preserve"> on </w:t>
      </w:r>
      <w:r w:rsidR="002F410D">
        <w:t xml:space="preserve">ecological </w:t>
      </w:r>
      <w:r w:rsidR="002F410D">
        <w:lastRenderedPageBreak/>
        <w:t xml:space="preserve">impacts (i.e., </w:t>
      </w:r>
      <w:r w:rsidRPr="009D66F9">
        <w:t>eutrophication</w:t>
      </w:r>
      <w:r w:rsidR="002F410D">
        <w:t>)</w:t>
      </w:r>
      <w:r w:rsidRPr="009D66F9">
        <w:t xml:space="preserve">, rather than on </w:t>
      </w:r>
      <w:r w:rsidR="002F410D" w:rsidRPr="009D66F9">
        <w:t>nutrients</w:t>
      </w:r>
      <w:r w:rsidR="002F410D">
        <w:t xml:space="preserve">’ </w:t>
      </w:r>
      <w:r w:rsidRPr="009D66F9">
        <w:t>direct effects on ecological condition (</w:t>
      </w:r>
      <w:r w:rsidR="002F410D">
        <w:t>i.e.</w:t>
      </w:r>
      <w:r w:rsidR="007010D6">
        <w:t>,</w:t>
      </w:r>
      <w:r w:rsidRPr="009D66F9">
        <w:t xml:space="preserve"> toxicity).</w:t>
      </w:r>
      <w:r w:rsidR="00D72900">
        <w:t xml:space="preserve"> </w:t>
      </w:r>
    </w:p>
    <w:p w:rsidR="002F410D" w:rsidRDefault="002F410D" w:rsidP="00446A46">
      <w:pPr>
        <w:autoSpaceDE w:val="0"/>
        <w:autoSpaceDN w:val="0"/>
        <w:adjustRightInd w:val="0"/>
      </w:pPr>
    </w:p>
    <w:p w:rsidR="00E224FC" w:rsidRPr="009D66F9" w:rsidRDefault="002F410D" w:rsidP="00446A46">
      <w:pPr>
        <w:autoSpaceDE w:val="0"/>
        <w:autoSpaceDN w:val="0"/>
        <w:adjustRightInd w:val="0"/>
      </w:pPr>
      <w:r>
        <w:t>The white paper (Appendix B) arrived at the following conclusions:</w:t>
      </w:r>
      <w:r w:rsidR="00E224FC" w:rsidRPr="009D66F9">
        <w:t xml:space="preserve"> </w:t>
      </w:r>
    </w:p>
    <w:p w:rsidR="00E224FC" w:rsidRPr="009D66F9" w:rsidRDefault="00E224FC" w:rsidP="00446A46">
      <w:pPr>
        <w:autoSpaceDE w:val="0"/>
        <w:autoSpaceDN w:val="0"/>
        <w:adjustRightInd w:val="0"/>
      </w:pPr>
    </w:p>
    <w:p w:rsidR="00E224FC" w:rsidRPr="009D66F9" w:rsidRDefault="00E224FC" w:rsidP="00446A46">
      <w:pPr>
        <w:pStyle w:val="ListParagraph"/>
        <w:numPr>
          <w:ilvl w:val="0"/>
          <w:numId w:val="16"/>
        </w:numPr>
        <w:autoSpaceDE w:val="0"/>
        <w:autoSpaceDN w:val="0"/>
        <w:adjustRightInd w:val="0"/>
        <w:rPr>
          <w:b/>
        </w:rPr>
      </w:pPr>
      <w:r w:rsidRPr="009D66F9">
        <w:rPr>
          <w:b/>
        </w:rPr>
        <w:t xml:space="preserve">The eutrophication </w:t>
      </w:r>
      <w:r w:rsidR="00353722">
        <w:rPr>
          <w:b/>
        </w:rPr>
        <w:t>AF</w:t>
      </w:r>
      <w:r w:rsidRPr="009D66F9">
        <w:rPr>
          <w:b/>
        </w:rPr>
        <w:t xml:space="preserve">s reviewed </w:t>
      </w:r>
      <w:proofErr w:type="gramStart"/>
      <w:r w:rsidRPr="009D66F9">
        <w:rPr>
          <w:b/>
        </w:rPr>
        <w:t>have</w:t>
      </w:r>
      <w:proofErr w:type="gramEnd"/>
      <w:r w:rsidRPr="009D66F9">
        <w:rPr>
          <w:b/>
        </w:rPr>
        <w:t xml:space="preserve"> a common set of conceptual models.</w:t>
      </w:r>
      <w:r w:rsidR="00D72900">
        <w:rPr>
          <w:b/>
        </w:rPr>
        <w:t xml:space="preserve"> </w:t>
      </w:r>
      <w:r w:rsidRPr="009D66F9">
        <w:t>These conceptual models show linkages to nutrients and relevant co-factors</w:t>
      </w:r>
      <w:r w:rsidR="007010D6">
        <w:t>,</w:t>
      </w:r>
      <w:r w:rsidRPr="009D66F9">
        <w:t xml:space="preserve"> as well as the risk pathways of “impairment” of ecosystems services and beneficial uses.</w:t>
      </w:r>
      <w:r w:rsidRPr="009D66F9">
        <w:rPr>
          <w:b/>
        </w:rPr>
        <w:t xml:space="preserve"> </w:t>
      </w:r>
      <w:r w:rsidRPr="009D66F9">
        <w:t>These pathways of impairment include</w:t>
      </w:r>
      <w:r w:rsidRPr="009D66F9">
        <w:rPr>
          <w:b/>
        </w:rPr>
        <w:t xml:space="preserve"> </w:t>
      </w:r>
      <w:r w:rsidR="007010D6">
        <w:rPr>
          <w:b/>
        </w:rPr>
        <w:t>(</w:t>
      </w:r>
      <w:r w:rsidRPr="009D66F9">
        <w:rPr>
          <w:rStyle w:val="bodytext1"/>
          <w:rFonts w:ascii="Times New Roman" w:hAnsi="Times New Roman"/>
          <w:sz w:val="24"/>
        </w:rPr>
        <w:t>1) increased harmful algal blooms, which can produce toxins that adversely affect both human health and aquatic life</w:t>
      </w:r>
      <w:r w:rsidR="002F410D">
        <w:rPr>
          <w:rStyle w:val="bodytext1"/>
          <w:rFonts w:ascii="Times New Roman" w:hAnsi="Times New Roman"/>
          <w:sz w:val="24"/>
        </w:rPr>
        <w:t xml:space="preserve">, </w:t>
      </w:r>
      <w:r w:rsidR="007010D6">
        <w:rPr>
          <w:rStyle w:val="bodytext1"/>
          <w:rFonts w:ascii="Times New Roman" w:hAnsi="Times New Roman"/>
          <w:sz w:val="24"/>
        </w:rPr>
        <w:t>(</w:t>
      </w:r>
      <w:r w:rsidRPr="009D66F9">
        <w:rPr>
          <w:rStyle w:val="bodytext1"/>
          <w:rFonts w:ascii="Times New Roman" w:hAnsi="Times New Roman"/>
          <w:sz w:val="24"/>
        </w:rPr>
        <w:t xml:space="preserve">2) </w:t>
      </w:r>
      <w:r w:rsidR="002F410D">
        <w:rPr>
          <w:rStyle w:val="bodytext1"/>
          <w:rFonts w:ascii="Times New Roman" w:hAnsi="Times New Roman"/>
          <w:sz w:val="24"/>
        </w:rPr>
        <w:t xml:space="preserve">hypoxia and anoxia triggered by </w:t>
      </w:r>
      <w:r w:rsidRPr="009D66F9">
        <w:rPr>
          <w:rStyle w:val="bodytext1"/>
          <w:rFonts w:ascii="Times New Roman" w:hAnsi="Times New Roman"/>
          <w:sz w:val="24"/>
        </w:rPr>
        <w:t>frequent algal blooms</w:t>
      </w:r>
      <w:r w:rsidR="002F410D">
        <w:rPr>
          <w:rStyle w:val="bodytext1"/>
          <w:rFonts w:ascii="Times New Roman" w:hAnsi="Times New Roman"/>
          <w:sz w:val="24"/>
        </w:rPr>
        <w:t>, which change</w:t>
      </w:r>
      <w:r w:rsidRPr="009D66F9">
        <w:rPr>
          <w:rStyle w:val="bodytext1"/>
          <w:rFonts w:ascii="Times New Roman" w:hAnsi="Times New Roman"/>
          <w:sz w:val="24"/>
        </w:rPr>
        <w:t xml:space="preserve"> the long-term balance of organic matter cycling and accumulation within an estuary (Nixon 1995)</w:t>
      </w:r>
      <w:r w:rsidR="002F410D">
        <w:rPr>
          <w:rStyle w:val="bodytext1"/>
          <w:rFonts w:ascii="Times New Roman" w:hAnsi="Times New Roman"/>
          <w:sz w:val="24"/>
        </w:rPr>
        <w:t xml:space="preserve"> and</w:t>
      </w:r>
      <w:r w:rsidRPr="009D66F9">
        <w:rPr>
          <w:rStyle w:val="bodytext1"/>
          <w:rFonts w:ascii="Times New Roman" w:hAnsi="Times New Roman"/>
          <w:sz w:val="24"/>
        </w:rPr>
        <w:t xml:space="preserve"> can adversely affect habitat and aquatic life, </w:t>
      </w:r>
      <w:r w:rsidR="007010D6">
        <w:rPr>
          <w:rStyle w:val="bodytext1"/>
          <w:rFonts w:ascii="Times New Roman" w:hAnsi="Times New Roman"/>
          <w:sz w:val="24"/>
        </w:rPr>
        <w:t>(</w:t>
      </w:r>
      <w:r w:rsidRPr="009D66F9">
        <w:rPr>
          <w:rStyle w:val="bodytext1"/>
          <w:rFonts w:ascii="Times New Roman" w:hAnsi="Times New Roman"/>
          <w:sz w:val="24"/>
        </w:rPr>
        <w:t>3) shifts in the dominance assemblages and size class of phytoplankton</w:t>
      </w:r>
      <w:r w:rsidR="002F410D">
        <w:rPr>
          <w:rStyle w:val="bodytext1"/>
          <w:rFonts w:ascii="Times New Roman" w:hAnsi="Times New Roman"/>
          <w:sz w:val="24"/>
        </w:rPr>
        <w:t>, which lead to</w:t>
      </w:r>
      <w:r w:rsidRPr="009D66F9">
        <w:rPr>
          <w:rStyle w:val="bodytext1"/>
          <w:rFonts w:ascii="Times New Roman" w:hAnsi="Times New Roman"/>
          <w:sz w:val="24"/>
        </w:rPr>
        <w:t xml:space="preserve"> degrad</w:t>
      </w:r>
      <w:r w:rsidR="002F410D">
        <w:rPr>
          <w:rStyle w:val="bodytext1"/>
          <w:rFonts w:ascii="Times New Roman" w:hAnsi="Times New Roman"/>
          <w:sz w:val="24"/>
        </w:rPr>
        <w:t>ation of</w:t>
      </w:r>
      <w:r w:rsidRPr="009D66F9">
        <w:rPr>
          <w:rStyle w:val="bodytext1"/>
          <w:rFonts w:ascii="Times New Roman" w:hAnsi="Times New Roman"/>
          <w:sz w:val="24"/>
        </w:rPr>
        <w:t xml:space="preserve"> food quality for estuarine consumers, including commercial and recreational fisheries, and </w:t>
      </w:r>
      <w:r w:rsidR="007010D6">
        <w:rPr>
          <w:rStyle w:val="bodytext1"/>
          <w:rFonts w:ascii="Times New Roman" w:hAnsi="Times New Roman"/>
          <w:sz w:val="24"/>
        </w:rPr>
        <w:t>(</w:t>
      </w:r>
      <w:r w:rsidRPr="009D66F9">
        <w:rPr>
          <w:rStyle w:val="bodytext1"/>
          <w:rFonts w:ascii="Times New Roman" w:hAnsi="Times New Roman"/>
          <w:sz w:val="24"/>
        </w:rPr>
        <w:t>4) overabundance of algae</w:t>
      </w:r>
      <w:r w:rsidR="002F410D">
        <w:rPr>
          <w:rStyle w:val="bodytext1"/>
          <w:rFonts w:ascii="Times New Roman" w:hAnsi="Times New Roman"/>
          <w:sz w:val="24"/>
        </w:rPr>
        <w:t>, which</w:t>
      </w:r>
      <w:r w:rsidRPr="009D66F9">
        <w:rPr>
          <w:rStyle w:val="bodytext1"/>
          <w:rFonts w:ascii="Times New Roman" w:hAnsi="Times New Roman"/>
          <w:sz w:val="24"/>
        </w:rPr>
        <w:t xml:space="preserve"> result</w:t>
      </w:r>
      <w:r w:rsidR="002F410D">
        <w:rPr>
          <w:rStyle w:val="bodytext1"/>
          <w:rFonts w:ascii="Times New Roman" w:hAnsi="Times New Roman"/>
          <w:sz w:val="24"/>
        </w:rPr>
        <w:t>s</w:t>
      </w:r>
      <w:r w:rsidRPr="009D66F9">
        <w:rPr>
          <w:rStyle w:val="bodytext1"/>
          <w:rFonts w:ascii="Times New Roman" w:hAnsi="Times New Roman"/>
          <w:sz w:val="24"/>
        </w:rPr>
        <w:t xml:space="preserve"> in reduced light availability </w:t>
      </w:r>
      <w:r w:rsidR="002F410D">
        <w:rPr>
          <w:rStyle w:val="bodytext1"/>
          <w:rFonts w:ascii="Times New Roman" w:hAnsi="Times New Roman"/>
          <w:sz w:val="24"/>
        </w:rPr>
        <w:t>for</w:t>
      </w:r>
      <w:r w:rsidRPr="009D66F9">
        <w:rPr>
          <w:rStyle w:val="bodytext1"/>
          <w:rFonts w:ascii="Times New Roman" w:hAnsi="Times New Roman"/>
          <w:sz w:val="24"/>
        </w:rPr>
        <w:t xml:space="preserve"> benthic primary producers (e.g.</w:t>
      </w:r>
      <w:r w:rsidR="007010D6">
        <w:rPr>
          <w:rStyle w:val="bodytext1"/>
          <w:rFonts w:ascii="Times New Roman" w:hAnsi="Times New Roman"/>
          <w:sz w:val="24"/>
        </w:rPr>
        <w:t>,</w:t>
      </w:r>
      <w:r w:rsidRPr="009D66F9">
        <w:rPr>
          <w:rStyle w:val="bodytext1"/>
          <w:rFonts w:ascii="Times New Roman" w:hAnsi="Times New Roman"/>
          <w:sz w:val="24"/>
        </w:rPr>
        <w:t xml:space="preserve"> </w:t>
      </w:r>
      <w:proofErr w:type="spellStart"/>
      <w:r w:rsidRPr="009D66F9">
        <w:rPr>
          <w:rStyle w:val="bodytext1"/>
          <w:rFonts w:ascii="Times New Roman" w:hAnsi="Times New Roman"/>
          <w:sz w:val="24"/>
        </w:rPr>
        <w:t>seagrass</w:t>
      </w:r>
      <w:proofErr w:type="spellEnd"/>
      <w:r w:rsidRPr="009D66F9">
        <w:rPr>
          <w:rStyle w:val="bodytext1"/>
          <w:rFonts w:ascii="Times New Roman" w:hAnsi="Times New Roman"/>
          <w:sz w:val="24"/>
        </w:rPr>
        <w:t xml:space="preserve">). </w:t>
      </w:r>
    </w:p>
    <w:p w:rsidR="00E224FC" w:rsidRPr="009D66F9" w:rsidRDefault="00E224FC" w:rsidP="00446A46">
      <w:pPr>
        <w:autoSpaceDE w:val="0"/>
        <w:autoSpaceDN w:val="0"/>
        <w:adjustRightInd w:val="0"/>
        <w:ind w:left="360"/>
      </w:pPr>
      <w:r w:rsidRPr="009D66F9">
        <w:t xml:space="preserve"> </w:t>
      </w:r>
    </w:p>
    <w:p w:rsidR="00E224FC" w:rsidRPr="009D66F9" w:rsidRDefault="00E224FC" w:rsidP="00446A46">
      <w:pPr>
        <w:pStyle w:val="ListParagraph"/>
        <w:numPr>
          <w:ilvl w:val="0"/>
          <w:numId w:val="16"/>
        </w:numPr>
        <w:autoSpaceDE w:val="0"/>
        <w:autoSpaceDN w:val="0"/>
        <w:adjustRightInd w:val="0"/>
      </w:pPr>
      <w:r w:rsidRPr="009D66F9">
        <w:rPr>
          <w:b/>
        </w:rPr>
        <w:t>A common set of response indicators are used, focusing on dissolved oxygen and primary producers (e.g.</w:t>
      </w:r>
      <w:r w:rsidR="00B33B52">
        <w:rPr>
          <w:b/>
        </w:rPr>
        <w:t>,</w:t>
      </w:r>
      <w:r w:rsidRPr="009D66F9">
        <w:rPr>
          <w:b/>
        </w:rPr>
        <w:t xml:space="preserve"> Bricker et al. 2003, </w:t>
      </w:r>
      <w:proofErr w:type="spellStart"/>
      <w:r w:rsidRPr="009D66F9">
        <w:rPr>
          <w:b/>
        </w:rPr>
        <w:t>Zaldivar</w:t>
      </w:r>
      <w:proofErr w:type="spellEnd"/>
      <w:r w:rsidRPr="009D66F9">
        <w:rPr>
          <w:b/>
        </w:rPr>
        <w:t xml:space="preserve"> et al. 2008), that link to these major conceptual models. </w:t>
      </w:r>
      <w:r w:rsidRPr="009D66F9">
        <w:t>Among primary producer indicators used, phytoplankton biomass (water column chlorophyll</w:t>
      </w:r>
      <w:r w:rsidR="002F410D">
        <w:t>-</w:t>
      </w:r>
      <w:r w:rsidRPr="009D66F9">
        <w:t>a) is the most common (Table 2.</w:t>
      </w:r>
      <w:r w:rsidR="00B32938" w:rsidRPr="009D66F9">
        <w:t>1</w:t>
      </w:r>
      <w:r w:rsidRPr="009D66F9">
        <w:t xml:space="preserve">). The frequency and magnitude of harmful algal blooms and toxin concentrations </w:t>
      </w:r>
      <w:r w:rsidR="00163417">
        <w:t xml:space="preserve">have </w:t>
      </w:r>
      <w:r w:rsidR="005D1316">
        <w:t xml:space="preserve">also </w:t>
      </w:r>
      <w:r w:rsidR="00163417">
        <w:t>been</w:t>
      </w:r>
      <w:r w:rsidR="00163417" w:rsidRPr="009D66F9">
        <w:t xml:space="preserve"> </w:t>
      </w:r>
      <w:r w:rsidRPr="009D66F9">
        <w:t>used</w:t>
      </w:r>
      <w:r w:rsidR="00163417">
        <w:t>,</w:t>
      </w:r>
      <w:r w:rsidRPr="009D66F9">
        <w:t xml:space="preserve"> either directly as an indicator or </w:t>
      </w:r>
      <w:r w:rsidR="00163417">
        <w:t xml:space="preserve">indirectly </w:t>
      </w:r>
      <w:r w:rsidRPr="009D66F9">
        <w:t>using chlorophyll</w:t>
      </w:r>
      <w:r w:rsidR="00163417">
        <w:t>-</w:t>
      </w:r>
      <w:r w:rsidRPr="009D66F9">
        <w:t>a as a proxy for the increased probability of occurrence of HAB events.</w:t>
      </w:r>
      <w:r w:rsidR="00D72900">
        <w:t xml:space="preserve"> </w:t>
      </w:r>
      <w:r w:rsidR="00163417">
        <w:t>P</w:t>
      </w:r>
      <w:r w:rsidRPr="009D66F9">
        <w:t>hytoplankton assemblage has been used in assessment of ecological condition, but only in estuaries that can use a reference approach to defining the envelope of reference assemblages.</w:t>
      </w:r>
      <w:r w:rsidR="00D72900">
        <w:t xml:space="preserve"> </w:t>
      </w:r>
      <w:r w:rsidRPr="009D66F9">
        <w:t xml:space="preserve">Where TN and TP are used (typically in regulatory programs), they have been determined </w:t>
      </w:r>
      <w:r w:rsidR="00163417" w:rsidRPr="009D66F9">
        <w:t xml:space="preserve">as a proxy for primary productivity </w:t>
      </w:r>
      <w:r w:rsidR="00163417">
        <w:t xml:space="preserve">either </w:t>
      </w:r>
      <w:r w:rsidRPr="009D66F9">
        <w:t>through statistical or process modeling to primary producer numeric targets (e.g.</w:t>
      </w:r>
      <w:r w:rsidR="007010D6">
        <w:t>,</w:t>
      </w:r>
      <w:r w:rsidRPr="009D66F9">
        <w:t xml:space="preserve"> regulatory programs such as Chesapeake Bay and Florida), or through a reference water body approach (</w:t>
      </w:r>
      <w:r w:rsidR="005C693F">
        <w:t>Andersen</w:t>
      </w:r>
      <w:r w:rsidRPr="009D66F9">
        <w:t xml:space="preserve"> et al. </w:t>
      </w:r>
      <w:r w:rsidR="005C693F">
        <w:t>2011</w:t>
      </w:r>
      <w:r w:rsidRPr="009D66F9">
        <w:t xml:space="preserve">). </w:t>
      </w:r>
    </w:p>
    <w:p w:rsidR="00E224FC" w:rsidRPr="009D66F9" w:rsidRDefault="00E224FC" w:rsidP="00446A46">
      <w:pPr>
        <w:pStyle w:val="ListParagraph"/>
      </w:pPr>
    </w:p>
    <w:p w:rsidR="00E224FC" w:rsidRPr="009D66F9" w:rsidRDefault="00E224FC" w:rsidP="00446A46">
      <w:pPr>
        <w:pStyle w:val="ListParagraph"/>
        <w:numPr>
          <w:ilvl w:val="0"/>
          <w:numId w:val="15"/>
        </w:numPr>
        <w:autoSpaceDE w:val="0"/>
        <w:autoSpaceDN w:val="0"/>
        <w:adjustRightInd w:val="0"/>
        <w:ind w:left="720"/>
        <w:rPr>
          <w:b/>
        </w:rPr>
      </w:pPr>
      <w:r w:rsidRPr="009D66F9">
        <w:rPr>
          <w:b/>
        </w:rPr>
        <w:t xml:space="preserve">Among non-regulatory </w:t>
      </w:r>
      <w:r w:rsidR="00353722">
        <w:rPr>
          <w:b/>
        </w:rPr>
        <w:t>AF</w:t>
      </w:r>
      <w:r w:rsidRPr="009D66F9">
        <w:rPr>
          <w:b/>
        </w:rPr>
        <w:t>s (Bricker et al. 200</w:t>
      </w:r>
      <w:r w:rsidR="00DE5EEA">
        <w:rPr>
          <w:b/>
        </w:rPr>
        <w:t>3</w:t>
      </w:r>
      <w:r w:rsidRPr="009D66F9">
        <w:rPr>
          <w:b/>
        </w:rPr>
        <w:t xml:space="preserve">, </w:t>
      </w:r>
      <w:proofErr w:type="spellStart"/>
      <w:r w:rsidRPr="009D66F9">
        <w:rPr>
          <w:b/>
        </w:rPr>
        <w:t>Zaldivar</w:t>
      </w:r>
      <w:proofErr w:type="spellEnd"/>
      <w:r w:rsidRPr="009D66F9">
        <w:rPr>
          <w:b/>
        </w:rPr>
        <w:t xml:space="preserve"> et al. 2008), estuarine </w:t>
      </w:r>
      <w:proofErr w:type="spellStart"/>
      <w:r w:rsidR="00353722">
        <w:rPr>
          <w:b/>
        </w:rPr>
        <w:t>subembayment</w:t>
      </w:r>
      <w:r w:rsidRPr="009D66F9">
        <w:rPr>
          <w:b/>
        </w:rPr>
        <w:t>s</w:t>
      </w:r>
      <w:proofErr w:type="spellEnd"/>
      <w:r w:rsidRPr="009D66F9">
        <w:rPr>
          <w:b/>
        </w:rPr>
        <w:t xml:space="preserve"> are binned into multiple condition classes, representing a disturbance gradient </w:t>
      </w:r>
      <w:r w:rsidR="00557628" w:rsidRPr="00DE5EEA">
        <w:rPr>
          <w:b/>
        </w:rPr>
        <w:t>of</w:t>
      </w:r>
      <w:r w:rsidR="00557628" w:rsidRPr="009D66F9">
        <w:rPr>
          <w:b/>
        </w:rPr>
        <w:t xml:space="preserve"> </w:t>
      </w:r>
      <w:r w:rsidRPr="009D66F9">
        <w:rPr>
          <w:b/>
        </w:rPr>
        <w:t>high to low ecological condition (e.g.</w:t>
      </w:r>
      <w:r w:rsidR="00B33B52">
        <w:rPr>
          <w:b/>
        </w:rPr>
        <w:t>,</w:t>
      </w:r>
      <w:r w:rsidRPr="009D66F9">
        <w:rPr>
          <w:b/>
        </w:rPr>
        <w:t xml:space="preserve"> </w:t>
      </w:r>
      <w:proofErr w:type="spellStart"/>
      <w:r w:rsidRPr="009D66F9">
        <w:rPr>
          <w:b/>
        </w:rPr>
        <w:t>Zaldivar</w:t>
      </w:r>
      <w:proofErr w:type="spellEnd"/>
      <w:r w:rsidRPr="009D66F9">
        <w:rPr>
          <w:b/>
        </w:rPr>
        <w:t xml:space="preserve"> et al. 2008) or trophic state (Bricker et al. 2003). </w:t>
      </w:r>
      <w:r w:rsidRPr="009D66F9">
        <w:t xml:space="preserve">These condition classes are developed through a combination of scientific data analyses and expert best professional judgment. </w:t>
      </w:r>
    </w:p>
    <w:p w:rsidR="00E224FC" w:rsidRPr="009D66F9" w:rsidRDefault="00E224FC" w:rsidP="00446A46">
      <w:pPr>
        <w:pStyle w:val="ListParagraph"/>
        <w:autoSpaceDE w:val="0"/>
        <w:autoSpaceDN w:val="0"/>
        <w:adjustRightInd w:val="0"/>
      </w:pPr>
    </w:p>
    <w:p w:rsidR="00E224FC" w:rsidRPr="009D66F9" w:rsidRDefault="00E224FC" w:rsidP="00446A46">
      <w:pPr>
        <w:pStyle w:val="ListParagraph"/>
        <w:numPr>
          <w:ilvl w:val="0"/>
          <w:numId w:val="15"/>
        </w:numPr>
        <w:autoSpaceDE w:val="0"/>
        <w:autoSpaceDN w:val="0"/>
        <w:adjustRightInd w:val="0"/>
        <w:ind w:left="720"/>
      </w:pPr>
      <w:r w:rsidRPr="000961C8">
        <w:rPr>
          <w:b/>
        </w:rPr>
        <w:t>There is some degree o</w:t>
      </w:r>
      <w:r w:rsidR="005D1316" w:rsidRPr="000961C8">
        <w:rPr>
          <w:b/>
        </w:rPr>
        <w:t>f</w:t>
      </w:r>
      <w:r w:rsidRPr="000961C8">
        <w:rPr>
          <w:b/>
        </w:rPr>
        <w:t xml:space="preserve"> convergence on the thresholds or ranges represented within the various classification </w:t>
      </w:r>
      <w:proofErr w:type="gramStart"/>
      <w:r w:rsidRPr="000961C8">
        <w:rPr>
          <w:b/>
        </w:rPr>
        <w:t>scheme</w:t>
      </w:r>
      <w:proofErr w:type="gramEnd"/>
      <w:r w:rsidRPr="000961C8">
        <w:rPr>
          <w:b/>
        </w:rPr>
        <w:t>, particularly for chlorophyll</w:t>
      </w:r>
      <w:r w:rsidR="00163417" w:rsidRPr="000961C8">
        <w:rPr>
          <w:b/>
        </w:rPr>
        <w:t>-</w:t>
      </w:r>
      <w:r w:rsidRPr="000961C8">
        <w:rPr>
          <w:b/>
        </w:rPr>
        <w:t>a (</w:t>
      </w:r>
      <w:r w:rsidR="005F19C7" w:rsidRPr="000961C8">
        <w:rPr>
          <w:b/>
        </w:rPr>
        <w:t xml:space="preserve">see white paper, Appendix </w:t>
      </w:r>
      <w:r w:rsidR="000961C8">
        <w:rPr>
          <w:b/>
        </w:rPr>
        <w:t>B</w:t>
      </w:r>
      <w:r w:rsidRPr="000961C8">
        <w:rPr>
          <w:b/>
        </w:rPr>
        <w:t>).</w:t>
      </w:r>
      <w:r w:rsidR="00D72900">
        <w:rPr>
          <w:b/>
        </w:rPr>
        <w:t xml:space="preserve"> </w:t>
      </w:r>
      <w:r w:rsidRPr="009D66F9">
        <w:t>This suggests consensus among experts who developed these frameworks that the ranges representing condition classes correspond to real ecosystem decline.</w:t>
      </w:r>
      <w:r w:rsidR="00D72900">
        <w:t xml:space="preserve"> </w:t>
      </w:r>
      <w:r w:rsidRPr="009D66F9">
        <w:t>That said</w:t>
      </w:r>
      <w:proofErr w:type="gramStart"/>
      <w:r w:rsidRPr="009D66F9">
        <w:t>,</w:t>
      </w:r>
      <w:proofErr w:type="gramEnd"/>
      <w:r w:rsidRPr="009D66F9">
        <w:t xml:space="preserve"> two points are worth mentioning. First, there is great variability in the temporal statistic (e.g.</w:t>
      </w:r>
      <w:r w:rsidR="007010D6">
        <w:t>,</w:t>
      </w:r>
      <w:r w:rsidRPr="009D66F9">
        <w:t xml:space="preserve"> annual average, season max, 90</w:t>
      </w:r>
      <w:r w:rsidRPr="009D66F9">
        <w:rPr>
          <w:vertAlign w:val="superscript"/>
        </w:rPr>
        <w:t>th</w:t>
      </w:r>
      <w:r w:rsidRPr="009D66F9">
        <w:t xml:space="preserve"> percentile) used to make the assessment. Second, the differences in the ranges, while small, represent large differences in estuarine productivity, especially on annual timescales.</w:t>
      </w:r>
      <w:r w:rsidR="00D72900">
        <w:t xml:space="preserve"> </w:t>
      </w:r>
    </w:p>
    <w:p w:rsidR="00E224FC" w:rsidRPr="009D66F9" w:rsidRDefault="00E224FC" w:rsidP="00446A46">
      <w:pPr>
        <w:pStyle w:val="ListParagraph"/>
        <w:autoSpaceDE w:val="0"/>
        <w:autoSpaceDN w:val="0"/>
        <w:adjustRightInd w:val="0"/>
      </w:pPr>
    </w:p>
    <w:p w:rsidR="00E224FC" w:rsidRPr="009D66F9" w:rsidRDefault="00E224FC" w:rsidP="00446A46">
      <w:pPr>
        <w:pStyle w:val="ListParagraph"/>
        <w:numPr>
          <w:ilvl w:val="0"/>
          <w:numId w:val="15"/>
        </w:numPr>
        <w:autoSpaceDE w:val="0"/>
        <w:autoSpaceDN w:val="0"/>
        <w:adjustRightInd w:val="0"/>
        <w:ind w:left="720"/>
      </w:pPr>
      <w:r w:rsidRPr="009D66F9">
        <w:rPr>
          <w:b/>
        </w:rPr>
        <w:lastRenderedPageBreak/>
        <w:t xml:space="preserve">Inherent in these </w:t>
      </w:r>
      <w:r w:rsidR="00353722">
        <w:rPr>
          <w:b/>
        </w:rPr>
        <w:t>AF</w:t>
      </w:r>
      <w:r w:rsidRPr="009D66F9">
        <w:rPr>
          <w:b/>
        </w:rPr>
        <w:t xml:space="preserve">s are key differences in temporal statistic, spatial density of data used to make an assessment and, in some cases, the way that multiple indicators are combined into a single </w:t>
      </w:r>
      <w:proofErr w:type="gramStart"/>
      <w:r w:rsidRPr="009D66F9">
        <w:rPr>
          <w:b/>
        </w:rPr>
        <w:t>score</w:t>
      </w:r>
      <w:proofErr w:type="gramEnd"/>
      <w:r w:rsidRPr="009D66F9">
        <w:rPr>
          <w:b/>
        </w:rPr>
        <w:t xml:space="preserve"> (Table </w:t>
      </w:r>
      <w:r w:rsidR="005F19C7" w:rsidRPr="009D66F9">
        <w:rPr>
          <w:b/>
        </w:rPr>
        <w:t>2.</w:t>
      </w:r>
      <w:r w:rsidR="00B32938" w:rsidRPr="009D66F9">
        <w:rPr>
          <w:b/>
        </w:rPr>
        <w:t>2</w:t>
      </w:r>
      <w:r w:rsidRPr="009D66F9">
        <w:rPr>
          <w:b/>
        </w:rPr>
        <w:t>).</w:t>
      </w:r>
      <w:r w:rsidRPr="009D66F9">
        <w:t xml:space="preserve"> These details are less obvious, but can </w:t>
      </w:r>
      <w:r w:rsidR="00163417">
        <w:t>have</w:t>
      </w:r>
      <w:r w:rsidRPr="009D66F9">
        <w:t xml:space="preserve"> large effects on scoring (McLaughlin et al. 2013).</w:t>
      </w:r>
      <w:r w:rsidR="00D72900">
        <w:t xml:space="preserve"> </w:t>
      </w:r>
    </w:p>
    <w:p w:rsidR="00810EE6" w:rsidRPr="009D66F9" w:rsidRDefault="00810EE6">
      <w:pPr>
        <w:pStyle w:val="ListParagraph"/>
      </w:pPr>
    </w:p>
    <w:p w:rsidR="00810EE6" w:rsidRDefault="00810EE6" w:rsidP="00446A46">
      <w:pPr>
        <w:pStyle w:val="ListParagraph"/>
        <w:numPr>
          <w:ilvl w:val="0"/>
          <w:numId w:val="15"/>
        </w:numPr>
        <w:autoSpaceDE w:val="0"/>
        <w:autoSpaceDN w:val="0"/>
        <w:adjustRightInd w:val="0"/>
        <w:spacing w:line="276" w:lineRule="auto"/>
        <w:ind w:left="720"/>
        <w:rPr>
          <w:rFonts w:asciiTheme="minorHAnsi" w:hAnsiTheme="minorHAnsi" w:cs="Calibri"/>
        </w:rPr>
        <w:sectPr w:rsidR="00810EE6" w:rsidSect="00521D92">
          <w:pgSz w:w="12240" w:h="15840"/>
          <w:pgMar w:top="1440" w:right="1440" w:bottom="1440" w:left="1440" w:header="720" w:footer="720" w:gutter="0"/>
          <w:lnNumType w:countBy="1" w:restart="continuous"/>
          <w:pgNumType w:start="1"/>
          <w:cols w:space="720"/>
          <w:docGrid w:linePitch="360"/>
        </w:sectPr>
      </w:pPr>
    </w:p>
    <w:p w:rsidR="005F19C7" w:rsidRPr="00A91486" w:rsidRDefault="005F19C7">
      <w:pPr>
        <w:pStyle w:val="TOT"/>
        <w:spacing w:before="0" w:after="0" w:line="276" w:lineRule="auto"/>
        <w:rPr>
          <w:caps w:val="0"/>
          <w:smallCaps w:val="0"/>
        </w:rPr>
      </w:pPr>
      <w:bookmarkStart w:id="18" w:name="_Toc398192230"/>
      <w:bookmarkStart w:id="19" w:name="_Toc440224070"/>
      <w:r w:rsidRPr="00A91486">
        <w:rPr>
          <w:caps w:val="0"/>
          <w:smallCaps w:val="0"/>
        </w:rPr>
        <w:lastRenderedPageBreak/>
        <w:t>Table 2.</w:t>
      </w:r>
      <w:r w:rsidR="00B32938" w:rsidRPr="00A91486">
        <w:rPr>
          <w:caps w:val="0"/>
          <w:smallCaps w:val="0"/>
        </w:rPr>
        <w:t>1</w:t>
      </w:r>
      <w:r w:rsidRPr="00A91486">
        <w:rPr>
          <w:caps w:val="0"/>
          <w:smallCaps w:val="0"/>
        </w:rPr>
        <w:t xml:space="preserve"> Methods of eutrophication assessment and examples of biological and </w:t>
      </w:r>
      <w:proofErr w:type="spellStart"/>
      <w:r w:rsidRPr="00A91486">
        <w:rPr>
          <w:caps w:val="0"/>
          <w:smallCaps w:val="0"/>
        </w:rPr>
        <w:t>physico</w:t>
      </w:r>
      <w:proofErr w:type="spellEnd"/>
      <w:r w:rsidRPr="00A91486">
        <w:rPr>
          <w:caps w:val="0"/>
          <w:smallCaps w:val="0"/>
        </w:rPr>
        <w:t xml:space="preserve">-chemical indicators used and integration capabilities (pressure-state and overall; modified from Borja et al. </w:t>
      </w:r>
      <w:r w:rsidR="002F5862">
        <w:rPr>
          <w:caps w:val="0"/>
          <w:smallCaps w:val="0"/>
        </w:rPr>
        <w:t>2009</w:t>
      </w:r>
      <w:r w:rsidRPr="00A91486">
        <w:rPr>
          <w:caps w:val="0"/>
          <w:smallCaps w:val="0"/>
        </w:rPr>
        <w:t xml:space="preserve">). </w:t>
      </w:r>
      <w:proofErr w:type="gramStart"/>
      <w:r w:rsidRPr="00A91486">
        <w:rPr>
          <w:caps w:val="0"/>
          <w:smallCaps w:val="0"/>
        </w:rPr>
        <w:t>From Ferreira et al. 201</w:t>
      </w:r>
      <w:r w:rsidR="00122E5D">
        <w:rPr>
          <w:caps w:val="0"/>
          <w:smallCaps w:val="0"/>
        </w:rPr>
        <w:t>1</w:t>
      </w:r>
      <w:r w:rsidRPr="00A91486">
        <w:rPr>
          <w:caps w:val="0"/>
          <w:smallCaps w:val="0"/>
        </w:rPr>
        <w:t>.</w:t>
      </w:r>
      <w:bookmarkEnd w:id="18"/>
      <w:bookmarkEnd w:id="19"/>
      <w:proofErr w:type="gramEnd"/>
      <w:r w:rsidRPr="00A91486">
        <w:rPr>
          <w:caps w:val="0"/>
          <w:smallCaps w:val="0"/>
        </w:rPr>
        <w:t xml:space="preserve"> </w:t>
      </w:r>
    </w:p>
    <w:p w:rsidR="005F19C7" w:rsidRDefault="005F19C7" w:rsidP="00446A46">
      <w:pPr>
        <w:spacing w:line="276" w:lineRule="auto"/>
        <w:rPr>
          <w:rFonts w:ascii="Calibri" w:hAnsi="Calibri" w:cs="Calibri"/>
        </w:rPr>
      </w:pPr>
      <w:r>
        <w:rPr>
          <w:noProof/>
        </w:rPr>
        <w:drawing>
          <wp:inline distT="0" distB="0" distL="0" distR="0" wp14:anchorId="6492793B" wp14:editId="6241A8AB">
            <wp:extent cx="8296275" cy="37031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t="10574"/>
                    <a:stretch>
                      <a:fillRect/>
                    </a:stretch>
                  </pic:blipFill>
                  <pic:spPr bwMode="auto">
                    <a:xfrm>
                      <a:off x="0" y="0"/>
                      <a:ext cx="8293792" cy="3702050"/>
                    </a:xfrm>
                    <a:prstGeom prst="rect">
                      <a:avLst/>
                    </a:prstGeom>
                    <a:noFill/>
                    <a:ln>
                      <a:noFill/>
                    </a:ln>
                  </pic:spPr>
                </pic:pic>
              </a:graphicData>
            </a:graphic>
          </wp:inline>
        </w:drawing>
      </w:r>
    </w:p>
    <w:p w:rsidR="005F19C7" w:rsidRDefault="005F19C7" w:rsidP="00446A46">
      <w:pPr>
        <w:spacing w:line="276" w:lineRule="auto"/>
        <w:rPr>
          <w:rFonts w:ascii="Calibri" w:hAnsi="Calibri" w:cs="Calibri"/>
        </w:rPr>
        <w:sectPr w:rsidR="005F19C7" w:rsidSect="00521D92">
          <w:pgSz w:w="15840" w:h="12240" w:orient="landscape"/>
          <w:pgMar w:top="1440" w:right="1440" w:bottom="1440" w:left="1440" w:header="720" w:footer="720" w:gutter="0"/>
          <w:lnNumType w:countBy="1" w:restart="continuous"/>
          <w:cols w:space="720"/>
          <w:docGrid w:linePitch="360"/>
        </w:sectPr>
      </w:pPr>
    </w:p>
    <w:p w:rsidR="005F19C7" w:rsidRPr="00A91486" w:rsidRDefault="005F19C7">
      <w:pPr>
        <w:pStyle w:val="TOT"/>
        <w:spacing w:before="0" w:after="0" w:line="276" w:lineRule="auto"/>
        <w:rPr>
          <w:caps w:val="0"/>
          <w:smallCaps w:val="0"/>
        </w:rPr>
      </w:pPr>
      <w:bookmarkStart w:id="20" w:name="_Toc398192231"/>
      <w:bookmarkStart w:id="21" w:name="_Toc440224071"/>
      <w:proofErr w:type="gramStart"/>
      <w:r w:rsidRPr="00A91486">
        <w:rPr>
          <w:caps w:val="0"/>
          <w:smallCaps w:val="0"/>
        </w:rPr>
        <w:lastRenderedPageBreak/>
        <w:t>Table 2.</w:t>
      </w:r>
      <w:r w:rsidR="00B32938" w:rsidRPr="00A91486">
        <w:rPr>
          <w:caps w:val="0"/>
          <w:smallCaps w:val="0"/>
        </w:rPr>
        <w:t>2</w:t>
      </w:r>
      <w:r w:rsidRPr="00A91486">
        <w:rPr>
          <w:caps w:val="0"/>
          <w:smallCaps w:val="0"/>
        </w:rPr>
        <w:t>.</w:t>
      </w:r>
      <w:proofErr w:type="gramEnd"/>
      <w:r w:rsidRPr="00A91486">
        <w:rPr>
          <w:caps w:val="0"/>
          <w:smallCaps w:val="0"/>
        </w:rPr>
        <w:t xml:space="preserve"> Summary of approaches used for assessment of eutrophication applicable to shallow and </w:t>
      </w:r>
      <w:proofErr w:type="spellStart"/>
      <w:r w:rsidRPr="00A91486">
        <w:rPr>
          <w:caps w:val="0"/>
          <w:smallCaps w:val="0"/>
        </w:rPr>
        <w:t>deepwater</w:t>
      </w:r>
      <w:proofErr w:type="spellEnd"/>
      <w:r w:rsidRPr="00A91486">
        <w:rPr>
          <w:caps w:val="0"/>
          <w:smallCaps w:val="0"/>
        </w:rPr>
        <w:t xml:space="preserve"> </w:t>
      </w:r>
      <w:proofErr w:type="spellStart"/>
      <w:r w:rsidRPr="00A91486">
        <w:rPr>
          <w:caps w:val="0"/>
          <w:smallCaps w:val="0"/>
        </w:rPr>
        <w:t>unvegetated</w:t>
      </w:r>
      <w:proofErr w:type="spellEnd"/>
      <w:r w:rsidRPr="00A91486">
        <w:rPr>
          <w:caps w:val="0"/>
          <w:smallCaps w:val="0"/>
        </w:rPr>
        <w:t xml:space="preserve"> </w:t>
      </w:r>
      <w:proofErr w:type="spellStart"/>
      <w:r w:rsidRPr="00A91486">
        <w:rPr>
          <w:caps w:val="0"/>
          <w:smallCaps w:val="0"/>
        </w:rPr>
        <w:t>subtidal</w:t>
      </w:r>
      <w:proofErr w:type="spellEnd"/>
      <w:r w:rsidRPr="00A91486">
        <w:rPr>
          <w:caps w:val="0"/>
          <w:smallCaps w:val="0"/>
        </w:rPr>
        <w:t xml:space="preserve"> habitat. </w:t>
      </w:r>
      <w:proofErr w:type="gramStart"/>
      <w:r w:rsidRPr="00A91486">
        <w:rPr>
          <w:caps w:val="0"/>
          <w:smallCaps w:val="0"/>
        </w:rPr>
        <w:t>Adapted from Devlin et al. 2011.</w:t>
      </w:r>
      <w:bookmarkEnd w:id="20"/>
      <w:bookmarkEnd w:id="21"/>
      <w:proofErr w:type="gramEnd"/>
      <w:r w:rsidRPr="00A91486">
        <w:rPr>
          <w:caps w:val="0"/>
          <w:smallCaps w:val="0"/>
        </w:rPr>
        <w:t xml:space="preserve"> </w:t>
      </w:r>
    </w:p>
    <w:tbl>
      <w:tblPr>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9"/>
        <w:gridCol w:w="852"/>
        <w:gridCol w:w="1660"/>
        <w:gridCol w:w="1573"/>
        <w:gridCol w:w="1506"/>
        <w:gridCol w:w="1602"/>
        <w:gridCol w:w="1601"/>
        <w:gridCol w:w="1602"/>
        <w:gridCol w:w="1601"/>
        <w:gridCol w:w="1602"/>
      </w:tblGrid>
      <w:tr w:rsidR="005F19C7" w:rsidRPr="005418D2" w:rsidTr="00446A46">
        <w:trPr>
          <w:trHeight w:val="233"/>
        </w:trPr>
        <w:tc>
          <w:tcPr>
            <w:tcW w:w="349" w:type="dxa"/>
            <w:vMerge w:val="restart"/>
            <w:shd w:val="clear" w:color="auto" w:fill="auto"/>
            <w:textDirection w:val="btLr"/>
          </w:tcPr>
          <w:p w:rsidR="005F19C7" w:rsidRPr="005418D2" w:rsidRDefault="005F19C7" w:rsidP="00446A46">
            <w:pPr>
              <w:spacing w:line="276" w:lineRule="auto"/>
              <w:ind w:left="113" w:right="113"/>
              <w:rPr>
                <w:rFonts w:ascii="Arial" w:hAnsi="Arial" w:cs="Arial"/>
                <w:sz w:val="18"/>
                <w:szCs w:val="18"/>
              </w:rPr>
            </w:pPr>
            <w:r w:rsidRPr="005418D2">
              <w:rPr>
                <w:rFonts w:ascii="Arial" w:hAnsi="Arial" w:cs="Arial"/>
                <w:sz w:val="18"/>
                <w:szCs w:val="18"/>
              </w:rPr>
              <w:t>Grouping of Variables</w:t>
            </w:r>
          </w:p>
        </w:tc>
        <w:tc>
          <w:tcPr>
            <w:tcW w:w="851" w:type="dxa"/>
            <w:shd w:val="clear" w:color="auto" w:fill="auto"/>
          </w:tcPr>
          <w:p w:rsidR="005F19C7" w:rsidRPr="005418D2" w:rsidRDefault="005F19C7" w:rsidP="00446A46">
            <w:pPr>
              <w:spacing w:line="276" w:lineRule="auto"/>
              <w:rPr>
                <w:rFonts w:ascii="Arial" w:hAnsi="Arial" w:cs="Arial"/>
                <w:sz w:val="18"/>
                <w:szCs w:val="18"/>
              </w:rPr>
            </w:pPr>
          </w:p>
        </w:tc>
        <w:tc>
          <w:tcPr>
            <w:tcW w:w="1660"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UK WFD</w:t>
            </w:r>
          </w:p>
        </w:tc>
        <w:tc>
          <w:tcPr>
            <w:tcW w:w="1573"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OSPAR</w:t>
            </w:r>
          </w:p>
        </w:tc>
        <w:tc>
          <w:tcPr>
            <w:tcW w:w="1506"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TRIX</w:t>
            </w:r>
          </w:p>
        </w:tc>
        <w:tc>
          <w:tcPr>
            <w:tcW w:w="1602"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ASSETS</w:t>
            </w:r>
          </w:p>
        </w:tc>
        <w:tc>
          <w:tcPr>
            <w:tcW w:w="1601"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EPA NCA</w:t>
            </w:r>
          </w:p>
        </w:tc>
        <w:tc>
          <w:tcPr>
            <w:tcW w:w="1602"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TWQI/LWQF</w:t>
            </w:r>
          </w:p>
        </w:tc>
        <w:tc>
          <w:tcPr>
            <w:tcW w:w="1601"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HEAT</w:t>
            </w:r>
          </w:p>
        </w:tc>
        <w:tc>
          <w:tcPr>
            <w:tcW w:w="1602" w:type="dxa"/>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IFREMER</w:t>
            </w:r>
          </w:p>
        </w:tc>
      </w:tr>
      <w:tr w:rsidR="005F19C7" w:rsidRPr="005418D2" w:rsidTr="00446A46">
        <w:trPr>
          <w:trHeight w:val="700"/>
        </w:trPr>
        <w:tc>
          <w:tcPr>
            <w:tcW w:w="349" w:type="dxa"/>
            <w:vMerge/>
            <w:shd w:val="clear" w:color="auto" w:fill="auto"/>
          </w:tcPr>
          <w:p w:rsidR="005F19C7" w:rsidRPr="005418D2" w:rsidRDefault="005F19C7" w:rsidP="00446A46">
            <w:pPr>
              <w:spacing w:line="276" w:lineRule="auto"/>
              <w:rPr>
                <w:rFonts w:ascii="Arial" w:hAnsi="Arial" w:cs="Arial"/>
                <w:sz w:val="18"/>
                <w:szCs w:val="18"/>
              </w:rPr>
            </w:pPr>
          </w:p>
        </w:tc>
        <w:tc>
          <w:tcPr>
            <w:tcW w:w="851" w:type="dxa"/>
            <w:shd w:val="clear" w:color="auto" w:fill="auto"/>
          </w:tcPr>
          <w:p w:rsidR="005F19C7" w:rsidRPr="005418D2" w:rsidRDefault="005F19C7" w:rsidP="00446A46">
            <w:pPr>
              <w:spacing w:line="276" w:lineRule="auto"/>
              <w:rPr>
                <w:rFonts w:ascii="Arial" w:hAnsi="Arial" w:cs="Arial"/>
                <w:sz w:val="18"/>
                <w:szCs w:val="18"/>
              </w:rPr>
            </w:pPr>
            <w:proofErr w:type="spellStart"/>
            <w:r w:rsidRPr="005418D2">
              <w:rPr>
                <w:rFonts w:ascii="Arial" w:hAnsi="Arial" w:cs="Arial"/>
                <w:sz w:val="18"/>
                <w:szCs w:val="18"/>
              </w:rPr>
              <w:t>Caus</w:t>
            </w:r>
            <w:r w:rsidR="00B33B52">
              <w:rPr>
                <w:rFonts w:ascii="Arial" w:hAnsi="Arial" w:cs="Arial"/>
                <w:sz w:val="18"/>
                <w:szCs w:val="18"/>
              </w:rPr>
              <w:t>-</w:t>
            </w:r>
            <w:r w:rsidRPr="005418D2">
              <w:rPr>
                <w:rFonts w:ascii="Arial" w:hAnsi="Arial" w:cs="Arial"/>
                <w:sz w:val="18"/>
                <w:szCs w:val="18"/>
              </w:rPr>
              <w:t>ative</w:t>
            </w:r>
            <w:proofErr w:type="spellEnd"/>
            <w:r w:rsidRPr="005418D2">
              <w:rPr>
                <w:rFonts w:ascii="Arial" w:hAnsi="Arial" w:cs="Arial"/>
                <w:sz w:val="18"/>
                <w:szCs w:val="18"/>
              </w:rPr>
              <w:t xml:space="preserve"> Factors</w:t>
            </w:r>
          </w:p>
        </w:tc>
        <w:tc>
          <w:tcPr>
            <w:tcW w:w="1660"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Nutrient Load</w:t>
            </w:r>
          </w:p>
        </w:tc>
        <w:tc>
          <w:tcPr>
            <w:tcW w:w="1573"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DIN and DIP concentration, ratios, and loads</w:t>
            </w:r>
          </w:p>
        </w:tc>
        <w:tc>
          <w:tcPr>
            <w:tcW w:w="1506"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DIN and TP concentration</w:t>
            </w:r>
          </w:p>
        </w:tc>
        <w:tc>
          <w:tcPr>
            <w:tcW w:w="1602"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DIN and DIP loads</w:t>
            </w:r>
          </w:p>
        </w:tc>
        <w:tc>
          <w:tcPr>
            <w:tcW w:w="1601"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 xml:space="preserve">DIN, DIP </w:t>
            </w:r>
            <w:proofErr w:type="spellStart"/>
            <w:r w:rsidRPr="005418D2">
              <w:rPr>
                <w:rFonts w:ascii="Arial" w:hAnsi="Arial" w:cs="Arial"/>
                <w:sz w:val="18"/>
                <w:szCs w:val="18"/>
              </w:rPr>
              <w:t>conc</w:t>
            </w:r>
            <w:proofErr w:type="spellEnd"/>
          </w:p>
        </w:tc>
        <w:tc>
          <w:tcPr>
            <w:tcW w:w="1602"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 xml:space="preserve">TN, TP, DIN and DIP conc. </w:t>
            </w:r>
          </w:p>
        </w:tc>
        <w:tc>
          <w:tcPr>
            <w:tcW w:w="1601"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DIN and DIP</w:t>
            </w:r>
          </w:p>
        </w:tc>
        <w:tc>
          <w:tcPr>
            <w:tcW w:w="1602" w:type="dxa"/>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PO4, NOX, NH4, TN, TP</w:t>
            </w:r>
          </w:p>
        </w:tc>
      </w:tr>
      <w:tr w:rsidR="005F19C7" w:rsidRPr="005418D2" w:rsidTr="00446A46">
        <w:trPr>
          <w:trHeight w:val="1869"/>
        </w:trPr>
        <w:tc>
          <w:tcPr>
            <w:tcW w:w="349" w:type="dxa"/>
            <w:vMerge/>
            <w:shd w:val="clear" w:color="auto" w:fill="auto"/>
          </w:tcPr>
          <w:p w:rsidR="005F19C7" w:rsidRPr="005418D2" w:rsidRDefault="005F19C7" w:rsidP="00446A46">
            <w:pPr>
              <w:spacing w:line="276" w:lineRule="auto"/>
              <w:rPr>
                <w:rFonts w:ascii="Arial" w:hAnsi="Arial" w:cs="Arial"/>
                <w:sz w:val="18"/>
                <w:szCs w:val="18"/>
              </w:rPr>
            </w:pPr>
          </w:p>
        </w:tc>
        <w:tc>
          <w:tcPr>
            <w:tcW w:w="851"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1</w:t>
            </w:r>
            <w:r w:rsidRPr="005418D2">
              <w:rPr>
                <w:rFonts w:ascii="Arial" w:hAnsi="Arial" w:cs="Arial"/>
                <w:sz w:val="18"/>
                <w:szCs w:val="18"/>
                <w:vertAlign w:val="superscript"/>
              </w:rPr>
              <w:t>ary</w:t>
            </w:r>
            <w:r w:rsidRPr="005418D2">
              <w:rPr>
                <w:rFonts w:ascii="Arial" w:hAnsi="Arial" w:cs="Arial"/>
                <w:sz w:val="18"/>
                <w:szCs w:val="18"/>
              </w:rPr>
              <w:t xml:space="preserve"> effects</w:t>
            </w:r>
          </w:p>
        </w:tc>
        <w:tc>
          <w:tcPr>
            <w:tcW w:w="1660" w:type="dxa"/>
            <w:shd w:val="clear" w:color="auto" w:fill="auto"/>
          </w:tcPr>
          <w:p w:rsidR="005F19C7" w:rsidRPr="005418D2" w:rsidRDefault="005F19C7">
            <w:pPr>
              <w:spacing w:line="276" w:lineRule="auto"/>
              <w:rPr>
                <w:rFonts w:ascii="Arial" w:hAnsi="Arial" w:cs="Arial"/>
                <w:sz w:val="18"/>
                <w:szCs w:val="18"/>
              </w:rPr>
            </w:pPr>
            <w:proofErr w:type="spellStart"/>
            <w:r w:rsidRPr="005418D2">
              <w:rPr>
                <w:rFonts w:ascii="Arial" w:hAnsi="Arial" w:cs="Arial"/>
                <w:sz w:val="18"/>
                <w:szCs w:val="18"/>
              </w:rPr>
              <w:t>Chl</w:t>
            </w:r>
            <w:proofErr w:type="spellEnd"/>
            <w:r w:rsidRPr="005418D2">
              <w:rPr>
                <w:rFonts w:ascii="Arial" w:hAnsi="Arial" w:cs="Arial"/>
                <w:sz w:val="18"/>
                <w:szCs w:val="18"/>
              </w:rPr>
              <w:t>-a, PP indicator species, seasonal changes in cell abundance of diatoms/</w:t>
            </w:r>
            <w:proofErr w:type="spellStart"/>
            <w:r w:rsidRPr="005418D2">
              <w:rPr>
                <w:rFonts w:ascii="Arial" w:hAnsi="Arial" w:cs="Arial"/>
                <w:sz w:val="18"/>
                <w:szCs w:val="18"/>
              </w:rPr>
              <w:t>dinoflagellates</w:t>
            </w:r>
            <w:proofErr w:type="spellEnd"/>
            <w:r w:rsidRPr="005418D2">
              <w:rPr>
                <w:rFonts w:ascii="Arial" w:hAnsi="Arial" w:cs="Arial"/>
                <w:sz w:val="18"/>
                <w:szCs w:val="18"/>
              </w:rPr>
              <w:t xml:space="preserve">, SAV, </w:t>
            </w:r>
            <w:proofErr w:type="spellStart"/>
            <w:r w:rsidRPr="005418D2">
              <w:rPr>
                <w:rFonts w:ascii="Arial" w:hAnsi="Arial" w:cs="Arial"/>
                <w:sz w:val="18"/>
                <w:szCs w:val="18"/>
              </w:rPr>
              <w:t>macroalgae</w:t>
            </w:r>
            <w:proofErr w:type="spellEnd"/>
          </w:p>
        </w:tc>
        <w:tc>
          <w:tcPr>
            <w:tcW w:w="1573" w:type="dxa"/>
            <w:shd w:val="clear" w:color="auto" w:fill="auto"/>
          </w:tcPr>
          <w:p w:rsidR="005F19C7" w:rsidRPr="005418D2" w:rsidRDefault="005F19C7" w:rsidP="00446A46">
            <w:pPr>
              <w:spacing w:line="276" w:lineRule="auto"/>
              <w:rPr>
                <w:rFonts w:ascii="Arial" w:hAnsi="Arial" w:cs="Arial"/>
                <w:sz w:val="18"/>
                <w:szCs w:val="18"/>
              </w:rPr>
            </w:pPr>
            <w:proofErr w:type="spellStart"/>
            <w:r w:rsidRPr="005418D2">
              <w:rPr>
                <w:rFonts w:ascii="Arial" w:hAnsi="Arial" w:cs="Arial"/>
                <w:sz w:val="18"/>
                <w:szCs w:val="18"/>
              </w:rPr>
              <w:t>Chl</w:t>
            </w:r>
            <w:proofErr w:type="spellEnd"/>
            <w:r w:rsidRPr="005418D2">
              <w:rPr>
                <w:rFonts w:ascii="Arial" w:hAnsi="Arial" w:cs="Arial"/>
                <w:sz w:val="18"/>
                <w:szCs w:val="18"/>
              </w:rPr>
              <w:t xml:space="preserve">-a, PP indicator species, </w:t>
            </w:r>
            <w:proofErr w:type="spellStart"/>
            <w:r w:rsidRPr="005418D2">
              <w:rPr>
                <w:rFonts w:ascii="Arial" w:hAnsi="Arial" w:cs="Arial"/>
                <w:sz w:val="18"/>
                <w:szCs w:val="18"/>
              </w:rPr>
              <w:t>macroalgae</w:t>
            </w:r>
            <w:proofErr w:type="spellEnd"/>
            <w:r w:rsidRPr="005418D2">
              <w:rPr>
                <w:rFonts w:ascii="Arial" w:hAnsi="Arial" w:cs="Arial"/>
                <w:sz w:val="18"/>
                <w:szCs w:val="18"/>
              </w:rPr>
              <w:t xml:space="preserve">, </w:t>
            </w:r>
            <w:proofErr w:type="spellStart"/>
            <w:r w:rsidRPr="005418D2">
              <w:rPr>
                <w:rFonts w:ascii="Arial" w:hAnsi="Arial" w:cs="Arial"/>
                <w:sz w:val="18"/>
                <w:szCs w:val="18"/>
              </w:rPr>
              <w:t>microphytobenthos</w:t>
            </w:r>
            <w:proofErr w:type="spellEnd"/>
            <w:r w:rsidRPr="005418D2">
              <w:rPr>
                <w:rFonts w:ascii="Arial" w:hAnsi="Arial" w:cs="Arial"/>
                <w:sz w:val="18"/>
                <w:szCs w:val="18"/>
              </w:rPr>
              <w:t>, SAV</w:t>
            </w:r>
          </w:p>
        </w:tc>
        <w:tc>
          <w:tcPr>
            <w:tcW w:w="1506" w:type="dxa"/>
            <w:shd w:val="clear" w:color="auto" w:fill="auto"/>
          </w:tcPr>
          <w:p w:rsidR="005F19C7" w:rsidRPr="005418D2" w:rsidRDefault="005F19C7" w:rsidP="00446A46">
            <w:pPr>
              <w:spacing w:line="276" w:lineRule="auto"/>
              <w:rPr>
                <w:rFonts w:ascii="Arial" w:hAnsi="Arial" w:cs="Arial"/>
                <w:sz w:val="18"/>
                <w:szCs w:val="18"/>
              </w:rPr>
            </w:pPr>
            <w:proofErr w:type="spellStart"/>
            <w:r w:rsidRPr="005418D2">
              <w:rPr>
                <w:rFonts w:ascii="Arial" w:hAnsi="Arial" w:cs="Arial"/>
                <w:sz w:val="18"/>
                <w:szCs w:val="18"/>
              </w:rPr>
              <w:t>Chl</w:t>
            </w:r>
            <w:proofErr w:type="spellEnd"/>
            <w:r w:rsidRPr="005418D2">
              <w:rPr>
                <w:rFonts w:ascii="Arial" w:hAnsi="Arial" w:cs="Arial"/>
                <w:sz w:val="18"/>
                <w:szCs w:val="18"/>
              </w:rPr>
              <w:t>-A</w:t>
            </w:r>
          </w:p>
        </w:tc>
        <w:tc>
          <w:tcPr>
            <w:tcW w:w="1602" w:type="dxa"/>
            <w:shd w:val="clear" w:color="auto" w:fill="auto"/>
          </w:tcPr>
          <w:p w:rsidR="005F19C7" w:rsidRPr="005418D2" w:rsidRDefault="005F19C7" w:rsidP="00446A46">
            <w:pPr>
              <w:spacing w:line="276" w:lineRule="auto"/>
              <w:rPr>
                <w:rFonts w:ascii="Arial" w:hAnsi="Arial" w:cs="Arial"/>
                <w:sz w:val="18"/>
                <w:szCs w:val="18"/>
              </w:rPr>
            </w:pPr>
            <w:proofErr w:type="spellStart"/>
            <w:r w:rsidRPr="005418D2">
              <w:rPr>
                <w:rFonts w:ascii="Arial" w:hAnsi="Arial" w:cs="Arial"/>
                <w:sz w:val="18"/>
                <w:szCs w:val="18"/>
              </w:rPr>
              <w:t>Chl</w:t>
            </w:r>
            <w:proofErr w:type="spellEnd"/>
            <w:r w:rsidRPr="005418D2">
              <w:rPr>
                <w:rFonts w:ascii="Arial" w:hAnsi="Arial" w:cs="Arial"/>
                <w:sz w:val="18"/>
                <w:szCs w:val="18"/>
              </w:rPr>
              <w:t>-a</w:t>
            </w:r>
          </w:p>
          <w:p w:rsidR="005F19C7" w:rsidRPr="005418D2" w:rsidRDefault="005F19C7" w:rsidP="00446A46">
            <w:pPr>
              <w:spacing w:line="276" w:lineRule="auto"/>
              <w:rPr>
                <w:rFonts w:ascii="Arial" w:hAnsi="Arial" w:cs="Arial"/>
                <w:sz w:val="18"/>
                <w:szCs w:val="18"/>
              </w:rPr>
            </w:pPr>
            <w:proofErr w:type="spellStart"/>
            <w:r w:rsidRPr="005418D2">
              <w:rPr>
                <w:rFonts w:ascii="Arial" w:hAnsi="Arial" w:cs="Arial"/>
                <w:sz w:val="18"/>
                <w:szCs w:val="18"/>
              </w:rPr>
              <w:t>macroalgae</w:t>
            </w:r>
            <w:proofErr w:type="spellEnd"/>
          </w:p>
        </w:tc>
        <w:tc>
          <w:tcPr>
            <w:tcW w:w="1601"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 xml:space="preserve">water clarity, </w:t>
            </w:r>
            <w:proofErr w:type="spellStart"/>
            <w:r w:rsidRPr="005418D2">
              <w:rPr>
                <w:rFonts w:ascii="Arial" w:hAnsi="Arial" w:cs="Arial"/>
                <w:sz w:val="18"/>
                <w:szCs w:val="18"/>
              </w:rPr>
              <w:t>chl</w:t>
            </w:r>
            <w:proofErr w:type="spellEnd"/>
            <w:r w:rsidRPr="005418D2">
              <w:rPr>
                <w:rFonts w:ascii="Arial" w:hAnsi="Arial" w:cs="Arial"/>
                <w:sz w:val="18"/>
                <w:szCs w:val="18"/>
              </w:rPr>
              <w:t>-a</w:t>
            </w:r>
          </w:p>
        </w:tc>
        <w:tc>
          <w:tcPr>
            <w:tcW w:w="1602" w:type="dxa"/>
            <w:shd w:val="clear" w:color="auto" w:fill="auto"/>
          </w:tcPr>
          <w:p w:rsidR="005F19C7" w:rsidRPr="005418D2" w:rsidRDefault="005F19C7" w:rsidP="00446A46">
            <w:pPr>
              <w:spacing w:line="276" w:lineRule="auto"/>
              <w:rPr>
                <w:rFonts w:ascii="Arial" w:hAnsi="Arial" w:cs="Arial"/>
                <w:sz w:val="18"/>
                <w:szCs w:val="18"/>
              </w:rPr>
            </w:pPr>
            <w:proofErr w:type="spellStart"/>
            <w:r w:rsidRPr="005418D2">
              <w:rPr>
                <w:rFonts w:ascii="Arial" w:hAnsi="Arial" w:cs="Arial"/>
                <w:sz w:val="18"/>
                <w:szCs w:val="18"/>
              </w:rPr>
              <w:t>Chl</w:t>
            </w:r>
            <w:proofErr w:type="spellEnd"/>
            <w:r w:rsidRPr="005418D2">
              <w:rPr>
                <w:rFonts w:ascii="Arial" w:hAnsi="Arial" w:cs="Arial"/>
                <w:sz w:val="18"/>
                <w:szCs w:val="18"/>
              </w:rPr>
              <w:t xml:space="preserve"> a, SAV, </w:t>
            </w:r>
            <w:proofErr w:type="spellStart"/>
            <w:r w:rsidRPr="005418D2">
              <w:rPr>
                <w:rFonts w:ascii="Arial" w:hAnsi="Arial" w:cs="Arial"/>
                <w:sz w:val="18"/>
                <w:szCs w:val="18"/>
              </w:rPr>
              <w:t>macroalgae</w:t>
            </w:r>
            <w:proofErr w:type="spellEnd"/>
          </w:p>
        </w:tc>
        <w:tc>
          <w:tcPr>
            <w:tcW w:w="1601" w:type="dxa"/>
            <w:shd w:val="clear" w:color="auto" w:fill="auto"/>
          </w:tcPr>
          <w:p w:rsidR="005F19C7" w:rsidRPr="005418D2" w:rsidRDefault="005F19C7" w:rsidP="00446A46">
            <w:pPr>
              <w:spacing w:line="276" w:lineRule="auto"/>
              <w:rPr>
                <w:rFonts w:ascii="Arial" w:hAnsi="Arial" w:cs="Arial"/>
                <w:sz w:val="18"/>
                <w:szCs w:val="18"/>
              </w:rPr>
            </w:pPr>
            <w:proofErr w:type="spellStart"/>
            <w:r w:rsidRPr="005418D2">
              <w:rPr>
                <w:rFonts w:ascii="Arial" w:hAnsi="Arial" w:cs="Arial"/>
                <w:sz w:val="18"/>
                <w:szCs w:val="18"/>
              </w:rPr>
              <w:t>Chl</w:t>
            </w:r>
            <w:proofErr w:type="spellEnd"/>
            <w:r w:rsidRPr="005418D2">
              <w:rPr>
                <w:rFonts w:ascii="Arial" w:hAnsi="Arial" w:cs="Arial"/>
                <w:sz w:val="18"/>
                <w:szCs w:val="18"/>
              </w:rPr>
              <w:t xml:space="preserve"> a, water clarity, SAV, </w:t>
            </w:r>
          </w:p>
        </w:tc>
        <w:tc>
          <w:tcPr>
            <w:tcW w:w="1602" w:type="dxa"/>
          </w:tcPr>
          <w:p w:rsidR="005F19C7" w:rsidRPr="005418D2" w:rsidRDefault="005F19C7" w:rsidP="00446A46">
            <w:pPr>
              <w:spacing w:line="276" w:lineRule="auto"/>
              <w:rPr>
                <w:rFonts w:ascii="Arial" w:hAnsi="Arial" w:cs="Arial"/>
                <w:sz w:val="18"/>
                <w:szCs w:val="18"/>
              </w:rPr>
            </w:pPr>
            <w:proofErr w:type="spellStart"/>
            <w:r w:rsidRPr="005418D2">
              <w:rPr>
                <w:rFonts w:ascii="Arial" w:hAnsi="Arial" w:cs="Arial"/>
                <w:sz w:val="18"/>
                <w:szCs w:val="18"/>
              </w:rPr>
              <w:t>Chl</w:t>
            </w:r>
            <w:proofErr w:type="spellEnd"/>
            <w:r w:rsidRPr="005418D2">
              <w:rPr>
                <w:rFonts w:ascii="Arial" w:hAnsi="Arial" w:cs="Arial"/>
                <w:sz w:val="18"/>
                <w:szCs w:val="18"/>
              </w:rPr>
              <w:t xml:space="preserve"> a, turbidity</w:t>
            </w:r>
          </w:p>
        </w:tc>
      </w:tr>
      <w:tr w:rsidR="005F19C7" w:rsidRPr="005418D2" w:rsidTr="00446A46">
        <w:trPr>
          <w:trHeight w:val="700"/>
        </w:trPr>
        <w:tc>
          <w:tcPr>
            <w:tcW w:w="349" w:type="dxa"/>
            <w:vMerge/>
            <w:shd w:val="clear" w:color="auto" w:fill="auto"/>
          </w:tcPr>
          <w:p w:rsidR="005F19C7" w:rsidRPr="005418D2" w:rsidRDefault="005F19C7" w:rsidP="00446A46">
            <w:pPr>
              <w:spacing w:line="276" w:lineRule="auto"/>
              <w:rPr>
                <w:rFonts w:ascii="Arial" w:hAnsi="Arial" w:cs="Arial"/>
                <w:sz w:val="18"/>
                <w:szCs w:val="18"/>
              </w:rPr>
            </w:pPr>
          </w:p>
        </w:tc>
        <w:tc>
          <w:tcPr>
            <w:tcW w:w="851"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2</w:t>
            </w:r>
            <w:r w:rsidRPr="005418D2">
              <w:rPr>
                <w:rFonts w:ascii="Arial" w:hAnsi="Arial" w:cs="Arial"/>
                <w:sz w:val="18"/>
                <w:szCs w:val="18"/>
                <w:vertAlign w:val="superscript"/>
              </w:rPr>
              <w:t xml:space="preserve">ary </w:t>
            </w:r>
            <w:r w:rsidRPr="005418D2">
              <w:rPr>
                <w:rFonts w:ascii="Arial" w:hAnsi="Arial" w:cs="Arial"/>
                <w:sz w:val="18"/>
                <w:szCs w:val="18"/>
              </w:rPr>
              <w:t>effects</w:t>
            </w:r>
          </w:p>
        </w:tc>
        <w:tc>
          <w:tcPr>
            <w:tcW w:w="1660"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DO</w:t>
            </w:r>
          </w:p>
        </w:tc>
        <w:tc>
          <w:tcPr>
            <w:tcW w:w="1573"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 xml:space="preserve">DO, </w:t>
            </w:r>
            <w:proofErr w:type="spellStart"/>
            <w:r w:rsidRPr="005418D2">
              <w:rPr>
                <w:rFonts w:ascii="Arial" w:hAnsi="Arial" w:cs="Arial"/>
                <w:sz w:val="18"/>
                <w:szCs w:val="18"/>
              </w:rPr>
              <w:t>zoobenthos</w:t>
            </w:r>
            <w:proofErr w:type="spellEnd"/>
            <w:r w:rsidRPr="005418D2">
              <w:rPr>
                <w:rFonts w:ascii="Arial" w:hAnsi="Arial" w:cs="Arial"/>
                <w:sz w:val="18"/>
                <w:szCs w:val="18"/>
              </w:rPr>
              <w:t xml:space="preserve"> and/or fish kills, organic carbon</w:t>
            </w:r>
          </w:p>
        </w:tc>
        <w:tc>
          <w:tcPr>
            <w:tcW w:w="1506"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DO</w:t>
            </w:r>
          </w:p>
        </w:tc>
        <w:tc>
          <w:tcPr>
            <w:tcW w:w="1602"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Nuisance/toxic blooms</w:t>
            </w:r>
          </w:p>
        </w:tc>
        <w:tc>
          <w:tcPr>
            <w:tcW w:w="1601"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DO</w:t>
            </w:r>
          </w:p>
        </w:tc>
        <w:tc>
          <w:tcPr>
            <w:tcW w:w="1602"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DO</w:t>
            </w:r>
          </w:p>
        </w:tc>
        <w:tc>
          <w:tcPr>
            <w:tcW w:w="1601"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Benthic invertebrates</w:t>
            </w:r>
          </w:p>
        </w:tc>
        <w:tc>
          <w:tcPr>
            <w:tcW w:w="1602" w:type="dxa"/>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DO percent saturation</w:t>
            </w:r>
          </w:p>
        </w:tc>
      </w:tr>
      <w:tr w:rsidR="005F19C7" w:rsidRPr="005418D2" w:rsidTr="00446A46">
        <w:trPr>
          <w:trHeight w:val="244"/>
        </w:trPr>
        <w:tc>
          <w:tcPr>
            <w:tcW w:w="349" w:type="dxa"/>
            <w:vMerge/>
            <w:shd w:val="clear" w:color="auto" w:fill="auto"/>
          </w:tcPr>
          <w:p w:rsidR="005F19C7" w:rsidRPr="005418D2" w:rsidRDefault="005F19C7" w:rsidP="00446A46">
            <w:pPr>
              <w:spacing w:line="276" w:lineRule="auto"/>
              <w:rPr>
                <w:rFonts w:ascii="Arial" w:hAnsi="Arial" w:cs="Arial"/>
                <w:sz w:val="18"/>
                <w:szCs w:val="18"/>
              </w:rPr>
            </w:pPr>
          </w:p>
        </w:tc>
        <w:tc>
          <w:tcPr>
            <w:tcW w:w="851"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 xml:space="preserve">Other </w:t>
            </w:r>
          </w:p>
        </w:tc>
        <w:tc>
          <w:tcPr>
            <w:tcW w:w="1660" w:type="dxa"/>
            <w:shd w:val="clear" w:color="auto" w:fill="auto"/>
          </w:tcPr>
          <w:p w:rsidR="005F19C7" w:rsidRPr="005418D2" w:rsidRDefault="005F19C7" w:rsidP="00446A46">
            <w:pPr>
              <w:spacing w:line="276" w:lineRule="auto"/>
              <w:rPr>
                <w:rFonts w:ascii="Arial" w:hAnsi="Arial" w:cs="Arial"/>
                <w:sz w:val="18"/>
                <w:szCs w:val="18"/>
              </w:rPr>
            </w:pPr>
          </w:p>
        </w:tc>
        <w:tc>
          <w:tcPr>
            <w:tcW w:w="1573" w:type="dxa"/>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Algal toxins</w:t>
            </w:r>
          </w:p>
        </w:tc>
        <w:tc>
          <w:tcPr>
            <w:tcW w:w="1506" w:type="dxa"/>
            <w:shd w:val="clear" w:color="auto" w:fill="auto"/>
          </w:tcPr>
          <w:p w:rsidR="005F19C7" w:rsidRPr="005418D2" w:rsidRDefault="005F19C7" w:rsidP="00446A46">
            <w:pPr>
              <w:spacing w:line="276" w:lineRule="auto"/>
              <w:rPr>
                <w:rFonts w:ascii="Arial" w:hAnsi="Arial" w:cs="Arial"/>
                <w:sz w:val="18"/>
                <w:szCs w:val="18"/>
              </w:rPr>
            </w:pPr>
          </w:p>
        </w:tc>
        <w:tc>
          <w:tcPr>
            <w:tcW w:w="1602" w:type="dxa"/>
            <w:shd w:val="clear" w:color="auto" w:fill="auto"/>
          </w:tcPr>
          <w:p w:rsidR="005F19C7" w:rsidRPr="005418D2" w:rsidRDefault="005F19C7" w:rsidP="00446A46">
            <w:pPr>
              <w:spacing w:line="276" w:lineRule="auto"/>
              <w:rPr>
                <w:rFonts w:ascii="Arial" w:hAnsi="Arial" w:cs="Arial"/>
                <w:sz w:val="18"/>
                <w:szCs w:val="18"/>
              </w:rPr>
            </w:pPr>
          </w:p>
        </w:tc>
        <w:tc>
          <w:tcPr>
            <w:tcW w:w="1601" w:type="dxa"/>
            <w:shd w:val="clear" w:color="auto" w:fill="auto"/>
          </w:tcPr>
          <w:p w:rsidR="005F19C7" w:rsidRPr="005418D2" w:rsidRDefault="005F19C7" w:rsidP="00446A46">
            <w:pPr>
              <w:spacing w:line="276" w:lineRule="auto"/>
              <w:rPr>
                <w:rFonts w:ascii="Arial" w:hAnsi="Arial" w:cs="Arial"/>
                <w:sz w:val="18"/>
                <w:szCs w:val="18"/>
              </w:rPr>
            </w:pPr>
          </w:p>
        </w:tc>
        <w:tc>
          <w:tcPr>
            <w:tcW w:w="1602" w:type="dxa"/>
            <w:shd w:val="clear" w:color="auto" w:fill="auto"/>
          </w:tcPr>
          <w:p w:rsidR="005F19C7" w:rsidRPr="005418D2" w:rsidRDefault="005F19C7" w:rsidP="00446A46">
            <w:pPr>
              <w:spacing w:line="276" w:lineRule="auto"/>
              <w:rPr>
                <w:rFonts w:ascii="Arial" w:hAnsi="Arial" w:cs="Arial"/>
                <w:sz w:val="18"/>
                <w:szCs w:val="18"/>
              </w:rPr>
            </w:pPr>
          </w:p>
        </w:tc>
        <w:tc>
          <w:tcPr>
            <w:tcW w:w="1601" w:type="dxa"/>
            <w:shd w:val="clear" w:color="auto" w:fill="auto"/>
          </w:tcPr>
          <w:p w:rsidR="005F19C7" w:rsidRPr="005418D2" w:rsidRDefault="005F19C7" w:rsidP="00446A46">
            <w:pPr>
              <w:spacing w:line="276" w:lineRule="auto"/>
              <w:rPr>
                <w:rFonts w:ascii="Arial" w:hAnsi="Arial" w:cs="Arial"/>
                <w:sz w:val="18"/>
                <w:szCs w:val="18"/>
              </w:rPr>
            </w:pPr>
          </w:p>
        </w:tc>
        <w:tc>
          <w:tcPr>
            <w:tcW w:w="1602" w:type="dxa"/>
          </w:tcPr>
          <w:p w:rsidR="005F19C7" w:rsidRPr="005418D2" w:rsidRDefault="005F19C7" w:rsidP="00446A46">
            <w:pPr>
              <w:spacing w:line="276" w:lineRule="auto"/>
              <w:rPr>
                <w:rFonts w:ascii="Arial" w:hAnsi="Arial" w:cs="Arial"/>
                <w:sz w:val="18"/>
                <w:szCs w:val="18"/>
              </w:rPr>
            </w:pPr>
          </w:p>
        </w:tc>
      </w:tr>
      <w:tr w:rsidR="005F19C7" w:rsidRPr="005418D2" w:rsidTr="00446A46">
        <w:trPr>
          <w:trHeight w:val="923"/>
        </w:trPr>
        <w:tc>
          <w:tcPr>
            <w:tcW w:w="1201" w:type="dxa"/>
            <w:gridSpan w:val="2"/>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Temporal sampling framework</w:t>
            </w:r>
          </w:p>
        </w:tc>
        <w:tc>
          <w:tcPr>
            <w:tcW w:w="1660"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 xml:space="preserve">Annual </w:t>
            </w:r>
            <w:proofErr w:type="spellStart"/>
            <w:r w:rsidRPr="005418D2">
              <w:rPr>
                <w:rFonts w:ascii="Arial" w:hAnsi="Arial" w:cs="Arial"/>
                <w:sz w:val="18"/>
                <w:szCs w:val="18"/>
              </w:rPr>
              <w:t>chla</w:t>
            </w:r>
            <w:proofErr w:type="spellEnd"/>
            <w:r w:rsidRPr="005418D2">
              <w:rPr>
                <w:rFonts w:ascii="Arial" w:hAnsi="Arial" w:cs="Arial"/>
                <w:sz w:val="18"/>
                <w:szCs w:val="18"/>
              </w:rPr>
              <w:t xml:space="preserve"> and DO, winter DIN, monthly PP groups</w:t>
            </w:r>
          </w:p>
        </w:tc>
        <w:tc>
          <w:tcPr>
            <w:tcW w:w="1573"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 xml:space="preserve">Growing season </w:t>
            </w:r>
            <w:proofErr w:type="spellStart"/>
            <w:r w:rsidRPr="005418D2">
              <w:rPr>
                <w:rFonts w:ascii="Arial" w:hAnsi="Arial" w:cs="Arial"/>
                <w:sz w:val="18"/>
                <w:szCs w:val="18"/>
              </w:rPr>
              <w:t>chl</w:t>
            </w:r>
            <w:proofErr w:type="spellEnd"/>
            <w:r w:rsidRPr="005418D2">
              <w:rPr>
                <w:rFonts w:ascii="Arial" w:hAnsi="Arial" w:cs="Arial"/>
                <w:sz w:val="18"/>
                <w:szCs w:val="18"/>
              </w:rPr>
              <w:t>-a (Mar-Sept), Winter DIN, summer DO</w:t>
            </w:r>
          </w:p>
        </w:tc>
        <w:tc>
          <w:tcPr>
            <w:tcW w:w="1506"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Annual</w:t>
            </w:r>
          </w:p>
        </w:tc>
        <w:tc>
          <w:tcPr>
            <w:tcW w:w="1602"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Annual</w:t>
            </w:r>
          </w:p>
        </w:tc>
        <w:tc>
          <w:tcPr>
            <w:tcW w:w="1601"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One sample per year (per station) within summer index period</w:t>
            </w:r>
          </w:p>
        </w:tc>
        <w:tc>
          <w:tcPr>
            <w:tcW w:w="1602"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 xml:space="preserve">Results can be derived based on one time or multiple periods </w:t>
            </w:r>
          </w:p>
        </w:tc>
        <w:tc>
          <w:tcPr>
            <w:tcW w:w="1601"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 xml:space="preserve">Growing season </w:t>
            </w:r>
            <w:proofErr w:type="spellStart"/>
            <w:r w:rsidRPr="005418D2">
              <w:rPr>
                <w:rFonts w:ascii="Arial" w:hAnsi="Arial" w:cs="Arial"/>
                <w:sz w:val="18"/>
                <w:szCs w:val="18"/>
              </w:rPr>
              <w:t>chl</w:t>
            </w:r>
            <w:proofErr w:type="spellEnd"/>
            <w:r w:rsidRPr="005418D2">
              <w:rPr>
                <w:rFonts w:ascii="Arial" w:hAnsi="Arial" w:cs="Arial"/>
                <w:sz w:val="18"/>
                <w:szCs w:val="18"/>
              </w:rPr>
              <w:t>-a (Mar-Sept), Winter DIN, summer DO</w:t>
            </w:r>
          </w:p>
        </w:tc>
        <w:tc>
          <w:tcPr>
            <w:tcW w:w="1602" w:type="dxa"/>
          </w:tcPr>
          <w:p w:rsidR="005F19C7" w:rsidRPr="005418D2" w:rsidRDefault="005F19C7">
            <w:pPr>
              <w:spacing w:line="276" w:lineRule="auto"/>
              <w:rPr>
                <w:rFonts w:ascii="Arial" w:hAnsi="Arial" w:cs="Arial"/>
                <w:sz w:val="18"/>
                <w:szCs w:val="18"/>
              </w:rPr>
            </w:pPr>
            <w:r w:rsidRPr="005418D2">
              <w:rPr>
                <w:rFonts w:ascii="Arial" w:hAnsi="Arial" w:cs="Arial"/>
                <w:sz w:val="18"/>
                <w:szCs w:val="18"/>
              </w:rPr>
              <w:t>Annual</w:t>
            </w:r>
          </w:p>
        </w:tc>
      </w:tr>
      <w:tr w:rsidR="005F19C7" w:rsidRPr="005418D2" w:rsidTr="00446A46">
        <w:trPr>
          <w:trHeight w:val="1624"/>
        </w:trPr>
        <w:tc>
          <w:tcPr>
            <w:tcW w:w="1201" w:type="dxa"/>
            <w:gridSpan w:val="2"/>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Spatial sampling framework</w:t>
            </w:r>
          </w:p>
        </w:tc>
        <w:tc>
          <w:tcPr>
            <w:tcW w:w="1660"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 xml:space="preserve">Sampling in estuaries and </w:t>
            </w:r>
            <w:proofErr w:type="spellStart"/>
            <w:r w:rsidRPr="005418D2">
              <w:rPr>
                <w:rFonts w:ascii="Arial" w:hAnsi="Arial" w:cs="Arial"/>
                <w:sz w:val="18"/>
                <w:szCs w:val="18"/>
              </w:rPr>
              <w:t>nearshore</w:t>
            </w:r>
            <w:proofErr w:type="spellEnd"/>
            <w:r w:rsidRPr="005418D2">
              <w:rPr>
                <w:rFonts w:ascii="Arial" w:hAnsi="Arial" w:cs="Arial"/>
                <w:sz w:val="18"/>
                <w:szCs w:val="18"/>
              </w:rPr>
              <w:t xml:space="preserve"> defined by salinity, reported by </w:t>
            </w:r>
            <w:proofErr w:type="spellStart"/>
            <w:r w:rsidRPr="005418D2">
              <w:rPr>
                <w:rFonts w:ascii="Arial" w:hAnsi="Arial" w:cs="Arial"/>
                <w:sz w:val="18"/>
                <w:szCs w:val="18"/>
              </w:rPr>
              <w:t>waterbody</w:t>
            </w:r>
            <w:proofErr w:type="spellEnd"/>
          </w:p>
        </w:tc>
        <w:tc>
          <w:tcPr>
            <w:tcW w:w="1573"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 xml:space="preserve">Sampling defined by salinity in estuaries, </w:t>
            </w:r>
            <w:proofErr w:type="spellStart"/>
            <w:r w:rsidRPr="005418D2">
              <w:rPr>
                <w:rFonts w:ascii="Arial" w:hAnsi="Arial" w:cs="Arial"/>
                <w:sz w:val="18"/>
                <w:szCs w:val="18"/>
              </w:rPr>
              <w:t>nearshore</w:t>
            </w:r>
            <w:proofErr w:type="spellEnd"/>
          </w:p>
        </w:tc>
        <w:tc>
          <w:tcPr>
            <w:tcW w:w="1506"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Sampling mostly in larger offshore systems; results reported by region</w:t>
            </w:r>
          </w:p>
        </w:tc>
        <w:tc>
          <w:tcPr>
            <w:tcW w:w="1602"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 xml:space="preserve">Sampling in salinity zones, synthesized to </w:t>
            </w:r>
            <w:proofErr w:type="spellStart"/>
            <w:r w:rsidRPr="005418D2">
              <w:rPr>
                <w:rFonts w:ascii="Arial" w:hAnsi="Arial" w:cs="Arial"/>
                <w:sz w:val="18"/>
                <w:szCs w:val="18"/>
              </w:rPr>
              <w:t>waterbody</w:t>
            </w:r>
            <w:proofErr w:type="spellEnd"/>
            <w:r w:rsidRPr="005418D2">
              <w:rPr>
                <w:rFonts w:ascii="Arial" w:hAnsi="Arial" w:cs="Arial"/>
                <w:sz w:val="18"/>
                <w:szCs w:val="18"/>
              </w:rPr>
              <w:t>, region, national, with reporting at all levels</w:t>
            </w:r>
          </w:p>
        </w:tc>
        <w:tc>
          <w:tcPr>
            <w:tcW w:w="1601"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Sampling is regional, synthesized to national level, reported at regional and national level</w:t>
            </w:r>
          </w:p>
        </w:tc>
        <w:tc>
          <w:tcPr>
            <w:tcW w:w="1602"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For shallow, benthic PP dominated. Can be applied to single stations or groups of stations.</w:t>
            </w:r>
          </w:p>
        </w:tc>
        <w:tc>
          <w:tcPr>
            <w:tcW w:w="1601"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Sampling defined by salinity in Baltic Sea</w:t>
            </w:r>
          </w:p>
        </w:tc>
        <w:tc>
          <w:tcPr>
            <w:tcW w:w="1602" w:type="dxa"/>
          </w:tcPr>
          <w:p w:rsidR="005F19C7" w:rsidRPr="005418D2" w:rsidRDefault="005F19C7">
            <w:pPr>
              <w:spacing w:line="276" w:lineRule="auto"/>
              <w:rPr>
                <w:rFonts w:ascii="Arial" w:hAnsi="Arial" w:cs="Arial"/>
                <w:sz w:val="18"/>
                <w:szCs w:val="18"/>
              </w:rPr>
            </w:pPr>
            <w:r w:rsidRPr="005418D2">
              <w:rPr>
                <w:rFonts w:ascii="Arial" w:hAnsi="Arial" w:cs="Arial"/>
                <w:sz w:val="18"/>
                <w:szCs w:val="18"/>
              </w:rPr>
              <w:t>For shallow, benthic PP dominated. Can be applied to single stations or groups of stations.</w:t>
            </w:r>
          </w:p>
        </w:tc>
      </w:tr>
      <w:tr w:rsidR="005F19C7" w:rsidRPr="005418D2" w:rsidTr="00446A46">
        <w:trPr>
          <w:trHeight w:val="690"/>
        </w:trPr>
        <w:tc>
          <w:tcPr>
            <w:tcW w:w="1201" w:type="dxa"/>
            <w:gridSpan w:val="2"/>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Assessment of indicators</w:t>
            </w:r>
          </w:p>
        </w:tc>
        <w:tc>
          <w:tcPr>
            <w:tcW w:w="1660"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Deviation from reference conditions</w:t>
            </w:r>
          </w:p>
        </w:tc>
        <w:tc>
          <w:tcPr>
            <w:tcW w:w="1573"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Deviation from reference conditions</w:t>
            </w:r>
          </w:p>
        </w:tc>
        <w:tc>
          <w:tcPr>
            <w:tcW w:w="1506"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Placement on scale from 1-10 TRIX units</w:t>
            </w:r>
          </w:p>
        </w:tc>
        <w:tc>
          <w:tcPr>
            <w:tcW w:w="1602"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Deviation from reference conditions</w:t>
            </w:r>
          </w:p>
        </w:tc>
        <w:tc>
          <w:tcPr>
            <w:tcW w:w="1601"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Deviation from reference conditions</w:t>
            </w:r>
          </w:p>
        </w:tc>
        <w:tc>
          <w:tcPr>
            <w:tcW w:w="1602"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Deviation from reference condition</w:t>
            </w:r>
          </w:p>
        </w:tc>
        <w:tc>
          <w:tcPr>
            <w:tcW w:w="1601"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Deviation from reference condition</w:t>
            </w:r>
          </w:p>
        </w:tc>
        <w:tc>
          <w:tcPr>
            <w:tcW w:w="1602" w:type="dxa"/>
          </w:tcPr>
          <w:p w:rsidR="005F19C7" w:rsidRPr="005418D2" w:rsidRDefault="005F19C7">
            <w:pPr>
              <w:spacing w:line="276" w:lineRule="auto"/>
              <w:rPr>
                <w:rFonts w:ascii="Arial" w:hAnsi="Arial" w:cs="Arial"/>
                <w:sz w:val="18"/>
                <w:szCs w:val="18"/>
              </w:rPr>
            </w:pPr>
            <w:r w:rsidRPr="005418D2">
              <w:rPr>
                <w:rFonts w:ascii="Arial" w:hAnsi="Arial" w:cs="Arial"/>
                <w:sz w:val="18"/>
                <w:szCs w:val="18"/>
              </w:rPr>
              <w:t>Deviation from reference</w:t>
            </w:r>
          </w:p>
        </w:tc>
      </w:tr>
      <w:tr w:rsidR="005F19C7" w:rsidRPr="005418D2" w:rsidTr="00446A46">
        <w:trPr>
          <w:trHeight w:val="1391"/>
        </w:trPr>
        <w:tc>
          <w:tcPr>
            <w:tcW w:w="1201" w:type="dxa"/>
            <w:gridSpan w:val="2"/>
            <w:shd w:val="clear" w:color="auto" w:fill="auto"/>
          </w:tcPr>
          <w:p w:rsidR="005F19C7" w:rsidRPr="005418D2" w:rsidRDefault="005F19C7" w:rsidP="00446A46">
            <w:pPr>
              <w:spacing w:line="276" w:lineRule="auto"/>
              <w:rPr>
                <w:rFonts w:ascii="Arial" w:hAnsi="Arial" w:cs="Arial"/>
                <w:sz w:val="18"/>
                <w:szCs w:val="18"/>
              </w:rPr>
            </w:pPr>
            <w:r w:rsidRPr="005418D2">
              <w:rPr>
                <w:rFonts w:ascii="Arial" w:hAnsi="Arial" w:cs="Arial"/>
                <w:sz w:val="18"/>
                <w:szCs w:val="18"/>
              </w:rPr>
              <w:t>Comb-</w:t>
            </w:r>
            <w:proofErr w:type="spellStart"/>
            <w:r w:rsidRPr="005418D2">
              <w:rPr>
                <w:rFonts w:ascii="Arial" w:hAnsi="Arial" w:cs="Arial"/>
                <w:sz w:val="18"/>
                <w:szCs w:val="18"/>
              </w:rPr>
              <w:t>ination</w:t>
            </w:r>
            <w:proofErr w:type="spellEnd"/>
            <w:r w:rsidRPr="005418D2">
              <w:rPr>
                <w:rFonts w:ascii="Arial" w:hAnsi="Arial" w:cs="Arial"/>
                <w:sz w:val="18"/>
                <w:szCs w:val="18"/>
              </w:rPr>
              <w:t xml:space="preserve"> Method</w:t>
            </w:r>
          </w:p>
        </w:tc>
        <w:tc>
          <w:tcPr>
            <w:tcW w:w="1660" w:type="dxa"/>
            <w:shd w:val="clear" w:color="auto" w:fill="auto"/>
          </w:tcPr>
          <w:p w:rsidR="005F19C7" w:rsidRPr="00446A46" w:rsidRDefault="005F19C7">
            <w:pPr>
              <w:spacing w:line="276" w:lineRule="auto"/>
              <w:rPr>
                <w:rFonts w:ascii="Arial" w:hAnsi="Arial" w:cs="Arial"/>
                <w:sz w:val="17"/>
                <w:szCs w:val="17"/>
              </w:rPr>
            </w:pPr>
            <w:r w:rsidRPr="00446A46">
              <w:rPr>
                <w:rFonts w:ascii="Arial" w:hAnsi="Arial" w:cs="Arial"/>
                <w:sz w:val="17"/>
                <w:szCs w:val="17"/>
              </w:rPr>
              <w:t xml:space="preserve">Indicator scores are averaged within </w:t>
            </w:r>
            <w:r w:rsidR="005418D2" w:rsidRPr="00446A46">
              <w:rPr>
                <w:rFonts w:ascii="Arial" w:hAnsi="Arial" w:cs="Arial"/>
                <w:sz w:val="17"/>
                <w:szCs w:val="17"/>
              </w:rPr>
              <w:t>a</w:t>
            </w:r>
            <w:r w:rsidRPr="00446A46">
              <w:rPr>
                <w:rFonts w:ascii="Arial" w:hAnsi="Arial" w:cs="Arial"/>
                <w:sz w:val="17"/>
                <w:szCs w:val="17"/>
              </w:rPr>
              <w:t>n indicator group. Final score gives classification status</w:t>
            </w:r>
          </w:p>
        </w:tc>
        <w:tc>
          <w:tcPr>
            <w:tcW w:w="1573"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One out, all out for individual categories and overall classification</w:t>
            </w:r>
          </w:p>
        </w:tc>
        <w:tc>
          <w:tcPr>
            <w:tcW w:w="1506"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Linear combo of logarithm of variables modified by scaling coeff</w:t>
            </w:r>
            <w:r w:rsidR="00056745">
              <w:rPr>
                <w:rFonts w:ascii="Arial" w:hAnsi="Arial" w:cs="Arial"/>
                <w:sz w:val="18"/>
                <w:szCs w:val="18"/>
              </w:rPr>
              <w:t>icient</w:t>
            </w:r>
          </w:p>
        </w:tc>
        <w:tc>
          <w:tcPr>
            <w:tcW w:w="1602"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Scores of av</w:t>
            </w:r>
            <w:r w:rsidR="00056745">
              <w:rPr>
                <w:rFonts w:ascii="Arial" w:hAnsi="Arial" w:cs="Arial"/>
                <w:sz w:val="18"/>
                <w:szCs w:val="18"/>
              </w:rPr>
              <w:t>g</w:t>
            </w:r>
            <w:r w:rsidRPr="005418D2">
              <w:rPr>
                <w:rFonts w:ascii="Arial" w:hAnsi="Arial" w:cs="Arial"/>
                <w:sz w:val="18"/>
                <w:szCs w:val="18"/>
              </w:rPr>
              <w:t>. primary and secondary indicators combined in a matrix</w:t>
            </w:r>
          </w:p>
        </w:tc>
        <w:tc>
          <w:tcPr>
            <w:tcW w:w="1601"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 xml:space="preserve">Indicators assessed individually. WQI based on % of samples in 4 categories. </w:t>
            </w:r>
          </w:p>
        </w:tc>
        <w:tc>
          <w:tcPr>
            <w:tcW w:w="1602"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TWQI scores combined as the sum of weighted quality values for individual indicators.</w:t>
            </w:r>
          </w:p>
        </w:tc>
        <w:tc>
          <w:tcPr>
            <w:tcW w:w="1601" w:type="dxa"/>
            <w:shd w:val="clear" w:color="auto" w:fill="auto"/>
          </w:tcPr>
          <w:p w:rsidR="005F19C7" w:rsidRPr="005418D2" w:rsidRDefault="005F19C7">
            <w:pPr>
              <w:spacing w:line="276" w:lineRule="auto"/>
              <w:rPr>
                <w:rFonts w:ascii="Arial" w:hAnsi="Arial" w:cs="Arial"/>
                <w:sz w:val="18"/>
                <w:szCs w:val="18"/>
              </w:rPr>
            </w:pPr>
            <w:r w:rsidRPr="005418D2">
              <w:rPr>
                <w:rFonts w:ascii="Arial" w:hAnsi="Arial" w:cs="Arial"/>
                <w:sz w:val="18"/>
                <w:szCs w:val="18"/>
              </w:rPr>
              <w:t>One out, all out for individual categories and overall classification</w:t>
            </w:r>
          </w:p>
        </w:tc>
        <w:tc>
          <w:tcPr>
            <w:tcW w:w="1602" w:type="dxa"/>
          </w:tcPr>
          <w:p w:rsidR="005F19C7" w:rsidRPr="005418D2" w:rsidRDefault="005F19C7">
            <w:pPr>
              <w:spacing w:line="276" w:lineRule="auto"/>
              <w:rPr>
                <w:rFonts w:ascii="Arial" w:hAnsi="Arial" w:cs="Arial"/>
                <w:sz w:val="18"/>
                <w:szCs w:val="18"/>
              </w:rPr>
            </w:pPr>
            <w:r w:rsidRPr="005418D2">
              <w:rPr>
                <w:rFonts w:ascii="Arial" w:hAnsi="Arial" w:cs="Arial"/>
                <w:sz w:val="18"/>
                <w:szCs w:val="18"/>
              </w:rPr>
              <w:t>One out all out</w:t>
            </w:r>
          </w:p>
        </w:tc>
      </w:tr>
    </w:tbl>
    <w:p w:rsidR="005F19C7" w:rsidRDefault="005F19C7" w:rsidP="00446A46">
      <w:pPr>
        <w:spacing w:line="276" w:lineRule="auto"/>
        <w:rPr>
          <w:rFonts w:ascii="Arial" w:hAnsi="Arial"/>
          <w:b/>
          <w:sz w:val="20"/>
          <w:szCs w:val="22"/>
          <w:lang w:bidi="en-US"/>
        </w:rPr>
        <w:sectPr w:rsidR="005F19C7" w:rsidSect="00521D92">
          <w:footerReference w:type="default" r:id="rId20"/>
          <w:pgSz w:w="15840" w:h="12240" w:orient="landscape"/>
          <w:pgMar w:top="1440" w:right="1440" w:bottom="1440" w:left="1440" w:header="720" w:footer="720" w:gutter="0"/>
          <w:lnNumType w:countBy="1" w:restart="continuous"/>
          <w:cols w:space="720"/>
          <w:docGrid w:linePitch="360"/>
        </w:sectPr>
      </w:pPr>
    </w:p>
    <w:p w:rsidR="009573DA" w:rsidRPr="00E224FC" w:rsidRDefault="009573DA">
      <w:pPr>
        <w:pStyle w:val="Heading1"/>
      </w:pPr>
      <w:bookmarkStart w:id="22" w:name="_Toc433370061"/>
      <w:r w:rsidRPr="00E224FC">
        <w:lastRenderedPageBreak/>
        <w:t>Framework to Assess</w:t>
      </w:r>
      <w:r w:rsidR="00566F8D">
        <w:t xml:space="preserve"> The Effects of </w:t>
      </w:r>
      <w:r w:rsidRPr="00E224FC">
        <w:t>Nutrient</w:t>
      </w:r>
      <w:r w:rsidR="00566F8D">
        <w:t>s</w:t>
      </w:r>
      <w:r w:rsidRPr="00E224FC">
        <w:t xml:space="preserve"> </w:t>
      </w:r>
      <w:r w:rsidR="001B7F04">
        <w:t>on</w:t>
      </w:r>
      <w:r w:rsidRPr="00E224FC">
        <w:t xml:space="preserve"> </w:t>
      </w:r>
      <w:proofErr w:type="gramStart"/>
      <w:r w:rsidR="00566F8D" w:rsidRPr="00E224FC">
        <w:t>San Francisco</w:t>
      </w:r>
      <w:proofErr w:type="gramEnd"/>
      <w:r w:rsidRPr="00E224FC">
        <w:t xml:space="preserve"> Bay</w:t>
      </w:r>
      <w:r w:rsidR="001B7F04">
        <w:t xml:space="preserve"> Beneficial Uses</w:t>
      </w:r>
      <w:bookmarkEnd w:id="22"/>
    </w:p>
    <w:p w:rsidR="009573DA" w:rsidRDefault="009573DA">
      <w:pPr>
        <w:pStyle w:val="Heading2"/>
      </w:pPr>
      <w:r w:rsidRPr="00E224FC">
        <w:tab/>
      </w:r>
      <w:bookmarkStart w:id="23" w:name="_Toc433370062"/>
      <w:r w:rsidR="00353722">
        <w:t>AF</w:t>
      </w:r>
      <w:r w:rsidRPr="00E224FC">
        <w:t xml:space="preserve"> Core Principles</w:t>
      </w:r>
      <w:bookmarkEnd w:id="23"/>
    </w:p>
    <w:p w:rsidR="00353722" w:rsidRDefault="00353722" w:rsidP="00446A46">
      <w:pPr>
        <w:pStyle w:val="Heading3"/>
        <w:spacing w:before="0" w:after="0" w:line="276" w:lineRule="auto"/>
        <w:jc w:val="left"/>
      </w:pPr>
      <w:bookmarkStart w:id="24" w:name="_Toc398785451"/>
    </w:p>
    <w:p w:rsidR="005F19C7" w:rsidRDefault="005F19C7" w:rsidP="00446A46">
      <w:pPr>
        <w:pStyle w:val="Heading3"/>
        <w:spacing w:before="0" w:after="0" w:line="276" w:lineRule="auto"/>
        <w:jc w:val="left"/>
      </w:pPr>
      <w:bookmarkStart w:id="25" w:name="_Toc433370063"/>
      <w:r>
        <w:t>Geographic Scope and Focal Habitats</w:t>
      </w:r>
      <w:bookmarkEnd w:id="24"/>
      <w:bookmarkEnd w:id="25"/>
    </w:p>
    <w:p w:rsidR="005F19C7" w:rsidRPr="00C66F93" w:rsidRDefault="005F19C7" w:rsidP="00446A46">
      <w:r w:rsidRPr="00C66F93">
        <w:t xml:space="preserve">The geographic scope for the </w:t>
      </w:r>
      <w:r w:rsidR="007010D6">
        <w:t xml:space="preserve">SFB </w:t>
      </w:r>
      <w:r w:rsidR="00353722">
        <w:t>AF</w:t>
      </w:r>
      <w:r w:rsidRPr="00C66F93">
        <w:t xml:space="preserve"> is defined by the Golden Gate Bridge as the </w:t>
      </w:r>
      <w:proofErr w:type="spellStart"/>
      <w:r w:rsidRPr="00C66F93">
        <w:t>oceanward</w:t>
      </w:r>
      <w:proofErr w:type="spellEnd"/>
      <w:r w:rsidRPr="00C66F93">
        <w:t xml:space="preserve"> boundary</w:t>
      </w:r>
      <w:r w:rsidR="00FA6BF2">
        <w:t>,</w:t>
      </w:r>
      <w:r w:rsidRPr="00C66F93">
        <w:t xml:space="preserve"> and Broad Slough in the Sacramento River</w:t>
      </w:r>
      <w:r w:rsidR="00056745" w:rsidRPr="00056745">
        <w:t xml:space="preserve"> </w:t>
      </w:r>
      <w:r w:rsidR="00056745" w:rsidRPr="00C66F93">
        <w:t>as the upstream boundary</w:t>
      </w:r>
      <w:r w:rsidRPr="00C66F93">
        <w:t xml:space="preserve">, </w:t>
      </w:r>
      <w:r w:rsidR="00056745">
        <w:t xml:space="preserve">which is </w:t>
      </w:r>
      <w:r w:rsidRPr="00C66F93">
        <w:t>just upstream of Winter Island (the boundary between the San Francisco and Central Valley Water Boards; Figure 3.1).</w:t>
      </w:r>
      <w:r w:rsidR="00D72900">
        <w:t xml:space="preserve"> </w:t>
      </w:r>
      <w:r w:rsidRPr="00C66F93">
        <w:t xml:space="preserve"> </w:t>
      </w:r>
    </w:p>
    <w:p w:rsidR="005F19C7" w:rsidRPr="00C66F93" w:rsidRDefault="005F19C7" w:rsidP="00446A46">
      <w:pPr>
        <w:pStyle w:val="ListParagraph"/>
        <w:ind w:left="0"/>
      </w:pPr>
    </w:p>
    <w:p w:rsidR="00FA6BF2" w:rsidRDefault="005F19C7" w:rsidP="00446A46">
      <w:pPr>
        <w:pStyle w:val="ListParagraph"/>
        <w:ind w:left="0"/>
      </w:pPr>
      <w:r w:rsidRPr="00C66F93">
        <w:t xml:space="preserve">SFB is comprised of deep and shallow water </w:t>
      </w:r>
      <w:proofErr w:type="spellStart"/>
      <w:r w:rsidRPr="00C66F93">
        <w:t>subtidal</w:t>
      </w:r>
      <w:proofErr w:type="spellEnd"/>
      <w:r w:rsidRPr="00C66F93">
        <w:t xml:space="preserve"> habitats and intertidal wetlands, and remnant tidal marshes (Figure 3.1). Deepwater and shallow </w:t>
      </w:r>
      <w:proofErr w:type="spellStart"/>
      <w:r w:rsidRPr="00C66F93">
        <w:t>subtidal</w:t>
      </w:r>
      <w:proofErr w:type="spellEnd"/>
      <w:r w:rsidRPr="00C66F93">
        <w:t xml:space="preserve"> habitats are the focus of this </w:t>
      </w:r>
      <w:r w:rsidR="00353722">
        <w:t>AF</w:t>
      </w:r>
      <w:r w:rsidR="00FA6BF2">
        <w:t xml:space="preserve">. </w:t>
      </w:r>
    </w:p>
    <w:p w:rsidR="00FA6BF2" w:rsidRDefault="00FA6BF2" w:rsidP="00446A46">
      <w:pPr>
        <w:pStyle w:val="ListParagraph"/>
        <w:ind w:left="0"/>
      </w:pPr>
    </w:p>
    <w:p w:rsidR="005F19C7" w:rsidRPr="00C66F93" w:rsidRDefault="00FA6BF2" w:rsidP="00446A46">
      <w:pPr>
        <w:pStyle w:val="ListParagraph"/>
        <w:ind w:left="0"/>
      </w:pPr>
      <w:r>
        <w:t>Although</w:t>
      </w:r>
      <w:r w:rsidR="005F19C7" w:rsidRPr="00C66F93">
        <w:t xml:space="preserve"> diked </w:t>
      </w:r>
      <w:proofErr w:type="spellStart"/>
      <w:r w:rsidR="005F19C7" w:rsidRPr="00C66F93">
        <w:t>baylands</w:t>
      </w:r>
      <w:proofErr w:type="spellEnd"/>
      <w:r w:rsidR="005F19C7" w:rsidRPr="00C66F93">
        <w:t xml:space="preserve">, restored salt ponds, and tidal sloughs </w:t>
      </w:r>
      <w:r>
        <w:t xml:space="preserve">also are present in SFB and are important, they </w:t>
      </w:r>
      <w:r w:rsidR="005F19C7" w:rsidRPr="00C66F93">
        <w:t xml:space="preserve">are excluded in this </w:t>
      </w:r>
      <w:r>
        <w:t>initial assessment work</w:t>
      </w:r>
      <w:r w:rsidR="005F19C7" w:rsidRPr="00C66F93">
        <w:t xml:space="preserve">. </w:t>
      </w:r>
      <w:r>
        <w:t>That said,</w:t>
      </w:r>
      <w:r w:rsidR="005F19C7" w:rsidRPr="00C66F93">
        <w:t xml:space="preserve"> preliminary data indicate that the</w:t>
      </w:r>
      <w:r>
        <w:t>se habitats</w:t>
      </w:r>
      <w:r w:rsidR="005F19C7" w:rsidRPr="00C66F93">
        <w:t xml:space="preserve"> may be in questionable ecological condition (</w:t>
      </w:r>
      <w:r w:rsidR="00446A46">
        <w:t xml:space="preserve">Topping et al. 2009, </w:t>
      </w:r>
      <w:r w:rsidR="004D659D">
        <w:t xml:space="preserve">SFEI </w:t>
      </w:r>
      <w:r w:rsidR="00446A46">
        <w:t>2014</w:t>
      </w:r>
      <w:r w:rsidR="004D659D">
        <w:t>a</w:t>
      </w:r>
      <w:r w:rsidR="005F19C7" w:rsidRPr="00C66F93">
        <w:t xml:space="preserve">); </w:t>
      </w:r>
      <w:r>
        <w:t xml:space="preserve">thus, </w:t>
      </w:r>
      <w:r w:rsidR="005F19C7" w:rsidRPr="00C66F93">
        <w:t xml:space="preserve">we recommend development of an </w:t>
      </w:r>
      <w:r w:rsidR="00353722">
        <w:t>AF</w:t>
      </w:r>
      <w:r w:rsidR="005F19C7" w:rsidRPr="00C66F93">
        <w:t xml:space="preserve"> targeting these habitats in a subsequent phase of </w:t>
      </w:r>
      <w:r>
        <w:t xml:space="preserve">framework </w:t>
      </w:r>
      <w:r w:rsidR="003F5B58" w:rsidRPr="00C66F93">
        <w:t>development</w:t>
      </w:r>
      <w:r w:rsidR="005F19C7" w:rsidRPr="00C66F93">
        <w:t>.</w:t>
      </w:r>
    </w:p>
    <w:p w:rsidR="005F19C7" w:rsidRPr="00BA495F" w:rsidRDefault="005F19C7" w:rsidP="00446A46">
      <w:pPr>
        <w:pStyle w:val="ListParagraph"/>
        <w:spacing w:line="276" w:lineRule="auto"/>
        <w:ind w:left="432"/>
        <w:rPr>
          <w:rFonts w:asciiTheme="minorHAnsi" w:hAnsiTheme="minorHAnsi" w:cstheme="minorHAnsi"/>
        </w:rPr>
      </w:pPr>
    </w:p>
    <w:p w:rsidR="005F19C7" w:rsidRDefault="005F19C7" w:rsidP="00446A46">
      <w:pPr>
        <w:pStyle w:val="Heading3"/>
        <w:spacing w:before="0" w:after="0" w:line="276" w:lineRule="auto"/>
        <w:jc w:val="left"/>
      </w:pPr>
      <w:bookmarkStart w:id="26" w:name="_Toc398785452"/>
      <w:bookmarkStart w:id="27" w:name="_Toc433370064"/>
      <w:r>
        <w:t>Segmentation</w:t>
      </w:r>
      <w:bookmarkEnd w:id="26"/>
      <w:bookmarkEnd w:id="27"/>
    </w:p>
    <w:p w:rsidR="005F19C7" w:rsidRPr="00C66F93" w:rsidRDefault="005F19C7" w:rsidP="00446A46">
      <w:r w:rsidRPr="00C66F93">
        <w:t xml:space="preserve">SFB has </w:t>
      </w:r>
      <w:r w:rsidR="00977374" w:rsidRPr="00C66F93">
        <w:t>six</w:t>
      </w:r>
      <w:r w:rsidRPr="00C66F93">
        <w:t xml:space="preserve"> </w:t>
      </w:r>
      <w:proofErr w:type="spellStart"/>
      <w:r w:rsidRPr="00C66F93">
        <w:t>subembayments</w:t>
      </w:r>
      <w:proofErr w:type="spellEnd"/>
      <w:r w:rsidRPr="00C66F93">
        <w:t xml:space="preserve"> with very different physical, biogeochemical, and biological characteristics that shape their individual responses to nutrients. For this reason, the </w:t>
      </w:r>
      <w:r w:rsidR="00353722">
        <w:t>AF</w:t>
      </w:r>
      <w:r w:rsidRPr="00C66F93">
        <w:t xml:space="preserve"> should be spatially explicit for these regions (here</w:t>
      </w:r>
      <w:r w:rsidR="007010D6">
        <w:t>in</w:t>
      </w:r>
      <w:r w:rsidRPr="00C66F93">
        <w:t xml:space="preserve"> </w:t>
      </w:r>
      <w:r w:rsidR="007010D6">
        <w:t>referred to</w:t>
      </w:r>
      <w:r w:rsidR="007010D6" w:rsidRPr="00C66F93">
        <w:t xml:space="preserve"> </w:t>
      </w:r>
      <w:r w:rsidRPr="00C66F93">
        <w:t xml:space="preserve">as </w:t>
      </w:r>
      <w:proofErr w:type="spellStart"/>
      <w:r w:rsidR="00353722">
        <w:t>subembayment</w:t>
      </w:r>
      <w:r w:rsidRPr="00C66F93">
        <w:t>s</w:t>
      </w:r>
      <w:proofErr w:type="spellEnd"/>
      <w:r w:rsidRPr="00C66F93">
        <w:t>) of SFB</w:t>
      </w:r>
      <w:r w:rsidR="007010D6">
        <w:t>,</w:t>
      </w:r>
      <w:r w:rsidRPr="00C66F93">
        <w:t xml:space="preserve"> as warranted by the ecological nature of response to nutrients.</w:t>
      </w:r>
    </w:p>
    <w:p w:rsidR="003F5B58" w:rsidRPr="00C66F93" w:rsidRDefault="003F5B58" w:rsidP="00446A46"/>
    <w:p w:rsidR="005F19C7" w:rsidRPr="00C66F93" w:rsidRDefault="005F19C7" w:rsidP="00446A46">
      <w:r w:rsidRPr="00C66F93">
        <w:t xml:space="preserve">The physical features in SFB provide natural breakpoints for segmentation, as documented by </w:t>
      </w:r>
      <w:proofErr w:type="spellStart"/>
      <w:r w:rsidRPr="00C66F93">
        <w:t>Jassby</w:t>
      </w:r>
      <w:proofErr w:type="spellEnd"/>
      <w:r w:rsidRPr="00C66F93">
        <w:t xml:space="preserve"> et al. (1997) for ch</w:t>
      </w:r>
      <w:r w:rsidR="00FA6BF2">
        <w:t>lorophy</w:t>
      </w:r>
      <w:r w:rsidR="000D41A0">
        <w:t>l</w:t>
      </w:r>
      <w:r w:rsidRPr="00C66F93">
        <w:t>l</w:t>
      </w:r>
      <w:r w:rsidR="00FA6BF2">
        <w:t>-</w:t>
      </w:r>
      <w:r w:rsidRPr="00C66F93">
        <w:t xml:space="preserve">a, TSS and salinity. These breakpoints or </w:t>
      </w:r>
      <w:proofErr w:type="spellStart"/>
      <w:r w:rsidR="00353722">
        <w:t>subembayment</w:t>
      </w:r>
      <w:proofErr w:type="spellEnd"/>
      <w:r w:rsidRPr="00C66F93">
        <w:t xml:space="preserve"> boundaries are also obvious in other ecological data. The SFB Regional Monitoring Program (RMP) uses a segmentation scheme that differs slightly from that of </w:t>
      </w:r>
      <w:proofErr w:type="spellStart"/>
      <w:r w:rsidRPr="00C66F93">
        <w:t>Jassby</w:t>
      </w:r>
      <w:proofErr w:type="spellEnd"/>
      <w:r w:rsidRPr="00C66F93">
        <w:t xml:space="preserve"> et al. (1997); this segmentation scheme was derived based on a variety of different contaminant and environmental gradients not necessarily relevant for nutrients. </w:t>
      </w:r>
    </w:p>
    <w:p w:rsidR="00485C95" w:rsidRPr="00C66F93" w:rsidRDefault="00485C95" w:rsidP="00446A46"/>
    <w:p w:rsidR="005F19C7" w:rsidRPr="00C66F93" w:rsidRDefault="00977374" w:rsidP="00446A46">
      <w:r w:rsidRPr="00C66F93">
        <w:t xml:space="preserve">For the </w:t>
      </w:r>
      <w:r w:rsidR="00353722">
        <w:t>AF</w:t>
      </w:r>
      <w:r w:rsidRPr="00C66F93">
        <w:t xml:space="preserve"> and supporting analyses, w</w:t>
      </w:r>
      <w:r w:rsidR="005F19C7" w:rsidRPr="00C66F93">
        <w:t xml:space="preserve">e </w:t>
      </w:r>
      <w:r w:rsidRPr="00C66F93">
        <w:t>used</w:t>
      </w:r>
      <w:r w:rsidR="005F19C7" w:rsidRPr="00C66F93">
        <w:t xml:space="preserve"> </w:t>
      </w:r>
      <w:proofErr w:type="spellStart"/>
      <w:r w:rsidRPr="00C66F93">
        <w:t>subembayment</w:t>
      </w:r>
      <w:proofErr w:type="spellEnd"/>
      <w:r w:rsidRPr="00C66F93">
        <w:t xml:space="preserve"> classification</w:t>
      </w:r>
      <w:r w:rsidR="005F19C7" w:rsidRPr="00C66F93">
        <w:t xml:space="preserve"> based on </w:t>
      </w:r>
      <w:proofErr w:type="spellStart"/>
      <w:r w:rsidR="005F19C7" w:rsidRPr="00C66F93">
        <w:t>Jassby</w:t>
      </w:r>
      <w:proofErr w:type="spellEnd"/>
      <w:r w:rsidR="005F19C7" w:rsidRPr="00C66F93">
        <w:t xml:space="preserve"> et al. (1997; Table 3.1., Figure 3.1). </w:t>
      </w:r>
      <w:r w:rsidRPr="00C66F93">
        <w:t>That said, w</w:t>
      </w:r>
      <w:r w:rsidR="005F19C7" w:rsidRPr="00C66F93">
        <w:t xml:space="preserve">e strongly recommend reanalysis of existing data </w:t>
      </w:r>
      <w:r w:rsidR="007010D6">
        <w:t>in</w:t>
      </w:r>
      <w:r w:rsidR="005F19C7" w:rsidRPr="00C66F93">
        <w:t xml:space="preserve"> the </w:t>
      </w:r>
      <w:proofErr w:type="spellStart"/>
      <w:r w:rsidR="005F19C7" w:rsidRPr="00C66F93">
        <w:t>Jassby</w:t>
      </w:r>
      <w:proofErr w:type="spellEnd"/>
      <w:r w:rsidR="005F19C7" w:rsidRPr="00C66F93">
        <w:t xml:space="preserve"> et al. (1997) methodology, using newly available and relevant ecological data, to finalize this segmentation scheme. </w:t>
      </w:r>
    </w:p>
    <w:p w:rsidR="005F19C7" w:rsidRPr="00C66F93" w:rsidRDefault="005F19C7" w:rsidP="00446A46">
      <w:pPr>
        <w:rPr>
          <w:b/>
          <w:sz w:val="20"/>
          <w:szCs w:val="22"/>
          <w:lang w:bidi="en-US"/>
        </w:rPr>
      </w:pPr>
    </w:p>
    <w:p w:rsidR="005F19C7" w:rsidRPr="001C5C04" w:rsidRDefault="005F19C7" w:rsidP="00446A46">
      <w:pPr>
        <w:tabs>
          <w:tab w:val="left" w:pos="720"/>
        </w:tabs>
        <w:spacing w:line="276" w:lineRule="auto"/>
        <w:ind w:left="720" w:hanging="720"/>
        <w:rPr>
          <w:b/>
        </w:rPr>
      </w:pPr>
      <w:r>
        <w:rPr>
          <w:noProof/>
        </w:rPr>
        <w:lastRenderedPageBreak/>
        <w:drawing>
          <wp:inline distT="0" distB="0" distL="0" distR="0" wp14:anchorId="0BF098F7" wp14:editId="28290456">
            <wp:extent cx="4165600" cy="4457395"/>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295" r="16615"/>
                    <a:stretch/>
                  </pic:blipFill>
                  <pic:spPr bwMode="auto">
                    <a:xfrm>
                      <a:off x="0" y="0"/>
                      <a:ext cx="4165885" cy="4457700"/>
                    </a:xfrm>
                    <a:prstGeom prst="rect">
                      <a:avLst/>
                    </a:prstGeom>
                    <a:ln>
                      <a:noFill/>
                    </a:ln>
                    <a:extLst>
                      <a:ext uri="{53640926-AAD7-44D8-BBD7-CCE9431645EC}">
                        <a14:shadowObscured xmlns:a14="http://schemas.microsoft.com/office/drawing/2010/main"/>
                      </a:ext>
                    </a:extLst>
                  </pic:spPr>
                </pic:pic>
              </a:graphicData>
            </a:graphic>
          </wp:inline>
        </w:drawing>
      </w:r>
    </w:p>
    <w:p w:rsidR="005F19C7" w:rsidRPr="00C66F93" w:rsidRDefault="00C66F93">
      <w:pPr>
        <w:pStyle w:val="TOF"/>
      </w:pPr>
      <w:bookmarkStart w:id="28" w:name="_Toc398192171"/>
      <w:bookmarkStart w:id="29" w:name="_Toc433370084"/>
      <w:r w:rsidRPr="00C66F93">
        <w:t xml:space="preserve">Figure 3.1 </w:t>
      </w:r>
      <w:r>
        <w:t>M</w:t>
      </w:r>
      <w:r w:rsidRPr="00C66F93">
        <w:t xml:space="preserve">ap of </w:t>
      </w:r>
      <w:r>
        <w:t>SFB</w:t>
      </w:r>
      <w:r w:rsidRPr="00C66F93">
        <w:t xml:space="preserve"> showing geographic scope of </w:t>
      </w:r>
      <w:r w:rsidR="00353722">
        <w:t>AF</w:t>
      </w:r>
      <w:r w:rsidRPr="00C66F93">
        <w:t xml:space="preserve">, focal habitats and </w:t>
      </w:r>
      <w:r w:rsidR="00353722">
        <w:t>subembayment</w:t>
      </w:r>
      <w:r w:rsidRPr="00C66F93">
        <w:t xml:space="preserve"> boundaries. </w:t>
      </w:r>
      <w:r w:rsidR="00353722">
        <w:t>Subembayment</w:t>
      </w:r>
      <w:r w:rsidRPr="00C66F93">
        <w:t xml:space="preserve"> names are designated on the map.</w:t>
      </w:r>
      <w:bookmarkEnd w:id="28"/>
      <w:bookmarkEnd w:id="29"/>
      <w:r w:rsidRPr="00C66F93">
        <w:t xml:space="preserve"> </w:t>
      </w:r>
    </w:p>
    <w:p w:rsidR="00566F8D" w:rsidRDefault="00566F8D">
      <w:pPr>
        <w:pStyle w:val="TOF"/>
      </w:pPr>
    </w:p>
    <w:p w:rsidR="00566F8D" w:rsidRDefault="00566F8D">
      <w:pPr>
        <w:pStyle w:val="TOF"/>
        <w:sectPr w:rsidR="00566F8D" w:rsidSect="00521D92">
          <w:pgSz w:w="12240" w:h="15840"/>
          <w:pgMar w:top="1440" w:right="1440" w:bottom="1440" w:left="1440" w:header="720" w:footer="720" w:gutter="0"/>
          <w:lnNumType w:countBy="1" w:restart="continuous"/>
          <w:cols w:space="720"/>
          <w:docGrid w:linePitch="360"/>
        </w:sectPr>
      </w:pPr>
      <w:bookmarkStart w:id="30" w:name="_Toc398192232"/>
    </w:p>
    <w:p w:rsidR="00566F8D" w:rsidRPr="00192018" w:rsidRDefault="00566F8D">
      <w:pPr>
        <w:pStyle w:val="TOT"/>
        <w:spacing w:before="0" w:after="0" w:line="276" w:lineRule="auto"/>
        <w:rPr>
          <w:caps w:val="0"/>
          <w:smallCaps w:val="0"/>
        </w:rPr>
      </w:pPr>
      <w:bookmarkStart w:id="31" w:name="_Toc440224072"/>
      <w:proofErr w:type="gramStart"/>
      <w:r w:rsidRPr="00192018">
        <w:rPr>
          <w:caps w:val="0"/>
          <w:smallCaps w:val="0"/>
        </w:rPr>
        <w:lastRenderedPageBreak/>
        <w:t>Table 3.1.</w:t>
      </w:r>
      <w:proofErr w:type="gramEnd"/>
      <w:r w:rsidRPr="00192018">
        <w:rPr>
          <w:caps w:val="0"/>
          <w:smallCaps w:val="0"/>
        </w:rPr>
        <w:t xml:space="preserve"> </w:t>
      </w:r>
      <w:proofErr w:type="gramStart"/>
      <w:r w:rsidRPr="00192018">
        <w:rPr>
          <w:caps w:val="0"/>
          <w:smallCaps w:val="0"/>
        </w:rPr>
        <w:t xml:space="preserve">Size and locations of boundaries defined by preliminary </w:t>
      </w:r>
      <w:r w:rsidR="00353722">
        <w:rPr>
          <w:caps w:val="0"/>
          <w:smallCaps w:val="0"/>
        </w:rPr>
        <w:t>AF</w:t>
      </w:r>
      <w:r w:rsidRPr="00192018">
        <w:rPr>
          <w:caps w:val="0"/>
          <w:smallCaps w:val="0"/>
        </w:rPr>
        <w:t xml:space="preserve"> classification scheme (from </w:t>
      </w:r>
      <w:proofErr w:type="spellStart"/>
      <w:r w:rsidRPr="00192018">
        <w:rPr>
          <w:caps w:val="0"/>
          <w:smallCaps w:val="0"/>
        </w:rPr>
        <w:t>Jassby</w:t>
      </w:r>
      <w:proofErr w:type="spellEnd"/>
      <w:r w:rsidRPr="00192018">
        <w:rPr>
          <w:caps w:val="0"/>
          <w:smallCaps w:val="0"/>
        </w:rPr>
        <w:t xml:space="preserve"> et al. 1997).</w:t>
      </w:r>
      <w:bookmarkEnd w:id="30"/>
      <w:bookmarkEnd w:id="31"/>
      <w:proofErr w:type="gramEnd"/>
      <w:r w:rsidRPr="00192018">
        <w:rPr>
          <w:caps w:val="0"/>
          <w:smallCaps w:val="0"/>
        </w:rPr>
        <w:t xml:space="preserve"> </w:t>
      </w:r>
    </w:p>
    <w:p w:rsidR="00566F8D" w:rsidRDefault="00566F8D" w:rsidP="00446A46">
      <w:pPr>
        <w:spacing w:line="276" w:lineRule="auto"/>
      </w:pPr>
      <w:r>
        <w:rPr>
          <w:noProof/>
        </w:rPr>
        <w:drawing>
          <wp:inline distT="0" distB="0" distL="0" distR="0" wp14:anchorId="48983175" wp14:editId="11AE23A8">
            <wp:extent cx="5943600"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710" b="3604"/>
                    <a:stretch/>
                  </pic:blipFill>
                  <pic:spPr bwMode="auto">
                    <a:xfrm>
                      <a:off x="0" y="0"/>
                      <a:ext cx="5943600" cy="1676400"/>
                    </a:xfrm>
                    <a:prstGeom prst="rect">
                      <a:avLst/>
                    </a:prstGeom>
                    <a:ln>
                      <a:noFill/>
                    </a:ln>
                    <a:extLst>
                      <a:ext uri="{53640926-AAD7-44D8-BBD7-CCE9431645EC}">
                        <a14:shadowObscured xmlns:a14="http://schemas.microsoft.com/office/drawing/2010/main"/>
                      </a:ext>
                    </a:extLst>
                  </pic:spPr>
                </pic:pic>
              </a:graphicData>
            </a:graphic>
          </wp:inline>
        </w:drawing>
      </w:r>
    </w:p>
    <w:p w:rsidR="00566F8D" w:rsidRPr="001C5C04" w:rsidRDefault="00566F8D" w:rsidP="00446A46">
      <w:pPr>
        <w:spacing w:line="276" w:lineRule="auto"/>
        <w:ind w:left="720"/>
        <w:rPr>
          <w:b/>
        </w:rPr>
      </w:pPr>
    </w:p>
    <w:p w:rsidR="005F19C7" w:rsidRDefault="005F19C7" w:rsidP="00446A46">
      <w:pPr>
        <w:pStyle w:val="Heading3"/>
        <w:spacing w:before="0" w:after="0" w:line="276" w:lineRule="auto"/>
        <w:jc w:val="left"/>
      </w:pPr>
      <w:bookmarkStart w:id="32" w:name="_Toc398785453"/>
      <w:bookmarkStart w:id="33" w:name="_Toc433370065"/>
      <w:r>
        <w:t>Key Indicators and Linkage to SFB Beneficial Uses</w:t>
      </w:r>
      <w:bookmarkEnd w:id="32"/>
      <w:bookmarkEnd w:id="33"/>
      <w:r>
        <w:t xml:space="preserve"> </w:t>
      </w:r>
    </w:p>
    <w:p w:rsidR="00F16ED2" w:rsidRDefault="00FC0F36" w:rsidP="00446A46">
      <w:r w:rsidRPr="00C66F93">
        <w:t xml:space="preserve">A core principle of the </w:t>
      </w:r>
      <w:r w:rsidR="00353722">
        <w:t>AF</w:t>
      </w:r>
      <w:r w:rsidRPr="00C66F93">
        <w:t xml:space="preserve"> is the use of several indicators as multiple lines of evidence</w:t>
      </w:r>
      <w:r w:rsidR="009A4E6B">
        <w:t xml:space="preserve"> for potential adverse impacts (Figure 3.2)</w:t>
      </w:r>
      <w:r w:rsidRPr="00C66F93">
        <w:t xml:space="preserve">, assuring a more robust assessment of the ecological condition of SFB </w:t>
      </w:r>
      <w:proofErr w:type="spellStart"/>
      <w:r w:rsidRPr="00C66F93">
        <w:t>subembayments</w:t>
      </w:r>
      <w:proofErr w:type="spellEnd"/>
      <w:r w:rsidRPr="00C66F93">
        <w:t xml:space="preserve">. </w:t>
      </w:r>
      <w:r w:rsidR="00F16ED2">
        <w:t>In t</w:t>
      </w:r>
      <w:r w:rsidR="00F16ED2" w:rsidRPr="00C66F93">
        <w:t xml:space="preserve">he </w:t>
      </w:r>
      <w:r w:rsidR="004D659D">
        <w:t>SFEI 2014b</w:t>
      </w:r>
      <w:r w:rsidR="00F16ED2" w:rsidRPr="00C66F93">
        <w:t xml:space="preserve"> report</w:t>
      </w:r>
      <w:r w:rsidR="00F16ED2">
        <w:t>, experts arrived at consensus regarding what undesirable conditions</w:t>
      </w:r>
      <w:r w:rsidR="00F16ED2" w:rsidRPr="00C66F93">
        <w:t xml:space="preserve"> would </w:t>
      </w:r>
      <w:r w:rsidR="00F16ED2">
        <w:t>plausibly manifest</w:t>
      </w:r>
      <w:r w:rsidR="00F16ED2" w:rsidRPr="00C66F93">
        <w:t xml:space="preserve"> in SFB</w:t>
      </w:r>
      <w:r w:rsidR="00F16ED2">
        <w:t xml:space="preserve"> in response to adverse nutrient-related impacts – and how each undesirable state would impact beneficial uses (Table 3.2)</w:t>
      </w:r>
      <w:r w:rsidR="00F16ED2" w:rsidRPr="00C66F93">
        <w:t>. T</w:t>
      </w:r>
      <w:r w:rsidR="00F16ED2">
        <w:t xml:space="preserve">he undesirable states were </w:t>
      </w:r>
      <w:r w:rsidR="00F16ED2" w:rsidRPr="00C66F93">
        <w:t>divided into seven categories</w:t>
      </w:r>
      <w:r w:rsidR="00F16ED2">
        <w:t xml:space="preserve"> that represent</w:t>
      </w:r>
      <w:r w:rsidR="00F16ED2" w:rsidRPr="00C66F93">
        <w:t xml:space="preserve"> specific examples extend</w:t>
      </w:r>
      <w:r w:rsidR="00F16ED2">
        <w:t>ing</w:t>
      </w:r>
      <w:r w:rsidR="00F16ED2" w:rsidRPr="00C66F93">
        <w:t xml:space="preserve"> from more general </w:t>
      </w:r>
      <w:r w:rsidR="00F16ED2">
        <w:t>adverse impact pathways</w:t>
      </w:r>
      <w:r w:rsidR="00F16ED2" w:rsidRPr="00C66F93">
        <w:t xml:space="preserve"> </w:t>
      </w:r>
      <w:r w:rsidR="00F16ED2">
        <w:t>(</w:t>
      </w:r>
      <w:r w:rsidR="00F16ED2" w:rsidRPr="00C66F93">
        <w:t>Figure 3.2</w:t>
      </w:r>
      <w:r w:rsidR="00F16ED2">
        <w:t>)</w:t>
      </w:r>
      <w:r w:rsidR="00F16ED2" w:rsidRPr="00C66F93">
        <w:t>.</w:t>
      </w:r>
    </w:p>
    <w:p w:rsidR="00F16ED2" w:rsidRDefault="00F16ED2" w:rsidP="00446A46"/>
    <w:p w:rsidR="00517A28" w:rsidRPr="00C66F93" w:rsidRDefault="003F19A1" w:rsidP="00446A46">
      <w:r>
        <w:t xml:space="preserve">The undesirable states can be measured by </w:t>
      </w:r>
      <w:r w:rsidR="00A427B7">
        <w:t>six</w:t>
      </w:r>
      <w:r w:rsidR="005F19C7" w:rsidRPr="00C66F93">
        <w:t xml:space="preserve"> key indicators</w:t>
      </w:r>
      <w:r>
        <w:t xml:space="preserve"> </w:t>
      </w:r>
      <w:r w:rsidR="00FC0F36" w:rsidRPr="00C66F93">
        <w:t>representing</w:t>
      </w:r>
      <w:r w:rsidR="00A427B7">
        <w:t xml:space="preserve"> the</w:t>
      </w:r>
      <w:r w:rsidR="00FC0F36" w:rsidRPr="00C66F93">
        <w:t xml:space="preserve"> multiple lines </w:t>
      </w:r>
      <w:r>
        <w:t xml:space="preserve">of evidence </w:t>
      </w:r>
      <w:r w:rsidR="00FC0F36" w:rsidRPr="00C66F93">
        <w:t>within this</w:t>
      </w:r>
      <w:r w:rsidR="005F19C7" w:rsidRPr="00C66F93">
        <w:t xml:space="preserve"> </w:t>
      </w:r>
      <w:r w:rsidR="00353722">
        <w:t>AF</w:t>
      </w:r>
      <w:r w:rsidR="00517A28" w:rsidRPr="00C66F93">
        <w:t>:</w:t>
      </w:r>
    </w:p>
    <w:p w:rsidR="00517A28" w:rsidRPr="00C66F93" w:rsidRDefault="00517A28" w:rsidP="00446A46"/>
    <w:p w:rsidR="00517A28" w:rsidRPr="00C66F93" w:rsidRDefault="00517A28" w:rsidP="00446A46">
      <w:pPr>
        <w:pStyle w:val="ListParagraph"/>
        <w:numPr>
          <w:ilvl w:val="0"/>
          <w:numId w:val="20"/>
        </w:numPr>
      </w:pPr>
      <w:r w:rsidRPr="00C66F93">
        <w:t>Phytoplankton biomass (as chlorophyll-a)</w:t>
      </w:r>
    </w:p>
    <w:p w:rsidR="00517A28" w:rsidRPr="00C66F93" w:rsidRDefault="00517A28" w:rsidP="00446A46">
      <w:pPr>
        <w:pStyle w:val="ListParagraph"/>
        <w:numPr>
          <w:ilvl w:val="0"/>
          <w:numId w:val="20"/>
        </w:numPr>
      </w:pPr>
      <w:r w:rsidRPr="00C66F93">
        <w:t xml:space="preserve">Gross </w:t>
      </w:r>
      <w:r w:rsidR="00947DFD">
        <w:t xml:space="preserve">and net phytoplankton </w:t>
      </w:r>
      <w:r w:rsidRPr="00C66F93">
        <w:t>product</w:t>
      </w:r>
      <w:r w:rsidR="00947DFD">
        <w:t>ion (hereto referred to collectively as GPP)</w:t>
      </w:r>
    </w:p>
    <w:p w:rsidR="00A427B7" w:rsidRDefault="00517A28" w:rsidP="00446A46">
      <w:pPr>
        <w:pStyle w:val="ListParagraph"/>
        <w:numPr>
          <w:ilvl w:val="0"/>
          <w:numId w:val="20"/>
        </w:numPr>
      </w:pPr>
      <w:r w:rsidRPr="00C66F93">
        <w:t xml:space="preserve">Harmful algal bloom species abundance </w:t>
      </w:r>
    </w:p>
    <w:p w:rsidR="00517A28" w:rsidRPr="00C66F93" w:rsidRDefault="00A427B7" w:rsidP="00446A46">
      <w:pPr>
        <w:pStyle w:val="ListParagraph"/>
        <w:numPr>
          <w:ilvl w:val="0"/>
          <w:numId w:val="20"/>
        </w:numPr>
      </w:pPr>
      <w:r>
        <w:t xml:space="preserve">HAB </w:t>
      </w:r>
      <w:r w:rsidR="00517A28" w:rsidRPr="00C66F93">
        <w:t>toxin concentrations</w:t>
      </w:r>
    </w:p>
    <w:p w:rsidR="002478DD" w:rsidRPr="00C66F93" w:rsidRDefault="00517A28" w:rsidP="00446A46">
      <w:pPr>
        <w:pStyle w:val="ListParagraph"/>
        <w:numPr>
          <w:ilvl w:val="0"/>
          <w:numId w:val="20"/>
        </w:numPr>
      </w:pPr>
      <w:r w:rsidRPr="00C66F93">
        <w:t>Phytoplankton assemblage, expressed as phytoplankton food quality</w:t>
      </w:r>
      <w:r w:rsidR="0025718C" w:rsidRPr="00C66F93">
        <w:t xml:space="preserve">, percent of </w:t>
      </w:r>
      <w:proofErr w:type="spellStart"/>
      <w:r w:rsidR="0025718C" w:rsidRPr="00C66F93">
        <w:t>biovolume</w:t>
      </w:r>
      <w:proofErr w:type="spellEnd"/>
      <w:r w:rsidR="0025718C" w:rsidRPr="00C66F93">
        <w:t xml:space="preserve"> &lt; 0.5 microns, </w:t>
      </w:r>
      <w:r w:rsidRPr="00C66F93">
        <w:t>and other metrics of community change</w:t>
      </w:r>
    </w:p>
    <w:p w:rsidR="002478DD" w:rsidRPr="00C66F93" w:rsidRDefault="002478DD" w:rsidP="00446A46">
      <w:pPr>
        <w:pStyle w:val="ListParagraph"/>
        <w:numPr>
          <w:ilvl w:val="0"/>
          <w:numId w:val="20"/>
        </w:numPr>
      </w:pPr>
      <w:r w:rsidRPr="00C66F93">
        <w:t>Dissolved oxygen</w:t>
      </w:r>
    </w:p>
    <w:p w:rsidR="00614DDD" w:rsidRPr="00C66F93" w:rsidRDefault="00614DDD" w:rsidP="00446A46"/>
    <w:p w:rsidR="00614DDD" w:rsidRPr="00C66F93" w:rsidRDefault="003F19A1" w:rsidP="00446A46">
      <w:r>
        <w:t xml:space="preserve">The remainder of this section </w:t>
      </w:r>
      <w:r w:rsidR="00A310DC">
        <w:t>is</w:t>
      </w:r>
      <w:r>
        <w:t xml:space="preserve"> devoted to </w:t>
      </w:r>
      <w:r w:rsidR="00A310DC">
        <w:t>analyzing</w:t>
      </w:r>
      <w:r>
        <w:t xml:space="preserve"> the</w:t>
      </w:r>
      <w:r w:rsidR="00A310DC">
        <w:t xml:space="preserve"> seven</w:t>
      </w:r>
      <w:r>
        <w:t xml:space="preserve"> undesirable states </w:t>
      </w:r>
      <w:r w:rsidR="00A310DC">
        <w:t xml:space="preserve">and the role that the </w:t>
      </w:r>
      <w:r w:rsidR="00557628">
        <w:t xml:space="preserve">six </w:t>
      </w:r>
      <w:r w:rsidR="00A310DC">
        <w:t>condition indicators can play in assessing these undesirable conditions</w:t>
      </w:r>
      <w:r>
        <w:t>.</w:t>
      </w:r>
    </w:p>
    <w:p w:rsidR="00517A28" w:rsidRPr="00C66F93" w:rsidRDefault="00517A28" w:rsidP="00446A46"/>
    <w:p w:rsidR="005F19C7" w:rsidRPr="00C66F93" w:rsidRDefault="005F19C7" w:rsidP="00446A46"/>
    <w:p w:rsidR="005F19C7" w:rsidRPr="00C66F93" w:rsidRDefault="005F19C7" w:rsidP="00446A46"/>
    <w:p w:rsidR="005F19C7" w:rsidRDefault="004255F2">
      <w:bookmarkStart w:id="34" w:name="_Toc398192172"/>
      <w:bookmarkStart w:id="35" w:name="_Toc422137397"/>
      <w:bookmarkStart w:id="36" w:name="_Toc422218416"/>
      <w:bookmarkStart w:id="37" w:name="_Toc422474277"/>
      <w:r>
        <w:rPr>
          <w:noProof/>
        </w:rPr>
        <w:lastRenderedPageBreak/>
        <mc:AlternateContent>
          <mc:Choice Requires="wps">
            <w:drawing>
              <wp:anchor distT="0" distB="0" distL="114300" distR="114300" simplePos="0" relativeHeight="251662336" behindDoc="0" locked="0" layoutInCell="1" allowOverlap="1" wp14:anchorId="75104F5A" wp14:editId="6C6044F2">
                <wp:simplePos x="0" y="0"/>
                <wp:positionH relativeFrom="column">
                  <wp:posOffset>3902075</wp:posOffset>
                </wp:positionH>
                <wp:positionV relativeFrom="paragraph">
                  <wp:posOffset>457200</wp:posOffset>
                </wp:positionV>
                <wp:extent cx="1181100" cy="2381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8125"/>
                        </a:xfrm>
                        <a:prstGeom prst="rect">
                          <a:avLst/>
                        </a:prstGeom>
                        <a:solidFill>
                          <a:schemeClr val="bg1"/>
                        </a:solidFill>
                        <a:ln w="9525">
                          <a:noFill/>
                          <a:miter lim="800000"/>
                          <a:headEnd/>
                          <a:tailEnd/>
                        </a:ln>
                      </wps:spPr>
                      <wps:txbx>
                        <w:txbxContent>
                          <w:p w:rsidR="005D6FC2" w:rsidRPr="00CF0F3E" w:rsidRDefault="005D6FC2">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25pt;margin-top:36pt;width:93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" fillcolor="white [3212]" stroked="f">
                <v:textbox>
                  <w:txbxContent>
                    <w:p w:rsidR="005D6FC2" w:rsidRPr="00CF0F3E" w:rsidRDefault="005D6FC2">
                      <w:pPr>
                        <w:rPr>
                          <w:color w:val="FFFFFF" w:themeColor="background1"/>
                        </w:rPr>
                      </w:pPr>
                    </w:p>
                  </w:txbxContent>
                </v:textbox>
              </v:shape>
            </w:pict>
          </mc:Fallback>
        </mc:AlternateContent>
      </w:r>
      <w:r w:rsidR="00921CC2">
        <w:rPr>
          <w:noProof/>
        </w:rPr>
        <mc:AlternateContent>
          <mc:Choice Requires="wps">
            <w:drawing>
              <wp:anchor distT="0" distB="0" distL="114300" distR="114300" simplePos="0" relativeHeight="251664384" behindDoc="0" locked="0" layoutInCell="1" allowOverlap="1" wp14:anchorId="62E9C911" wp14:editId="738EC3EF">
                <wp:simplePos x="0" y="0"/>
                <wp:positionH relativeFrom="column">
                  <wp:posOffset>4962525</wp:posOffset>
                </wp:positionH>
                <wp:positionV relativeFrom="paragraph">
                  <wp:posOffset>219075</wp:posOffset>
                </wp:positionV>
                <wp:extent cx="190500" cy="23812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38125"/>
                        </a:xfrm>
                        <a:prstGeom prst="rect">
                          <a:avLst/>
                        </a:prstGeom>
                        <a:solidFill>
                          <a:schemeClr val="bg1"/>
                        </a:solidFill>
                        <a:ln w="9525">
                          <a:noFill/>
                          <a:miter lim="800000"/>
                          <a:headEnd/>
                          <a:tailEnd/>
                        </a:ln>
                      </wps:spPr>
                      <wps:txbx>
                        <w:txbxContent>
                          <w:p w:rsidR="005D6FC2" w:rsidRDefault="005D6FC2" w:rsidP="00921C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0.75pt;margin-top:17.25pt;width:1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" fillcolor="white [3212]" stroked="f">
                <v:textbox>
                  <w:txbxContent>
                    <w:p w:rsidR="005D6FC2" w:rsidRDefault="005D6FC2" w:rsidP="00921CC2"/>
                  </w:txbxContent>
                </v:textbox>
              </v:shape>
            </w:pict>
          </mc:Fallback>
        </mc:AlternateContent>
      </w:r>
      <w:r w:rsidR="005F19C7" w:rsidRPr="00F35602">
        <w:rPr>
          <w:noProof/>
        </w:rPr>
        <w:drawing>
          <wp:inline distT="0" distB="0" distL="0" distR="0" wp14:anchorId="0DE1A412" wp14:editId="24600FE5">
            <wp:extent cx="5537200" cy="41896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4962" cy="4195551"/>
                    </a:xfrm>
                    <a:prstGeom prst="rect">
                      <a:avLst/>
                    </a:prstGeom>
                    <a:noFill/>
                    <a:ln>
                      <a:noFill/>
                    </a:ln>
                  </pic:spPr>
                </pic:pic>
              </a:graphicData>
            </a:graphic>
          </wp:inline>
        </w:drawing>
      </w:r>
      <w:bookmarkEnd w:id="34"/>
      <w:bookmarkEnd w:id="35"/>
      <w:bookmarkEnd w:id="36"/>
      <w:bookmarkEnd w:id="37"/>
    </w:p>
    <w:p w:rsidR="005F19C7" w:rsidRPr="00192018" w:rsidRDefault="005F19C7">
      <w:pPr>
        <w:pStyle w:val="TOF"/>
      </w:pPr>
      <w:bookmarkStart w:id="38" w:name="_Toc398192173"/>
      <w:bookmarkStart w:id="39" w:name="_Toc433370085"/>
      <w:r w:rsidRPr="00192018">
        <w:t>Figure 3.</w:t>
      </w:r>
      <w:r w:rsidR="00566F8D" w:rsidRPr="00192018">
        <w:t xml:space="preserve">2 </w:t>
      </w:r>
      <w:r w:rsidRPr="00192018">
        <w:t>Potential adverse impact pathways: linkages between anthropogenic nutrient loads and adverse ecosystem response.</w:t>
      </w:r>
      <w:r w:rsidR="00D72900">
        <w:t xml:space="preserve"> </w:t>
      </w:r>
      <w:r w:rsidRPr="00192018">
        <w:t xml:space="preserve">The shaded rectangles represent indicators that are recommended for measurement along each pathway to assess condition. From </w:t>
      </w:r>
      <w:r w:rsidR="004D659D">
        <w:t>SFEI 2014b</w:t>
      </w:r>
      <w:r w:rsidRPr="00192018">
        <w:t>).</w:t>
      </w:r>
      <w:bookmarkEnd w:id="38"/>
      <w:bookmarkEnd w:id="39"/>
      <w:r w:rsidRPr="00192018">
        <w:t xml:space="preserve"> </w:t>
      </w:r>
    </w:p>
    <w:p w:rsidR="005F19C7" w:rsidRPr="00EB668C" w:rsidRDefault="005F19C7" w:rsidP="00446A46">
      <w:pPr>
        <w:spacing w:line="276" w:lineRule="auto"/>
        <w:rPr>
          <w:rFonts w:asciiTheme="minorHAnsi" w:hAnsiTheme="minorHAnsi" w:cstheme="minorHAnsi"/>
        </w:rPr>
      </w:pPr>
    </w:p>
    <w:p w:rsidR="00977374" w:rsidRDefault="005F19C7">
      <w:pPr>
        <w:pStyle w:val="TOT"/>
        <w:rPr>
          <w:rFonts w:asciiTheme="minorHAnsi" w:hAnsiTheme="minorHAnsi" w:cstheme="minorHAnsi"/>
        </w:rPr>
      </w:pPr>
      <w:r w:rsidRPr="00062562">
        <w:rPr>
          <w:rFonts w:asciiTheme="minorHAnsi" w:hAnsiTheme="minorHAnsi" w:cstheme="minorHAnsi"/>
        </w:rPr>
        <w:t xml:space="preserve"> </w:t>
      </w:r>
      <w:bookmarkStart w:id="40" w:name="_Toc398192233"/>
    </w:p>
    <w:p w:rsidR="00977374" w:rsidRDefault="00977374">
      <w:pPr>
        <w:rPr>
          <w:rFonts w:asciiTheme="minorHAnsi" w:hAnsiTheme="minorHAnsi" w:cstheme="minorHAnsi"/>
          <w:b/>
          <w:caps/>
          <w:smallCaps/>
          <w:sz w:val="20"/>
          <w:szCs w:val="22"/>
          <w:lang w:bidi="en-US"/>
        </w:rPr>
      </w:pPr>
      <w:r>
        <w:rPr>
          <w:rFonts w:asciiTheme="minorHAnsi" w:hAnsiTheme="minorHAnsi" w:cstheme="minorHAnsi"/>
        </w:rPr>
        <w:br w:type="page"/>
      </w:r>
    </w:p>
    <w:p w:rsidR="00977374" w:rsidRDefault="005F19C7">
      <w:pPr>
        <w:pStyle w:val="TOT"/>
        <w:rPr>
          <w:caps w:val="0"/>
          <w:smallCaps w:val="0"/>
        </w:rPr>
      </w:pPr>
      <w:bookmarkStart w:id="41" w:name="_Toc440224073"/>
      <w:r w:rsidRPr="00192018">
        <w:rPr>
          <w:caps w:val="0"/>
          <w:smallCaps w:val="0"/>
        </w:rPr>
        <w:lastRenderedPageBreak/>
        <w:t>Table 3.2 Plausible undesirable states and link to beneficial uses</w:t>
      </w:r>
      <w:bookmarkEnd w:id="40"/>
      <w:r w:rsidR="00974352" w:rsidRPr="00192018">
        <w:rPr>
          <w:caps w:val="0"/>
          <w:smallCaps w:val="0"/>
        </w:rPr>
        <w:t xml:space="preserve"> (</w:t>
      </w:r>
      <w:r w:rsidR="00B20191">
        <w:rPr>
          <w:caps w:val="0"/>
          <w:smallCaps w:val="0"/>
        </w:rPr>
        <w:t xml:space="preserve">adapted </w:t>
      </w:r>
      <w:r w:rsidR="00974352" w:rsidRPr="00192018">
        <w:rPr>
          <w:caps w:val="0"/>
          <w:smallCaps w:val="0"/>
        </w:rPr>
        <w:t>from</w:t>
      </w:r>
      <w:r w:rsidR="004D659D">
        <w:rPr>
          <w:caps w:val="0"/>
          <w:smallCaps w:val="0"/>
        </w:rPr>
        <w:t xml:space="preserve"> SFEI</w:t>
      </w:r>
      <w:r w:rsidR="00974352" w:rsidRPr="00192018">
        <w:rPr>
          <w:caps w:val="0"/>
          <w:smallCaps w:val="0"/>
        </w:rPr>
        <w:t xml:space="preserve"> 2014</w:t>
      </w:r>
      <w:r w:rsidR="004D659D">
        <w:rPr>
          <w:caps w:val="0"/>
          <w:smallCaps w:val="0"/>
        </w:rPr>
        <w:t>b</w:t>
      </w:r>
      <w:r w:rsidR="00974352" w:rsidRPr="00192018">
        <w:rPr>
          <w:caps w:val="0"/>
          <w:smallCaps w:val="0"/>
        </w:rPr>
        <w:t>).</w:t>
      </w:r>
      <w:bookmarkEnd w:id="41"/>
    </w:p>
    <w:tbl>
      <w:tblPr>
        <w:tblStyle w:val="TableGrid"/>
        <w:tblpPr w:leftFromText="180" w:rightFromText="180" w:vertAnchor="page" w:horzAnchor="page" w:tblpX="1364" w:tblpY="1801"/>
        <w:tblW w:w="9715" w:type="dxa"/>
        <w:tblCellMar>
          <w:left w:w="115" w:type="dxa"/>
          <w:right w:w="115" w:type="dxa"/>
        </w:tblCellMar>
        <w:tblLook w:val="04A0" w:firstRow="1" w:lastRow="0" w:firstColumn="1" w:lastColumn="0" w:noHBand="0" w:noVBand="1"/>
      </w:tblPr>
      <w:tblGrid>
        <w:gridCol w:w="4765"/>
        <w:gridCol w:w="4950"/>
      </w:tblGrid>
      <w:tr w:rsidR="005F19C7" w:rsidRPr="00F00B5F" w:rsidTr="006D1153">
        <w:trPr>
          <w:tblHeader/>
        </w:trPr>
        <w:tc>
          <w:tcPr>
            <w:tcW w:w="4765" w:type="dxa"/>
          </w:tcPr>
          <w:p w:rsidR="005F19C7" w:rsidRPr="00F00B5F" w:rsidRDefault="005F19C7" w:rsidP="00446A46">
            <w:pPr>
              <w:spacing w:line="276" w:lineRule="auto"/>
              <w:rPr>
                <w:rFonts w:ascii="Arial" w:hAnsi="Arial" w:cs="Arial"/>
                <w:b/>
                <w:sz w:val="18"/>
                <w:szCs w:val="18"/>
              </w:rPr>
            </w:pPr>
            <w:r w:rsidRPr="00F00B5F">
              <w:rPr>
                <w:rFonts w:ascii="Arial" w:hAnsi="Arial" w:cs="Arial"/>
                <w:b/>
                <w:sz w:val="18"/>
                <w:szCs w:val="18"/>
              </w:rPr>
              <w:t>Undesirable State (S)</w:t>
            </w:r>
          </w:p>
        </w:tc>
        <w:tc>
          <w:tcPr>
            <w:tcW w:w="4950" w:type="dxa"/>
          </w:tcPr>
          <w:p w:rsidR="005F19C7" w:rsidRPr="00F00B5F" w:rsidRDefault="005F19C7" w:rsidP="00446A46">
            <w:pPr>
              <w:spacing w:line="276" w:lineRule="auto"/>
              <w:rPr>
                <w:rFonts w:ascii="Arial" w:hAnsi="Arial" w:cs="Arial"/>
                <w:b/>
                <w:sz w:val="18"/>
                <w:szCs w:val="18"/>
              </w:rPr>
            </w:pPr>
            <w:r w:rsidRPr="00F00B5F">
              <w:rPr>
                <w:rFonts w:ascii="Arial" w:hAnsi="Arial" w:cs="Arial"/>
                <w:b/>
                <w:sz w:val="18"/>
                <w:szCs w:val="18"/>
              </w:rPr>
              <w:t>Rationale or Link to Beneficial Uses</w:t>
            </w:r>
          </w:p>
        </w:tc>
      </w:tr>
      <w:tr w:rsidR="005F19C7" w:rsidRPr="00F00B5F" w:rsidTr="006D1153">
        <w:trPr>
          <w:trHeight w:val="1043"/>
        </w:trPr>
        <w:tc>
          <w:tcPr>
            <w:tcW w:w="4765" w:type="dxa"/>
            <w:vAlign w:val="center"/>
          </w:tcPr>
          <w:p w:rsidR="00517A28" w:rsidRPr="00F00B5F" w:rsidRDefault="005F19C7" w:rsidP="00B747E5">
            <w:pPr>
              <w:spacing w:line="276" w:lineRule="auto"/>
              <w:rPr>
                <w:rFonts w:ascii="Arial" w:hAnsi="Arial" w:cs="Arial"/>
                <w:b/>
                <w:sz w:val="18"/>
                <w:szCs w:val="18"/>
              </w:rPr>
            </w:pPr>
            <w:r w:rsidRPr="00F00B5F">
              <w:rPr>
                <w:rFonts w:ascii="Arial" w:hAnsi="Arial" w:cs="Arial"/>
                <w:b/>
                <w:sz w:val="18"/>
                <w:szCs w:val="18"/>
              </w:rPr>
              <w:t>S1. High Phytoplankton Biomass and Productivity</w:t>
            </w:r>
          </w:p>
          <w:p w:rsidR="005F19C7" w:rsidRPr="00F00B5F" w:rsidRDefault="005F19C7" w:rsidP="00B747E5">
            <w:pPr>
              <w:spacing w:line="276" w:lineRule="auto"/>
              <w:rPr>
                <w:rFonts w:ascii="Arial" w:hAnsi="Arial" w:cs="Arial"/>
                <w:sz w:val="18"/>
                <w:szCs w:val="18"/>
              </w:rPr>
            </w:pPr>
            <w:r w:rsidRPr="00F00B5F">
              <w:rPr>
                <w:rFonts w:ascii="Arial" w:hAnsi="Arial" w:cs="Arial"/>
                <w:sz w:val="18"/>
                <w:szCs w:val="18"/>
              </w:rPr>
              <w:t xml:space="preserve">High phytoplankton biomass and productivity of sufficient magnitude, duration, and spatial extent that it impairs beneficial uses due to direct or indirect effects (S2-S3). This could occur in deep </w:t>
            </w:r>
            <w:proofErr w:type="spellStart"/>
            <w:r w:rsidRPr="00F00B5F">
              <w:rPr>
                <w:rFonts w:ascii="Arial" w:hAnsi="Arial" w:cs="Arial"/>
                <w:sz w:val="18"/>
                <w:szCs w:val="18"/>
              </w:rPr>
              <w:t>subtidal</w:t>
            </w:r>
            <w:proofErr w:type="spellEnd"/>
            <w:r w:rsidRPr="00F00B5F">
              <w:rPr>
                <w:rFonts w:ascii="Arial" w:hAnsi="Arial" w:cs="Arial"/>
                <w:sz w:val="18"/>
                <w:szCs w:val="18"/>
              </w:rPr>
              <w:t xml:space="preserve"> or in shallow </w:t>
            </w:r>
            <w:proofErr w:type="spellStart"/>
            <w:r w:rsidRPr="00F00B5F">
              <w:rPr>
                <w:rFonts w:ascii="Arial" w:hAnsi="Arial" w:cs="Arial"/>
                <w:sz w:val="18"/>
                <w:szCs w:val="18"/>
              </w:rPr>
              <w:t>subtidal</w:t>
            </w:r>
            <w:proofErr w:type="spellEnd"/>
            <w:r w:rsidRPr="00F00B5F">
              <w:rPr>
                <w:rFonts w:ascii="Arial" w:hAnsi="Arial" w:cs="Arial"/>
                <w:sz w:val="18"/>
                <w:szCs w:val="18"/>
              </w:rPr>
              <w:t xml:space="preserve"> areas.</w:t>
            </w:r>
          </w:p>
        </w:tc>
        <w:tc>
          <w:tcPr>
            <w:tcW w:w="4950" w:type="dxa"/>
            <w:vAlign w:val="center"/>
          </w:tcPr>
          <w:p w:rsidR="005F19C7" w:rsidRPr="00F00B5F" w:rsidRDefault="0041785A" w:rsidP="00B20191">
            <w:pPr>
              <w:spacing w:line="276" w:lineRule="auto"/>
              <w:rPr>
                <w:rFonts w:ascii="Arial" w:hAnsi="Arial" w:cs="Arial"/>
                <w:sz w:val="18"/>
                <w:szCs w:val="18"/>
              </w:rPr>
            </w:pPr>
            <w:r>
              <w:rPr>
                <w:rFonts w:ascii="Arial" w:hAnsi="Arial" w:cs="Arial"/>
                <w:sz w:val="18"/>
                <w:szCs w:val="18"/>
              </w:rPr>
              <w:t xml:space="preserve">Direct effects on </w:t>
            </w:r>
            <w:r w:rsidR="00B20191">
              <w:rPr>
                <w:rFonts w:ascii="Arial" w:hAnsi="Arial" w:cs="Arial"/>
                <w:sz w:val="18"/>
                <w:szCs w:val="18"/>
              </w:rPr>
              <w:t>noncontact water</w:t>
            </w:r>
            <w:r>
              <w:rPr>
                <w:rFonts w:ascii="Arial" w:hAnsi="Arial" w:cs="Arial"/>
                <w:sz w:val="18"/>
                <w:szCs w:val="18"/>
              </w:rPr>
              <w:t xml:space="preserve"> recreation (</w:t>
            </w:r>
            <w:r w:rsidR="005F19C7" w:rsidRPr="00F00B5F">
              <w:rPr>
                <w:rFonts w:ascii="Arial" w:hAnsi="Arial" w:cs="Arial"/>
                <w:sz w:val="18"/>
                <w:szCs w:val="18"/>
              </w:rPr>
              <w:t>REC2</w:t>
            </w:r>
            <w:r>
              <w:rPr>
                <w:rFonts w:ascii="Arial" w:hAnsi="Arial" w:cs="Arial"/>
                <w:sz w:val="18"/>
                <w:szCs w:val="18"/>
              </w:rPr>
              <w:t>)</w:t>
            </w:r>
            <w:r w:rsidR="005F19C7" w:rsidRPr="00F00B5F">
              <w:rPr>
                <w:rFonts w:ascii="Arial" w:hAnsi="Arial" w:cs="Arial"/>
                <w:sz w:val="18"/>
                <w:szCs w:val="18"/>
              </w:rPr>
              <w:t xml:space="preserve"> due to aesthetics via odors and surface scum. Other main concern is through increased organic matter accumulation causing low dissolved oxygen (S2-S3) and proliferation of pathogenic bacteria, leading to degraded</w:t>
            </w:r>
            <w:r>
              <w:rPr>
                <w:rFonts w:ascii="Arial" w:hAnsi="Arial" w:cs="Arial"/>
                <w:sz w:val="18"/>
                <w:szCs w:val="18"/>
              </w:rPr>
              <w:t xml:space="preserve"> contact</w:t>
            </w:r>
            <w:r w:rsidR="005F19C7" w:rsidRPr="00F00B5F">
              <w:rPr>
                <w:rFonts w:ascii="Arial" w:hAnsi="Arial" w:cs="Arial"/>
                <w:sz w:val="18"/>
                <w:szCs w:val="18"/>
              </w:rPr>
              <w:t xml:space="preserve"> </w:t>
            </w:r>
            <w:r w:rsidR="00B20191">
              <w:rPr>
                <w:rFonts w:ascii="Arial" w:hAnsi="Arial" w:cs="Arial"/>
                <w:sz w:val="18"/>
                <w:szCs w:val="18"/>
              </w:rPr>
              <w:t>and non</w:t>
            </w:r>
            <w:r w:rsidR="005F19C7" w:rsidRPr="00F00B5F">
              <w:rPr>
                <w:rFonts w:ascii="Arial" w:hAnsi="Arial" w:cs="Arial"/>
                <w:sz w:val="18"/>
                <w:szCs w:val="18"/>
              </w:rPr>
              <w:t xml:space="preserve">contact </w:t>
            </w:r>
            <w:r w:rsidR="00B20191">
              <w:rPr>
                <w:rFonts w:ascii="Arial" w:hAnsi="Arial" w:cs="Arial"/>
                <w:sz w:val="18"/>
                <w:szCs w:val="18"/>
              </w:rPr>
              <w:t xml:space="preserve">water </w:t>
            </w:r>
            <w:r w:rsidR="005F19C7" w:rsidRPr="00F00B5F">
              <w:rPr>
                <w:rFonts w:ascii="Arial" w:hAnsi="Arial" w:cs="Arial"/>
                <w:sz w:val="18"/>
                <w:szCs w:val="18"/>
              </w:rPr>
              <w:t>recreation (REC1 and REC2).</w:t>
            </w:r>
          </w:p>
        </w:tc>
      </w:tr>
      <w:tr w:rsidR="00517A28" w:rsidRPr="00F00B5F" w:rsidTr="006D1153">
        <w:trPr>
          <w:cantSplit/>
          <w:trHeight w:val="1844"/>
        </w:trPr>
        <w:tc>
          <w:tcPr>
            <w:tcW w:w="4765" w:type="dxa"/>
            <w:vAlign w:val="center"/>
          </w:tcPr>
          <w:p w:rsidR="00517A28" w:rsidRPr="00F00B5F" w:rsidRDefault="00517A28" w:rsidP="00B747E5">
            <w:pPr>
              <w:spacing w:line="276" w:lineRule="auto"/>
              <w:rPr>
                <w:rFonts w:ascii="Arial" w:hAnsi="Arial" w:cs="Arial"/>
                <w:b/>
                <w:sz w:val="18"/>
                <w:szCs w:val="18"/>
              </w:rPr>
            </w:pPr>
            <w:r w:rsidRPr="00F00B5F">
              <w:rPr>
                <w:rFonts w:ascii="Arial" w:hAnsi="Arial" w:cs="Arial"/>
                <w:b/>
                <w:sz w:val="18"/>
                <w:szCs w:val="18"/>
              </w:rPr>
              <w:t xml:space="preserve">S2 and S3. </w:t>
            </w:r>
            <w:r w:rsidR="00A310DC">
              <w:rPr>
                <w:rFonts w:ascii="Arial" w:hAnsi="Arial" w:cs="Arial"/>
                <w:b/>
                <w:sz w:val="18"/>
                <w:szCs w:val="18"/>
              </w:rPr>
              <w:t xml:space="preserve">Low </w:t>
            </w:r>
            <w:r w:rsidRPr="00F00B5F">
              <w:rPr>
                <w:rFonts w:ascii="Arial" w:hAnsi="Arial" w:cs="Arial"/>
                <w:b/>
                <w:sz w:val="18"/>
                <w:szCs w:val="18"/>
              </w:rPr>
              <w:t xml:space="preserve">Dissolved Oxygen </w:t>
            </w:r>
          </w:p>
          <w:p w:rsidR="00517A28" w:rsidRPr="00F00B5F" w:rsidRDefault="00517A28" w:rsidP="00B747E5">
            <w:pPr>
              <w:spacing w:line="276" w:lineRule="auto"/>
              <w:rPr>
                <w:rFonts w:ascii="Arial" w:hAnsi="Arial" w:cs="Arial"/>
                <w:sz w:val="18"/>
                <w:szCs w:val="18"/>
              </w:rPr>
            </w:pPr>
            <w:r w:rsidRPr="00446A46">
              <w:rPr>
                <w:rFonts w:ascii="Arial" w:hAnsi="Arial" w:cs="Arial"/>
                <w:b/>
                <w:i/>
                <w:sz w:val="18"/>
                <w:szCs w:val="18"/>
              </w:rPr>
              <w:t xml:space="preserve">Deep </w:t>
            </w:r>
            <w:proofErr w:type="spellStart"/>
            <w:r w:rsidRPr="00446A46">
              <w:rPr>
                <w:rFonts w:ascii="Arial" w:hAnsi="Arial" w:cs="Arial"/>
                <w:b/>
                <w:i/>
                <w:sz w:val="18"/>
                <w:szCs w:val="18"/>
              </w:rPr>
              <w:t>subtidal</w:t>
            </w:r>
            <w:proofErr w:type="spellEnd"/>
            <w:r w:rsidR="00270195">
              <w:rPr>
                <w:rFonts w:ascii="Arial" w:hAnsi="Arial" w:cs="Arial"/>
                <w:b/>
                <w:i/>
                <w:sz w:val="18"/>
                <w:szCs w:val="18"/>
              </w:rPr>
              <w:t>:</w:t>
            </w:r>
            <w:r w:rsidRPr="00F00B5F">
              <w:rPr>
                <w:rFonts w:ascii="Arial" w:hAnsi="Arial" w:cs="Arial"/>
                <w:sz w:val="18"/>
                <w:szCs w:val="18"/>
              </w:rPr>
              <w:t xml:space="preserve"> Low DO in deep </w:t>
            </w:r>
            <w:proofErr w:type="spellStart"/>
            <w:r w:rsidRPr="00F00B5F">
              <w:rPr>
                <w:rFonts w:ascii="Arial" w:hAnsi="Arial" w:cs="Arial"/>
                <w:sz w:val="18"/>
                <w:szCs w:val="18"/>
              </w:rPr>
              <w:t>subtidal</w:t>
            </w:r>
            <w:proofErr w:type="spellEnd"/>
            <w:r w:rsidRPr="00F00B5F">
              <w:rPr>
                <w:rFonts w:ascii="Arial" w:hAnsi="Arial" w:cs="Arial"/>
                <w:sz w:val="18"/>
                <w:szCs w:val="18"/>
              </w:rPr>
              <w:t xml:space="preserve"> areas of the Bay, over a large enough area and below some threshold for a long enough period of time that beneficial uses are </w:t>
            </w:r>
            <w:r w:rsidR="00122E5D">
              <w:rPr>
                <w:rFonts w:ascii="Arial" w:hAnsi="Arial" w:cs="Arial"/>
                <w:sz w:val="18"/>
                <w:szCs w:val="18"/>
              </w:rPr>
              <w:t>adversely affected</w:t>
            </w:r>
            <w:r w:rsidRPr="00F00B5F">
              <w:rPr>
                <w:rFonts w:ascii="Arial" w:hAnsi="Arial" w:cs="Arial"/>
                <w:sz w:val="18"/>
                <w:szCs w:val="18"/>
              </w:rPr>
              <w:t xml:space="preserve">. </w:t>
            </w:r>
          </w:p>
          <w:p w:rsidR="00517A28" w:rsidRPr="00F00B5F" w:rsidRDefault="00517A28" w:rsidP="00B747E5">
            <w:pPr>
              <w:spacing w:line="276" w:lineRule="auto"/>
              <w:rPr>
                <w:rFonts w:ascii="Arial" w:hAnsi="Arial" w:cs="Arial"/>
                <w:b/>
                <w:sz w:val="18"/>
                <w:szCs w:val="18"/>
              </w:rPr>
            </w:pPr>
          </w:p>
          <w:p w:rsidR="00517A28" w:rsidRPr="00F00B5F" w:rsidRDefault="00517A28" w:rsidP="00B747E5">
            <w:pPr>
              <w:spacing w:line="276" w:lineRule="auto"/>
              <w:rPr>
                <w:rFonts w:ascii="Arial" w:hAnsi="Arial" w:cs="Arial"/>
                <w:b/>
                <w:sz w:val="18"/>
                <w:szCs w:val="18"/>
              </w:rPr>
            </w:pPr>
            <w:r w:rsidRPr="00446A46">
              <w:rPr>
                <w:rFonts w:ascii="Arial" w:hAnsi="Arial" w:cs="Arial"/>
                <w:b/>
                <w:i/>
                <w:sz w:val="18"/>
                <w:szCs w:val="18"/>
              </w:rPr>
              <w:t>Shallow/margin habitats</w:t>
            </w:r>
            <w:r w:rsidRPr="00F00B5F">
              <w:rPr>
                <w:rFonts w:ascii="Arial" w:hAnsi="Arial" w:cs="Arial"/>
                <w:sz w:val="18"/>
                <w:szCs w:val="18"/>
              </w:rPr>
              <w:t>: DO in shallow/margin habitats below some threshold, and beyond what would be considered “natural” for that habitat, for a period of time that it impairs beneficial uses</w:t>
            </w:r>
            <w:r w:rsidR="00270195">
              <w:rPr>
                <w:rFonts w:ascii="Arial" w:hAnsi="Arial" w:cs="Arial"/>
                <w:sz w:val="18"/>
                <w:szCs w:val="18"/>
              </w:rPr>
              <w:t>.</w:t>
            </w:r>
          </w:p>
        </w:tc>
        <w:tc>
          <w:tcPr>
            <w:tcW w:w="4950" w:type="dxa"/>
            <w:vAlign w:val="center"/>
          </w:tcPr>
          <w:p w:rsidR="00517A28" w:rsidRPr="00F00B5F" w:rsidRDefault="00517A28" w:rsidP="00122E5D">
            <w:pPr>
              <w:spacing w:line="276" w:lineRule="auto"/>
              <w:rPr>
                <w:rFonts w:ascii="Arial" w:hAnsi="Arial" w:cs="Arial"/>
                <w:sz w:val="18"/>
                <w:szCs w:val="18"/>
              </w:rPr>
            </w:pPr>
            <w:r w:rsidRPr="00F00B5F">
              <w:rPr>
                <w:rFonts w:ascii="Arial" w:hAnsi="Arial" w:cs="Arial"/>
                <w:sz w:val="18"/>
                <w:szCs w:val="18"/>
              </w:rPr>
              <w:t xml:space="preserve">Fish kills, die-off of beneficial benthos, loss of critical habitat that </w:t>
            </w:r>
            <w:proofErr w:type="gramStart"/>
            <w:r w:rsidRPr="00F00B5F">
              <w:rPr>
                <w:rFonts w:ascii="Arial" w:hAnsi="Arial" w:cs="Arial"/>
                <w:sz w:val="18"/>
                <w:szCs w:val="18"/>
              </w:rPr>
              <w:t>result</w:t>
            </w:r>
            <w:proofErr w:type="gramEnd"/>
            <w:r w:rsidRPr="00F00B5F">
              <w:rPr>
                <w:rFonts w:ascii="Arial" w:hAnsi="Arial" w:cs="Arial"/>
                <w:sz w:val="18"/>
                <w:szCs w:val="18"/>
              </w:rPr>
              <w:t xml:space="preserve"> in lowered survival or spawning/reproductive success or recruitment success of fish and beneficial benthos. </w:t>
            </w:r>
            <w:proofErr w:type="gramStart"/>
            <w:r w:rsidR="00122E5D">
              <w:rPr>
                <w:rFonts w:ascii="Arial" w:hAnsi="Arial" w:cs="Arial"/>
                <w:sz w:val="18"/>
                <w:szCs w:val="18"/>
              </w:rPr>
              <w:t>These consequences directly affects</w:t>
            </w:r>
            <w:proofErr w:type="gramEnd"/>
            <w:r w:rsidRPr="00F00B5F">
              <w:rPr>
                <w:rFonts w:ascii="Arial" w:hAnsi="Arial" w:cs="Arial"/>
                <w:sz w:val="18"/>
                <w:szCs w:val="18"/>
              </w:rPr>
              <w:t xml:space="preserve"> EST, RARE, </w:t>
            </w:r>
            <w:r w:rsidR="00122E5D">
              <w:rPr>
                <w:rFonts w:ascii="Arial" w:hAnsi="Arial" w:cs="Arial"/>
                <w:sz w:val="18"/>
                <w:szCs w:val="18"/>
              </w:rPr>
              <w:t>etc.</w:t>
            </w:r>
            <w:r w:rsidRPr="00F00B5F">
              <w:rPr>
                <w:rFonts w:ascii="Arial" w:hAnsi="Arial" w:cs="Arial"/>
                <w:sz w:val="18"/>
                <w:szCs w:val="18"/>
              </w:rPr>
              <w:t xml:space="preserve"> beneficial uses.</w:t>
            </w:r>
          </w:p>
        </w:tc>
      </w:tr>
      <w:tr w:rsidR="005F19C7" w:rsidRPr="00F00B5F" w:rsidTr="006D1153">
        <w:trPr>
          <w:trHeight w:val="818"/>
        </w:trPr>
        <w:tc>
          <w:tcPr>
            <w:tcW w:w="4765" w:type="dxa"/>
            <w:vAlign w:val="center"/>
          </w:tcPr>
          <w:p w:rsidR="00517A28" w:rsidRPr="00F00B5F" w:rsidRDefault="005F19C7" w:rsidP="00B747E5">
            <w:pPr>
              <w:spacing w:line="276" w:lineRule="auto"/>
              <w:rPr>
                <w:rFonts w:ascii="Arial" w:hAnsi="Arial" w:cs="Arial"/>
                <w:b/>
                <w:sz w:val="18"/>
                <w:szCs w:val="18"/>
              </w:rPr>
            </w:pPr>
            <w:r w:rsidRPr="00F00B5F">
              <w:rPr>
                <w:rFonts w:ascii="Arial" w:hAnsi="Arial" w:cs="Arial"/>
                <w:b/>
                <w:sz w:val="18"/>
                <w:szCs w:val="18"/>
              </w:rPr>
              <w:t>S4. HAB</w:t>
            </w:r>
            <w:r w:rsidR="00517A28" w:rsidRPr="00F00B5F">
              <w:rPr>
                <w:rFonts w:ascii="Arial" w:hAnsi="Arial" w:cs="Arial"/>
                <w:b/>
                <w:sz w:val="18"/>
                <w:szCs w:val="18"/>
              </w:rPr>
              <w:t xml:space="preserve"> Abundance </w:t>
            </w:r>
            <w:r w:rsidRPr="00F00B5F">
              <w:rPr>
                <w:rFonts w:ascii="Arial" w:hAnsi="Arial" w:cs="Arial"/>
                <w:b/>
                <w:sz w:val="18"/>
                <w:szCs w:val="18"/>
              </w:rPr>
              <w:t xml:space="preserve">and </w:t>
            </w:r>
            <w:r w:rsidR="00270195">
              <w:rPr>
                <w:rFonts w:ascii="Arial" w:hAnsi="Arial" w:cs="Arial"/>
                <w:b/>
                <w:sz w:val="18"/>
                <w:szCs w:val="18"/>
              </w:rPr>
              <w:t>A</w:t>
            </w:r>
            <w:r w:rsidRPr="00F00B5F">
              <w:rPr>
                <w:rFonts w:ascii="Arial" w:hAnsi="Arial" w:cs="Arial"/>
                <w:b/>
                <w:sz w:val="18"/>
                <w:szCs w:val="18"/>
              </w:rPr>
              <w:t xml:space="preserve">lgal </w:t>
            </w:r>
            <w:r w:rsidR="00270195">
              <w:rPr>
                <w:rFonts w:ascii="Arial" w:hAnsi="Arial" w:cs="Arial"/>
                <w:b/>
                <w:sz w:val="18"/>
                <w:szCs w:val="18"/>
              </w:rPr>
              <w:t>T</w:t>
            </w:r>
            <w:r w:rsidRPr="00F00B5F">
              <w:rPr>
                <w:rFonts w:ascii="Arial" w:hAnsi="Arial" w:cs="Arial"/>
                <w:b/>
                <w:sz w:val="18"/>
                <w:szCs w:val="18"/>
              </w:rPr>
              <w:t>oxins</w:t>
            </w:r>
          </w:p>
          <w:p w:rsidR="00557628" w:rsidRDefault="00557628" w:rsidP="00270195">
            <w:pPr>
              <w:spacing w:line="276" w:lineRule="auto"/>
              <w:rPr>
                <w:rFonts w:ascii="Arial" w:hAnsi="Arial" w:cs="Arial"/>
                <w:b/>
                <w:bCs/>
                <w:sz w:val="18"/>
                <w:szCs w:val="18"/>
              </w:rPr>
            </w:pPr>
            <w:r w:rsidRPr="00446A46">
              <w:rPr>
                <w:rFonts w:ascii="Arial" w:hAnsi="Arial" w:cs="Arial"/>
                <w:b/>
                <w:i/>
                <w:sz w:val="18"/>
                <w:szCs w:val="18"/>
              </w:rPr>
              <w:t>HABs and toxins:</w:t>
            </w:r>
            <w:r w:rsidR="00446A46">
              <w:rPr>
                <w:rFonts w:ascii="Arial" w:hAnsi="Arial" w:cs="Arial"/>
                <w:b/>
                <w:i/>
                <w:sz w:val="18"/>
                <w:szCs w:val="18"/>
              </w:rPr>
              <w:t xml:space="preserve"> </w:t>
            </w:r>
            <w:r w:rsidR="005F19C7" w:rsidRPr="00F00B5F">
              <w:rPr>
                <w:rFonts w:ascii="Arial" w:hAnsi="Arial" w:cs="Arial"/>
                <w:sz w:val="18"/>
                <w:szCs w:val="18"/>
              </w:rPr>
              <w:t>Occurrence of HABs and/or related toxins at sufficient frequency or magnitude of events that habitats reach an impaired state, either in the source areas or in areas to which toxins are transported.</w:t>
            </w:r>
            <w:r w:rsidR="005F19C7" w:rsidRPr="00F00B5F">
              <w:rPr>
                <w:rFonts w:ascii="Arial" w:hAnsi="Arial" w:cs="Arial"/>
                <w:b/>
                <w:bCs/>
                <w:sz w:val="18"/>
                <w:szCs w:val="18"/>
              </w:rPr>
              <w:t xml:space="preserve"> </w:t>
            </w:r>
          </w:p>
          <w:p w:rsidR="005F19C7" w:rsidRPr="00F00B5F" w:rsidRDefault="005F19C7" w:rsidP="00270195">
            <w:pPr>
              <w:spacing w:line="276" w:lineRule="auto"/>
              <w:rPr>
                <w:rFonts w:ascii="Arial" w:hAnsi="Arial" w:cs="Arial"/>
                <w:b/>
                <w:bCs/>
                <w:sz w:val="18"/>
                <w:szCs w:val="18"/>
              </w:rPr>
            </w:pPr>
            <w:r w:rsidRPr="00446A46">
              <w:rPr>
                <w:rFonts w:ascii="Arial" w:hAnsi="Arial" w:cs="Arial"/>
                <w:b/>
                <w:bCs/>
                <w:i/>
                <w:sz w:val="18"/>
                <w:szCs w:val="18"/>
              </w:rPr>
              <w:t>NABs:</w:t>
            </w:r>
            <w:r w:rsidRPr="00F00B5F">
              <w:rPr>
                <w:rFonts w:ascii="Arial" w:hAnsi="Arial" w:cs="Arial"/>
                <w:b/>
                <w:bCs/>
                <w:sz w:val="18"/>
                <w:szCs w:val="18"/>
              </w:rPr>
              <w:t xml:space="preserve"> </w:t>
            </w:r>
            <w:r w:rsidRPr="00F00B5F">
              <w:rPr>
                <w:rFonts w:ascii="Arial" w:hAnsi="Arial" w:cs="Arial"/>
                <w:sz w:val="18"/>
                <w:szCs w:val="18"/>
              </w:rPr>
              <w:t>Occurrence of nuisance algal blooms with sufficient frequency and magnitude that they impair beneficial uses</w:t>
            </w:r>
            <w:r w:rsidR="00270195">
              <w:rPr>
                <w:rFonts w:ascii="Arial" w:hAnsi="Arial" w:cs="Arial"/>
                <w:sz w:val="18"/>
                <w:szCs w:val="18"/>
              </w:rPr>
              <w:t>;</w:t>
            </w:r>
            <w:r w:rsidRPr="00F00B5F">
              <w:rPr>
                <w:rFonts w:ascii="Arial" w:hAnsi="Arial" w:cs="Arial"/>
                <w:sz w:val="18"/>
                <w:szCs w:val="18"/>
              </w:rPr>
              <w:t xml:space="preserve"> for example</w:t>
            </w:r>
            <w:r w:rsidR="00270195">
              <w:rPr>
                <w:rFonts w:ascii="Arial" w:hAnsi="Arial" w:cs="Arial"/>
                <w:sz w:val="18"/>
                <w:szCs w:val="18"/>
              </w:rPr>
              <w:t>,</w:t>
            </w:r>
            <w:r w:rsidRPr="00F00B5F">
              <w:rPr>
                <w:rFonts w:ascii="Arial" w:hAnsi="Arial" w:cs="Arial"/>
                <w:sz w:val="18"/>
                <w:szCs w:val="18"/>
              </w:rPr>
              <w:t xml:space="preserve"> similar to the red tide bloom in Spring 2004</w:t>
            </w:r>
          </w:p>
        </w:tc>
        <w:tc>
          <w:tcPr>
            <w:tcW w:w="4950" w:type="dxa"/>
            <w:vAlign w:val="center"/>
          </w:tcPr>
          <w:p w:rsidR="00557628" w:rsidRDefault="005F19C7" w:rsidP="00B747E5">
            <w:pPr>
              <w:spacing w:line="276" w:lineRule="auto"/>
              <w:rPr>
                <w:rFonts w:ascii="Arial" w:hAnsi="Arial" w:cs="Arial"/>
                <w:sz w:val="18"/>
                <w:szCs w:val="18"/>
              </w:rPr>
            </w:pPr>
            <w:r w:rsidRPr="00446A46">
              <w:rPr>
                <w:rFonts w:ascii="Arial" w:hAnsi="Arial" w:cs="Arial"/>
                <w:b/>
                <w:i/>
                <w:sz w:val="18"/>
                <w:szCs w:val="18"/>
              </w:rPr>
              <w:t>HABs and toxins</w:t>
            </w:r>
            <w:r w:rsidRPr="00446A46">
              <w:rPr>
                <w:rFonts w:ascii="Arial" w:hAnsi="Arial" w:cs="Arial"/>
                <w:b/>
                <w:sz w:val="18"/>
                <w:szCs w:val="18"/>
              </w:rPr>
              <w:t xml:space="preserve">: </w:t>
            </w:r>
            <w:r w:rsidRPr="00F00B5F">
              <w:rPr>
                <w:rFonts w:ascii="Arial" w:hAnsi="Arial" w:cs="Arial"/>
                <w:sz w:val="18"/>
                <w:szCs w:val="18"/>
              </w:rPr>
              <w:t>Passive or active uptake of toxins, or ingestion of HAB-forming species and accumulation of toxins.</w:t>
            </w:r>
            <w:r w:rsidR="00D72900" w:rsidRPr="00F00B5F">
              <w:rPr>
                <w:rFonts w:ascii="Arial" w:hAnsi="Arial" w:cs="Arial"/>
                <w:sz w:val="18"/>
                <w:szCs w:val="18"/>
              </w:rPr>
              <w:t xml:space="preserve"> </w:t>
            </w:r>
            <w:r w:rsidRPr="00F00B5F">
              <w:rPr>
                <w:rFonts w:ascii="Arial" w:hAnsi="Arial" w:cs="Arial"/>
                <w:sz w:val="18"/>
                <w:szCs w:val="18"/>
              </w:rPr>
              <w:t xml:space="preserve">Ingestion of </w:t>
            </w:r>
            <w:proofErr w:type="spellStart"/>
            <w:r w:rsidRPr="00F00B5F">
              <w:rPr>
                <w:rFonts w:ascii="Arial" w:hAnsi="Arial" w:cs="Arial"/>
                <w:sz w:val="18"/>
                <w:szCs w:val="18"/>
              </w:rPr>
              <w:t>bioaccumulated</w:t>
            </w:r>
            <w:proofErr w:type="spellEnd"/>
            <w:r w:rsidRPr="00F00B5F">
              <w:rPr>
                <w:rFonts w:ascii="Arial" w:hAnsi="Arial" w:cs="Arial"/>
                <w:sz w:val="18"/>
                <w:szCs w:val="18"/>
              </w:rPr>
              <w:t xml:space="preserve"> toxins is harmful to both wildlife and humans through consumption of t</w:t>
            </w:r>
            <w:r w:rsidR="00B20191">
              <w:rPr>
                <w:rFonts w:ascii="Arial" w:hAnsi="Arial" w:cs="Arial"/>
                <w:sz w:val="18"/>
                <w:szCs w:val="18"/>
              </w:rPr>
              <w:t>oxins via</w:t>
            </w:r>
            <w:r w:rsidRPr="00F00B5F">
              <w:rPr>
                <w:rFonts w:ascii="Arial" w:hAnsi="Arial" w:cs="Arial"/>
                <w:sz w:val="18"/>
                <w:szCs w:val="18"/>
              </w:rPr>
              <w:t xml:space="preserve"> shellfish or fish.</w:t>
            </w:r>
            <w:r w:rsidR="00D72900" w:rsidRPr="00F00B5F">
              <w:rPr>
                <w:rFonts w:ascii="Arial" w:hAnsi="Arial" w:cs="Arial"/>
                <w:sz w:val="18"/>
                <w:szCs w:val="18"/>
              </w:rPr>
              <w:t xml:space="preserve"> </w:t>
            </w:r>
            <w:r w:rsidRPr="00F00B5F">
              <w:rPr>
                <w:rFonts w:ascii="Arial" w:hAnsi="Arial" w:cs="Arial"/>
                <w:sz w:val="18"/>
                <w:szCs w:val="18"/>
              </w:rPr>
              <w:t xml:space="preserve">Skin contact and inhalation can also be problematic. </w:t>
            </w:r>
          </w:p>
          <w:p w:rsidR="005F19C7" w:rsidRPr="00F00B5F" w:rsidRDefault="005F19C7" w:rsidP="00122E5D">
            <w:pPr>
              <w:spacing w:line="276" w:lineRule="auto"/>
              <w:rPr>
                <w:rFonts w:ascii="Arial" w:hAnsi="Arial" w:cs="Arial"/>
                <w:sz w:val="18"/>
                <w:szCs w:val="18"/>
              </w:rPr>
            </w:pPr>
            <w:r w:rsidRPr="00446A46">
              <w:rPr>
                <w:rFonts w:ascii="Arial" w:hAnsi="Arial" w:cs="Arial"/>
                <w:b/>
                <w:i/>
                <w:sz w:val="18"/>
                <w:szCs w:val="18"/>
              </w:rPr>
              <w:t>NABs</w:t>
            </w:r>
            <w:r w:rsidRPr="00446A46">
              <w:rPr>
                <w:rFonts w:ascii="Arial" w:hAnsi="Arial" w:cs="Arial"/>
                <w:b/>
                <w:sz w:val="18"/>
                <w:szCs w:val="18"/>
              </w:rPr>
              <w:t>:</w:t>
            </w:r>
            <w:r w:rsidRPr="00F00B5F">
              <w:rPr>
                <w:rFonts w:ascii="Arial" w:hAnsi="Arial" w:cs="Arial"/>
                <w:sz w:val="18"/>
                <w:szCs w:val="18"/>
              </w:rPr>
              <w:t xml:space="preserve"> Some species are considered HABs for reasons other than toxins (e.g., directly impairing biota at very high levels, e.g., coating fish gills, birds wings, rapid biomass production leading to low DO). Impaired aesthetics, surface scums, discoloration, odors.</w:t>
            </w:r>
            <w:r w:rsidR="00D72900" w:rsidRPr="00F00B5F">
              <w:rPr>
                <w:rFonts w:ascii="Arial" w:hAnsi="Arial" w:cs="Arial"/>
                <w:sz w:val="18"/>
                <w:szCs w:val="18"/>
              </w:rPr>
              <w:t xml:space="preserve"> </w:t>
            </w:r>
            <w:r w:rsidRPr="00F00B5F">
              <w:rPr>
                <w:rFonts w:ascii="Arial" w:hAnsi="Arial" w:cs="Arial"/>
                <w:sz w:val="18"/>
                <w:szCs w:val="18"/>
              </w:rPr>
              <w:t xml:space="preserve">These adverse effects directly impact EST, </w:t>
            </w:r>
            <w:r w:rsidR="00122E5D">
              <w:rPr>
                <w:rFonts w:ascii="Arial" w:hAnsi="Arial" w:cs="Arial"/>
                <w:sz w:val="18"/>
                <w:szCs w:val="18"/>
              </w:rPr>
              <w:t xml:space="preserve">WILD, </w:t>
            </w:r>
            <w:r w:rsidRPr="00F00B5F">
              <w:rPr>
                <w:rFonts w:ascii="Arial" w:hAnsi="Arial" w:cs="Arial"/>
                <w:sz w:val="18"/>
                <w:szCs w:val="18"/>
              </w:rPr>
              <w:t>SHELL, RARE, and COMM beneficial uses.</w:t>
            </w:r>
          </w:p>
        </w:tc>
      </w:tr>
      <w:tr w:rsidR="005F19C7" w:rsidRPr="00F00B5F" w:rsidTr="006D1153">
        <w:trPr>
          <w:cantSplit/>
          <w:trHeight w:val="809"/>
        </w:trPr>
        <w:tc>
          <w:tcPr>
            <w:tcW w:w="4765" w:type="dxa"/>
            <w:vAlign w:val="center"/>
          </w:tcPr>
          <w:p w:rsidR="00517A28" w:rsidRPr="00F00B5F" w:rsidRDefault="005F19C7" w:rsidP="00B747E5">
            <w:pPr>
              <w:spacing w:line="276" w:lineRule="auto"/>
              <w:rPr>
                <w:rFonts w:ascii="Arial" w:hAnsi="Arial" w:cs="Arial"/>
                <w:sz w:val="18"/>
                <w:szCs w:val="18"/>
              </w:rPr>
            </w:pPr>
            <w:r w:rsidRPr="00F00B5F">
              <w:rPr>
                <w:rFonts w:ascii="Arial" w:hAnsi="Arial" w:cs="Arial"/>
                <w:b/>
                <w:bCs/>
                <w:sz w:val="18"/>
                <w:szCs w:val="18"/>
              </w:rPr>
              <w:t>S5. Low Phytoplankton Biomass and Productivity</w:t>
            </w:r>
            <w:r w:rsidRPr="00F00B5F">
              <w:rPr>
                <w:rFonts w:ascii="Arial" w:hAnsi="Arial" w:cs="Arial"/>
                <w:sz w:val="18"/>
                <w:szCs w:val="18"/>
              </w:rPr>
              <w:t xml:space="preserve"> </w:t>
            </w:r>
          </w:p>
          <w:p w:rsidR="005F19C7" w:rsidRPr="00F00B5F" w:rsidRDefault="005F19C7" w:rsidP="00B747E5">
            <w:pPr>
              <w:spacing w:line="276" w:lineRule="auto"/>
              <w:rPr>
                <w:rFonts w:ascii="Arial" w:hAnsi="Arial" w:cs="Arial"/>
                <w:b/>
                <w:bCs/>
                <w:sz w:val="18"/>
                <w:szCs w:val="18"/>
              </w:rPr>
            </w:pPr>
            <w:r w:rsidRPr="00F00B5F">
              <w:rPr>
                <w:rFonts w:ascii="Arial" w:hAnsi="Arial" w:cs="Arial"/>
                <w:sz w:val="18"/>
                <w:szCs w:val="18"/>
              </w:rPr>
              <w:t>Low phytoplankton biomass in Suisun Bay or other habitats due to elevated NH</w:t>
            </w:r>
            <w:r w:rsidRPr="00F00B5F">
              <w:rPr>
                <w:rFonts w:ascii="Arial" w:hAnsi="Arial" w:cs="Arial"/>
                <w:sz w:val="18"/>
                <w:szCs w:val="18"/>
                <w:vertAlign w:val="subscript"/>
              </w:rPr>
              <w:t>4</w:t>
            </w:r>
            <w:r w:rsidRPr="00F00B5F">
              <w:rPr>
                <w:rFonts w:ascii="Arial" w:hAnsi="Arial" w:cs="Arial"/>
                <w:sz w:val="18"/>
                <w:szCs w:val="18"/>
                <w:vertAlign w:val="superscript"/>
              </w:rPr>
              <w:t>+</w:t>
            </w:r>
            <w:r w:rsidRPr="00F00B5F">
              <w:rPr>
                <w:rFonts w:ascii="Arial" w:hAnsi="Arial" w:cs="Arial"/>
                <w:sz w:val="18"/>
                <w:szCs w:val="18"/>
              </w:rPr>
              <w:t>, which would exacerbate food supply issues.</w:t>
            </w:r>
          </w:p>
        </w:tc>
        <w:tc>
          <w:tcPr>
            <w:tcW w:w="4950" w:type="dxa"/>
            <w:vAlign w:val="center"/>
          </w:tcPr>
          <w:p w:rsidR="005F19C7" w:rsidRPr="00F00B5F" w:rsidRDefault="005F19C7" w:rsidP="00CF0F3E">
            <w:pPr>
              <w:spacing w:line="276" w:lineRule="auto"/>
              <w:rPr>
                <w:rFonts w:ascii="Arial" w:hAnsi="Arial" w:cs="Arial"/>
                <w:sz w:val="18"/>
                <w:szCs w:val="18"/>
              </w:rPr>
            </w:pPr>
            <w:r w:rsidRPr="00F00B5F">
              <w:rPr>
                <w:rFonts w:ascii="Arial" w:hAnsi="Arial" w:cs="Arial"/>
                <w:sz w:val="18"/>
                <w:szCs w:val="18"/>
              </w:rPr>
              <w:t>Suisun Bay is considered a food limited system, and low levels of phytoplankton biomass and productivity may contribute to impairment in this highly altered system.</w:t>
            </w:r>
            <w:r w:rsidR="00D72900" w:rsidRPr="00F00B5F">
              <w:rPr>
                <w:rFonts w:ascii="Arial" w:hAnsi="Arial" w:cs="Arial"/>
                <w:sz w:val="18"/>
                <w:szCs w:val="18"/>
              </w:rPr>
              <w:t xml:space="preserve"> </w:t>
            </w:r>
            <w:r w:rsidRPr="00F00B5F">
              <w:rPr>
                <w:rFonts w:ascii="Arial" w:hAnsi="Arial" w:cs="Arial"/>
                <w:sz w:val="18"/>
                <w:szCs w:val="18"/>
              </w:rPr>
              <w:t xml:space="preserve"> These adverse effects directly impact EST, SHELL, RARE, and COMM beneficial uses.</w:t>
            </w:r>
          </w:p>
        </w:tc>
      </w:tr>
      <w:tr w:rsidR="005F19C7" w:rsidRPr="00F00B5F" w:rsidTr="006D1153">
        <w:trPr>
          <w:cantSplit/>
          <w:trHeight w:val="1106"/>
        </w:trPr>
        <w:tc>
          <w:tcPr>
            <w:tcW w:w="4765" w:type="dxa"/>
            <w:vAlign w:val="center"/>
          </w:tcPr>
          <w:p w:rsidR="00517A28" w:rsidRPr="00F00B5F" w:rsidRDefault="005F19C7" w:rsidP="00B747E5">
            <w:pPr>
              <w:spacing w:line="276" w:lineRule="auto"/>
              <w:rPr>
                <w:rFonts w:ascii="Arial" w:hAnsi="Arial" w:cs="Arial"/>
                <w:sz w:val="18"/>
                <w:szCs w:val="18"/>
              </w:rPr>
            </w:pPr>
            <w:r w:rsidRPr="00F00B5F">
              <w:rPr>
                <w:rFonts w:ascii="Arial" w:hAnsi="Arial" w:cs="Arial"/>
                <w:b/>
                <w:bCs/>
                <w:sz w:val="18"/>
                <w:szCs w:val="18"/>
              </w:rPr>
              <w:t xml:space="preserve">S6. Suboptimal </w:t>
            </w:r>
            <w:r w:rsidR="00270195">
              <w:rPr>
                <w:rFonts w:ascii="Arial" w:hAnsi="Arial" w:cs="Arial"/>
                <w:b/>
                <w:bCs/>
                <w:sz w:val="18"/>
                <w:szCs w:val="18"/>
              </w:rPr>
              <w:t>P</w:t>
            </w:r>
            <w:r w:rsidRPr="00F00B5F">
              <w:rPr>
                <w:rFonts w:ascii="Arial" w:hAnsi="Arial" w:cs="Arial"/>
                <w:b/>
                <w:bCs/>
                <w:sz w:val="18"/>
                <w:szCs w:val="18"/>
              </w:rPr>
              <w:t xml:space="preserve">hytoplankton </w:t>
            </w:r>
            <w:r w:rsidR="00270195">
              <w:rPr>
                <w:rFonts w:ascii="Arial" w:hAnsi="Arial" w:cs="Arial"/>
                <w:b/>
                <w:bCs/>
                <w:sz w:val="18"/>
                <w:szCs w:val="18"/>
              </w:rPr>
              <w:t>A</w:t>
            </w:r>
            <w:r w:rsidRPr="00F00B5F">
              <w:rPr>
                <w:rFonts w:ascii="Arial" w:hAnsi="Arial" w:cs="Arial"/>
                <w:b/>
                <w:bCs/>
                <w:sz w:val="18"/>
                <w:szCs w:val="18"/>
              </w:rPr>
              <w:t>ssemblages</w:t>
            </w:r>
            <w:r w:rsidR="00517A28" w:rsidRPr="00F00B5F">
              <w:rPr>
                <w:rFonts w:ascii="Arial" w:hAnsi="Arial" w:cs="Arial"/>
                <w:b/>
                <w:sz w:val="18"/>
                <w:szCs w:val="18"/>
              </w:rPr>
              <w:t xml:space="preserve"> </w:t>
            </w:r>
            <w:r w:rsidR="008D5C0D">
              <w:rPr>
                <w:rFonts w:ascii="Arial" w:hAnsi="Arial" w:cs="Arial"/>
                <w:b/>
                <w:sz w:val="18"/>
                <w:szCs w:val="18"/>
              </w:rPr>
              <w:t xml:space="preserve">that </w:t>
            </w:r>
            <w:r w:rsidR="00270195">
              <w:rPr>
                <w:rFonts w:ascii="Arial" w:hAnsi="Arial" w:cs="Arial"/>
                <w:b/>
                <w:sz w:val="18"/>
                <w:szCs w:val="18"/>
              </w:rPr>
              <w:t>I</w:t>
            </w:r>
            <w:r w:rsidR="008D5C0D">
              <w:rPr>
                <w:rFonts w:ascii="Arial" w:hAnsi="Arial" w:cs="Arial"/>
                <w:b/>
                <w:sz w:val="18"/>
                <w:szCs w:val="18"/>
              </w:rPr>
              <w:t>mpact</w:t>
            </w:r>
            <w:r w:rsidR="00517A28" w:rsidRPr="00F00B5F">
              <w:rPr>
                <w:rFonts w:ascii="Arial" w:hAnsi="Arial" w:cs="Arial"/>
                <w:b/>
                <w:sz w:val="18"/>
                <w:szCs w:val="18"/>
              </w:rPr>
              <w:t xml:space="preserve"> </w:t>
            </w:r>
            <w:r w:rsidR="00270195">
              <w:rPr>
                <w:rFonts w:ascii="Arial" w:hAnsi="Arial" w:cs="Arial"/>
                <w:b/>
                <w:sz w:val="18"/>
                <w:szCs w:val="18"/>
              </w:rPr>
              <w:t>F</w:t>
            </w:r>
            <w:r w:rsidR="00517A28" w:rsidRPr="00F00B5F">
              <w:rPr>
                <w:rFonts w:ascii="Arial" w:hAnsi="Arial" w:cs="Arial"/>
                <w:b/>
                <w:sz w:val="18"/>
                <w:szCs w:val="18"/>
              </w:rPr>
              <w:t xml:space="preserve">ood </w:t>
            </w:r>
            <w:r w:rsidR="00270195">
              <w:rPr>
                <w:rFonts w:ascii="Arial" w:hAnsi="Arial" w:cs="Arial"/>
                <w:b/>
                <w:sz w:val="18"/>
                <w:szCs w:val="18"/>
              </w:rPr>
              <w:t>Q</w:t>
            </w:r>
            <w:r w:rsidR="00517A28" w:rsidRPr="00F00B5F">
              <w:rPr>
                <w:rFonts w:ascii="Arial" w:hAnsi="Arial" w:cs="Arial"/>
                <w:b/>
                <w:sz w:val="18"/>
                <w:szCs w:val="18"/>
              </w:rPr>
              <w:t>uality</w:t>
            </w:r>
          </w:p>
          <w:p w:rsidR="005F19C7" w:rsidRPr="00F00B5F" w:rsidRDefault="005F19C7" w:rsidP="00B747E5">
            <w:pPr>
              <w:spacing w:line="276" w:lineRule="auto"/>
              <w:rPr>
                <w:rFonts w:ascii="Arial" w:hAnsi="Arial" w:cs="Arial"/>
                <w:sz w:val="18"/>
                <w:szCs w:val="18"/>
              </w:rPr>
            </w:pPr>
            <w:r w:rsidRPr="00F00B5F">
              <w:rPr>
                <w:rFonts w:ascii="Arial" w:hAnsi="Arial" w:cs="Arial"/>
                <w:sz w:val="18"/>
                <w:szCs w:val="18"/>
              </w:rPr>
              <w:t>Nutrient-related shifts in phytoplankton community composition, or changes in the composition of individual cells (N</w:t>
            </w:r>
            <w:proofErr w:type="gramStart"/>
            <w:r w:rsidRPr="00F00B5F">
              <w:rPr>
                <w:rFonts w:ascii="Arial" w:hAnsi="Arial" w:cs="Arial"/>
                <w:sz w:val="18"/>
                <w:szCs w:val="18"/>
              </w:rPr>
              <w:t>:P</w:t>
            </w:r>
            <w:proofErr w:type="gramEnd"/>
            <w:r w:rsidRPr="00F00B5F">
              <w:rPr>
                <w:rFonts w:ascii="Arial" w:hAnsi="Arial" w:cs="Arial"/>
                <w:sz w:val="18"/>
                <w:szCs w:val="18"/>
              </w:rPr>
              <w:t xml:space="preserve">), that result in decreased </w:t>
            </w:r>
            <w:r w:rsidR="00517A28" w:rsidRPr="00F00B5F">
              <w:rPr>
                <w:rFonts w:ascii="Arial" w:hAnsi="Arial" w:cs="Arial"/>
                <w:b/>
                <w:sz w:val="18"/>
                <w:szCs w:val="18"/>
              </w:rPr>
              <w:t xml:space="preserve">phytoplankton </w:t>
            </w:r>
            <w:r w:rsidRPr="00F00B5F">
              <w:rPr>
                <w:rFonts w:ascii="Arial" w:hAnsi="Arial" w:cs="Arial"/>
                <w:b/>
                <w:sz w:val="18"/>
                <w:szCs w:val="18"/>
              </w:rPr>
              <w:t>food quality</w:t>
            </w:r>
            <w:r w:rsidRPr="00F00B5F">
              <w:rPr>
                <w:rFonts w:ascii="Arial" w:hAnsi="Arial" w:cs="Arial"/>
                <w:sz w:val="18"/>
                <w:szCs w:val="18"/>
              </w:rPr>
              <w:t>, and have cascading effects up the food web.</w:t>
            </w:r>
            <w:r w:rsidR="005974C3" w:rsidRPr="00F00B5F">
              <w:rPr>
                <w:rFonts w:ascii="Arial" w:hAnsi="Arial" w:cs="Arial"/>
                <w:sz w:val="18"/>
                <w:szCs w:val="18"/>
              </w:rPr>
              <w:t xml:space="preserve"> </w:t>
            </w:r>
          </w:p>
        </w:tc>
        <w:tc>
          <w:tcPr>
            <w:tcW w:w="4950" w:type="dxa"/>
            <w:vMerge w:val="restart"/>
            <w:vAlign w:val="center"/>
          </w:tcPr>
          <w:p w:rsidR="005F19C7" w:rsidRPr="00F00B5F" w:rsidRDefault="005F19C7" w:rsidP="00B747E5">
            <w:pPr>
              <w:spacing w:line="276" w:lineRule="auto"/>
              <w:rPr>
                <w:rFonts w:ascii="Arial" w:hAnsi="Arial" w:cs="Arial"/>
                <w:sz w:val="18"/>
                <w:szCs w:val="18"/>
              </w:rPr>
            </w:pPr>
            <w:r w:rsidRPr="00F00B5F">
              <w:rPr>
                <w:rFonts w:ascii="Arial" w:hAnsi="Arial" w:cs="Arial"/>
                <w:sz w:val="18"/>
                <w:szCs w:val="18"/>
              </w:rPr>
              <w:t>Phytoplankton primary production is the primary food resource supporting food webs in SFB.</w:t>
            </w:r>
            <w:r w:rsidR="00D72900" w:rsidRPr="00F00B5F">
              <w:rPr>
                <w:rFonts w:ascii="Arial" w:hAnsi="Arial" w:cs="Arial"/>
                <w:sz w:val="18"/>
                <w:szCs w:val="18"/>
              </w:rPr>
              <w:t xml:space="preserve"> </w:t>
            </w:r>
            <w:r w:rsidRPr="00F00B5F">
              <w:rPr>
                <w:rFonts w:ascii="Arial" w:hAnsi="Arial" w:cs="Arial"/>
                <w:sz w:val="18"/>
                <w:szCs w:val="18"/>
              </w:rPr>
              <w:t>Changes in the dominant assemblages and their relative size fractions would impact food quality.</w:t>
            </w:r>
            <w:r w:rsidR="00D72900" w:rsidRPr="00F00B5F">
              <w:rPr>
                <w:rFonts w:ascii="Arial" w:hAnsi="Arial" w:cs="Arial"/>
                <w:sz w:val="18"/>
                <w:szCs w:val="18"/>
              </w:rPr>
              <w:t xml:space="preserve"> </w:t>
            </w:r>
            <w:r w:rsidRPr="00F00B5F">
              <w:rPr>
                <w:rFonts w:ascii="Arial" w:hAnsi="Arial" w:cs="Arial"/>
                <w:sz w:val="18"/>
                <w:szCs w:val="18"/>
              </w:rPr>
              <w:t>These a</w:t>
            </w:r>
            <w:r w:rsidR="005D6FC2">
              <w:rPr>
                <w:rFonts w:ascii="Arial" w:hAnsi="Arial" w:cs="Arial"/>
                <w:sz w:val="18"/>
                <w:szCs w:val="18"/>
              </w:rPr>
              <w:t xml:space="preserve">dverse effects directly impact </w:t>
            </w:r>
            <w:r w:rsidRPr="00F00B5F">
              <w:rPr>
                <w:rFonts w:ascii="Arial" w:hAnsi="Arial" w:cs="Arial"/>
                <w:sz w:val="18"/>
                <w:szCs w:val="18"/>
              </w:rPr>
              <w:t>EST, SHELL, RARE, and COMM beneficial uses.</w:t>
            </w:r>
          </w:p>
        </w:tc>
      </w:tr>
      <w:tr w:rsidR="005F19C7" w:rsidRPr="00F00B5F" w:rsidTr="006D1153">
        <w:trPr>
          <w:cantSplit/>
          <w:trHeight w:val="1043"/>
        </w:trPr>
        <w:tc>
          <w:tcPr>
            <w:tcW w:w="4765" w:type="dxa"/>
            <w:vAlign w:val="center"/>
          </w:tcPr>
          <w:p w:rsidR="00557628" w:rsidRDefault="005F19C7" w:rsidP="00B747E5">
            <w:pPr>
              <w:spacing w:line="276" w:lineRule="auto"/>
              <w:rPr>
                <w:rFonts w:ascii="Arial" w:hAnsi="Arial" w:cs="Arial"/>
                <w:sz w:val="18"/>
                <w:szCs w:val="18"/>
              </w:rPr>
            </w:pPr>
            <w:r w:rsidRPr="00F00B5F">
              <w:rPr>
                <w:rFonts w:ascii="Arial" w:hAnsi="Arial" w:cs="Arial"/>
                <w:b/>
                <w:sz w:val="18"/>
                <w:szCs w:val="18"/>
              </w:rPr>
              <w:t xml:space="preserve">S7. Other </w:t>
            </w:r>
            <w:r w:rsidR="00557628">
              <w:rPr>
                <w:rFonts w:ascii="Arial" w:hAnsi="Arial" w:cs="Arial"/>
                <w:b/>
                <w:sz w:val="18"/>
                <w:szCs w:val="18"/>
              </w:rPr>
              <w:t>N</w:t>
            </w:r>
            <w:r w:rsidRPr="00F00B5F">
              <w:rPr>
                <w:rFonts w:ascii="Arial" w:hAnsi="Arial" w:cs="Arial"/>
                <w:b/>
                <w:sz w:val="18"/>
                <w:szCs w:val="18"/>
              </w:rPr>
              <w:t>utrient-</w:t>
            </w:r>
            <w:r w:rsidR="00557628">
              <w:rPr>
                <w:rFonts w:ascii="Arial" w:hAnsi="Arial" w:cs="Arial"/>
                <w:b/>
                <w:sz w:val="18"/>
                <w:szCs w:val="18"/>
              </w:rPr>
              <w:t>R</w:t>
            </w:r>
            <w:r w:rsidRPr="00F00B5F">
              <w:rPr>
                <w:rFonts w:ascii="Arial" w:hAnsi="Arial" w:cs="Arial"/>
                <w:b/>
                <w:sz w:val="18"/>
                <w:szCs w:val="18"/>
              </w:rPr>
              <w:t xml:space="preserve">elated </w:t>
            </w:r>
            <w:r w:rsidR="00557628">
              <w:rPr>
                <w:rFonts w:ascii="Arial" w:hAnsi="Arial" w:cs="Arial"/>
                <w:b/>
                <w:sz w:val="18"/>
                <w:szCs w:val="18"/>
              </w:rPr>
              <w:t>I</w:t>
            </w:r>
            <w:r w:rsidRPr="00F00B5F">
              <w:rPr>
                <w:rFonts w:ascii="Arial" w:hAnsi="Arial" w:cs="Arial"/>
                <w:b/>
                <w:sz w:val="18"/>
                <w:szCs w:val="18"/>
              </w:rPr>
              <w:t>mpacts</w:t>
            </w:r>
          </w:p>
          <w:p w:rsidR="005F19C7" w:rsidRPr="00F00B5F" w:rsidRDefault="005F19C7" w:rsidP="00B747E5">
            <w:pPr>
              <w:spacing w:line="276" w:lineRule="auto"/>
              <w:rPr>
                <w:rFonts w:ascii="Arial" w:hAnsi="Arial" w:cs="Arial"/>
                <w:b/>
                <w:sz w:val="18"/>
                <w:szCs w:val="18"/>
              </w:rPr>
            </w:pPr>
            <w:r w:rsidRPr="00F00B5F">
              <w:rPr>
                <w:rFonts w:ascii="Arial" w:hAnsi="Arial" w:cs="Arial"/>
                <w:sz w:val="18"/>
                <w:szCs w:val="18"/>
              </w:rPr>
              <w:t>Other direct or indirect nutrient-related effects that alter habitat or food web structure at higher trophic levels by other pathways.</w:t>
            </w:r>
            <w:r w:rsidR="00D72900" w:rsidRPr="00F00B5F">
              <w:rPr>
                <w:rFonts w:ascii="Arial" w:hAnsi="Arial" w:cs="Arial"/>
                <w:sz w:val="18"/>
                <w:szCs w:val="18"/>
              </w:rPr>
              <w:t xml:space="preserve"> </w:t>
            </w:r>
            <w:r w:rsidRPr="00F00B5F">
              <w:rPr>
                <w:rFonts w:ascii="Arial" w:hAnsi="Arial" w:cs="Arial"/>
                <w:sz w:val="18"/>
                <w:szCs w:val="18"/>
              </w:rPr>
              <w:t>Several additional nutrient-related impacts on food webs in the northern estuary have been proposed that are not captured by S1-</w:t>
            </w:r>
            <w:r w:rsidR="00270195">
              <w:rPr>
                <w:rFonts w:ascii="Arial" w:hAnsi="Arial" w:cs="Arial"/>
                <w:sz w:val="18"/>
                <w:szCs w:val="18"/>
              </w:rPr>
              <w:t>S</w:t>
            </w:r>
            <w:r w:rsidRPr="00F00B5F">
              <w:rPr>
                <w:rFonts w:ascii="Arial" w:hAnsi="Arial" w:cs="Arial"/>
                <w:sz w:val="18"/>
                <w:szCs w:val="18"/>
              </w:rPr>
              <w:t>6.</w:t>
            </w:r>
          </w:p>
        </w:tc>
        <w:tc>
          <w:tcPr>
            <w:tcW w:w="4950" w:type="dxa"/>
            <w:vMerge/>
            <w:vAlign w:val="center"/>
          </w:tcPr>
          <w:p w:rsidR="005F19C7" w:rsidRPr="00F00B5F" w:rsidRDefault="005F19C7" w:rsidP="00446A46">
            <w:pPr>
              <w:spacing w:line="276" w:lineRule="auto"/>
              <w:rPr>
                <w:rFonts w:ascii="Arial" w:hAnsi="Arial" w:cs="Arial"/>
                <w:sz w:val="18"/>
                <w:szCs w:val="18"/>
              </w:rPr>
            </w:pPr>
          </w:p>
        </w:tc>
      </w:tr>
    </w:tbl>
    <w:p w:rsidR="00192018" w:rsidRDefault="00192018" w:rsidP="00446A46">
      <w:pPr>
        <w:spacing w:line="276" w:lineRule="auto"/>
        <w:rPr>
          <w:rFonts w:asciiTheme="minorHAnsi" w:hAnsiTheme="minorHAnsi" w:cstheme="minorHAnsi"/>
          <w:b/>
        </w:rPr>
      </w:pPr>
    </w:p>
    <w:p w:rsidR="00F00B5F" w:rsidRDefault="00F00B5F">
      <w:pPr>
        <w:rPr>
          <w:rFonts w:asciiTheme="minorHAnsi" w:hAnsiTheme="minorHAnsi" w:cstheme="minorHAnsi"/>
          <w:b/>
        </w:rPr>
      </w:pPr>
      <w:r>
        <w:rPr>
          <w:rFonts w:asciiTheme="minorHAnsi" w:hAnsiTheme="minorHAnsi" w:cstheme="minorHAnsi"/>
          <w:b/>
        </w:rPr>
        <w:br w:type="page"/>
      </w:r>
    </w:p>
    <w:p w:rsidR="00270195" w:rsidRDefault="00192018" w:rsidP="00446A46">
      <w:r w:rsidRPr="00A310DC">
        <w:rPr>
          <w:b/>
        </w:rPr>
        <w:lastRenderedPageBreak/>
        <w:t>H</w:t>
      </w:r>
      <w:r w:rsidR="005F19C7" w:rsidRPr="00A310DC">
        <w:rPr>
          <w:b/>
        </w:rPr>
        <w:t>igh phytoplankton biomass</w:t>
      </w:r>
      <w:r w:rsidR="005F19C7" w:rsidRPr="00446A46">
        <w:rPr>
          <w:b/>
        </w:rPr>
        <w:t xml:space="preserve"> and </w:t>
      </w:r>
      <w:r w:rsidR="005F19C7" w:rsidRPr="00A310DC">
        <w:rPr>
          <w:b/>
        </w:rPr>
        <w:t>primary productivity</w:t>
      </w:r>
      <w:r w:rsidR="005F19C7" w:rsidRPr="00F00B5F">
        <w:rPr>
          <w:b/>
        </w:rPr>
        <w:t xml:space="preserve"> </w:t>
      </w:r>
      <w:r w:rsidR="00A310DC">
        <w:t>(S1</w:t>
      </w:r>
      <w:r w:rsidR="008D5C0D">
        <w:t>, Table 3.2</w:t>
      </w:r>
      <w:r w:rsidR="00A310DC">
        <w:t xml:space="preserve">) </w:t>
      </w:r>
      <w:r w:rsidR="005F19C7" w:rsidRPr="00F00B5F">
        <w:t xml:space="preserve">can have direct effects on REC2 in SFB via nuisance scums and odors. </w:t>
      </w:r>
    </w:p>
    <w:p w:rsidR="00270195" w:rsidRDefault="00270195" w:rsidP="00446A46">
      <w:bookmarkStart w:id="42" w:name="_GoBack"/>
      <w:bookmarkEnd w:id="42"/>
    </w:p>
    <w:p w:rsidR="005F19C7" w:rsidRPr="00446A46" w:rsidRDefault="005F19C7" w:rsidP="00446A46">
      <w:pPr>
        <w:rPr>
          <w:b/>
        </w:rPr>
      </w:pPr>
      <w:r w:rsidRPr="00F00B5F">
        <w:t xml:space="preserve">However, among the most common and problematic impairments due to high phytoplankton biomass is </w:t>
      </w:r>
      <w:r w:rsidRPr="00446A46">
        <w:rPr>
          <w:b/>
        </w:rPr>
        <w:t xml:space="preserve">low </w:t>
      </w:r>
      <w:r w:rsidRPr="00F00B5F">
        <w:rPr>
          <w:b/>
        </w:rPr>
        <w:t>dissolved oxygen</w:t>
      </w:r>
      <w:r w:rsidRPr="00F00B5F">
        <w:t xml:space="preserve"> (</w:t>
      </w:r>
      <w:r w:rsidR="00A310DC">
        <w:t>S2 and S3</w:t>
      </w:r>
      <w:r w:rsidR="008D5C0D">
        <w:t>,</w:t>
      </w:r>
      <w:r w:rsidR="008D5C0D" w:rsidRPr="008D5C0D">
        <w:t xml:space="preserve"> </w:t>
      </w:r>
      <w:r w:rsidR="008D5C0D">
        <w:t>Table 3.2</w:t>
      </w:r>
      <w:r w:rsidRPr="00F00B5F">
        <w:t xml:space="preserve">) in </w:t>
      </w:r>
      <w:proofErr w:type="spellStart"/>
      <w:r w:rsidRPr="00F00B5F">
        <w:t>subtidal</w:t>
      </w:r>
      <w:proofErr w:type="spellEnd"/>
      <w:r w:rsidRPr="00F00B5F">
        <w:t xml:space="preserve"> areas that results through </w:t>
      </w:r>
      <w:r w:rsidR="00446A46">
        <w:t>metabolism</w:t>
      </w:r>
      <w:r w:rsidRPr="00F00B5F">
        <w:t xml:space="preserve"> of phytoplankton-derived organic matter by oxygen-consuming microorganisms (e.g.</w:t>
      </w:r>
      <w:r w:rsidR="00A310DC">
        <w:t>,</w:t>
      </w:r>
      <w:r w:rsidRPr="00F00B5F">
        <w:t xml:space="preserve"> Figure 3.3).</w:t>
      </w:r>
      <w:r w:rsidR="00D72900" w:rsidRPr="00F00B5F">
        <w:t xml:space="preserve"> </w:t>
      </w:r>
      <w:r w:rsidR="007010D6">
        <w:t>Because</w:t>
      </w:r>
      <w:r w:rsidR="007010D6" w:rsidRPr="00F00B5F">
        <w:t xml:space="preserve"> </w:t>
      </w:r>
      <w:r w:rsidRPr="00F00B5F">
        <w:t>aquatic organisms rely on DO for survival, growth and reproduction</w:t>
      </w:r>
      <w:r w:rsidR="007010D6">
        <w:t>,</w:t>
      </w:r>
      <w:r w:rsidRPr="00F00B5F">
        <w:t xml:space="preserve"> the consequences of sub-optimal DO in SFB include die-offs or low production of fish and benthos and loss of critical habitat due to lowered survival or spawning/reproductive success or recruitment success (Figure</w:t>
      </w:r>
      <w:r w:rsidR="00A310DC">
        <w:t>s</w:t>
      </w:r>
      <w:r w:rsidRPr="00F00B5F">
        <w:t xml:space="preserve"> 3.4). These a</w:t>
      </w:r>
      <w:r w:rsidR="005D6FC2">
        <w:t xml:space="preserve">dverse effects directly impact EST, </w:t>
      </w:r>
      <w:r w:rsidRPr="00F00B5F">
        <w:t xml:space="preserve">SHELL, RARE, and COMM beneficial uses. </w:t>
      </w:r>
    </w:p>
    <w:p w:rsidR="006D1153" w:rsidRPr="00F00B5F" w:rsidRDefault="006D1153" w:rsidP="00446A46"/>
    <w:p w:rsidR="006D1153" w:rsidRDefault="006D1153" w:rsidP="00446A46">
      <w:pPr>
        <w:spacing w:line="276" w:lineRule="auto"/>
        <w:rPr>
          <w:rFonts w:asciiTheme="minorHAnsi" w:hAnsiTheme="minorHAnsi" w:cstheme="minorHAnsi"/>
        </w:rPr>
      </w:pPr>
    </w:p>
    <w:p w:rsidR="005F19C7" w:rsidRDefault="005F19C7" w:rsidP="00446A46">
      <w:pPr>
        <w:pStyle w:val="ListParagraph"/>
        <w:spacing w:line="276" w:lineRule="auto"/>
        <w:ind w:left="0"/>
        <w:rPr>
          <w:rFonts w:cs="Calibri"/>
        </w:rPr>
      </w:pPr>
      <w:r w:rsidRPr="00831BB9">
        <w:rPr>
          <w:rFonts w:cs="Calibri"/>
          <w:noProof/>
        </w:rPr>
        <w:drawing>
          <wp:inline distT="0" distB="0" distL="0" distR="0" wp14:anchorId="144E975D" wp14:editId="26119617">
            <wp:extent cx="4686300" cy="2993401"/>
            <wp:effectExtent l="0" t="0" r="0" b="0"/>
            <wp:docPr id="22530" name="Picture 3" descr="Fig 5 mod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3" descr="Fig 5 mod4.tif"/>
                    <pic:cNvPicPr>
                      <a:picLocks noChangeAspect="1"/>
                    </pic:cNvPicPr>
                  </pic:nvPicPr>
                  <pic:blipFill>
                    <a:blip r:embed="rId24" cstate="print">
                      <a:extLst>
                        <a:ext uri="{28A0092B-C50C-407E-A947-70E740481C1C}">
                          <a14:useLocalDpi xmlns:a14="http://schemas.microsoft.com/office/drawing/2010/main" val="0"/>
                        </a:ext>
                      </a:extLst>
                    </a:blip>
                    <a:srcRect l="1711" t="8064" r="6979" b="11285"/>
                    <a:stretch>
                      <a:fillRect/>
                    </a:stretch>
                  </pic:blipFill>
                  <pic:spPr bwMode="auto">
                    <a:xfrm>
                      <a:off x="0" y="0"/>
                      <a:ext cx="4702970" cy="3004049"/>
                    </a:xfrm>
                    <a:prstGeom prst="rect">
                      <a:avLst/>
                    </a:prstGeom>
                    <a:noFill/>
                    <a:ln>
                      <a:noFill/>
                    </a:ln>
                    <a:extLst/>
                  </pic:spPr>
                </pic:pic>
              </a:graphicData>
            </a:graphic>
          </wp:inline>
        </w:drawing>
      </w:r>
    </w:p>
    <w:p w:rsidR="005F19C7" w:rsidRPr="00F00B5F" w:rsidRDefault="005F19C7">
      <w:pPr>
        <w:pStyle w:val="TOF"/>
      </w:pPr>
      <w:bookmarkStart w:id="43" w:name="_Toc398192174"/>
      <w:bookmarkStart w:id="44" w:name="_Toc433370086"/>
      <w:r w:rsidRPr="00F00B5F">
        <w:t>Figure 3.3. Example of dissolved oxygen as a function of chlorophyll</w:t>
      </w:r>
      <w:r w:rsidR="002A6F35">
        <w:t>-</w:t>
      </w:r>
      <w:r w:rsidRPr="00F00B5F">
        <w:t>a in Chesapeake Bay. From Harding et al. 2013. Scientific bases for numerical chlorophyll criteria in Chesapeake Bay.</w:t>
      </w:r>
      <w:r w:rsidR="00D72900" w:rsidRPr="00F00B5F">
        <w:t xml:space="preserve"> </w:t>
      </w:r>
      <w:r w:rsidRPr="00446A46">
        <w:rPr>
          <w:i/>
        </w:rPr>
        <w:t>Estuaries and Coasts</w:t>
      </w:r>
      <w:r w:rsidRPr="00F00B5F">
        <w:t xml:space="preserve"> doi:10.1007/s12237-013-9656-6</w:t>
      </w:r>
      <w:bookmarkEnd w:id="43"/>
      <w:bookmarkEnd w:id="44"/>
    </w:p>
    <w:p w:rsidR="00192018" w:rsidRDefault="00192018"/>
    <w:p w:rsidR="00192018" w:rsidRDefault="00192018" w:rsidP="00446A46">
      <w:pPr>
        <w:spacing w:line="276" w:lineRule="auto"/>
        <w:rPr>
          <w:rFonts w:asciiTheme="minorHAnsi" w:hAnsiTheme="minorHAnsi" w:cstheme="minorHAnsi"/>
        </w:rPr>
      </w:pPr>
    </w:p>
    <w:p w:rsidR="00192018" w:rsidRPr="00EB668C" w:rsidRDefault="00192018">
      <w:r w:rsidRPr="00EB668C">
        <w:t>Elevated nutrient concentrations, or changes in relative abundance of nutrient forms, could increase the frequency with which</w:t>
      </w:r>
      <w:r w:rsidRPr="00754B1A">
        <w:rPr>
          <w:b/>
        </w:rPr>
        <w:t xml:space="preserve"> harmful algal blooms (HAB)</w:t>
      </w:r>
      <w:r w:rsidR="00A310DC">
        <w:rPr>
          <w:b/>
        </w:rPr>
        <w:t xml:space="preserve"> and algal toxins</w:t>
      </w:r>
      <w:r w:rsidR="00A310DC" w:rsidRPr="00446A46">
        <w:t xml:space="preserve"> (S4</w:t>
      </w:r>
      <w:r w:rsidR="008D5C0D">
        <w:t>,</w:t>
      </w:r>
      <w:r w:rsidR="008D5C0D" w:rsidRPr="008D5C0D">
        <w:t xml:space="preserve"> </w:t>
      </w:r>
      <w:r w:rsidR="008D5C0D">
        <w:t>Table 3.2</w:t>
      </w:r>
      <w:r w:rsidR="00A310DC" w:rsidRPr="00446A46">
        <w:t>)</w:t>
      </w:r>
      <w:r w:rsidRPr="00754B1A">
        <w:rPr>
          <w:b/>
        </w:rPr>
        <w:t xml:space="preserve"> </w:t>
      </w:r>
      <w:r w:rsidRPr="00EB668C">
        <w:t xml:space="preserve">occur, </w:t>
      </w:r>
      <w:r w:rsidR="008D5C0D">
        <w:t xml:space="preserve">including </w:t>
      </w:r>
      <w:r w:rsidRPr="00EB668C">
        <w:t>abundance, duration,</w:t>
      </w:r>
      <w:r w:rsidR="008D5C0D">
        <w:t xml:space="preserve"> and</w:t>
      </w:r>
      <w:r w:rsidRPr="00EB668C">
        <w:t xml:space="preserve"> spatial extent</w:t>
      </w:r>
      <w:r w:rsidRPr="002571DA">
        <w:t>.</w:t>
      </w:r>
      <w:r w:rsidR="00D72900">
        <w:t xml:space="preserve"> </w:t>
      </w:r>
      <w:r w:rsidRPr="00EB668C">
        <w:t xml:space="preserve">Algal toxins, such as </w:t>
      </w:r>
      <w:proofErr w:type="spellStart"/>
      <w:r w:rsidRPr="00EB668C">
        <w:t>microcystin</w:t>
      </w:r>
      <w:proofErr w:type="spellEnd"/>
      <w:r w:rsidRPr="00EB668C">
        <w:t xml:space="preserve"> and </w:t>
      </w:r>
      <w:proofErr w:type="spellStart"/>
      <w:r w:rsidRPr="00EB668C">
        <w:t>domoic</w:t>
      </w:r>
      <w:proofErr w:type="spellEnd"/>
      <w:r w:rsidRPr="00EB668C">
        <w:t xml:space="preserve"> acid, </w:t>
      </w:r>
      <w:proofErr w:type="spellStart"/>
      <w:r w:rsidRPr="00EB668C">
        <w:t>bioaccumulate</w:t>
      </w:r>
      <w:proofErr w:type="spellEnd"/>
      <w:r w:rsidRPr="00EB668C">
        <w:t xml:space="preserve"> and can exert toxicity to consumers at all levels of the food web, including humans. Some HAB exudates also exert direct toxicity (e.g., skin contact). High nutrient loads may also increase the frequency of so-called nuisance algal blooms (NABs), which are not toxic but may degrade aesthetics due to surface scums or odors. </w:t>
      </w:r>
      <w:r>
        <w:t>Elevated phytoplankton biomass is typically correlated with increased probability of HABs (and NABs) and toxins (e.g.</w:t>
      </w:r>
      <w:r w:rsidR="002A6F35">
        <w:t>,</w:t>
      </w:r>
      <w:r>
        <w:t xml:space="preserve"> Figure 3.</w:t>
      </w:r>
      <w:r w:rsidR="00446A46">
        <w:t>5</w:t>
      </w:r>
      <w:r>
        <w:t>).</w:t>
      </w:r>
    </w:p>
    <w:p w:rsidR="00192018" w:rsidRDefault="00192018"/>
    <w:p w:rsidR="00192018" w:rsidRPr="00192018" w:rsidRDefault="00192018">
      <w:pPr>
        <w:pStyle w:val="TOF"/>
        <w:spacing w:before="0" w:after="0" w:line="276" w:lineRule="auto"/>
        <w:rPr>
          <w:rFonts w:asciiTheme="minorHAnsi" w:hAnsiTheme="minorHAnsi" w:cstheme="minorHAnsi"/>
          <w:caps/>
          <w:smallCaps/>
        </w:rPr>
      </w:pPr>
    </w:p>
    <w:p w:rsidR="005F19C7" w:rsidRDefault="00940DE2" w:rsidP="00446A46">
      <w:pPr>
        <w:pStyle w:val="ListParagraph"/>
        <w:spacing w:line="276" w:lineRule="auto"/>
        <w:rPr>
          <w:rFonts w:cs="Calibri"/>
        </w:rPr>
      </w:pPr>
      <w:r w:rsidRPr="00940DE2">
        <w:rPr>
          <w:noProof/>
        </w:rPr>
        <w:lastRenderedPageBreak/>
        <w:drawing>
          <wp:inline distT="0" distB="0" distL="0" distR="0" wp14:anchorId="76264167" wp14:editId="26F29E5F">
            <wp:extent cx="4718050" cy="31940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8050" cy="3194050"/>
                    </a:xfrm>
                    <a:prstGeom prst="rect">
                      <a:avLst/>
                    </a:prstGeom>
                    <a:noFill/>
                    <a:ln>
                      <a:noFill/>
                    </a:ln>
                  </pic:spPr>
                </pic:pic>
              </a:graphicData>
            </a:graphic>
          </wp:inline>
        </w:drawing>
      </w:r>
    </w:p>
    <w:p w:rsidR="005F19C7" w:rsidRDefault="005F19C7">
      <w:pPr>
        <w:pStyle w:val="TOF"/>
      </w:pPr>
      <w:bookmarkStart w:id="45" w:name="_Toc398192176"/>
      <w:bookmarkStart w:id="46" w:name="_Toc433370087"/>
      <w:r w:rsidRPr="00192018">
        <w:t>Figure 3.</w:t>
      </w:r>
      <w:r w:rsidR="00446A46">
        <w:t>4</w:t>
      </w:r>
      <w:r w:rsidRPr="00192018">
        <w:t>. Comparative evaluation of fishery response to nutrients along continuum of oligotrophic, mesotrophic, eutrophic and dystrophic states of primary productivity (Nixon 1995). Although higher nutrient inputs initially increase the productivity of fisheries, ecological systems worldwide show negative effects as nutrient loading increases and hypoxic or anoxic conditions develop. Each generic curve in the lower half of the figure represents the reaction of a species guild to increasing nutrient supplies</w:t>
      </w:r>
      <w:bookmarkEnd w:id="45"/>
      <w:bookmarkEnd w:id="46"/>
      <w:r w:rsidR="00940DE2">
        <w:t>. From Diaz and Solow (1995).</w:t>
      </w:r>
    </w:p>
    <w:p w:rsidR="005D6FC2" w:rsidRDefault="005D6FC2">
      <w:pPr>
        <w:pStyle w:val="TOF"/>
      </w:pPr>
    </w:p>
    <w:p w:rsidR="005D6FC2" w:rsidRDefault="005D6FC2">
      <w:pPr>
        <w:pStyle w:val="TOF"/>
      </w:pPr>
    </w:p>
    <w:p w:rsidR="005D6FC2" w:rsidRDefault="005D6FC2">
      <w:pPr>
        <w:pStyle w:val="TOF"/>
      </w:pPr>
    </w:p>
    <w:p w:rsidR="005D6FC2" w:rsidRDefault="005D6FC2">
      <w:pPr>
        <w:pStyle w:val="TOF"/>
      </w:pPr>
    </w:p>
    <w:p w:rsidR="005F0B9C" w:rsidRDefault="005F0B9C">
      <w:pPr>
        <w:pStyle w:val="TOF"/>
      </w:pPr>
    </w:p>
    <w:p w:rsidR="005F0B9C" w:rsidRDefault="005F0B9C">
      <w:pPr>
        <w:pStyle w:val="TOF"/>
      </w:pPr>
    </w:p>
    <w:p w:rsidR="005F0B9C" w:rsidRPr="00192018" w:rsidRDefault="005F0B9C">
      <w:pPr>
        <w:pStyle w:val="TOF"/>
      </w:pPr>
    </w:p>
    <w:p w:rsidR="005F19C7" w:rsidRPr="00EB668C" w:rsidRDefault="005F19C7" w:rsidP="00446A46">
      <w:pPr>
        <w:spacing w:line="276" w:lineRule="auto"/>
        <w:rPr>
          <w:rFonts w:asciiTheme="minorHAnsi" w:hAnsiTheme="minorHAnsi" w:cstheme="minorHAnsi"/>
        </w:rPr>
      </w:pPr>
    </w:p>
    <w:p w:rsidR="005F19C7" w:rsidRPr="00573D9B" w:rsidRDefault="005F19C7" w:rsidP="00446A46">
      <w:pPr>
        <w:spacing w:line="276" w:lineRule="auto"/>
        <w:ind w:left="1440"/>
        <w:rPr>
          <w:rFonts w:cs="Calibri"/>
        </w:rPr>
      </w:pPr>
    </w:p>
    <w:p w:rsidR="005F19C7" w:rsidRPr="00573D9B" w:rsidRDefault="005F19C7" w:rsidP="00CF0F3E">
      <w:pPr>
        <w:spacing w:line="276" w:lineRule="auto"/>
        <w:rPr>
          <w:rFonts w:cs="Calibri"/>
        </w:rPr>
      </w:pPr>
    </w:p>
    <w:p w:rsidR="005F19C7" w:rsidRPr="00573D9B" w:rsidRDefault="005F19C7" w:rsidP="00446A46">
      <w:pPr>
        <w:spacing w:line="276" w:lineRule="auto"/>
        <w:ind w:left="720"/>
        <w:rPr>
          <w:rFonts w:cs="Calibri"/>
        </w:rPr>
      </w:pPr>
    </w:p>
    <w:p w:rsidR="005F19C7" w:rsidRPr="00573D9B" w:rsidRDefault="005F19C7" w:rsidP="00446A46">
      <w:pPr>
        <w:spacing w:line="276" w:lineRule="auto"/>
        <w:ind w:left="720"/>
        <w:rPr>
          <w:rFonts w:cs="Calibri"/>
        </w:rPr>
      </w:pPr>
    </w:p>
    <w:p w:rsidR="005F19C7" w:rsidRPr="00573D9B" w:rsidRDefault="005F19C7" w:rsidP="00446A46">
      <w:pPr>
        <w:spacing w:line="276" w:lineRule="auto"/>
        <w:ind w:left="720"/>
        <w:rPr>
          <w:rFonts w:cs="Calibri"/>
        </w:rPr>
      </w:pPr>
    </w:p>
    <w:p w:rsidR="005F19C7" w:rsidRPr="00573D9B" w:rsidRDefault="005F19C7" w:rsidP="00446A46">
      <w:pPr>
        <w:spacing w:line="276" w:lineRule="auto"/>
        <w:ind w:left="720"/>
        <w:rPr>
          <w:rFonts w:cs="Calibri"/>
        </w:rPr>
      </w:pPr>
    </w:p>
    <w:p w:rsidR="005F19C7" w:rsidRDefault="005F19C7" w:rsidP="00446A46">
      <w:pPr>
        <w:pStyle w:val="ListParagraph"/>
        <w:spacing w:line="276" w:lineRule="auto"/>
        <w:ind w:left="1080"/>
        <w:rPr>
          <w:rFonts w:cs="Calibri"/>
          <w:b/>
          <w:i/>
        </w:rPr>
      </w:pPr>
    </w:p>
    <w:p w:rsidR="005F19C7" w:rsidRDefault="005F19C7" w:rsidP="00446A46">
      <w:pPr>
        <w:pStyle w:val="ListParagraph"/>
        <w:spacing w:line="276" w:lineRule="auto"/>
        <w:ind w:left="1080"/>
        <w:rPr>
          <w:rFonts w:cs="Calibri"/>
          <w:b/>
          <w:i/>
        </w:rPr>
      </w:pPr>
    </w:p>
    <w:p w:rsidR="005F19C7" w:rsidRDefault="005F19C7" w:rsidP="00446A46">
      <w:pPr>
        <w:pStyle w:val="ListParagraph"/>
        <w:spacing w:line="276" w:lineRule="auto"/>
        <w:ind w:left="1080"/>
        <w:rPr>
          <w:rFonts w:cs="Calibri"/>
          <w:b/>
          <w:i/>
        </w:rPr>
      </w:pPr>
    </w:p>
    <w:p w:rsidR="005F19C7" w:rsidRDefault="005F19C7" w:rsidP="00446A46">
      <w:pPr>
        <w:pStyle w:val="ListParagraph"/>
        <w:spacing w:line="276" w:lineRule="auto"/>
        <w:ind w:left="1080"/>
        <w:rPr>
          <w:rFonts w:cs="Calibri"/>
          <w:b/>
          <w:i/>
        </w:rPr>
      </w:pPr>
    </w:p>
    <w:p w:rsidR="005F19C7" w:rsidRDefault="005F0B9C" w:rsidP="00446A46">
      <w:pPr>
        <w:spacing w:line="276" w:lineRule="auto"/>
        <w:rPr>
          <w:rFonts w:asciiTheme="minorHAnsi" w:hAnsiTheme="minorHAnsi" w:cstheme="minorHAnsi"/>
        </w:rPr>
      </w:pPr>
      <w:r>
        <w:rPr>
          <w:noProof/>
        </w:rPr>
        <w:lastRenderedPageBreak/>
        <w:drawing>
          <wp:anchor distT="0" distB="0" distL="114300" distR="114300" simplePos="0" relativeHeight="251666432" behindDoc="1" locked="0" layoutInCell="1" allowOverlap="1" wp14:anchorId="37D82948" wp14:editId="7AB47DE7">
            <wp:simplePos x="0" y="0"/>
            <wp:positionH relativeFrom="column">
              <wp:posOffset>647700</wp:posOffset>
            </wp:positionH>
            <wp:positionV relativeFrom="paragraph">
              <wp:posOffset>133350</wp:posOffset>
            </wp:positionV>
            <wp:extent cx="3823335" cy="4721225"/>
            <wp:effectExtent l="0" t="0" r="5715" b="3175"/>
            <wp:wrapTight wrapText="bothSides">
              <wp:wrapPolygon edited="0">
                <wp:start x="0" y="0"/>
                <wp:lineTo x="0" y="21527"/>
                <wp:lineTo x="21525" y="21527"/>
                <wp:lineTo x="21525" y="0"/>
                <wp:lineTo x="0" y="0"/>
              </wp:wrapPolygon>
            </wp:wrapTight>
            <wp:docPr id="10" name="Picture 1" descr="Fig 10 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1" descr="Fig 10 ed.tif"/>
                    <pic:cNvPicPr>
                      <a:picLocks noChangeAspect="1"/>
                    </pic:cNvPicPr>
                  </pic:nvPicPr>
                  <pic:blipFill rotWithShape="1">
                    <a:blip r:embed="rId26" cstate="print">
                      <a:extLst>
                        <a:ext uri="{28A0092B-C50C-407E-A947-70E740481C1C}">
                          <a14:useLocalDpi xmlns:a14="http://schemas.microsoft.com/office/drawing/2010/main" val="0"/>
                        </a:ext>
                      </a:extLst>
                    </a:blip>
                    <a:srcRect l="7970" t="9538" r="10625" b="12498"/>
                    <a:stretch/>
                  </pic:blipFill>
                  <pic:spPr bwMode="auto">
                    <a:xfrm>
                      <a:off x="0" y="0"/>
                      <a:ext cx="3823335" cy="472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19C7" w:rsidRDefault="005F19C7" w:rsidP="00446A46">
      <w:pPr>
        <w:spacing w:line="276" w:lineRule="auto"/>
        <w:rPr>
          <w:rFonts w:asciiTheme="minorHAnsi" w:hAnsiTheme="minorHAnsi" w:cstheme="minorHAnsi"/>
        </w:rPr>
      </w:pPr>
    </w:p>
    <w:p w:rsidR="005F19C7" w:rsidRDefault="005F19C7" w:rsidP="00446A46">
      <w:pPr>
        <w:spacing w:line="276" w:lineRule="auto"/>
        <w:rPr>
          <w:rFonts w:asciiTheme="minorHAnsi" w:hAnsiTheme="minorHAnsi" w:cstheme="minorHAnsi"/>
        </w:rPr>
      </w:pPr>
    </w:p>
    <w:p w:rsidR="005F19C7" w:rsidRDefault="005F19C7" w:rsidP="00446A46">
      <w:pPr>
        <w:spacing w:line="276" w:lineRule="auto"/>
        <w:rPr>
          <w:rFonts w:asciiTheme="minorHAnsi" w:hAnsiTheme="minorHAnsi" w:cstheme="minorHAnsi"/>
        </w:rPr>
      </w:pPr>
    </w:p>
    <w:p w:rsidR="005F19C7" w:rsidRDefault="005F19C7" w:rsidP="00446A46">
      <w:pPr>
        <w:spacing w:line="276" w:lineRule="auto"/>
        <w:rPr>
          <w:rFonts w:asciiTheme="minorHAnsi" w:hAnsiTheme="minorHAnsi" w:cstheme="minorHAnsi"/>
        </w:rPr>
      </w:pPr>
    </w:p>
    <w:p w:rsidR="005F19C7" w:rsidRDefault="005F19C7" w:rsidP="00446A46">
      <w:pPr>
        <w:spacing w:line="276" w:lineRule="auto"/>
        <w:rPr>
          <w:rFonts w:asciiTheme="minorHAnsi" w:hAnsiTheme="minorHAnsi" w:cstheme="minorHAnsi"/>
        </w:rPr>
      </w:pPr>
    </w:p>
    <w:p w:rsidR="005F19C7" w:rsidRDefault="005F19C7" w:rsidP="00446A46">
      <w:pPr>
        <w:spacing w:line="276" w:lineRule="auto"/>
        <w:rPr>
          <w:rFonts w:asciiTheme="minorHAnsi" w:hAnsiTheme="minorHAnsi" w:cstheme="minorHAnsi"/>
        </w:rPr>
      </w:pPr>
    </w:p>
    <w:p w:rsidR="005F19C7" w:rsidRDefault="005F19C7" w:rsidP="00446A46">
      <w:pPr>
        <w:spacing w:line="276" w:lineRule="auto"/>
        <w:rPr>
          <w:rFonts w:asciiTheme="minorHAnsi" w:hAnsiTheme="minorHAnsi" w:cstheme="minorHAnsi"/>
        </w:rPr>
      </w:pPr>
    </w:p>
    <w:p w:rsidR="005F0B9C" w:rsidRDefault="005F0B9C" w:rsidP="00446A46">
      <w:pPr>
        <w:spacing w:line="276" w:lineRule="auto"/>
        <w:rPr>
          <w:rFonts w:asciiTheme="minorHAnsi" w:hAnsiTheme="minorHAnsi" w:cstheme="minorHAnsi"/>
        </w:rPr>
      </w:pPr>
    </w:p>
    <w:p w:rsidR="005F0B9C" w:rsidRDefault="005F0B9C" w:rsidP="00446A46">
      <w:pPr>
        <w:spacing w:line="276" w:lineRule="auto"/>
        <w:rPr>
          <w:rFonts w:asciiTheme="minorHAnsi" w:hAnsiTheme="minorHAnsi" w:cstheme="minorHAnsi"/>
        </w:rPr>
      </w:pPr>
    </w:p>
    <w:p w:rsidR="005F0B9C" w:rsidRDefault="005F0B9C" w:rsidP="00446A46">
      <w:pPr>
        <w:spacing w:line="276" w:lineRule="auto"/>
        <w:rPr>
          <w:rFonts w:asciiTheme="minorHAnsi" w:hAnsiTheme="minorHAnsi" w:cstheme="minorHAnsi"/>
        </w:rPr>
      </w:pPr>
    </w:p>
    <w:p w:rsidR="005F0B9C" w:rsidRDefault="005F0B9C" w:rsidP="00446A46">
      <w:pPr>
        <w:spacing w:line="276" w:lineRule="auto"/>
        <w:rPr>
          <w:rFonts w:asciiTheme="minorHAnsi" w:hAnsiTheme="minorHAnsi" w:cstheme="minorHAnsi"/>
        </w:rPr>
      </w:pPr>
    </w:p>
    <w:p w:rsidR="005F0B9C" w:rsidRDefault="005F0B9C" w:rsidP="00446A46">
      <w:pPr>
        <w:spacing w:line="276" w:lineRule="auto"/>
        <w:rPr>
          <w:rFonts w:asciiTheme="minorHAnsi" w:hAnsiTheme="minorHAnsi" w:cstheme="minorHAnsi"/>
        </w:rPr>
      </w:pPr>
    </w:p>
    <w:p w:rsidR="005F0B9C" w:rsidRDefault="005F0B9C" w:rsidP="00446A46">
      <w:pPr>
        <w:spacing w:line="276" w:lineRule="auto"/>
        <w:rPr>
          <w:rFonts w:asciiTheme="minorHAnsi" w:hAnsiTheme="minorHAnsi" w:cstheme="minorHAnsi"/>
        </w:rPr>
      </w:pPr>
    </w:p>
    <w:p w:rsidR="005F0B9C" w:rsidRDefault="005F0B9C" w:rsidP="00446A46">
      <w:pPr>
        <w:spacing w:line="276" w:lineRule="auto"/>
        <w:rPr>
          <w:rFonts w:asciiTheme="minorHAnsi" w:hAnsiTheme="minorHAnsi" w:cstheme="minorHAnsi"/>
        </w:rPr>
      </w:pPr>
    </w:p>
    <w:p w:rsidR="005F0B9C" w:rsidRDefault="005F0B9C" w:rsidP="00446A46">
      <w:pPr>
        <w:spacing w:line="276" w:lineRule="auto"/>
        <w:rPr>
          <w:rFonts w:asciiTheme="minorHAnsi" w:hAnsiTheme="minorHAnsi" w:cstheme="minorHAnsi"/>
        </w:rPr>
      </w:pPr>
    </w:p>
    <w:p w:rsidR="005F0B9C" w:rsidRDefault="005F0B9C" w:rsidP="00446A46">
      <w:pPr>
        <w:spacing w:line="276" w:lineRule="auto"/>
        <w:rPr>
          <w:rFonts w:asciiTheme="minorHAnsi" w:hAnsiTheme="minorHAnsi" w:cstheme="minorHAnsi"/>
        </w:rPr>
      </w:pPr>
    </w:p>
    <w:p w:rsidR="005F0B9C" w:rsidRDefault="005F0B9C" w:rsidP="00446A46">
      <w:pPr>
        <w:spacing w:line="276" w:lineRule="auto"/>
        <w:rPr>
          <w:rFonts w:asciiTheme="minorHAnsi" w:hAnsiTheme="minorHAnsi" w:cstheme="minorHAnsi"/>
        </w:rPr>
      </w:pPr>
    </w:p>
    <w:p w:rsidR="005F0B9C" w:rsidRDefault="005F0B9C" w:rsidP="00446A46">
      <w:pPr>
        <w:spacing w:line="276" w:lineRule="auto"/>
        <w:rPr>
          <w:rFonts w:asciiTheme="minorHAnsi" w:hAnsiTheme="minorHAnsi" w:cstheme="minorHAnsi"/>
        </w:rPr>
      </w:pPr>
    </w:p>
    <w:p w:rsidR="005F0B9C" w:rsidRDefault="005F0B9C" w:rsidP="00446A46">
      <w:pPr>
        <w:spacing w:line="276" w:lineRule="auto"/>
        <w:rPr>
          <w:rFonts w:asciiTheme="minorHAnsi" w:hAnsiTheme="minorHAnsi" w:cstheme="minorHAnsi"/>
        </w:rPr>
      </w:pPr>
    </w:p>
    <w:p w:rsidR="005F0B9C" w:rsidRDefault="005F0B9C" w:rsidP="00446A46">
      <w:pPr>
        <w:spacing w:line="276" w:lineRule="auto"/>
        <w:rPr>
          <w:rFonts w:asciiTheme="minorHAnsi" w:hAnsiTheme="minorHAnsi" w:cstheme="minorHAnsi"/>
        </w:rPr>
      </w:pPr>
    </w:p>
    <w:p w:rsidR="005F0B9C" w:rsidRDefault="005F0B9C" w:rsidP="00446A46">
      <w:pPr>
        <w:spacing w:line="276" w:lineRule="auto"/>
        <w:rPr>
          <w:rFonts w:asciiTheme="minorHAnsi" w:hAnsiTheme="minorHAnsi" w:cstheme="minorHAnsi"/>
        </w:rPr>
      </w:pPr>
    </w:p>
    <w:p w:rsidR="005F0B9C" w:rsidRDefault="005F0B9C" w:rsidP="00446A46">
      <w:pPr>
        <w:spacing w:line="276" w:lineRule="auto"/>
        <w:rPr>
          <w:rFonts w:asciiTheme="minorHAnsi" w:hAnsiTheme="minorHAnsi" w:cstheme="minorHAnsi"/>
        </w:rPr>
      </w:pPr>
    </w:p>
    <w:p w:rsidR="005F19C7" w:rsidRPr="00192018" w:rsidRDefault="002A1ED2">
      <w:pPr>
        <w:pStyle w:val="TOF"/>
      </w:pPr>
      <w:bookmarkStart w:id="47" w:name="_Toc398192178"/>
      <w:bookmarkStart w:id="48" w:name="_Toc433370088"/>
      <w:r>
        <w:t>F</w:t>
      </w:r>
      <w:r w:rsidR="005F19C7" w:rsidRPr="00192018">
        <w:t>igure 3.</w:t>
      </w:r>
      <w:r w:rsidR="00446A46">
        <w:t>5</w:t>
      </w:r>
      <w:r w:rsidR="005F19C7" w:rsidRPr="00192018">
        <w:t>. Example of relationships between chlorophyll</w:t>
      </w:r>
      <w:r w:rsidR="002A6F35">
        <w:t>-</w:t>
      </w:r>
      <w:r w:rsidR="005F19C7" w:rsidRPr="00192018">
        <w:t>a, cyanobacteria Microsystis spp. abundance, and toxin concentrations, From L. W. Harding et al.</w:t>
      </w:r>
      <w:r w:rsidR="00D72900">
        <w:t xml:space="preserve"> </w:t>
      </w:r>
      <w:r w:rsidR="005F19C7" w:rsidRPr="00192018">
        <w:t>2013. Scientific bases for numerical chlorophyll criteria in Chesapeake Bay.</w:t>
      </w:r>
      <w:r w:rsidR="00D72900">
        <w:t xml:space="preserve"> </w:t>
      </w:r>
      <w:r w:rsidR="005F19C7" w:rsidRPr="00947DFD">
        <w:rPr>
          <w:i/>
        </w:rPr>
        <w:t>Estuaries and Coasts</w:t>
      </w:r>
      <w:r w:rsidR="005F19C7" w:rsidRPr="00192018">
        <w:t xml:space="preserve"> doi:10.1007/s12237-013-9656-6</w:t>
      </w:r>
      <w:bookmarkEnd w:id="47"/>
      <w:bookmarkEnd w:id="48"/>
    </w:p>
    <w:p w:rsidR="005D6FC2" w:rsidRDefault="005D6FC2"/>
    <w:p w:rsidR="00A10E48" w:rsidRDefault="005F19C7">
      <w:r w:rsidRPr="00F87427">
        <w:t>A number of factors can</w:t>
      </w:r>
      <w:r w:rsidR="008D5C0D">
        <w:t xml:space="preserve"> lead to</w:t>
      </w:r>
      <w:r w:rsidR="00A10E48">
        <w:t xml:space="preserve"> </w:t>
      </w:r>
      <w:r w:rsidR="00A10E48" w:rsidRPr="00947DFD">
        <w:rPr>
          <w:b/>
        </w:rPr>
        <w:t>low phytoplankton biomass and productivity</w:t>
      </w:r>
      <w:r w:rsidR="00A10E48" w:rsidRPr="00947DFD">
        <w:t xml:space="preserve"> (S5, Table 3.2) </w:t>
      </w:r>
      <w:r w:rsidR="00A10E48">
        <w:t>and</w:t>
      </w:r>
      <w:r w:rsidRPr="00F87427">
        <w:t xml:space="preserve"> </w:t>
      </w:r>
      <w:r w:rsidR="008D5C0D" w:rsidRPr="00947DFD">
        <w:rPr>
          <w:b/>
        </w:rPr>
        <w:t>suboptimal phytoplankton assemblages that impact food quality</w:t>
      </w:r>
      <w:r w:rsidR="008D5C0D" w:rsidRPr="00A10E48">
        <w:t xml:space="preserve"> </w:t>
      </w:r>
      <w:r w:rsidR="008D5C0D">
        <w:t>(S</w:t>
      </w:r>
      <w:r w:rsidR="00A10E48">
        <w:t>6</w:t>
      </w:r>
      <w:r w:rsidR="008D5C0D">
        <w:t>, Table 3.2), a phenomenon marked by a shift in</w:t>
      </w:r>
      <w:r w:rsidRPr="00F87427">
        <w:t xml:space="preserve"> </w:t>
      </w:r>
      <w:r w:rsidRPr="00947DFD">
        <w:t>phytoplankton community composition</w:t>
      </w:r>
      <w:r w:rsidRPr="00F87427">
        <w:t xml:space="preserve"> away from assemblages </w:t>
      </w:r>
      <w:r w:rsidR="00947DFD">
        <w:t xml:space="preserve">found under minimally disturbed conditions, </w:t>
      </w:r>
      <w:r w:rsidRPr="00F87427">
        <w:t xml:space="preserve">toward smaller, suboptimal compositions that do not adequately sustain organisms at higher trophic levels. </w:t>
      </w:r>
    </w:p>
    <w:p w:rsidR="00A10E48" w:rsidRDefault="00A10E48"/>
    <w:p w:rsidR="00A10E48" w:rsidRDefault="003A3F87">
      <w:r>
        <w:t>Two metrics have been discussed</w:t>
      </w:r>
      <w:r w:rsidR="00A10E48">
        <w:t xml:space="preserve"> for measuring adverse changes to phytoplankton communities:</w:t>
      </w:r>
    </w:p>
    <w:p w:rsidR="00590082" w:rsidRDefault="00590082"/>
    <w:p w:rsidR="00F00B5F" w:rsidRDefault="00590082" w:rsidP="00947DFD">
      <w:pPr>
        <w:pStyle w:val="ListParagraph"/>
        <w:numPr>
          <w:ilvl w:val="0"/>
          <w:numId w:val="29"/>
        </w:numPr>
      </w:pPr>
      <w:r>
        <w:rPr>
          <w:b/>
        </w:rPr>
        <w:t>Fraction of s</w:t>
      </w:r>
      <w:r w:rsidR="0025718C" w:rsidRPr="00A10E48">
        <w:rPr>
          <w:b/>
        </w:rPr>
        <w:t>mall</w:t>
      </w:r>
      <w:r>
        <w:rPr>
          <w:b/>
        </w:rPr>
        <w:t>-</w:t>
      </w:r>
      <w:r w:rsidR="0025718C" w:rsidRPr="00A10E48">
        <w:rPr>
          <w:b/>
        </w:rPr>
        <w:t>size</w:t>
      </w:r>
      <w:r>
        <w:rPr>
          <w:b/>
        </w:rPr>
        <w:t>d</w:t>
      </w:r>
      <w:r w:rsidR="0025718C" w:rsidRPr="00A10E48">
        <w:rPr>
          <w:b/>
        </w:rPr>
        <w:t xml:space="preserve"> </w:t>
      </w:r>
      <w:r>
        <w:rPr>
          <w:b/>
        </w:rPr>
        <w:t>phytoplankton</w:t>
      </w:r>
      <w:r w:rsidR="00A10E48">
        <w:t>:</w:t>
      </w:r>
      <w:r w:rsidR="00D72900" w:rsidRPr="00A10E48">
        <w:rPr>
          <w:b/>
        </w:rPr>
        <w:t xml:space="preserve"> </w:t>
      </w:r>
      <w:r w:rsidR="0025718C" w:rsidRPr="00F87427">
        <w:t>Fisheries yield</w:t>
      </w:r>
      <w:r>
        <w:t>s</w:t>
      </w:r>
      <w:r w:rsidR="0025718C" w:rsidRPr="00F87427">
        <w:t xml:space="preserve"> </w:t>
      </w:r>
      <w:r>
        <w:t>are</w:t>
      </w:r>
      <w:r w:rsidRPr="00F87427">
        <w:t xml:space="preserve"> </w:t>
      </w:r>
      <w:r w:rsidR="0025718C" w:rsidRPr="00F87427">
        <w:t>correlated to phytoplankton biomass (e.g.</w:t>
      </w:r>
      <w:r w:rsidR="002A6F35">
        <w:t>,</w:t>
      </w:r>
      <w:r w:rsidR="0025718C" w:rsidRPr="00F87427">
        <w:t xml:space="preserve"> </w:t>
      </w:r>
      <w:proofErr w:type="spellStart"/>
      <w:r w:rsidR="0025718C" w:rsidRPr="00F87427">
        <w:t>biovolume</w:t>
      </w:r>
      <w:proofErr w:type="spellEnd"/>
      <w:r w:rsidR="0025718C" w:rsidRPr="00F87427">
        <w:t>) and primary productivity (</w:t>
      </w:r>
      <w:proofErr w:type="spellStart"/>
      <w:r w:rsidR="0025718C" w:rsidRPr="00F87427">
        <w:t>Friedland</w:t>
      </w:r>
      <w:proofErr w:type="spellEnd"/>
      <w:r w:rsidR="0025718C" w:rsidRPr="00F87427">
        <w:t xml:space="preserve"> et al. 2012; Figure </w:t>
      </w:r>
      <w:r w:rsidR="0025718C">
        <w:t>3.</w:t>
      </w:r>
      <w:r w:rsidR="00947DFD">
        <w:t>6</w:t>
      </w:r>
      <w:r w:rsidR="0025718C" w:rsidRPr="00F87427">
        <w:t xml:space="preserve">). </w:t>
      </w:r>
      <w:r>
        <w:t xml:space="preserve">When the portion of </w:t>
      </w:r>
      <w:proofErr w:type="spellStart"/>
      <w:r w:rsidR="0025718C" w:rsidRPr="00F87427">
        <w:t>picophytoplankton</w:t>
      </w:r>
      <w:proofErr w:type="spellEnd"/>
      <w:r w:rsidR="0025718C" w:rsidRPr="00F87427">
        <w:t xml:space="preserve"> (&lt; 5 microns) </w:t>
      </w:r>
      <w:r>
        <w:t>grows, the result is a comparatively lower t</w:t>
      </w:r>
      <w:r w:rsidRPr="00F87427">
        <w:t>rophic transfer of energy and carbon up the food web</w:t>
      </w:r>
      <w:r w:rsidR="0025718C" w:rsidRPr="00F87427">
        <w:t xml:space="preserve"> (e.g.</w:t>
      </w:r>
      <w:r w:rsidR="002A6F35">
        <w:t>,</w:t>
      </w:r>
      <w:r w:rsidR="0025718C" w:rsidRPr="00F87427">
        <w:t xml:space="preserve"> Figure </w:t>
      </w:r>
      <w:r w:rsidR="0025718C">
        <w:t>3.6</w:t>
      </w:r>
      <w:r w:rsidR="0025718C" w:rsidRPr="00F87427">
        <w:t>)</w:t>
      </w:r>
      <w:r>
        <w:t xml:space="preserve"> than is seen with other phytoplankton</w:t>
      </w:r>
      <w:r w:rsidR="0025718C" w:rsidRPr="00F87427">
        <w:t xml:space="preserve">, </w:t>
      </w:r>
      <w:r>
        <w:t>which results</w:t>
      </w:r>
      <w:r w:rsidRPr="00F87427">
        <w:t xml:space="preserve"> </w:t>
      </w:r>
      <w:r w:rsidR="0025718C" w:rsidRPr="00F87427">
        <w:t>in lower fisheries yield</w:t>
      </w:r>
      <w:r>
        <w:t>s</w:t>
      </w:r>
      <w:r w:rsidR="0025718C" w:rsidRPr="00F87427">
        <w:t xml:space="preserve">. </w:t>
      </w:r>
    </w:p>
    <w:p w:rsidR="0025718C" w:rsidRDefault="0025718C" w:rsidP="00947DFD">
      <w:pPr>
        <w:pStyle w:val="ListParagraph"/>
        <w:spacing w:line="276" w:lineRule="auto"/>
        <w:rPr>
          <w:rFonts w:cs="Calibri"/>
        </w:rPr>
      </w:pPr>
      <w:r w:rsidRPr="00844644">
        <w:rPr>
          <w:noProof/>
        </w:rPr>
        <w:lastRenderedPageBreak/>
        <w:drawing>
          <wp:inline distT="0" distB="0" distL="0" distR="0" wp14:anchorId="794F0372" wp14:editId="6744286B">
            <wp:extent cx="4524375" cy="3562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1816" r="14335" b="14962"/>
                    <a:stretch/>
                  </pic:blipFill>
                  <pic:spPr bwMode="auto">
                    <a:xfrm>
                      <a:off x="0" y="0"/>
                      <a:ext cx="4524375" cy="3562350"/>
                    </a:xfrm>
                    <a:prstGeom prst="rect">
                      <a:avLst/>
                    </a:prstGeom>
                    <a:ln>
                      <a:noFill/>
                    </a:ln>
                    <a:extLst>
                      <a:ext uri="{53640926-AAD7-44D8-BBD7-CCE9431645EC}">
                        <a14:shadowObscured xmlns:a14="http://schemas.microsoft.com/office/drawing/2010/main"/>
                      </a:ext>
                    </a:extLst>
                  </pic:spPr>
                </pic:pic>
              </a:graphicData>
            </a:graphic>
          </wp:inline>
        </w:drawing>
      </w:r>
    </w:p>
    <w:p w:rsidR="0025718C" w:rsidRPr="00192018" w:rsidRDefault="0025718C" w:rsidP="00590082">
      <w:pPr>
        <w:pStyle w:val="TOF"/>
        <w:ind w:left="720"/>
      </w:pPr>
      <w:bookmarkStart w:id="49" w:name="_Toc398192177"/>
      <w:bookmarkStart w:id="50" w:name="_Toc433370089"/>
      <w:r w:rsidRPr="00192018">
        <w:t>Figure 3.</w:t>
      </w:r>
      <w:r w:rsidR="00947DFD">
        <w:t>6</w:t>
      </w:r>
      <w:r w:rsidRPr="00192018">
        <w:t>. Example of a marine food web showing the complex pico-phytoplankton and diatom food web structure in diatom-dominated blooms. For simplicity</w:t>
      </w:r>
      <w:r w:rsidR="002526DF">
        <w:t>,</w:t>
      </w:r>
      <w:r w:rsidRPr="00192018">
        <w:t xml:space="preserve"> the regeneration paths are shown only on the left side of the figure (Source: Barber and Hisock 2006)</w:t>
      </w:r>
      <w:bookmarkEnd w:id="49"/>
      <w:r w:rsidRPr="00192018">
        <w:t>.</w:t>
      </w:r>
      <w:bookmarkEnd w:id="50"/>
    </w:p>
    <w:p w:rsidR="0025718C" w:rsidRDefault="0025718C" w:rsidP="00947DFD">
      <w:pPr>
        <w:spacing w:line="276" w:lineRule="auto"/>
        <w:rPr>
          <w:rFonts w:asciiTheme="minorHAnsi" w:hAnsiTheme="minorHAnsi" w:cstheme="minorHAnsi"/>
        </w:rPr>
      </w:pPr>
    </w:p>
    <w:p w:rsidR="00590082" w:rsidRDefault="00590082" w:rsidP="00947DFD">
      <w:pPr>
        <w:pStyle w:val="ListParagraph"/>
        <w:numPr>
          <w:ilvl w:val="0"/>
          <w:numId w:val="29"/>
        </w:numPr>
      </w:pPr>
      <w:r w:rsidRPr="00947DFD">
        <w:rPr>
          <w:b/>
        </w:rPr>
        <w:t>I</w:t>
      </w:r>
      <w:r w:rsidR="005974C3" w:rsidRPr="00590082">
        <w:rPr>
          <w:b/>
        </w:rPr>
        <w:t>ndex of phytoplankton food quality</w:t>
      </w:r>
      <w:r>
        <w:t>:</w:t>
      </w:r>
      <w:r w:rsidR="0025718C" w:rsidRPr="00590082">
        <w:rPr>
          <w:b/>
        </w:rPr>
        <w:t xml:space="preserve"> </w:t>
      </w:r>
      <w:r>
        <w:t>This index</w:t>
      </w:r>
      <w:r w:rsidR="005974C3">
        <w:t xml:space="preserve"> utilize</w:t>
      </w:r>
      <w:r>
        <w:t>s</w:t>
      </w:r>
      <w:r w:rsidR="005974C3">
        <w:t xml:space="preserve"> data on phytoplankton composition to </w:t>
      </w:r>
      <w:r w:rsidR="00974D10">
        <w:t>characterize</w:t>
      </w:r>
      <w:r w:rsidR="005974C3">
        <w:t xml:space="preserve"> the </w:t>
      </w:r>
      <w:r w:rsidR="00974D10">
        <w:t>“</w:t>
      </w:r>
      <w:r w:rsidR="005F19C7" w:rsidRPr="004B250F">
        <w:t>food quality</w:t>
      </w:r>
      <w:r w:rsidR="00974D10">
        <w:t>”</w:t>
      </w:r>
      <w:r w:rsidR="005F19C7" w:rsidRPr="004B250F">
        <w:t xml:space="preserve"> </w:t>
      </w:r>
      <w:r w:rsidR="00974D10">
        <w:t xml:space="preserve">that </w:t>
      </w:r>
      <w:r>
        <w:t>phytoplankton</w:t>
      </w:r>
      <w:r w:rsidRPr="004B250F">
        <w:t xml:space="preserve"> </w:t>
      </w:r>
      <w:r w:rsidR="005F19C7" w:rsidRPr="004B250F">
        <w:t>represent</w:t>
      </w:r>
      <w:r w:rsidR="005974C3">
        <w:t xml:space="preserve"> </w:t>
      </w:r>
      <w:r>
        <w:t xml:space="preserve">in </w:t>
      </w:r>
      <w:r w:rsidR="00E85E2E">
        <w:t>support</w:t>
      </w:r>
      <w:r>
        <w:t>ing</w:t>
      </w:r>
      <w:r w:rsidR="00E85E2E">
        <w:t xml:space="preserve"> productivity of</w:t>
      </w:r>
      <w:r w:rsidR="005974C3">
        <w:t xml:space="preserve"> upper trophic levels</w:t>
      </w:r>
      <w:r w:rsidR="00E85E2E">
        <w:t xml:space="preserve">. This is </w:t>
      </w:r>
      <w:r w:rsidR="00535CEA">
        <w:t xml:space="preserve">a key pathway to link </w:t>
      </w:r>
      <w:r w:rsidR="00974D10">
        <w:t xml:space="preserve">phytoplankton composition </w:t>
      </w:r>
      <w:r w:rsidR="00535CEA">
        <w:t xml:space="preserve">to </w:t>
      </w:r>
      <w:r w:rsidR="00EE07CA">
        <w:t>beneficial uses</w:t>
      </w:r>
      <w:r w:rsidR="002A6F35">
        <w:t>,</w:t>
      </w:r>
      <w:r w:rsidR="00EE07CA">
        <w:t xml:space="preserve"> </w:t>
      </w:r>
      <w:r w:rsidR="00974D10">
        <w:t>such as</w:t>
      </w:r>
      <w:r w:rsidR="00535CEA">
        <w:t xml:space="preserve"> commercial and recreationally</w:t>
      </w:r>
      <w:r w:rsidR="001353E6">
        <w:t xml:space="preserve"> </w:t>
      </w:r>
      <w:r w:rsidR="00535CEA">
        <w:t>important fisheries</w:t>
      </w:r>
      <w:r w:rsidR="00EE07CA">
        <w:t xml:space="preserve"> (i.e.</w:t>
      </w:r>
      <w:r w:rsidR="002A6F35">
        <w:t>,</w:t>
      </w:r>
      <w:r w:rsidR="00EE07CA">
        <w:t xml:space="preserve"> EST, COMM, RARE)</w:t>
      </w:r>
      <w:r w:rsidR="00535CEA">
        <w:t>.</w:t>
      </w:r>
      <w:r w:rsidR="00D72900">
        <w:t xml:space="preserve"> </w:t>
      </w:r>
      <w:r w:rsidR="004D1CEC">
        <w:t xml:space="preserve">The concept of a phytoplankton food quality index </w:t>
      </w:r>
      <w:r w:rsidR="004D1CEC" w:rsidRPr="004D1CEC">
        <w:t>is based on laboratory</w:t>
      </w:r>
      <w:r w:rsidR="004D1CEC">
        <w:t xml:space="preserve"> </w:t>
      </w:r>
      <w:r w:rsidR="004D1CEC" w:rsidRPr="004D1CEC">
        <w:t>experiments showing that growth efficiency of crustacean</w:t>
      </w:r>
      <w:r w:rsidR="004D1CEC">
        <w:t xml:space="preserve"> </w:t>
      </w:r>
      <w:r w:rsidR="004D1CEC" w:rsidRPr="004D1CEC">
        <w:t>zooplankton is highest when they are fed algae enriched</w:t>
      </w:r>
      <w:r w:rsidR="004D1CEC">
        <w:t xml:space="preserve"> </w:t>
      </w:r>
      <w:r w:rsidR="004D1CEC" w:rsidRPr="004D1CEC">
        <w:t>in highly unsaturated fatty acids (</w:t>
      </w:r>
      <w:proofErr w:type="spellStart"/>
      <w:r w:rsidR="004D1CEC" w:rsidRPr="004D1CEC">
        <w:t>cryptomonads</w:t>
      </w:r>
      <w:proofErr w:type="spellEnd"/>
      <w:r w:rsidR="004D1CEC" w:rsidRPr="004D1CEC">
        <w:t xml:space="preserve"> and</w:t>
      </w:r>
      <w:r w:rsidR="004D1CEC">
        <w:t xml:space="preserve"> </w:t>
      </w:r>
      <w:r w:rsidR="004D1CEC" w:rsidRPr="004D1CEC">
        <w:t>diatoms), and lowest when fed algae poor in these essential</w:t>
      </w:r>
      <w:r w:rsidR="004D1CEC">
        <w:t xml:space="preserve"> </w:t>
      </w:r>
      <w:r w:rsidR="004D1CEC" w:rsidRPr="004D1CEC">
        <w:t>fatty acids (</w:t>
      </w:r>
      <w:r w:rsidR="004D1CEC">
        <w:t>e.g.</w:t>
      </w:r>
      <w:r w:rsidR="002A6F35">
        <w:t>,</w:t>
      </w:r>
      <w:r w:rsidR="004D1CEC">
        <w:t xml:space="preserve"> </w:t>
      </w:r>
      <w:r w:rsidR="004D1CEC" w:rsidRPr="004D1CEC">
        <w:t>cyanobacteria; Brett and Müller-Navarra</w:t>
      </w:r>
      <w:r w:rsidR="004D1CEC">
        <w:t xml:space="preserve"> </w:t>
      </w:r>
      <w:r w:rsidR="004D1CEC" w:rsidRPr="004D1CEC">
        <w:t xml:space="preserve">1997). </w:t>
      </w:r>
    </w:p>
    <w:p w:rsidR="00590082" w:rsidRDefault="00590082" w:rsidP="00947DFD">
      <w:pPr>
        <w:pStyle w:val="ListParagraph"/>
        <w:rPr>
          <w:b/>
        </w:rPr>
      </w:pPr>
    </w:p>
    <w:p w:rsidR="00590082" w:rsidRDefault="004D1CEC" w:rsidP="00947DFD">
      <w:pPr>
        <w:pStyle w:val="ListParagraph"/>
      </w:pPr>
      <w:r>
        <w:t xml:space="preserve">Based on </w:t>
      </w:r>
      <w:r w:rsidR="00810EE6">
        <w:t xml:space="preserve">Galloway and </w:t>
      </w:r>
      <w:r w:rsidR="008E34AF">
        <w:t>W</w:t>
      </w:r>
      <w:r w:rsidR="00810EE6">
        <w:t xml:space="preserve">inder (2015), </w:t>
      </w:r>
      <w:r>
        <w:t xml:space="preserve">the </w:t>
      </w:r>
      <w:r w:rsidR="00810EE6">
        <w:t xml:space="preserve">fatty-acid </w:t>
      </w:r>
      <w:r>
        <w:t>food quality index (FQI) can be computed from</w:t>
      </w:r>
      <w:r w:rsidR="00810EE6">
        <w:t xml:space="preserve"> the average composition of long chained essential fatty acids (LCEFA) at the algal taxonomic group level (</w:t>
      </w:r>
      <w:r w:rsidR="00B67B7A">
        <w:t xml:space="preserve">Park et al. 2003, Galloway and </w:t>
      </w:r>
      <w:r w:rsidR="00947DFD">
        <w:t>W</w:t>
      </w:r>
      <w:r w:rsidR="00B67B7A">
        <w:t>inder 2015</w:t>
      </w:r>
      <w:r w:rsidR="00810EE6">
        <w:t>).</w:t>
      </w:r>
      <w:r>
        <w:t xml:space="preserve"> </w:t>
      </w:r>
    </w:p>
    <w:p w:rsidR="00590082" w:rsidRDefault="00590082" w:rsidP="00947DFD">
      <w:pPr>
        <w:pStyle w:val="ListParagraph"/>
      </w:pPr>
    </w:p>
    <w:p w:rsidR="00810EE6" w:rsidRPr="00810EE6" w:rsidRDefault="00810EE6" w:rsidP="00947DFD">
      <w:pPr>
        <w:pStyle w:val="ListParagraph"/>
      </w:pPr>
      <w:r w:rsidRPr="00810EE6">
        <w:t>The scale of the index (0–1; Eq</w:t>
      </w:r>
      <w:r>
        <w:t xml:space="preserve">uation </w:t>
      </w:r>
      <w:r w:rsidRPr="00810EE6">
        <w:t xml:space="preserve">1) </w:t>
      </w:r>
      <w:r>
        <w:t>is</w:t>
      </w:r>
      <w:r w:rsidRPr="00810EE6">
        <w:t xml:space="preserve"> defined by calculating the relative quality of each algal group (</w:t>
      </w:r>
      <w:proofErr w:type="spellStart"/>
      <w:r w:rsidRPr="00810EE6">
        <w:t>AG</w:t>
      </w:r>
      <w:r>
        <w:t>i</w:t>
      </w:r>
      <w:proofErr w:type="spellEnd"/>
      <w:r w:rsidRPr="00947DFD">
        <w:t xml:space="preserve">) </w:t>
      </w:r>
      <w:r w:rsidRPr="00810EE6">
        <w:t xml:space="preserve">compared to the maximal LCEFA content of all AG: </w:t>
      </w:r>
    </w:p>
    <w:p w:rsidR="00810EE6" w:rsidRPr="00810EE6" w:rsidRDefault="00810EE6" w:rsidP="00947DFD">
      <w:pPr>
        <w:spacing w:line="276" w:lineRule="auto"/>
        <w:rPr>
          <w:rFonts w:asciiTheme="minorHAnsi" w:hAnsiTheme="minorHAnsi" w:cstheme="minorHAnsi"/>
        </w:rPr>
      </w:pPr>
    </w:p>
    <w:p w:rsidR="004D1CEC" w:rsidRPr="00947DFD" w:rsidRDefault="002478DD" w:rsidP="00947DFD">
      <w:pPr>
        <w:jc w:val="center"/>
        <w:rPr>
          <w:rFonts w:ascii="Arial" w:hAnsi="Arial" w:cs="Arial"/>
          <w:b/>
          <w:sz w:val="22"/>
          <w:szCs w:val="22"/>
        </w:rPr>
      </w:pPr>
      <w:proofErr w:type="gramStart"/>
      <w:r w:rsidRPr="00947DFD">
        <w:rPr>
          <w:rFonts w:ascii="Arial" w:hAnsi="Arial" w:cs="Arial"/>
          <w:b/>
          <w:sz w:val="22"/>
          <w:szCs w:val="22"/>
        </w:rPr>
        <w:t>Equation 1.</w:t>
      </w:r>
      <w:proofErr w:type="gramEnd"/>
      <w:r w:rsidRPr="00947DFD">
        <w:rPr>
          <w:rFonts w:ascii="Arial" w:hAnsi="Arial" w:cs="Arial"/>
          <w:b/>
          <w:sz w:val="22"/>
          <w:szCs w:val="22"/>
        </w:rPr>
        <w:t xml:space="preserve"> </w:t>
      </w:r>
      <w:r w:rsidRPr="00947DFD">
        <w:rPr>
          <w:rFonts w:ascii="Arial" w:hAnsi="Arial" w:cs="Arial"/>
          <w:b/>
          <w:sz w:val="22"/>
          <w:szCs w:val="22"/>
        </w:rPr>
        <w:tab/>
        <w:t>FQI</w:t>
      </w:r>
      <w:r w:rsidR="00C17C7A" w:rsidRPr="00947DFD">
        <w:rPr>
          <w:rFonts w:ascii="Arial" w:hAnsi="Arial" w:cs="Arial"/>
          <w:b/>
          <w:sz w:val="22"/>
          <w:szCs w:val="22"/>
        </w:rPr>
        <w:t xml:space="preserve"> </w:t>
      </w:r>
      <w:r w:rsidR="004D1CEC" w:rsidRPr="00947DFD">
        <w:rPr>
          <w:rFonts w:ascii="Arial" w:hAnsi="Arial" w:cs="Arial"/>
          <w:b/>
          <w:sz w:val="22"/>
          <w:szCs w:val="22"/>
        </w:rPr>
        <w:t xml:space="preserve">= </w:t>
      </w:r>
      <w:proofErr w:type="spellStart"/>
      <w:r w:rsidR="00C17C7A" w:rsidRPr="00947DFD">
        <w:rPr>
          <w:rFonts w:ascii="Arial" w:hAnsi="Arial" w:cs="Arial"/>
          <w:b/>
          <w:sz w:val="22"/>
          <w:szCs w:val="22"/>
        </w:rPr>
        <w:t>AGcy</w:t>
      </w:r>
      <w:proofErr w:type="spellEnd"/>
      <w:r w:rsidR="004D1CEC" w:rsidRPr="00947DFD">
        <w:rPr>
          <w:rFonts w:ascii="Arial" w:hAnsi="Arial" w:cs="Arial"/>
          <w:b/>
          <w:sz w:val="22"/>
          <w:szCs w:val="22"/>
        </w:rPr>
        <w:t>*</w:t>
      </w:r>
      <w:proofErr w:type="spellStart"/>
      <w:r w:rsidR="004D1CEC" w:rsidRPr="00947DFD">
        <w:rPr>
          <w:rFonts w:ascii="Arial" w:hAnsi="Arial" w:cs="Arial"/>
          <w:b/>
          <w:sz w:val="22"/>
          <w:szCs w:val="22"/>
        </w:rPr>
        <w:t>Pcy</w:t>
      </w:r>
      <w:proofErr w:type="spellEnd"/>
      <w:r w:rsidR="004D1CEC" w:rsidRPr="00947DFD">
        <w:rPr>
          <w:rFonts w:ascii="Arial" w:hAnsi="Arial" w:cs="Arial"/>
          <w:b/>
          <w:sz w:val="22"/>
          <w:szCs w:val="22"/>
        </w:rPr>
        <w:t xml:space="preserve"> + </w:t>
      </w:r>
      <w:proofErr w:type="spellStart"/>
      <w:r w:rsidR="00C17C7A" w:rsidRPr="00947DFD">
        <w:rPr>
          <w:rFonts w:ascii="Arial" w:hAnsi="Arial" w:cs="Arial"/>
          <w:b/>
          <w:sz w:val="22"/>
          <w:szCs w:val="22"/>
        </w:rPr>
        <w:t>AGgr</w:t>
      </w:r>
      <w:proofErr w:type="spellEnd"/>
      <w:r w:rsidR="004D1CEC" w:rsidRPr="00947DFD">
        <w:rPr>
          <w:rFonts w:ascii="Arial" w:hAnsi="Arial" w:cs="Arial"/>
          <w:b/>
          <w:sz w:val="22"/>
          <w:szCs w:val="22"/>
        </w:rPr>
        <w:t>*</w:t>
      </w:r>
      <w:proofErr w:type="spellStart"/>
      <w:r w:rsidR="004D1CEC" w:rsidRPr="00947DFD">
        <w:rPr>
          <w:rFonts w:ascii="Arial" w:hAnsi="Arial" w:cs="Arial"/>
          <w:b/>
          <w:sz w:val="22"/>
          <w:szCs w:val="22"/>
        </w:rPr>
        <w:t>Pgr</w:t>
      </w:r>
      <w:proofErr w:type="spellEnd"/>
      <w:r w:rsidR="004D1CEC" w:rsidRPr="00947DFD">
        <w:rPr>
          <w:rFonts w:ascii="Arial" w:hAnsi="Arial" w:cs="Arial"/>
          <w:b/>
          <w:sz w:val="22"/>
          <w:szCs w:val="22"/>
        </w:rPr>
        <w:t xml:space="preserve"> + </w:t>
      </w:r>
      <w:proofErr w:type="spellStart"/>
      <w:r w:rsidR="00C17C7A" w:rsidRPr="00947DFD">
        <w:rPr>
          <w:rFonts w:ascii="Arial" w:hAnsi="Arial" w:cs="Arial"/>
          <w:b/>
          <w:sz w:val="22"/>
          <w:szCs w:val="22"/>
        </w:rPr>
        <w:t>Agdi</w:t>
      </w:r>
      <w:proofErr w:type="spellEnd"/>
      <w:r w:rsidR="004D1CEC" w:rsidRPr="00947DFD">
        <w:rPr>
          <w:rFonts w:ascii="Arial" w:hAnsi="Arial" w:cs="Arial"/>
          <w:b/>
          <w:sz w:val="22"/>
          <w:szCs w:val="22"/>
        </w:rPr>
        <w:t>*</w:t>
      </w:r>
      <w:proofErr w:type="spellStart"/>
      <w:r w:rsidR="004D1CEC" w:rsidRPr="00947DFD">
        <w:rPr>
          <w:rFonts w:ascii="Arial" w:hAnsi="Arial" w:cs="Arial"/>
          <w:b/>
          <w:sz w:val="22"/>
          <w:szCs w:val="22"/>
        </w:rPr>
        <w:t>Pdi</w:t>
      </w:r>
      <w:proofErr w:type="spellEnd"/>
      <w:r w:rsidR="004D1CEC" w:rsidRPr="00947DFD">
        <w:rPr>
          <w:rFonts w:ascii="Arial" w:hAnsi="Arial" w:cs="Arial"/>
          <w:b/>
          <w:sz w:val="22"/>
          <w:szCs w:val="22"/>
        </w:rPr>
        <w:t xml:space="preserve"> + </w:t>
      </w:r>
      <w:proofErr w:type="spellStart"/>
      <w:r w:rsidR="00C17C7A" w:rsidRPr="00947DFD">
        <w:rPr>
          <w:rFonts w:ascii="Arial" w:hAnsi="Arial" w:cs="Arial"/>
          <w:b/>
          <w:sz w:val="22"/>
          <w:szCs w:val="22"/>
        </w:rPr>
        <w:t>AGcr</w:t>
      </w:r>
      <w:proofErr w:type="spellEnd"/>
      <w:r w:rsidR="004D1CEC" w:rsidRPr="00947DFD">
        <w:rPr>
          <w:rFonts w:ascii="Arial" w:hAnsi="Arial" w:cs="Arial"/>
          <w:b/>
          <w:sz w:val="22"/>
          <w:szCs w:val="22"/>
        </w:rPr>
        <w:t>*</w:t>
      </w:r>
      <w:proofErr w:type="spellStart"/>
      <w:r w:rsidR="004D1CEC" w:rsidRPr="00947DFD">
        <w:rPr>
          <w:rFonts w:ascii="Arial" w:hAnsi="Arial" w:cs="Arial"/>
          <w:b/>
          <w:sz w:val="22"/>
          <w:szCs w:val="22"/>
        </w:rPr>
        <w:t>Pcr</w:t>
      </w:r>
      <w:proofErr w:type="spellEnd"/>
    </w:p>
    <w:p w:rsidR="00EE07CA" w:rsidRDefault="00590082" w:rsidP="00947DFD">
      <w:pPr>
        <w:pStyle w:val="ListParagraph"/>
      </w:pPr>
      <w:proofErr w:type="gramStart"/>
      <w:r w:rsidRPr="009E3A86">
        <w:rPr>
          <w:szCs w:val="24"/>
        </w:rPr>
        <w:t>w</w:t>
      </w:r>
      <w:r w:rsidR="00810EE6" w:rsidRPr="009E3A86">
        <w:rPr>
          <w:szCs w:val="24"/>
        </w:rPr>
        <w:t>h</w:t>
      </w:r>
      <w:r w:rsidR="00810EE6" w:rsidRPr="00810EE6">
        <w:t>ere</w:t>
      </w:r>
      <w:proofErr w:type="gramEnd"/>
      <w:r w:rsidR="00810EE6" w:rsidRPr="00810EE6">
        <w:t xml:space="preserve"> the FQI </w:t>
      </w:r>
      <w:r w:rsidR="00C17C7A">
        <w:t xml:space="preserve">is the </w:t>
      </w:r>
      <w:proofErr w:type="spellStart"/>
      <w:r w:rsidR="00C17C7A">
        <w:t>biovolume</w:t>
      </w:r>
      <w:proofErr w:type="spellEnd"/>
      <w:r w:rsidR="00C17C7A">
        <w:t xml:space="preserve"> weighted average of the </w:t>
      </w:r>
      <w:proofErr w:type="spellStart"/>
      <w:r w:rsidR="00C17C7A">
        <w:t>AGi</w:t>
      </w:r>
      <w:proofErr w:type="spellEnd"/>
      <w:r w:rsidR="00C17C7A">
        <w:t xml:space="preserve"> for each individual group</w:t>
      </w:r>
      <w:r>
        <w:t>,</w:t>
      </w:r>
      <w:r w:rsidR="00C17C7A">
        <w:t xml:space="preserve"> and </w:t>
      </w:r>
      <w:proofErr w:type="spellStart"/>
      <w:r w:rsidR="004D1CEC" w:rsidRPr="004D1CEC">
        <w:t>Pcy</w:t>
      </w:r>
      <w:proofErr w:type="spellEnd"/>
      <w:r w:rsidR="004D1CEC" w:rsidRPr="004D1CEC">
        <w:t xml:space="preserve">, </w:t>
      </w:r>
      <w:proofErr w:type="spellStart"/>
      <w:r w:rsidR="004D1CEC" w:rsidRPr="004D1CEC">
        <w:t>Pgr</w:t>
      </w:r>
      <w:proofErr w:type="spellEnd"/>
      <w:r w:rsidR="004D1CEC" w:rsidRPr="004D1CEC">
        <w:t xml:space="preserve">, </w:t>
      </w:r>
      <w:proofErr w:type="spellStart"/>
      <w:r w:rsidR="004D1CEC" w:rsidRPr="004D1CEC">
        <w:t>Pdi</w:t>
      </w:r>
      <w:proofErr w:type="spellEnd"/>
      <w:r w:rsidR="004D1CEC" w:rsidRPr="004D1CEC">
        <w:t xml:space="preserve">, and </w:t>
      </w:r>
      <w:proofErr w:type="spellStart"/>
      <w:r w:rsidR="004D1CEC" w:rsidRPr="004D1CEC">
        <w:t>Pcr</w:t>
      </w:r>
      <w:proofErr w:type="spellEnd"/>
      <w:r w:rsidR="004D1CEC" w:rsidRPr="004D1CEC">
        <w:t xml:space="preserve"> are the proportions of</w:t>
      </w:r>
      <w:r w:rsidR="004D1CEC">
        <w:t xml:space="preserve"> </w:t>
      </w:r>
      <w:r w:rsidR="004D1CEC" w:rsidRPr="004D1CEC">
        <w:t xml:space="preserve">phytoplankton </w:t>
      </w:r>
      <w:proofErr w:type="spellStart"/>
      <w:r w:rsidR="004D1CEC" w:rsidRPr="004D1CEC">
        <w:t>biovolume</w:t>
      </w:r>
      <w:proofErr w:type="spellEnd"/>
      <w:r w:rsidR="004D1CEC" w:rsidRPr="004D1CEC">
        <w:t xml:space="preserve"> in a sample contributed by</w:t>
      </w:r>
      <w:r w:rsidR="004D1CEC">
        <w:t xml:space="preserve"> </w:t>
      </w:r>
      <w:r w:rsidR="004D1CEC" w:rsidRPr="004D1CEC">
        <w:t xml:space="preserve">cyanobacteria, green algae, diatoms, and </w:t>
      </w:r>
      <w:proofErr w:type="spellStart"/>
      <w:r w:rsidR="004D1CEC" w:rsidRPr="004D1CEC">
        <w:t>cryptomonads</w:t>
      </w:r>
      <w:proofErr w:type="spellEnd"/>
      <w:r w:rsidR="00C17C7A">
        <w:t>. Figure 3.</w:t>
      </w:r>
      <w:r w:rsidR="00947DFD">
        <w:t>7</w:t>
      </w:r>
      <w:r w:rsidR="00C17C7A">
        <w:t xml:space="preserve"> shows </w:t>
      </w:r>
      <w:r w:rsidR="00C17C7A">
        <w:lastRenderedPageBreak/>
        <w:t xml:space="preserve">the separation in </w:t>
      </w:r>
      <w:proofErr w:type="spellStart"/>
      <w:r w:rsidR="00C17C7A">
        <w:t>AGi</w:t>
      </w:r>
      <w:proofErr w:type="spellEnd"/>
      <w:r w:rsidR="00C17C7A">
        <w:t xml:space="preserve"> by phytoplankton taxonomic group. The concept has recently been applied to </w:t>
      </w:r>
      <w:r w:rsidR="00EE07CA">
        <w:t xml:space="preserve">phytoplankton composition data collected by the USGS in the Lower Sacramento River through Suisun Bay </w:t>
      </w:r>
      <w:r w:rsidR="002A6F35">
        <w:t xml:space="preserve">from </w:t>
      </w:r>
      <w:r w:rsidR="00EE07CA" w:rsidRPr="004D1CEC">
        <w:t>1992</w:t>
      </w:r>
      <w:r w:rsidR="002A6F35">
        <w:t xml:space="preserve"> to </w:t>
      </w:r>
      <w:r w:rsidR="00EE07CA" w:rsidRPr="004D1CEC">
        <w:t>2014</w:t>
      </w:r>
      <w:r w:rsidR="00EE07CA">
        <w:t xml:space="preserve"> (</w:t>
      </w:r>
      <w:proofErr w:type="spellStart"/>
      <w:r w:rsidR="00EE07CA">
        <w:t>Cloern</w:t>
      </w:r>
      <w:proofErr w:type="spellEnd"/>
      <w:r w:rsidR="00EE07CA">
        <w:t xml:space="preserve"> et al. 2015). </w:t>
      </w:r>
    </w:p>
    <w:p w:rsidR="00F00B5F" w:rsidRDefault="00684F36">
      <w:r>
        <w:rPr>
          <w:rFonts w:ascii="Arial" w:hAnsi="Arial" w:cs="Arial"/>
          <w:noProof/>
          <w:color w:val="3C63AF"/>
        </w:rPr>
        <w:drawing>
          <wp:anchor distT="0" distB="0" distL="114300" distR="114300" simplePos="0" relativeHeight="251660288" behindDoc="0" locked="0" layoutInCell="1" allowOverlap="1" wp14:anchorId="3CCF8263" wp14:editId="7FC9F0EB">
            <wp:simplePos x="0" y="0"/>
            <wp:positionH relativeFrom="column">
              <wp:posOffset>491837</wp:posOffset>
            </wp:positionH>
            <wp:positionV relativeFrom="paragraph">
              <wp:posOffset>222480</wp:posOffset>
            </wp:positionV>
            <wp:extent cx="1861185" cy="2607945"/>
            <wp:effectExtent l="0" t="0" r="5715" b="1905"/>
            <wp:wrapTopAndBottom/>
            <wp:docPr id="6" name="Picture 6" descr="thumbnail">
              <a:hlinkClick xmlns:a="http://schemas.openxmlformats.org/drawingml/2006/main" r:id="rId28" tooltip="&quot;Click for larger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a:hlinkClick r:id="rId28" tooltip="&quot;Click for larger imag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1185" cy="2607945"/>
                    </a:xfrm>
                    <a:prstGeom prst="rect">
                      <a:avLst/>
                    </a:prstGeom>
                    <a:noFill/>
                    <a:ln>
                      <a:noFill/>
                    </a:ln>
                  </pic:spPr>
                </pic:pic>
              </a:graphicData>
            </a:graphic>
          </wp:anchor>
        </w:drawing>
      </w:r>
    </w:p>
    <w:p w:rsidR="00EE07CA" w:rsidRDefault="00EE07CA" w:rsidP="00947DFD">
      <w:pPr>
        <w:spacing w:line="276" w:lineRule="auto"/>
        <w:rPr>
          <w:rFonts w:asciiTheme="minorHAnsi" w:hAnsiTheme="minorHAnsi" w:cstheme="minorHAnsi"/>
        </w:rPr>
      </w:pPr>
    </w:p>
    <w:p w:rsidR="00C17C7A" w:rsidRPr="00192018" w:rsidRDefault="00517A28" w:rsidP="00684F36">
      <w:pPr>
        <w:pStyle w:val="TOF"/>
        <w:ind w:left="720"/>
        <w:rPr>
          <w:rFonts w:cs="Arial"/>
          <w:color w:val="333333"/>
          <w:lang w:val="en"/>
        </w:rPr>
      </w:pPr>
      <w:bookmarkStart w:id="51" w:name="_Toc433370090"/>
      <w:r w:rsidRPr="00192018">
        <w:t>Figure 3.</w:t>
      </w:r>
      <w:r w:rsidR="00947DFD">
        <w:t>7</w:t>
      </w:r>
      <w:r w:rsidR="00C17C7A" w:rsidRPr="00192018">
        <w:t xml:space="preserve">. From Galloway and </w:t>
      </w:r>
      <w:r w:rsidR="008E34AF">
        <w:t>Winder</w:t>
      </w:r>
      <w:r w:rsidR="00C17C7A" w:rsidRPr="00192018">
        <w:t xml:space="preserve"> 2015</w:t>
      </w:r>
      <w:r w:rsidRPr="00192018">
        <w:t xml:space="preserve">. </w:t>
      </w:r>
      <w:r w:rsidR="00C17C7A" w:rsidRPr="00192018">
        <w:t xml:space="preserve">Boxplots of species averages of Σ long-chain essential fatty acids (LCEFA) in six major phytoplankton groups. (a) Shows the percent total fatty acids (% FA) dataset, consisting of 208 averages from 666 raw profiles. (b) Shows the </w:t>
      </w:r>
      <w:r w:rsidR="00C17C7A" w:rsidRPr="00947DFD">
        <w:t>percentage of algal dry weight (</w:t>
      </w:r>
      <w:r w:rsidR="00C17C7A" w:rsidRPr="00192018">
        <w:t>FA % DW) dataset, consisting of 55 averages from 105 raw profiles. Group name abbreviations follow Fig 1. The heavy line is the median, box boundaries are the 25th and 75th percentiles, and whiskers extend to the most extreme value within 1.5*IQR (interquartile range). The y-axis is set to show the extent of whiskers</w:t>
      </w:r>
      <w:r w:rsidR="002A6F35">
        <w:t>;</w:t>
      </w:r>
      <w:r w:rsidR="00C17C7A" w:rsidRPr="00192018">
        <w:t xml:space="preserve"> thus</w:t>
      </w:r>
      <w:r w:rsidR="002A6F35">
        <w:t>,</w:t>
      </w:r>
      <w:r w:rsidR="00C17C7A" w:rsidRPr="00192018">
        <w:t xml:space="preserve"> some extreme outliers are not plotted (outliers were included in calculation of average group LCEFA).</w:t>
      </w:r>
      <w:bookmarkEnd w:id="51"/>
      <w:r w:rsidR="00C17C7A" w:rsidRPr="00192018">
        <w:rPr>
          <w:rFonts w:cs="Arial"/>
          <w:color w:val="333333"/>
          <w:lang w:val="en"/>
        </w:rPr>
        <w:t xml:space="preserve"> </w:t>
      </w:r>
    </w:p>
    <w:p w:rsidR="00B67B7A" w:rsidRDefault="00B67B7A">
      <w:pPr>
        <w:pStyle w:val="TOF"/>
        <w:spacing w:before="0" w:after="0" w:line="276" w:lineRule="auto"/>
        <w:rPr>
          <w:rStyle w:val="citationauthor"/>
          <w:rFonts w:cs="Arial"/>
          <w:color w:val="333333"/>
          <w:sz w:val="19"/>
          <w:szCs w:val="19"/>
          <w:lang w:val="en"/>
        </w:rPr>
      </w:pPr>
    </w:p>
    <w:p w:rsidR="00C17C7A" w:rsidRDefault="00C17C7A">
      <w:pPr>
        <w:pStyle w:val="TOF"/>
        <w:spacing w:before="0" w:after="0" w:line="276" w:lineRule="auto"/>
      </w:pPr>
    </w:p>
    <w:p w:rsidR="00684F36" w:rsidRDefault="00684F36">
      <w:r>
        <w:t>We propose that a number of metrics for phytoplankton community composition be deployed in routine assessments of SFB. In addition to tracking HAB abundance and toxin concentrations, phytoplankton metrics should be developed with the intent to create classification schemes in the future, if warranted, as these metrics (in combination with chlorophyll-a and GPP, discussed in more depth in Section 3.2) can give a more robust understanding of SFB condition and ecological change.</w:t>
      </w:r>
    </w:p>
    <w:p w:rsidR="00684F36" w:rsidRDefault="00684F36"/>
    <w:p w:rsidR="00A10E48" w:rsidRDefault="00684F36" w:rsidP="00947DFD">
      <w:r>
        <w:t xml:space="preserve">One final note: Nutrient forms and ratios are not explicitly considered as metrics within the present </w:t>
      </w:r>
      <w:r w:rsidR="00353722">
        <w:t>AF</w:t>
      </w:r>
      <w:r>
        <w:t xml:space="preserve">, although they will most certainly be included within the framework of monitoring and mechanistic modeling. The reason is that while several </w:t>
      </w:r>
      <w:r w:rsidR="0025718C">
        <w:t xml:space="preserve">authors </w:t>
      </w:r>
      <w:r w:rsidR="0025718C" w:rsidRPr="00F87427">
        <w:t>have hypothesized that high nutrient concentrations, elevated NH</w:t>
      </w:r>
      <w:r w:rsidR="0025718C" w:rsidRPr="00F87427">
        <w:rPr>
          <w:vertAlign w:val="subscript"/>
        </w:rPr>
        <w:t>4</w:t>
      </w:r>
      <w:r w:rsidR="0025718C" w:rsidRPr="00F87427">
        <w:rPr>
          <w:vertAlign w:val="superscript"/>
        </w:rPr>
        <w:t>+</w:t>
      </w:r>
      <w:r w:rsidR="0025718C" w:rsidRPr="00F87427">
        <w:t xml:space="preserve">, or altered N:P are currently adversely impacting food webs in SFB </w:t>
      </w:r>
      <w:r w:rsidR="0025718C" w:rsidRPr="002571DA">
        <w:t xml:space="preserve">(Table 3.1, S6; </w:t>
      </w:r>
      <w:proofErr w:type="spellStart"/>
      <w:r w:rsidR="0025718C" w:rsidRPr="008F1093">
        <w:t>Dugdale</w:t>
      </w:r>
      <w:proofErr w:type="spellEnd"/>
      <w:r w:rsidR="0025718C" w:rsidRPr="008F1093">
        <w:t xml:space="preserve"> et al., 2007</w:t>
      </w:r>
      <w:r w:rsidR="0025718C" w:rsidRPr="008F1093">
        <w:fldChar w:fldCharType="begin"/>
      </w:r>
      <w:r w:rsidR="0025718C" w:rsidRPr="008F1093">
        <w:instrText xml:space="preserve"> ADDIN EN.CITE &lt;EndNote&gt;&lt;Cite ExcludeAuth="1" ExcludeYear="1"&gt;&lt;RecNum&gt;52&lt;/RecNum&gt;&lt;record&gt;&lt;rec-number&gt;52&lt;/rec-number&gt;&lt;foreign-keys&gt;&lt;key app="EN" db-id="zwd9tpe28dr5wwervvgv2vzdpvvfvptatxpz"&gt;52&lt;/key&gt;&lt;/foreign-keys&gt;&lt;ref-type name="Journal Article"&gt;17&lt;/ref-type&gt;&lt;contributors&gt;&lt;authors&gt;&lt;author&gt;Dugdale, R. C. &lt;/author&gt;&lt;author&gt;Wilkerson, F. P. &lt;/author&gt;&lt;author&gt;Hogue, V. E. &lt;/author&gt;&lt;author&gt;Marchi, A. &lt;/author&gt;&lt;/authors&gt;&lt;/contributors&gt;&lt;titles&gt;&lt;title&gt;The role of ammonium and nitrate in spring bloom development in San Francisco Bay&lt;/title&gt;&lt;secondary-title&gt;Estuarine, Coastal and Shelf Science&lt;/secondary-title&gt;&lt;/titles&gt;&lt;periodical&gt;&lt;full-title&gt;Estuarine, Coastal and Shelf Science&lt;/full-title&gt;&lt;/periodical&gt;&lt;pages&gt;17-29&lt;/pages&gt;&lt;volume&gt;73&lt;/volume&gt;&lt;keywords&gt;&lt;keyword&gt;estuary&lt;/keyword&gt;&lt;keyword&gt;phytoplankton&lt;/keyword&gt;&lt;keyword&gt;ammonium&lt;/keyword&gt;&lt;keyword&gt;nitrate&lt;/keyword&gt;&lt;/keywords&gt;&lt;dates&gt;&lt;year&gt;2007&lt;/year&gt;&lt;/dates&gt;&lt;urls&gt;&lt;/urls&gt;&lt;/record&gt;&lt;/Cite&gt;&lt;/EndNote&gt;</w:instrText>
      </w:r>
      <w:r w:rsidR="0025718C" w:rsidRPr="008F1093">
        <w:fldChar w:fldCharType="end"/>
      </w:r>
      <w:r w:rsidR="0025718C" w:rsidRPr="008F1093">
        <w:t xml:space="preserve">; Parker </w:t>
      </w:r>
      <w:r w:rsidR="009E3A86">
        <w:t>e</w:t>
      </w:r>
      <w:r w:rsidR="0025718C" w:rsidRPr="008F1093">
        <w:t>t al., 2012a,b</w:t>
      </w:r>
      <w:r w:rsidR="0025718C" w:rsidRPr="008F1093">
        <w:fldChar w:fldCharType="begin">
          <w:fldData xml:space="preserve">PEVuZE5vdGU+PENpdGUgRXhjbHVkZUF1dGg9IjEiIEV4Y2x1ZGVZZWFyPSIxIj48UmVjTnVtPjMw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</w:fldData>
        </w:fldChar>
      </w:r>
      <w:r w:rsidR="0025718C" w:rsidRPr="008F1093">
        <w:instrText xml:space="preserve"> ADDIN EN.CITE </w:instrText>
      </w:r>
      <w:r w:rsidR="0025718C" w:rsidRPr="008F1093">
        <w:fldChar w:fldCharType="begin">
          <w:fldData xml:space="preserve">PEVuZE5vdGU+PENpdGUgRXhjbHVkZUF1dGg9IjEiIEV4Y2x1ZGVZZWFyPSIxIj48UmVjTnVtPjMw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</w:fldData>
        </w:fldChar>
      </w:r>
      <w:r w:rsidR="0025718C" w:rsidRPr="008F1093">
        <w:instrText xml:space="preserve"> ADDIN EN.CITE.DATA </w:instrText>
      </w:r>
      <w:r w:rsidR="0025718C" w:rsidRPr="008F1093">
        <w:fldChar w:fldCharType="end"/>
      </w:r>
      <w:r w:rsidR="0025718C" w:rsidRPr="008F1093">
        <w:fldChar w:fldCharType="end"/>
      </w:r>
      <w:r w:rsidR="0025718C" w:rsidRPr="008F1093">
        <w:t xml:space="preserve">; </w:t>
      </w:r>
      <w:proofErr w:type="spellStart"/>
      <w:r w:rsidR="0025718C" w:rsidRPr="008F1093">
        <w:t>Dugdale</w:t>
      </w:r>
      <w:proofErr w:type="spellEnd"/>
      <w:r w:rsidR="0025718C" w:rsidRPr="008F1093">
        <w:t xml:space="preserve"> et al., 2012</w:t>
      </w:r>
      <w:r w:rsidR="0025718C" w:rsidRPr="002571DA">
        <w:t>)</w:t>
      </w:r>
      <w:r w:rsidR="0025718C">
        <w:t xml:space="preserve">, scientific consensus </w:t>
      </w:r>
      <w:r w:rsidR="002A6F35">
        <w:t xml:space="preserve">is lacking </w:t>
      </w:r>
      <w:r w:rsidR="0025718C">
        <w:t xml:space="preserve">on the importance of these hypothesized pathways relative to other controls on phytoplankton production and </w:t>
      </w:r>
      <w:r w:rsidR="0025718C" w:rsidRPr="004B250F">
        <w:t>community composition</w:t>
      </w:r>
      <w:r w:rsidR="0025718C">
        <w:t>.</w:t>
      </w:r>
      <w:r w:rsidR="00D72900">
        <w:t xml:space="preserve"> </w:t>
      </w:r>
    </w:p>
    <w:p w:rsidR="00A10E48" w:rsidRDefault="00A10E48" w:rsidP="00947DFD">
      <w:pPr>
        <w:spacing w:line="276" w:lineRule="auto"/>
        <w:rPr>
          <w:rFonts w:asciiTheme="minorHAnsi" w:hAnsiTheme="minorHAnsi" w:cstheme="minorHAnsi"/>
        </w:rPr>
      </w:pPr>
    </w:p>
    <w:p w:rsidR="005F19C7" w:rsidRPr="008F1093" w:rsidRDefault="005F19C7">
      <w:pPr>
        <w:pStyle w:val="Heading2"/>
      </w:pPr>
      <w:bookmarkStart w:id="52" w:name="_Toc398785454"/>
      <w:bookmarkStart w:id="53" w:name="_Toc433370066"/>
      <w:r>
        <w:lastRenderedPageBreak/>
        <w:t>Protocols, Temporal and Spatial Frequency Recommended for Measurement of Key Indicators</w:t>
      </w:r>
      <w:bookmarkEnd w:id="52"/>
      <w:bookmarkEnd w:id="53"/>
    </w:p>
    <w:p w:rsidR="005F19C7" w:rsidRDefault="005F19C7" w:rsidP="00947DFD">
      <w:pPr>
        <w:spacing w:line="276" w:lineRule="auto"/>
      </w:pPr>
    </w:p>
    <w:p w:rsidR="005F19C7" w:rsidRDefault="005F19C7">
      <w:r>
        <w:t>An important</w:t>
      </w:r>
      <w:r w:rsidRPr="00A23D3E">
        <w:t xml:space="preserve"> attribute of an </w:t>
      </w:r>
      <w:r w:rsidR="00353722">
        <w:t>AF</w:t>
      </w:r>
      <w:r w:rsidRPr="00A23D3E">
        <w:t xml:space="preserve"> </w:t>
      </w:r>
      <w:r>
        <w:t>is clarity in the methods used to measure the indicators</w:t>
      </w:r>
      <w:r w:rsidR="00F771FA">
        <w:t>,</w:t>
      </w:r>
      <w:r>
        <w:t xml:space="preserve"> as well as the temporal and spatial frequency in which they should be measured in order to make an assessment. Table 3.3 provides </w:t>
      </w:r>
      <w:r w:rsidR="005435CB">
        <w:t xml:space="preserve">a list of six key </w:t>
      </w:r>
      <w:r>
        <w:t>indicator</w:t>
      </w:r>
      <w:r w:rsidR="005435CB">
        <w:t>s</w:t>
      </w:r>
      <w:r w:rsidR="000B386F">
        <w:t xml:space="preserve"> and</w:t>
      </w:r>
      <w:r>
        <w:t xml:space="preserve"> the specific </w:t>
      </w:r>
      <w:proofErr w:type="spellStart"/>
      <w:r>
        <w:t>analytes</w:t>
      </w:r>
      <w:proofErr w:type="spellEnd"/>
      <w:r w:rsidR="005435CB">
        <w:t xml:space="preserve"> associated with each</w:t>
      </w:r>
      <w:r w:rsidR="000B386F">
        <w:t>.</w:t>
      </w:r>
      <w:r>
        <w:t xml:space="preserve"> This table is not inclusive of the longer list of parameters required for data interpretation or for other Nutrient Strategy program elements. The SFB Monitoring Strategy (</w:t>
      </w:r>
      <w:r w:rsidR="004D659D">
        <w:t>SFEI 2014c</w:t>
      </w:r>
      <w:r>
        <w:t>) provides a more comprehensive picture of those data needs</w:t>
      </w:r>
      <w:r w:rsidR="00F771FA">
        <w:t>,</w:t>
      </w:r>
      <w:r w:rsidR="000B386F">
        <w:t xml:space="preserve"> as well as specific recommendations on protocols for measurement of key indicators</w:t>
      </w:r>
      <w:r>
        <w:t xml:space="preserve">. </w:t>
      </w:r>
    </w:p>
    <w:p w:rsidR="001B76DA" w:rsidRDefault="001B76DA" w:rsidP="00947DFD">
      <w:pPr>
        <w:spacing w:line="276" w:lineRule="auto"/>
        <w:rPr>
          <w:rFonts w:asciiTheme="minorHAnsi" w:hAnsiTheme="minorHAnsi" w:cstheme="minorHAnsi"/>
        </w:rPr>
      </w:pPr>
    </w:p>
    <w:p w:rsidR="00A427B7" w:rsidRDefault="00A427B7" w:rsidP="00A427B7">
      <w:r>
        <w:t>DO</w:t>
      </w:r>
      <w:r w:rsidRPr="00C73214">
        <w:t xml:space="preserve"> and </w:t>
      </w:r>
      <w:r>
        <w:t xml:space="preserve">metrics of </w:t>
      </w:r>
      <w:r w:rsidRPr="00C73214">
        <w:t xml:space="preserve">phytoplankton </w:t>
      </w:r>
      <w:r>
        <w:t xml:space="preserve">quantity and quality </w:t>
      </w:r>
      <w:r w:rsidRPr="00C73214">
        <w:t>are the two princip</w:t>
      </w:r>
      <w:r>
        <w:t>al</w:t>
      </w:r>
      <w:r w:rsidRPr="00C73214">
        <w:t xml:space="preserve"> groups of indicators proposed for the SFB nutrient </w:t>
      </w:r>
      <w:r w:rsidR="00353722">
        <w:t>AF</w:t>
      </w:r>
      <w:r w:rsidRPr="00C73214">
        <w:t xml:space="preserve">. </w:t>
      </w:r>
      <w:r>
        <w:t xml:space="preserve">The Water Board’s basin plan already contains numeric objectives for DO, and Water Board staff has expressed interest in </w:t>
      </w:r>
      <w:r w:rsidR="0041062C">
        <w:t>reviewing the existing</w:t>
      </w:r>
      <w:r>
        <w:t xml:space="preserve"> DO objectives</w:t>
      </w:r>
      <w:r w:rsidR="0041062C">
        <w:t>.</w:t>
      </w:r>
      <w:r>
        <w:t xml:space="preserve"> </w:t>
      </w:r>
    </w:p>
    <w:p w:rsidR="00A427B7" w:rsidRDefault="00A427B7" w:rsidP="00A427B7"/>
    <w:p w:rsidR="005F19C7" w:rsidRDefault="005F19C7" w:rsidP="00947DFD">
      <w:pPr>
        <w:rPr>
          <w:rFonts w:ascii="Arial" w:hAnsi="Arial"/>
          <w:b/>
          <w:sz w:val="20"/>
          <w:szCs w:val="22"/>
          <w:lang w:bidi="en-US"/>
        </w:rPr>
      </w:pPr>
    </w:p>
    <w:p w:rsidR="005F19C7" w:rsidRPr="00192018" w:rsidRDefault="005F19C7">
      <w:pPr>
        <w:pStyle w:val="TOT"/>
        <w:spacing w:before="0" w:after="0" w:line="276" w:lineRule="auto"/>
        <w:rPr>
          <w:caps w:val="0"/>
          <w:smallCaps w:val="0"/>
        </w:rPr>
      </w:pPr>
      <w:bookmarkStart w:id="54" w:name="_Toc440224074"/>
      <w:r w:rsidRPr="00192018">
        <w:rPr>
          <w:caps w:val="0"/>
          <w:smallCaps w:val="0"/>
        </w:rPr>
        <w:t xml:space="preserve">Table 3.3 Recommended indicators, </w:t>
      </w:r>
      <w:proofErr w:type="spellStart"/>
      <w:r w:rsidRPr="00192018">
        <w:rPr>
          <w:caps w:val="0"/>
          <w:smallCaps w:val="0"/>
        </w:rPr>
        <w:t>analytes</w:t>
      </w:r>
      <w:proofErr w:type="spellEnd"/>
      <w:r w:rsidRPr="00192018">
        <w:rPr>
          <w:caps w:val="0"/>
          <w:smallCaps w:val="0"/>
        </w:rPr>
        <w:t xml:space="preserve"> and </w:t>
      </w:r>
      <w:r w:rsidR="000B386F" w:rsidRPr="00192018">
        <w:rPr>
          <w:caps w:val="0"/>
          <w:smallCaps w:val="0"/>
        </w:rPr>
        <w:t>basis for classification scheme</w:t>
      </w:r>
      <w:r w:rsidRPr="00192018">
        <w:rPr>
          <w:caps w:val="0"/>
          <w:smallCaps w:val="0"/>
        </w:rPr>
        <w:t>.</w:t>
      </w:r>
      <w:bookmarkEnd w:id="54"/>
      <w:r w:rsidR="00D72900">
        <w:rPr>
          <w:caps w:val="0"/>
          <w:smallCaps w:val="0"/>
        </w:rPr>
        <w:t xml:space="preserve"> </w:t>
      </w:r>
    </w:p>
    <w:tbl>
      <w:tblPr>
        <w:tblStyle w:val="PlainTable21"/>
        <w:tblW w:w="0" w:type="auto"/>
        <w:tblLook w:val="04A0" w:firstRow="1" w:lastRow="0" w:firstColumn="1" w:lastColumn="0" w:noHBand="0" w:noVBand="1"/>
      </w:tblPr>
      <w:tblGrid>
        <w:gridCol w:w="2785"/>
        <w:gridCol w:w="3060"/>
        <w:gridCol w:w="3060"/>
      </w:tblGrid>
      <w:tr w:rsidR="000B386F" w:rsidRPr="006549B3" w:rsidTr="00B94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rsidR="000B386F" w:rsidRPr="006549B3" w:rsidRDefault="000B386F">
            <w:pPr>
              <w:spacing w:line="276" w:lineRule="auto"/>
              <w:rPr>
                <w:rFonts w:ascii="Arial" w:hAnsi="Arial" w:cs="Arial"/>
                <w:sz w:val="18"/>
                <w:szCs w:val="18"/>
              </w:rPr>
            </w:pPr>
            <w:r w:rsidRPr="006549B3">
              <w:rPr>
                <w:rFonts w:ascii="Arial" w:hAnsi="Arial" w:cs="Arial"/>
                <w:sz w:val="18"/>
                <w:szCs w:val="18"/>
              </w:rPr>
              <w:t>Indicator</w:t>
            </w:r>
          </w:p>
        </w:tc>
        <w:tc>
          <w:tcPr>
            <w:tcW w:w="3060" w:type="dxa"/>
          </w:tcPr>
          <w:p w:rsidR="000B386F" w:rsidRPr="006549B3" w:rsidRDefault="000B386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6549B3">
              <w:rPr>
                <w:rFonts w:ascii="Arial" w:hAnsi="Arial" w:cs="Arial"/>
                <w:sz w:val="18"/>
                <w:szCs w:val="18"/>
              </w:rPr>
              <w:t>Analyte</w:t>
            </w:r>
            <w:proofErr w:type="spellEnd"/>
          </w:p>
        </w:tc>
        <w:tc>
          <w:tcPr>
            <w:tcW w:w="3060" w:type="dxa"/>
          </w:tcPr>
          <w:p w:rsidR="000B386F" w:rsidRPr="006549B3" w:rsidRDefault="000B386F">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549B3">
              <w:rPr>
                <w:rFonts w:ascii="Arial" w:hAnsi="Arial" w:cs="Arial"/>
                <w:sz w:val="18"/>
                <w:szCs w:val="18"/>
              </w:rPr>
              <w:t>Basis for Classification Scheme</w:t>
            </w:r>
          </w:p>
        </w:tc>
      </w:tr>
      <w:tr w:rsidR="000B386F" w:rsidRPr="006549B3" w:rsidTr="00B94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rsidR="000B386F" w:rsidRPr="006549B3" w:rsidRDefault="000B386F">
            <w:pPr>
              <w:spacing w:line="276" w:lineRule="auto"/>
              <w:rPr>
                <w:rFonts w:ascii="Arial" w:hAnsi="Arial" w:cs="Arial"/>
                <w:sz w:val="18"/>
                <w:szCs w:val="18"/>
              </w:rPr>
            </w:pPr>
            <w:r w:rsidRPr="006549B3">
              <w:rPr>
                <w:rFonts w:ascii="Arial" w:hAnsi="Arial" w:cs="Arial"/>
                <w:sz w:val="18"/>
                <w:szCs w:val="18"/>
              </w:rPr>
              <w:t>Dissolved oxygen</w:t>
            </w:r>
          </w:p>
        </w:tc>
        <w:tc>
          <w:tcPr>
            <w:tcW w:w="3060" w:type="dxa"/>
          </w:tcPr>
          <w:p w:rsidR="000B386F" w:rsidRPr="006549B3" w:rsidRDefault="000B386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549B3">
              <w:rPr>
                <w:rFonts w:ascii="Arial" w:hAnsi="Arial" w:cs="Arial"/>
                <w:sz w:val="18"/>
                <w:szCs w:val="18"/>
              </w:rPr>
              <w:t>Dissolved oxygen as % saturation and concentration</w:t>
            </w:r>
          </w:p>
        </w:tc>
        <w:tc>
          <w:tcPr>
            <w:tcW w:w="3060" w:type="dxa"/>
          </w:tcPr>
          <w:p w:rsidR="000B386F" w:rsidRPr="006549B3" w:rsidRDefault="000B386F" w:rsidP="00FE1AC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549B3">
              <w:rPr>
                <w:rFonts w:ascii="Arial" w:hAnsi="Arial" w:cs="Arial"/>
                <w:sz w:val="18"/>
                <w:szCs w:val="18"/>
              </w:rPr>
              <w:t>SF Water Board Basin Plan (201</w:t>
            </w:r>
            <w:r w:rsidR="00FE1AC1">
              <w:rPr>
                <w:rFonts w:ascii="Arial" w:hAnsi="Arial" w:cs="Arial"/>
                <w:sz w:val="18"/>
                <w:szCs w:val="18"/>
              </w:rPr>
              <w:t>6</w:t>
            </w:r>
            <w:r w:rsidRPr="006549B3">
              <w:rPr>
                <w:rFonts w:ascii="Arial" w:hAnsi="Arial" w:cs="Arial"/>
                <w:sz w:val="18"/>
                <w:szCs w:val="18"/>
              </w:rPr>
              <w:t xml:space="preserve">) </w:t>
            </w:r>
          </w:p>
        </w:tc>
      </w:tr>
      <w:tr w:rsidR="000B386F" w:rsidRPr="006549B3" w:rsidTr="00B948DC">
        <w:tc>
          <w:tcPr>
            <w:cnfStyle w:val="001000000000" w:firstRow="0" w:lastRow="0" w:firstColumn="1" w:lastColumn="0" w:oddVBand="0" w:evenVBand="0" w:oddHBand="0" w:evenHBand="0" w:firstRowFirstColumn="0" w:firstRowLastColumn="0" w:lastRowFirstColumn="0" w:lastRowLastColumn="0"/>
            <w:tcW w:w="2785" w:type="dxa"/>
          </w:tcPr>
          <w:p w:rsidR="000B386F" w:rsidRPr="006549B3" w:rsidRDefault="000B386F">
            <w:pPr>
              <w:spacing w:line="276" w:lineRule="auto"/>
              <w:rPr>
                <w:rFonts w:ascii="Arial" w:hAnsi="Arial" w:cs="Arial"/>
                <w:sz w:val="18"/>
                <w:szCs w:val="18"/>
              </w:rPr>
            </w:pPr>
            <w:r w:rsidRPr="006549B3">
              <w:rPr>
                <w:rFonts w:ascii="Arial" w:hAnsi="Arial" w:cs="Arial"/>
                <w:sz w:val="18"/>
                <w:szCs w:val="18"/>
              </w:rPr>
              <w:t>Phytoplankton biomass</w:t>
            </w:r>
          </w:p>
        </w:tc>
        <w:tc>
          <w:tcPr>
            <w:tcW w:w="3060" w:type="dxa"/>
          </w:tcPr>
          <w:p w:rsidR="000B386F" w:rsidRPr="006549B3" w:rsidRDefault="000B386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49B3">
              <w:rPr>
                <w:rFonts w:ascii="Arial" w:hAnsi="Arial" w:cs="Arial"/>
                <w:sz w:val="18"/>
                <w:szCs w:val="18"/>
              </w:rPr>
              <w:t xml:space="preserve">Water column </w:t>
            </w:r>
            <w:r w:rsidR="007C2CC0">
              <w:rPr>
                <w:rFonts w:ascii="Arial" w:hAnsi="Arial" w:cs="Arial"/>
                <w:sz w:val="18"/>
                <w:szCs w:val="18"/>
              </w:rPr>
              <w:t>chlorophyll-a</w:t>
            </w:r>
            <w:r w:rsidRPr="006549B3">
              <w:rPr>
                <w:rFonts w:ascii="Arial" w:hAnsi="Arial" w:cs="Arial"/>
                <w:sz w:val="18"/>
                <w:szCs w:val="18"/>
              </w:rPr>
              <w:t xml:space="preserve"> </w:t>
            </w:r>
          </w:p>
        </w:tc>
        <w:tc>
          <w:tcPr>
            <w:tcW w:w="3060" w:type="dxa"/>
          </w:tcPr>
          <w:p w:rsidR="000B386F" w:rsidRPr="006549B3" w:rsidRDefault="000B386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49B3">
              <w:rPr>
                <w:rFonts w:ascii="Arial" w:hAnsi="Arial" w:cs="Arial"/>
                <w:sz w:val="18"/>
                <w:szCs w:val="18"/>
              </w:rPr>
              <w:t xml:space="preserve">Analysis of existing data (Appendix </w:t>
            </w:r>
            <w:r w:rsidR="00B32938" w:rsidRPr="006549B3">
              <w:rPr>
                <w:rFonts w:ascii="Arial" w:hAnsi="Arial" w:cs="Arial"/>
                <w:sz w:val="18"/>
                <w:szCs w:val="18"/>
              </w:rPr>
              <w:t>C</w:t>
            </w:r>
            <w:r w:rsidRPr="006549B3">
              <w:rPr>
                <w:rFonts w:ascii="Arial" w:hAnsi="Arial" w:cs="Arial"/>
                <w:sz w:val="18"/>
                <w:szCs w:val="18"/>
              </w:rPr>
              <w:t>)</w:t>
            </w:r>
          </w:p>
        </w:tc>
      </w:tr>
      <w:tr w:rsidR="000B386F" w:rsidRPr="006549B3" w:rsidTr="00B94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rsidR="000B386F" w:rsidRPr="006549B3" w:rsidRDefault="00947DFD" w:rsidP="00947DFD">
            <w:pPr>
              <w:spacing w:line="276" w:lineRule="auto"/>
              <w:rPr>
                <w:rFonts w:ascii="Arial" w:hAnsi="Arial" w:cs="Arial"/>
                <w:sz w:val="18"/>
                <w:szCs w:val="18"/>
              </w:rPr>
            </w:pPr>
            <w:r>
              <w:rPr>
                <w:rFonts w:ascii="Arial" w:hAnsi="Arial" w:cs="Arial"/>
                <w:sz w:val="18"/>
                <w:szCs w:val="18"/>
              </w:rPr>
              <w:t>Depth integrated, a</w:t>
            </w:r>
            <w:r w:rsidR="000B386F" w:rsidRPr="006549B3">
              <w:rPr>
                <w:rFonts w:ascii="Arial" w:hAnsi="Arial" w:cs="Arial"/>
                <w:sz w:val="18"/>
                <w:szCs w:val="18"/>
              </w:rPr>
              <w:t xml:space="preserve">nnual gross </w:t>
            </w:r>
            <w:r>
              <w:rPr>
                <w:rFonts w:ascii="Arial" w:hAnsi="Arial" w:cs="Arial"/>
                <w:sz w:val="18"/>
                <w:szCs w:val="18"/>
              </w:rPr>
              <w:t xml:space="preserve">and net </w:t>
            </w:r>
            <w:r w:rsidR="000B386F" w:rsidRPr="006549B3">
              <w:rPr>
                <w:rFonts w:ascii="Arial" w:hAnsi="Arial" w:cs="Arial"/>
                <w:sz w:val="18"/>
                <w:szCs w:val="18"/>
              </w:rPr>
              <w:t xml:space="preserve">primary </w:t>
            </w:r>
            <w:r>
              <w:rPr>
                <w:rFonts w:ascii="Arial" w:hAnsi="Arial" w:cs="Arial"/>
                <w:sz w:val="18"/>
                <w:szCs w:val="18"/>
              </w:rPr>
              <w:t>production</w:t>
            </w:r>
          </w:p>
        </w:tc>
        <w:tc>
          <w:tcPr>
            <w:tcW w:w="3060" w:type="dxa"/>
          </w:tcPr>
          <w:p w:rsidR="000B386F" w:rsidRPr="006549B3" w:rsidRDefault="007C2CC0" w:rsidP="00EA141A">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Chlorophyll-a</w:t>
            </w:r>
            <w:r w:rsidR="000B386F" w:rsidRPr="006549B3">
              <w:rPr>
                <w:rFonts w:ascii="Arial" w:hAnsi="Arial" w:cs="Arial"/>
                <w:sz w:val="18"/>
                <w:szCs w:val="18"/>
              </w:rPr>
              <w:t xml:space="preserve">, photic depth and surface irradiance, recalibrated on a frequency to be determined by direct measures of GPP (per Cole and </w:t>
            </w:r>
            <w:proofErr w:type="spellStart"/>
            <w:r w:rsidR="000B386F" w:rsidRPr="006549B3">
              <w:rPr>
                <w:rFonts w:ascii="Arial" w:hAnsi="Arial" w:cs="Arial"/>
                <w:sz w:val="18"/>
                <w:szCs w:val="18"/>
              </w:rPr>
              <w:t>Cloern</w:t>
            </w:r>
            <w:proofErr w:type="spellEnd"/>
            <w:r w:rsidR="000B386F" w:rsidRPr="006549B3">
              <w:rPr>
                <w:rFonts w:ascii="Arial" w:hAnsi="Arial" w:cs="Arial"/>
                <w:sz w:val="18"/>
                <w:szCs w:val="18"/>
              </w:rPr>
              <w:t xml:space="preserve"> 19</w:t>
            </w:r>
            <w:r w:rsidR="00EA141A">
              <w:rPr>
                <w:rFonts w:ascii="Arial" w:hAnsi="Arial" w:cs="Arial"/>
                <w:sz w:val="18"/>
                <w:szCs w:val="18"/>
              </w:rPr>
              <w:t>84</w:t>
            </w:r>
            <w:r w:rsidR="000B386F" w:rsidRPr="006549B3">
              <w:rPr>
                <w:rFonts w:ascii="Arial" w:hAnsi="Arial" w:cs="Arial"/>
                <w:sz w:val="18"/>
                <w:szCs w:val="18"/>
              </w:rPr>
              <w:t>)</w:t>
            </w:r>
          </w:p>
        </w:tc>
        <w:tc>
          <w:tcPr>
            <w:tcW w:w="3060" w:type="dxa"/>
          </w:tcPr>
          <w:p w:rsidR="000B386F" w:rsidRPr="006549B3" w:rsidRDefault="000B386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549B3">
              <w:rPr>
                <w:rFonts w:ascii="Arial" w:hAnsi="Arial" w:cs="Arial"/>
                <w:sz w:val="18"/>
                <w:szCs w:val="18"/>
              </w:rPr>
              <w:t>Nixon (1995)</w:t>
            </w:r>
          </w:p>
        </w:tc>
      </w:tr>
      <w:tr w:rsidR="000B386F" w:rsidRPr="006549B3" w:rsidTr="00B948DC">
        <w:trPr>
          <w:trHeight w:val="1232"/>
        </w:trPr>
        <w:tc>
          <w:tcPr>
            <w:cnfStyle w:val="001000000000" w:firstRow="0" w:lastRow="0" w:firstColumn="1" w:lastColumn="0" w:oddVBand="0" w:evenVBand="0" w:oddHBand="0" w:evenHBand="0" w:firstRowFirstColumn="0" w:firstRowLastColumn="0" w:lastRowFirstColumn="0" w:lastRowLastColumn="0"/>
            <w:tcW w:w="2785" w:type="dxa"/>
          </w:tcPr>
          <w:p w:rsidR="000B386F" w:rsidRPr="006549B3" w:rsidRDefault="000B386F">
            <w:pPr>
              <w:spacing w:line="276" w:lineRule="auto"/>
              <w:rPr>
                <w:rFonts w:ascii="Arial" w:hAnsi="Arial" w:cs="Arial"/>
                <w:sz w:val="18"/>
                <w:szCs w:val="18"/>
              </w:rPr>
            </w:pPr>
            <w:r w:rsidRPr="006549B3">
              <w:rPr>
                <w:rFonts w:ascii="Arial" w:hAnsi="Arial" w:cs="Arial"/>
                <w:sz w:val="18"/>
                <w:szCs w:val="18"/>
              </w:rPr>
              <w:t>HABs</w:t>
            </w:r>
            <w:r w:rsidR="00510809">
              <w:rPr>
                <w:rFonts w:ascii="Arial" w:hAnsi="Arial" w:cs="Arial"/>
                <w:sz w:val="18"/>
                <w:szCs w:val="18"/>
              </w:rPr>
              <w:t xml:space="preserve"> abundance</w:t>
            </w:r>
            <w:r w:rsidR="00557628">
              <w:rPr>
                <w:rFonts w:ascii="Arial" w:hAnsi="Arial" w:cs="Arial"/>
                <w:sz w:val="18"/>
                <w:szCs w:val="18"/>
              </w:rPr>
              <w:t xml:space="preserve"> (</w:t>
            </w:r>
            <w:proofErr w:type="spellStart"/>
            <w:r w:rsidRPr="006549B3">
              <w:rPr>
                <w:rFonts w:ascii="Arial" w:hAnsi="Arial" w:cs="Arial"/>
                <w:sz w:val="18"/>
                <w:szCs w:val="18"/>
              </w:rPr>
              <w:t>Alexandrium</w:t>
            </w:r>
            <w:proofErr w:type="spellEnd"/>
            <w:r w:rsidRPr="006549B3">
              <w:rPr>
                <w:rFonts w:ascii="Arial" w:hAnsi="Arial" w:cs="Arial"/>
                <w:sz w:val="18"/>
                <w:szCs w:val="18"/>
              </w:rPr>
              <w:t xml:space="preserve"> </w:t>
            </w:r>
            <w:proofErr w:type="spellStart"/>
            <w:r w:rsidRPr="006549B3">
              <w:rPr>
                <w:rFonts w:ascii="Arial" w:hAnsi="Arial" w:cs="Arial"/>
                <w:sz w:val="18"/>
                <w:szCs w:val="18"/>
              </w:rPr>
              <w:t>spp</w:t>
            </w:r>
            <w:proofErr w:type="spellEnd"/>
            <w:r w:rsidRPr="006549B3">
              <w:rPr>
                <w:rFonts w:ascii="Arial" w:hAnsi="Arial" w:cs="Arial"/>
                <w:sz w:val="18"/>
                <w:szCs w:val="18"/>
              </w:rPr>
              <w:t>, cyanobacteria</w:t>
            </w:r>
            <w:r w:rsidR="00F771FA" w:rsidRPr="00947DFD">
              <w:rPr>
                <w:rFonts w:ascii="Arial" w:hAnsi="Arial" w:cs="Arial"/>
                <w:sz w:val="18"/>
                <w:szCs w:val="18"/>
                <w:vertAlign w:val="superscript"/>
              </w:rPr>
              <w:t>1</w:t>
            </w:r>
            <w:r w:rsidRPr="006549B3">
              <w:rPr>
                <w:rFonts w:ascii="Arial" w:hAnsi="Arial" w:cs="Arial"/>
                <w:sz w:val="18"/>
                <w:szCs w:val="18"/>
              </w:rPr>
              <w:t>, Pseudo-</w:t>
            </w:r>
            <w:proofErr w:type="spellStart"/>
            <w:r w:rsidRPr="006549B3">
              <w:rPr>
                <w:rFonts w:ascii="Arial" w:hAnsi="Arial" w:cs="Arial"/>
                <w:sz w:val="18"/>
                <w:szCs w:val="18"/>
              </w:rPr>
              <w:t>nitzchia</w:t>
            </w:r>
            <w:proofErr w:type="spellEnd"/>
            <w:r w:rsidRPr="006549B3">
              <w:rPr>
                <w:rFonts w:ascii="Arial" w:hAnsi="Arial" w:cs="Arial"/>
                <w:sz w:val="18"/>
                <w:szCs w:val="18"/>
              </w:rPr>
              <w:t xml:space="preserve"> spp., </w:t>
            </w:r>
            <w:proofErr w:type="spellStart"/>
            <w:r w:rsidRPr="006549B3">
              <w:rPr>
                <w:rFonts w:ascii="Arial" w:hAnsi="Arial" w:cs="Arial"/>
                <w:sz w:val="18"/>
                <w:szCs w:val="18"/>
              </w:rPr>
              <w:t>Dinophysis</w:t>
            </w:r>
            <w:proofErr w:type="spellEnd"/>
            <w:r w:rsidRPr="006549B3">
              <w:rPr>
                <w:rFonts w:ascii="Arial" w:hAnsi="Arial" w:cs="Arial"/>
                <w:sz w:val="18"/>
                <w:szCs w:val="18"/>
              </w:rPr>
              <w:t xml:space="preserve"> spp.)</w:t>
            </w:r>
          </w:p>
        </w:tc>
        <w:tc>
          <w:tcPr>
            <w:tcW w:w="3060" w:type="dxa"/>
          </w:tcPr>
          <w:p w:rsidR="000B386F" w:rsidRPr="006549B3" w:rsidRDefault="000B386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49B3">
              <w:rPr>
                <w:rFonts w:ascii="Arial" w:hAnsi="Arial" w:cs="Arial"/>
                <w:sz w:val="18"/>
                <w:szCs w:val="18"/>
              </w:rPr>
              <w:t xml:space="preserve">Genus and/or species cell counts and </w:t>
            </w:r>
            <w:proofErr w:type="spellStart"/>
            <w:r w:rsidRPr="006549B3">
              <w:rPr>
                <w:rFonts w:ascii="Arial" w:hAnsi="Arial" w:cs="Arial"/>
                <w:sz w:val="18"/>
                <w:szCs w:val="18"/>
              </w:rPr>
              <w:t>biovolume</w:t>
            </w:r>
            <w:proofErr w:type="spellEnd"/>
          </w:p>
        </w:tc>
        <w:tc>
          <w:tcPr>
            <w:tcW w:w="3060" w:type="dxa"/>
          </w:tcPr>
          <w:p w:rsidR="000B386F" w:rsidRPr="006549B3" w:rsidRDefault="000B386F" w:rsidP="00D903B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49B3">
              <w:rPr>
                <w:rFonts w:ascii="Arial" w:hAnsi="Arial" w:cs="Arial"/>
                <w:sz w:val="18"/>
                <w:szCs w:val="18"/>
              </w:rPr>
              <w:t>Existing state, federal or international guidance—</w:t>
            </w:r>
            <w:r w:rsidR="00D903BC">
              <w:rPr>
                <w:rFonts w:ascii="Arial" w:hAnsi="Arial" w:cs="Arial"/>
                <w:sz w:val="18"/>
                <w:szCs w:val="18"/>
              </w:rPr>
              <w:t>Appendix C</w:t>
            </w:r>
            <w:r w:rsidRPr="006549B3">
              <w:rPr>
                <w:rFonts w:ascii="Arial" w:hAnsi="Arial" w:cs="Arial"/>
                <w:sz w:val="18"/>
                <w:szCs w:val="18"/>
              </w:rPr>
              <w:t xml:space="preserve"> for specifics by HAB species </w:t>
            </w:r>
          </w:p>
        </w:tc>
      </w:tr>
      <w:tr w:rsidR="000B386F" w:rsidRPr="006549B3" w:rsidTr="00B948DC">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785" w:type="dxa"/>
          </w:tcPr>
          <w:p w:rsidR="000B386F" w:rsidRPr="006549B3" w:rsidRDefault="00FC70FA">
            <w:pPr>
              <w:spacing w:line="276" w:lineRule="auto"/>
              <w:rPr>
                <w:rFonts w:ascii="Arial" w:hAnsi="Arial" w:cs="Arial"/>
                <w:sz w:val="18"/>
                <w:szCs w:val="18"/>
              </w:rPr>
            </w:pPr>
            <w:r>
              <w:rPr>
                <w:rFonts w:ascii="Arial" w:hAnsi="Arial" w:cs="Arial"/>
                <w:sz w:val="18"/>
                <w:szCs w:val="18"/>
              </w:rPr>
              <w:t>HAB t</w:t>
            </w:r>
            <w:r w:rsidR="000B386F" w:rsidRPr="006549B3">
              <w:rPr>
                <w:rFonts w:ascii="Arial" w:hAnsi="Arial" w:cs="Arial"/>
                <w:sz w:val="18"/>
                <w:szCs w:val="18"/>
              </w:rPr>
              <w:t>oxin concentrations</w:t>
            </w:r>
          </w:p>
        </w:tc>
        <w:tc>
          <w:tcPr>
            <w:tcW w:w="3060" w:type="dxa"/>
          </w:tcPr>
          <w:p w:rsidR="000B386F" w:rsidRPr="006549B3" w:rsidRDefault="000B386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60" w:type="dxa"/>
          </w:tcPr>
          <w:p w:rsidR="000B386F" w:rsidRPr="006549B3" w:rsidRDefault="000B386F" w:rsidP="00947DF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549B3">
              <w:rPr>
                <w:rFonts w:ascii="Arial" w:hAnsi="Arial" w:cs="Arial"/>
                <w:sz w:val="18"/>
                <w:szCs w:val="18"/>
              </w:rPr>
              <w:t>Existing state, federal or international guidance</w:t>
            </w:r>
          </w:p>
        </w:tc>
      </w:tr>
      <w:tr w:rsidR="001C663F" w:rsidRPr="006549B3" w:rsidTr="001F212A">
        <w:trPr>
          <w:trHeight w:val="889"/>
        </w:trPr>
        <w:tc>
          <w:tcPr>
            <w:cnfStyle w:val="001000000000" w:firstRow="0" w:lastRow="0" w:firstColumn="1" w:lastColumn="0" w:oddVBand="0" w:evenVBand="0" w:oddHBand="0" w:evenHBand="0" w:firstRowFirstColumn="0" w:firstRowLastColumn="0" w:lastRowFirstColumn="0" w:lastRowLastColumn="0"/>
            <w:tcW w:w="2785" w:type="dxa"/>
            <w:vMerge w:val="restart"/>
          </w:tcPr>
          <w:p w:rsidR="001C663F" w:rsidRPr="006549B3" w:rsidRDefault="001C663F">
            <w:pPr>
              <w:spacing w:line="276" w:lineRule="auto"/>
              <w:rPr>
                <w:rFonts w:ascii="Arial" w:hAnsi="Arial" w:cs="Arial"/>
                <w:sz w:val="18"/>
                <w:szCs w:val="18"/>
              </w:rPr>
            </w:pPr>
            <w:r w:rsidRPr="006549B3">
              <w:rPr>
                <w:rFonts w:ascii="Arial" w:hAnsi="Arial" w:cs="Arial"/>
                <w:sz w:val="18"/>
                <w:szCs w:val="18"/>
              </w:rPr>
              <w:t>Phytoplankton composition</w:t>
            </w:r>
          </w:p>
        </w:tc>
        <w:tc>
          <w:tcPr>
            <w:tcW w:w="3060" w:type="dxa"/>
          </w:tcPr>
          <w:p w:rsidR="001C663F" w:rsidRPr="006549B3" w:rsidRDefault="001C663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49B3">
              <w:rPr>
                <w:rFonts w:ascii="Arial" w:hAnsi="Arial" w:cs="Arial"/>
                <w:sz w:val="18"/>
                <w:szCs w:val="18"/>
              </w:rPr>
              <w:t xml:space="preserve">Genus and/or species cell counts </w:t>
            </w:r>
          </w:p>
          <w:p w:rsidR="001C663F" w:rsidRPr="006549B3" w:rsidRDefault="001C663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060" w:type="dxa"/>
            <w:vMerge w:val="restart"/>
            <w:vAlign w:val="center"/>
          </w:tcPr>
          <w:p w:rsidR="001C663F" w:rsidRPr="006549B3" w:rsidRDefault="001C663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49B3">
              <w:rPr>
                <w:rFonts w:ascii="Arial" w:hAnsi="Arial" w:cs="Arial"/>
                <w:sz w:val="18"/>
                <w:szCs w:val="18"/>
              </w:rPr>
              <w:t xml:space="preserve">No classification scheme proposed. </w:t>
            </w:r>
          </w:p>
        </w:tc>
      </w:tr>
      <w:tr w:rsidR="001C663F" w:rsidRPr="006549B3" w:rsidTr="00B94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Merge/>
          </w:tcPr>
          <w:p w:rsidR="001C663F" w:rsidRPr="006549B3" w:rsidRDefault="001C663F">
            <w:pPr>
              <w:spacing w:line="276" w:lineRule="auto"/>
              <w:rPr>
                <w:rFonts w:ascii="Arial" w:hAnsi="Arial" w:cs="Arial"/>
                <w:sz w:val="18"/>
                <w:szCs w:val="18"/>
              </w:rPr>
            </w:pPr>
          </w:p>
        </w:tc>
        <w:tc>
          <w:tcPr>
            <w:tcW w:w="3060" w:type="dxa"/>
          </w:tcPr>
          <w:p w:rsidR="001C663F" w:rsidRPr="006549B3" w:rsidRDefault="001C663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549B3">
              <w:rPr>
                <w:rFonts w:ascii="Arial" w:hAnsi="Arial" w:cs="Arial"/>
                <w:sz w:val="18"/>
                <w:szCs w:val="18"/>
              </w:rPr>
              <w:t xml:space="preserve">% of </w:t>
            </w:r>
            <w:proofErr w:type="spellStart"/>
            <w:r w:rsidRPr="006549B3">
              <w:rPr>
                <w:rFonts w:ascii="Arial" w:hAnsi="Arial" w:cs="Arial"/>
                <w:sz w:val="18"/>
                <w:szCs w:val="18"/>
              </w:rPr>
              <w:t>Biovolume</w:t>
            </w:r>
            <w:proofErr w:type="spellEnd"/>
            <w:r w:rsidRPr="006549B3">
              <w:rPr>
                <w:rFonts w:ascii="Arial" w:hAnsi="Arial" w:cs="Arial"/>
                <w:sz w:val="18"/>
                <w:szCs w:val="18"/>
              </w:rPr>
              <w:t xml:space="preserve"> &lt; 0.5 microns</w:t>
            </w:r>
          </w:p>
        </w:tc>
        <w:tc>
          <w:tcPr>
            <w:tcW w:w="3060" w:type="dxa"/>
            <w:vMerge/>
          </w:tcPr>
          <w:p w:rsidR="001C663F" w:rsidRPr="006549B3" w:rsidRDefault="001C663F">
            <w:pPr>
              <w:pStyle w:val="ListParagraph"/>
              <w:numPr>
                <w:ilvl w:val="0"/>
                <w:numId w:val="18"/>
              </w:numPr>
              <w:spacing w:line="276" w:lineRule="auto"/>
              <w:ind w:left="224" w:hanging="224"/>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C663F" w:rsidRPr="006549B3" w:rsidTr="00B948DC">
        <w:tc>
          <w:tcPr>
            <w:cnfStyle w:val="001000000000" w:firstRow="0" w:lastRow="0" w:firstColumn="1" w:lastColumn="0" w:oddVBand="0" w:evenVBand="0" w:oddHBand="0" w:evenHBand="0" w:firstRowFirstColumn="0" w:firstRowLastColumn="0" w:lastRowFirstColumn="0" w:lastRowLastColumn="0"/>
            <w:tcW w:w="2785" w:type="dxa"/>
            <w:vMerge/>
          </w:tcPr>
          <w:p w:rsidR="001C663F" w:rsidRPr="006549B3" w:rsidRDefault="001C663F">
            <w:pPr>
              <w:spacing w:line="276" w:lineRule="auto"/>
              <w:rPr>
                <w:rFonts w:ascii="Arial" w:hAnsi="Arial" w:cs="Arial"/>
                <w:sz w:val="18"/>
                <w:szCs w:val="18"/>
              </w:rPr>
            </w:pPr>
          </w:p>
        </w:tc>
        <w:tc>
          <w:tcPr>
            <w:tcW w:w="3060" w:type="dxa"/>
          </w:tcPr>
          <w:p w:rsidR="001C663F" w:rsidRPr="006549B3" w:rsidRDefault="001C663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49B3">
              <w:rPr>
                <w:rFonts w:ascii="Arial" w:hAnsi="Arial" w:cs="Arial"/>
                <w:sz w:val="18"/>
                <w:szCs w:val="18"/>
              </w:rPr>
              <w:t>Phytoplankton Food Quality Index (</w:t>
            </w:r>
            <w:r w:rsidR="00B67B7A" w:rsidRPr="006549B3">
              <w:rPr>
                <w:rFonts w:ascii="Arial" w:hAnsi="Arial" w:cs="Arial"/>
                <w:sz w:val="18"/>
                <w:szCs w:val="18"/>
              </w:rPr>
              <w:t xml:space="preserve">Galloway and </w:t>
            </w:r>
            <w:r w:rsidR="00544A60">
              <w:rPr>
                <w:rFonts w:ascii="Arial" w:hAnsi="Arial" w:cs="Arial"/>
                <w:sz w:val="18"/>
                <w:szCs w:val="18"/>
              </w:rPr>
              <w:t>W</w:t>
            </w:r>
            <w:r w:rsidR="00B67B7A" w:rsidRPr="006549B3">
              <w:rPr>
                <w:rFonts w:ascii="Arial" w:hAnsi="Arial" w:cs="Arial"/>
                <w:sz w:val="18"/>
                <w:szCs w:val="18"/>
              </w:rPr>
              <w:t>inder 2015</w:t>
            </w:r>
            <w:r w:rsidRPr="006549B3">
              <w:rPr>
                <w:rFonts w:ascii="Arial" w:hAnsi="Arial" w:cs="Arial"/>
                <w:sz w:val="18"/>
                <w:szCs w:val="18"/>
              </w:rPr>
              <w:t>)</w:t>
            </w:r>
          </w:p>
        </w:tc>
        <w:tc>
          <w:tcPr>
            <w:tcW w:w="3060" w:type="dxa"/>
            <w:vMerge/>
          </w:tcPr>
          <w:p w:rsidR="001C663F" w:rsidRPr="006549B3" w:rsidRDefault="001C663F">
            <w:pPr>
              <w:pStyle w:val="ListParagraph"/>
              <w:numPr>
                <w:ilvl w:val="0"/>
                <w:numId w:val="18"/>
              </w:numPr>
              <w:spacing w:line="276" w:lineRule="auto"/>
              <w:ind w:left="224" w:hanging="22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rsidR="00F771FA" w:rsidRDefault="00F771FA">
      <w:pPr>
        <w:spacing w:line="276" w:lineRule="auto"/>
        <w:rPr>
          <w:rFonts w:ascii="Arial" w:hAnsi="Arial" w:cs="Arial"/>
          <w:sz w:val="16"/>
          <w:szCs w:val="16"/>
        </w:rPr>
      </w:pPr>
    </w:p>
    <w:p w:rsidR="00A427B7" w:rsidRDefault="00F771FA" w:rsidP="00A427B7">
      <w:pPr>
        <w:spacing w:line="276" w:lineRule="auto"/>
        <w:rPr>
          <w:rFonts w:ascii="Arial" w:hAnsi="Arial" w:cs="Arial"/>
          <w:sz w:val="16"/>
          <w:szCs w:val="16"/>
        </w:rPr>
      </w:pPr>
      <w:r w:rsidRPr="00F00B5F">
        <w:rPr>
          <w:rStyle w:val="FootnoteReference"/>
          <w:rFonts w:ascii="Arial" w:hAnsi="Arial" w:cs="Arial"/>
          <w:sz w:val="16"/>
          <w:szCs w:val="16"/>
        </w:rPr>
        <w:footnoteRef/>
      </w:r>
      <w:r w:rsidRPr="00F00B5F">
        <w:rPr>
          <w:rFonts w:ascii="Arial" w:hAnsi="Arial" w:cs="Arial"/>
          <w:sz w:val="16"/>
          <w:szCs w:val="16"/>
        </w:rPr>
        <w:t xml:space="preserve"> Cyanobacteria of interest include, but are not limited to, </w:t>
      </w:r>
      <w:proofErr w:type="spellStart"/>
      <w:r w:rsidRPr="00F00B5F">
        <w:rPr>
          <w:rFonts w:ascii="Arial" w:hAnsi="Arial" w:cs="Arial"/>
          <w:sz w:val="16"/>
          <w:szCs w:val="16"/>
        </w:rPr>
        <w:t>Cylindrospermopsis</w:t>
      </w:r>
      <w:proofErr w:type="spellEnd"/>
      <w:r w:rsidRPr="00F00B5F">
        <w:rPr>
          <w:rFonts w:ascii="Arial" w:hAnsi="Arial" w:cs="Arial"/>
          <w:sz w:val="16"/>
          <w:szCs w:val="16"/>
        </w:rPr>
        <w:t xml:space="preserve"> spp., Anabaena spp., </w:t>
      </w:r>
      <w:proofErr w:type="spellStart"/>
      <w:r w:rsidRPr="00F00B5F">
        <w:rPr>
          <w:rFonts w:ascii="Arial" w:hAnsi="Arial" w:cs="Arial"/>
          <w:sz w:val="16"/>
          <w:szCs w:val="16"/>
        </w:rPr>
        <w:t>Microcystis</w:t>
      </w:r>
      <w:proofErr w:type="spellEnd"/>
      <w:r w:rsidRPr="00F00B5F">
        <w:rPr>
          <w:rFonts w:ascii="Arial" w:hAnsi="Arial" w:cs="Arial"/>
          <w:sz w:val="16"/>
          <w:szCs w:val="16"/>
        </w:rPr>
        <w:t xml:space="preserve"> spp., </w:t>
      </w:r>
      <w:proofErr w:type="spellStart"/>
      <w:r w:rsidRPr="00F00B5F">
        <w:rPr>
          <w:rFonts w:ascii="Arial" w:hAnsi="Arial" w:cs="Arial"/>
          <w:sz w:val="16"/>
          <w:szCs w:val="16"/>
        </w:rPr>
        <w:t>Planktothrix</w:t>
      </w:r>
      <w:proofErr w:type="spellEnd"/>
      <w:r w:rsidRPr="00F00B5F">
        <w:rPr>
          <w:rFonts w:ascii="Arial" w:hAnsi="Arial" w:cs="Arial"/>
          <w:sz w:val="16"/>
          <w:szCs w:val="16"/>
        </w:rPr>
        <w:t xml:space="preserve"> spp., </w:t>
      </w:r>
      <w:proofErr w:type="spellStart"/>
      <w:r w:rsidRPr="00F00B5F">
        <w:rPr>
          <w:rFonts w:ascii="Arial" w:hAnsi="Arial" w:cs="Arial"/>
          <w:sz w:val="16"/>
          <w:szCs w:val="16"/>
        </w:rPr>
        <w:t>Anabaenopsis</w:t>
      </w:r>
      <w:proofErr w:type="spellEnd"/>
      <w:r w:rsidRPr="00F00B5F">
        <w:rPr>
          <w:rFonts w:ascii="Arial" w:hAnsi="Arial" w:cs="Arial"/>
          <w:sz w:val="16"/>
          <w:szCs w:val="16"/>
        </w:rPr>
        <w:t xml:space="preserve"> spp., </w:t>
      </w:r>
      <w:proofErr w:type="spellStart"/>
      <w:r w:rsidRPr="00F00B5F">
        <w:rPr>
          <w:rFonts w:ascii="Arial" w:hAnsi="Arial" w:cs="Arial"/>
          <w:sz w:val="16"/>
          <w:szCs w:val="16"/>
        </w:rPr>
        <w:t>Aphanizomenon</w:t>
      </w:r>
      <w:proofErr w:type="spellEnd"/>
      <w:r w:rsidRPr="00F00B5F">
        <w:rPr>
          <w:rFonts w:ascii="Arial" w:hAnsi="Arial" w:cs="Arial"/>
          <w:sz w:val="16"/>
          <w:szCs w:val="16"/>
        </w:rPr>
        <w:t xml:space="preserve"> spp., </w:t>
      </w:r>
      <w:proofErr w:type="spellStart"/>
      <w:r w:rsidRPr="00F00B5F">
        <w:rPr>
          <w:rFonts w:ascii="Arial" w:hAnsi="Arial" w:cs="Arial"/>
          <w:sz w:val="16"/>
          <w:szCs w:val="16"/>
        </w:rPr>
        <w:t>Lyngbya</w:t>
      </w:r>
      <w:proofErr w:type="spellEnd"/>
      <w:r w:rsidRPr="00F00B5F">
        <w:rPr>
          <w:rFonts w:ascii="Arial" w:hAnsi="Arial" w:cs="Arial"/>
          <w:sz w:val="16"/>
          <w:szCs w:val="16"/>
        </w:rPr>
        <w:t xml:space="preserve"> spp., </w:t>
      </w:r>
      <w:proofErr w:type="spellStart"/>
      <w:r w:rsidRPr="00F00B5F">
        <w:rPr>
          <w:rFonts w:ascii="Arial" w:hAnsi="Arial" w:cs="Arial"/>
          <w:sz w:val="16"/>
          <w:szCs w:val="16"/>
        </w:rPr>
        <w:t>Raphidiopsis</w:t>
      </w:r>
      <w:proofErr w:type="spellEnd"/>
      <w:r w:rsidRPr="00F00B5F">
        <w:rPr>
          <w:rFonts w:ascii="Arial" w:hAnsi="Arial" w:cs="Arial"/>
          <w:sz w:val="16"/>
          <w:szCs w:val="16"/>
        </w:rPr>
        <w:t xml:space="preserve"> spp., </w:t>
      </w:r>
      <w:proofErr w:type="spellStart"/>
      <w:r w:rsidRPr="00F00B5F">
        <w:rPr>
          <w:rFonts w:ascii="Arial" w:hAnsi="Arial" w:cs="Arial"/>
          <w:sz w:val="16"/>
          <w:szCs w:val="16"/>
        </w:rPr>
        <w:t>Oscillatoria</w:t>
      </w:r>
      <w:proofErr w:type="spellEnd"/>
      <w:r w:rsidRPr="00F00B5F">
        <w:rPr>
          <w:rFonts w:ascii="Arial" w:hAnsi="Arial" w:cs="Arial"/>
          <w:sz w:val="16"/>
          <w:szCs w:val="16"/>
        </w:rPr>
        <w:t xml:space="preserve"> spp., and </w:t>
      </w:r>
      <w:proofErr w:type="spellStart"/>
      <w:r w:rsidRPr="00F00B5F">
        <w:rPr>
          <w:rFonts w:ascii="Arial" w:hAnsi="Arial" w:cs="Arial"/>
          <w:sz w:val="16"/>
          <w:szCs w:val="16"/>
        </w:rPr>
        <w:t>Umezakia</w:t>
      </w:r>
      <w:proofErr w:type="spellEnd"/>
      <w:r w:rsidRPr="00F00B5F">
        <w:rPr>
          <w:rFonts w:ascii="Arial" w:hAnsi="Arial" w:cs="Arial"/>
          <w:sz w:val="16"/>
          <w:szCs w:val="16"/>
        </w:rPr>
        <w:t xml:space="preserve"> spp.</w:t>
      </w:r>
    </w:p>
    <w:p w:rsidR="00A427B7" w:rsidRDefault="00A427B7">
      <w:pPr>
        <w:rPr>
          <w:rFonts w:ascii="Arial" w:hAnsi="Arial" w:cs="Arial"/>
          <w:sz w:val="16"/>
          <w:szCs w:val="16"/>
        </w:rPr>
      </w:pPr>
      <w:r>
        <w:rPr>
          <w:rFonts w:ascii="Arial" w:hAnsi="Arial" w:cs="Arial"/>
          <w:sz w:val="16"/>
          <w:szCs w:val="16"/>
        </w:rPr>
        <w:br w:type="page"/>
      </w:r>
    </w:p>
    <w:p w:rsidR="00510809" w:rsidRDefault="005435CB">
      <w:r>
        <w:lastRenderedPageBreak/>
        <w:t xml:space="preserve">Review of the science supporting SFB </w:t>
      </w:r>
      <w:r w:rsidR="00510809">
        <w:t>DO</w:t>
      </w:r>
      <w:r>
        <w:t xml:space="preserve"> objectives </w:t>
      </w:r>
      <w:r w:rsidR="00A63E89">
        <w:t>is</w:t>
      </w:r>
      <w:r>
        <w:t xml:space="preserve"> beyond the scope of this initial phase of </w:t>
      </w:r>
      <w:r w:rsidR="00353722">
        <w:t>AF</w:t>
      </w:r>
      <w:r>
        <w:t xml:space="preserve"> development. Thus, the present recommendations focus on phytoplankton indicators. </w:t>
      </w:r>
    </w:p>
    <w:p w:rsidR="00510809" w:rsidRDefault="00510809"/>
    <w:p w:rsidR="005435CB" w:rsidRPr="00947DFD" w:rsidRDefault="005435CB">
      <w:pPr>
        <w:rPr>
          <w:u w:val="single"/>
        </w:rPr>
      </w:pPr>
      <w:r w:rsidRPr="00947DFD">
        <w:rPr>
          <w:u w:val="single"/>
        </w:rPr>
        <w:t xml:space="preserve">Until further work is undertaken to consider and refine DO objectives and/or optimize sampling, assessments of DO are assumed to occur at the same frequency and location as those for the phytoplankton indicators. </w:t>
      </w:r>
    </w:p>
    <w:p w:rsidR="005435CB" w:rsidRDefault="005435CB"/>
    <w:p w:rsidR="005F19C7" w:rsidRDefault="005435CB">
      <w:r>
        <w:t>Because d</w:t>
      </w:r>
      <w:r w:rsidRPr="00187DD3">
        <w:t>issolved oxygen, phytoplankton biomass, productivity and phytoplankton composition are all extremely v</w:t>
      </w:r>
      <w:r>
        <w:t>ariable across both time and space,</w:t>
      </w:r>
      <w:r w:rsidRPr="00187DD3">
        <w:t xml:space="preserve"> </w:t>
      </w:r>
      <w:r>
        <w:t xml:space="preserve">the following </w:t>
      </w:r>
      <w:r w:rsidR="00A427B7">
        <w:t xml:space="preserve">two </w:t>
      </w:r>
      <w:r>
        <w:t>sections outline</w:t>
      </w:r>
      <w:r w:rsidR="00A427B7">
        <w:t xml:space="preserve"> recommendations regarding</w:t>
      </w:r>
      <w:r>
        <w:t xml:space="preserve"> t</w:t>
      </w:r>
      <w:r w:rsidR="005F19C7">
        <w:t xml:space="preserve">he temporal and spatial elements of the </w:t>
      </w:r>
      <w:r w:rsidR="00353722">
        <w:t>AF</w:t>
      </w:r>
      <w:r w:rsidR="005F19C7">
        <w:t xml:space="preserve"> and </w:t>
      </w:r>
      <w:r w:rsidR="00A427B7">
        <w:t>how to align them</w:t>
      </w:r>
      <w:r>
        <w:t xml:space="preserve"> with </w:t>
      </w:r>
      <w:r w:rsidR="005F19C7">
        <w:t xml:space="preserve">the monitoring program </w:t>
      </w:r>
      <w:r>
        <w:t>to</w:t>
      </w:r>
      <w:r w:rsidR="005F19C7">
        <w:t xml:space="preserve"> optimize captur</w:t>
      </w:r>
      <w:r>
        <w:t xml:space="preserve">ing </w:t>
      </w:r>
      <w:r w:rsidR="005F19C7">
        <w:t xml:space="preserve">this variability, while </w:t>
      </w:r>
      <w:r>
        <w:t xml:space="preserve">also </w:t>
      </w:r>
      <w:r w:rsidR="005F19C7">
        <w:t xml:space="preserve">balancing costs, logistics and power to detect trends. </w:t>
      </w:r>
    </w:p>
    <w:p w:rsidR="000A2CCB" w:rsidRDefault="000A2CCB" w:rsidP="00947DFD">
      <w:pPr>
        <w:spacing w:line="276" w:lineRule="auto"/>
        <w:rPr>
          <w:rFonts w:asciiTheme="minorHAnsi" w:hAnsiTheme="minorHAnsi" w:cstheme="minorHAnsi"/>
        </w:rPr>
      </w:pPr>
    </w:p>
    <w:p w:rsidR="000A2CCB" w:rsidRDefault="005F19C7" w:rsidP="00947DFD">
      <w:pPr>
        <w:pStyle w:val="Heading3"/>
        <w:spacing w:before="0" w:after="0" w:line="276" w:lineRule="auto"/>
        <w:jc w:val="left"/>
      </w:pPr>
      <w:bookmarkStart w:id="55" w:name="_Toc433370067"/>
      <w:r w:rsidRPr="00295087">
        <w:t xml:space="preserve">Temporal </w:t>
      </w:r>
      <w:r w:rsidR="000A2CCB">
        <w:t>Scales</w:t>
      </w:r>
      <w:r w:rsidRPr="00295087">
        <w:t xml:space="preserve"> of Interest and Recommended Frequency</w:t>
      </w:r>
      <w:bookmarkEnd w:id="55"/>
      <w:r>
        <w:t xml:space="preserve"> </w:t>
      </w:r>
    </w:p>
    <w:p w:rsidR="005F19C7" w:rsidRDefault="005F19C7">
      <w:r>
        <w:t>For phytoplan</w:t>
      </w:r>
      <w:r w:rsidR="001C663F">
        <w:t>k</w:t>
      </w:r>
      <w:r>
        <w:t xml:space="preserve">ton indicators, four temporal components are of interest for documenting ecosystem change (Figures </w:t>
      </w:r>
      <w:r w:rsidR="00614DDD">
        <w:t>3.</w:t>
      </w:r>
      <w:r w:rsidR="00BF2D86">
        <w:t>8</w:t>
      </w:r>
      <w:r w:rsidR="005435CB">
        <w:t xml:space="preserve"> and </w:t>
      </w:r>
      <w:r w:rsidR="00614DDD">
        <w:t>3.</w:t>
      </w:r>
      <w:r w:rsidR="00BF2D86">
        <w:t>9</w:t>
      </w:r>
      <w:r>
        <w:t xml:space="preserve">): </w:t>
      </w:r>
    </w:p>
    <w:p w:rsidR="005F19C7" w:rsidRPr="00F00B5F" w:rsidRDefault="005F19C7" w:rsidP="00947DFD">
      <w:pPr>
        <w:pStyle w:val="ListParagraph"/>
        <w:numPr>
          <w:ilvl w:val="0"/>
          <w:numId w:val="18"/>
        </w:numPr>
      </w:pPr>
      <w:r w:rsidRPr="00F00B5F">
        <w:t>Magnitude of spring blooms</w:t>
      </w:r>
    </w:p>
    <w:p w:rsidR="005F19C7" w:rsidRPr="00F00B5F" w:rsidRDefault="00614DDD" w:rsidP="00947DFD">
      <w:pPr>
        <w:pStyle w:val="ListParagraph"/>
        <w:numPr>
          <w:ilvl w:val="0"/>
          <w:numId w:val="18"/>
        </w:numPr>
      </w:pPr>
      <w:r w:rsidRPr="00F00B5F">
        <w:t>Emergence and m</w:t>
      </w:r>
      <w:r w:rsidR="005F19C7" w:rsidRPr="00F00B5F">
        <w:t xml:space="preserve">agnitude of fall blooms </w:t>
      </w:r>
    </w:p>
    <w:p w:rsidR="005F19C7" w:rsidRPr="00F00B5F" w:rsidRDefault="005F19C7" w:rsidP="00947DFD">
      <w:pPr>
        <w:pStyle w:val="ListParagraph"/>
        <w:numPr>
          <w:ilvl w:val="0"/>
          <w:numId w:val="18"/>
        </w:numPr>
      </w:pPr>
      <w:r w:rsidRPr="00F00B5F">
        <w:t>Elevated baseline occurring during non-blooms periods (typically during June-September)</w:t>
      </w:r>
    </w:p>
    <w:p w:rsidR="005F19C7" w:rsidRPr="00F00B5F" w:rsidRDefault="005F19C7" w:rsidP="00947DFD">
      <w:pPr>
        <w:pStyle w:val="ListParagraph"/>
        <w:numPr>
          <w:ilvl w:val="0"/>
          <w:numId w:val="18"/>
        </w:numPr>
      </w:pPr>
      <w:proofErr w:type="spellStart"/>
      <w:r w:rsidRPr="00F00B5F">
        <w:t>Interannual</w:t>
      </w:r>
      <w:proofErr w:type="spellEnd"/>
      <w:r w:rsidRPr="00F00B5F">
        <w:t xml:space="preserve"> variability and trends</w:t>
      </w:r>
    </w:p>
    <w:p w:rsidR="005F19C7" w:rsidRDefault="005F19C7" w:rsidP="00947DFD">
      <w:pPr>
        <w:pStyle w:val="ListParagraph"/>
        <w:spacing w:line="276" w:lineRule="auto"/>
        <w:ind w:left="360"/>
        <w:rPr>
          <w:rFonts w:asciiTheme="minorHAnsi" w:hAnsiTheme="minorHAnsi" w:cstheme="minorHAnsi"/>
        </w:rPr>
      </w:pPr>
    </w:p>
    <w:p w:rsidR="005F19C7" w:rsidRPr="00220E1E" w:rsidRDefault="005F19C7" w:rsidP="00947DFD">
      <w:pPr>
        <w:spacing w:line="276" w:lineRule="auto"/>
        <w:rPr>
          <w:rFonts w:cs="Calibri"/>
        </w:rPr>
      </w:pPr>
      <w:r w:rsidRPr="00440E1F">
        <w:rPr>
          <w:noProof/>
        </w:rPr>
        <w:drawing>
          <wp:inline distT="0" distB="0" distL="0" distR="0" wp14:anchorId="012C693A" wp14:editId="1FCD814E">
            <wp:extent cx="4086031" cy="306517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680"/>
                    <a:stretch/>
                  </pic:blipFill>
                  <pic:spPr bwMode="auto">
                    <a:xfrm>
                      <a:off x="0" y="0"/>
                      <a:ext cx="4088430" cy="3066972"/>
                    </a:xfrm>
                    <a:prstGeom prst="rect">
                      <a:avLst/>
                    </a:prstGeom>
                    <a:noFill/>
                    <a:ln>
                      <a:noFill/>
                    </a:ln>
                    <a:extLst>
                      <a:ext uri="{53640926-AAD7-44D8-BBD7-CCE9431645EC}">
                        <a14:shadowObscured xmlns:a14="http://schemas.microsoft.com/office/drawing/2010/main"/>
                      </a:ext>
                    </a:extLst>
                  </pic:spPr>
                </pic:pic>
              </a:graphicData>
            </a:graphic>
          </wp:inline>
        </w:drawing>
      </w:r>
    </w:p>
    <w:p w:rsidR="00F00B5F" w:rsidRPr="00192018" w:rsidRDefault="005F19C7">
      <w:pPr>
        <w:pStyle w:val="TOF"/>
      </w:pPr>
      <w:bookmarkStart w:id="56" w:name="_Toc433370091"/>
      <w:r w:rsidRPr="00192018">
        <w:t>Figure 3.</w:t>
      </w:r>
      <w:r w:rsidR="00BF2D86">
        <w:t>8</w:t>
      </w:r>
      <w:r w:rsidRPr="00192018">
        <w:t>. 10-year rolling average chlorophyll</w:t>
      </w:r>
      <w:r w:rsidR="00D92142">
        <w:t>-</w:t>
      </w:r>
      <w:r w:rsidRPr="00192018">
        <w:t xml:space="preserve">a by month of the year in Lower South Bay, illustrating the four elements of interest in phytoplankton variability: </w:t>
      </w:r>
      <w:r w:rsidR="00F771FA">
        <w:t>(</w:t>
      </w:r>
      <w:r w:rsidRPr="00192018">
        <w:t xml:space="preserve">1) spring bloom, </w:t>
      </w:r>
      <w:r w:rsidR="00F771FA">
        <w:t>(</w:t>
      </w:r>
      <w:r w:rsidRPr="00192018">
        <w:t xml:space="preserve">2) fall bloom, </w:t>
      </w:r>
      <w:r w:rsidR="00F771FA">
        <w:t>(</w:t>
      </w:r>
      <w:r w:rsidRPr="00192018">
        <w:t xml:space="preserve">3) elevated baseline during non-bloom periods, and </w:t>
      </w:r>
      <w:r w:rsidR="00F771FA">
        <w:t>(</w:t>
      </w:r>
      <w:r w:rsidRPr="00192018">
        <w:t>4) interannual variablility. Source: Jim Cloern, USGS</w:t>
      </w:r>
      <w:bookmarkEnd w:id="56"/>
    </w:p>
    <w:p w:rsidR="005F19C7" w:rsidRDefault="005F19C7" w:rsidP="00BF2D86">
      <w:pPr>
        <w:pStyle w:val="ListParagraph"/>
        <w:spacing w:line="276" w:lineRule="auto"/>
        <w:ind w:left="360"/>
        <w:rPr>
          <w:rFonts w:cs="Calibri"/>
          <w:b/>
        </w:rPr>
      </w:pPr>
      <w:r w:rsidRPr="00295087">
        <w:rPr>
          <w:noProof/>
        </w:rPr>
        <w:lastRenderedPageBreak/>
        <w:drawing>
          <wp:inline distT="0" distB="0" distL="0" distR="0" wp14:anchorId="29E65FC3" wp14:editId="05F47354">
            <wp:extent cx="3754563" cy="2292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8208"/>
                    <a:stretch/>
                  </pic:blipFill>
                  <pic:spPr bwMode="auto">
                    <a:xfrm>
                      <a:off x="0" y="0"/>
                      <a:ext cx="3779664" cy="2307766"/>
                    </a:xfrm>
                    <a:prstGeom prst="rect">
                      <a:avLst/>
                    </a:prstGeom>
                    <a:noFill/>
                    <a:ln>
                      <a:noFill/>
                    </a:ln>
                    <a:extLst>
                      <a:ext uri="{53640926-AAD7-44D8-BBD7-CCE9431645EC}">
                        <a14:shadowObscured xmlns:a14="http://schemas.microsoft.com/office/drawing/2010/main"/>
                      </a:ext>
                    </a:extLst>
                  </pic:spPr>
                </pic:pic>
              </a:graphicData>
            </a:graphic>
          </wp:inline>
        </w:drawing>
      </w:r>
    </w:p>
    <w:p w:rsidR="005F19C7" w:rsidRPr="00192018" w:rsidRDefault="005F19C7">
      <w:pPr>
        <w:pStyle w:val="TOF"/>
      </w:pPr>
      <w:bookmarkStart w:id="57" w:name="_Toc433370092"/>
      <w:r w:rsidRPr="00192018">
        <w:t>Figure 3.</w:t>
      </w:r>
      <w:r w:rsidR="00BF2D86">
        <w:t>9</w:t>
      </w:r>
      <w:r w:rsidR="00E55DE5">
        <w:t>.</w:t>
      </w:r>
      <w:r w:rsidRPr="00192018">
        <w:t xml:space="preserve"> Trends in estimated annual GPP over time. From Cloern and Ja</w:t>
      </w:r>
      <w:r w:rsidR="004D659D">
        <w:t>s</w:t>
      </w:r>
      <w:r w:rsidRPr="00192018">
        <w:t>sby (2012). Drivers of change in estuarine-coastal ecosystems: discoveries from four decades of study in San Francisco Bay. Rev. Geophys., 50, RG4001, doi:10.1029/2012RG000397.</w:t>
      </w:r>
      <w:bookmarkEnd w:id="57"/>
    </w:p>
    <w:p w:rsidR="00192018" w:rsidRDefault="00192018">
      <w:pPr>
        <w:pStyle w:val="TOF"/>
        <w:spacing w:before="0" w:after="0" w:line="276" w:lineRule="auto"/>
      </w:pPr>
    </w:p>
    <w:p w:rsidR="00192018" w:rsidRDefault="00192018">
      <w:r w:rsidRPr="00220E1E">
        <w:t>Considering this variability, we recommend a sampling frequency of no less than monthly via ship-based sampling, with weekly sampling possible in order to better characterize bloom events.</w:t>
      </w:r>
    </w:p>
    <w:p w:rsidR="00192018" w:rsidRPr="00614DDD" w:rsidRDefault="00192018">
      <w:pPr>
        <w:pStyle w:val="TOF"/>
        <w:spacing w:before="0" w:after="0" w:line="276" w:lineRule="auto"/>
      </w:pPr>
    </w:p>
    <w:p w:rsidR="001C663F" w:rsidRDefault="001C663F" w:rsidP="00BF2D86">
      <w:pPr>
        <w:spacing w:line="276" w:lineRule="auto"/>
        <w:rPr>
          <w:rFonts w:asciiTheme="minorHAnsi" w:hAnsiTheme="minorHAnsi" w:cstheme="minorHAnsi"/>
          <w:b/>
        </w:rPr>
      </w:pPr>
    </w:p>
    <w:p w:rsidR="000A2CCB" w:rsidRDefault="005F19C7" w:rsidP="00BF2D86">
      <w:pPr>
        <w:pStyle w:val="Heading3"/>
        <w:spacing w:before="0" w:after="0" w:line="276" w:lineRule="auto"/>
        <w:jc w:val="left"/>
      </w:pPr>
      <w:bookmarkStart w:id="58" w:name="_Toc433370068"/>
      <w:r w:rsidRPr="00295087">
        <w:t>Spatial Elements and Minimum Recommended Density</w:t>
      </w:r>
      <w:bookmarkEnd w:id="58"/>
    </w:p>
    <w:p w:rsidR="005F19C7" w:rsidRDefault="005F19C7">
      <w:r>
        <w:t>To adequately capture spatial gradients</w:t>
      </w:r>
      <w:r w:rsidRPr="00187DD3">
        <w:t xml:space="preserve">, </w:t>
      </w:r>
      <w:r>
        <w:t>we recommend</w:t>
      </w:r>
      <w:r w:rsidRPr="00187DD3">
        <w:t xml:space="preserve"> </w:t>
      </w:r>
      <w:r>
        <w:t>sampling</w:t>
      </w:r>
      <w:r w:rsidR="00A427B7">
        <w:t xml:space="preserve"> that encompasses</w:t>
      </w:r>
      <w:r w:rsidRPr="00187DD3">
        <w:t xml:space="preserve"> </w:t>
      </w:r>
      <w:r w:rsidR="00F771FA">
        <w:t>(</w:t>
      </w:r>
      <w:r>
        <w:t xml:space="preserve">1) </w:t>
      </w:r>
      <w:r w:rsidR="00A427B7">
        <w:t xml:space="preserve">the </w:t>
      </w:r>
      <w:r>
        <w:t xml:space="preserve">SFB </w:t>
      </w:r>
      <w:proofErr w:type="spellStart"/>
      <w:r w:rsidR="00353722">
        <w:t>subembayment</w:t>
      </w:r>
      <w:r>
        <w:t>s</w:t>
      </w:r>
      <w:proofErr w:type="spellEnd"/>
      <w:r>
        <w:t xml:space="preserve"> defined by </w:t>
      </w:r>
      <w:proofErr w:type="spellStart"/>
      <w:r>
        <w:t>Jassby</w:t>
      </w:r>
      <w:proofErr w:type="spellEnd"/>
      <w:r>
        <w:t xml:space="preserve"> et al. (1997), </w:t>
      </w:r>
      <w:r w:rsidR="00F771FA">
        <w:t>(</w:t>
      </w:r>
      <w:r>
        <w:t>2</w:t>
      </w:r>
      <w:r w:rsidRPr="00187DD3">
        <w:t>) both deep</w:t>
      </w:r>
      <w:r w:rsidR="00D92142">
        <w:t>-</w:t>
      </w:r>
      <w:r w:rsidRPr="00187DD3">
        <w:t>channel</w:t>
      </w:r>
      <w:r w:rsidR="00A427B7">
        <w:t xml:space="preserve"> parts and</w:t>
      </w:r>
      <w:r w:rsidRPr="00187DD3">
        <w:t xml:space="preserve"> shallow parts of the Bay, </w:t>
      </w:r>
      <w:r w:rsidR="00F771FA">
        <w:t>(3</w:t>
      </w:r>
      <w:r w:rsidRPr="00187DD3">
        <w:t>) vertical gradients in the water column</w:t>
      </w:r>
      <w:r w:rsidR="00A427B7">
        <w:t xml:space="preserve">, </w:t>
      </w:r>
      <w:r w:rsidRPr="00187DD3">
        <w:t xml:space="preserve">either as grabs with depth or conductivity-temperature-depth (CTD) profiles, and </w:t>
      </w:r>
      <w:r w:rsidR="00F771FA">
        <w:t>(4</w:t>
      </w:r>
      <w:r w:rsidRPr="00187DD3">
        <w:t>) both the upstream</w:t>
      </w:r>
      <w:r>
        <w:t xml:space="preserve">, </w:t>
      </w:r>
      <w:r w:rsidRPr="00187DD3">
        <w:t xml:space="preserve">oceanic boundary conditions, </w:t>
      </w:r>
      <w:r>
        <w:t xml:space="preserve">as well as other </w:t>
      </w:r>
      <w:r w:rsidRPr="00187DD3">
        <w:t>potential “seed” sources of HABs, e.g.</w:t>
      </w:r>
      <w:r w:rsidR="00F771FA">
        <w:t>,</w:t>
      </w:r>
      <w:r w:rsidRPr="00187DD3">
        <w:t xml:space="preserve"> salt ponds.</w:t>
      </w:r>
    </w:p>
    <w:p w:rsidR="0087597C" w:rsidRDefault="0087597C" w:rsidP="00BF2D86">
      <w:pPr>
        <w:spacing w:line="276" w:lineRule="auto"/>
        <w:rPr>
          <w:rFonts w:asciiTheme="minorHAnsi" w:hAnsiTheme="minorHAnsi" w:cstheme="minorHAnsi"/>
        </w:rPr>
      </w:pPr>
    </w:p>
    <w:p w:rsidR="005F19C7" w:rsidRDefault="00A427B7">
      <w:r>
        <w:t xml:space="preserve">We used best </w:t>
      </w:r>
      <w:r w:rsidR="005F19C7">
        <w:t xml:space="preserve">professional judgment </w:t>
      </w:r>
      <w:r>
        <w:t>t</w:t>
      </w:r>
      <w:r w:rsidR="005F19C7">
        <w:t xml:space="preserve">o recommend preliminary placement of ship-based transects, water quality stations and moorings by </w:t>
      </w:r>
      <w:proofErr w:type="spellStart"/>
      <w:r w:rsidR="00353722">
        <w:t>subembayment</w:t>
      </w:r>
      <w:proofErr w:type="spellEnd"/>
      <w:r w:rsidR="005F19C7">
        <w:t xml:space="preserve"> (Figure 3.</w:t>
      </w:r>
      <w:r w:rsidR="00BF2D86">
        <w:t>10</w:t>
      </w:r>
      <w:r w:rsidR="005F19C7">
        <w:t>). These l</w:t>
      </w:r>
      <w:r w:rsidR="005F19C7" w:rsidRPr="005D5834">
        <w:t>ocations should be considered provisional, subject to funding availability and optimization in concert with other nutrient strategy components that require monitoring (e.g.</w:t>
      </w:r>
      <w:r w:rsidR="00F771FA">
        <w:t>,</w:t>
      </w:r>
      <w:r w:rsidR="005F19C7" w:rsidRPr="005D5834">
        <w:t xml:space="preserve"> model development, etc.).</w:t>
      </w:r>
      <w:r w:rsidR="005F19C7">
        <w:t xml:space="preserve"> Locations of historic USGS stations are preserved to maintain continuity of the long-term data set. Additional stations were added while balancing the logistics and cost of ship-based sampling. No</w:t>
      </w:r>
      <w:r w:rsidR="005F19C7" w:rsidRPr="00A355BE">
        <w:t xml:space="preserve"> </w:t>
      </w:r>
      <w:r w:rsidR="005F19C7">
        <w:t xml:space="preserve">stations </w:t>
      </w:r>
      <w:r w:rsidR="005F19C7" w:rsidRPr="00A355BE">
        <w:t xml:space="preserve">are placed in tidal sloughs </w:t>
      </w:r>
      <w:r w:rsidR="005F19C7">
        <w:t xml:space="preserve">and restored salt ponds; consideration of monitoring in these habitats should be undertaken in a subsequent phase of </w:t>
      </w:r>
      <w:r w:rsidR="00353722">
        <w:t>AF</w:t>
      </w:r>
      <w:r w:rsidR="005F19C7">
        <w:t xml:space="preserve"> development.</w:t>
      </w:r>
      <w:r w:rsidR="00D72900">
        <w:t xml:space="preserve"> </w:t>
      </w:r>
      <w:r w:rsidR="005F19C7">
        <w:t xml:space="preserve">Additional data analyses </w:t>
      </w:r>
      <w:r w:rsidR="00614DDD">
        <w:t>have been</w:t>
      </w:r>
      <w:r w:rsidR="005F19C7">
        <w:t xml:space="preserve"> recommended to optimize the placement of stations (</w:t>
      </w:r>
      <w:proofErr w:type="spellStart"/>
      <w:r w:rsidR="00614DDD">
        <w:t>Se</w:t>
      </w:r>
      <w:r w:rsidR="00B948DC">
        <w:t>n</w:t>
      </w:r>
      <w:r w:rsidR="00614DDD">
        <w:t>n</w:t>
      </w:r>
      <w:proofErr w:type="spellEnd"/>
      <w:r w:rsidR="00614DDD">
        <w:t xml:space="preserve"> et al. 2014</w:t>
      </w:r>
      <w:r w:rsidR="005F19C7">
        <w:t>).</w:t>
      </w:r>
    </w:p>
    <w:p w:rsidR="005F19C7" w:rsidRDefault="00E17E7B" w:rsidP="00BF2D86">
      <w:pPr>
        <w:spacing w:line="276" w:lineRule="auto"/>
        <w:rPr>
          <w:rFonts w:cs="Calibri"/>
          <w:b/>
        </w:rPr>
      </w:pPr>
      <w:r w:rsidRPr="00E17E7B">
        <w:rPr>
          <w:noProof/>
        </w:rPr>
        <w:lastRenderedPageBreak/>
        <w:drawing>
          <wp:inline distT="0" distB="0" distL="0" distR="0" wp14:anchorId="0DF9112F" wp14:editId="2714E1A0">
            <wp:extent cx="3727450" cy="48514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7450" cy="4851400"/>
                    </a:xfrm>
                    <a:prstGeom prst="rect">
                      <a:avLst/>
                    </a:prstGeom>
                    <a:noFill/>
                    <a:ln>
                      <a:noFill/>
                    </a:ln>
                  </pic:spPr>
                </pic:pic>
              </a:graphicData>
            </a:graphic>
          </wp:inline>
        </w:drawing>
      </w:r>
    </w:p>
    <w:p w:rsidR="005F19C7" w:rsidRDefault="005F19C7">
      <w:pPr>
        <w:pStyle w:val="TOF"/>
        <w:spacing w:before="0" w:after="0" w:line="276" w:lineRule="auto"/>
      </w:pPr>
    </w:p>
    <w:p w:rsidR="005F19C7" w:rsidRPr="00F00B5F" w:rsidRDefault="005F19C7">
      <w:pPr>
        <w:pStyle w:val="TOF"/>
      </w:pPr>
      <w:bookmarkStart w:id="59" w:name="_Toc433370093"/>
      <w:r w:rsidRPr="00F00B5F">
        <w:t>Figure 3.</w:t>
      </w:r>
      <w:r w:rsidR="00BF2D86">
        <w:t>10</w:t>
      </w:r>
      <w:r w:rsidRPr="00F00B5F">
        <w:t xml:space="preserve">. Recommendation of sampling stations representing minimum effort needed to support ambient nutrient assessment of SFB </w:t>
      </w:r>
      <w:r w:rsidR="00353722">
        <w:t>subembayment</w:t>
      </w:r>
      <w:r w:rsidRPr="00F00B5F">
        <w:t>s. Locations should be considered provisional, subject to funding availability and optimization in concert with other nutrient strategy components that require monitoring (e.g.</w:t>
      </w:r>
      <w:r w:rsidR="00F771FA">
        <w:t>,</w:t>
      </w:r>
      <w:r w:rsidRPr="00F00B5F">
        <w:t xml:space="preserve"> model development, etc.).</w:t>
      </w:r>
      <w:bookmarkEnd w:id="59"/>
    </w:p>
    <w:p w:rsidR="005F19C7" w:rsidRPr="00404E62" w:rsidRDefault="005F19C7" w:rsidP="00BF2D86">
      <w:pPr>
        <w:spacing w:line="276" w:lineRule="auto"/>
        <w:rPr>
          <w:rFonts w:cs="Calibri"/>
          <w:b/>
        </w:rPr>
      </w:pPr>
    </w:p>
    <w:p w:rsidR="00DA1021" w:rsidRDefault="00DA1021">
      <w:pPr>
        <w:pStyle w:val="Heading2"/>
      </w:pPr>
      <w:bookmarkStart w:id="60" w:name="_Toc398785458"/>
      <w:bookmarkStart w:id="61" w:name="_Toc433370069"/>
      <w:r w:rsidRPr="00DA1021">
        <w:t xml:space="preserve">Proposed </w:t>
      </w:r>
      <w:r w:rsidR="00353722">
        <w:t>AF</w:t>
      </w:r>
      <w:r w:rsidRPr="00DA1021">
        <w:t xml:space="preserve"> Classification Tables, Justification</w:t>
      </w:r>
      <w:bookmarkEnd w:id="60"/>
      <w:r w:rsidRPr="00DA1021">
        <w:t>, and Sources of Uncertainty</w:t>
      </w:r>
      <w:bookmarkEnd w:id="61"/>
    </w:p>
    <w:p w:rsidR="00302935" w:rsidRDefault="00FC70FA" w:rsidP="00BF2D86">
      <w:r>
        <w:t>As noted above, we have proposed classification frameworks for five of the six indicators of SFB ecological condition: phytoplankton biomass (chlorophyll-a), gross primary productivity, HABs abundance, HABs toxins, and dissolved oxygen</w:t>
      </w:r>
      <w:r w:rsidR="00302935">
        <w:t xml:space="preserve"> (Table 3.3)</w:t>
      </w:r>
      <w:r>
        <w:t xml:space="preserve">. </w:t>
      </w:r>
    </w:p>
    <w:p w:rsidR="00302935" w:rsidRDefault="00302935" w:rsidP="00BF2D86"/>
    <w:p w:rsidR="00C7068D" w:rsidRDefault="005D360E" w:rsidP="00BF2D86">
      <w:r>
        <w:t xml:space="preserve">For the sixth indicator – </w:t>
      </w:r>
      <w:r w:rsidR="00FC70FA">
        <w:t>phytoplankton community composition</w:t>
      </w:r>
      <w:r>
        <w:t xml:space="preserve"> – we </w:t>
      </w:r>
      <w:r w:rsidR="00302935">
        <w:t xml:space="preserve">explored two metrics that could be used to assess adverse changes (Section 3.1), and also </w:t>
      </w:r>
      <w:r>
        <w:t xml:space="preserve">made recommendations regarding temporal and spatial </w:t>
      </w:r>
      <w:r w:rsidR="00302935">
        <w:t>considerations</w:t>
      </w:r>
      <w:r>
        <w:t xml:space="preserve"> </w:t>
      </w:r>
      <w:r w:rsidR="00FC70FA">
        <w:t>(Section 3.2)</w:t>
      </w:r>
      <w:r w:rsidR="00302935">
        <w:t xml:space="preserve">, but are stopping short of proposing a classification table for </w:t>
      </w:r>
      <w:r w:rsidR="00510809">
        <w:t>phytoplankton community composition</w:t>
      </w:r>
      <w:r w:rsidR="00FC70FA">
        <w:t>.</w:t>
      </w:r>
    </w:p>
    <w:p w:rsidR="00FC70FA" w:rsidRDefault="00FC70FA" w:rsidP="00BF2D86"/>
    <w:p w:rsidR="005D360E" w:rsidRDefault="00302935">
      <w:r>
        <w:lastRenderedPageBreak/>
        <w:t xml:space="preserve">Among the other five </w:t>
      </w:r>
      <w:r w:rsidR="005D360E">
        <w:t xml:space="preserve">indicators, dissolved oxygen </w:t>
      </w:r>
      <w:r>
        <w:t>already has a classification table in use</w:t>
      </w:r>
      <w:r w:rsidR="005D360E">
        <w:t xml:space="preserve"> in SFB</w:t>
      </w:r>
      <w:r>
        <w:t>,</w:t>
      </w:r>
      <w:r w:rsidR="005D360E">
        <w:t xml:space="preserve"> and we recommend that </w:t>
      </w:r>
      <w:r>
        <w:t>the next step be a</w:t>
      </w:r>
      <w:r w:rsidR="008E15C5">
        <w:t xml:space="preserve"> review of the need to refine the Basin Plan </w:t>
      </w:r>
      <w:r w:rsidR="005D360E">
        <w:t>DO objectives (Section 3.2).</w:t>
      </w:r>
    </w:p>
    <w:p w:rsidR="00302935" w:rsidRDefault="00302935"/>
    <w:p w:rsidR="00E17E7B" w:rsidRDefault="005D360E">
      <w:r>
        <w:t>O</w:t>
      </w:r>
      <w:r w:rsidR="00FC70FA">
        <w:t>ur approach to developing classification tables</w:t>
      </w:r>
      <w:r>
        <w:t xml:space="preserve"> for the four</w:t>
      </w:r>
      <w:r w:rsidR="00302935">
        <w:t xml:space="preserve"> remaining</w:t>
      </w:r>
      <w:r>
        <w:t xml:space="preserve"> indicators</w:t>
      </w:r>
      <w:r w:rsidR="00FC70FA">
        <w:t xml:space="preserve"> </w:t>
      </w:r>
      <w:r>
        <w:t>consisted of separating</w:t>
      </w:r>
      <w:r w:rsidR="00E85E2E" w:rsidRPr="0003082C">
        <w:t xml:space="preserve"> Bay </w:t>
      </w:r>
      <w:proofErr w:type="spellStart"/>
      <w:r w:rsidR="00353722">
        <w:t>subembayment</w:t>
      </w:r>
      <w:r w:rsidR="00E85E2E" w:rsidRPr="0003082C">
        <w:t>s</w:t>
      </w:r>
      <w:proofErr w:type="spellEnd"/>
      <w:r w:rsidR="00E85E2E" w:rsidRPr="0003082C">
        <w:t xml:space="preserve"> </w:t>
      </w:r>
      <w:r w:rsidR="00FF0CE1">
        <w:t xml:space="preserve">into categorical bins of ecological condition, </w:t>
      </w:r>
      <w:r w:rsidR="00E85E2E" w:rsidRPr="0003082C">
        <w:t>from high to low</w:t>
      </w:r>
      <w:r w:rsidR="00FF0CE1">
        <w:t xml:space="preserve">, </w:t>
      </w:r>
      <w:r w:rsidR="00E85E2E" w:rsidRPr="0003082C">
        <w:t xml:space="preserve">based on </w:t>
      </w:r>
      <w:r w:rsidR="00FF0CE1">
        <w:t>indicators</w:t>
      </w:r>
      <w:r w:rsidR="00E85E2E" w:rsidRPr="0003082C">
        <w:t xml:space="preserve"> that are linked to ecosystem services (</w:t>
      </w:r>
      <w:r w:rsidR="00FF0CE1">
        <w:t>i.e.</w:t>
      </w:r>
      <w:r w:rsidR="00F771FA">
        <w:t>,</w:t>
      </w:r>
      <w:r w:rsidR="00E85E2E" w:rsidRPr="0003082C">
        <w:t xml:space="preserve"> beneficial uses).</w:t>
      </w:r>
      <w:r w:rsidR="00E17E7B">
        <w:t xml:space="preserve"> </w:t>
      </w:r>
      <w:r w:rsidR="00FF0CE1">
        <w:t>An intent was made to</w:t>
      </w:r>
      <w:r w:rsidR="00E17E7B">
        <w:t xml:space="preserve"> be</w:t>
      </w:r>
      <w:r w:rsidR="001B7024">
        <w:t xml:space="preserve"> as</w:t>
      </w:r>
      <w:r w:rsidR="00E17E7B">
        <w:t xml:space="preserve"> explicit as possible on the precise metrics</w:t>
      </w:r>
      <w:r w:rsidR="00FF0CE1">
        <w:t xml:space="preserve"> used to measure the indicators</w:t>
      </w:r>
      <w:r w:rsidR="00E17E7B">
        <w:t>,</w:t>
      </w:r>
      <w:r w:rsidR="00F771FA">
        <w:t xml:space="preserve"> </w:t>
      </w:r>
      <w:r w:rsidR="00D92142">
        <w:t>as well as the</w:t>
      </w:r>
      <w:r w:rsidR="00E17E7B">
        <w:t xml:space="preserve"> temporal and spatial density of data required to make assessments and </w:t>
      </w:r>
      <w:r w:rsidR="00FF0CE1">
        <w:t xml:space="preserve">to specify how the data would be </w:t>
      </w:r>
      <w:r w:rsidR="00E17E7B">
        <w:t>used to report on status and trends.</w:t>
      </w:r>
      <w:r w:rsidR="00D72900">
        <w:t xml:space="preserve"> </w:t>
      </w:r>
    </w:p>
    <w:p w:rsidR="006B130E" w:rsidRDefault="006B130E" w:rsidP="00BF2D86">
      <w:pPr>
        <w:spacing w:line="276" w:lineRule="auto"/>
        <w:rPr>
          <w:rFonts w:asciiTheme="minorHAnsi" w:hAnsiTheme="minorHAnsi"/>
        </w:rPr>
      </w:pPr>
    </w:p>
    <w:p w:rsidR="00A03992" w:rsidRDefault="00132956">
      <w:r>
        <w:t>Existing guidance and t</w:t>
      </w:r>
      <w:r w:rsidRPr="001B7F04">
        <w:t xml:space="preserve">he results of the quantitative analyses were synthesized, using expert opinion, into a classification scheme to assess ecological condition for multiple </w:t>
      </w:r>
      <w:proofErr w:type="spellStart"/>
      <w:r w:rsidRPr="001B7F04">
        <w:t>subembayments</w:t>
      </w:r>
      <w:proofErr w:type="spellEnd"/>
      <w:r w:rsidRPr="001B7F04">
        <w:t xml:space="preserve"> of SFB </w:t>
      </w:r>
      <w:r>
        <w:t>for</w:t>
      </w:r>
      <w:r w:rsidR="00302935">
        <w:t xml:space="preserve"> each of the</w:t>
      </w:r>
      <w:r>
        <w:t xml:space="preserve"> </w:t>
      </w:r>
      <w:r w:rsidR="00FC70FA">
        <w:t xml:space="preserve">four </w:t>
      </w:r>
      <w:r>
        <w:t>indicators</w:t>
      </w:r>
      <w:r w:rsidR="00302935">
        <w:t>.</w:t>
      </w:r>
      <w:r w:rsidR="00FC70FA">
        <w:t xml:space="preserve"> </w:t>
      </w:r>
      <w:r>
        <w:t xml:space="preserve">For each indicator, a scheme was developed to parse SFB </w:t>
      </w:r>
      <w:proofErr w:type="spellStart"/>
      <w:r>
        <w:t>subembayments</w:t>
      </w:r>
      <w:proofErr w:type="spellEnd"/>
      <w:r>
        <w:t xml:space="preserve"> into a maximum of</w:t>
      </w:r>
      <w:r w:rsidRPr="001B7F04">
        <w:t xml:space="preserve"> five ecological condition states (very high, high, moderate, low, very low)</w:t>
      </w:r>
      <w:r>
        <w:t>, analogous to ecological condition frameworks developed for the European Union Water Framework Directive (</w:t>
      </w:r>
      <w:proofErr w:type="spellStart"/>
      <w:r>
        <w:t>Zaldivar</w:t>
      </w:r>
      <w:proofErr w:type="spellEnd"/>
      <w:r>
        <w:t xml:space="preserve"> et al. 2008).</w:t>
      </w:r>
      <w:r w:rsidR="00D72900">
        <w:t xml:space="preserve"> </w:t>
      </w:r>
      <w:r w:rsidR="00A03992">
        <w:t xml:space="preserve">Existing guidance and quantitative analyses were used to inform the “thresholds” that define the range of values within each bin. </w:t>
      </w:r>
    </w:p>
    <w:p w:rsidR="00A03992" w:rsidRDefault="00A03992" w:rsidP="00BF2D86">
      <w:pPr>
        <w:spacing w:line="276" w:lineRule="auto"/>
        <w:rPr>
          <w:rFonts w:asciiTheme="minorHAnsi" w:hAnsiTheme="minorHAnsi"/>
        </w:rPr>
      </w:pPr>
    </w:p>
    <w:p w:rsidR="00A03992" w:rsidRDefault="006B130E">
      <w:r>
        <w:t>For most indicators, guidance exists in the form of established WQO</w:t>
      </w:r>
      <w:r w:rsidR="001B7024">
        <w:t>s</w:t>
      </w:r>
      <w:r>
        <w:t>, state, federal or international guidance, or published studies that form the scientific foundation for their use in a classification scheme</w:t>
      </w:r>
      <w:r w:rsidR="001C663F">
        <w:t xml:space="preserve">. </w:t>
      </w:r>
      <w:r w:rsidR="002860D5">
        <w:t xml:space="preserve">For chlorophyll-a, </w:t>
      </w:r>
      <w:r w:rsidR="007B567F">
        <w:t xml:space="preserve">we lacked confidence </w:t>
      </w:r>
      <w:r w:rsidR="00A03992">
        <w:t xml:space="preserve">that </w:t>
      </w:r>
      <w:r w:rsidR="00F771FA">
        <w:t>a</w:t>
      </w:r>
      <w:r w:rsidR="00A03992">
        <w:t xml:space="preserve">n </w:t>
      </w:r>
      <w:r w:rsidR="007B567F">
        <w:t>expert</w:t>
      </w:r>
      <w:r w:rsidR="00A03992">
        <w:t>-</w:t>
      </w:r>
      <w:r w:rsidR="007B567F">
        <w:t>derived existing guidance developed for estuaries around the world</w:t>
      </w:r>
      <w:r w:rsidR="00D72900">
        <w:t xml:space="preserve"> </w:t>
      </w:r>
      <w:r w:rsidR="007B567F">
        <w:t>(e.g.</w:t>
      </w:r>
      <w:r w:rsidR="00F771FA">
        <w:t>,</w:t>
      </w:r>
      <w:r w:rsidR="007B567F">
        <w:t xml:space="preserve"> </w:t>
      </w:r>
      <w:proofErr w:type="spellStart"/>
      <w:r w:rsidR="007B567F">
        <w:t>Zaldivar</w:t>
      </w:r>
      <w:proofErr w:type="spellEnd"/>
      <w:r w:rsidR="007B567F">
        <w:t xml:space="preserve"> et al. 2008</w:t>
      </w:r>
      <w:r w:rsidR="000961C8">
        <w:t>)</w:t>
      </w:r>
      <w:r w:rsidR="007B567F">
        <w:t xml:space="preserve"> could be applied, without question, to SFB. </w:t>
      </w:r>
      <w:r w:rsidR="002860D5">
        <w:t>For this reason, analyses of existing data were used to investigate the linkage between chlorophyll-a</w:t>
      </w:r>
      <w:r w:rsidR="001C663F">
        <w:t xml:space="preserve"> </w:t>
      </w:r>
      <w:r w:rsidR="002860D5">
        <w:t>and potential pathways of impairment</w:t>
      </w:r>
      <w:r w:rsidR="00DA1021">
        <w:t>, detailed in Appendix C</w:t>
      </w:r>
      <w:r w:rsidR="002860D5">
        <w:t xml:space="preserve">. </w:t>
      </w:r>
      <w:r w:rsidR="00132956" w:rsidRPr="001B7F04">
        <w:t xml:space="preserve">Quantitative analyses and existing published guidance </w:t>
      </w:r>
      <w:r w:rsidR="00132956">
        <w:t>w</w:t>
      </w:r>
      <w:r w:rsidR="00F771FA">
        <w:t>ere</w:t>
      </w:r>
      <w:r w:rsidR="00132956">
        <w:t xml:space="preserve"> supplemented by best professional </w:t>
      </w:r>
      <w:r w:rsidR="008E15C5">
        <w:t>judgment</w:t>
      </w:r>
      <w:r w:rsidR="00132956">
        <w:t xml:space="preserve"> to address key data gaps and describe uncertainty and level of confidence in the classification. </w:t>
      </w:r>
    </w:p>
    <w:p w:rsidR="00A03992" w:rsidRDefault="00A03992"/>
    <w:p w:rsidR="00132956" w:rsidRDefault="00A03992">
      <w:r>
        <w:t>For the purpose of reporting on status and trends, we recommend that c</w:t>
      </w:r>
      <w:r w:rsidR="00132956" w:rsidRPr="001B7F04">
        <w:t>lassification occur</w:t>
      </w:r>
      <w:r w:rsidR="00F771FA">
        <w:t>s</w:t>
      </w:r>
      <w:r w:rsidR="00132956" w:rsidRPr="001B7F04">
        <w:t xml:space="preserve"> annually by </w:t>
      </w:r>
      <w:proofErr w:type="spellStart"/>
      <w:r w:rsidR="00353722">
        <w:t>subembayment</w:t>
      </w:r>
      <w:proofErr w:type="spellEnd"/>
      <w:r w:rsidR="00132956" w:rsidRPr="001B7F04">
        <w:t>, thus characterizing the spatial extent if the results are viewed on the whole for SFB</w:t>
      </w:r>
      <w:r w:rsidR="00132956">
        <w:t xml:space="preserve"> or for each </w:t>
      </w:r>
      <w:proofErr w:type="spellStart"/>
      <w:r w:rsidR="00132956">
        <w:t>subembayment</w:t>
      </w:r>
      <w:proofErr w:type="spellEnd"/>
      <w:r w:rsidR="00132956" w:rsidRPr="001B7F04">
        <w:t>.</w:t>
      </w:r>
      <w:r w:rsidR="00D72900">
        <w:t xml:space="preserve"> </w:t>
      </w:r>
      <w:r w:rsidR="00132956" w:rsidRPr="001B7F04">
        <w:t xml:space="preserve">The </w:t>
      </w:r>
      <w:r w:rsidR="00353722">
        <w:t>AF</w:t>
      </w:r>
      <w:r w:rsidR="00132956" w:rsidRPr="001B7F04">
        <w:t xml:space="preserve"> was designed to be applied using a data set that includes a minimum of monthly</w:t>
      </w:r>
      <w:r w:rsidR="00302935">
        <w:t>,</w:t>
      </w:r>
      <w:r w:rsidR="00132956" w:rsidRPr="001B7F04">
        <w:t xml:space="preserve"> ship-based discrete samples and CTD profiles, with spatial resolution given in Figure 3.</w:t>
      </w:r>
      <w:r w:rsidR="00BF2D86">
        <w:t>10</w:t>
      </w:r>
      <w:r w:rsidR="00132956" w:rsidRPr="001B7F04">
        <w:t xml:space="preserve"> (</w:t>
      </w:r>
      <w:proofErr w:type="spellStart"/>
      <w:r w:rsidR="00132956" w:rsidRPr="001B7F04">
        <w:t>Senn</w:t>
      </w:r>
      <w:proofErr w:type="spellEnd"/>
      <w:r w:rsidR="00132956" w:rsidRPr="001B7F04">
        <w:t xml:space="preserve"> et al. 2014</w:t>
      </w:r>
      <w:r w:rsidR="00132956">
        <w:t>a</w:t>
      </w:r>
      <w:r w:rsidR="00132956" w:rsidRPr="001B7F04">
        <w:t>).</w:t>
      </w:r>
      <w:r w:rsidR="00D72900">
        <w:t xml:space="preserve"> </w:t>
      </w:r>
    </w:p>
    <w:p w:rsidR="00302935" w:rsidRDefault="00302935"/>
    <w:p w:rsidR="00302935" w:rsidRPr="001B7F04" w:rsidRDefault="00302935">
      <w:r>
        <w:t xml:space="preserve">The following sections describe development of classification tables for </w:t>
      </w:r>
      <w:r w:rsidR="009E3A86">
        <w:t>each of the four indicators:</w:t>
      </w:r>
      <w:r>
        <w:t xml:space="preserve"> phytoplankton biomass (chlorophyll-a), gross primary productivity, HABs abundance, and HABs toxins (the two</w:t>
      </w:r>
      <w:r w:rsidR="00095E02">
        <w:t xml:space="preserve"> HABs indicators</w:t>
      </w:r>
      <w:r>
        <w:t xml:space="preserve"> are </w:t>
      </w:r>
      <w:r w:rsidR="00095E02">
        <w:t>merged into one section</w:t>
      </w:r>
      <w:r>
        <w:t xml:space="preserve">). The final section </w:t>
      </w:r>
      <w:r w:rsidR="008A5CBE">
        <w:t>offers recommendations regarding the future of indicator development work for</w:t>
      </w:r>
      <w:r>
        <w:t xml:space="preserve"> dissolved oxygen.</w:t>
      </w:r>
    </w:p>
    <w:p w:rsidR="00132956" w:rsidRDefault="00132956"/>
    <w:p w:rsidR="0003082C" w:rsidRDefault="00302935" w:rsidP="00BF2D86">
      <w:pPr>
        <w:pStyle w:val="Heading3"/>
        <w:spacing w:before="0" w:after="0" w:line="276" w:lineRule="auto"/>
        <w:jc w:val="left"/>
      </w:pPr>
      <w:bookmarkStart w:id="62" w:name="_Toc410026587"/>
      <w:bookmarkStart w:id="63" w:name="_Toc433370070"/>
      <w:r>
        <w:t>Phytoplankton Biomass (</w:t>
      </w:r>
      <w:r w:rsidR="0003082C" w:rsidRPr="00012955">
        <w:t>Chlorophyll-a</w:t>
      </w:r>
      <w:bookmarkEnd w:id="62"/>
      <w:r>
        <w:t>)</w:t>
      </w:r>
      <w:bookmarkEnd w:id="63"/>
    </w:p>
    <w:p w:rsidR="00DA1021" w:rsidRDefault="00DA1021">
      <w:r>
        <w:t>C</w:t>
      </w:r>
      <w:r w:rsidRPr="00DA1021">
        <w:t xml:space="preserve">hlorophyll-a has formed a cornerstone of standardized approaches to assess eutrophication (Bricker et al., 2003, </w:t>
      </w:r>
      <w:proofErr w:type="spellStart"/>
      <w:r w:rsidRPr="00DA1021">
        <w:t>Zaldivar</w:t>
      </w:r>
      <w:proofErr w:type="spellEnd"/>
      <w:r w:rsidRPr="00DA1021">
        <w:t xml:space="preserve"> et al. 200</w:t>
      </w:r>
      <w:r w:rsidR="00AE4353">
        <w:t>8</w:t>
      </w:r>
      <w:r w:rsidRPr="00DA1021">
        <w:t xml:space="preserve">) and to support regulatory water-quality goals in estuaries (Harding et al., 2013) because it is a well-recognized indicator that integrates nutrient loadings and represents adverse effects to ecosystems. Decisions based on quantitative endpoints </w:t>
      </w:r>
      <w:r w:rsidRPr="00DA1021">
        <w:lastRenderedPageBreak/>
        <w:t>can be based on deviations from “reference” conditions, or on quantitative relationships with ecosystem impairments (e.g.</w:t>
      </w:r>
      <w:r w:rsidR="002526DF">
        <w:t>,</w:t>
      </w:r>
      <w:r w:rsidRPr="00DA1021">
        <w:t xml:space="preserve"> Harding et al. 2013). In SFB, records of chlorophyll-a prior to human disturbance are not available, complicating development of reference chlorophyll-</w:t>
      </w:r>
      <w:proofErr w:type="gramStart"/>
      <w:r w:rsidRPr="00DA1021">
        <w:t>a ranges</w:t>
      </w:r>
      <w:proofErr w:type="gramEnd"/>
      <w:r w:rsidRPr="00DA1021">
        <w:t>. An extensive, multi-decadal data</w:t>
      </w:r>
      <w:r>
        <w:t xml:space="preserve">set </w:t>
      </w:r>
      <w:r w:rsidR="001B7024">
        <w:t>is</w:t>
      </w:r>
      <w:r w:rsidRPr="00DA1021">
        <w:t xml:space="preserve"> available to explore quantitative relationships between chlorophyll-a and potential pathways of adverse effects, as a means for establishing chlorophyll-</w:t>
      </w:r>
      <w:proofErr w:type="gramStart"/>
      <w:r w:rsidRPr="00DA1021">
        <w:t>a</w:t>
      </w:r>
      <w:proofErr w:type="gramEnd"/>
      <w:r w:rsidRPr="00DA1021">
        <w:t xml:space="preserve"> endpoints.</w:t>
      </w:r>
    </w:p>
    <w:p w:rsidR="00DA1021" w:rsidRDefault="00DA1021"/>
    <w:p w:rsidR="00DA1021" w:rsidRDefault="00DA1021">
      <w:r w:rsidRPr="007B567F">
        <w:t xml:space="preserve">We analyzed a multi-year dataset that included chlorophyll-a (1993-2014), phytoplankton species composition (1993-2014), DO (1993-2014), and algal toxins (2012-2014) to </w:t>
      </w:r>
      <w:r w:rsidR="00F771FA">
        <w:t>(</w:t>
      </w:r>
      <w:r w:rsidRPr="007B567F">
        <w:t>1</w:t>
      </w:r>
      <w:r w:rsidR="003A05DC">
        <w:t>)</w:t>
      </w:r>
      <w:r w:rsidRPr="007B567F">
        <w:t xml:space="preserve"> </w:t>
      </w:r>
      <w:r w:rsidR="002E1E1C">
        <w:t>e</w:t>
      </w:r>
      <w:r w:rsidRPr="007B567F">
        <w:t>xplore trends in HAB abundance, toxins, and DO concentrations and their relationships with chlorophyll-a</w:t>
      </w:r>
      <w:r w:rsidR="002E1E1C">
        <w:t>,</w:t>
      </w:r>
      <w:r w:rsidRPr="007B567F">
        <w:t xml:space="preserve"> and </w:t>
      </w:r>
      <w:r w:rsidR="002E1E1C">
        <w:t>(</w:t>
      </w:r>
      <w:r w:rsidRPr="007B567F">
        <w:t>2</w:t>
      </w:r>
      <w:r w:rsidR="003A05DC">
        <w:t>)</w:t>
      </w:r>
      <w:r w:rsidR="002E1E1C">
        <w:t xml:space="preserve"> q</w:t>
      </w:r>
      <w:r w:rsidRPr="007B567F">
        <w:t>uantify chlorophyll-a thresholds and related uncertainty that correspond to categories of “protected” and “at risk” in the context of current DO WQ</w:t>
      </w:r>
      <w:r w:rsidR="001B7024">
        <w:t>Os</w:t>
      </w:r>
      <w:r w:rsidRPr="007B567F">
        <w:t xml:space="preserve"> and HAB alert levels. </w:t>
      </w:r>
      <w:proofErr w:type="spellStart"/>
      <w:r w:rsidRPr="00C32346">
        <w:t>Quantile</w:t>
      </w:r>
      <w:proofErr w:type="spellEnd"/>
      <w:r w:rsidRPr="00C32346">
        <w:t xml:space="preserve"> regression and conditional probability analysis were </w:t>
      </w:r>
      <w:r>
        <w:t>used</w:t>
      </w:r>
      <w:r w:rsidRPr="00C32346">
        <w:t xml:space="preserve"> to identify thresholds of chlorophyll-a</w:t>
      </w:r>
      <w:r w:rsidR="002526DF">
        <w:t>,</w:t>
      </w:r>
      <w:r w:rsidRPr="00C32346">
        <w:t xml:space="preserve"> corresponding to categories </w:t>
      </w:r>
      <w:r w:rsidR="001B7024">
        <w:t xml:space="preserve">of </w:t>
      </w:r>
      <w:r>
        <w:t xml:space="preserve">increasing risk </w:t>
      </w:r>
      <w:r w:rsidRPr="00C32346">
        <w:t xml:space="preserve">in the context of current DO </w:t>
      </w:r>
      <w:r w:rsidR="001B7024">
        <w:t>WQOs</w:t>
      </w:r>
      <w:r w:rsidRPr="00C32346">
        <w:t xml:space="preserve"> </w:t>
      </w:r>
      <w:r>
        <w:t>(SFR</w:t>
      </w:r>
      <w:r w:rsidR="00544A60">
        <w:t>W</w:t>
      </w:r>
      <w:r>
        <w:t>QCB 201</w:t>
      </w:r>
      <w:r w:rsidR="006B45A8">
        <w:t>5</w:t>
      </w:r>
      <w:r>
        <w:t xml:space="preserve">) </w:t>
      </w:r>
      <w:r w:rsidRPr="00C32346">
        <w:t>and HAB alert levels</w:t>
      </w:r>
      <w:r>
        <w:t xml:space="preserve"> (Appendix C)</w:t>
      </w:r>
      <w:r w:rsidRPr="00C32346">
        <w:t>.</w:t>
      </w:r>
    </w:p>
    <w:p w:rsidR="00544A60" w:rsidRDefault="00544A60"/>
    <w:p w:rsidR="00DA1021" w:rsidRDefault="00A03992">
      <w:r>
        <w:t>We found</w:t>
      </w:r>
      <w:r w:rsidR="00B2390C">
        <w:t xml:space="preserve"> that</w:t>
      </w:r>
      <w:r w:rsidR="00DA1021">
        <w:t xml:space="preserve"> </w:t>
      </w:r>
      <w:r w:rsidR="00DA1021" w:rsidRPr="007B567F">
        <w:t xml:space="preserve">HAB toxins and species </w:t>
      </w:r>
      <w:r w:rsidR="00B2390C">
        <w:t>can be</w:t>
      </w:r>
      <w:r w:rsidR="00DA1021" w:rsidRPr="007B567F">
        <w:t xml:space="preserve"> routinely detected in SFB </w:t>
      </w:r>
      <w:proofErr w:type="spellStart"/>
      <w:r w:rsidR="00DA1021" w:rsidRPr="007B567F">
        <w:t>subembayments</w:t>
      </w:r>
      <w:proofErr w:type="spellEnd"/>
      <w:r w:rsidR="00DA1021" w:rsidRPr="007B567F">
        <w:t xml:space="preserve">. Increased occurrences of HAB species and </w:t>
      </w:r>
      <w:r w:rsidR="00DA1021">
        <w:t>declining</w:t>
      </w:r>
      <w:r w:rsidR="00DA1021" w:rsidRPr="007B567F">
        <w:t xml:space="preserve"> DO were correlated with increased chlorophyll-</w:t>
      </w:r>
      <w:proofErr w:type="gramStart"/>
      <w:r w:rsidR="00DA1021" w:rsidRPr="007B567F">
        <w:t>a</w:t>
      </w:r>
      <w:proofErr w:type="gramEnd"/>
      <w:r w:rsidR="00DA1021" w:rsidRPr="007B567F">
        <w:t xml:space="preserve"> over the 20-year period. Monthly chlorophyll-a </w:t>
      </w:r>
      <w:r w:rsidR="00DA1021">
        <w:t>“thresholds” corresponding to increased risk of HABs were identified</w:t>
      </w:r>
      <w:r w:rsidR="00FF0CE1">
        <w:t>, aggregating</w:t>
      </w:r>
      <w:r w:rsidR="00DA1021">
        <w:t xml:space="preserve"> across all </w:t>
      </w:r>
      <w:proofErr w:type="spellStart"/>
      <w:r w:rsidR="00DA1021">
        <w:t>subembayments</w:t>
      </w:r>
      <w:proofErr w:type="spellEnd"/>
      <w:r w:rsidR="00DA1021">
        <w:t xml:space="preserve">. </w:t>
      </w:r>
      <w:r w:rsidR="00DA1021" w:rsidRPr="007B567F">
        <w:t xml:space="preserve">The analyses were also sufficiently robust to estimate chlorophyll-a thresholds relating to DO for </w:t>
      </w:r>
      <w:r w:rsidR="00DA1021">
        <w:t>South Bay and Lower South Bay</w:t>
      </w:r>
      <w:r w:rsidR="00DA1021" w:rsidRPr="007B567F">
        <w:t xml:space="preserve">. </w:t>
      </w:r>
      <w:r w:rsidR="00DA1021" w:rsidRPr="001B7F04">
        <w:t xml:space="preserve">Taken together, these analyses </w:t>
      </w:r>
      <w:r w:rsidR="00DA1021">
        <w:t>were used to</w:t>
      </w:r>
      <w:r w:rsidR="00DA1021" w:rsidRPr="001B7F04">
        <w:t xml:space="preserve"> support a preliminary set of chlorophyll-</w:t>
      </w:r>
      <w:proofErr w:type="gramStart"/>
      <w:r w:rsidR="00DA1021" w:rsidRPr="001B7F04">
        <w:t>a</w:t>
      </w:r>
      <w:proofErr w:type="gramEnd"/>
      <w:r w:rsidR="00DA1021" w:rsidRPr="001B7F04">
        <w:t xml:space="preserve"> assessment thresholds aimed at defining </w:t>
      </w:r>
      <w:r w:rsidR="00DA1021">
        <w:t xml:space="preserve">a gradient of ecological condition </w:t>
      </w:r>
      <w:r w:rsidR="00D92142">
        <w:t>(</w:t>
      </w:r>
      <w:r w:rsidR="00DA1021">
        <w:t>from low to high risk</w:t>
      </w:r>
      <w:r w:rsidR="00D92142">
        <w:t>)</w:t>
      </w:r>
      <w:r w:rsidR="00DA1021" w:rsidRPr="001B7F04">
        <w:t xml:space="preserve"> </w:t>
      </w:r>
      <w:r w:rsidR="00D92142">
        <w:t>for</w:t>
      </w:r>
      <w:r w:rsidR="00DA1021" w:rsidRPr="001B7F04">
        <w:t xml:space="preserve"> </w:t>
      </w:r>
      <w:r w:rsidR="00D92142">
        <w:t xml:space="preserve">increased </w:t>
      </w:r>
      <w:r w:rsidR="00DA1021" w:rsidRPr="001B7F04">
        <w:t xml:space="preserve">HAB events and low DO in SFB </w:t>
      </w:r>
      <w:proofErr w:type="spellStart"/>
      <w:r w:rsidR="00DA1021" w:rsidRPr="001B7F04">
        <w:t>subembayments</w:t>
      </w:r>
      <w:proofErr w:type="spellEnd"/>
      <w:r w:rsidR="00DA1021" w:rsidRPr="001B7F04">
        <w:t>.</w:t>
      </w:r>
    </w:p>
    <w:p w:rsidR="002526DF" w:rsidRDefault="002526DF"/>
    <w:p w:rsidR="00B948DC" w:rsidRDefault="00B2390C">
      <w:r>
        <w:t xml:space="preserve">Classification of chlorophyll-a linked to HABs is based on a monthly timescale because the HAB alert guidance is based on acute risk. In contrast, </w:t>
      </w:r>
      <w:r w:rsidR="00B948DC" w:rsidRPr="00012955">
        <w:t xml:space="preserve">classification based on the linkage to dissolved oxygen </w:t>
      </w:r>
      <w:r w:rsidR="00B948DC">
        <w:t xml:space="preserve">was based on </w:t>
      </w:r>
      <w:r>
        <w:t xml:space="preserve">the mean concentration of monthly values </w:t>
      </w:r>
      <w:r w:rsidR="002E1E1C">
        <w:t xml:space="preserve">from </w:t>
      </w:r>
      <w:r w:rsidR="00B948DC">
        <w:t xml:space="preserve">February </w:t>
      </w:r>
      <w:r w:rsidR="002E1E1C">
        <w:t>to</w:t>
      </w:r>
      <w:r w:rsidR="00B948DC">
        <w:t xml:space="preserve"> </w:t>
      </w:r>
      <w:r>
        <w:t>September, the time period in which biomass has been observed to be changing over the last two decades in SFB</w:t>
      </w:r>
      <w:r w:rsidR="00B948DC" w:rsidRPr="00012955">
        <w:t xml:space="preserve">. This difference </w:t>
      </w:r>
      <w:r>
        <w:t xml:space="preserve">in temporal statistic </w:t>
      </w:r>
      <w:r w:rsidR="00E47638">
        <w:t xml:space="preserve">reflects </w:t>
      </w:r>
      <w:r w:rsidR="00B948DC" w:rsidRPr="00012955">
        <w:t>a more contemporaneou</w:t>
      </w:r>
      <w:r w:rsidR="005D6FC2">
        <w:t>s linkage between chlorophyll-</w:t>
      </w:r>
      <w:proofErr w:type="gramStart"/>
      <w:r w:rsidR="005D6FC2">
        <w:t xml:space="preserve">a </w:t>
      </w:r>
      <w:r w:rsidR="00B948DC" w:rsidRPr="00012955">
        <w:t>and</w:t>
      </w:r>
      <w:proofErr w:type="gramEnd"/>
      <w:r w:rsidR="00B948DC" w:rsidRPr="00012955">
        <w:t xml:space="preserve"> HABs</w:t>
      </w:r>
      <w:r w:rsidR="002E1E1C">
        <w:t>,</w:t>
      </w:r>
      <w:r w:rsidR="00B948DC" w:rsidRPr="00012955">
        <w:t xml:space="preserve"> as compared to the lagged response of organic matter production and the eventual increased potential for DO depletion. For DO, the differences in classification by </w:t>
      </w:r>
      <w:proofErr w:type="spellStart"/>
      <w:r w:rsidR="00353722">
        <w:t>subembayment</w:t>
      </w:r>
      <w:proofErr w:type="spellEnd"/>
      <w:r w:rsidR="00B948DC" w:rsidRPr="00012955">
        <w:t xml:space="preserve"> reflect regional differences in </w:t>
      </w:r>
      <w:proofErr w:type="spellStart"/>
      <w:r w:rsidR="00B948DC" w:rsidRPr="00012955">
        <w:t>hydrogeographic</w:t>
      </w:r>
      <w:proofErr w:type="spellEnd"/>
      <w:r w:rsidR="00B948DC" w:rsidRPr="00012955">
        <w:t xml:space="preserve"> factors affecting DO dynamics.</w:t>
      </w:r>
    </w:p>
    <w:p w:rsidR="00B948DC" w:rsidRDefault="00B948DC" w:rsidP="00BF2D86">
      <w:pPr>
        <w:spacing w:line="276" w:lineRule="auto"/>
        <w:rPr>
          <w:rFonts w:asciiTheme="minorHAnsi" w:hAnsiTheme="minorHAnsi"/>
        </w:rPr>
      </w:pPr>
    </w:p>
    <w:p w:rsidR="00A03992" w:rsidRDefault="00520DB0">
      <w:proofErr w:type="gramStart"/>
      <w:r w:rsidRPr="00520DB0">
        <w:rPr>
          <w:b/>
        </w:rPr>
        <w:t>Classification of Chlorophyll-a Linked to HABs.</w:t>
      </w:r>
      <w:proofErr w:type="gramEnd"/>
      <w:r>
        <w:t xml:space="preserve"> </w:t>
      </w:r>
      <w:r w:rsidR="00B948DC" w:rsidRPr="00012955">
        <w:t>Categorization of monthly mean chlorophyll-</w:t>
      </w:r>
      <w:proofErr w:type="gramStart"/>
      <w:r w:rsidR="00B948DC" w:rsidRPr="00012955">
        <w:t>a is</w:t>
      </w:r>
      <w:proofErr w:type="gramEnd"/>
      <w:r w:rsidR="00B948DC" w:rsidRPr="00012955">
        <w:t xml:space="preserve"> directly linked to the outcome of </w:t>
      </w:r>
      <w:proofErr w:type="spellStart"/>
      <w:r w:rsidR="00B948DC">
        <w:t>quantile</w:t>
      </w:r>
      <w:proofErr w:type="spellEnd"/>
      <w:r w:rsidR="00B948DC">
        <w:t xml:space="preserve"> regressions and </w:t>
      </w:r>
      <w:r w:rsidR="00B948DC" w:rsidRPr="00012955">
        <w:t xml:space="preserve">CPA relating </w:t>
      </w:r>
      <w:r w:rsidR="00A03992">
        <w:t xml:space="preserve">the acute </w:t>
      </w:r>
      <w:r w:rsidR="00B948DC" w:rsidRPr="00012955">
        <w:t xml:space="preserve">risk of HABs as a function of increased chlorophyll-a (Table </w:t>
      </w:r>
      <w:r w:rsidR="00B948DC">
        <w:t>3.4</w:t>
      </w:r>
      <w:r w:rsidR="004121EA">
        <w:t xml:space="preserve">, </w:t>
      </w:r>
      <w:r w:rsidR="00E47638">
        <w:t>Appendix C</w:t>
      </w:r>
      <w:r w:rsidR="00D903BC">
        <w:t xml:space="preserve">: </w:t>
      </w:r>
      <w:r w:rsidR="004121EA">
        <w:t xml:space="preserve">Figures </w:t>
      </w:r>
      <w:r w:rsidR="00AB1DA8">
        <w:t>6-8</w:t>
      </w:r>
      <w:r w:rsidR="00B948DC" w:rsidRPr="00012955">
        <w:t>)</w:t>
      </w:r>
      <w:r w:rsidR="00A03992">
        <w:t>. The highest category of ecological condition is defined by m</w:t>
      </w:r>
      <w:r w:rsidR="00B948DC" w:rsidRPr="00012955">
        <w:t xml:space="preserve">onthly </w:t>
      </w:r>
      <w:r w:rsidR="004121EA">
        <w:t xml:space="preserve">mean chlorophyll-a </w:t>
      </w:r>
      <w:r w:rsidR="00B948DC" w:rsidRPr="00012955">
        <w:t xml:space="preserve">values &lt; 13 </w:t>
      </w:r>
      <w:r w:rsidR="004121EA">
        <w:t>mg m</w:t>
      </w:r>
      <w:r w:rsidR="004121EA" w:rsidRPr="004121EA">
        <w:rPr>
          <w:vertAlign w:val="superscript"/>
        </w:rPr>
        <w:t>-3</w:t>
      </w:r>
      <w:r w:rsidR="00A03992">
        <w:t xml:space="preserve">, which </w:t>
      </w:r>
      <w:r w:rsidR="00B948DC" w:rsidRPr="00012955">
        <w:t>represent</w:t>
      </w:r>
      <w:r w:rsidR="00A03992">
        <w:t>s</w:t>
      </w:r>
      <w:r w:rsidR="00B948DC" w:rsidRPr="00012955">
        <w:t xml:space="preserve"> a baseline probability of ~0.39 </w:t>
      </w:r>
      <w:r w:rsidR="002E1E1C">
        <w:t>to</w:t>
      </w:r>
      <w:r w:rsidR="002E1E1C" w:rsidRPr="00012955">
        <w:t xml:space="preserve"> </w:t>
      </w:r>
      <w:r w:rsidR="00B948DC" w:rsidRPr="00012955">
        <w:t>0.4 for HAB abundance and ~0.3 fo</w:t>
      </w:r>
      <w:r w:rsidR="00A03992">
        <w:t xml:space="preserve">r </w:t>
      </w:r>
      <w:proofErr w:type="spellStart"/>
      <w:r w:rsidR="00A03992">
        <w:t>domoic</w:t>
      </w:r>
      <w:proofErr w:type="spellEnd"/>
      <w:r w:rsidR="00A03992">
        <w:t xml:space="preserve"> acid and </w:t>
      </w:r>
      <w:proofErr w:type="spellStart"/>
      <w:r w:rsidR="00A03992">
        <w:t>microcystins</w:t>
      </w:r>
      <w:proofErr w:type="spellEnd"/>
      <w:r w:rsidR="00A03992">
        <w:t>. Ecological condition is downgraded as m</w:t>
      </w:r>
      <w:r w:rsidR="00B948DC" w:rsidRPr="00012955">
        <w:t xml:space="preserve">onthly </w:t>
      </w:r>
      <w:r w:rsidR="004121EA">
        <w:t xml:space="preserve">values in the range of </w:t>
      </w:r>
      <w:r w:rsidR="00B948DC" w:rsidRPr="00012955">
        <w:t xml:space="preserve">13-25 </w:t>
      </w:r>
      <w:r w:rsidR="004121EA">
        <w:t>mg m</w:t>
      </w:r>
      <w:r w:rsidR="004121EA" w:rsidRPr="004121EA">
        <w:rPr>
          <w:vertAlign w:val="superscript"/>
        </w:rPr>
        <w:t>-3</w:t>
      </w:r>
      <w:r w:rsidR="004121EA" w:rsidRPr="00012955">
        <w:t xml:space="preserve"> </w:t>
      </w:r>
      <w:r w:rsidR="00B948DC" w:rsidRPr="00012955">
        <w:t xml:space="preserve">show increased probabilities </w:t>
      </w:r>
      <w:r w:rsidR="00A03992">
        <w:t xml:space="preserve">of exceeding HAB alert values </w:t>
      </w:r>
      <w:r w:rsidR="00B948DC" w:rsidRPr="00012955">
        <w:t>to up to 0.44 for HAB abundance and 0.6 or greater for toxins. Chlorophyll-</w:t>
      </w:r>
      <w:proofErr w:type="gramStart"/>
      <w:r w:rsidR="00B948DC" w:rsidRPr="00012955">
        <w:t>a concentrations</w:t>
      </w:r>
      <w:proofErr w:type="gramEnd"/>
      <w:r w:rsidR="00B948DC" w:rsidRPr="00012955">
        <w:t xml:space="preserve"> in the range of 40 </w:t>
      </w:r>
      <w:r w:rsidR="002B67F8">
        <w:t>mg m</w:t>
      </w:r>
      <w:r w:rsidR="002B67F8" w:rsidRPr="004121EA">
        <w:rPr>
          <w:vertAlign w:val="superscript"/>
        </w:rPr>
        <w:t>-3</w:t>
      </w:r>
      <w:r w:rsidR="002B67F8" w:rsidRPr="00012955">
        <w:t xml:space="preserve"> </w:t>
      </w:r>
      <w:r w:rsidR="00B948DC" w:rsidRPr="00012955">
        <w:t xml:space="preserve">represent a 0.5 to 0.68 probability of a HAB event; while there are only two data points for toxins between 20-60 </w:t>
      </w:r>
      <w:r w:rsidR="004121EA">
        <w:t>mg m</w:t>
      </w:r>
      <w:r w:rsidR="004121EA" w:rsidRPr="004121EA">
        <w:rPr>
          <w:vertAlign w:val="superscript"/>
        </w:rPr>
        <w:t>-3</w:t>
      </w:r>
      <w:r w:rsidR="00B948DC" w:rsidRPr="00012955">
        <w:t xml:space="preserve">, the CPA suggests a probability of 0.6-0.7 within this range of chlorophyll. </w:t>
      </w:r>
      <w:r w:rsidR="004121EA" w:rsidRPr="00012955">
        <w:t xml:space="preserve">Occurrence of HABs on a more frequent basis represents a potentially chronic </w:t>
      </w:r>
      <w:r w:rsidR="004121EA" w:rsidRPr="00012955">
        <w:lastRenderedPageBreak/>
        <w:t xml:space="preserve">exposure to toxins (e.g. </w:t>
      </w:r>
      <w:proofErr w:type="spellStart"/>
      <w:r w:rsidR="004121EA" w:rsidRPr="00012955">
        <w:t>Ger</w:t>
      </w:r>
      <w:proofErr w:type="spellEnd"/>
      <w:r w:rsidR="004121EA" w:rsidRPr="00012955">
        <w:t xml:space="preserve"> et al. 2009; Goldstein et al. 2008)</w:t>
      </w:r>
      <w:r w:rsidR="002E1E1C">
        <w:t>,</w:t>
      </w:r>
      <w:r w:rsidR="004121EA" w:rsidRPr="00012955">
        <w:t xml:space="preserve"> and thus</w:t>
      </w:r>
      <w:r w:rsidR="002E1E1C">
        <w:t>,</w:t>
      </w:r>
      <w:r w:rsidR="004121EA" w:rsidRPr="00012955">
        <w:t xml:space="preserve"> condition is downgraded as the annual frequency of occurrence in monthly samples increases (Table </w:t>
      </w:r>
      <w:r w:rsidR="004121EA">
        <w:t>3.4</w:t>
      </w:r>
      <w:r w:rsidR="004121EA" w:rsidRPr="00012955">
        <w:t xml:space="preserve">). </w:t>
      </w:r>
    </w:p>
    <w:p w:rsidR="00A03992" w:rsidRDefault="00A03992"/>
    <w:p w:rsidR="006549B3" w:rsidRDefault="00D7072E">
      <w:pPr>
        <w:rPr>
          <w:rFonts w:eastAsia="Calibri"/>
        </w:rPr>
      </w:pPr>
      <w:r>
        <w:t xml:space="preserve">For context, </w:t>
      </w:r>
      <w:r>
        <w:rPr>
          <w:rFonts w:eastAsia="Calibri"/>
        </w:rPr>
        <w:t>o</w:t>
      </w:r>
      <w:r w:rsidRPr="00D7072E">
        <w:rPr>
          <w:rFonts w:eastAsia="Calibri"/>
        </w:rPr>
        <w:t xml:space="preserve">n a </w:t>
      </w:r>
      <w:r w:rsidR="00D92142">
        <w:rPr>
          <w:rFonts w:eastAsia="Calibri"/>
        </w:rPr>
        <w:t>B</w:t>
      </w:r>
      <w:r w:rsidRPr="00D7072E">
        <w:rPr>
          <w:rFonts w:eastAsia="Calibri"/>
        </w:rPr>
        <w:t>ay-wide scale, 13 mg m</w:t>
      </w:r>
      <w:r w:rsidRPr="00D7072E">
        <w:rPr>
          <w:rFonts w:eastAsia="Calibri"/>
          <w:vertAlign w:val="superscript"/>
        </w:rPr>
        <w:t>-3</w:t>
      </w:r>
      <w:r w:rsidRPr="00D7072E">
        <w:rPr>
          <w:rFonts w:eastAsia="Calibri"/>
        </w:rPr>
        <w:t xml:space="preserve"> corresponds to the 90</w:t>
      </w:r>
      <w:r w:rsidRPr="00D7072E">
        <w:rPr>
          <w:rFonts w:eastAsia="Calibri"/>
          <w:vertAlign w:val="superscript"/>
        </w:rPr>
        <w:t>th</w:t>
      </w:r>
      <w:r w:rsidRPr="00D7072E">
        <w:rPr>
          <w:rFonts w:eastAsia="Calibri"/>
        </w:rPr>
        <w:t xml:space="preserve"> percentile of monthly surface chlorophyll-</w:t>
      </w:r>
      <w:proofErr w:type="gramStart"/>
      <w:r w:rsidRPr="00D7072E">
        <w:rPr>
          <w:rFonts w:eastAsia="Calibri"/>
        </w:rPr>
        <w:t>a</w:t>
      </w:r>
      <w:proofErr w:type="gramEnd"/>
      <w:r w:rsidRPr="00D7072E">
        <w:rPr>
          <w:rFonts w:eastAsia="Calibri"/>
        </w:rPr>
        <w:t xml:space="preserve"> over the last 20 years. On a sub-embayment scale, Central, North Central, San Pablo and Suisun Bay stations were below 13 mg m</w:t>
      </w:r>
      <w:r w:rsidRPr="00D7072E">
        <w:rPr>
          <w:rFonts w:eastAsia="Calibri"/>
          <w:vertAlign w:val="superscript"/>
        </w:rPr>
        <w:t>-3</w:t>
      </w:r>
      <w:r w:rsidRPr="00D7072E">
        <w:rPr>
          <w:rFonts w:eastAsia="Calibri"/>
        </w:rPr>
        <w:t xml:space="preserve"> for greater than 95% of the time over the last </w:t>
      </w:r>
      <w:r w:rsidR="002E1E1C">
        <w:rPr>
          <w:rFonts w:eastAsia="Calibri"/>
        </w:rPr>
        <w:t>20</w:t>
      </w:r>
      <w:r w:rsidR="002E1E1C" w:rsidRPr="00D7072E">
        <w:rPr>
          <w:rFonts w:eastAsia="Calibri"/>
        </w:rPr>
        <w:t xml:space="preserve"> </w:t>
      </w:r>
      <w:r w:rsidRPr="00D7072E">
        <w:rPr>
          <w:rFonts w:eastAsia="Calibri"/>
        </w:rPr>
        <w:t>years.</w:t>
      </w:r>
      <w:r w:rsidR="00D72900">
        <w:rPr>
          <w:rFonts w:eastAsia="Calibri"/>
        </w:rPr>
        <w:t xml:space="preserve"> </w:t>
      </w:r>
      <w:r>
        <w:rPr>
          <w:rFonts w:eastAsia="Calibri"/>
        </w:rPr>
        <w:t xml:space="preserve">The range of chlorophyll-a at </w:t>
      </w:r>
      <w:r w:rsidRPr="00D7072E">
        <w:rPr>
          <w:rFonts w:eastAsia="Calibri"/>
        </w:rPr>
        <w:t xml:space="preserve">Lower South Bay and South Bay stations </w:t>
      </w:r>
      <w:r>
        <w:rPr>
          <w:rFonts w:eastAsia="Calibri"/>
        </w:rPr>
        <w:t>was slightly higher</w:t>
      </w:r>
      <w:r w:rsidR="002E1E1C">
        <w:rPr>
          <w:rFonts w:eastAsia="Calibri"/>
        </w:rPr>
        <w:t>.</w:t>
      </w:r>
      <w:r>
        <w:rPr>
          <w:rFonts w:eastAsia="Calibri"/>
        </w:rPr>
        <w:t xml:space="preserve"> </w:t>
      </w:r>
      <w:r w:rsidR="002E1E1C">
        <w:rPr>
          <w:rFonts w:eastAsia="Calibri"/>
        </w:rPr>
        <w:t xml:space="preserve">The ranges </w:t>
      </w:r>
      <w:r w:rsidRPr="00D7072E">
        <w:rPr>
          <w:rFonts w:eastAsia="Calibri"/>
        </w:rPr>
        <w:t>were below 13 mg m</w:t>
      </w:r>
      <w:r w:rsidRPr="00D7072E">
        <w:rPr>
          <w:rFonts w:eastAsia="Calibri"/>
          <w:vertAlign w:val="superscript"/>
        </w:rPr>
        <w:t>-3</w:t>
      </w:r>
      <w:r w:rsidRPr="00D7072E">
        <w:rPr>
          <w:rFonts w:eastAsia="Calibri"/>
        </w:rPr>
        <w:t xml:space="preserve"> 74% and 85% of the time,</w:t>
      </w:r>
      <w:r w:rsidR="002E1E1C">
        <w:rPr>
          <w:rFonts w:eastAsia="Calibri"/>
        </w:rPr>
        <w:t xml:space="preserve"> respectively, in Lower South Bay and South Bay,</w:t>
      </w:r>
      <w:r w:rsidRPr="00D7072E">
        <w:rPr>
          <w:rFonts w:eastAsia="Calibri"/>
        </w:rPr>
        <w:t xml:space="preserve"> </w:t>
      </w:r>
      <w:r w:rsidR="002E1E1C">
        <w:rPr>
          <w:rFonts w:eastAsia="Calibri"/>
        </w:rPr>
        <w:t>and</w:t>
      </w:r>
      <w:r w:rsidRPr="00D7072E">
        <w:rPr>
          <w:rFonts w:eastAsia="Calibri"/>
        </w:rPr>
        <w:t xml:space="preserve"> below 25 mg m</w:t>
      </w:r>
      <w:r w:rsidRPr="00D7072E">
        <w:rPr>
          <w:rFonts w:eastAsia="Calibri"/>
          <w:vertAlign w:val="superscript"/>
        </w:rPr>
        <w:t>-3</w:t>
      </w:r>
      <w:r w:rsidRPr="00D7072E">
        <w:rPr>
          <w:rFonts w:eastAsia="Calibri"/>
        </w:rPr>
        <w:t xml:space="preserve"> 88% and 93% of the time, respectively (Figure </w:t>
      </w:r>
      <w:r w:rsidR="002B67F8">
        <w:rPr>
          <w:rFonts w:eastAsia="Calibri"/>
        </w:rPr>
        <w:t>S3</w:t>
      </w:r>
      <w:r w:rsidRPr="00D7072E">
        <w:rPr>
          <w:rFonts w:eastAsia="Calibri"/>
        </w:rPr>
        <w:t>, supplemental materials</w:t>
      </w:r>
      <w:r>
        <w:rPr>
          <w:rFonts w:eastAsia="Calibri"/>
        </w:rPr>
        <w:t xml:space="preserve"> in Appendix C</w:t>
      </w:r>
      <w:r w:rsidRPr="00D7072E">
        <w:rPr>
          <w:rFonts w:eastAsia="Calibri"/>
        </w:rPr>
        <w:t>).</w:t>
      </w:r>
    </w:p>
    <w:p w:rsidR="006549B3" w:rsidRDefault="006549B3">
      <w:pPr>
        <w:rPr>
          <w:rFonts w:eastAsia="Calibri"/>
        </w:rPr>
      </w:pPr>
    </w:p>
    <w:p w:rsidR="00B948DC" w:rsidRDefault="00B948DC">
      <w:pPr>
        <w:pStyle w:val="TOT"/>
        <w:spacing w:before="0" w:after="0" w:line="276" w:lineRule="auto"/>
        <w:rPr>
          <w:caps w:val="0"/>
          <w:smallCaps w:val="0"/>
        </w:rPr>
      </w:pPr>
      <w:bookmarkStart w:id="64" w:name="_Toc440224075"/>
      <w:proofErr w:type="gramStart"/>
      <w:r w:rsidRPr="00192018">
        <w:rPr>
          <w:caps w:val="0"/>
          <w:smallCaps w:val="0"/>
        </w:rPr>
        <w:t>Table 3.</w:t>
      </w:r>
      <w:r w:rsidR="00AB1DA8">
        <w:rPr>
          <w:caps w:val="0"/>
          <w:smallCaps w:val="0"/>
        </w:rPr>
        <w:t>4</w:t>
      </w:r>
      <w:r w:rsidRPr="00192018">
        <w:rPr>
          <w:caps w:val="0"/>
          <w:smallCaps w:val="0"/>
        </w:rPr>
        <w:t>.</w:t>
      </w:r>
      <w:proofErr w:type="gramEnd"/>
      <w:r w:rsidRPr="00192018">
        <w:rPr>
          <w:caps w:val="0"/>
          <w:smallCaps w:val="0"/>
        </w:rPr>
        <w:t xml:space="preserve"> </w:t>
      </w:r>
      <w:r w:rsidR="007C2CC0">
        <w:rPr>
          <w:caps w:val="0"/>
          <w:smallCaps w:val="0"/>
        </w:rPr>
        <w:t>Chlorophyll-a</w:t>
      </w:r>
      <w:r w:rsidRPr="00192018">
        <w:rPr>
          <w:caps w:val="0"/>
          <w:smallCaps w:val="0"/>
        </w:rPr>
        <w:t xml:space="preserve"> Classification Table </w:t>
      </w:r>
      <w:r w:rsidR="00AB1DA8">
        <w:rPr>
          <w:caps w:val="0"/>
          <w:smallCaps w:val="0"/>
        </w:rPr>
        <w:t xml:space="preserve">Linked to HAB Abundance, </w:t>
      </w:r>
      <w:r w:rsidRPr="00192018">
        <w:rPr>
          <w:caps w:val="0"/>
          <w:smallCaps w:val="0"/>
        </w:rPr>
        <w:t xml:space="preserve">Based on Annual Frequency of Occurrence in Monthly Samples. Classification should be applied to each </w:t>
      </w:r>
      <w:proofErr w:type="spellStart"/>
      <w:r w:rsidR="00353722">
        <w:rPr>
          <w:caps w:val="0"/>
          <w:smallCaps w:val="0"/>
        </w:rPr>
        <w:t>subembayment</w:t>
      </w:r>
      <w:proofErr w:type="spellEnd"/>
      <w:r w:rsidRPr="00192018">
        <w:rPr>
          <w:caps w:val="0"/>
          <w:smallCaps w:val="0"/>
        </w:rPr>
        <w:t>.</w:t>
      </w:r>
      <w:bookmarkEnd w:id="64"/>
      <w:r w:rsidRPr="00192018">
        <w:rPr>
          <w:caps w:val="0"/>
          <w:smallCaps w:val="0"/>
        </w:rPr>
        <w:t xml:space="preserve"> </w:t>
      </w:r>
    </w:p>
    <w:p w:rsidR="00B747E5" w:rsidRPr="00192018" w:rsidRDefault="00B747E5">
      <w:pPr>
        <w:pStyle w:val="TOT"/>
        <w:spacing w:before="0" w:after="0" w:line="276" w:lineRule="auto"/>
        <w:rPr>
          <w:caps w:val="0"/>
          <w:smallCaps w:val="0"/>
        </w:rPr>
      </w:pPr>
    </w:p>
    <w:tbl>
      <w:tblPr>
        <w:tblStyle w:val="TableGridLight1"/>
        <w:tblW w:w="9018" w:type="dxa"/>
        <w:tblLook w:val="0420" w:firstRow="1" w:lastRow="0" w:firstColumn="0" w:lastColumn="0" w:noHBand="0" w:noVBand="1"/>
      </w:tblPr>
      <w:tblGrid>
        <w:gridCol w:w="3258"/>
        <w:gridCol w:w="1447"/>
        <w:gridCol w:w="1440"/>
        <w:gridCol w:w="1530"/>
        <w:gridCol w:w="1343"/>
      </w:tblGrid>
      <w:tr w:rsidR="00B948DC" w:rsidRPr="006549B3" w:rsidTr="007B16BA">
        <w:trPr>
          <w:trHeight w:val="440"/>
        </w:trPr>
        <w:tc>
          <w:tcPr>
            <w:tcW w:w="3258" w:type="dxa"/>
            <w:vMerge w:val="restart"/>
            <w:tcBorders>
              <w:top w:val="single" w:sz="4" w:space="0" w:color="auto"/>
            </w:tcBorders>
          </w:tcPr>
          <w:p w:rsidR="00B948DC" w:rsidRPr="006549B3" w:rsidRDefault="00353722" w:rsidP="00BF2D86">
            <w:pPr>
              <w:pStyle w:val="NormalWeb"/>
              <w:spacing w:after="0"/>
              <w:rPr>
                <w:rFonts w:ascii="Arial" w:hAnsi="Arial" w:cs="Arial"/>
                <w:b/>
                <w:bCs/>
                <w:kern w:val="24"/>
                <w:sz w:val="18"/>
                <w:szCs w:val="18"/>
              </w:rPr>
            </w:pPr>
            <w:proofErr w:type="spellStart"/>
            <w:r>
              <w:rPr>
                <w:rFonts w:ascii="Arial" w:hAnsi="Arial" w:cs="Arial"/>
                <w:b/>
                <w:bCs/>
                <w:kern w:val="24"/>
                <w:sz w:val="18"/>
                <w:szCs w:val="18"/>
              </w:rPr>
              <w:t>Subembayment</w:t>
            </w:r>
            <w:proofErr w:type="spellEnd"/>
            <w:r w:rsidR="00B948DC" w:rsidRPr="006549B3">
              <w:rPr>
                <w:rFonts w:ascii="Arial" w:hAnsi="Arial" w:cs="Arial"/>
                <w:b/>
                <w:bCs/>
                <w:kern w:val="24"/>
                <w:sz w:val="18"/>
                <w:szCs w:val="18"/>
              </w:rPr>
              <w:t xml:space="preserve"> Monthly Mean </w:t>
            </w:r>
            <w:r w:rsidR="007C2CC0">
              <w:rPr>
                <w:rFonts w:ascii="Arial" w:hAnsi="Arial" w:cs="Arial"/>
                <w:b/>
                <w:bCs/>
                <w:kern w:val="24"/>
                <w:sz w:val="18"/>
                <w:szCs w:val="18"/>
              </w:rPr>
              <w:t>Chlorophyll-a</w:t>
            </w:r>
            <w:r w:rsidR="00B948DC" w:rsidRPr="006549B3">
              <w:rPr>
                <w:rFonts w:ascii="Arial" w:hAnsi="Arial" w:cs="Arial"/>
                <w:b/>
                <w:bCs/>
                <w:kern w:val="24"/>
                <w:sz w:val="18"/>
                <w:szCs w:val="18"/>
              </w:rPr>
              <w:t xml:space="preserve"> Linked to HAB Abundance (µg L</w:t>
            </w:r>
            <w:r w:rsidR="00B948DC" w:rsidRPr="006549B3">
              <w:rPr>
                <w:rFonts w:ascii="Arial" w:hAnsi="Arial" w:cs="Arial"/>
                <w:b/>
                <w:bCs/>
                <w:kern w:val="24"/>
                <w:sz w:val="18"/>
                <w:szCs w:val="18"/>
                <w:vertAlign w:val="superscript"/>
              </w:rPr>
              <w:t>-1</w:t>
            </w:r>
            <w:r w:rsidR="00B948DC" w:rsidRPr="006549B3">
              <w:rPr>
                <w:rFonts w:ascii="Arial" w:hAnsi="Arial" w:cs="Arial"/>
                <w:b/>
                <w:bCs/>
                <w:kern w:val="24"/>
                <w:sz w:val="18"/>
                <w:szCs w:val="18"/>
              </w:rPr>
              <w:t>)</w:t>
            </w:r>
          </w:p>
        </w:tc>
        <w:tc>
          <w:tcPr>
            <w:tcW w:w="5760" w:type="dxa"/>
            <w:gridSpan w:val="4"/>
            <w:tcBorders>
              <w:top w:val="single" w:sz="4" w:space="0" w:color="auto"/>
              <w:bottom w:val="single" w:sz="4" w:space="0" w:color="auto"/>
            </w:tcBorders>
          </w:tcPr>
          <w:p w:rsidR="00B948DC" w:rsidRPr="006549B3" w:rsidRDefault="00B948DC" w:rsidP="00BF2D86">
            <w:pPr>
              <w:spacing w:line="276" w:lineRule="auto"/>
              <w:contextualSpacing/>
              <w:rPr>
                <w:rFonts w:ascii="Arial" w:hAnsi="Arial" w:cs="Arial"/>
                <w:b/>
                <w:sz w:val="18"/>
                <w:szCs w:val="18"/>
              </w:rPr>
            </w:pPr>
            <w:r w:rsidRPr="006549B3">
              <w:rPr>
                <w:rFonts w:ascii="Arial" w:hAnsi="Arial" w:cs="Arial"/>
                <w:b/>
                <w:sz w:val="18"/>
                <w:szCs w:val="18"/>
              </w:rPr>
              <w:t>Ecological Condition Based on Annual Frequency of Occurrence in Monthly Samples</w:t>
            </w:r>
          </w:p>
        </w:tc>
      </w:tr>
      <w:tr w:rsidR="00B948DC" w:rsidRPr="006549B3" w:rsidTr="007B16BA">
        <w:trPr>
          <w:trHeight w:val="440"/>
        </w:trPr>
        <w:tc>
          <w:tcPr>
            <w:tcW w:w="3258" w:type="dxa"/>
            <w:vMerge/>
            <w:tcBorders>
              <w:bottom w:val="single" w:sz="4" w:space="0" w:color="auto"/>
            </w:tcBorders>
          </w:tcPr>
          <w:p w:rsidR="00B948DC" w:rsidRPr="006549B3" w:rsidRDefault="00B948DC">
            <w:pPr>
              <w:pStyle w:val="NormalWeb"/>
              <w:spacing w:after="0"/>
              <w:ind w:left="360"/>
              <w:rPr>
                <w:rFonts w:ascii="Arial" w:hAnsi="Arial" w:cs="Arial"/>
                <w:b/>
                <w:bCs/>
                <w:kern w:val="24"/>
                <w:sz w:val="18"/>
                <w:szCs w:val="18"/>
              </w:rPr>
            </w:pPr>
          </w:p>
        </w:tc>
        <w:tc>
          <w:tcPr>
            <w:tcW w:w="1447" w:type="dxa"/>
            <w:tcBorders>
              <w:top w:val="single" w:sz="4" w:space="0" w:color="auto"/>
              <w:bottom w:val="single" w:sz="4" w:space="0" w:color="auto"/>
            </w:tcBorders>
          </w:tcPr>
          <w:p w:rsidR="00B948DC" w:rsidRPr="006549B3" w:rsidRDefault="00B948DC" w:rsidP="00BF2D86">
            <w:pPr>
              <w:spacing w:line="276" w:lineRule="auto"/>
              <w:contextualSpacing/>
              <w:rPr>
                <w:rFonts w:ascii="Arial" w:hAnsi="Arial" w:cs="Arial"/>
                <w:b/>
                <w:sz w:val="18"/>
                <w:szCs w:val="18"/>
              </w:rPr>
            </w:pPr>
            <w:r w:rsidRPr="006549B3">
              <w:rPr>
                <w:rFonts w:ascii="Arial" w:hAnsi="Arial" w:cs="Arial"/>
                <w:b/>
                <w:sz w:val="18"/>
                <w:szCs w:val="18"/>
              </w:rPr>
              <w:t>1 of 12</w:t>
            </w:r>
          </w:p>
        </w:tc>
        <w:tc>
          <w:tcPr>
            <w:tcW w:w="1440" w:type="dxa"/>
            <w:tcBorders>
              <w:top w:val="single" w:sz="4" w:space="0" w:color="auto"/>
              <w:bottom w:val="single" w:sz="4" w:space="0" w:color="auto"/>
            </w:tcBorders>
          </w:tcPr>
          <w:p w:rsidR="00B948DC" w:rsidRPr="006549B3" w:rsidRDefault="00B948DC" w:rsidP="00BF2D86">
            <w:pPr>
              <w:spacing w:line="276" w:lineRule="auto"/>
              <w:contextualSpacing/>
              <w:rPr>
                <w:rFonts w:ascii="Arial" w:hAnsi="Arial" w:cs="Arial"/>
                <w:b/>
                <w:sz w:val="18"/>
                <w:szCs w:val="18"/>
              </w:rPr>
            </w:pPr>
            <w:r w:rsidRPr="006549B3">
              <w:rPr>
                <w:rFonts w:ascii="Arial" w:hAnsi="Arial" w:cs="Arial"/>
                <w:b/>
                <w:sz w:val="18"/>
                <w:szCs w:val="18"/>
              </w:rPr>
              <w:t>2-3</w:t>
            </w:r>
          </w:p>
        </w:tc>
        <w:tc>
          <w:tcPr>
            <w:tcW w:w="1530" w:type="dxa"/>
            <w:tcBorders>
              <w:top w:val="single" w:sz="4" w:space="0" w:color="auto"/>
              <w:bottom w:val="single" w:sz="4" w:space="0" w:color="auto"/>
            </w:tcBorders>
          </w:tcPr>
          <w:p w:rsidR="00B948DC" w:rsidRPr="006549B3" w:rsidRDefault="00B948DC" w:rsidP="00BF2D86">
            <w:pPr>
              <w:spacing w:line="276" w:lineRule="auto"/>
              <w:contextualSpacing/>
              <w:rPr>
                <w:rFonts w:ascii="Arial" w:hAnsi="Arial" w:cs="Arial"/>
                <w:b/>
                <w:sz w:val="18"/>
                <w:szCs w:val="18"/>
              </w:rPr>
            </w:pPr>
            <w:r w:rsidRPr="006549B3">
              <w:rPr>
                <w:rFonts w:ascii="Arial" w:hAnsi="Arial" w:cs="Arial"/>
                <w:b/>
                <w:sz w:val="18"/>
                <w:szCs w:val="18"/>
              </w:rPr>
              <w:t>4-6</w:t>
            </w:r>
          </w:p>
        </w:tc>
        <w:tc>
          <w:tcPr>
            <w:tcW w:w="1343" w:type="dxa"/>
            <w:tcBorders>
              <w:top w:val="single" w:sz="4" w:space="0" w:color="auto"/>
              <w:bottom w:val="single" w:sz="4" w:space="0" w:color="auto"/>
            </w:tcBorders>
          </w:tcPr>
          <w:p w:rsidR="00B948DC" w:rsidRPr="006549B3" w:rsidRDefault="00B948DC" w:rsidP="00BF2D86">
            <w:pPr>
              <w:spacing w:line="276" w:lineRule="auto"/>
              <w:contextualSpacing/>
              <w:rPr>
                <w:rFonts w:ascii="Arial" w:hAnsi="Arial" w:cs="Arial"/>
                <w:b/>
                <w:sz w:val="18"/>
                <w:szCs w:val="18"/>
              </w:rPr>
            </w:pPr>
            <w:r w:rsidRPr="006549B3">
              <w:rPr>
                <w:rFonts w:ascii="Arial" w:hAnsi="Arial" w:cs="Arial"/>
                <w:b/>
                <w:sz w:val="18"/>
                <w:szCs w:val="18"/>
              </w:rPr>
              <w:t>6+</w:t>
            </w:r>
          </w:p>
        </w:tc>
      </w:tr>
      <w:tr w:rsidR="00B948DC" w:rsidRPr="006549B3" w:rsidTr="007B16BA">
        <w:trPr>
          <w:trHeight w:val="440"/>
        </w:trPr>
        <w:tc>
          <w:tcPr>
            <w:tcW w:w="3258" w:type="dxa"/>
            <w:tcBorders>
              <w:top w:val="single" w:sz="4" w:space="0" w:color="auto"/>
            </w:tcBorders>
            <w:vAlign w:val="center"/>
            <w:hideMark/>
          </w:tcPr>
          <w:p w:rsidR="00B948DC" w:rsidRPr="006549B3" w:rsidRDefault="00B948DC">
            <w:pPr>
              <w:pStyle w:val="NormalWeb"/>
              <w:spacing w:after="0"/>
              <w:ind w:left="360"/>
              <w:rPr>
                <w:rFonts w:ascii="Arial" w:hAnsi="Arial" w:cs="Arial"/>
                <w:sz w:val="18"/>
                <w:szCs w:val="18"/>
              </w:rPr>
            </w:pPr>
            <w:r w:rsidRPr="006549B3">
              <w:rPr>
                <w:rFonts w:ascii="Arial" w:hAnsi="Arial" w:cs="Arial"/>
                <w:bCs/>
                <w:kern w:val="24"/>
                <w:sz w:val="18"/>
                <w:szCs w:val="18"/>
              </w:rPr>
              <w:t>≤ 13</w:t>
            </w:r>
          </w:p>
        </w:tc>
        <w:tc>
          <w:tcPr>
            <w:tcW w:w="1447" w:type="dxa"/>
            <w:tcBorders>
              <w:top w:val="single" w:sz="4" w:space="0" w:color="auto"/>
            </w:tcBorders>
            <w:vAlign w:val="center"/>
            <w:hideMark/>
          </w:tcPr>
          <w:p w:rsidR="00B948DC" w:rsidRPr="006549B3" w:rsidRDefault="00B948DC">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440" w:type="dxa"/>
            <w:tcBorders>
              <w:top w:val="single" w:sz="4" w:space="0" w:color="auto"/>
            </w:tcBorders>
            <w:vAlign w:val="center"/>
            <w:hideMark/>
          </w:tcPr>
          <w:p w:rsidR="00B948DC" w:rsidRPr="006549B3" w:rsidRDefault="00B948DC">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530" w:type="dxa"/>
            <w:tcBorders>
              <w:top w:val="single" w:sz="4" w:space="0" w:color="auto"/>
            </w:tcBorders>
            <w:vAlign w:val="center"/>
            <w:hideMark/>
          </w:tcPr>
          <w:p w:rsidR="00B948DC" w:rsidRPr="006549B3" w:rsidRDefault="00B948DC">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343" w:type="dxa"/>
            <w:tcBorders>
              <w:top w:val="single" w:sz="4" w:space="0" w:color="auto"/>
            </w:tcBorders>
            <w:vAlign w:val="center"/>
            <w:hideMark/>
          </w:tcPr>
          <w:p w:rsidR="00B948DC" w:rsidRPr="006549B3" w:rsidRDefault="00B948DC">
            <w:pPr>
              <w:pStyle w:val="NormalWeb"/>
              <w:spacing w:after="0"/>
              <w:rPr>
                <w:rFonts w:ascii="Arial" w:hAnsi="Arial" w:cs="Arial"/>
                <w:sz w:val="18"/>
                <w:szCs w:val="18"/>
              </w:rPr>
            </w:pPr>
            <w:r w:rsidRPr="006549B3">
              <w:rPr>
                <w:rFonts w:ascii="Arial" w:hAnsi="Arial" w:cs="Arial"/>
                <w:bCs/>
                <w:kern w:val="24"/>
                <w:sz w:val="18"/>
                <w:szCs w:val="18"/>
              </w:rPr>
              <w:t>Very high</w:t>
            </w:r>
          </w:p>
        </w:tc>
      </w:tr>
      <w:tr w:rsidR="00B948DC" w:rsidRPr="006549B3" w:rsidTr="007B16BA">
        <w:trPr>
          <w:trHeight w:val="368"/>
        </w:trPr>
        <w:tc>
          <w:tcPr>
            <w:tcW w:w="3258" w:type="dxa"/>
            <w:vAlign w:val="center"/>
            <w:hideMark/>
          </w:tcPr>
          <w:p w:rsidR="00B948DC" w:rsidRPr="006549B3" w:rsidRDefault="00B948DC">
            <w:pPr>
              <w:pStyle w:val="NormalWeb"/>
              <w:spacing w:after="0"/>
              <w:ind w:left="360"/>
              <w:rPr>
                <w:rFonts w:ascii="Arial" w:hAnsi="Arial" w:cs="Arial"/>
                <w:sz w:val="18"/>
                <w:szCs w:val="18"/>
              </w:rPr>
            </w:pPr>
            <w:r w:rsidRPr="006549B3">
              <w:rPr>
                <w:rFonts w:ascii="Arial" w:hAnsi="Arial" w:cs="Arial"/>
                <w:kern w:val="24"/>
                <w:sz w:val="18"/>
                <w:szCs w:val="18"/>
              </w:rPr>
              <w:t>&gt;13</w:t>
            </w:r>
            <w:r w:rsidR="00520DB0" w:rsidRPr="006549B3">
              <w:rPr>
                <w:rFonts w:ascii="Arial" w:hAnsi="Arial" w:cs="Arial"/>
                <w:kern w:val="24"/>
                <w:sz w:val="18"/>
                <w:szCs w:val="18"/>
              </w:rPr>
              <w:t xml:space="preserve"> </w:t>
            </w:r>
            <w:r w:rsidR="00D92142">
              <w:rPr>
                <w:rFonts w:ascii="Arial" w:hAnsi="Arial" w:cs="Arial"/>
                <w:kern w:val="24"/>
                <w:sz w:val="18"/>
                <w:szCs w:val="18"/>
              </w:rPr>
              <w:t>–</w:t>
            </w:r>
            <w:r w:rsidR="00520DB0" w:rsidRPr="006549B3">
              <w:rPr>
                <w:rFonts w:ascii="Arial" w:hAnsi="Arial" w:cs="Arial"/>
                <w:kern w:val="24"/>
                <w:sz w:val="18"/>
                <w:szCs w:val="18"/>
              </w:rPr>
              <w:t xml:space="preserve"> </w:t>
            </w:r>
            <w:r w:rsidRPr="006549B3">
              <w:rPr>
                <w:rFonts w:ascii="Arial" w:hAnsi="Arial" w:cs="Arial"/>
                <w:kern w:val="24"/>
                <w:sz w:val="18"/>
                <w:szCs w:val="18"/>
              </w:rPr>
              <w:t>25</w:t>
            </w:r>
          </w:p>
        </w:tc>
        <w:tc>
          <w:tcPr>
            <w:tcW w:w="1447" w:type="dxa"/>
            <w:vAlign w:val="center"/>
            <w:hideMark/>
          </w:tcPr>
          <w:p w:rsidR="00B948DC" w:rsidRPr="006549B3" w:rsidRDefault="00B948DC">
            <w:pPr>
              <w:pStyle w:val="NormalWeb"/>
              <w:spacing w:after="0"/>
              <w:rPr>
                <w:rFonts w:ascii="Arial" w:hAnsi="Arial" w:cs="Arial"/>
                <w:sz w:val="18"/>
                <w:szCs w:val="18"/>
              </w:rPr>
            </w:pPr>
            <w:r w:rsidRPr="006549B3">
              <w:rPr>
                <w:rFonts w:ascii="Arial" w:hAnsi="Arial" w:cs="Arial"/>
                <w:kern w:val="24"/>
                <w:sz w:val="18"/>
                <w:szCs w:val="18"/>
              </w:rPr>
              <w:t>Good</w:t>
            </w:r>
          </w:p>
        </w:tc>
        <w:tc>
          <w:tcPr>
            <w:tcW w:w="1440" w:type="dxa"/>
            <w:vAlign w:val="center"/>
            <w:hideMark/>
          </w:tcPr>
          <w:p w:rsidR="00B948DC" w:rsidRPr="006549B3" w:rsidRDefault="00B948DC">
            <w:pPr>
              <w:pStyle w:val="NormalWeb"/>
              <w:spacing w:after="0"/>
              <w:rPr>
                <w:rFonts w:ascii="Arial" w:hAnsi="Arial" w:cs="Arial"/>
                <w:sz w:val="18"/>
                <w:szCs w:val="18"/>
              </w:rPr>
            </w:pPr>
            <w:r w:rsidRPr="006549B3">
              <w:rPr>
                <w:rFonts w:ascii="Arial" w:hAnsi="Arial" w:cs="Arial"/>
                <w:kern w:val="24"/>
                <w:sz w:val="18"/>
                <w:szCs w:val="18"/>
              </w:rPr>
              <w:t>Moderate</w:t>
            </w:r>
          </w:p>
        </w:tc>
        <w:tc>
          <w:tcPr>
            <w:tcW w:w="1530" w:type="dxa"/>
            <w:vAlign w:val="center"/>
            <w:hideMark/>
          </w:tcPr>
          <w:p w:rsidR="00B948DC" w:rsidRPr="006549B3" w:rsidRDefault="00B948DC">
            <w:pPr>
              <w:pStyle w:val="NormalWeb"/>
              <w:spacing w:after="0"/>
              <w:rPr>
                <w:rFonts w:ascii="Arial" w:hAnsi="Arial" w:cs="Arial"/>
                <w:sz w:val="18"/>
                <w:szCs w:val="18"/>
              </w:rPr>
            </w:pPr>
            <w:r w:rsidRPr="006549B3">
              <w:rPr>
                <w:rFonts w:ascii="Arial" w:hAnsi="Arial" w:cs="Arial"/>
                <w:kern w:val="24"/>
                <w:sz w:val="18"/>
                <w:szCs w:val="18"/>
              </w:rPr>
              <w:t>Moderate</w:t>
            </w:r>
          </w:p>
        </w:tc>
        <w:tc>
          <w:tcPr>
            <w:tcW w:w="1343" w:type="dxa"/>
            <w:vAlign w:val="center"/>
            <w:hideMark/>
          </w:tcPr>
          <w:p w:rsidR="00B948DC" w:rsidRPr="006549B3" w:rsidRDefault="00B948DC">
            <w:pPr>
              <w:pStyle w:val="NormalWeb"/>
              <w:spacing w:after="0"/>
              <w:rPr>
                <w:rFonts w:ascii="Arial" w:hAnsi="Arial" w:cs="Arial"/>
                <w:sz w:val="18"/>
                <w:szCs w:val="18"/>
              </w:rPr>
            </w:pPr>
            <w:r w:rsidRPr="006549B3">
              <w:rPr>
                <w:rFonts w:ascii="Arial" w:hAnsi="Arial" w:cs="Arial"/>
                <w:kern w:val="24"/>
                <w:sz w:val="18"/>
                <w:szCs w:val="18"/>
              </w:rPr>
              <w:t>Low</w:t>
            </w:r>
          </w:p>
        </w:tc>
      </w:tr>
      <w:tr w:rsidR="00B948DC" w:rsidRPr="006549B3" w:rsidTr="007B16BA">
        <w:trPr>
          <w:trHeight w:val="440"/>
        </w:trPr>
        <w:tc>
          <w:tcPr>
            <w:tcW w:w="3258" w:type="dxa"/>
            <w:vAlign w:val="center"/>
            <w:hideMark/>
          </w:tcPr>
          <w:p w:rsidR="00B948DC" w:rsidRPr="006549B3" w:rsidRDefault="00B948DC">
            <w:pPr>
              <w:pStyle w:val="NormalWeb"/>
              <w:spacing w:after="0"/>
              <w:ind w:left="360"/>
              <w:rPr>
                <w:rFonts w:ascii="Arial" w:hAnsi="Arial" w:cs="Arial"/>
                <w:sz w:val="18"/>
                <w:szCs w:val="18"/>
              </w:rPr>
            </w:pPr>
            <w:r w:rsidRPr="006549B3">
              <w:rPr>
                <w:rFonts w:ascii="Arial" w:hAnsi="Arial" w:cs="Arial"/>
                <w:kern w:val="24"/>
                <w:sz w:val="18"/>
                <w:szCs w:val="18"/>
              </w:rPr>
              <w:t>&gt;25</w:t>
            </w:r>
            <w:r w:rsidR="00520DB0" w:rsidRPr="006549B3">
              <w:rPr>
                <w:rFonts w:ascii="Arial" w:hAnsi="Arial" w:cs="Arial"/>
                <w:kern w:val="24"/>
                <w:sz w:val="18"/>
                <w:szCs w:val="18"/>
              </w:rPr>
              <w:t xml:space="preserve"> </w:t>
            </w:r>
            <w:r w:rsidR="00D92142">
              <w:rPr>
                <w:rFonts w:ascii="Arial" w:hAnsi="Arial" w:cs="Arial"/>
                <w:kern w:val="24"/>
                <w:sz w:val="18"/>
                <w:szCs w:val="18"/>
              </w:rPr>
              <w:t>–</w:t>
            </w:r>
            <w:r w:rsidR="00520DB0" w:rsidRPr="006549B3">
              <w:rPr>
                <w:rFonts w:ascii="Arial" w:hAnsi="Arial" w:cs="Arial"/>
                <w:kern w:val="24"/>
                <w:sz w:val="18"/>
                <w:szCs w:val="18"/>
              </w:rPr>
              <w:t xml:space="preserve"> </w:t>
            </w:r>
            <w:r w:rsidRPr="006549B3">
              <w:rPr>
                <w:rFonts w:ascii="Arial" w:hAnsi="Arial" w:cs="Arial"/>
                <w:kern w:val="24"/>
                <w:sz w:val="18"/>
                <w:szCs w:val="18"/>
              </w:rPr>
              <w:t>40</w:t>
            </w:r>
          </w:p>
        </w:tc>
        <w:tc>
          <w:tcPr>
            <w:tcW w:w="1447" w:type="dxa"/>
            <w:vAlign w:val="center"/>
            <w:hideMark/>
          </w:tcPr>
          <w:p w:rsidR="00B948DC" w:rsidRPr="006549B3" w:rsidRDefault="00B948DC">
            <w:pPr>
              <w:pStyle w:val="NormalWeb"/>
              <w:spacing w:after="0"/>
              <w:rPr>
                <w:rFonts w:ascii="Arial" w:hAnsi="Arial" w:cs="Arial"/>
                <w:sz w:val="18"/>
                <w:szCs w:val="18"/>
              </w:rPr>
            </w:pPr>
            <w:r w:rsidRPr="006549B3">
              <w:rPr>
                <w:rFonts w:ascii="Arial" w:hAnsi="Arial" w:cs="Arial"/>
                <w:kern w:val="24"/>
                <w:sz w:val="18"/>
                <w:szCs w:val="18"/>
              </w:rPr>
              <w:t>Moderate</w:t>
            </w:r>
          </w:p>
        </w:tc>
        <w:tc>
          <w:tcPr>
            <w:tcW w:w="1440" w:type="dxa"/>
            <w:vAlign w:val="center"/>
            <w:hideMark/>
          </w:tcPr>
          <w:p w:rsidR="00B948DC" w:rsidRPr="006549B3" w:rsidRDefault="00B948DC">
            <w:pPr>
              <w:pStyle w:val="NormalWeb"/>
              <w:spacing w:after="0"/>
              <w:rPr>
                <w:rFonts w:ascii="Arial" w:hAnsi="Arial" w:cs="Arial"/>
                <w:sz w:val="18"/>
                <w:szCs w:val="18"/>
              </w:rPr>
            </w:pPr>
            <w:r w:rsidRPr="006549B3">
              <w:rPr>
                <w:rFonts w:ascii="Arial" w:hAnsi="Arial" w:cs="Arial"/>
                <w:kern w:val="24"/>
                <w:sz w:val="18"/>
                <w:szCs w:val="18"/>
              </w:rPr>
              <w:t>Moderate</w:t>
            </w:r>
          </w:p>
        </w:tc>
        <w:tc>
          <w:tcPr>
            <w:tcW w:w="1530" w:type="dxa"/>
            <w:vAlign w:val="center"/>
            <w:hideMark/>
          </w:tcPr>
          <w:p w:rsidR="00B948DC" w:rsidRPr="006549B3" w:rsidRDefault="00B948DC">
            <w:pPr>
              <w:pStyle w:val="NormalWeb"/>
              <w:spacing w:after="0"/>
              <w:rPr>
                <w:rFonts w:ascii="Arial" w:hAnsi="Arial" w:cs="Arial"/>
                <w:sz w:val="18"/>
                <w:szCs w:val="18"/>
              </w:rPr>
            </w:pPr>
            <w:r w:rsidRPr="006549B3">
              <w:rPr>
                <w:rFonts w:ascii="Arial" w:hAnsi="Arial" w:cs="Arial"/>
                <w:kern w:val="24"/>
                <w:sz w:val="18"/>
                <w:szCs w:val="18"/>
              </w:rPr>
              <w:t>Low</w:t>
            </w:r>
          </w:p>
        </w:tc>
        <w:tc>
          <w:tcPr>
            <w:tcW w:w="1343" w:type="dxa"/>
            <w:vAlign w:val="center"/>
            <w:hideMark/>
          </w:tcPr>
          <w:p w:rsidR="00B948DC" w:rsidRPr="006549B3" w:rsidRDefault="00B948DC">
            <w:pPr>
              <w:pStyle w:val="NormalWeb"/>
              <w:spacing w:after="0"/>
              <w:rPr>
                <w:rFonts w:ascii="Arial" w:hAnsi="Arial" w:cs="Arial"/>
                <w:sz w:val="18"/>
                <w:szCs w:val="18"/>
              </w:rPr>
            </w:pPr>
            <w:r w:rsidRPr="006549B3">
              <w:rPr>
                <w:rFonts w:ascii="Arial" w:hAnsi="Arial" w:cs="Arial"/>
                <w:kern w:val="24"/>
                <w:sz w:val="18"/>
                <w:szCs w:val="18"/>
              </w:rPr>
              <w:t>Very Low</w:t>
            </w:r>
          </w:p>
        </w:tc>
      </w:tr>
      <w:tr w:rsidR="00B948DC" w:rsidRPr="006549B3" w:rsidTr="007B16BA">
        <w:trPr>
          <w:trHeight w:val="350"/>
        </w:trPr>
        <w:tc>
          <w:tcPr>
            <w:tcW w:w="3258" w:type="dxa"/>
            <w:vAlign w:val="center"/>
            <w:hideMark/>
          </w:tcPr>
          <w:p w:rsidR="00B948DC" w:rsidRPr="006549B3" w:rsidRDefault="00B948DC">
            <w:pPr>
              <w:pStyle w:val="NormalWeb"/>
              <w:spacing w:after="0"/>
              <w:ind w:left="360"/>
              <w:rPr>
                <w:rFonts w:ascii="Arial" w:hAnsi="Arial" w:cs="Arial"/>
                <w:sz w:val="18"/>
                <w:szCs w:val="18"/>
              </w:rPr>
            </w:pPr>
            <w:r w:rsidRPr="006549B3">
              <w:rPr>
                <w:rFonts w:ascii="Arial" w:hAnsi="Arial" w:cs="Arial"/>
                <w:kern w:val="24"/>
                <w:sz w:val="18"/>
                <w:szCs w:val="18"/>
              </w:rPr>
              <w:t>&gt;40</w:t>
            </w:r>
            <w:r w:rsidR="00520DB0" w:rsidRPr="006549B3">
              <w:rPr>
                <w:rFonts w:ascii="Arial" w:hAnsi="Arial" w:cs="Arial"/>
                <w:kern w:val="24"/>
                <w:sz w:val="18"/>
                <w:szCs w:val="18"/>
              </w:rPr>
              <w:t xml:space="preserve"> </w:t>
            </w:r>
            <w:r w:rsidR="00D92142">
              <w:rPr>
                <w:rFonts w:ascii="Arial" w:hAnsi="Arial" w:cs="Arial"/>
                <w:kern w:val="24"/>
                <w:sz w:val="18"/>
                <w:szCs w:val="18"/>
              </w:rPr>
              <w:t>–</w:t>
            </w:r>
            <w:r w:rsidR="00520DB0" w:rsidRPr="006549B3">
              <w:rPr>
                <w:rFonts w:ascii="Arial" w:hAnsi="Arial" w:cs="Arial"/>
                <w:kern w:val="24"/>
                <w:sz w:val="18"/>
                <w:szCs w:val="18"/>
              </w:rPr>
              <w:t xml:space="preserve"> </w:t>
            </w:r>
            <w:r w:rsidRPr="006549B3">
              <w:rPr>
                <w:rFonts w:ascii="Arial" w:hAnsi="Arial" w:cs="Arial"/>
                <w:kern w:val="24"/>
                <w:sz w:val="18"/>
                <w:szCs w:val="18"/>
              </w:rPr>
              <w:t>60</w:t>
            </w:r>
          </w:p>
        </w:tc>
        <w:tc>
          <w:tcPr>
            <w:tcW w:w="1447" w:type="dxa"/>
            <w:vAlign w:val="center"/>
            <w:hideMark/>
          </w:tcPr>
          <w:p w:rsidR="00B948DC" w:rsidRPr="006549B3" w:rsidRDefault="00B948DC">
            <w:pPr>
              <w:pStyle w:val="NormalWeb"/>
              <w:spacing w:after="0"/>
              <w:rPr>
                <w:rFonts w:ascii="Arial" w:hAnsi="Arial" w:cs="Arial"/>
                <w:sz w:val="18"/>
                <w:szCs w:val="18"/>
              </w:rPr>
            </w:pPr>
            <w:r w:rsidRPr="006549B3">
              <w:rPr>
                <w:rFonts w:ascii="Arial" w:hAnsi="Arial" w:cs="Arial"/>
                <w:kern w:val="24"/>
                <w:sz w:val="18"/>
                <w:szCs w:val="18"/>
              </w:rPr>
              <w:t>Moderate</w:t>
            </w:r>
          </w:p>
        </w:tc>
        <w:tc>
          <w:tcPr>
            <w:tcW w:w="1440" w:type="dxa"/>
            <w:vAlign w:val="center"/>
            <w:hideMark/>
          </w:tcPr>
          <w:p w:rsidR="00B948DC" w:rsidRPr="006549B3" w:rsidRDefault="00B948DC">
            <w:pPr>
              <w:pStyle w:val="NormalWeb"/>
              <w:spacing w:after="0"/>
              <w:rPr>
                <w:rFonts w:ascii="Arial" w:hAnsi="Arial" w:cs="Arial"/>
                <w:sz w:val="18"/>
                <w:szCs w:val="18"/>
              </w:rPr>
            </w:pPr>
            <w:r w:rsidRPr="006549B3">
              <w:rPr>
                <w:rFonts w:ascii="Arial" w:hAnsi="Arial" w:cs="Arial"/>
                <w:kern w:val="24"/>
                <w:sz w:val="18"/>
                <w:szCs w:val="18"/>
              </w:rPr>
              <w:t>Low</w:t>
            </w:r>
          </w:p>
        </w:tc>
        <w:tc>
          <w:tcPr>
            <w:tcW w:w="1530" w:type="dxa"/>
            <w:vAlign w:val="center"/>
            <w:hideMark/>
          </w:tcPr>
          <w:p w:rsidR="00B948DC" w:rsidRPr="006549B3" w:rsidRDefault="00B948DC">
            <w:pPr>
              <w:pStyle w:val="NormalWeb"/>
              <w:spacing w:after="0"/>
              <w:rPr>
                <w:rFonts w:ascii="Arial" w:hAnsi="Arial" w:cs="Arial"/>
                <w:sz w:val="18"/>
                <w:szCs w:val="18"/>
              </w:rPr>
            </w:pPr>
            <w:r w:rsidRPr="006549B3">
              <w:rPr>
                <w:rFonts w:ascii="Arial" w:hAnsi="Arial" w:cs="Arial"/>
                <w:kern w:val="24"/>
                <w:sz w:val="18"/>
                <w:szCs w:val="18"/>
              </w:rPr>
              <w:t>Very Low</w:t>
            </w:r>
          </w:p>
        </w:tc>
        <w:tc>
          <w:tcPr>
            <w:tcW w:w="1343" w:type="dxa"/>
            <w:vAlign w:val="center"/>
            <w:hideMark/>
          </w:tcPr>
          <w:p w:rsidR="00B948DC" w:rsidRPr="006549B3" w:rsidRDefault="00B948DC">
            <w:pPr>
              <w:pStyle w:val="NormalWeb"/>
              <w:spacing w:after="0"/>
              <w:rPr>
                <w:rFonts w:ascii="Arial" w:hAnsi="Arial" w:cs="Arial"/>
                <w:sz w:val="18"/>
                <w:szCs w:val="18"/>
              </w:rPr>
            </w:pPr>
            <w:r w:rsidRPr="006549B3">
              <w:rPr>
                <w:rFonts w:ascii="Arial" w:hAnsi="Arial" w:cs="Arial"/>
                <w:kern w:val="24"/>
                <w:sz w:val="18"/>
                <w:szCs w:val="18"/>
              </w:rPr>
              <w:t>Very Low</w:t>
            </w:r>
          </w:p>
        </w:tc>
      </w:tr>
      <w:tr w:rsidR="00B948DC" w:rsidRPr="006549B3" w:rsidTr="007B16BA">
        <w:trPr>
          <w:trHeight w:val="350"/>
        </w:trPr>
        <w:tc>
          <w:tcPr>
            <w:tcW w:w="3258" w:type="dxa"/>
            <w:tcBorders>
              <w:bottom w:val="single" w:sz="4" w:space="0" w:color="auto"/>
            </w:tcBorders>
            <w:vAlign w:val="center"/>
          </w:tcPr>
          <w:p w:rsidR="00B948DC" w:rsidRPr="006549B3" w:rsidRDefault="00B948DC">
            <w:pPr>
              <w:pStyle w:val="NormalWeb"/>
              <w:spacing w:after="0"/>
              <w:ind w:left="360"/>
              <w:rPr>
                <w:rFonts w:ascii="Arial" w:hAnsi="Arial" w:cs="Arial"/>
                <w:sz w:val="18"/>
                <w:szCs w:val="18"/>
              </w:rPr>
            </w:pPr>
            <w:r w:rsidRPr="006549B3">
              <w:rPr>
                <w:rFonts w:ascii="Arial" w:hAnsi="Arial" w:cs="Arial"/>
                <w:bCs/>
                <w:kern w:val="24"/>
                <w:sz w:val="18"/>
                <w:szCs w:val="18"/>
              </w:rPr>
              <w:t>&gt;60</w:t>
            </w:r>
          </w:p>
        </w:tc>
        <w:tc>
          <w:tcPr>
            <w:tcW w:w="1447" w:type="dxa"/>
            <w:tcBorders>
              <w:bottom w:val="single" w:sz="4" w:space="0" w:color="auto"/>
            </w:tcBorders>
            <w:vAlign w:val="center"/>
          </w:tcPr>
          <w:p w:rsidR="00B948DC" w:rsidRPr="006549B3" w:rsidRDefault="00B948DC">
            <w:pPr>
              <w:pStyle w:val="NormalWeb"/>
              <w:spacing w:after="0"/>
              <w:rPr>
                <w:rFonts w:ascii="Arial" w:hAnsi="Arial" w:cs="Arial"/>
                <w:sz w:val="18"/>
                <w:szCs w:val="18"/>
              </w:rPr>
            </w:pPr>
            <w:r w:rsidRPr="006549B3">
              <w:rPr>
                <w:rFonts w:ascii="Arial" w:hAnsi="Arial" w:cs="Arial"/>
                <w:bCs/>
                <w:kern w:val="24"/>
                <w:sz w:val="18"/>
                <w:szCs w:val="18"/>
              </w:rPr>
              <w:t>Low</w:t>
            </w:r>
          </w:p>
        </w:tc>
        <w:tc>
          <w:tcPr>
            <w:tcW w:w="1440" w:type="dxa"/>
            <w:tcBorders>
              <w:bottom w:val="single" w:sz="4" w:space="0" w:color="auto"/>
            </w:tcBorders>
            <w:vAlign w:val="center"/>
          </w:tcPr>
          <w:p w:rsidR="00B948DC" w:rsidRPr="006549B3" w:rsidRDefault="00B948DC">
            <w:pPr>
              <w:pStyle w:val="NormalWeb"/>
              <w:spacing w:after="0"/>
              <w:rPr>
                <w:rFonts w:ascii="Arial" w:hAnsi="Arial" w:cs="Arial"/>
                <w:sz w:val="18"/>
                <w:szCs w:val="18"/>
              </w:rPr>
            </w:pPr>
            <w:r w:rsidRPr="006549B3">
              <w:rPr>
                <w:rFonts w:ascii="Arial" w:hAnsi="Arial" w:cs="Arial"/>
                <w:bCs/>
                <w:kern w:val="24"/>
                <w:sz w:val="18"/>
                <w:szCs w:val="18"/>
              </w:rPr>
              <w:t>Very low</w:t>
            </w:r>
          </w:p>
        </w:tc>
        <w:tc>
          <w:tcPr>
            <w:tcW w:w="1530" w:type="dxa"/>
            <w:tcBorders>
              <w:bottom w:val="single" w:sz="4" w:space="0" w:color="auto"/>
            </w:tcBorders>
            <w:vAlign w:val="center"/>
          </w:tcPr>
          <w:p w:rsidR="00B948DC" w:rsidRPr="006549B3" w:rsidRDefault="00B948DC">
            <w:pPr>
              <w:pStyle w:val="NormalWeb"/>
              <w:spacing w:after="0"/>
              <w:rPr>
                <w:rFonts w:ascii="Arial" w:hAnsi="Arial" w:cs="Arial"/>
                <w:sz w:val="18"/>
                <w:szCs w:val="18"/>
              </w:rPr>
            </w:pPr>
            <w:r w:rsidRPr="006549B3">
              <w:rPr>
                <w:rFonts w:ascii="Arial" w:hAnsi="Arial" w:cs="Arial"/>
                <w:bCs/>
                <w:kern w:val="24"/>
                <w:sz w:val="18"/>
                <w:szCs w:val="18"/>
              </w:rPr>
              <w:t>Very low</w:t>
            </w:r>
          </w:p>
        </w:tc>
        <w:tc>
          <w:tcPr>
            <w:tcW w:w="1343" w:type="dxa"/>
            <w:vAlign w:val="center"/>
          </w:tcPr>
          <w:p w:rsidR="00B948DC" w:rsidRPr="006549B3" w:rsidRDefault="00B948DC">
            <w:pPr>
              <w:pStyle w:val="NormalWeb"/>
              <w:spacing w:after="0"/>
              <w:rPr>
                <w:rFonts w:ascii="Arial" w:hAnsi="Arial" w:cs="Arial"/>
                <w:sz w:val="18"/>
                <w:szCs w:val="18"/>
              </w:rPr>
            </w:pPr>
            <w:r w:rsidRPr="006549B3">
              <w:rPr>
                <w:rFonts w:ascii="Arial" w:hAnsi="Arial" w:cs="Arial"/>
                <w:bCs/>
                <w:kern w:val="24"/>
                <w:sz w:val="18"/>
                <w:szCs w:val="18"/>
              </w:rPr>
              <w:t>Very low</w:t>
            </w:r>
          </w:p>
        </w:tc>
      </w:tr>
    </w:tbl>
    <w:p w:rsidR="00B948DC" w:rsidRDefault="00B948DC" w:rsidP="00BF2D86">
      <w:pPr>
        <w:spacing w:line="276" w:lineRule="auto"/>
        <w:rPr>
          <w:rFonts w:asciiTheme="minorHAnsi" w:hAnsiTheme="minorHAnsi"/>
        </w:rPr>
      </w:pPr>
    </w:p>
    <w:p w:rsidR="0059573E" w:rsidRDefault="00520DB0">
      <w:proofErr w:type="gramStart"/>
      <w:r w:rsidRPr="00520DB0">
        <w:rPr>
          <w:b/>
        </w:rPr>
        <w:t xml:space="preserve">Classification of Chlorophyll-a Linked to </w:t>
      </w:r>
      <w:r>
        <w:rPr>
          <w:b/>
        </w:rPr>
        <w:t>DO</w:t>
      </w:r>
      <w:r w:rsidRPr="00520DB0">
        <w:rPr>
          <w:b/>
        </w:rPr>
        <w:t>.</w:t>
      </w:r>
      <w:proofErr w:type="gramEnd"/>
      <w:r>
        <w:t xml:space="preserve"> </w:t>
      </w:r>
      <w:r w:rsidR="0059573E" w:rsidRPr="0059573E">
        <w:t xml:space="preserve">While chlorophyll-a was negatively correlated with DO in all </w:t>
      </w:r>
      <w:proofErr w:type="spellStart"/>
      <w:r w:rsidR="0059573E" w:rsidRPr="0059573E">
        <w:t>subembayments</w:t>
      </w:r>
      <w:proofErr w:type="spellEnd"/>
      <w:r w:rsidR="0059573E" w:rsidRPr="0059573E">
        <w:t>, only</w:t>
      </w:r>
      <w:r w:rsidR="00D92142">
        <w:t xml:space="preserve"> in</w:t>
      </w:r>
      <w:r w:rsidR="0059573E" w:rsidRPr="0059573E">
        <w:t xml:space="preserve"> South Bay and Lower South Bay were these relationships consistently significant</w:t>
      </w:r>
      <w:r w:rsidR="0059573E">
        <w:t xml:space="preserve"> to quantify thresholds supporting classification decisions</w:t>
      </w:r>
      <w:r w:rsidR="0059573E" w:rsidRPr="0059573E">
        <w:t xml:space="preserve">. Conceptually, the mechanism resulting in an expected negative relationship between summer DO and </w:t>
      </w:r>
      <w:r w:rsidR="0059573E">
        <w:t>February-</w:t>
      </w:r>
      <w:r w:rsidR="00B1778A">
        <w:t>September</w:t>
      </w:r>
      <w:r w:rsidR="0059573E" w:rsidRPr="0059573E">
        <w:t xml:space="preserve"> </w:t>
      </w:r>
      <w:r w:rsidR="0059573E">
        <w:t>mean</w:t>
      </w:r>
      <w:r w:rsidR="0059573E" w:rsidRPr="0059573E">
        <w:t xml:space="preserve"> chlorophyll-a is that high primary production </w:t>
      </w:r>
      <w:r w:rsidR="0059573E">
        <w:t>during this time scale</w:t>
      </w:r>
      <w:r w:rsidR="0059573E" w:rsidRPr="0059573E">
        <w:t xml:space="preserve"> is expected to promote increased abundance of planktonic and benthic detritus, which during summer leads to an increasing probability of net ecosystem heterotrophy (</w:t>
      </w:r>
      <w:proofErr w:type="spellStart"/>
      <w:r w:rsidR="0059573E" w:rsidRPr="0059573E">
        <w:t>Caffrey</w:t>
      </w:r>
      <w:proofErr w:type="spellEnd"/>
      <w:r w:rsidR="0059573E" w:rsidRPr="0059573E">
        <w:t xml:space="preserve"> 2003).</w:t>
      </w:r>
      <w:r w:rsidR="00D72900">
        <w:t xml:space="preserve"> </w:t>
      </w:r>
      <w:r w:rsidR="0059573E" w:rsidRPr="0059573E">
        <w:t xml:space="preserve">In some areas of San Francisco Bay, and at some times in all </w:t>
      </w:r>
      <w:proofErr w:type="spellStart"/>
      <w:r w:rsidR="00353722">
        <w:t>subembayment</w:t>
      </w:r>
      <w:r w:rsidR="0059573E" w:rsidRPr="0059573E">
        <w:t>s</w:t>
      </w:r>
      <w:proofErr w:type="spellEnd"/>
      <w:r w:rsidR="0059573E" w:rsidRPr="0059573E">
        <w:t xml:space="preserve"> of the Bay, biological effects on DO are dominated by physical processes such as fluvial transport, </w:t>
      </w:r>
      <w:proofErr w:type="spellStart"/>
      <w:r w:rsidR="0059573E" w:rsidRPr="0059573E">
        <w:t>stormwater</w:t>
      </w:r>
      <w:proofErr w:type="spellEnd"/>
      <w:r w:rsidR="0059573E" w:rsidRPr="0059573E">
        <w:t xml:space="preserve"> and treated wastewater inputs, water exchange between </w:t>
      </w:r>
      <w:proofErr w:type="spellStart"/>
      <w:r w:rsidR="0059573E" w:rsidRPr="0059573E">
        <w:t>subembayments</w:t>
      </w:r>
      <w:proofErr w:type="spellEnd"/>
      <w:r w:rsidR="0059573E" w:rsidRPr="0059573E">
        <w:t xml:space="preserve">, and mixing or exchange between habitats within a </w:t>
      </w:r>
      <w:proofErr w:type="spellStart"/>
      <w:r w:rsidR="0059573E" w:rsidRPr="0059573E">
        <w:t>subembayments</w:t>
      </w:r>
      <w:proofErr w:type="spellEnd"/>
      <w:r w:rsidR="0059573E" w:rsidRPr="0059573E">
        <w:t xml:space="preserve"> (Smith and </w:t>
      </w:r>
      <w:proofErr w:type="spellStart"/>
      <w:r w:rsidR="0059573E" w:rsidRPr="0059573E">
        <w:t>Hollibaugh</w:t>
      </w:r>
      <w:proofErr w:type="spellEnd"/>
      <w:r w:rsidR="0059573E" w:rsidRPr="0059573E">
        <w:t xml:space="preserve">, 2006). The modulating factors are generally very important in both Central and Suisun Bays, which are most proximal to and have greater exchange with the coastal ocean and the Delta, respectively. It may still be possible to establish chlorophyll-a thresholds at which DO will begin to decline to unacceptable levels in the Central and North SFB </w:t>
      </w:r>
      <w:proofErr w:type="spellStart"/>
      <w:r w:rsidR="0059573E" w:rsidRPr="0059573E">
        <w:t>subembayments</w:t>
      </w:r>
      <w:proofErr w:type="spellEnd"/>
      <w:r w:rsidR="0059573E" w:rsidRPr="0059573E">
        <w:t xml:space="preserve">, using other modeling approaches than </w:t>
      </w:r>
      <w:r>
        <w:t xml:space="preserve">what </w:t>
      </w:r>
      <w:r w:rsidR="0059573E" w:rsidRPr="0059573E">
        <w:t xml:space="preserve">was employed </w:t>
      </w:r>
      <w:r w:rsidR="00A03992">
        <w:t xml:space="preserve">by </w:t>
      </w:r>
      <w:proofErr w:type="spellStart"/>
      <w:r w:rsidR="002B67F8">
        <w:t>Sutula</w:t>
      </w:r>
      <w:proofErr w:type="spellEnd"/>
      <w:r w:rsidR="002B67F8">
        <w:t xml:space="preserve"> et al. (in prep, Appendix C)</w:t>
      </w:r>
      <w:r w:rsidR="0059573E" w:rsidRPr="0059573E">
        <w:t xml:space="preserve">. </w:t>
      </w:r>
    </w:p>
    <w:p w:rsidR="00115309" w:rsidRDefault="00115309" w:rsidP="00BF2D86">
      <w:pPr>
        <w:spacing w:line="276" w:lineRule="auto"/>
        <w:rPr>
          <w:rFonts w:asciiTheme="minorHAnsi" w:hAnsiTheme="minorHAnsi"/>
        </w:rPr>
      </w:pPr>
    </w:p>
    <w:p w:rsidR="00115309" w:rsidRDefault="00115309">
      <w:r>
        <w:t>In developing a chlorophyll-a classification scheme linked to DO for South and Lower South Bay</w:t>
      </w:r>
      <w:r w:rsidR="00E47638">
        <w:t>s</w:t>
      </w:r>
      <w:r>
        <w:t xml:space="preserve">, we </w:t>
      </w:r>
      <w:r w:rsidR="003376FC">
        <w:t xml:space="preserve">relied principally on </w:t>
      </w:r>
      <w:r>
        <w:t xml:space="preserve">the </w:t>
      </w:r>
      <w:r w:rsidR="00E47638">
        <w:t xml:space="preserve">predicted chlorophyll-a </w:t>
      </w:r>
      <w:r>
        <w:t xml:space="preserve">thresholds produced </w:t>
      </w:r>
      <w:r w:rsidR="002B67F8">
        <w:t xml:space="preserve">from </w:t>
      </w:r>
      <w:proofErr w:type="spellStart"/>
      <w:r>
        <w:t>quantile</w:t>
      </w:r>
      <w:proofErr w:type="spellEnd"/>
      <w:r>
        <w:t xml:space="preserve"> regressions </w:t>
      </w:r>
      <w:r w:rsidR="002B67F8">
        <w:t xml:space="preserve">of </w:t>
      </w:r>
      <w:r>
        <w:t xml:space="preserve">DO concentration </w:t>
      </w:r>
      <w:r w:rsidR="00A03992">
        <w:t xml:space="preserve">that represent a range of ecological condition, </w:t>
      </w:r>
      <w:r>
        <w:t xml:space="preserve">from 7 to </w:t>
      </w:r>
      <w:r w:rsidR="00B1778A">
        <w:t>4</w:t>
      </w:r>
      <w:r>
        <w:t xml:space="preserve"> mg L</w:t>
      </w:r>
      <w:r w:rsidRPr="00115309">
        <w:rPr>
          <w:vertAlign w:val="superscript"/>
        </w:rPr>
        <w:t>-</w:t>
      </w:r>
      <w:r w:rsidRPr="00115309">
        <w:rPr>
          <w:vertAlign w:val="superscript"/>
        </w:rPr>
        <w:lastRenderedPageBreak/>
        <w:t>1</w:t>
      </w:r>
      <w:r w:rsidR="00AB1DA8">
        <w:t xml:space="preserve"> (Table 3.4, Appendix C</w:t>
      </w:r>
      <w:r w:rsidR="00D903BC">
        <w:t xml:space="preserve">: </w:t>
      </w:r>
      <w:r w:rsidR="00AB1DA8">
        <w:t xml:space="preserve">Tables 1-2). </w:t>
      </w:r>
      <w:r w:rsidR="00A03992">
        <w:t xml:space="preserve">We note that the </w:t>
      </w:r>
      <w:r w:rsidR="002E1E1C">
        <w:t>three-</w:t>
      </w:r>
      <w:r w:rsidR="003376FC">
        <w:t xml:space="preserve">month median percent saturation </w:t>
      </w:r>
      <w:r w:rsidR="00A03992">
        <w:t>WQO of &gt; 80%</w:t>
      </w:r>
      <w:r>
        <w:t xml:space="preserve"> is ~ 7 mg L</w:t>
      </w:r>
      <w:r w:rsidRPr="00520DB0">
        <w:rPr>
          <w:vertAlign w:val="superscript"/>
        </w:rPr>
        <w:t>-1</w:t>
      </w:r>
      <w:r>
        <w:t xml:space="preserve"> at summertime mean temperature and salinity in South SFB. According to </w:t>
      </w:r>
      <w:r w:rsidR="008352C2">
        <w:t xml:space="preserve">the proposed </w:t>
      </w:r>
      <w:r w:rsidR="001353E6" w:rsidRPr="0059573E">
        <w:t>European Union Water Framework Directive</w:t>
      </w:r>
      <w:r w:rsidR="001353E6">
        <w:t xml:space="preserve"> (</w:t>
      </w:r>
      <w:r w:rsidR="008352C2">
        <w:t>EU WFD</w:t>
      </w:r>
      <w:r w:rsidR="001353E6">
        <w:t>)</w:t>
      </w:r>
      <w:r w:rsidR="008352C2">
        <w:t xml:space="preserve"> for classification of estuarine waters based on DO (</w:t>
      </w:r>
      <w:r>
        <w:t>Best et al. 2007), 5.7 mg L</w:t>
      </w:r>
      <w:r w:rsidRPr="00115309">
        <w:rPr>
          <w:vertAlign w:val="superscript"/>
        </w:rPr>
        <w:t>-1</w:t>
      </w:r>
      <w:r>
        <w:t xml:space="preserve"> at marine salinities is equivalent to 7 mg L</w:t>
      </w:r>
      <w:r w:rsidRPr="00115309">
        <w:rPr>
          <w:vertAlign w:val="superscript"/>
        </w:rPr>
        <w:t>-1</w:t>
      </w:r>
      <w:r>
        <w:t xml:space="preserve"> in freshwater</w:t>
      </w:r>
      <w:r w:rsidR="00B1778A">
        <w:t xml:space="preserve"> criteria</w:t>
      </w:r>
      <w:r>
        <w:t xml:space="preserve">, </w:t>
      </w:r>
      <w:r w:rsidR="002E1E1C">
        <w:t xml:space="preserve">with </w:t>
      </w:r>
      <w:r>
        <w:t xml:space="preserve">chronic values considered to be supportive of </w:t>
      </w:r>
      <w:proofErr w:type="spellStart"/>
      <w:r>
        <w:t>salmonid</w:t>
      </w:r>
      <w:proofErr w:type="spellEnd"/>
      <w:r>
        <w:t xml:space="preserve"> reproduction and survival, which </w:t>
      </w:r>
      <w:r w:rsidR="007773E5">
        <w:t>is</w:t>
      </w:r>
      <w:r>
        <w:t xml:space="preserve"> </w:t>
      </w:r>
      <w:r w:rsidR="00A03992">
        <w:t>not a</w:t>
      </w:r>
      <w:r w:rsidR="00F75919">
        <w:t xml:space="preserve"> </w:t>
      </w:r>
      <w:r>
        <w:t xml:space="preserve">designated use in </w:t>
      </w:r>
      <w:r w:rsidR="00A03992">
        <w:t>South SFB</w:t>
      </w:r>
      <w:r>
        <w:t>.</w:t>
      </w:r>
      <w:r w:rsidR="00D72900">
        <w:t xml:space="preserve"> </w:t>
      </w:r>
      <w:r w:rsidR="00F75919">
        <w:t>Thus</w:t>
      </w:r>
      <w:r w:rsidR="002E1E1C">
        <w:t>,</w:t>
      </w:r>
      <w:r w:rsidR="00F75919">
        <w:t xml:space="preserve"> the “very high” tier </w:t>
      </w:r>
      <w:r w:rsidR="003376FC">
        <w:t>of 7.0 mg L</w:t>
      </w:r>
      <w:r w:rsidR="003376FC" w:rsidRPr="003376FC">
        <w:rPr>
          <w:vertAlign w:val="superscript"/>
        </w:rPr>
        <w:t>-1</w:t>
      </w:r>
      <w:r w:rsidR="003376FC">
        <w:t xml:space="preserve"> is roughly </w:t>
      </w:r>
      <w:r w:rsidR="00F75919">
        <w:t xml:space="preserve">equivalent to meeting the </w:t>
      </w:r>
      <w:r w:rsidR="002E1E1C">
        <w:t>three</w:t>
      </w:r>
      <w:r w:rsidR="00F75919">
        <w:t xml:space="preserve">-month median percent saturation objective, while </w:t>
      </w:r>
      <w:r w:rsidR="00B1778A">
        <w:t xml:space="preserve">the </w:t>
      </w:r>
      <w:r w:rsidR="00F75919">
        <w:t>“</w:t>
      </w:r>
      <w:r w:rsidR="00B1778A">
        <w:t>moderate</w:t>
      </w:r>
      <w:r w:rsidR="00F75919">
        <w:t xml:space="preserve">” </w:t>
      </w:r>
      <w:r w:rsidR="00B1778A">
        <w:t xml:space="preserve">condition category </w:t>
      </w:r>
      <w:r w:rsidR="00F75919">
        <w:t>has 90% probability that the 5 mg</w:t>
      </w:r>
      <w:r w:rsidR="003376FC">
        <w:t xml:space="preserve"> L</w:t>
      </w:r>
      <w:r w:rsidR="003376FC" w:rsidRPr="003376FC">
        <w:rPr>
          <w:vertAlign w:val="superscript"/>
        </w:rPr>
        <w:t>-1</w:t>
      </w:r>
      <w:r w:rsidR="00F75919">
        <w:t xml:space="preserve"> concentration objective would be met</w:t>
      </w:r>
      <w:r w:rsidR="003376FC">
        <w:t xml:space="preserve"> (Table 3.</w:t>
      </w:r>
      <w:r w:rsidR="00685F51">
        <w:t>5</w:t>
      </w:r>
      <w:r w:rsidR="003376FC">
        <w:t>)</w:t>
      </w:r>
      <w:r w:rsidR="00F75919">
        <w:t xml:space="preserve">. </w:t>
      </w:r>
      <w:r w:rsidR="000B606E">
        <w:t xml:space="preserve">This approach is comparable, though with higher expectations, than is used in Best et al. (2007). </w:t>
      </w:r>
      <w:r w:rsidR="00FC2B10">
        <w:t>Without specific analyses that clarify the seasonal and habitat-specific DO acute and chronic criteria required to support beneficial</w:t>
      </w:r>
      <w:r w:rsidR="001B76DA">
        <w:t xml:space="preserve"> uses</w:t>
      </w:r>
      <w:r w:rsidR="00FC2B10">
        <w:t xml:space="preserve">, we have more heavily weighted our DO </w:t>
      </w:r>
      <w:r w:rsidR="008352C2">
        <w:t>classification bins</w:t>
      </w:r>
      <w:r w:rsidR="00FC2B10">
        <w:t xml:space="preserve"> to align with existing SFB WQOs. </w:t>
      </w:r>
      <w:r w:rsidR="00E47638">
        <w:t xml:space="preserve">We used the lower 95% confidence interval of the predicted 0.1 Tau </w:t>
      </w:r>
      <w:proofErr w:type="spellStart"/>
      <w:r w:rsidR="00E47638">
        <w:t>quantile</w:t>
      </w:r>
      <w:proofErr w:type="spellEnd"/>
      <w:r w:rsidR="00E47638">
        <w:t xml:space="preserve"> of February</w:t>
      </w:r>
      <w:r w:rsidR="002E1E1C">
        <w:t xml:space="preserve"> to </w:t>
      </w:r>
      <w:r w:rsidR="00E47638">
        <w:t xml:space="preserve">September mean chlorophyll-a </w:t>
      </w:r>
      <w:r w:rsidR="008352C2">
        <w:t>(</w:t>
      </w:r>
      <w:proofErr w:type="spellStart"/>
      <w:r w:rsidR="008352C2">
        <w:t>Sutula</w:t>
      </w:r>
      <w:proofErr w:type="spellEnd"/>
      <w:r w:rsidR="008352C2">
        <w:t xml:space="preserve"> et al., in prep, Appendix C) </w:t>
      </w:r>
      <w:r w:rsidR="00E47638">
        <w:t>as the basis for the classification bin, because it gives greater confidence that chlorophyll-a falls above the predicted lower end of the classification bin.</w:t>
      </w:r>
    </w:p>
    <w:p w:rsidR="00AB1DA8" w:rsidRDefault="00AB1DA8"/>
    <w:p w:rsidR="00AB1DA8" w:rsidRDefault="00AB1DA8" w:rsidP="00AB1DA8">
      <w:pPr>
        <w:pStyle w:val="TOT"/>
        <w:spacing w:before="0" w:after="0" w:line="276" w:lineRule="auto"/>
        <w:rPr>
          <w:caps w:val="0"/>
          <w:smallCaps w:val="0"/>
        </w:rPr>
      </w:pPr>
      <w:bookmarkStart w:id="65" w:name="_Toc440224076"/>
      <w:proofErr w:type="gramStart"/>
      <w:r w:rsidRPr="00192018">
        <w:rPr>
          <w:caps w:val="0"/>
          <w:smallCaps w:val="0"/>
        </w:rPr>
        <w:t>Table 3.</w:t>
      </w:r>
      <w:r>
        <w:rPr>
          <w:caps w:val="0"/>
          <w:smallCaps w:val="0"/>
        </w:rPr>
        <w:t>5</w:t>
      </w:r>
      <w:r w:rsidRPr="00192018">
        <w:rPr>
          <w:caps w:val="0"/>
          <w:smallCaps w:val="0"/>
        </w:rPr>
        <w:t>.</w:t>
      </w:r>
      <w:proofErr w:type="gramEnd"/>
      <w:r w:rsidRPr="00192018">
        <w:rPr>
          <w:caps w:val="0"/>
          <w:smallCaps w:val="0"/>
        </w:rPr>
        <w:t xml:space="preserve"> </w:t>
      </w:r>
      <w:r>
        <w:rPr>
          <w:caps w:val="0"/>
          <w:smallCaps w:val="0"/>
        </w:rPr>
        <w:t>Chlorophyll-a</w:t>
      </w:r>
      <w:r w:rsidRPr="00192018">
        <w:rPr>
          <w:caps w:val="0"/>
          <w:smallCaps w:val="0"/>
        </w:rPr>
        <w:t xml:space="preserve"> Classification Table Based on </w:t>
      </w:r>
      <w:r>
        <w:rPr>
          <w:caps w:val="0"/>
          <w:smallCaps w:val="0"/>
        </w:rPr>
        <w:t xml:space="preserve">Risk of Falling Below DO Water Quality Objectives, Based on </w:t>
      </w:r>
      <w:r w:rsidRPr="00192018">
        <w:rPr>
          <w:caps w:val="0"/>
          <w:smallCaps w:val="0"/>
        </w:rPr>
        <w:t xml:space="preserve">Annual </w:t>
      </w:r>
      <w:r>
        <w:rPr>
          <w:caps w:val="0"/>
          <w:smallCaps w:val="0"/>
        </w:rPr>
        <w:t>February-September Mean Chlorophyll-a, for South Bay and Lower South Bay only</w:t>
      </w:r>
      <w:r w:rsidRPr="00192018">
        <w:rPr>
          <w:caps w:val="0"/>
          <w:smallCaps w:val="0"/>
        </w:rPr>
        <w:t>.</w:t>
      </w:r>
      <w:bookmarkEnd w:id="65"/>
      <w:r w:rsidRPr="00192018">
        <w:rPr>
          <w:caps w:val="0"/>
          <w:smallCaps w:val="0"/>
        </w:rPr>
        <w:t xml:space="preserve"> </w:t>
      </w:r>
    </w:p>
    <w:p w:rsidR="00AB1DA8" w:rsidRPr="00192018" w:rsidRDefault="00AB1DA8" w:rsidP="00AB1DA8">
      <w:pPr>
        <w:pStyle w:val="TOT"/>
        <w:spacing w:before="0" w:after="0" w:line="276" w:lineRule="auto"/>
        <w:rPr>
          <w:caps w:val="0"/>
          <w:smallCaps w:val="0"/>
        </w:rPr>
      </w:pPr>
    </w:p>
    <w:tbl>
      <w:tblPr>
        <w:tblStyle w:val="TableGridLight1"/>
        <w:tblW w:w="9018" w:type="dxa"/>
        <w:tblLook w:val="0420" w:firstRow="1" w:lastRow="0" w:firstColumn="0" w:lastColumn="0" w:noHBand="0" w:noVBand="1"/>
      </w:tblPr>
      <w:tblGrid>
        <w:gridCol w:w="3258"/>
        <w:gridCol w:w="2880"/>
        <w:gridCol w:w="2880"/>
      </w:tblGrid>
      <w:tr w:rsidR="00AB1DA8" w:rsidRPr="006549B3" w:rsidTr="00BA2477">
        <w:trPr>
          <w:trHeight w:val="420"/>
        </w:trPr>
        <w:tc>
          <w:tcPr>
            <w:tcW w:w="9018" w:type="dxa"/>
            <w:gridSpan w:val="3"/>
            <w:tcBorders>
              <w:top w:val="single" w:sz="4" w:space="0" w:color="auto"/>
            </w:tcBorders>
          </w:tcPr>
          <w:p w:rsidR="00AB1DA8" w:rsidRPr="006549B3" w:rsidRDefault="00AB1DA8" w:rsidP="00FB29D3">
            <w:pPr>
              <w:spacing w:line="276" w:lineRule="auto"/>
              <w:contextualSpacing/>
              <w:rPr>
                <w:rFonts w:ascii="Arial" w:hAnsi="Arial" w:cs="Arial"/>
                <w:b/>
                <w:sz w:val="18"/>
                <w:szCs w:val="18"/>
              </w:rPr>
            </w:pPr>
            <w:r w:rsidRPr="006549B3">
              <w:rPr>
                <w:rFonts w:ascii="Arial" w:hAnsi="Arial" w:cs="Arial"/>
                <w:b/>
                <w:sz w:val="18"/>
                <w:szCs w:val="18"/>
              </w:rPr>
              <w:t>Classification of ecological condition based on mean February -</w:t>
            </w:r>
            <w:r w:rsidR="00FB29D3">
              <w:rPr>
                <w:rFonts w:ascii="Arial" w:hAnsi="Arial" w:cs="Arial"/>
                <w:b/>
                <w:sz w:val="18"/>
                <w:szCs w:val="18"/>
              </w:rPr>
              <w:t xml:space="preserve"> September</w:t>
            </w:r>
            <w:r w:rsidRPr="006549B3">
              <w:rPr>
                <w:rFonts w:ascii="Arial" w:hAnsi="Arial" w:cs="Arial"/>
                <w:b/>
                <w:sz w:val="18"/>
                <w:szCs w:val="18"/>
              </w:rPr>
              <w:t xml:space="preserve"> </w:t>
            </w:r>
            <w:r>
              <w:rPr>
                <w:rFonts w:ascii="Arial" w:hAnsi="Arial" w:cs="Arial"/>
                <w:b/>
                <w:sz w:val="18"/>
                <w:szCs w:val="18"/>
              </w:rPr>
              <w:t>chlorophyll-a</w:t>
            </w:r>
            <w:r w:rsidRPr="006549B3">
              <w:rPr>
                <w:rFonts w:ascii="Arial" w:hAnsi="Arial" w:cs="Arial"/>
                <w:b/>
                <w:sz w:val="18"/>
                <w:szCs w:val="18"/>
              </w:rPr>
              <w:t xml:space="preserve"> (mg m</w:t>
            </w:r>
            <w:r w:rsidRPr="006549B3">
              <w:rPr>
                <w:rFonts w:ascii="Arial" w:hAnsi="Arial" w:cs="Arial"/>
                <w:b/>
                <w:sz w:val="18"/>
                <w:szCs w:val="18"/>
                <w:vertAlign w:val="superscript"/>
              </w:rPr>
              <w:t>-3</w:t>
            </w:r>
            <w:r w:rsidRPr="006549B3">
              <w:rPr>
                <w:rFonts w:ascii="Arial" w:hAnsi="Arial" w:cs="Arial"/>
                <w:b/>
                <w:sz w:val="18"/>
                <w:szCs w:val="18"/>
              </w:rPr>
              <w:t>) linked DO benchmarks - South Bay and Lower South Bay Only</w:t>
            </w:r>
          </w:p>
        </w:tc>
      </w:tr>
      <w:tr w:rsidR="00AB1DA8" w:rsidRPr="006549B3" w:rsidTr="00BA2477">
        <w:trPr>
          <w:trHeight w:val="350"/>
        </w:trPr>
        <w:tc>
          <w:tcPr>
            <w:tcW w:w="3258" w:type="dxa"/>
            <w:tcBorders>
              <w:top w:val="single" w:sz="4" w:space="0" w:color="auto"/>
              <w:bottom w:val="single" w:sz="4" w:space="0" w:color="auto"/>
            </w:tcBorders>
          </w:tcPr>
          <w:p w:rsidR="00AB1DA8" w:rsidRPr="006549B3" w:rsidRDefault="00AB1DA8" w:rsidP="00BA2477">
            <w:pPr>
              <w:spacing w:line="276" w:lineRule="auto"/>
              <w:rPr>
                <w:rFonts w:ascii="Arial" w:hAnsi="Arial" w:cs="Arial"/>
                <w:b/>
                <w:sz w:val="18"/>
                <w:szCs w:val="18"/>
              </w:rPr>
            </w:pPr>
            <w:r w:rsidRPr="006549B3">
              <w:rPr>
                <w:rFonts w:ascii="Arial" w:hAnsi="Arial" w:cs="Arial"/>
                <w:b/>
                <w:sz w:val="18"/>
                <w:szCs w:val="18"/>
              </w:rPr>
              <w:t>Category</w:t>
            </w:r>
          </w:p>
        </w:tc>
        <w:tc>
          <w:tcPr>
            <w:tcW w:w="2880" w:type="dxa"/>
            <w:tcBorders>
              <w:bottom w:val="single" w:sz="4" w:space="0" w:color="auto"/>
            </w:tcBorders>
          </w:tcPr>
          <w:p w:rsidR="00AB1DA8" w:rsidRPr="006549B3" w:rsidRDefault="00AB1DA8" w:rsidP="00BA2477">
            <w:pPr>
              <w:spacing w:line="276" w:lineRule="auto"/>
              <w:rPr>
                <w:rFonts w:ascii="Arial" w:hAnsi="Arial" w:cs="Arial"/>
                <w:color w:val="000000"/>
                <w:sz w:val="18"/>
                <w:szCs w:val="18"/>
              </w:rPr>
            </w:pPr>
            <w:r w:rsidRPr="006549B3">
              <w:rPr>
                <w:rFonts w:ascii="Arial" w:hAnsi="Arial" w:cs="Arial"/>
                <w:b/>
                <w:sz w:val="18"/>
                <w:szCs w:val="18"/>
              </w:rPr>
              <w:t xml:space="preserve">Lower South Bay </w:t>
            </w:r>
          </w:p>
        </w:tc>
        <w:tc>
          <w:tcPr>
            <w:tcW w:w="2880" w:type="dxa"/>
            <w:tcBorders>
              <w:bottom w:val="single" w:sz="4" w:space="0" w:color="auto"/>
            </w:tcBorders>
          </w:tcPr>
          <w:p w:rsidR="00AB1DA8" w:rsidRPr="006549B3" w:rsidRDefault="00AB1DA8" w:rsidP="00BA2477">
            <w:pPr>
              <w:spacing w:line="276" w:lineRule="auto"/>
              <w:rPr>
                <w:rFonts w:ascii="Arial" w:hAnsi="Arial" w:cs="Arial"/>
                <w:b/>
                <w:sz w:val="18"/>
                <w:szCs w:val="18"/>
              </w:rPr>
            </w:pPr>
            <w:r w:rsidRPr="006549B3">
              <w:rPr>
                <w:rFonts w:ascii="Arial" w:hAnsi="Arial" w:cs="Arial"/>
                <w:b/>
                <w:color w:val="000000"/>
                <w:sz w:val="18"/>
                <w:szCs w:val="18"/>
              </w:rPr>
              <w:t>South Bay</w:t>
            </w:r>
          </w:p>
        </w:tc>
      </w:tr>
      <w:tr w:rsidR="00AB1DA8" w:rsidRPr="006549B3" w:rsidTr="00BA2477">
        <w:trPr>
          <w:trHeight w:val="350"/>
        </w:trPr>
        <w:tc>
          <w:tcPr>
            <w:tcW w:w="3258" w:type="dxa"/>
            <w:tcBorders>
              <w:top w:val="single" w:sz="4" w:space="0" w:color="auto"/>
              <w:bottom w:val="single" w:sz="4" w:space="0" w:color="BFBFBF" w:themeColor="background1" w:themeShade="BF"/>
            </w:tcBorders>
          </w:tcPr>
          <w:p w:rsidR="00AB1DA8" w:rsidRPr="006549B3" w:rsidRDefault="00AB1DA8" w:rsidP="00BA2477">
            <w:pPr>
              <w:spacing w:line="276" w:lineRule="auto"/>
              <w:ind w:firstLine="360"/>
              <w:rPr>
                <w:rFonts w:ascii="Arial" w:hAnsi="Arial" w:cs="Arial"/>
                <w:sz w:val="18"/>
                <w:szCs w:val="18"/>
              </w:rPr>
            </w:pPr>
            <w:r w:rsidRPr="006549B3">
              <w:rPr>
                <w:rFonts w:ascii="Arial" w:hAnsi="Arial" w:cs="Arial"/>
                <w:sz w:val="18"/>
                <w:szCs w:val="18"/>
              </w:rPr>
              <w:t xml:space="preserve">Very high) </w:t>
            </w:r>
          </w:p>
        </w:tc>
        <w:tc>
          <w:tcPr>
            <w:tcW w:w="2880" w:type="dxa"/>
            <w:vMerge w:val="restart"/>
            <w:tcBorders>
              <w:top w:val="single" w:sz="4" w:space="0" w:color="auto"/>
            </w:tcBorders>
            <w:vAlign w:val="center"/>
          </w:tcPr>
          <w:p w:rsidR="00AB1DA8" w:rsidRPr="006549B3" w:rsidRDefault="00AB1DA8" w:rsidP="00BA2477">
            <w:pPr>
              <w:spacing w:line="276" w:lineRule="auto"/>
              <w:rPr>
                <w:rFonts w:ascii="Arial" w:hAnsi="Arial" w:cs="Arial"/>
                <w:color w:val="000000"/>
                <w:sz w:val="18"/>
                <w:szCs w:val="18"/>
              </w:rPr>
            </w:pPr>
            <w:r w:rsidRPr="006549B3">
              <w:rPr>
                <w:rFonts w:ascii="Arial" w:hAnsi="Arial" w:cs="Arial"/>
                <w:color w:val="000000"/>
                <w:sz w:val="18"/>
                <w:szCs w:val="18"/>
              </w:rPr>
              <w:t>≤23</w:t>
            </w:r>
          </w:p>
        </w:tc>
        <w:tc>
          <w:tcPr>
            <w:tcW w:w="2880" w:type="dxa"/>
            <w:tcBorders>
              <w:top w:val="single" w:sz="4" w:space="0" w:color="auto"/>
            </w:tcBorders>
            <w:vAlign w:val="center"/>
          </w:tcPr>
          <w:p w:rsidR="00AB1DA8" w:rsidRPr="006549B3" w:rsidRDefault="00AB1DA8" w:rsidP="00BA2477">
            <w:pPr>
              <w:spacing w:line="276" w:lineRule="auto"/>
              <w:rPr>
                <w:rFonts w:ascii="Arial" w:hAnsi="Arial" w:cs="Arial"/>
                <w:color w:val="000000"/>
                <w:sz w:val="18"/>
                <w:szCs w:val="18"/>
              </w:rPr>
            </w:pPr>
            <w:r w:rsidRPr="006549B3">
              <w:rPr>
                <w:rFonts w:ascii="Arial" w:hAnsi="Arial" w:cs="Arial"/>
                <w:color w:val="000000"/>
                <w:sz w:val="18"/>
                <w:szCs w:val="18"/>
              </w:rPr>
              <w:t>≤14</w:t>
            </w:r>
          </w:p>
        </w:tc>
      </w:tr>
      <w:tr w:rsidR="00AB1DA8" w:rsidRPr="006549B3" w:rsidTr="00BA2477">
        <w:trPr>
          <w:trHeight w:val="350"/>
        </w:trPr>
        <w:tc>
          <w:tcPr>
            <w:tcW w:w="3258" w:type="dxa"/>
            <w:tcBorders>
              <w:top w:val="single" w:sz="4" w:space="0" w:color="BFBFBF" w:themeColor="background1" w:themeShade="BF"/>
            </w:tcBorders>
          </w:tcPr>
          <w:p w:rsidR="00AB1DA8" w:rsidRPr="006549B3" w:rsidRDefault="00AB1DA8" w:rsidP="00BA2477">
            <w:pPr>
              <w:spacing w:line="276" w:lineRule="auto"/>
              <w:ind w:firstLine="360"/>
              <w:rPr>
                <w:rFonts w:ascii="Arial" w:hAnsi="Arial" w:cs="Arial"/>
                <w:sz w:val="18"/>
                <w:szCs w:val="18"/>
              </w:rPr>
            </w:pPr>
            <w:r w:rsidRPr="006549B3">
              <w:rPr>
                <w:rFonts w:ascii="Arial" w:hAnsi="Arial" w:cs="Arial"/>
                <w:sz w:val="18"/>
                <w:szCs w:val="18"/>
              </w:rPr>
              <w:t xml:space="preserve">High </w:t>
            </w:r>
          </w:p>
        </w:tc>
        <w:tc>
          <w:tcPr>
            <w:tcW w:w="2880" w:type="dxa"/>
            <w:vMerge/>
            <w:vAlign w:val="center"/>
          </w:tcPr>
          <w:p w:rsidR="00AB1DA8" w:rsidRPr="006549B3" w:rsidRDefault="00AB1DA8" w:rsidP="00BA2477">
            <w:pPr>
              <w:spacing w:line="276" w:lineRule="auto"/>
              <w:rPr>
                <w:rFonts w:ascii="Arial" w:hAnsi="Arial" w:cs="Arial"/>
                <w:color w:val="000000"/>
                <w:sz w:val="18"/>
                <w:szCs w:val="18"/>
              </w:rPr>
            </w:pPr>
          </w:p>
        </w:tc>
        <w:tc>
          <w:tcPr>
            <w:tcW w:w="2880" w:type="dxa"/>
            <w:vAlign w:val="center"/>
          </w:tcPr>
          <w:p w:rsidR="00AB1DA8" w:rsidRPr="006549B3" w:rsidRDefault="00AB1DA8" w:rsidP="00BA2477">
            <w:pPr>
              <w:spacing w:line="276" w:lineRule="auto"/>
              <w:rPr>
                <w:rFonts w:ascii="Arial" w:hAnsi="Arial" w:cs="Arial"/>
                <w:color w:val="000000"/>
                <w:sz w:val="18"/>
                <w:szCs w:val="18"/>
              </w:rPr>
            </w:pPr>
            <w:r w:rsidRPr="006549B3">
              <w:rPr>
                <w:rFonts w:ascii="Arial" w:hAnsi="Arial" w:cs="Arial"/>
                <w:color w:val="000000"/>
                <w:sz w:val="18"/>
                <w:szCs w:val="18"/>
              </w:rPr>
              <w:t>&gt;25 - 32</w:t>
            </w:r>
          </w:p>
        </w:tc>
      </w:tr>
      <w:tr w:rsidR="00AB1DA8" w:rsidRPr="006549B3" w:rsidTr="00BA2477">
        <w:trPr>
          <w:trHeight w:val="350"/>
        </w:trPr>
        <w:tc>
          <w:tcPr>
            <w:tcW w:w="3258" w:type="dxa"/>
          </w:tcPr>
          <w:p w:rsidR="00AB1DA8" w:rsidRPr="006549B3" w:rsidRDefault="00AB1DA8" w:rsidP="00BA2477">
            <w:pPr>
              <w:spacing w:line="276" w:lineRule="auto"/>
              <w:ind w:firstLine="360"/>
              <w:rPr>
                <w:rFonts w:ascii="Arial" w:hAnsi="Arial" w:cs="Arial"/>
                <w:sz w:val="18"/>
                <w:szCs w:val="18"/>
              </w:rPr>
            </w:pPr>
            <w:r w:rsidRPr="006549B3">
              <w:rPr>
                <w:rFonts w:ascii="Arial" w:hAnsi="Arial" w:cs="Arial"/>
                <w:sz w:val="18"/>
                <w:szCs w:val="18"/>
              </w:rPr>
              <w:t xml:space="preserve">Moderate </w:t>
            </w:r>
          </w:p>
        </w:tc>
        <w:tc>
          <w:tcPr>
            <w:tcW w:w="2880" w:type="dxa"/>
            <w:vAlign w:val="center"/>
          </w:tcPr>
          <w:p w:rsidR="00AB1DA8" w:rsidRPr="006549B3" w:rsidRDefault="00AB1DA8" w:rsidP="00BA2477">
            <w:pPr>
              <w:spacing w:line="276" w:lineRule="auto"/>
              <w:rPr>
                <w:rFonts w:ascii="Arial" w:hAnsi="Arial" w:cs="Arial"/>
                <w:color w:val="000000"/>
                <w:sz w:val="18"/>
                <w:szCs w:val="18"/>
              </w:rPr>
            </w:pPr>
            <w:r w:rsidRPr="006549B3">
              <w:rPr>
                <w:rFonts w:ascii="Arial" w:hAnsi="Arial" w:cs="Arial"/>
                <w:color w:val="000000"/>
                <w:sz w:val="18"/>
                <w:szCs w:val="18"/>
              </w:rPr>
              <w:t>&gt;23 - 35</w:t>
            </w:r>
          </w:p>
        </w:tc>
        <w:tc>
          <w:tcPr>
            <w:tcW w:w="2880" w:type="dxa"/>
            <w:vAlign w:val="center"/>
          </w:tcPr>
          <w:p w:rsidR="00AB1DA8" w:rsidRPr="006549B3" w:rsidRDefault="00AB1DA8" w:rsidP="00BA2477">
            <w:pPr>
              <w:spacing w:line="276" w:lineRule="auto"/>
              <w:rPr>
                <w:rFonts w:ascii="Arial" w:hAnsi="Arial" w:cs="Arial"/>
                <w:color w:val="000000"/>
                <w:sz w:val="18"/>
                <w:szCs w:val="18"/>
              </w:rPr>
            </w:pPr>
            <w:r w:rsidRPr="006549B3">
              <w:rPr>
                <w:rFonts w:ascii="Arial" w:hAnsi="Arial" w:cs="Arial"/>
                <w:color w:val="000000"/>
                <w:sz w:val="18"/>
                <w:szCs w:val="18"/>
              </w:rPr>
              <w:t>&gt;32 - 44</w:t>
            </w:r>
          </w:p>
        </w:tc>
      </w:tr>
      <w:tr w:rsidR="00AB1DA8" w:rsidRPr="006549B3" w:rsidTr="00BA2477">
        <w:trPr>
          <w:trHeight w:val="350"/>
        </w:trPr>
        <w:tc>
          <w:tcPr>
            <w:tcW w:w="3258" w:type="dxa"/>
          </w:tcPr>
          <w:p w:rsidR="00AB1DA8" w:rsidRPr="006549B3" w:rsidRDefault="00AB1DA8" w:rsidP="00BA2477">
            <w:pPr>
              <w:spacing w:line="276" w:lineRule="auto"/>
              <w:ind w:firstLine="360"/>
              <w:rPr>
                <w:rFonts w:ascii="Arial" w:hAnsi="Arial" w:cs="Arial"/>
                <w:sz w:val="18"/>
                <w:szCs w:val="18"/>
              </w:rPr>
            </w:pPr>
            <w:r w:rsidRPr="006549B3">
              <w:rPr>
                <w:rFonts w:ascii="Arial" w:hAnsi="Arial" w:cs="Arial"/>
                <w:sz w:val="18"/>
                <w:szCs w:val="18"/>
              </w:rPr>
              <w:t xml:space="preserve">Low </w:t>
            </w:r>
          </w:p>
        </w:tc>
        <w:tc>
          <w:tcPr>
            <w:tcW w:w="2880" w:type="dxa"/>
            <w:vAlign w:val="center"/>
          </w:tcPr>
          <w:p w:rsidR="00AB1DA8" w:rsidRPr="006549B3" w:rsidRDefault="00AB1DA8" w:rsidP="00BA2477">
            <w:pPr>
              <w:spacing w:line="276" w:lineRule="auto"/>
              <w:rPr>
                <w:rFonts w:ascii="Arial" w:hAnsi="Arial" w:cs="Arial"/>
                <w:color w:val="000000"/>
                <w:sz w:val="18"/>
                <w:szCs w:val="18"/>
              </w:rPr>
            </w:pPr>
            <w:r w:rsidRPr="006549B3">
              <w:rPr>
                <w:rFonts w:ascii="Arial" w:hAnsi="Arial" w:cs="Arial"/>
                <w:color w:val="000000"/>
                <w:sz w:val="18"/>
                <w:szCs w:val="18"/>
              </w:rPr>
              <w:t>&gt;35 - 51</w:t>
            </w:r>
          </w:p>
        </w:tc>
        <w:tc>
          <w:tcPr>
            <w:tcW w:w="2880" w:type="dxa"/>
            <w:vAlign w:val="center"/>
          </w:tcPr>
          <w:p w:rsidR="00AB1DA8" w:rsidRPr="006549B3" w:rsidRDefault="00AB1DA8" w:rsidP="00BA2477">
            <w:pPr>
              <w:spacing w:line="276" w:lineRule="auto"/>
              <w:rPr>
                <w:rFonts w:ascii="Arial" w:hAnsi="Arial" w:cs="Arial"/>
                <w:color w:val="000000"/>
                <w:sz w:val="18"/>
                <w:szCs w:val="18"/>
              </w:rPr>
            </w:pPr>
            <w:r w:rsidRPr="006549B3">
              <w:rPr>
                <w:rFonts w:ascii="Arial" w:hAnsi="Arial" w:cs="Arial"/>
                <w:color w:val="000000"/>
                <w:sz w:val="18"/>
                <w:szCs w:val="18"/>
              </w:rPr>
              <w:t xml:space="preserve">&gt;44 - 58 </w:t>
            </w:r>
          </w:p>
        </w:tc>
      </w:tr>
      <w:tr w:rsidR="00AB1DA8" w:rsidRPr="006549B3" w:rsidTr="00BA2477">
        <w:trPr>
          <w:trHeight w:val="350"/>
        </w:trPr>
        <w:tc>
          <w:tcPr>
            <w:tcW w:w="3258" w:type="dxa"/>
            <w:tcBorders>
              <w:bottom w:val="single" w:sz="4" w:space="0" w:color="auto"/>
            </w:tcBorders>
          </w:tcPr>
          <w:p w:rsidR="00AB1DA8" w:rsidRPr="006549B3" w:rsidRDefault="00AB1DA8" w:rsidP="00BA2477">
            <w:pPr>
              <w:spacing w:line="276" w:lineRule="auto"/>
              <w:ind w:firstLine="360"/>
              <w:rPr>
                <w:rFonts w:ascii="Arial" w:hAnsi="Arial" w:cs="Arial"/>
                <w:sz w:val="18"/>
                <w:szCs w:val="18"/>
              </w:rPr>
            </w:pPr>
            <w:r w:rsidRPr="006549B3">
              <w:rPr>
                <w:rFonts w:ascii="Arial" w:hAnsi="Arial" w:cs="Arial"/>
                <w:sz w:val="18"/>
                <w:szCs w:val="18"/>
              </w:rPr>
              <w:t xml:space="preserve">Very Low </w:t>
            </w:r>
          </w:p>
        </w:tc>
        <w:tc>
          <w:tcPr>
            <w:tcW w:w="2880" w:type="dxa"/>
            <w:tcBorders>
              <w:bottom w:val="single" w:sz="4" w:space="0" w:color="auto"/>
            </w:tcBorders>
            <w:vAlign w:val="center"/>
          </w:tcPr>
          <w:p w:rsidR="00AB1DA8" w:rsidRPr="006549B3" w:rsidRDefault="00AB1DA8" w:rsidP="00BA2477">
            <w:pPr>
              <w:spacing w:line="276" w:lineRule="auto"/>
              <w:rPr>
                <w:rFonts w:ascii="Arial" w:hAnsi="Arial" w:cs="Arial"/>
                <w:color w:val="000000"/>
                <w:sz w:val="18"/>
                <w:szCs w:val="18"/>
              </w:rPr>
            </w:pPr>
            <w:r w:rsidRPr="006549B3">
              <w:rPr>
                <w:rFonts w:ascii="Arial" w:hAnsi="Arial" w:cs="Arial"/>
                <w:color w:val="000000"/>
                <w:sz w:val="18"/>
                <w:szCs w:val="18"/>
              </w:rPr>
              <w:t>&gt;51</w:t>
            </w:r>
          </w:p>
        </w:tc>
        <w:tc>
          <w:tcPr>
            <w:tcW w:w="2880" w:type="dxa"/>
            <w:tcBorders>
              <w:bottom w:val="single" w:sz="4" w:space="0" w:color="auto"/>
            </w:tcBorders>
            <w:vAlign w:val="center"/>
          </w:tcPr>
          <w:p w:rsidR="00AB1DA8" w:rsidRPr="006549B3" w:rsidRDefault="00AB1DA8" w:rsidP="00BA2477">
            <w:pPr>
              <w:spacing w:line="276" w:lineRule="auto"/>
              <w:rPr>
                <w:rFonts w:ascii="Arial" w:hAnsi="Arial" w:cs="Arial"/>
                <w:color w:val="000000"/>
                <w:sz w:val="18"/>
                <w:szCs w:val="18"/>
              </w:rPr>
            </w:pPr>
            <w:r w:rsidRPr="006549B3">
              <w:rPr>
                <w:rFonts w:ascii="Arial" w:hAnsi="Arial" w:cs="Arial"/>
                <w:color w:val="000000"/>
                <w:sz w:val="18"/>
                <w:szCs w:val="18"/>
              </w:rPr>
              <w:t>&gt;58</w:t>
            </w:r>
          </w:p>
        </w:tc>
      </w:tr>
    </w:tbl>
    <w:p w:rsidR="00AB1DA8" w:rsidRDefault="00AB1DA8" w:rsidP="00AB1DA8">
      <w:pPr>
        <w:spacing w:line="276" w:lineRule="auto"/>
        <w:rPr>
          <w:rFonts w:asciiTheme="minorHAnsi" w:hAnsiTheme="minorHAnsi"/>
        </w:rPr>
      </w:pPr>
    </w:p>
    <w:p w:rsidR="0059573E" w:rsidRPr="0059573E" w:rsidRDefault="0059573E">
      <w:r w:rsidRPr="0059573E">
        <w:t xml:space="preserve">In South Bay, </w:t>
      </w:r>
      <w:proofErr w:type="spellStart"/>
      <w:r w:rsidRPr="0059573E">
        <w:t>quantile</w:t>
      </w:r>
      <w:proofErr w:type="spellEnd"/>
      <w:r w:rsidRPr="0059573E">
        <w:t xml:space="preserve"> regression results </w:t>
      </w:r>
      <w:r w:rsidR="00307AAB">
        <w:t xml:space="preserve">provided in Appendix </w:t>
      </w:r>
      <w:r w:rsidR="00B32938">
        <w:t>C</w:t>
      </w:r>
      <w:r w:rsidR="00307AAB">
        <w:t xml:space="preserve"> </w:t>
      </w:r>
      <w:r w:rsidRPr="0059573E">
        <w:t xml:space="preserve">suggest that a </w:t>
      </w:r>
      <w:r w:rsidRPr="00E3396F">
        <w:t>February</w:t>
      </w:r>
      <w:r w:rsidR="00A87DFA">
        <w:t xml:space="preserve"> to </w:t>
      </w:r>
      <w:r w:rsidR="00246B12">
        <w:t>September</w:t>
      </w:r>
      <w:r w:rsidRPr="0059573E">
        <w:t xml:space="preserve"> mean chlorophyll-a of 13-16 mg m</w:t>
      </w:r>
      <w:r w:rsidRPr="00307AAB">
        <w:rPr>
          <w:vertAlign w:val="superscript"/>
        </w:rPr>
        <w:t>-3</w:t>
      </w:r>
      <w:r w:rsidRPr="0059573E">
        <w:t xml:space="preserve"> is “protective” of the </w:t>
      </w:r>
      <w:r w:rsidR="00A87DFA">
        <w:t>three</w:t>
      </w:r>
      <w:r w:rsidRPr="0059573E">
        <w:t>-month median DO percent saturation WQO</w:t>
      </w:r>
      <w:r w:rsidR="00520DB0">
        <w:t xml:space="preserve"> (80% or ~7 mg L</w:t>
      </w:r>
      <w:r w:rsidR="00520DB0" w:rsidRPr="00520DB0">
        <w:rPr>
          <w:vertAlign w:val="superscript"/>
        </w:rPr>
        <w:t>-1</w:t>
      </w:r>
      <w:r w:rsidR="00520DB0">
        <w:t xml:space="preserve"> at summertime mean temperature and salinity in South SFB)</w:t>
      </w:r>
      <w:r w:rsidRPr="0059573E">
        <w:t xml:space="preserve">. </w:t>
      </w:r>
      <w:r w:rsidR="00E47638">
        <w:t>A</w:t>
      </w:r>
      <w:r w:rsidR="00520DB0" w:rsidRPr="00520DB0">
        <w:t>t a February</w:t>
      </w:r>
      <w:r w:rsidR="001353E6">
        <w:t>-</w:t>
      </w:r>
      <w:r w:rsidR="00246B12">
        <w:t>September</w:t>
      </w:r>
      <w:r w:rsidR="00520DB0" w:rsidRPr="00520DB0">
        <w:t xml:space="preserve"> mean of </w:t>
      </w:r>
      <w:r w:rsidR="00246B12">
        <w:t>13</w:t>
      </w:r>
      <w:r w:rsidR="00520DB0" w:rsidRPr="00520DB0">
        <w:t xml:space="preserve"> mg m</w:t>
      </w:r>
      <w:r w:rsidR="00520DB0" w:rsidRPr="00307AAB">
        <w:rPr>
          <w:vertAlign w:val="superscript"/>
        </w:rPr>
        <w:t>-3</w:t>
      </w:r>
      <w:r w:rsidR="00520DB0" w:rsidRPr="00520DB0">
        <w:t>, 90% of the DO is predicted to be above 7 mg L</w:t>
      </w:r>
      <w:r w:rsidR="00520DB0" w:rsidRPr="00520DB0">
        <w:rPr>
          <w:vertAlign w:val="superscript"/>
        </w:rPr>
        <w:t>-1</w:t>
      </w:r>
      <w:r w:rsidR="00520DB0" w:rsidRPr="00520DB0">
        <w:t>, while at 42 mg m</w:t>
      </w:r>
      <w:r w:rsidR="00520DB0" w:rsidRPr="00520DB0">
        <w:rPr>
          <w:vertAlign w:val="superscript"/>
        </w:rPr>
        <w:t>-3</w:t>
      </w:r>
      <w:r w:rsidR="00520DB0" w:rsidRPr="00520DB0">
        <w:t>, 90% of the DO is predicted to be above 5.0 mg L</w:t>
      </w:r>
      <w:r w:rsidR="00520DB0" w:rsidRPr="00520DB0">
        <w:rPr>
          <w:vertAlign w:val="superscript"/>
        </w:rPr>
        <w:t>-1</w:t>
      </w:r>
      <w:r w:rsidR="00520DB0" w:rsidRPr="00520DB0">
        <w:t xml:space="preserve"> (</w:t>
      </w:r>
      <w:r w:rsidR="00520DB0">
        <w:t xml:space="preserve">Appendix </w:t>
      </w:r>
      <w:r w:rsidR="00B32938">
        <w:t>C</w:t>
      </w:r>
      <w:r w:rsidR="00685F51">
        <w:t>: Table 2</w:t>
      </w:r>
      <w:r w:rsidR="00520DB0" w:rsidRPr="00520DB0">
        <w:t xml:space="preserve">). </w:t>
      </w:r>
      <w:r w:rsidR="00520DB0">
        <w:t>N</w:t>
      </w:r>
      <w:r w:rsidR="00520DB0" w:rsidRPr="00520DB0">
        <w:t>inety-five percent of the February-</w:t>
      </w:r>
      <w:r w:rsidR="00246B12">
        <w:t>September</w:t>
      </w:r>
      <w:r w:rsidR="00520DB0" w:rsidRPr="00520DB0">
        <w:t xml:space="preserve"> mean chlorophyll-a measured at South Bay sites over the 20-year record is below 14 mg m</w:t>
      </w:r>
      <w:r w:rsidR="00520DB0" w:rsidRPr="00520DB0">
        <w:rPr>
          <w:vertAlign w:val="superscript"/>
        </w:rPr>
        <w:t>-3</w:t>
      </w:r>
      <w:r w:rsidR="00520DB0">
        <w:t xml:space="preserve"> (</w:t>
      </w:r>
      <w:r w:rsidR="00E47638">
        <w:t>Appendix C</w:t>
      </w:r>
      <w:r w:rsidR="00D903BC">
        <w:t xml:space="preserve">: </w:t>
      </w:r>
      <w:r w:rsidR="00520DB0">
        <w:t xml:space="preserve">Figure A4), </w:t>
      </w:r>
      <w:r w:rsidRPr="0059573E">
        <w:t xml:space="preserve">reflecting the fact that primary production in combination with physics in the deep channel habitat of South Bay promotes largely </w:t>
      </w:r>
      <w:proofErr w:type="spellStart"/>
      <w:r w:rsidRPr="0059573E">
        <w:t>normoxic</w:t>
      </w:r>
      <w:proofErr w:type="spellEnd"/>
      <w:r w:rsidRPr="0059573E">
        <w:t xml:space="preserve"> conditions</w:t>
      </w:r>
      <w:r w:rsidR="00A87DFA">
        <w:t xml:space="preserve"> –</w:t>
      </w:r>
      <w:r w:rsidRPr="0059573E">
        <w:t xml:space="preserve"> greatly improved from the periods of hypoxia recorded prior to implementing advanced wastewater treatment in the 1970s (</w:t>
      </w:r>
      <w:proofErr w:type="spellStart"/>
      <w:r w:rsidRPr="0059573E">
        <w:t>Cloern</w:t>
      </w:r>
      <w:proofErr w:type="spellEnd"/>
      <w:r w:rsidRPr="0059573E">
        <w:t xml:space="preserve"> and </w:t>
      </w:r>
      <w:proofErr w:type="spellStart"/>
      <w:r w:rsidRPr="0059573E">
        <w:t>Jassby</w:t>
      </w:r>
      <w:proofErr w:type="spellEnd"/>
      <w:r w:rsidRPr="0059573E">
        <w:t xml:space="preserve">, 2012). </w:t>
      </w:r>
      <w:r w:rsidR="00520DB0">
        <w:t xml:space="preserve">Uncertainty in this classification is low (see 95% confidence intervals, </w:t>
      </w:r>
      <w:r w:rsidR="00E47638">
        <w:t>Appendix C</w:t>
      </w:r>
      <w:r w:rsidR="00A87DFA">
        <w:t xml:space="preserve">: </w:t>
      </w:r>
      <w:r w:rsidR="00520DB0">
        <w:t xml:space="preserve">Table </w:t>
      </w:r>
      <w:r w:rsidR="00AB1DA8">
        <w:t>2</w:t>
      </w:r>
      <w:r w:rsidR="00520DB0">
        <w:t xml:space="preserve">), given the significance of the </w:t>
      </w:r>
      <w:proofErr w:type="spellStart"/>
      <w:r w:rsidR="00520DB0">
        <w:t>quantile</w:t>
      </w:r>
      <w:proofErr w:type="spellEnd"/>
      <w:r w:rsidR="00520DB0">
        <w:t xml:space="preserve"> regression.</w:t>
      </w:r>
      <w:r w:rsidR="00307AAB">
        <w:t xml:space="preserve"> However, we note that existing data were limited to ship-based data that do not capture a </w:t>
      </w:r>
      <w:proofErr w:type="spellStart"/>
      <w:r w:rsidR="00307AAB">
        <w:t>diel</w:t>
      </w:r>
      <w:proofErr w:type="spellEnd"/>
      <w:r w:rsidR="00307AAB">
        <w:t xml:space="preserve"> curve, contributing to uncertainty that existing relationship </w:t>
      </w:r>
      <w:r w:rsidR="00246B12">
        <w:t>does not capture true DO minima. Th</w:t>
      </w:r>
      <w:r w:rsidR="009D1F66">
        <w:t>e</w:t>
      </w:r>
      <w:r w:rsidR="00246B12">
        <w:t>s</w:t>
      </w:r>
      <w:r w:rsidR="009D1F66">
        <w:t>e</w:t>
      </w:r>
      <w:r w:rsidR="00246B12">
        <w:t xml:space="preserve"> </w:t>
      </w:r>
      <w:r w:rsidR="00E3396F">
        <w:t>analyses</w:t>
      </w:r>
      <w:r w:rsidR="00246B12">
        <w:t xml:space="preserve"> should be repeated with continuous DO data that better characterizes physical and biological exchanges </w:t>
      </w:r>
      <w:r w:rsidR="00246B12">
        <w:lastRenderedPageBreak/>
        <w:t xml:space="preserve">with the shallow water margin habitat. </w:t>
      </w:r>
      <w:r w:rsidR="000961C8">
        <w:t xml:space="preserve"> Such data do not exist and we recommend that they be collected. </w:t>
      </w:r>
    </w:p>
    <w:p w:rsidR="00FC2B10" w:rsidRDefault="00FC2B10" w:rsidP="00BF2D86">
      <w:pPr>
        <w:spacing w:line="276" w:lineRule="auto"/>
        <w:rPr>
          <w:rFonts w:asciiTheme="minorHAnsi" w:hAnsiTheme="minorHAnsi"/>
        </w:rPr>
      </w:pPr>
    </w:p>
    <w:p w:rsidR="0059573E" w:rsidRDefault="00307AAB">
      <w:r w:rsidRPr="008352C2">
        <w:t xml:space="preserve">CPA and </w:t>
      </w:r>
      <w:proofErr w:type="spellStart"/>
      <w:r w:rsidRPr="008352C2">
        <w:t>quantile</w:t>
      </w:r>
      <w:proofErr w:type="spellEnd"/>
      <w:r w:rsidRPr="008352C2">
        <w:t xml:space="preserve"> regressions were also used to support </w:t>
      </w:r>
      <w:proofErr w:type="gramStart"/>
      <w:r w:rsidRPr="008352C2">
        <w:t>a chlorophyll</w:t>
      </w:r>
      <w:proofErr w:type="gramEnd"/>
      <w:r w:rsidRPr="008352C2">
        <w:t>-a classification scheme for Lower South Bay, albeit with more uncertainty than for South Bay</w:t>
      </w:r>
      <w:r w:rsidR="0049630C" w:rsidRPr="008352C2">
        <w:t>.</w:t>
      </w:r>
      <w:r w:rsidRPr="008352C2">
        <w:t xml:space="preserve"> </w:t>
      </w:r>
      <w:r w:rsidR="008352C2" w:rsidRPr="008352C2">
        <w:t xml:space="preserve">The reasons for this greater uncertainty are two-fold. </w:t>
      </w:r>
      <w:r w:rsidR="0059573E" w:rsidRPr="008352C2">
        <w:t xml:space="preserve">First, </w:t>
      </w:r>
      <w:r w:rsidR="0049630C" w:rsidRPr="008352C2">
        <w:t>biological and</w:t>
      </w:r>
      <w:r w:rsidR="0049630C">
        <w:t xml:space="preserve"> physical exchanges between Lower South Bay and the adjacent shallow margin habitats are unquantified.</w:t>
      </w:r>
      <w:r w:rsidR="00D72900">
        <w:t xml:space="preserve"> </w:t>
      </w:r>
      <w:r w:rsidR="0049630C">
        <w:t>W</w:t>
      </w:r>
      <w:r w:rsidR="0059573E" w:rsidRPr="0059573E">
        <w:t xml:space="preserve">hile CPA analyses could only be used to suggest a threshold in which the </w:t>
      </w:r>
      <w:proofErr w:type="spellStart"/>
      <w:r w:rsidR="0059573E" w:rsidRPr="0059573E">
        <w:t>subembayment</w:t>
      </w:r>
      <w:proofErr w:type="spellEnd"/>
      <w:r w:rsidR="0059573E" w:rsidRPr="0059573E">
        <w:t xml:space="preserve"> is “at risk” of falling below the 80% percent saturation WQO (~13 mg m</w:t>
      </w:r>
      <w:r w:rsidR="0059573E" w:rsidRPr="00520DB0">
        <w:rPr>
          <w:vertAlign w:val="superscript"/>
        </w:rPr>
        <w:t>-3</w:t>
      </w:r>
      <w:r w:rsidR="0059573E" w:rsidRPr="0059573E">
        <w:t xml:space="preserve">), neither CPA nor </w:t>
      </w:r>
      <w:proofErr w:type="spellStart"/>
      <w:r w:rsidR="0059573E" w:rsidRPr="0059573E">
        <w:t>quantile</w:t>
      </w:r>
      <w:proofErr w:type="spellEnd"/>
      <w:r w:rsidR="0059573E" w:rsidRPr="0059573E">
        <w:t xml:space="preserve"> regression could be used to derive a chlorophyll-a value that would be “protective” of the percent saturation WQO. It is likely that an additional source of DO water &lt; 80% saturation (from either the tidal slough or restored salt ponds) is exchanging with Lower South Bay deep channel habitat. These margin habitats have been documented to routinely fall below 5 mg L</w:t>
      </w:r>
      <w:r w:rsidR="0059573E" w:rsidRPr="00520DB0">
        <w:rPr>
          <w:vertAlign w:val="superscript"/>
        </w:rPr>
        <w:t>-1</w:t>
      </w:r>
      <w:r w:rsidR="0059573E" w:rsidRPr="0059573E">
        <w:t xml:space="preserve"> DO</w:t>
      </w:r>
      <w:r w:rsidR="0049630C">
        <w:t xml:space="preserve"> on </w:t>
      </w:r>
      <w:proofErr w:type="spellStart"/>
      <w:r w:rsidR="0049630C">
        <w:t>diel</w:t>
      </w:r>
      <w:proofErr w:type="spellEnd"/>
      <w:r w:rsidR="0049630C">
        <w:t xml:space="preserve"> timescales</w:t>
      </w:r>
      <w:r w:rsidR="0059573E" w:rsidRPr="0059573E">
        <w:t xml:space="preserve"> (</w:t>
      </w:r>
      <w:proofErr w:type="spellStart"/>
      <w:r w:rsidR="0059573E" w:rsidRPr="0059573E">
        <w:t>Thebault</w:t>
      </w:r>
      <w:proofErr w:type="spellEnd"/>
      <w:r w:rsidR="0059573E" w:rsidRPr="0059573E">
        <w:t xml:space="preserve"> et al, 2008; </w:t>
      </w:r>
      <w:proofErr w:type="spellStart"/>
      <w:r w:rsidR="0059573E" w:rsidRPr="0059573E">
        <w:t>Shellenbarger</w:t>
      </w:r>
      <w:proofErr w:type="spellEnd"/>
      <w:r w:rsidR="0059573E" w:rsidRPr="0059573E">
        <w:t xml:space="preserve"> et al, 2008, SFEI 2014</w:t>
      </w:r>
      <w:r w:rsidR="004D659D">
        <w:t>a</w:t>
      </w:r>
      <w:r w:rsidR="0059573E" w:rsidRPr="0059573E">
        <w:t>). Considering that these intertidal habitats rich in organic carbon may have natural sources of low DO water, the expectations for DO in these habitats and their physical and biological exchanges with Lower South Bay need to be considered in setting appropriate expectations for Lower South Bay deep channel habitat</w:t>
      </w:r>
      <w:r w:rsidR="0049630C">
        <w:t xml:space="preserve"> (</w:t>
      </w:r>
      <w:proofErr w:type="spellStart"/>
      <w:r w:rsidR="0049630C">
        <w:t>Sutula</w:t>
      </w:r>
      <w:proofErr w:type="spellEnd"/>
      <w:r w:rsidR="0049630C">
        <w:t xml:space="preserve"> et al. 2012, </w:t>
      </w:r>
      <w:r w:rsidR="00FC2B10">
        <w:t>Bailey</w:t>
      </w:r>
      <w:r w:rsidR="0049630C">
        <w:t xml:space="preserve"> et al. 2014)</w:t>
      </w:r>
      <w:r w:rsidR="0059573E" w:rsidRPr="0059573E">
        <w:t xml:space="preserve">. Second, it is noteworthy that while these data show that Lower South Bay is meeting the 3-month median DO saturation objective </w:t>
      </w:r>
      <w:r w:rsidR="00A6157F">
        <w:t xml:space="preserve">only </w:t>
      </w:r>
      <w:r w:rsidR="0059573E" w:rsidRPr="0059573E">
        <w:t>72% of the time, it is above 5 mg L</w:t>
      </w:r>
      <w:r w:rsidR="0059573E" w:rsidRPr="00520DB0">
        <w:rPr>
          <w:vertAlign w:val="superscript"/>
        </w:rPr>
        <w:t>-1</w:t>
      </w:r>
      <w:r w:rsidR="0059573E" w:rsidRPr="0059573E">
        <w:t xml:space="preserve"> 97% and above 5.7 mg L</w:t>
      </w:r>
      <w:r w:rsidR="0059573E" w:rsidRPr="00520DB0">
        <w:rPr>
          <w:vertAlign w:val="superscript"/>
        </w:rPr>
        <w:t>-1</w:t>
      </w:r>
      <w:r w:rsidR="0059573E" w:rsidRPr="0059573E">
        <w:t xml:space="preserve"> 90% of the time over the past 20 years</w:t>
      </w:r>
      <w:r w:rsidR="006C4345">
        <w:t>, with 9</w:t>
      </w:r>
      <w:r w:rsidR="000B606E">
        <w:t>5</w:t>
      </w:r>
      <w:r w:rsidR="006C4345">
        <w:t xml:space="preserve">% of the February </w:t>
      </w:r>
      <w:r w:rsidR="00A87DFA">
        <w:t xml:space="preserve">to </w:t>
      </w:r>
      <w:r w:rsidR="006C4345">
        <w:t xml:space="preserve">September mean chlorophyll-a less than </w:t>
      </w:r>
      <w:r w:rsidR="000B606E">
        <w:t>25</w:t>
      </w:r>
      <w:r w:rsidR="006C4345">
        <w:t xml:space="preserve"> mg m</w:t>
      </w:r>
      <w:r w:rsidR="006C4345" w:rsidRPr="006C4345">
        <w:rPr>
          <w:vertAlign w:val="superscript"/>
        </w:rPr>
        <w:t>-3</w:t>
      </w:r>
      <w:r w:rsidR="006C4345">
        <w:t>.</w:t>
      </w:r>
      <w:r w:rsidR="00D72900">
        <w:t xml:space="preserve"> </w:t>
      </w:r>
      <w:r w:rsidR="0059573E" w:rsidRPr="0059573E">
        <w:t>Best et al. (2007) have proposed &gt; 5.7 mg L</w:t>
      </w:r>
      <w:r w:rsidR="0059573E" w:rsidRPr="00520DB0">
        <w:rPr>
          <w:vertAlign w:val="superscript"/>
        </w:rPr>
        <w:t>-1</w:t>
      </w:r>
      <w:r w:rsidR="0059573E" w:rsidRPr="0059573E">
        <w:t xml:space="preserve"> as a benchmark to represent the highest ecological condition category for estuaries assessed under the European Union Water Framework Directive</w:t>
      </w:r>
      <w:r w:rsidR="006C4345">
        <w:t>.</w:t>
      </w:r>
      <w:r w:rsidR="00D72900">
        <w:t xml:space="preserve"> </w:t>
      </w:r>
      <w:r w:rsidR="0059573E" w:rsidRPr="0059573E">
        <w:t xml:space="preserve">Given this, it </w:t>
      </w:r>
      <w:r w:rsidR="0049630C">
        <w:t>will</w:t>
      </w:r>
      <w:r w:rsidR="0059573E" w:rsidRPr="0059573E">
        <w:t xml:space="preserve"> be helpful to review the science supporting existing DO WQO</w:t>
      </w:r>
      <w:r w:rsidR="001B7024">
        <w:t>s</w:t>
      </w:r>
      <w:r w:rsidR="0059573E" w:rsidRPr="0059573E">
        <w:t xml:space="preserve"> in SFB specifically with respect to both deep wa</w:t>
      </w:r>
      <w:r w:rsidR="006C4345">
        <w:t>ter and shallow margin habitats, as is currently being done for Suisun Marsh</w:t>
      </w:r>
      <w:r w:rsidR="001B7024">
        <w:t xml:space="preserve"> as part of development of a DO TMDL</w:t>
      </w:r>
      <w:r w:rsidR="006C4345">
        <w:t xml:space="preserve"> (</w:t>
      </w:r>
      <w:r w:rsidR="00FC2B10">
        <w:t>Bailey</w:t>
      </w:r>
      <w:r w:rsidR="006C4345">
        <w:t xml:space="preserve"> et al. 2014). </w:t>
      </w:r>
    </w:p>
    <w:p w:rsidR="000B606E" w:rsidRDefault="000B606E" w:rsidP="00BF2D86">
      <w:pPr>
        <w:spacing w:line="276" w:lineRule="auto"/>
        <w:rPr>
          <w:rFonts w:asciiTheme="minorHAnsi" w:hAnsiTheme="minorHAnsi"/>
        </w:rPr>
      </w:pPr>
    </w:p>
    <w:p w:rsidR="0059573E" w:rsidRDefault="004A6EE0">
      <w:proofErr w:type="gramStart"/>
      <w:r>
        <w:rPr>
          <w:b/>
        </w:rPr>
        <w:t xml:space="preserve">Major Sources </w:t>
      </w:r>
      <w:r w:rsidRPr="004A6EE0">
        <w:rPr>
          <w:b/>
        </w:rPr>
        <w:t>of Uncertainty</w:t>
      </w:r>
      <w:r>
        <w:rPr>
          <w:b/>
        </w:rPr>
        <w:t xml:space="preserve"> in Chlorophyll-a Classification</w:t>
      </w:r>
      <w:r w:rsidRPr="004A6EE0">
        <w:rPr>
          <w:b/>
        </w:rPr>
        <w:t>.</w:t>
      </w:r>
      <w:proofErr w:type="gramEnd"/>
      <w:r>
        <w:t xml:space="preserve"> </w:t>
      </w:r>
      <w:r w:rsidR="0049630C">
        <w:t>Overall, u</w:t>
      </w:r>
      <w:r w:rsidR="0059573E">
        <w:t xml:space="preserve">ncertainty exists in this </w:t>
      </w:r>
      <w:r w:rsidR="0049630C">
        <w:t xml:space="preserve">proposed </w:t>
      </w:r>
      <w:r w:rsidR="0059573E">
        <w:t>chlorophyll-a c</w:t>
      </w:r>
      <w:r w:rsidR="0049630C">
        <w:t xml:space="preserve">lassification framework and </w:t>
      </w:r>
      <w:r w:rsidR="0059573E">
        <w:t xml:space="preserve">our ability to quantify that uncertainty is constrained. </w:t>
      </w:r>
      <w:r w:rsidR="008A32BC">
        <w:t>Five</w:t>
      </w:r>
      <w:r w:rsidR="0059573E">
        <w:t xml:space="preserve"> major types of uncertainties exist in the chlorophyll-a framework linked to HABs</w:t>
      </w:r>
      <w:r w:rsidR="000B606E">
        <w:t xml:space="preserve"> and DO</w:t>
      </w:r>
      <w:r w:rsidR="0049630C">
        <w:t xml:space="preserve"> impairment pathways</w:t>
      </w:r>
      <w:r w:rsidR="0059573E">
        <w:t xml:space="preserve">: </w:t>
      </w:r>
      <w:r w:rsidR="00A87DFA">
        <w:t>(</w:t>
      </w:r>
      <w:r w:rsidR="0059573E">
        <w:t xml:space="preserve">1) significance </w:t>
      </w:r>
      <w:r w:rsidR="00A87DFA">
        <w:t xml:space="preserve">of </w:t>
      </w:r>
      <w:r w:rsidR="0059573E">
        <w:t xml:space="preserve">the ecological and human risk of HABs in SFB, </w:t>
      </w:r>
      <w:r w:rsidR="00A87DFA">
        <w:t>(</w:t>
      </w:r>
      <w:r w:rsidR="0059573E">
        <w:t>2) linkage of chlorophyll-a to HAB cell counts</w:t>
      </w:r>
      <w:r w:rsidR="00A87DFA">
        <w:t>,</w:t>
      </w:r>
      <w:r w:rsidR="0059573E">
        <w:t xml:space="preserve"> rather than toxin concentrations</w:t>
      </w:r>
      <w:r w:rsidR="00A87DFA">
        <w:t>,</w:t>
      </w:r>
      <w:r w:rsidR="0059573E">
        <w:t xml:space="preserve"> as the foundation for the risk paradigm; SPATT toxin data were used to supplement the analyses, but the calibration of SPATT relative to particulate or mussel toxin tissues is still ongoing and should b</w:t>
      </w:r>
      <w:r w:rsidR="004D659D">
        <w:t xml:space="preserve">e a continued management focus, (3) uncertainty in the risk to aquatic life, since the HAB alert levels are focused on risk to human health rather than aquatic life, </w:t>
      </w:r>
      <w:r w:rsidR="00A87DFA">
        <w:t>(</w:t>
      </w:r>
      <w:r w:rsidR="004D659D">
        <w:t>4</w:t>
      </w:r>
      <w:r w:rsidR="0059573E">
        <w:t xml:space="preserve">) </w:t>
      </w:r>
      <w:r w:rsidR="00A87DFA">
        <w:t>un</w:t>
      </w:r>
      <w:r w:rsidR="00E81561">
        <w:t>certainty in capturing risks of chronic exposure to HAB</w:t>
      </w:r>
      <w:r w:rsidR="009D1F66">
        <w:t>s</w:t>
      </w:r>
      <w:r w:rsidR="00E81561">
        <w:t xml:space="preserve">, stemming from the fact that </w:t>
      </w:r>
      <w:r w:rsidR="0059573E">
        <w:t>alert levels are based on acute toxin exposure</w:t>
      </w:r>
      <w:r w:rsidR="000B606E">
        <w:t>,</w:t>
      </w:r>
      <w:r w:rsidR="00D72900">
        <w:t xml:space="preserve"> </w:t>
      </w:r>
      <w:r w:rsidR="00E81561">
        <w:t>(</w:t>
      </w:r>
      <w:r w:rsidR="004D659D">
        <w:t>5</w:t>
      </w:r>
      <w:r w:rsidR="000B606E">
        <w:t xml:space="preserve">) </w:t>
      </w:r>
      <w:r w:rsidR="00BA2477">
        <w:t>the underlying mechanism of the correlation between February-September chlorophyll-a and summer DO, and (</w:t>
      </w:r>
      <w:r w:rsidR="004D659D">
        <w:t>6</w:t>
      </w:r>
      <w:r w:rsidR="00BA2477">
        <w:t>) appropriate</w:t>
      </w:r>
      <w:r w:rsidR="0087597C">
        <w:t xml:space="preserve"> DO expectations for shallow water margins, tidal sloughs and intertidal wetland habitat</w:t>
      </w:r>
      <w:r w:rsidR="00BA2477">
        <w:t>, and portions of the SFB open water habitat that are strongly linked to the margins (e.g. LSB).</w:t>
      </w:r>
      <w:r w:rsidR="00D72900">
        <w:t xml:space="preserve"> </w:t>
      </w:r>
    </w:p>
    <w:p w:rsidR="00BA2477" w:rsidRDefault="00BA2477"/>
    <w:p w:rsidR="008A32BC" w:rsidRDefault="00BA2477" w:rsidP="00BA2477">
      <w:r>
        <w:t>Our classification tables for chlorophyll-</w:t>
      </w:r>
      <w:proofErr w:type="gramStart"/>
      <w:r>
        <w:t>a</w:t>
      </w:r>
      <w:proofErr w:type="gramEnd"/>
      <w:r>
        <w:t xml:space="preserve"> are somewhat distinct from the other indicators in that they rely on relationships with other SFB attributes (e.g. HAB abundance and DO). </w:t>
      </w:r>
      <w:r w:rsidRPr="00BA2477">
        <w:t xml:space="preserve">We know from other long-term observational programs that changes can also include shifts in the efficiency with which nutrients are assimilated into algal biomass (Riemann et al. 2015). SFB’s </w:t>
      </w:r>
      <w:r w:rsidRPr="00BA2477">
        <w:lastRenderedPageBreak/>
        <w:t xml:space="preserve">high nutrient concentrations imply a potential to produce phytoplankton biomass at levels that impair water quality. To illustrate this point we computed median concentrations of dissolved inorganic nitrogen (DIN) and </w:t>
      </w:r>
      <w:proofErr w:type="spellStart"/>
      <w:r w:rsidRPr="00BA2477">
        <w:t>chl</w:t>
      </w:r>
      <w:proofErr w:type="spellEnd"/>
      <w:r w:rsidRPr="00BA2477">
        <w:t>-</w:t>
      </w:r>
      <w:proofErr w:type="gramStart"/>
      <w:r w:rsidRPr="00BA2477">
        <w:t>a</w:t>
      </w:r>
      <w:proofErr w:type="gramEnd"/>
      <w:r w:rsidRPr="00BA2477">
        <w:t xml:space="preserve"> a across four </w:t>
      </w:r>
      <w:proofErr w:type="spellStart"/>
      <w:r w:rsidR="00353722">
        <w:t>subembayment</w:t>
      </w:r>
      <w:r w:rsidRPr="00BA2477">
        <w:t>s</w:t>
      </w:r>
      <w:proofErr w:type="spellEnd"/>
      <w:r w:rsidRPr="00BA2477">
        <w:t xml:space="preserve"> of the estuary (</w:t>
      </w:r>
      <w:r>
        <w:t xml:space="preserve">Appendix C: </w:t>
      </w:r>
      <w:r w:rsidRPr="00BA2477">
        <w:t xml:space="preserve">Table 3). We then computed potential </w:t>
      </w:r>
      <w:proofErr w:type="spellStart"/>
      <w:r w:rsidRPr="00BA2477">
        <w:t>chl</w:t>
      </w:r>
      <w:proofErr w:type="spellEnd"/>
      <w:r w:rsidRPr="00BA2477">
        <w:t xml:space="preserve">-a as the sum of measured </w:t>
      </w:r>
      <w:proofErr w:type="spellStart"/>
      <w:r w:rsidRPr="00BA2477">
        <w:t>chl</w:t>
      </w:r>
      <w:proofErr w:type="spellEnd"/>
      <w:r w:rsidRPr="00BA2477">
        <w:t xml:space="preserve">-a plus the quantity of </w:t>
      </w:r>
      <w:proofErr w:type="spellStart"/>
      <w:r w:rsidRPr="00BA2477">
        <w:t>chl</w:t>
      </w:r>
      <w:proofErr w:type="spellEnd"/>
      <w:r w:rsidRPr="00BA2477">
        <w:t xml:space="preserve">-a that could be produced if all remaining DIN was assimilated into phytoplankton biomass, assuming a conversion factor of 1 g </w:t>
      </w:r>
      <w:proofErr w:type="spellStart"/>
      <w:r w:rsidRPr="00BA2477">
        <w:t>chl</w:t>
      </w:r>
      <w:proofErr w:type="spellEnd"/>
      <w:r w:rsidRPr="00BA2477">
        <w:t xml:space="preserve">-a per </w:t>
      </w:r>
      <w:proofErr w:type="spellStart"/>
      <w:r w:rsidRPr="00BA2477">
        <w:t>mol</w:t>
      </w:r>
      <w:proofErr w:type="spellEnd"/>
      <w:r w:rsidRPr="00BA2477">
        <w:t xml:space="preserve"> N (</w:t>
      </w:r>
      <w:proofErr w:type="spellStart"/>
      <w:r w:rsidRPr="00BA2477">
        <w:t>Eppley</w:t>
      </w:r>
      <w:proofErr w:type="spellEnd"/>
      <w:r w:rsidRPr="00BA2477">
        <w:t xml:space="preserve"> et al. 1971). If this potential is realized then the median </w:t>
      </w:r>
      <w:proofErr w:type="spellStart"/>
      <w:r w:rsidRPr="00BA2477">
        <w:t>chl</w:t>
      </w:r>
      <w:proofErr w:type="spellEnd"/>
      <w:r w:rsidRPr="00BA2477">
        <w:t xml:space="preserve">-a concentrations in all Bay </w:t>
      </w:r>
      <w:proofErr w:type="spellStart"/>
      <w:r w:rsidR="00353722">
        <w:t>subembayment</w:t>
      </w:r>
      <w:r w:rsidRPr="00BA2477">
        <w:t>s</w:t>
      </w:r>
      <w:proofErr w:type="spellEnd"/>
      <w:r w:rsidRPr="00BA2477">
        <w:t xml:space="preserve"> would increase by an order of magnitude. Given the uncertainty in SFB’s trajectory amidst global change, it is this potential for high biomass production that motivates establishment of </w:t>
      </w:r>
      <w:proofErr w:type="spellStart"/>
      <w:r w:rsidRPr="00BA2477">
        <w:t>chl</w:t>
      </w:r>
      <w:proofErr w:type="spellEnd"/>
      <w:r w:rsidRPr="00BA2477">
        <w:t>-</w:t>
      </w:r>
      <w:proofErr w:type="gramStart"/>
      <w:r w:rsidRPr="00BA2477">
        <w:t>a thresholds</w:t>
      </w:r>
      <w:proofErr w:type="gramEnd"/>
      <w:r w:rsidRPr="00BA2477">
        <w:t xml:space="preserve"> to support nutrient management in SFB.  Though we like to think of these relationships as fixed, in reality, these </w:t>
      </w:r>
      <w:proofErr w:type="spellStart"/>
      <w:r w:rsidRPr="00BA2477">
        <w:t>chl</w:t>
      </w:r>
      <w:proofErr w:type="spellEnd"/>
      <w:r w:rsidRPr="00BA2477">
        <w:t xml:space="preserve">-a thresholds can change as fundamental drivers such as oceanic exchange, top-down grazing, light limitation, etc. that control the nature of the relationship between </w:t>
      </w:r>
      <w:proofErr w:type="spellStart"/>
      <w:r w:rsidRPr="00BA2477">
        <w:t>chl</w:t>
      </w:r>
      <w:proofErr w:type="spellEnd"/>
      <w:r w:rsidRPr="00BA2477">
        <w:t>-a, HAB cell density and DO can change with climate variability and climate change, (</w:t>
      </w:r>
      <w:proofErr w:type="spellStart"/>
      <w:r w:rsidRPr="00BA2477">
        <w:t>Cloern</w:t>
      </w:r>
      <w:proofErr w:type="spellEnd"/>
      <w:r w:rsidRPr="00BA2477">
        <w:t xml:space="preserve"> et al. 2014, Riemann et al. 2015).</w:t>
      </w:r>
      <w:r>
        <w:t xml:space="preserve"> </w:t>
      </w:r>
    </w:p>
    <w:p w:rsidR="008A32BC" w:rsidRDefault="008A32BC" w:rsidP="00BA2477"/>
    <w:p w:rsidR="00B948DC" w:rsidRDefault="008A32BC" w:rsidP="00BA2477">
      <w:r>
        <w:t xml:space="preserve">This point underscores the </w:t>
      </w:r>
      <w:r w:rsidR="00BA2477">
        <w:t xml:space="preserve">critical need to continuously reevaluate these relationships through a long-term consistent monitoring program in SFB. </w:t>
      </w:r>
      <w:r w:rsidRPr="006C28B7">
        <w:t xml:space="preserve">A consistent </w:t>
      </w:r>
      <w:r w:rsidR="004A6246" w:rsidRPr="006C28B7">
        <w:t xml:space="preserve">monitoring </w:t>
      </w:r>
      <w:r w:rsidRPr="006C28B7">
        <w:t xml:space="preserve">program would go a long way </w:t>
      </w:r>
      <w:r w:rsidR="004A6246" w:rsidRPr="006C28B7">
        <w:t>to</w:t>
      </w:r>
      <w:r w:rsidRPr="006C28B7">
        <w:t xml:space="preserve"> reduc</w:t>
      </w:r>
      <w:r w:rsidR="004A6246" w:rsidRPr="006C28B7">
        <w:t>e</w:t>
      </w:r>
      <w:r w:rsidRPr="006C28B7">
        <w:t xml:space="preserve"> </w:t>
      </w:r>
      <w:r w:rsidR="004A6246" w:rsidRPr="006C28B7">
        <w:t xml:space="preserve">some of the remaining </w:t>
      </w:r>
      <w:r w:rsidRPr="006C28B7">
        <w:t>uncertainties in</w:t>
      </w:r>
      <w:r w:rsidR="004A6246" w:rsidRPr="006C28B7">
        <w:t xml:space="preserve"> the </w:t>
      </w:r>
      <w:r w:rsidRPr="006C28B7">
        <w:t xml:space="preserve">existing data, given </w:t>
      </w:r>
      <w:r w:rsidR="004A6246" w:rsidRPr="006C28B7">
        <w:t xml:space="preserve">the </w:t>
      </w:r>
      <w:r w:rsidRPr="006C28B7">
        <w:t xml:space="preserve">large data gaps and inconsistent </w:t>
      </w:r>
      <w:r w:rsidR="004A6246" w:rsidRPr="006C28B7">
        <w:t>available data</w:t>
      </w:r>
      <w:r w:rsidRPr="006C28B7">
        <w:t xml:space="preserve"> between sites, for the analyses conducted here</w:t>
      </w:r>
      <w:r w:rsidR="006C28B7" w:rsidRPr="006C28B7">
        <w:t xml:space="preserve"> (</w:t>
      </w:r>
      <w:proofErr w:type="spellStart"/>
      <w:r w:rsidR="006C28B7" w:rsidRPr="006C28B7">
        <w:t>Sutula</w:t>
      </w:r>
      <w:proofErr w:type="spellEnd"/>
      <w:r w:rsidR="006C28B7" w:rsidRPr="006C28B7">
        <w:t xml:space="preserve"> et al, (in prep), Appendix C)</w:t>
      </w:r>
      <w:r w:rsidRPr="006C28B7">
        <w:t>.</w:t>
      </w:r>
      <w:r>
        <w:t xml:space="preserve">  </w:t>
      </w:r>
    </w:p>
    <w:p w:rsidR="00BA2477" w:rsidRDefault="00BA2477" w:rsidP="00BA2477">
      <w:pPr>
        <w:rPr>
          <w:rFonts w:asciiTheme="minorHAnsi" w:hAnsiTheme="minorHAnsi"/>
        </w:rPr>
      </w:pPr>
    </w:p>
    <w:p w:rsidR="00382B27" w:rsidRDefault="00382B27" w:rsidP="00BF2D86">
      <w:pPr>
        <w:pStyle w:val="Heading3"/>
        <w:spacing w:before="0" w:after="0" w:line="276" w:lineRule="auto"/>
        <w:jc w:val="left"/>
      </w:pPr>
      <w:bookmarkStart w:id="66" w:name="_Toc433370071"/>
      <w:r>
        <w:t xml:space="preserve">Gross </w:t>
      </w:r>
      <w:r w:rsidR="00BF2D86">
        <w:t xml:space="preserve">and Net </w:t>
      </w:r>
      <w:r>
        <w:t>Primary Producti</w:t>
      </w:r>
      <w:r w:rsidR="00BF2D86">
        <w:t>on</w:t>
      </w:r>
      <w:bookmarkEnd w:id="66"/>
    </w:p>
    <w:p w:rsidR="00B16DFD" w:rsidRDefault="00BF2D86">
      <w:r>
        <w:t xml:space="preserve">Annual </w:t>
      </w:r>
      <w:r w:rsidR="001B76DA" w:rsidRPr="001B76DA">
        <w:t xml:space="preserve">GPP </w:t>
      </w:r>
      <w:r w:rsidR="001B76DA">
        <w:t>is proposed as an</w:t>
      </w:r>
      <w:r w:rsidR="001B76DA" w:rsidRPr="001B76DA">
        <w:t xml:space="preserve"> </w:t>
      </w:r>
      <w:r w:rsidR="00353722">
        <w:t>AF</w:t>
      </w:r>
      <w:r w:rsidR="001B76DA" w:rsidRPr="001B76DA">
        <w:t xml:space="preserve"> indicator, to be measured via </w:t>
      </w:r>
      <w:r w:rsidR="004A6246">
        <w:t xml:space="preserve">an </w:t>
      </w:r>
      <w:r w:rsidR="001B76DA" w:rsidRPr="001B76DA">
        <w:t xml:space="preserve">empirical method utilizing </w:t>
      </w:r>
      <w:r w:rsidR="00095E02" w:rsidRPr="001B76DA">
        <w:t>chlorophyll</w:t>
      </w:r>
      <w:r w:rsidR="00095E02">
        <w:t>-</w:t>
      </w:r>
      <w:r w:rsidR="001B76DA" w:rsidRPr="001B76DA">
        <w:t xml:space="preserve">a, photic depth, surface irradiance (per Cole and </w:t>
      </w:r>
      <w:proofErr w:type="spellStart"/>
      <w:r w:rsidR="001B76DA" w:rsidRPr="001B76DA">
        <w:t>Cloern</w:t>
      </w:r>
      <w:proofErr w:type="spellEnd"/>
      <w:r w:rsidR="001B76DA" w:rsidRPr="001B76DA">
        <w:t xml:space="preserve"> 198</w:t>
      </w:r>
      <w:r w:rsidR="00EA141A">
        <w:t>4</w:t>
      </w:r>
      <w:r w:rsidR="001B76DA" w:rsidRPr="001B76DA">
        <w:t xml:space="preserve">), recalibrated with </w:t>
      </w:r>
      <w:r w:rsidR="00D903BC">
        <w:t xml:space="preserve">specified </w:t>
      </w:r>
      <w:r w:rsidR="001B76DA" w:rsidRPr="001B76DA">
        <w:t>direct, discrete measures of GPP (e.g.</w:t>
      </w:r>
      <w:r w:rsidR="00E81561">
        <w:t>,</w:t>
      </w:r>
      <w:r w:rsidR="001B76DA" w:rsidRPr="001B76DA">
        <w:t xml:space="preserve"> </w:t>
      </w:r>
      <w:proofErr w:type="spellStart"/>
      <w:r w:rsidR="00D903BC">
        <w:t>Cloern</w:t>
      </w:r>
      <w:proofErr w:type="spellEnd"/>
      <w:r w:rsidR="00D903BC">
        <w:t xml:space="preserve"> et al. 2014</w:t>
      </w:r>
      <w:r w:rsidR="001B76DA" w:rsidRPr="001B76DA">
        <w:t xml:space="preserve">). GPP is complementary to chlorophyll-a, which does not provide a direct measure of the internal supply rate of biological oxygen demand, nor the rate of turnover of phytoplankton carbon. </w:t>
      </w:r>
      <w:r w:rsidR="00B16DFD" w:rsidRPr="001B76DA">
        <w:t>Annual GPP would be assessed based on the identical temporal and spatial data collected to support chlorophyll-a.</w:t>
      </w:r>
    </w:p>
    <w:p w:rsidR="001B76DA" w:rsidRDefault="001B76DA" w:rsidP="00BF2D86">
      <w:pPr>
        <w:spacing w:line="276" w:lineRule="auto"/>
        <w:rPr>
          <w:rFonts w:asciiTheme="minorHAnsi" w:hAnsiTheme="minorHAnsi"/>
        </w:rPr>
      </w:pPr>
    </w:p>
    <w:p w:rsidR="00BE682F" w:rsidRDefault="00A6157F">
      <w:r>
        <w:t>Decisions on classification thresholds for GPP were based on</w:t>
      </w:r>
      <w:r w:rsidR="001B76DA" w:rsidRPr="001B76DA">
        <w:t xml:space="preserve"> Nixon (1995)</w:t>
      </w:r>
      <w:r>
        <w:t>, who</w:t>
      </w:r>
      <w:r w:rsidR="001B76DA" w:rsidRPr="001B76DA">
        <w:t xml:space="preserve"> proposed definitions of the trophic state of estuaries as oligotrophic (&lt; 100 g C m</w:t>
      </w:r>
      <w:r w:rsidR="001B76DA" w:rsidRPr="001B76DA">
        <w:rPr>
          <w:vertAlign w:val="superscript"/>
        </w:rPr>
        <w:t>-2</w:t>
      </w:r>
      <w:r w:rsidR="001B76DA" w:rsidRPr="001B76DA">
        <w:t xml:space="preserve"> yr</w:t>
      </w:r>
      <w:r w:rsidR="001B76DA" w:rsidRPr="00B16DFD">
        <w:rPr>
          <w:vertAlign w:val="superscript"/>
        </w:rPr>
        <w:t>-1</w:t>
      </w:r>
      <w:r w:rsidR="001B76DA" w:rsidRPr="001B76DA">
        <w:t xml:space="preserve">), </w:t>
      </w:r>
      <w:proofErr w:type="spellStart"/>
      <w:r w:rsidR="001B76DA" w:rsidRPr="001B76DA">
        <w:t>mesotrophic</w:t>
      </w:r>
      <w:proofErr w:type="spellEnd"/>
      <w:r w:rsidR="001B76DA" w:rsidRPr="001B76DA">
        <w:t xml:space="preserve"> (100-300 g C m</w:t>
      </w:r>
      <w:r w:rsidR="001B76DA" w:rsidRPr="0058375E">
        <w:rPr>
          <w:vertAlign w:val="superscript"/>
        </w:rPr>
        <w:t>-2</w:t>
      </w:r>
      <w:r w:rsidR="001B76DA" w:rsidRPr="001B76DA">
        <w:t xml:space="preserve"> yr</w:t>
      </w:r>
      <w:r w:rsidR="001B76DA" w:rsidRPr="001B76DA">
        <w:rPr>
          <w:vertAlign w:val="superscript"/>
        </w:rPr>
        <w:t>-1</w:t>
      </w:r>
      <w:r w:rsidR="001B76DA" w:rsidRPr="001B76DA">
        <w:t>), eutrophic (&gt;300-500 g C m</w:t>
      </w:r>
      <w:r w:rsidR="001B76DA" w:rsidRPr="0058375E">
        <w:rPr>
          <w:vertAlign w:val="superscript"/>
        </w:rPr>
        <w:t>-2</w:t>
      </w:r>
      <w:r w:rsidR="001B76DA" w:rsidRPr="001B76DA">
        <w:t xml:space="preserve"> yr</w:t>
      </w:r>
      <w:r w:rsidR="001B76DA" w:rsidRPr="001B76DA">
        <w:rPr>
          <w:vertAlign w:val="superscript"/>
        </w:rPr>
        <w:t>-1</w:t>
      </w:r>
      <w:r w:rsidR="00E81561">
        <w:t>),</w:t>
      </w:r>
      <w:r w:rsidR="001B76DA" w:rsidRPr="001B76DA">
        <w:t xml:space="preserve"> and </w:t>
      </w:r>
      <w:proofErr w:type="spellStart"/>
      <w:r w:rsidR="001B76DA" w:rsidRPr="001B76DA">
        <w:t>hypereutrophic</w:t>
      </w:r>
      <w:proofErr w:type="spellEnd"/>
      <w:r w:rsidR="001B76DA" w:rsidRPr="001B76DA">
        <w:t xml:space="preserve"> (&gt; 500 g C m</w:t>
      </w:r>
      <w:r w:rsidR="001B76DA" w:rsidRPr="0058375E">
        <w:rPr>
          <w:vertAlign w:val="superscript"/>
        </w:rPr>
        <w:t>-2</w:t>
      </w:r>
      <w:r w:rsidR="001B76DA" w:rsidRPr="001B76DA">
        <w:t xml:space="preserve"> yr</w:t>
      </w:r>
      <w:r w:rsidR="001B76DA" w:rsidRPr="001B76DA">
        <w:rPr>
          <w:vertAlign w:val="superscript"/>
        </w:rPr>
        <w:t>-1</w:t>
      </w:r>
      <w:r w:rsidR="001B76DA" w:rsidRPr="001B76DA">
        <w:t>).</w:t>
      </w:r>
      <w:r>
        <w:t xml:space="preserve"> For the purposes of assessment of SFB </w:t>
      </w:r>
      <w:proofErr w:type="spellStart"/>
      <w:r>
        <w:t>subembayments</w:t>
      </w:r>
      <w:proofErr w:type="spellEnd"/>
      <w:r>
        <w:t xml:space="preserve">, we </w:t>
      </w:r>
      <w:r w:rsidR="001B76DA" w:rsidRPr="001B76DA">
        <w:t>collaps</w:t>
      </w:r>
      <w:r>
        <w:t>ed</w:t>
      </w:r>
      <w:r w:rsidR="001B76DA" w:rsidRPr="001B76DA">
        <w:t xml:space="preserve"> these into three</w:t>
      </w:r>
      <w:r w:rsidRPr="00A6157F">
        <w:t xml:space="preserve"> </w:t>
      </w:r>
      <w:r w:rsidRPr="001B76DA">
        <w:t>categories</w:t>
      </w:r>
      <w:r w:rsidR="00685F51">
        <w:t xml:space="preserve"> (Table 3.6)</w:t>
      </w:r>
      <w:r w:rsidR="001B76DA" w:rsidRPr="001B76DA">
        <w:t xml:space="preserve">. </w:t>
      </w:r>
      <w:proofErr w:type="spellStart"/>
      <w:r w:rsidR="00B16DFD" w:rsidRPr="001B76DA">
        <w:t>Hypereutrophic</w:t>
      </w:r>
      <w:proofErr w:type="spellEnd"/>
      <w:r w:rsidR="00B16DFD" w:rsidRPr="001B76DA">
        <w:t xml:space="preserve"> represents the boundary between moderate and low/very low ecological condition (&gt;500 g C m</w:t>
      </w:r>
      <w:r w:rsidR="00B16DFD" w:rsidRPr="0058375E">
        <w:rPr>
          <w:vertAlign w:val="superscript"/>
        </w:rPr>
        <w:t>-2</w:t>
      </w:r>
      <w:r w:rsidR="00B16DFD" w:rsidRPr="001B76DA">
        <w:t xml:space="preserve"> yr</w:t>
      </w:r>
      <w:r w:rsidR="00B16DFD" w:rsidRPr="001B76DA">
        <w:rPr>
          <w:vertAlign w:val="superscript"/>
        </w:rPr>
        <w:t>-1</w:t>
      </w:r>
      <w:r w:rsidR="00B16DFD" w:rsidRPr="001B76DA">
        <w:t>).</w:t>
      </w:r>
      <w:r w:rsidR="00D72900">
        <w:t xml:space="preserve"> </w:t>
      </w:r>
      <w:r w:rsidR="001B76DA" w:rsidRPr="001B76DA">
        <w:t xml:space="preserve">Oligotrophic and </w:t>
      </w:r>
      <w:proofErr w:type="spellStart"/>
      <w:r w:rsidR="001B76DA" w:rsidRPr="001B76DA">
        <w:t>mesotrophic</w:t>
      </w:r>
      <w:proofErr w:type="spellEnd"/>
      <w:r w:rsidR="001B76DA" w:rsidRPr="001B76DA">
        <w:t xml:space="preserve"> </w:t>
      </w:r>
      <w:r w:rsidR="001B76DA">
        <w:t xml:space="preserve">are </w:t>
      </w:r>
      <w:r w:rsidR="001B76DA" w:rsidRPr="001B76DA">
        <w:t xml:space="preserve">combined into one category (very high/high ecological condition), expressly to avoid categorizing very </w:t>
      </w:r>
      <w:r w:rsidR="001B76DA">
        <w:t xml:space="preserve">low </w:t>
      </w:r>
      <w:r w:rsidR="001B76DA" w:rsidRPr="001B76DA">
        <w:t>producti</w:t>
      </w:r>
      <w:r w:rsidR="00BF2D86">
        <w:t>on</w:t>
      </w:r>
      <w:r w:rsidR="001B76DA" w:rsidRPr="001B76DA">
        <w:t xml:space="preserve"> values as indicative of very high ecological condition, since some level of producti</w:t>
      </w:r>
      <w:r w:rsidR="00BF2D86">
        <w:t>on</w:t>
      </w:r>
      <w:r w:rsidR="001B76DA" w:rsidRPr="001B76DA">
        <w:t xml:space="preserve"> is considered important. </w:t>
      </w:r>
    </w:p>
    <w:p w:rsidR="00BE682F" w:rsidRDefault="00BE682F"/>
    <w:p w:rsidR="006549B3" w:rsidRDefault="00BE682F">
      <w:r>
        <w:t xml:space="preserve">Nixon did not specify a method for measurement of GPP; </w:t>
      </w:r>
      <w:proofErr w:type="spellStart"/>
      <w:r>
        <w:t>Cloern</w:t>
      </w:r>
      <w:proofErr w:type="spellEnd"/>
      <w:r>
        <w:t xml:space="preserve"> et al. (2014) documented how differences among methodologies can have a large impact on estimated GPP. We propose confirming proposed GPP classification boundaries using the SFB water quality model, once calibrated for DO, in order to provide an additional confirmation of these proposed classification thresholds. </w:t>
      </w:r>
    </w:p>
    <w:p w:rsidR="00685F51" w:rsidRDefault="00685F51"/>
    <w:p w:rsidR="00B16DFD" w:rsidRPr="00192018" w:rsidRDefault="00B16DFD">
      <w:pPr>
        <w:pStyle w:val="TOT"/>
        <w:spacing w:before="0" w:after="0" w:line="276" w:lineRule="auto"/>
        <w:rPr>
          <w:caps w:val="0"/>
          <w:smallCaps w:val="0"/>
        </w:rPr>
      </w:pPr>
      <w:bookmarkStart w:id="67" w:name="_Toc440224077"/>
      <w:proofErr w:type="gramStart"/>
      <w:r w:rsidRPr="00192018">
        <w:rPr>
          <w:caps w:val="0"/>
          <w:smallCaps w:val="0"/>
        </w:rPr>
        <w:lastRenderedPageBreak/>
        <w:t>Table 3.</w:t>
      </w:r>
      <w:r w:rsidR="00685F51">
        <w:rPr>
          <w:caps w:val="0"/>
          <w:smallCaps w:val="0"/>
        </w:rPr>
        <w:t>6</w:t>
      </w:r>
      <w:r w:rsidRPr="00192018">
        <w:rPr>
          <w:caps w:val="0"/>
          <w:smallCaps w:val="0"/>
        </w:rPr>
        <w:t>.</w:t>
      </w:r>
      <w:proofErr w:type="gramEnd"/>
      <w:r w:rsidRPr="00192018">
        <w:rPr>
          <w:caps w:val="0"/>
          <w:smallCaps w:val="0"/>
        </w:rPr>
        <w:t xml:space="preserve"> </w:t>
      </w:r>
      <w:proofErr w:type="gramStart"/>
      <w:r>
        <w:rPr>
          <w:caps w:val="0"/>
          <w:smallCaps w:val="0"/>
        </w:rPr>
        <w:t xml:space="preserve">Gross Primary Productivity </w:t>
      </w:r>
      <w:r w:rsidRPr="00192018">
        <w:rPr>
          <w:caps w:val="0"/>
          <w:smallCaps w:val="0"/>
        </w:rPr>
        <w:t xml:space="preserve">Classification Table Based on Annual </w:t>
      </w:r>
      <w:r>
        <w:rPr>
          <w:caps w:val="0"/>
          <w:smallCaps w:val="0"/>
        </w:rPr>
        <w:t>Rate (g m</w:t>
      </w:r>
      <w:r w:rsidRPr="00B16DFD">
        <w:rPr>
          <w:caps w:val="0"/>
          <w:smallCaps w:val="0"/>
          <w:vertAlign w:val="superscript"/>
        </w:rPr>
        <w:t>-2</w:t>
      </w:r>
      <w:r>
        <w:rPr>
          <w:caps w:val="0"/>
          <w:smallCaps w:val="0"/>
        </w:rPr>
        <w:t xml:space="preserve"> yr-</w:t>
      </w:r>
      <w:r w:rsidRPr="00B16DFD">
        <w:rPr>
          <w:caps w:val="0"/>
          <w:smallCaps w:val="0"/>
          <w:vertAlign w:val="superscript"/>
        </w:rPr>
        <w:t>1</w:t>
      </w:r>
      <w:r>
        <w:rPr>
          <w:caps w:val="0"/>
          <w:smallCaps w:val="0"/>
        </w:rPr>
        <w:t>)</w:t>
      </w:r>
      <w:r w:rsidRPr="00192018">
        <w:rPr>
          <w:caps w:val="0"/>
          <w:smallCaps w:val="0"/>
        </w:rPr>
        <w:t>.</w:t>
      </w:r>
      <w:proofErr w:type="gramEnd"/>
      <w:r w:rsidRPr="00192018">
        <w:rPr>
          <w:caps w:val="0"/>
          <w:smallCaps w:val="0"/>
        </w:rPr>
        <w:t xml:space="preserve"> Classification should be applied to each </w:t>
      </w:r>
      <w:proofErr w:type="spellStart"/>
      <w:r w:rsidR="00353722">
        <w:rPr>
          <w:caps w:val="0"/>
          <w:smallCaps w:val="0"/>
        </w:rPr>
        <w:t>subembayment</w:t>
      </w:r>
      <w:proofErr w:type="spellEnd"/>
      <w:r w:rsidRPr="00192018">
        <w:rPr>
          <w:caps w:val="0"/>
          <w:smallCaps w:val="0"/>
        </w:rPr>
        <w:t>.</w:t>
      </w:r>
      <w:bookmarkEnd w:id="67"/>
      <w:r w:rsidRPr="00192018">
        <w:rPr>
          <w:caps w:val="0"/>
          <w:smallCaps w:val="0"/>
        </w:rPr>
        <w:t xml:space="preserve"> </w:t>
      </w:r>
    </w:p>
    <w:p w:rsidR="001B76DA" w:rsidRDefault="001B76DA" w:rsidP="00BF2D86">
      <w:pPr>
        <w:spacing w:line="276" w:lineRule="auto"/>
        <w:rPr>
          <w:rFonts w:asciiTheme="minorHAnsi" w:hAnsiTheme="minorHAnsi"/>
        </w:rPr>
      </w:pPr>
    </w:p>
    <w:tbl>
      <w:tblPr>
        <w:tblStyle w:val="TableGrid"/>
        <w:tblW w:w="0" w:type="auto"/>
        <w:tblLook w:val="04A0" w:firstRow="1" w:lastRow="0" w:firstColumn="1" w:lastColumn="0" w:noHBand="0" w:noVBand="1"/>
      </w:tblPr>
      <w:tblGrid>
        <w:gridCol w:w="2155"/>
        <w:gridCol w:w="4140"/>
      </w:tblGrid>
      <w:tr w:rsidR="00B16DFD" w:rsidRPr="00E81561" w:rsidTr="00BF22C7">
        <w:tc>
          <w:tcPr>
            <w:tcW w:w="2155" w:type="dxa"/>
            <w:tcBorders>
              <w:top w:val="single" w:sz="12" w:space="0" w:color="auto"/>
              <w:bottom w:val="single" w:sz="12" w:space="0" w:color="auto"/>
            </w:tcBorders>
          </w:tcPr>
          <w:p w:rsidR="00B16DFD" w:rsidRPr="00BF2D86" w:rsidRDefault="00B16DFD" w:rsidP="00BF22C7">
            <w:pPr>
              <w:spacing w:before="60" w:after="60" w:line="276" w:lineRule="auto"/>
              <w:rPr>
                <w:rFonts w:ascii="Arial" w:hAnsi="Arial" w:cs="Arial"/>
                <w:b/>
                <w:sz w:val="18"/>
                <w:szCs w:val="18"/>
              </w:rPr>
            </w:pPr>
            <w:r w:rsidRPr="00BF2D86">
              <w:rPr>
                <w:rFonts w:ascii="Arial" w:hAnsi="Arial" w:cs="Arial"/>
                <w:b/>
                <w:sz w:val="18"/>
                <w:szCs w:val="18"/>
              </w:rPr>
              <w:t>Category</w:t>
            </w:r>
          </w:p>
        </w:tc>
        <w:tc>
          <w:tcPr>
            <w:tcW w:w="4140" w:type="dxa"/>
            <w:tcBorders>
              <w:top w:val="single" w:sz="12" w:space="0" w:color="auto"/>
              <w:bottom w:val="single" w:sz="12" w:space="0" w:color="auto"/>
            </w:tcBorders>
          </w:tcPr>
          <w:p w:rsidR="00B16DFD" w:rsidRPr="00BF2D86" w:rsidRDefault="00B16DFD" w:rsidP="00BF22C7">
            <w:pPr>
              <w:spacing w:before="60" w:after="60" w:line="276" w:lineRule="auto"/>
              <w:rPr>
                <w:rFonts w:ascii="Arial" w:hAnsi="Arial" w:cs="Arial"/>
                <w:b/>
                <w:sz w:val="18"/>
                <w:szCs w:val="18"/>
              </w:rPr>
            </w:pPr>
            <w:r w:rsidRPr="00BF2D86">
              <w:rPr>
                <w:rFonts w:ascii="Arial" w:hAnsi="Arial" w:cs="Arial"/>
                <w:b/>
                <w:sz w:val="18"/>
                <w:szCs w:val="18"/>
              </w:rPr>
              <w:t>Gross Primary Productivity (g m</w:t>
            </w:r>
            <w:r w:rsidRPr="00BF2D86">
              <w:rPr>
                <w:rFonts w:ascii="Arial" w:hAnsi="Arial" w:cs="Arial"/>
                <w:b/>
                <w:sz w:val="18"/>
                <w:szCs w:val="18"/>
                <w:vertAlign w:val="superscript"/>
              </w:rPr>
              <w:t>-2</w:t>
            </w:r>
            <w:r w:rsidRPr="00BF2D86">
              <w:rPr>
                <w:rFonts w:ascii="Arial" w:hAnsi="Arial" w:cs="Arial"/>
                <w:b/>
                <w:sz w:val="18"/>
                <w:szCs w:val="18"/>
              </w:rPr>
              <w:t xml:space="preserve"> yr-</w:t>
            </w:r>
            <w:r w:rsidRPr="00BF2D86">
              <w:rPr>
                <w:rFonts w:ascii="Arial" w:hAnsi="Arial" w:cs="Arial"/>
                <w:b/>
                <w:sz w:val="18"/>
                <w:szCs w:val="18"/>
                <w:vertAlign w:val="superscript"/>
              </w:rPr>
              <w:t>1</w:t>
            </w:r>
            <w:r w:rsidRPr="00BF2D86">
              <w:rPr>
                <w:rFonts w:ascii="Arial" w:hAnsi="Arial" w:cs="Arial"/>
                <w:b/>
                <w:sz w:val="18"/>
                <w:szCs w:val="18"/>
              </w:rPr>
              <w:t>)</w:t>
            </w:r>
          </w:p>
        </w:tc>
      </w:tr>
      <w:tr w:rsidR="00B16DFD" w:rsidRPr="00E81561" w:rsidTr="00BF22C7">
        <w:tc>
          <w:tcPr>
            <w:tcW w:w="2155" w:type="dxa"/>
            <w:tcBorders>
              <w:top w:val="single" w:sz="12" w:space="0" w:color="auto"/>
            </w:tcBorders>
          </w:tcPr>
          <w:p w:rsidR="00B16DFD" w:rsidRPr="00BF2D86" w:rsidRDefault="00B16DFD" w:rsidP="00BF22C7">
            <w:pPr>
              <w:spacing w:before="60" w:after="60" w:line="276" w:lineRule="auto"/>
              <w:rPr>
                <w:rFonts w:ascii="Arial" w:hAnsi="Arial" w:cs="Arial"/>
                <w:sz w:val="18"/>
                <w:szCs w:val="18"/>
              </w:rPr>
            </w:pPr>
            <w:r w:rsidRPr="00BF2D86">
              <w:rPr>
                <w:rFonts w:ascii="Arial" w:hAnsi="Arial" w:cs="Arial"/>
                <w:sz w:val="18"/>
                <w:szCs w:val="18"/>
              </w:rPr>
              <w:t>Very high/High</w:t>
            </w:r>
          </w:p>
        </w:tc>
        <w:tc>
          <w:tcPr>
            <w:tcW w:w="4140" w:type="dxa"/>
            <w:tcBorders>
              <w:top w:val="single" w:sz="12" w:space="0" w:color="auto"/>
            </w:tcBorders>
          </w:tcPr>
          <w:p w:rsidR="00B16DFD" w:rsidRPr="00BF2D86" w:rsidRDefault="00B16DFD" w:rsidP="00BF22C7">
            <w:pPr>
              <w:spacing w:before="60" w:after="60" w:line="276" w:lineRule="auto"/>
              <w:rPr>
                <w:rFonts w:ascii="Arial" w:hAnsi="Arial" w:cs="Arial"/>
                <w:sz w:val="18"/>
                <w:szCs w:val="18"/>
              </w:rPr>
            </w:pPr>
            <w:r w:rsidRPr="00BF2D86">
              <w:rPr>
                <w:rFonts w:ascii="Arial" w:hAnsi="Arial" w:cs="Arial"/>
                <w:sz w:val="18"/>
                <w:szCs w:val="18"/>
              </w:rPr>
              <w:t>≤300</w:t>
            </w:r>
          </w:p>
        </w:tc>
      </w:tr>
      <w:tr w:rsidR="00B16DFD" w:rsidRPr="00E81561" w:rsidTr="00BE682F">
        <w:tc>
          <w:tcPr>
            <w:tcW w:w="2155" w:type="dxa"/>
            <w:tcBorders>
              <w:bottom w:val="single" w:sz="4" w:space="0" w:color="000000"/>
            </w:tcBorders>
          </w:tcPr>
          <w:p w:rsidR="00B16DFD" w:rsidRPr="00BF2D86" w:rsidRDefault="00B16DFD" w:rsidP="00BF22C7">
            <w:pPr>
              <w:spacing w:before="60" w:after="60" w:line="276" w:lineRule="auto"/>
              <w:rPr>
                <w:rFonts w:ascii="Arial" w:hAnsi="Arial" w:cs="Arial"/>
                <w:sz w:val="18"/>
                <w:szCs w:val="18"/>
              </w:rPr>
            </w:pPr>
            <w:r w:rsidRPr="00BF2D86">
              <w:rPr>
                <w:rFonts w:ascii="Arial" w:hAnsi="Arial" w:cs="Arial"/>
                <w:sz w:val="18"/>
                <w:szCs w:val="18"/>
              </w:rPr>
              <w:t>Moderate</w:t>
            </w:r>
          </w:p>
        </w:tc>
        <w:tc>
          <w:tcPr>
            <w:tcW w:w="4140" w:type="dxa"/>
            <w:tcBorders>
              <w:bottom w:val="single" w:sz="4" w:space="0" w:color="000000"/>
            </w:tcBorders>
          </w:tcPr>
          <w:p w:rsidR="00B16DFD" w:rsidRPr="00BF2D86" w:rsidRDefault="00B16DFD" w:rsidP="00BF22C7">
            <w:pPr>
              <w:spacing w:before="60" w:after="60" w:line="276" w:lineRule="auto"/>
              <w:rPr>
                <w:rFonts w:ascii="Arial" w:hAnsi="Arial" w:cs="Arial"/>
                <w:sz w:val="18"/>
                <w:szCs w:val="18"/>
              </w:rPr>
            </w:pPr>
            <w:r w:rsidRPr="00BF2D86">
              <w:rPr>
                <w:rFonts w:ascii="Arial" w:hAnsi="Arial" w:cs="Arial"/>
                <w:sz w:val="18"/>
                <w:szCs w:val="18"/>
              </w:rPr>
              <w:t>&gt;300 - 500</w:t>
            </w:r>
          </w:p>
        </w:tc>
      </w:tr>
      <w:tr w:rsidR="00B16DFD" w:rsidRPr="00E81561" w:rsidTr="00BE682F">
        <w:tc>
          <w:tcPr>
            <w:tcW w:w="2155" w:type="dxa"/>
            <w:tcBorders>
              <w:bottom w:val="single" w:sz="12" w:space="0" w:color="auto"/>
            </w:tcBorders>
          </w:tcPr>
          <w:p w:rsidR="00B16DFD" w:rsidRPr="00BF2D86" w:rsidRDefault="00B16DFD" w:rsidP="00BF22C7">
            <w:pPr>
              <w:spacing w:before="60" w:after="60" w:line="276" w:lineRule="auto"/>
              <w:rPr>
                <w:rFonts w:ascii="Arial" w:hAnsi="Arial" w:cs="Arial"/>
                <w:sz w:val="18"/>
                <w:szCs w:val="18"/>
              </w:rPr>
            </w:pPr>
            <w:r w:rsidRPr="00BF2D86">
              <w:rPr>
                <w:rFonts w:ascii="Arial" w:hAnsi="Arial" w:cs="Arial"/>
                <w:sz w:val="18"/>
                <w:szCs w:val="18"/>
              </w:rPr>
              <w:t>Low/ Very Low</w:t>
            </w:r>
          </w:p>
        </w:tc>
        <w:tc>
          <w:tcPr>
            <w:tcW w:w="4140" w:type="dxa"/>
            <w:tcBorders>
              <w:bottom w:val="single" w:sz="12" w:space="0" w:color="auto"/>
            </w:tcBorders>
          </w:tcPr>
          <w:p w:rsidR="00B16DFD" w:rsidRPr="00BF2D86" w:rsidRDefault="00B16DFD" w:rsidP="00BF22C7">
            <w:pPr>
              <w:spacing w:before="60" w:after="60" w:line="276" w:lineRule="auto"/>
              <w:rPr>
                <w:rFonts w:ascii="Arial" w:hAnsi="Arial" w:cs="Arial"/>
                <w:sz w:val="18"/>
                <w:szCs w:val="18"/>
              </w:rPr>
            </w:pPr>
            <w:r w:rsidRPr="00BF2D86">
              <w:rPr>
                <w:rFonts w:ascii="Arial" w:hAnsi="Arial" w:cs="Arial"/>
                <w:sz w:val="18"/>
                <w:szCs w:val="18"/>
              </w:rPr>
              <w:t>≥ 500</w:t>
            </w:r>
          </w:p>
        </w:tc>
      </w:tr>
    </w:tbl>
    <w:p w:rsidR="001B76DA" w:rsidRPr="00C14309" w:rsidRDefault="001B76DA" w:rsidP="00BF22C7">
      <w:pPr>
        <w:spacing w:line="276" w:lineRule="auto"/>
        <w:rPr>
          <w:rFonts w:asciiTheme="minorHAnsi" w:hAnsiTheme="minorHAnsi"/>
        </w:rPr>
      </w:pPr>
    </w:p>
    <w:p w:rsidR="00A6157F" w:rsidRDefault="00A6157F">
      <w:proofErr w:type="gramStart"/>
      <w:r w:rsidRPr="00B16DFD">
        <w:rPr>
          <w:b/>
        </w:rPr>
        <w:t>Major Sources of Uncertainty in Classification of GPP.</w:t>
      </w:r>
      <w:proofErr w:type="gramEnd"/>
      <w:r>
        <w:t xml:space="preserve"> The greatest source of uncertainty in the proposed GPP classification is the lumping of highly oligotrophic GPP into the highest category. We acknowledge that, while it would be desirable to identify some level of GPP that is too low, the Expert Workgroup felt that we did not have the scientific basis to determine at what level that is.</w:t>
      </w:r>
      <w:r w:rsidR="00D72900">
        <w:t xml:space="preserve"> </w:t>
      </w:r>
      <w:r>
        <w:t xml:space="preserve">This remains a source of uncertainty in this classification. Another source of uncertainty is the use of an indirect approach to estimate GPP. </w:t>
      </w:r>
      <w:r w:rsidR="0065032F">
        <w:t xml:space="preserve">Although other sources of uncertainty in estimates of GPP exist (e.g. short term pulses missed by monthly sampling programs, Gallegos and </w:t>
      </w:r>
      <w:proofErr w:type="spellStart"/>
      <w:r w:rsidR="0065032F">
        <w:t>Neele</w:t>
      </w:r>
      <w:proofErr w:type="spellEnd"/>
      <w:r w:rsidR="0065032F">
        <w:t>, 2015), w</w:t>
      </w:r>
      <w:r>
        <w:t xml:space="preserve">e feel that if these indirect estimates are calibrated on a frequent basis with direct measures, this uncertainty will be constrained. </w:t>
      </w:r>
    </w:p>
    <w:p w:rsidR="00B16DFD" w:rsidRPr="00382B27" w:rsidRDefault="00B16DFD">
      <w:pPr>
        <w:spacing w:line="276" w:lineRule="auto"/>
      </w:pPr>
    </w:p>
    <w:p w:rsidR="0003082C" w:rsidRPr="00012955" w:rsidRDefault="0003082C" w:rsidP="00BF22C7">
      <w:pPr>
        <w:pStyle w:val="Heading3"/>
        <w:spacing w:before="0" w:after="0" w:line="276" w:lineRule="auto"/>
        <w:jc w:val="left"/>
      </w:pPr>
      <w:bookmarkStart w:id="68" w:name="_Toc410026588"/>
      <w:bookmarkStart w:id="69" w:name="_Toc433370072"/>
      <w:r w:rsidRPr="00012955">
        <w:t xml:space="preserve">HAB </w:t>
      </w:r>
      <w:r w:rsidR="00340C83">
        <w:t>Abundance</w:t>
      </w:r>
      <w:r w:rsidRPr="00012955">
        <w:t xml:space="preserve"> and Toxins</w:t>
      </w:r>
      <w:bookmarkEnd w:id="68"/>
      <w:bookmarkEnd w:id="69"/>
    </w:p>
    <w:p w:rsidR="0003082C" w:rsidRDefault="0003082C">
      <w:r w:rsidRPr="00012955">
        <w:t xml:space="preserve">Classification of HAB cell counts and toxins is based on the assumption that values exceeding thresholds or alert levels used in comparable systems (Table </w:t>
      </w:r>
      <w:r w:rsidR="00766906">
        <w:t>3.7</w:t>
      </w:r>
      <w:r w:rsidRPr="00012955">
        <w:t xml:space="preserve">), or trends of increasing occurrence, are evidence </w:t>
      </w:r>
      <w:r w:rsidR="00E81561">
        <w:t>of</w:t>
      </w:r>
      <w:r w:rsidRPr="00012955">
        <w:t xml:space="preserve"> reduced water quality. This is consistent with findings from the U</w:t>
      </w:r>
      <w:r w:rsidR="00E81561">
        <w:t>.</w:t>
      </w:r>
      <w:r w:rsidRPr="00012955">
        <w:t>K</w:t>
      </w:r>
      <w:r w:rsidR="00E81561">
        <w:t>.</w:t>
      </w:r>
      <w:r w:rsidRPr="00012955">
        <w:t xml:space="preserve"> Undesirable Disturbance Study Team (</w:t>
      </w:r>
      <w:proofErr w:type="spellStart"/>
      <w:r w:rsidRPr="00012955">
        <w:t>Tett</w:t>
      </w:r>
      <w:proofErr w:type="spellEnd"/>
      <w:r w:rsidRPr="00012955">
        <w:t xml:space="preserve"> et al. 2007) and is supported by recent syntheses examining the relationship between HABs and coastal water quality (</w:t>
      </w:r>
      <w:proofErr w:type="spellStart"/>
      <w:r w:rsidRPr="00012955">
        <w:t>Heisler</w:t>
      </w:r>
      <w:proofErr w:type="spellEnd"/>
      <w:r w:rsidRPr="00012955">
        <w:t xml:space="preserve"> et al. 2008; </w:t>
      </w:r>
      <w:r w:rsidRPr="005C693F">
        <w:t>Anderson et</w:t>
      </w:r>
      <w:r w:rsidRPr="00012955">
        <w:t xml:space="preserve"> al. 2008). </w:t>
      </w:r>
    </w:p>
    <w:p w:rsidR="00766906" w:rsidRDefault="00766906"/>
    <w:p w:rsidR="00766906" w:rsidRPr="00766906" w:rsidRDefault="00766906" w:rsidP="00766906">
      <w:pPr>
        <w:pStyle w:val="TOT"/>
        <w:rPr>
          <w:rFonts w:eastAsiaTheme="minorHAnsi"/>
          <w:caps w:val="0"/>
          <w:smallCaps w:val="0"/>
        </w:rPr>
      </w:pPr>
      <w:bookmarkStart w:id="70" w:name="_Toc440224078"/>
      <w:proofErr w:type="gramStart"/>
      <w:r w:rsidRPr="00766906">
        <w:rPr>
          <w:rFonts w:eastAsiaTheme="minorHAnsi"/>
          <w:caps w:val="0"/>
          <w:smallCaps w:val="0"/>
        </w:rPr>
        <w:t xml:space="preserve">Table </w:t>
      </w:r>
      <w:r>
        <w:rPr>
          <w:rFonts w:eastAsiaTheme="minorHAnsi"/>
          <w:caps w:val="0"/>
          <w:smallCaps w:val="0"/>
        </w:rPr>
        <w:t>3.7</w:t>
      </w:r>
      <w:r w:rsidRPr="00766906">
        <w:rPr>
          <w:rFonts w:eastAsiaTheme="minorHAnsi"/>
          <w:caps w:val="0"/>
          <w:smallCaps w:val="0"/>
        </w:rPr>
        <w:t>.</w:t>
      </w:r>
      <w:proofErr w:type="gramEnd"/>
      <w:r w:rsidRPr="00766906">
        <w:rPr>
          <w:rFonts w:eastAsiaTheme="minorHAnsi"/>
          <w:caps w:val="0"/>
          <w:smallCaps w:val="0"/>
        </w:rPr>
        <w:t xml:space="preserve"> </w:t>
      </w:r>
      <w:proofErr w:type="gramStart"/>
      <w:r w:rsidRPr="00766906">
        <w:rPr>
          <w:rFonts w:eastAsiaTheme="minorHAnsi"/>
          <w:caps w:val="0"/>
          <w:smallCaps w:val="0"/>
        </w:rPr>
        <w:t>Potential HABs from San Francisco Bay, and alert levels used in other regions.</w:t>
      </w:r>
      <w:bookmarkEnd w:id="70"/>
      <w:proofErr w:type="gramEnd"/>
    </w:p>
    <w:tbl>
      <w:tblPr>
        <w:tblStyle w:val="PlainTable5"/>
        <w:tblW w:w="10440" w:type="dxa"/>
        <w:tblLayout w:type="fixed"/>
        <w:tblLook w:val="00A0" w:firstRow="1" w:lastRow="0" w:firstColumn="1" w:lastColumn="0" w:noHBand="0" w:noVBand="0"/>
      </w:tblPr>
      <w:tblGrid>
        <w:gridCol w:w="2160"/>
        <w:gridCol w:w="1530"/>
        <w:gridCol w:w="6750"/>
      </w:tblGrid>
      <w:tr w:rsidR="00766906" w:rsidRPr="00E172A3" w:rsidTr="007669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0" w:type="dxa"/>
          </w:tcPr>
          <w:p w:rsidR="00766906" w:rsidRPr="00766906" w:rsidRDefault="00766906" w:rsidP="00CB0E57">
            <w:pPr>
              <w:spacing w:line="480" w:lineRule="auto"/>
              <w:rPr>
                <w:rFonts w:ascii="Arial" w:hAnsi="Arial" w:cs="Arial"/>
                <w:b/>
                <w:sz w:val="18"/>
                <w:szCs w:val="18"/>
              </w:rPr>
            </w:pPr>
            <w:r w:rsidRPr="00766906">
              <w:rPr>
                <w:rFonts w:ascii="Arial" w:hAnsi="Arial" w:cs="Arial"/>
                <w:b/>
                <w:sz w:val="18"/>
                <w:szCs w:val="18"/>
              </w:rPr>
              <w:t>Organism</w:t>
            </w:r>
          </w:p>
        </w:tc>
        <w:tc>
          <w:tcPr>
            <w:cnfStyle w:val="000010000000" w:firstRow="0" w:lastRow="0" w:firstColumn="0" w:lastColumn="0" w:oddVBand="1" w:evenVBand="0" w:oddHBand="0" w:evenHBand="0" w:firstRowFirstColumn="0" w:firstRowLastColumn="0" w:lastRowFirstColumn="0" w:lastRowLastColumn="0"/>
            <w:tcW w:w="1530" w:type="dxa"/>
          </w:tcPr>
          <w:p w:rsidR="00766906" w:rsidRPr="00766906" w:rsidRDefault="00766906" w:rsidP="00CB0E57">
            <w:pPr>
              <w:spacing w:line="480" w:lineRule="auto"/>
              <w:rPr>
                <w:rFonts w:ascii="Arial" w:hAnsi="Arial" w:cs="Arial"/>
                <w:b/>
                <w:sz w:val="18"/>
                <w:szCs w:val="18"/>
              </w:rPr>
            </w:pPr>
            <w:r w:rsidRPr="00766906">
              <w:rPr>
                <w:rFonts w:ascii="Arial" w:hAnsi="Arial" w:cs="Arial"/>
                <w:b/>
                <w:sz w:val="18"/>
                <w:szCs w:val="18"/>
              </w:rPr>
              <w:t>Alert Level</w:t>
            </w:r>
            <w:r>
              <w:rPr>
                <w:rFonts w:ascii="Arial" w:hAnsi="Arial" w:cs="Arial"/>
                <w:b/>
                <w:sz w:val="18"/>
                <w:szCs w:val="18"/>
              </w:rPr>
              <w:t xml:space="preserve"> (cells/L)</w:t>
            </w:r>
          </w:p>
        </w:tc>
        <w:tc>
          <w:tcPr>
            <w:tcW w:w="6750" w:type="dxa"/>
          </w:tcPr>
          <w:p w:rsidR="00766906" w:rsidRPr="00766906" w:rsidRDefault="00766906" w:rsidP="00CB0E57">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sz w:val="18"/>
                <w:szCs w:val="18"/>
              </w:rPr>
            </w:pPr>
            <w:r w:rsidRPr="00766906">
              <w:rPr>
                <w:rFonts w:ascii="Arial" w:hAnsi="Arial" w:cs="Arial"/>
                <w:b/>
                <w:sz w:val="18"/>
                <w:szCs w:val="18"/>
              </w:rPr>
              <w:t>Reference</w:t>
            </w:r>
          </w:p>
        </w:tc>
      </w:tr>
      <w:tr w:rsidR="00766906" w:rsidRPr="00E172A3" w:rsidTr="0076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766906" w:rsidRPr="00766906" w:rsidRDefault="00766906" w:rsidP="00CB0E57">
            <w:pPr>
              <w:spacing w:line="480" w:lineRule="auto"/>
              <w:rPr>
                <w:rFonts w:ascii="Arial" w:hAnsi="Arial" w:cs="Arial"/>
                <w:i w:val="0"/>
                <w:sz w:val="18"/>
                <w:szCs w:val="18"/>
              </w:rPr>
            </w:pPr>
            <w:proofErr w:type="spellStart"/>
            <w:r w:rsidRPr="00766906">
              <w:rPr>
                <w:rFonts w:ascii="Arial" w:hAnsi="Arial" w:cs="Arial"/>
                <w:sz w:val="18"/>
                <w:szCs w:val="18"/>
              </w:rPr>
              <w:t>Alexandrium</w:t>
            </w:r>
            <w:proofErr w:type="spellEnd"/>
            <w:r w:rsidRPr="00766906">
              <w:rPr>
                <w:rFonts w:ascii="Arial" w:hAnsi="Arial" w:cs="Arial"/>
                <w:sz w:val="18"/>
                <w:szCs w:val="18"/>
              </w:rPr>
              <w:t xml:space="preserve"> spp.</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FFFFFF" w:themeFill="background1"/>
          </w:tcPr>
          <w:p w:rsidR="00766906" w:rsidRPr="00766906" w:rsidRDefault="00766906" w:rsidP="00CB0E57">
            <w:pPr>
              <w:spacing w:line="480" w:lineRule="auto"/>
              <w:rPr>
                <w:rFonts w:ascii="Arial" w:hAnsi="Arial" w:cs="Arial"/>
                <w:sz w:val="18"/>
                <w:szCs w:val="18"/>
              </w:rPr>
            </w:pPr>
            <w:r w:rsidRPr="00766906">
              <w:rPr>
                <w:rFonts w:ascii="Arial" w:hAnsi="Arial" w:cs="Arial"/>
                <w:sz w:val="18"/>
                <w:szCs w:val="18"/>
              </w:rPr>
              <w:t>Presence</w:t>
            </w:r>
          </w:p>
        </w:tc>
        <w:tc>
          <w:tcPr>
            <w:tcW w:w="6750" w:type="dxa"/>
            <w:shd w:val="clear" w:color="auto" w:fill="FFFFFF" w:themeFill="background1"/>
          </w:tcPr>
          <w:p w:rsidR="00766906" w:rsidRPr="00766906" w:rsidRDefault="00766906" w:rsidP="00CB0E57">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6906">
              <w:rPr>
                <w:rFonts w:ascii="Arial" w:hAnsi="Arial" w:cs="Arial"/>
                <w:sz w:val="18"/>
                <w:szCs w:val="18"/>
              </w:rPr>
              <w:t>http://www.scotland.gov.uk/Publications/2011/03/16182005/37</w:t>
            </w:r>
          </w:p>
        </w:tc>
      </w:tr>
      <w:tr w:rsidR="00766906" w:rsidRPr="00E172A3" w:rsidTr="00766906">
        <w:tc>
          <w:tcPr>
            <w:cnfStyle w:val="001000000000" w:firstRow="0" w:lastRow="0" w:firstColumn="1" w:lastColumn="0" w:oddVBand="0" w:evenVBand="0" w:oddHBand="0" w:evenHBand="0" w:firstRowFirstColumn="0" w:firstRowLastColumn="0" w:lastRowFirstColumn="0" w:lastRowLastColumn="0"/>
            <w:tcW w:w="2160" w:type="dxa"/>
          </w:tcPr>
          <w:p w:rsidR="00766906" w:rsidRPr="00766906" w:rsidRDefault="00766906" w:rsidP="00CB0E57">
            <w:pPr>
              <w:spacing w:line="480" w:lineRule="auto"/>
              <w:rPr>
                <w:rFonts w:ascii="Arial" w:hAnsi="Arial" w:cs="Arial"/>
                <w:i w:val="0"/>
                <w:sz w:val="18"/>
                <w:szCs w:val="18"/>
              </w:rPr>
            </w:pPr>
            <w:r w:rsidRPr="00766906">
              <w:rPr>
                <w:rFonts w:ascii="Arial" w:hAnsi="Arial" w:cs="Arial"/>
                <w:sz w:val="18"/>
                <w:szCs w:val="18"/>
              </w:rPr>
              <w:t>Blue-Green Algae</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FFFFFF" w:themeFill="background1"/>
          </w:tcPr>
          <w:p w:rsidR="00766906" w:rsidRPr="00766906" w:rsidRDefault="00766906" w:rsidP="00766906">
            <w:pPr>
              <w:spacing w:line="480" w:lineRule="auto"/>
              <w:rPr>
                <w:rFonts w:ascii="Arial" w:hAnsi="Arial" w:cs="Arial"/>
                <w:sz w:val="18"/>
                <w:szCs w:val="18"/>
              </w:rPr>
            </w:pPr>
            <w:r w:rsidRPr="00766906">
              <w:rPr>
                <w:rFonts w:ascii="Arial" w:hAnsi="Arial" w:cs="Arial"/>
                <w:sz w:val="18"/>
                <w:szCs w:val="18"/>
              </w:rPr>
              <w:t>100,000</w:t>
            </w:r>
          </w:p>
        </w:tc>
        <w:tc>
          <w:tcPr>
            <w:tcW w:w="6750" w:type="dxa"/>
            <w:shd w:val="clear" w:color="auto" w:fill="FFFFFF" w:themeFill="background1"/>
          </w:tcPr>
          <w:p w:rsidR="00766906" w:rsidRPr="00766906" w:rsidRDefault="00766906" w:rsidP="00CB0E57">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66906">
              <w:rPr>
                <w:rFonts w:ascii="Arial" w:hAnsi="Arial" w:cs="Arial"/>
                <w:sz w:val="18"/>
                <w:szCs w:val="18"/>
              </w:rPr>
              <w:t>WHO, 2003</w:t>
            </w:r>
            <w:r w:rsidR="00735A33">
              <w:rPr>
                <w:rFonts w:ascii="Arial" w:hAnsi="Arial" w:cs="Arial"/>
                <w:sz w:val="18"/>
                <w:szCs w:val="18"/>
              </w:rPr>
              <w:t>; California Guidance (OEHHA, 2012)</w:t>
            </w:r>
          </w:p>
        </w:tc>
      </w:tr>
      <w:tr w:rsidR="00766906" w:rsidRPr="00E172A3" w:rsidTr="0076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766906" w:rsidRPr="00766906" w:rsidRDefault="00766906" w:rsidP="00CB0E57">
            <w:pPr>
              <w:spacing w:line="480" w:lineRule="auto"/>
              <w:rPr>
                <w:rFonts w:ascii="Arial" w:hAnsi="Arial" w:cs="Arial"/>
                <w:i w:val="0"/>
                <w:sz w:val="18"/>
                <w:szCs w:val="18"/>
              </w:rPr>
            </w:pPr>
            <w:proofErr w:type="spellStart"/>
            <w:r w:rsidRPr="00766906">
              <w:rPr>
                <w:rFonts w:ascii="Arial" w:hAnsi="Arial" w:cs="Arial"/>
                <w:sz w:val="18"/>
                <w:szCs w:val="18"/>
              </w:rPr>
              <w:t>Dinophysis</w:t>
            </w:r>
            <w:proofErr w:type="spellEnd"/>
            <w:r w:rsidRPr="00766906">
              <w:rPr>
                <w:rFonts w:ascii="Arial" w:hAnsi="Arial" w:cs="Arial"/>
                <w:sz w:val="18"/>
                <w:szCs w:val="18"/>
              </w:rPr>
              <w:t xml:space="preserve"> spp.</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FFFFFF" w:themeFill="background1"/>
          </w:tcPr>
          <w:p w:rsidR="00766906" w:rsidRPr="00766906" w:rsidRDefault="00766906" w:rsidP="00766906">
            <w:pPr>
              <w:spacing w:line="480" w:lineRule="auto"/>
              <w:rPr>
                <w:rFonts w:ascii="Arial" w:hAnsi="Arial" w:cs="Arial"/>
                <w:sz w:val="18"/>
                <w:szCs w:val="18"/>
              </w:rPr>
            </w:pPr>
            <w:r w:rsidRPr="00766906">
              <w:rPr>
                <w:rFonts w:ascii="Arial" w:hAnsi="Arial" w:cs="Arial"/>
                <w:sz w:val="18"/>
                <w:szCs w:val="18"/>
              </w:rPr>
              <w:t>100-1,000</w:t>
            </w:r>
          </w:p>
        </w:tc>
        <w:tc>
          <w:tcPr>
            <w:tcW w:w="6750" w:type="dxa"/>
            <w:shd w:val="clear" w:color="auto" w:fill="FFFFFF" w:themeFill="background1"/>
          </w:tcPr>
          <w:p w:rsidR="00766906" w:rsidRPr="00766906" w:rsidRDefault="005D6FC2" w:rsidP="00CB0E57">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33" w:history="1">
              <w:r w:rsidR="00766906" w:rsidRPr="00766906">
                <w:rPr>
                  <w:rStyle w:val="Hyperlink"/>
                  <w:rFonts w:ascii="Arial" w:hAnsi="Arial" w:cs="Arial"/>
                  <w:sz w:val="18"/>
                  <w:szCs w:val="18"/>
                </w:rPr>
                <w:t>http://www.scotland.gov.uk/Publications/2011/03/16182005/37</w:t>
              </w:r>
            </w:hyperlink>
            <w:r w:rsidR="00766906" w:rsidRPr="00766906">
              <w:rPr>
                <w:rFonts w:ascii="Arial" w:hAnsi="Arial" w:cs="Arial"/>
                <w:sz w:val="18"/>
                <w:szCs w:val="18"/>
              </w:rPr>
              <w:t xml:space="preserve">; </w:t>
            </w:r>
            <w:proofErr w:type="spellStart"/>
            <w:r w:rsidR="00766906" w:rsidRPr="00766906">
              <w:rPr>
                <w:rFonts w:ascii="Arial" w:hAnsi="Arial" w:cs="Arial"/>
                <w:sz w:val="18"/>
                <w:szCs w:val="18"/>
              </w:rPr>
              <w:t>Vlamis</w:t>
            </w:r>
            <w:proofErr w:type="spellEnd"/>
            <w:r w:rsidR="00766906" w:rsidRPr="00766906">
              <w:rPr>
                <w:rFonts w:ascii="Arial" w:hAnsi="Arial" w:cs="Arial"/>
                <w:sz w:val="18"/>
                <w:szCs w:val="18"/>
              </w:rPr>
              <w:t xml:space="preserve"> et al. 2014</w:t>
            </w:r>
          </w:p>
        </w:tc>
      </w:tr>
      <w:tr w:rsidR="00766906" w:rsidRPr="00E172A3" w:rsidTr="00766906">
        <w:tc>
          <w:tcPr>
            <w:cnfStyle w:val="001000000000" w:firstRow="0" w:lastRow="0" w:firstColumn="1" w:lastColumn="0" w:oddVBand="0" w:evenVBand="0" w:oddHBand="0" w:evenHBand="0" w:firstRowFirstColumn="0" w:firstRowLastColumn="0" w:lastRowFirstColumn="0" w:lastRowLastColumn="0"/>
            <w:tcW w:w="2160" w:type="dxa"/>
          </w:tcPr>
          <w:p w:rsidR="00766906" w:rsidRPr="00766906" w:rsidRDefault="00766906" w:rsidP="00CB0E57">
            <w:pPr>
              <w:spacing w:line="480" w:lineRule="auto"/>
              <w:rPr>
                <w:rFonts w:ascii="Arial" w:hAnsi="Arial" w:cs="Arial"/>
                <w:i w:val="0"/>
                <w:sz w:val="18"/>
                <w:szCs w:val="18"/>
              </w:rPr>
            </w:pPr>
            <w:proofErr w:type="spellStart"/>
            <w:r w:rsidRPr="00766906">
              <w:rPr>
                <w:rFonts w:ascii="Arial" w:hAnsi="Arial" w:cs="Arial"/>
                <w:sz w:val="18"/>
                <w:szCs w:val="18"/>
              </w:rPr>
              <w:t>Heterosigma</w:t>
            </w:r>
            <w:proofErr w:type="spellEnd"/>
            <w:r w:rsidRPr="00766906">
              <w:rPr>
                <w:rFonts w:ascii="Arial" w:hAnsi="Arial" w:cs="Arial"/>
                <w:sz w:val="18"/>
                <w:szCs w:val="18"/>
              </w:rPr>
              <w:t xml:space="preserve"> </w:t>
            </w:r>
            <w:proofErr w:type="spellStart"/>
            <w:r w:rsidRPr="00766906">
              <w:rPr>
                <w:rFonts w:ascii="Arial" w:hAnsi="Arial" w:cs="Arial"/>
                <w:sz w:val="18"/>
                <w:szCs w:val="18"/>
              </w:rPr>
              <w:t>akashiwo</w:t>
            </w:r>
            <w:proofErr w:type="spellEnd"/>
          </w:p>
        </w:tc>
        <w:tc>
          <w:tcPr>
            <w:cnfStyle w:val="000010000000" w:firstRow="0" w:lastRow="0" w:firstColumn="0" w:lastColumn="0" w:oddVBand="1" w:evenVBand="0" w:oddHBand="0" w:evenHBand="0" w:firstRowFirstColumn="0" w:firstRowLastColumn="0" w:lastRowFirstColumn="0" w:lastRowLastColumn="0"/>
            <w:tcW w:w="1530" w:type="dxa"/>
            <w:shd w:val="clear" w:color="auto" w:fill="FFFFFF" w:themeFill="background1"/>
          </w:tcPr>
          <w:p w:rsidR="00766906" w:rsidRPr="00766906" w:rsidRDefault="00766906" w:rsidP="00766906">
            <w:pPr>
              <w:spacing w:line="480" w:lineRule="auto"/>
              <w:rPr>
                <w:rFonts w:ascii="Arial" w:hAnsi="Arial" w:cs="Arial"/>
                <w:sz w:val="18"/>
                <w:szCs w:val="18"/>
              </w:rPr>
            </w:pPr>
            <w:r w:rsidRPr="00766906">
              <w:rPr>
                <w:rFonts w:ascii="Arial" w:hAnsi="Arial" w:cs="Arial"/>
                <w:sz w:val="18"/>
                <w:szCs w:val="18"/>
              </w:rPr>
              <w:t>500,000</w:t>
            </w:r>
          </w:p>
        </w:tc>
        <w:tc>
          <w:tcPr>
            <w:tcW w:w="6750" w:type="dxa"/>
            <w:shd w:val="clear" w:color="auto" w:fill="FFFFFF" w:themeFill="background1"/>
          </w:tcPr>
          <w:p w:rsidR="00766906" w:rsidRPr="00766906" w:rsidRDefault="00766906" w:rsidP="00CB0E57">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66906">
              <w:rPr>
                <w:rFonts w:ascii="Arial" w:hAnsi="Arial" w:cs="Arial"/>
                <w:sz w:val="18"/>
                <w:szCs w:val="18"/>
              </w:rPr>
              <w:t>Expert opinion</w:t>
            </w:r>
          </w:p>
        </w:tc>
      </w:tr>
      <w:tr w:rsidR="00766906" w:rsidRPr="00E172A3" w:rsidTr="0076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766906" w:rsidRPr="00766906" w:rsidRDefault="00766906" w:rsidP="00CB0E57">
            <w:pPr>
              <w:spacing w:line="480" w:lineRule="auto"/>
              <w:rPr>
                <w:rFonts w:ascii="Arial" w:hAnsi="Arial" w:cs="Arial"/>
                <w:i w:val="0"/>
                <w:sz w:val="18"/>
                <w:szCs w:val="18"/>
              </w:rPr>
            </w:pPr>
            <w:proofErr w:type="spellStart"/>
            <w:r w:rsidRPr="00766906">
              <w:rPr>
                <w:rFonts w:ascii="Arial" w:hAnsi="Arial" w:cs="Arial"/>
                <w:sz w:val="18"/>
                <w:szCs w:val="18"/>
              </w:rPr>
              <w:t>Karenia</w:t>
            </w:r>
            <w:proofErr w:type="spellEnd"/>
            <w:r w:rsidRPr="00766906">
              <w:rPr>
                <w:rFonts w:ascii="Arial" w:hAnsi="Arial" w:cs="Arial"/>
                <w:sz w:val="18"/>
                <w:szCs w:val="18"/>
              </w:rPr>
              <w:t xml:space="preserve"> </w:t>
            </w:r>
            <w:proofErr w:type="spellStart"/>
            <w:r w:rsidRPr="00766906">
              <w:rPr>
                <w:rFonts w:ascii="Arial" w:hAnsi="Arial" w:cs="Arial"/>
                <w:sz w:val="18"/>
                <w:szCs w:val="18"/>
              </w:rPr>
              <w:t>mikimotoi</w:t>
            </w:r>
            <w:proofErr w:type="spellEnd"/>
          </w:p>
        </w:tc>
        <w:tc>
          <w:tcPr>
            <w:cnfStyle w:val="000010000000" w:firstRow="0" w:lastRow="0" w:firstColumn="0" w:lastColumn="0" w:oddVBand="1" w:evenVBand="0" w:oddHBand="0" w:evenHBand="0" w:firstRowFirstColumn="0" w:firstRowLastColumn="0" w:lastRowFirstColumn="0" w:lastRowLastColumn="0"/>
            <w:tcW w:w="1530" w:type="dxa"/>
            <w:shd w:val="clear" w:color="auto" w:fill="FFFFFF" w:themeFill="background1"/>
          </w:tcPr>
          <w:p w:rsidR="00766906" w:rsidRPr="00766906" w:rsidRDefault="00766906" w:rsidP="00766906">
            <w:pPr>
              <w:spacing w:line="480" w:lineRule="auto"/>
              <w:rPr>
                <w:rFonts w:ascii="Arial" w:hAnsi="Arial" w:cs="Arial"/>
                <w:sz w:val="18"/>
                <w:szCs w:val="18"/>
              </w:rPr>
            </w:pPr>
            <w:r w:rsidRPr="00766906">
              <w:rPr>
                <w:rFonts w:ascii="Arial" w:hAnsi="Arial" w:cs="Arial"/>
                <w:sz w:val="18"/>
                <w:szCs w:val="18"/>
              </w:rPr>
              <w:t>500,000</w:t>
            </w:r>
          </w:p>
        </w:tc>
        <w:tc>
          <w:tcPr>
            <w:tcW w:w="6750" w:type="dxa"/>
            <w:shd w:val="clear" w:color="auto" w:fill="FFFFFF" w:themeFill="background1"/>
          </w:tcPr>
          <w:p w:rsidR="00766906" w:rsidRPr="00766906" w:rsidRDefault="00766906" w:rsidP="00CB0E57">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6906">
              <w:rPr>
                <w:rFonts w:ascii="Arial" w:hAnsi="Arial" w:cs="Arial"/>
                <w:sz w:val="18"/>
                <w:szCs w:val="18"/>
              </w:rPr>
              <w:t>Expert opinion</w:t>
            </w:r>
          </w:p>
        </w:tc>
      </w:tr>
      <w:tr w:rsidR="00766906" w:rsidRPr="00E172A3" w:rsidTr="00766906">
        <w:tc>
          <w:tcPr>
            <w:cnfStyle w:val="001000000000" w:firstRow="0" w:lastRow="0" w:firstColumn="1" w:lastColumn="0" w:oddVBand="0" w:evenVBand="0" w:oddHBand="0" w:evenHBand="0" w:firstRowFirstColumn="0" w:firstRowLastColumn="0" w:lastRowFirstColumn="0" w:lastRowLastColumn="0"/>
            <w:tcW w:w="2160" w:type="dxa"/>
          </w:tcPr>
          <w:p w:rsidR="00766906" w:rsidRPr="00766906" w:rsidRDefault="00766906" w:rsidP="00CB0E57">
            <w:pPr>
              <w:spacing w:line="480" w:lineRule="auto"/>
              <w:rPr>
                <w:rFonts w:ascii="Arial" w:hAnsi="Arial" w:cs="Arial"/>
                <w:i w:val="0"/>
                <w:sz w:val="18"/>
                <w:szCs w:val="18"/>
              </w:rPr>
            </w:pPr>
            <w:proofErr w:type="spellStart"/>
            <w:r w:rsidRPr="00766906">
              <w:rPr>
                <w:rFonts w:ascii="Arial" w:hAnsi="Arial" w:cs="Arial"/>
                <w:sz w:val="18"/>
                <w:szCs w:val="18"/>
              </w:rPr>
              <w:t>Karlodinium</w:t>
            </w:r>
            <w:proofErr w:type="spellEnd"/>
            <w:r w:rsidRPr="00766906">
              <w:rPr>
                <w:rFonts w:ascii="Arial" w:hAnsi="Arial" w:cs="Arial"/>
                <w:sz w:val="18"/>
                <w:szCs w:val="18"/>
              </w:rPr>
              <w:t xml:space="preserve"> </w:t>
            </w:r>
            <w:proofErr w:type="spellStart"/>
            <w:r w:rsidRPr="00766906">
              <w:rPr>
                <w:rFonts w:ascii="Arial" w:hAnsi="Arial" w:cs="Arial"/>
                <w:sz w:val="18"/>
                <w:szCs w:val="18"/>
              </w:rPr>
              <w:t>veneficum</w:t>
            </w:r>
            <w:proofErr w:type="spellEnd"/>
          </w:p>
        </w:tc>
        <w:tc>
          <w:tcPr>
            <w:cnfStyle w:val="000010000000" w:firstRow="0" w:lastRow="0" w:firstColumn="0" w:lastColumn="0" w:oddVBand="1" w:evenVBand="0" w:oddHBand="0" w:evenHBand="0" w:firstRowFirstColumn="0" w:firstRowLastColumn="0" w:lastRowFirstColumn="0" w:lastRowLastColumn="0"/>
            <w:tcW w:w="1530" w:type="dxa"/>
            <w:shd w:val="clear" w:color="auto" w:fill="FFFFFF" w:themeFill="background1"/>
          </w:tcPr>
          <w:p w:rsidR="00766906" w:rsidRPr="00766906" w:rsidRDefault="00766906" w:rsidP="00766906">
            <w:pPr>
              <w:spacing w:line="480" w:lineRule="auto"/>
              <w:rPr>
                <w:rFonts w:ascii="Arial" w:hAnsi="Arial" w:cs="Arial"/>
                <w:sz w:val="18"/>
                <w:szCs w:val="18"/>
              </w:rPr>
            </w:pPr>
            <w:r w:rsidRPr="00766906">
              <w:rPr>
                <w:rFonts w:ascii="Arial" w:hAnsi="Arial" w:cs="Arial"/>
                <w:sz w:val="18"/>
                <w:szCs w:val="18"/>
              </w:rPr>
              <w:t>500,000</w:t>
            </w:r>
          </w:p>
        </w:tc>
        <w:tc>
          <w:tcPr>
            <w:tcW w:w="6750" w:type="dxa"/>
            <w:shd w:val="clear" w:color="auto" w:fill="FFFFFF" w:themeFill="background1"/>
          </w:tcPr>
          <w:p w:rsidR="00766906" w:rsidRPr="00766906" w:rsidRDefault="00766906" w:rsidP="00CB0E57">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66906">
              <w:rPr>
                <w:rFonts w:ascii="Arial" w:hAnsi="Arial" w:cs="Arial"/>
                <w:sz w:val="18"/>
                <w:szCs w:val="18"/>
              </w:rPr>
              <w:t xml:space="preserve">Expert opinion </w:t>
            </w:r>
          </w:p>
        </w:tc>
      </w:tr>
      <w:tr w:rsidR="00766906" w:rsidRPr="00E172A3" w:rsidTr="0076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766906" w:rsidRPr="00766906" w:rsidRDefault="00766906" w:rsidP="00CB0E57">
            <w:pPr>
              <w:spacing w:line="480" w:lineRule="auto"/>
              <w:rPr>
                <w:rFonts w:ascii="Arial" w:hAnsi="Arial" w:cs="Arial"/>
                <w:i w:val="0"/>
                <w:sz w:val="18"/>
                <w:szCs w:val="18"/>
              </w:rPr>
            </w:pPr>
            <w:r w:rsidRPr="00766906">
              <w:rPr>
                <w:rFonts w:ascii="Arial" w:hAnsi="Arial" w:cs="Arial"/>
                <w:sz w:val="18"/>
                <w:szCs w:val="18"/>
              </w:rPr>
              <w:t>Pseudo-</w:t>
            </w:r>
            <w:proofErr w:type="spellStart"/>
            <w:r w:rsidRPr="00766906">
              <w:rPr>
                <w:rFonts w:ascii="Arial" w:hAnsi="Arial" w:cs="Arial"/>
                <w:sz w:val="18"/>
                <w:szCs w:val="18"/>
              </w:rPr>
              <w:t>nitzschia</w:t>
            </w:r>
            <w:proofErr w:type="spellEnd"/>
          </w:p>
        </w:tc>
        <w:tc>
          <w:tcPr>
            <w:cnfStyle w:val="000010000000" w:firstRow="0" w:lastRow="0" w:firstColumn="0" w:lastColumn="0" w:oddVBand="1" w:evenVBand="0" w:oddHBand="0" w:evenHBand="0" w:firstRowFirstColumn="0" w:firstRowLastColumn="0" w:lastRowFirstColumn="0" w:lastRowLastColumn="0"/>
            <w:tcW w:w="1530" w:type="dxa"/>
            <w:shd w:val="clear" w:color="auto" w:fill="FFFFFF" w:themeFill="background1"/>
          </w:tcPr>
          <w:p w:rsidR="00766906" w:rsidRPr="00766906" w:rsidRDefault="00766906" w:rsidP="00766906">
            <w:pPr>
              <w:spacing w:line="480" w:lineRule="auto"/>
              <w:rPr>
                <w:rFonts w:ascii="Arial" w:hAnsi="Arial" w:cs="Arial"/>
                <w:sz w:val="18"/>
                <w:szCs w:val="18"/>
              </w:rPr>
            </w:pPr>
            <w:r w:rsidRPr="00766906">
              <w:rPr>
                <w:rFonts w:ascii="Arial" w:hAnsi="Arial" w:cs="Arial"/>
                <w:sz w:val="18"/>
                <w:szCs w:val="18"/>
              </w:rPr>
              <w:t>10,000-50,000</w:t>
            </w:r>
          </w:p>
        </w:tc>
        <w:tc>
          <w:tcPr>
            <w:tcW w:w="6750" w:type="dxa"/>
            <w:shd w:val="clear" w:color="auto" w:fill="FFFFFF" w:themeFill="background1"/>
          </w:tcPr>
          <w:p w:rsidR="00766906" w:rsidRPr="00766906" w:rsidRDefault="00766906" w:rsidP="00CB0E57">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66906">
              <w:rPr>
                <w:rFonts w:ascii="Arial" w:hAnsi="Arial" w:cs="Arial"/>
                <w:sz w:val="18"/>
                <w:szCs w:val="18"/>
              </w:rPr>
              <w:t>Cal-HABMAP ; Shumway et al. 1995; Anderson et al. 2009</w:t>
            </w:r>
          </w:p>
        </w:tc>
      </w:tr>
    </w:tbl>
    <w:p w:rsidR="00766906" w:rsidRDefault="00766906"/>
    <w:p w:rsidR="0003082C" w:rsidRDefault="0003082C">
      <w:r w:rsidRPr="00012955">
        <w:t>The classification scheme assumes data collection similar to the USGS monitoring program data described above</w:t>
      </w:r>
      <w:r w:rsidR="00E81561">
        <w:t>,</w:t>
      </w:r>
      <w:r w:rsidRPr="00012955">
        <w:t xml:space="preserve"> and includes regular (monthly) monitoring of phytoplankton species and total </w:t>
      </w:r>
      <w:r w:rsidRPr="00012955">
        <w:lastRenderedPageBreak/>
        <w:t xml:space="preserve">(particulate and dissolved) toxin from the top 2 m of the water column using grab samples, deployment of SPATT or similar integrative samplers as part of Bay-wide surveys, and targeted collection of tissue samples from bivalves and marine mammals. For the assessment, the expert working group assumed maximum toxin concentration and maximum cell abundance by Bay </w:t>
      </w:r>
      <w:proofErr w:type="spellStart"/>
      <w:r w:rsidR="00353722">
        <w:t>subembayment</w:t>
      </w:r>
      <w:proofErr w:type="spellEnd"/>
      <w:r w:rsidRPr="00012955">
        <w:t xml:space="preserve"> would be used as a metric because of the potential risk to human and ecosystem health, and the likelihood of </w:t>
      </w:r>
      <w:proofErr w:type="spellStart"/>
      <w:r w:rsidRPr="00012955">
        <w:t>undersampling</w:t>
      </w:r>
      <w:proofErr w:type="spellEnd"/>
      <w:r w:rsidRPr="00012955">
        <w:t xml:space="preserve"> given the relatively coarse temporal and spatial scales. As with the classification scheme for chlorophyll-and DO, we consider this initial set of recommendations to be hypotheses </w:t>
      </w:r>
      <w:r w:rsidR="00E81561">
        <w:t>that</w:t>
      </w:r>
      <w:r w:rsidR="00E81561" w:rsidRPr="00012955">
        <w:t xml:space="preserve"> </w:t>
      </w:r>
      <w:r w:rsidRPr="00012955">
        <w:t xml:space="preserve">should undergo further testing and refinement when more data are available. </w:t>
      </w:r>
    </w:p>
    <w:p w:rsidR="004A6EE0" w:rsidRDefault="004A6EE0" w:rsidP="00BF22C7">
      <w:pPr>
        <w:tabs>
          <w:tab w:val="num" w:pos="1440"/>
        </w:tabs>
        <w:spacing w:line="276" w:lineRule="auto"/>
        <w:rPr>
          <w:rFonts w:asciiTheme="minorHAnsi" w:hAnsiTheme="minorHAnsi"/>
        </w:rPr>
      </w:pPr>
    </w:p>
    <w:p w:rsidR="0003082C" w:rsidRPr="00012955" w:rsidRDefault="00340C83">
      <w:proofErr w:type="gramStart"/>
      <w:r w:rsidRPr="00340C83">
        <w:rPr>
          <w:b/>
        </w:rPr>
        <w:t>Classification of HAB Toxins.</w:t>
      </w:r>
      <w:proofErr w:type="gramEnd"/>
      <w:r>
        <w:t xml:space="preserve"> </w:t>
      </w:r>
      <w:r w:rsidR="0003082C" w:rsidRPr="00012955">
        <w:t xml:space="preserve">Guidance for toxins is currently restricted to </w:t>
      </w:r>
      <w:proofErr w:type="spellStart"/>
      <w:r w:rsidR="0003082C" w:rsidRPr="00012955">
        <w:t>domoic</w:t>
      </w:r>
      <w:proofErr w:type="spellEnd"/>
      <w:r w:rsidR="0003082C" w:rsidRPr="00012955">
        <w:t xml:space="preserve"> acid, </w:t>
      </w:r>
      <w:proofErr w:type="spellStart"/>
      <w:r w:rsidR="0003082C" w:rsidRPr="00012955">
        <w:t>microcystins</w:t>
      </w:r>
      <w:proofErr w:type="spellEnd"/>
      <w:r w:rsidR="0003082C" w:rsidRPr="00012955">
        <w:t xml:space="preserve">, and paralytic shellfish toxins (PSTs) since those three classes of toxins are both persistent and regulated in the State of California. The scheme could be extended to other toxins given sufficient information about acceptable levels. Since existing guidance is based on acute exposure or Tolerable Daily Intake (e.g. World Health Organization guidelines for </w:t>
      </w:r>
      <w:proofErr w:type="spellStart"/>
      <w:r w:rsidR="0003082C" w:rsidRPr="00012955">
        <w:t>microcystins</w:t>
      </w:r>
      <w:proofErr w:type="spellEnd"/>
      <w:r w:rsidR="0003082C" w:rsidRPr="00012955">
        <w:t xml:space="preserve">), we did not </w:t>
      </w:r>
      <w:proofErr w:type="gramStart"/>
      <w:r w:rsidR="0003082C" w:rsidRPr="00012955">
        <w:t>include a “</w:t>
      </w:r>
      <w:proofErr w:type="gramEnd"/>
      <w:r w:rsidR="0003082C" w:rsidRPr="00012955">
        <w:t>duration” of exposure</w:t>
      </w:r>
      <w:r w:rsidR="006B45A8">
        <w:t>,</w:t>
      </w:r>
      <w:r w:rsidR="0003082C" w:rsidRPr="00012955">
        <w:t xml:space="preserve"> and consider chronic effects to be an area of emerging concern (e.g.</w:t>
      </w:r>
      <w:r w:rsidR="00E81561">
        <w:t>,</w:t>
      </w:r>
      <w:r w:rsidR="0003082C" w:rsidRPr="00012955">
        <w:t xml:space="preserve"> </w:t>
      </w:r>
      <w:proofErr w:type="spellStart"/>
      <w:r w:rsidR="0003082C" w:rsidRPr="00012955">
        <w:t>Ger</w:t>
      </w:r>
      <w:proofErr w:type="spellEnd"/>
      <w:r w:rsidR="0003082C" w:rsidRPr="00012955">
        <w:t xml:space="preserve"> et al. 2009; Goldstein et al. 2008; </w:t>
      </w:r>
      <w:proofErr w:type="spellStart"/>
      <w:r w:rsidR="0003082C" w:rsidRPr="00012955">
        <w:t>Hiolski</w:t>
      </w:r>
      <w:proofErr w:type="spellEnd"/>
      <w:r w:rsidR="0003082C" w:rsidRPr="00012955">
        <w:t xml:space="preserve"> et al. 2014) that should be considered as more data become available. </w:t>
      </w:r>
    </w:p>
    <w:p w:rsidR="0003082C" w:rsidRPr="00012955" w:rsidRDefault="0003082C" w:rsidP="00BF22C7">
      <w:pPr>
        <w:tabs>
          <w:tab w:val="num" w:pos="720"/>
          <w:tab w:val="num" w:pos="1440"/>
        </w:tabs>
        <w:spacing w:line="276" w:lineRule="auto"/>
        <w:rPr>
          <w:rFonts w:asciiTheme="minorHAnsi" w:hAnsiTheme="minorHAnsi"/>
        </w:rPr>
      </w:pPr>
    </w:p>
    <w:p w:rsidR="0003082C" w:rsidRPr="00012955" w:rsidRDefault="0003082C">
      <w:r w:rsidRPr="00012955">
        <w:t xml:space="preserve">For toxin concentrations, progressions among classification bins are treated the same, based on existing alert levels, where we classify 50% of the regulatory closure level as a “warning level” and the closure limit as a (regulatory) action level. Ecological condition states are therefore: non-detect to 10% of the warning level, 10-100% of the warning level, above the warning level and below an action level, and above an action level. Since there is no direct correlation between SPATT toxin concentrations and grab sample concentrations, we assigned categories based on historical data from the region, corresponding to those categories and based on comparison of SPATT with grab and tissue samples (Lane et al. 2010; </w:t>
      </w:r>
      <w:proofErr w:type="spellStart"/>
      <w:r w:rsidRPr="00012955">
        <w:t>Kudela</w:t>
      </w:r>
      <w:proofErr w:type="spellEnd"/>
      <w:r w:rsidRPr="00012955">
        <w:t xml:space="preserve"> 201</w:t>
      </w:r>
      <w:r w:rsidR="00E43DE7">
        <w:t>1</w:t>
      </w:r>
      <w:r w:rsidRPr="00012955">
        <w:t>). We acknowledge that this is a weak point of the classification scheme</w:t>
      </w:r>
      <w:r w:rsidR="00340C83">
        <w:t xml:space="preserve"> and a major source of uncertainty</w:t>
      </w:r>
      <w:r w:rsidRPr="00012955">
        <w:t>, but the advantages of SPATT for routine monitoring (Mackenzie et al. 2004) outweigh these concerns.</w:t>
      </w:r>
    </w:p>
    <w:p w:rsidR="0003082C" w:rsidRPr="00012955" w:rsidRDefault="0003082C" w:rsidP="00BF22C7">
      <w:pPr>
        <w:tabs>
          <w:tab w:val="num" w:pos="720"/>
          <w:tab w:val="num" w:pos="1440"/>
        </w:tabs>
        <w:spacing w:line="276" w:lineRule="auto"/>
        <w:rPr>
          <w:rFonts w:asciiTheme="minorHAnsi" w:hAnsiTheme="minorHAnsi"/>
        </w:rPr>
      </w:pPr>
    </w:p>
    <w:p w:rsidR="0003082C" w:rsidRDefault="0003082C">
      <w:r w:rsidRPr="00012955">
        <w:t xml:space="preserve">Tables </w:t>
      </w:r>
      <w:r>
        <w:t>3.</w:t>
      </w:r>
      <w:r w:rsidR="00766906">
        <w:t>8</w:t>
      </w:r>
      <w:r w:rsidRPr="00012955">
        <w:t xml:space="preserve">, </w:t>
      </w:r>
      <w:r>
        <w:t>3.</w:t>
      </w:r>
      <w:r w:rsidR="00766906">
        <w:t>9</w:t>
      </w:r>
      <w:r w:rsidRPr="00012955">
        <w:t xml:space="preserve">, and </w:t>
      </w:r>
      <w:r>
        <w:t>3.</w:t>
      </w:r>
      <w:r w:rsidR="00766906">
        <w:t>10</w:t>
      </w:r>
      <w:r w:rsidRPr="00012955">
        <w:t xml:space="preserve"> provide classification schemes for </w:t>
      </w:r>
      <w:proofErr w:type="spellStart"/>
      <w:r w:rsidRPr="00012955">
        <w:t>microcystins</w:t>
      </w:r>
      <w:proofErr w:type="spellEnd"/>
      <w:r w:rsidRPr="00012955">
        <w:t xml:space="preserve">, </w:t>
      </w:r>
      <w:proofErr w:type="spellStart"/>
      <w:r w:rsidRPr="00012955">
        <w:t>domoic</w:t>
      </w:r>
      <w:proofErr w:type="spellEnd"/>
      <w:r w:rsidRPr="00012955">
        <w:t xml:space="preserve"> acid, and </w:t>
      </w:r>
      <w:proofErr w:type="spellStart"/>
      <w:r w:rsidRPr="00012955">
        <w:t>saxitoxins</w:t>
      </w:r>
      <w:proofErr w:type="spellEnd"/>
      <w:r w:rsidRPr="00012955">
        <w:t xml:space="preserve">. Note that SPATT is not routinely used for </w:t>
      </w:r>
      <w:proofErr w:type="spellStart"/>
      <w:r w:rsidRPr="00012955">
        <w:t>saxitoxins</w:t>
      </w:r>
      <w:proofErr w:type="spellEnd"/>
      <w:r w:rsidRPr="00012955">
        <w:t xml:space="preserve"> and has been omitted from Table </w:t>
      </w:r>
      <w:r>
        <w:t>3.</w:t>
      </w:r>
      <w:r w:rsidR="00766906">
        <w:t>10</w:t>
      </w:r>
      <w:r w:rsidRPr="00012955">
        <w:t xml:space="preserve">. For </w:t>
      </w:r>
      <w:proofErr w:type="spellStart"/>
      <w:r w:rsidRPr="00012955">
        <w:t>microcystins</w:t>
      </w:r>
      <w:proofErr w:type="spellEnd"/>
      <w:r w:rsidRPr="00012955">
        <w:t xml:space="preserve">, water concentrations are based on OEHHA </w:t>
      </w:r>
      <w:r w:rsidR="00735A33">
        <w:t xml:space="preserve">2012 </w:t>
      </w:r>
      <w:r w:rsidRPr="00012955">
        <w:t xml:space="preserve">guidance, which sets the alert level for recreational contact, domestic animals, and livestock at 0.8 ppb for </w:t>
      </w:r>
      <w:proofErr w:type="spellStart"/>
      <w:r w:rsidRPr="00012955">
        <w:t>microcystins</w:t>
      </w:r>
      <w:proofErr w:type="spellEnd"/>
      <w:r w:rsidRPr="00012955">
        <w:t xml:space="preserve"> LR, RR, YR, and LA. For </w:t>
      </w:r>
      <w:proofErr w:type="spellStart"/>
      <w:r w:rsidRPr="00012955">
        <w:t>mussel</w:t>
      </w:r>
      <w:proofErr w:type="spellEnd"/>
      <w:r w:rsidRPr="00012955">
        <w:t xml:space="preserve"> tissue, values are based on WHO guidance of 0.04 µg/kg body weight per day, assuming 100 g consumption of tissue and a 60 kg individual; it is assumed that these values can be scaled to other organisms. Tables </w:t>
      </w:r>
      <w:r>
        <w:t>3.</w:t>
      </w:r>
      <w:r w:rsidR="00766906">
        <w:t>9</w:t>
      </w:r>
      <w:r w:rsidRPr="00012955">
        <w:t xml:space="preserve"> and </w:t>
      </w:r>
      <w:r>
        <w:t>3.</w:t>
      </w:r>
      <w:r w:rsidR="00766906">
        <w:t>10</w:t>
      </w:r>
      <w:r w:rsidRPr="00012955">
        <w:t xml:space="preserve"> provide the same classification scheme for </w:t>
      </w:r>
      <w:proofErr w:type="spellStart"/>
      <w:r w:rsidRPr="00012955">
        <w:t>domoic</w:t>
      </w:r>
      <w:proofErr w:type="spellEnd"/>
      <w:r w:rsidRPr="00012955">
        <w:t xml:space="preserve"> acid and paralytic shellfish toxins. Alert levels are based on California Department of Public Health guidelines for tissue of </w:t>
      </w:r>
      <w:proofErr w:type="gramStart"/>
      <w:r w:rsidRPr="00012955">
        <w:t xml:space="preserve">20 </w:t>
      </w:r>
      <w:proofErr w:type="spellStart"/>
      <w:r w:rsidRPr="00012955">
        <w:t>ug</w:t>
      </w:r>
      <w:proofErr w:type="spellEnd"/>
      <w:r w:rsidRPr="00012955">
        <w:t xml:space="preserve">/g for </w:t>
      </w:r>
      <w:proofErr w:type="spellStart"/>
      <w:r w:rsidRPr="00012955">
        <w:t>domoic</w:t>
      </w:r>
      <w:proofErr w:type="spellEnd"/>
      <w:r w:rsidRPr="00012955">
        <w:t xml:space="preserve"> acid</w:t>
      </w:r>
      <w:proofErr w:type="gramEnd"/>
      <w:r w:rsidRPr="00012955">
        <w:t xml:space="preserve"> and 80 </w:t>
      </w:r>
      <w:proofErr w:type="spellStart"/>
      <w:r w:rsidRPr="00012955">
        <w:t>ug</w:t>
      </w:r>
      <w:proofErr w:type="spellEnd"/>
      <w:r w:rsidRPr="00012955">
        <w:t>/100g for PSTs</w:t>
      </w:r>
      <w:r w:rsidR="009D1F66">
        <w:t xml:space="preserve"> for protection of human health</w:t>
      </w:r>
      <w:r w:rsidRPr="00012955">
        <w:t xml:space="preserve">. For all three toxins, annual assessment of ecological condition would be based on the lowest rating for the year to provide the most protective classification. </w:t>
      </w:r>
    </w:p>
    <w:p w:rsidR="004A6EE0" w:rsidRDefault="004A6EE0" w:rsidP="00BF22C7">
      <w:pPr>
        <w:tabs>
          <w:tab w:val="num" w:pos="720"/>
          <w:tab w:val="num" w:pos="1440"/>
        </w:tabs>
        <w:spacing w:line="276" w:lineRule="auto"/>
        <w:rPr>
          <w:rFonts w:asciiTheme="minorHAnsi" w:hAnsiTheme="minorHAnsi"/>
        </w:rPr>
      </w:pPr>
    </w:p>
    <w:p w:rsidR="004A6EE0" w:rsidRPr="00012955" w:rsidRDefault="004A6EE0" w:rsidP="00BF22C7">
      <w:pPr>
        <w:spacing w:line="276" w:lineRule="auto"/>
        <w:rPr>
          <w:rFonts w:asciiTheme="minorHAnsi" w:hAnsiTheme="minorHAnsi"/>
        </w:rPr>
      </w:pPr>
    </w:p>
    <w:p w:rsidR="00D5413A" w:rsidRDefault="00D5413A">
      <w:pPr>
        <w:pStyle w:val="TOT"/>
        <w:spacing w:before="0" w:after="0" w:line="276" w:lineRule="auto"/>
        <w:rPr>
          <w:caps w:val="0"/>
          <w:smallCaps w:val="0"/>
        </w:rPr>
      </w:pPr>
      <w:bookmarkStart w:id="71" w:name="_Toc410026617"/>
      <w:bookmarkStart w:id="72" w:name="_Toc440224079"/>
    </w:p>
    <w:p w:rsidR="004A6EE0" w:rsidRDefault="004A6EE0">
      <w:pPr>
        <w:pStyle w:val="TOT"/>
        <w:spacing w:before="0" w:after="0" w:line="276" w:lineRule="auto"/>
        <w:rPr>
          <w:caps w:val="0"/>
          <w:smallCaps w:val="0"/>
        </w:rPr>
      </w:pPr>
      <w:proofErr w:type="gramStart"/>
      <w:r w:rsidRPr="004B1D5F">
        <w:rPr>
          <w:caps w:val="0"/>
          <w:smallCaps w:val="0"/>
        </w:rPr>
        <w:lastRenderedPageBreak/>
        <w:t>Table 3.</w:t>
      </w:r>
      <w:r w:rsidR="00766906">
        <w:rPr>
          <w:caps w:val="0"/>
          <w:smallCaps w:val="0"/>
        </w:rPr>
        <w:t>8</w:t>
      </w:r>
      <w:r w:rsidRPr="004B1D5F">
        <w:rPr>
          <w:caps w:val="0"/>
          <w:smallCaps w:val="0"/>
        </w:rPr>
        <w:t>.</w:t>
      </w:r>
      <w:proofErr w:type="gramEnd"/>
      <w:r w:rsidRPr="004B1D5F">
        <w:rPr>
          <w:caps w:val="0"/>
          <w:smallCaps w:val="0"/>
        </w:rPr>
        <w:t xml:space="preserve"> </w:t>
      </w:r>
      <w:proofErr w:type="gramStart"/>
      <w:r w:rsidRPr="004B1D5F">
        <w:rPr>
          <w:caps w:val="0"/>
          <w:smallCaps w:val="0"/>
        </w:rPr>
        <w:t xml:space="preserve">Toxin Classification Table for </w:t>
      </w:r>
      <w:proofErr w:type="spellStart"/>
      <w:r w:rsidRPr="004B1D5F">
        <w:rPr>
          <w:caps w:val="0"/>
          <w:smallCaps w:val="0"/>
        </w:rPr>
        <w:t>Microcystin</w:t>
      </w:r>
      <w:proofErr w:type="spellEnd"/>
      <w:r w:rsidRPr="004B1D5F">
        <w:rPr>
          <w:caps w:val="0"/>
          <w:smallCaps w:val="0"/>
        </w:rPr>
        <w:t>.</w:t>
      </w:r>
      <w:proofErr w:type="gramEnd"/>
      <w:r w:rsidRPr="004B1D5F">
        <w:rPr>
          <w:caps w:val="0"/>
          <w:smallCaps w:val="0"/>
        </w:rPr>
        <w:t xml:space="preserve"> Classification should be applied to each </w:t>
      </w:r>
      <w:proofErr w:type="spellStart"/>
      <w:r w:rsidR="00353722">
        <w:rPr>
          <w:caps w:val="0"/>
          <w:smallCaps w:val="0"/>
        </w:rPr>
        <w:t>subembayment</w:t>
      </w:r>
      <w:proofErr w:type="spellEnd"/>
      <w:r w:rsidRPr="004B1D5F">
        <w:rPr>
          <w:caps w:val="0"/>
          <w:smallCaps w:val="0"/>
        </w:rPr>
        <w:t xml:space="preserve">. If multiple occurrences in different media (particulate, SPATT, tissue) are detected within a </w:t>
      </w:r>
      <w:proofErr w:type="spellStart"/>
      <w:r w:rsidR="00353722">
        <w:rPr>
          <w:caps w:val="0"/>
          <w:smallCaps w:val="0"/>
        </w:rPr>
        <w:t>subembayment</w:t>
      </w:r>
      <w:proofErr w:type="spellEnd"/>
      <w:r w:rsidRPr="004B1D5F">
        <w:rPr>
          <w:caps w:val="0"/>
          <w:smallCaps w:val="0"/>
        </w:rPr>
        <w:t xml:space="preserve"> on an annual basis, the lowest rating for the year should be applied.</w:t>
      </w:r>
      <w:bookmarkEnd w:id="71"/>
      <w:bookmarkEnd w:id="72"/>
      <w:r w:rsidRPr="004B1D5F">
        <w:rPr>
          <w:caps w:val="0"/>
          <w:smallCaps w:val="0"/>
        </w:rPr>
        <w:t xml:space="preserve"> </w:t>
      </w:r>
    </w:p>
    <w:p w:rsidR="00B747E5" w:rsidRPr="004B1D5F" w:rsidRDefault="00B747E5">
      <w:pPr>
        <w:pStyle w:val="TOT"/>
        <w:spacing w:before="0" w:after="0" w:line="276" w:lineRule="auto"/>
        <w:rPr>
          <w:caps w:val="0"/>
          <w:smallCaps w:val="0"/>
        </w:rPr>
      </w:pPr>
    </w:p>
    <w:tbl>
      <w:tblPr>
        <w:tblW w:w="90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115" w:type="dxa"/>
          <w:right w:w="115" w:type="dxa"/>
        </w:tblCellMar>
        <w:tblLook w:val="0420" w:firstRow="1" w:lastRow="0" w:firstColumn="0" w:lastColumn="0" w:noHBand="0" w:noVBand="1"/>
      </w:tblPr>
      <w:tblGrid>
        <w:gridCol w:w="3258"/>
        <w:gridCol w:w="1447"/>
        <w:gridCol w:w="1440"/>
        <w:gridCol w:w="1530"/>
        <w:gridCol w:w="1343"/>
      </w:tblGrid>
      <w:tr w:rsidR="004A6EE0" w:rsidRPr="006549B3" w:rsidTr="00692741">
        <w:trPr>
          <w:trHeight w:val="584"/>
        </w:trPr>
        <w:tc>
          <w:tcPr>
            <w:tcW w:w="3258" w:type="dxa"/>
            <w:vMerge w:val="restart"/>
            <w:tcBorders>
              <w:top w:val="single" w:sz="12" w:space="0" w:color="auto"/>
              <w:bottom w:val="single" w:sz="12" w:space="0" w:color="666666"/>
            </w:tcBorders>
            <w:shd w:val="clear" w:color="auto" w:fill="auto"/>
            <w:vAlign w:val="center"/>
            <w:hideMark/>
          </w:tcPr>
          <w:p w:rsidR="004A6EE0" w:rsidRPr="006549B3" w:rsidRDefault="004A6EE0">
            <w:pPr>
              <w:spacing w:line="276" w:lineRule="auto"/>
              <w:contextualSpacing/>
              <w:rPr>
                <w:rFonts w:ascii="Arial" w:hAnsi="Arial" w:cs="Arial"/>
                <w:b/>
                <w:bCs/>
                <w:sz w:val="18"/>
                <w:szCs w:val="18"/>
              </w:rPr>
            </w:pPr>
            <w:r w:rsidRPr="006549B3">
              <w:rPr>
                <w:rFonts w:ascii="Arial" w:hAnsi="Arial" w:cs="Arial"/>
                <w:b/>
                <w:bCs/>
                <w:sz w:val="18"/>
                <w:szCs w:val="18"/>
              </w:rPr>
              <w:t>Toxin Concentration</w:t>
            </w:r>
          </w:p>
        </w:tc>
        <w:tc>
          <w:tcPr>
            <w:tcW w:w="5760" w:type="dxa"/>
            <w:gridSpan w:val="4"/>
            <w:tcBorders>
              <w:top w:val="single" w:sz="12" w:space="0" w:color="auto"/>
              <w:bottom w:val="single" w:sz="12" w:space="0" w:color="666666"/>
            </w:tcBorders>
            <w:shd w:val="clear" w:color="auto" w:fill="auto"/>
            <w:vAlign w:val="center"/>
            <w:hideMark/>
          </w:tcPr>
          <w:p w:rsidR="004A6EE0" w:rsidRPr="006549B3" w:rsidRDefault="004A6EE0">
            <w:pPr>
              <w:spacing w:line="276" w:lineRule="auto"/>
              <w:contextualSpacing/>
              <w:rPr>
                <w:rFonts w:ascii="Arial" w:hAnsi="Arial" w:cs="Arial"/>
                <w:b/>
                <w:bCs/>
                <w:sz w:val="18"/>
                <w:szCs w:val="18"/>
              </w:rPr>
            </w:pPr>
            <w:r w:rsidRPr="006549B3">
              <w:rPr>
                <w:rFonts w:ascii="Arial" w:hAnsi="Arial" w:cs="Arial"/>
                <w:b/>
                <w:bCs/>
                <w:sz w:val="18"/>
                <w:szCs w:val="18"/>
              </w:rPr>
              <w:t>Ecological Condition Based on Annual Frequency of Occurrence in Monthly Samples</w:t>
            </w:r>
          </w:p>
        </w:tc>
      </w:tr>
      <w:tr w:rsidR="004A6EE0" w:rsidRPr="006549B3" w:rsidTr="00692741">
        <w:trPr>
          <w:trHeight w:val="321"/>
        </w:trPr>
        <w:tc>
          <w:tcPr>
            <w:tcW w:w="3258" w:type="dxa"/>
            <w:vMerge/>
            <w:tcBorders>
              <w:bottom w:val="single" w:sz="12" w:space="0" w:color="auto"/>
            </w:tcBorders>
            <w:shd w:val="clear" w:color="auto" w:fill="auto"/>
            <w:vAlign w:val="center"/>
            <w:hideMark/>
          </w:tcPr>
          <w:p w:rsidR="004A6EE0" w:rsidRPr="006549B3" w:rsidRDefault="004A6EE0">
            <w:pPr>
              <w:spacing w:line="276" w:lineRule="auto"/>
              <w:contextualSpacing/>
              <w:rPr>
                <w:rFonts w:ascii="Arial" w:hAnsi="Arial" w:cs="Arial"/>
                <w:sz w:val="18"/>
                <w:szCs w:val="18"/>
              </w:rPr>
            </w:pPr>
          </w:p>
        </w:tc>
        <w:tc>
          <w:tcPr>
            <w:tcW w:w="1447" w:type="dxa"/>
            <w:tcBorders>
              <w:bottom w:val="single" w:sz="12" w:space="0" w:color="auto"/>
            </w:tcBorders>
            <w:shd w:val="clear" w:color="auto" w:fill="auto"/>
            <w:vAlign w:val="center"/>
            <w:hideMark/>
          </w:tcPr>
          <w:p w:rsidR="004A6EE0" w:rsidRPr="006549B3" w:rsidRDefault="004A6EE0" w:rsidP="00BF22C7">
            <w:pPr>
              <w:spacing w:line="276" w:lineRule="auto"/>
              <w:contextualSpacing/>
              <w:rPr>
                <w:rFonts w:ascii="Arial" w:hAnsi="Arial" w:cs="Arial"/>
                <w:sz w:val="18"/>
                <w:szCs w:val="18"/>
              </w:rPr>
            </w:pPr>
            <w:r w:rsidRPr="006549B3">
              <w:rPr>
                <w:rFonts w:ascii="Arial" w:hAnsi="Arial" w:cs="Arial"/>
                <w:sz w:val="18"/>
                <w:szCs w:val="18"/>
              </w:rPr>
              <w:t>1 of 12</w:t>
            </w:r>
          </w:p>
        </w:tc>
        <w:tc>
          <w:tcPr>
            <w:tcW w:w="1440" w:type="dxa"/>
            <w:tcBorders>
              <w:bottom w:val="single" w:sz="12" w:space="0" w:color="auto"/>
            </w:tcBorders>
            <w:shd w:val="clear" w:color="auto" w:fill="auto"/>
            <w:vAlign w:val="center"/>
            <w:hideMark/>
          </w:tcPr>
          <w:p w:rsidR="004A6EE0" w:rsidRPr="006549B3" w:rsidRDefault="004A6EE0" w:rsidP="00BF22C7">
            <w:pPr>
              <w:spacing w:line="276" w:lineRule="auto"/>
              <w:contextualSpacing/>
              <w:rPr>
                <w:rFonts w:ascii="Arial" w:hAnsi="Arial" w:cs="Arial"/>
                <w:sz w:val="18"/>
                <w:szCs w:val="18"/>
              </w:rPr>
            </w:pPr>
            <w:r w:rsidRPr="006549B3">
              <w:rPr>
                <w:rFonts w:ascii="Arial" w:hAnsi="Arial" w:cs="Arial"/>
                <w:sz w:val="18"/>
                <w:szCs w:val="18"/>
              </w:rPr>
              <w:t>2-3</w:t>
            </w:r>
          </w:p>
        </w:tc>
        <w:tc>
          <w:tcPr>
            <w:tcW w:w="1530" w:type="dxa"/>
            <w:tcBorders>
              <w:bottom w:val="single" w:sz="12" w:space="0" w:color="auto"/>
            </w:tcBorders>
            <w:shd w:val="clear" w:color="auto" w:fill="auto"/>
            <w:vAlign w:val="center"/>
            <w:hideMark/>
          </w:tcPr>
          <w:p w:rsidR="004A6EE0" w:rsidRPr="006549B3" w:rsidRDefault="004A6EE0" w:rsidP="00BF22C7">
            <w:pPr>
              <w:spacing w:line="276" w:lineRule="auto"/>
              <w:contextualSpacing/>
              <w:rPr>
                <w:rFonts w:ascii="Arial" w:hAnsi="Arial" w:cs="Arial"/>
                <w:sz w:val="18"/>
                <w:szCs w:val="18"/>
              </w:rPr>
            </w:pPr>
            <w:r w:rsidRPr="006549B3">
              <w:rPr>
                <w:rFonts w:ascii="Arial" w:hAnsi="Arial" w:cs="Arial"/>
                <w:sz w:val="18"/>
                <w:szCs w:val="18"/>
              </w:rPr>
              <w:t>4-6</w:t>
            </w:r>
          </w:p>
        </w:tc>
        <w:tc>
          <w:tcPr>
            <w:tcW w:w="1343" w:type="dxa"/>
            <w:tcBorders>
              <w:bottom w:val="single" w:sz="12" w:space="0" w:color="auto"/>
            </w:tcBorders>
            <w:shd w:val="clear" w:color="auto" w:fill="auto"/>
            <w:vAlign w:val="center"/>
            <w:hideMark/>
          </w:tcPr>
          <w:p w:rsidR="004A6EE0" w:rsidRPr="006549B3" w:rsidRDefault="004A6EE0" w:rsidP="00BF22C7">
            <w:pPr>
              <w:spacing w:line="276" w:lineRule="auto"/>
              <w:contextualSpacing/>
              <w:rPr>
                <w:rFonts w:ascii="Arial" w:hAnsi="Arial" w:cs="Arial"/>
                <w:sz w:val="18"/>
                <w:szCs w:val="18"/>
              </w:rPr>
            </w:pPr>
            <w:r w:rsidRPr="006549B3">
              <w:rPr>
                <w:rFonts w:ascii="Arial" w:hAnsi="Arial" w:cs="Arial"/>
                <w:sz w:val="18"/>
                <w:szCs w:val="18"/>
              </w:rPr>
              <w:t>6+</w:t>
            </w:r>
          </w:p>
        </w:tc>
      </w:tr>
      <w:tr w:rsidR="004A6EE0" w:rsidRPr="006549B3" w:rsidTr="00692741">
        <w:trPr>
          <w:trHeight w:val="420"/>
        </w:trPr>
        <w:tc>
          <w:tcPr>
            <w:tcW w:w="9018" w:type="dxa"/>
            <w:gridSpan w:val="5"/>
            <w:shd w:val="clear" w:color="auto" w:fill="auto"/>
            <w:vAlign w:val="center"/>
          </w:tcPr>
          <w:p w:rsidR="004A6EE0" w:rsidRPr="006549B3" w:rsidRDefault="004A6EE0">
            <w:pPr>
              <w:spacing w:line="276" w:lineRule="auto"/>
              <w:contextualSpacing/>
              <w:rPr>
                <w:rFonts w:ascii="Arial" w:hAnsi="Arial" w:cs="Arial"/>
                <w:sz w:val="18"/>
                <w:szCs w:val="18"/>
              </w:rPr>
            </w:pPr>
            <w:r w:rsidRPr="006549B3">
              <w:rPr>
                <w:rFonts w:ascii="Arial" w:hAnsi="Arial" w:cs="Arial"/>
                <w:b/>
                <w:sz w:val="18"/>
                <w:szCs w:val="18"/>
              </w:rPr>
              <w:t>Particulate concentration</w:t>
            </w:r>
          </w:p>
        </w:tc>
      </w:tr>
      <w:tr w:rsidR="004A6EE0" w:rsidRPr="006549B3" w:rsidTr="00692741">
        <w:trPr>
          <w:trHeight w:val="440"/>
        </w:trPr>
        <w:tc>
          <w:tcPr>
            <w:tcW w:w="3258" w:type="dxa"/>
            <w:shd w:val="clear" w:color="auto" w:fill="auto"/>
            <w:vAlign w:val="center"/>
            <w:hideMark/>
          </w:tcPr>
          <w:p w:rsidR="004A6EE0" w:rsidRPr="006549B3" w:rsidRDefault="004A6EE0">
            <w:pPr>
              <w:pStyle w:val="NormalWeb"/>
              <w:spacing w:after="0"/>
              <w:ind w:firstLine="360"/>
              <w:rPr>
                <w:rFonts w:ascii="Arial" w:hAnsi="Arial" w:cs="Arial"/>
                <w:sz w:val="18"/>
                <w:szCs w:val="18"/>
              </w:rPr>
            </w:pPr>
            <w:r w:rsidRPr="006549B3">
              <w:rPr>
                <w:rFonts w:ascii="Arial" w:hAnsi="Arial" w:cs="Arial"/>
                <w:bCs/>
                <w:kern w:val="24"/>
                <w:sz w:val="18"/>
                <w:szCs w:val="18"/>
              </w:rPr>
              <w:t>Non-detect</w:t>
            </w:r>
          </w:p>
        </w:tc>
        <w:tc>
          <w:tcPr>
            <w:tcW w:w="1447"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440"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530"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343"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r>
      <w:tr w:rsidR="004A6EE0" w:rsidRPr="006549B3" w:rsidTr="00692741">
        <w:trPr>
          <w:trHeight w:val="368"/>
        </w:trPr>
        <w:tc>
          <w:tcPr>
            <w:tcW w:w="3258" w:type="dxa"/>
            <w:shd w:val="clear" w:color="auto" w:fill="auto"/>
            <w:vAlign w:val="center"/>
            <w:hideMark/>
          </w:tcPr>
          <w:p w:rsidR="004A6EE0" w:rsidRPr="006549B3" w:rsidRDefault="004A6EE0">
            <w:pPr>
              <w:pStyle w:val="NormalWeb"/>
              <w:spacing w:after="0"/>
              <w:ind w:firstLine="360"/>
              <w:rPr>
                <w:rFonts w:ascii="Arial" w:hAnsi="Arial" w:cs="Arial"/>
                <w:sz w:val="18"/>
                <w:szCs w:val="18"/>
              </w:rPr>
            </w:pPr>
            <w:r w:rsidRPr="006549B3">
              <w:rPr>
                <w:rFonts w:ascii="Arial" w:hAnsi="Arial" w:cs="Arial"/>
                <w:kern w:val="24"/>
                <w:sz w:val="18"/>
                <w:szCs w:val="18"/>
              </w:rPr>
              <w:t>Detectable, but &lt; 0.8 ppb</w:t>
            </w:r>
          </w:p>
        </w:tc>
        <w:tc>
          <w:tcPr>
            <w:tcW w:w="1447"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High</w:t>
            </w:r>
          </w:p>
        </w:tc>
        <w:tc>
          <w:tcPr>
            <w:tcW w:w="1440"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530"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343"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Low</w:t>
            </w:r>
          </w:p>
        </w:tc>
      </w:tr>
      <w:tr w:rsidR="004A6EE0" w:rsidRPr="006549B3" w:rsidTr="00692741">
        <w:trPr>
          <w:trHeight w:val="440"/>
        </w:trPr>
        <w:tc>
          <w:tcPr>
            <w:tcW w:w="3258" w:type="dxa"/>
            <w:shd w:val="clear" w:color="auto" w:fill="auto"/>
            <w:vAlign w:val="center"/>
            <w:hideMark/>
          </w:tcPr>
          <w:p w:rsidR="004A6EE0" w:rsidRPr="006549B3" w:rsidRDefault="004A6EE0">
            <w:pPr>
              <w:pStyle w:val="NormalWeb"/>
              <w:spacing w:after="0"/>
              <w:ind w:firstLine="360"/>
              <w:rPr>
                <w:rFonts w:ascii="Arial" w:hAnsi="Arial" w:cs="Arial"/>
                <w:sz w:val="18"/>
                <w:szCs w:val="18"/>
              </w:rPr>
            </w:pPr>
            <w:r w:rsidRPr="006549B3">
              <w:rPr>
                <w:rFonts w:ascii="Arial" w:hAnsi="Arial" w:cs="Arial"/>
                <w:kern w:val="24"/>
                <w:sz w:val="18"/>
                <w:szCs w:val="18"/>
              </w:rPr>
              <w:t>0.8 - 20 ppb</w:t>
            </w:r>
          </w:p>
        </w:tc>
        <w:tc>
          <w:tcPr>
            <w:tcW w:w="1447"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440"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530"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Low</w:t>
            </w:r>
          </w:p>
        </w:tc>
        <w:tc>
          <w:tcPr>
            <w:tcW w:w="1343"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r>
      <w:tr w:rsidR="004A6EE0" w:rsidRPr="006549B3" w:rsidTr="00692741">
        <w:trPr>
          <w:trHeight w:val="350"/>
        </w:trPr>
        <w:tc>
          <w:tcPr>
            <w:tcW w:w="3258" w:type="dxa"/>
            <w:tcBorders>
              <w:bottom w:val="single" w:sz="12" w:space="0" w:color="auto"/>
            </w:tcBorders>
            <w:shd w:val="clear" w:color="auto" w:fill="auto"/>
            <w:vAlign w:val="center"/>
            <w:hideMark/>
          </w:tcPr>
          <w:p w:rsidR="004A6EE0" w:rsidRPr="006549B3" w:rsidRDefault="004A6EE0">
            <w:pPr>
              <w:pStyle w:val="NormalWeb"/>
              <w:spacing w:after="0"/>
              <w:ind w:firstLine="360"/>
              <w:rPr>
                <w:rFonts w:ascii="Arial" w:hAnsi="Arial" w:cs="Arial"/>
                <w:sz w:val="18"/>
                <w:szCs w:val="18"/>
              </w:rPr>
            </w:pPr>
            <w:r w:rsidRPr="006549B3">
              <w:rPr>
                <w:rFonts w:ascii="Arial" w:hAnsi="Arial" w:cs="Arial"/>
                <w:kern w:val="24"/>
                <w:sz w:val="18"/>
                <w:szCs w:val="18"/>
              </w:rPr>
              <w:t>&gt;20 ppb</w:t>
            </w:r>
          </w:p>
        </w:tc>
        <w:tc>
          <w:tcPr>
            <w:tcW w:w="1447" w:type="dxa"/>
            <w:tcBorders>
              <w:bottom w:val="single" w:sz="12" w:space="0" w:color="auto"/>
            </w:tcBorders>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Low</w:t>
            </w:r>
          </w:p>
        </w:tc>
        <w:tc>
          <w:tcPr>
            <w:tcW w:w="1440" w:type="dxa"/>
            <w:tcBorders>
              <w:bottom w:val="single" w:sz="12" w:space="0" w:color="auto"/>
            </w:tcBorders>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c>
          <w:tcPr>
            <w:tcW w:w="1530" w:type="dxa"/>
            <w:tcBorders>
              <w:bottom w:val="single" w:sz="12" w:space="0" w:color="auto"/>
            </w:tcBorders>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c>
          <w:tcPr>
            <w:tcW w:w="1343"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r>
      <w:tr w:rsidR="004A6EE0" w:rsidRPr="006549B3" w:rsidTr="00692741">
        <w:trPr>
          <w:trHeight w:val="420"/>
        </w:trPr>
        <w:tc>
          <w:tcPr>
            <w:tcW w:w="9018" w:type="dxa"/>
            <w:gridSpan w:val="5"/>
            <w:tcBorders>
              <w:top w:val="single" w:sz="12" w:space="0" w:color="auto"/>
            </w:tcBorders>
            <w:shd w:val="clear" w:color="auto" w:fill="auto"/>
            <w:vAlign w:val="center"/>
          </w:tcPr>
          <w:p w:rsidR="004A6EE0" w:rsidRPr="006549B3" w:rsidRDefault="004A6EE0">
            <w:pPr>
              <w:spacing w:line="276" w:lineRule="auto"/>
              <w:contextualSpacing/>
              <w:rPr>
                <w:rFonts w:ascii="Arial" w:hAnsi="Arial" w:cs="Arial"/>
                <w:b/>
                <w:sz w:val="18"/>
                <w:szCs w:val="18"/>
              </w:rPr>
            </w:pPr>
            <w:r w:rsidRPr="006549B3">
              <w:rPr>
                <w:rFonts w:ascii="Arial" w:hAnsi="Arial" w:cs="Arial"/>
                <w:b/>
                <w:sz w:val="18"/>
                <w:szCs w:val="18"/>
              </w:rPr>
              <w:t>SPATT</w:t>
            </w:r>
          </w:p>
        </w:tc>
      </w:tr>
      <w:tr w:rsidR="004A6EE0" w:rsidRPr="006549B3" w:rsidTr="00692741">
        <w:trPr>
          <w:trHeight w:val="350"/>
        </w:trPr>
        <w:tc>
          <w:tcPr>
            <w:tcW w:w="3258" w:type="dxa"/>
            <w:shd w:val="clear" w:color="auto" w:fill="auto"/>
          </w:tcPr>
          <w:p w:rsidR="004A6EE0" w:rsidRPr="006549B3" w:rsidRDefault="004A6EE0">
            <w:pPr>
              <w:pStyle w:val="NormalWeb"/>
              <w:spacing w:after="0"/>
              <w:ind w:left="360"/>
              <w:rPr>
                <w:rFonts w:ascii="Arial" w:hAnsi="Arial" w:cs="Arial"/>
                <w:sz w:val="18"/>
                <w:szCs w:val="18"/>
              </w:rPr>
            </w:pPr>
            <w:r w:rsidRPr="006549B3">
              <w:rPr>
                <w:rFonts w:ascii="Arial" w:hAnsi="Arial" w:cs="Arial"/>
                <w:bCs/>
                <w:kern w:val="24"/>
                <w:sz w:val="18"/>
                <w:szCs w:val="18"/>
              </w:rPr>
              <w:t>Below the warning level &lt;100 ng/g)</w:t>
            </w:r>
          </w:p>
        </w:tc>
        <w:tc>
          <w:tcPr>
            <w:tcW w:w="1447" w:type="dxa"/>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bCs/>
                <w:kern w:val="24"/>
                <w:sz w:val="18"/>
                <w:szCs w:val="18"/>
              </w:rPr>
              <w:t>Very high</w:t>
            </w:r>
          </w:p>
        </w:tc>
        <w:tc>
          <w:tcPr>
            <w:tcW w:w="1440" w:type="dxa"/>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bCs/>
                <w:kern w:val="24"/>
                <w:sz w:val="18"/>
                <w:szCs w:val="18"/>
              </w:rPr>
              <w:t>Very high</w:t>
            </w:r>
          </w:p>
        </w:tc>
        <w:tc>
          <w:tcPr>
            <w:tcW w:w="1530" w:type="dxa"/>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bCs/>
                <w:kern w:val="24"/>
                <w:sz w:val="18"/>
                <w:szCs w:val="18"/>
              </w:rPr>
              <w:t>Very high</w:t>
            </w:r>
          </w:p>
        </w:tc>
        <w:tc>
          <w:tcPr>
            <w:tcW w:w="1343" w:type="dxa"/>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bCs/>
                <w:kern w:val="24"/>
                <w:sz w:val="18"/>
                <w:szCs w:val="18"/>
              </w:rPr>
              <w:t>Very high</w:t>
            </w:r>
          </w:p>
        </w:tc>
      </w:tr>
      <w:tr w:rsidR="004A6EE0" w:rsidRPr="006549B3" w:rsidTr="00692741">
        <w:trPr>
          <w:trHeight w:val="350"/>
        </w:trPr>
        <w:tc>
          <w:tcPr>
            <w:tcW w:w="3258" w:type="dxa"/>
            <w:shd w:val="clear" w:color="auto" w:fill="auto"/>
          </w:tcPr>
          <w:p w:rsidR="004A6EE0" w:rsidRPr="006549B3" w:rsidRDefault="009A58D3">
            <w:pPr>
              <w:pStyle w:val="NormalWeb"/>
              <w:spacing w:after="0"/>
              <w:ind w:left="360"/>
              <w:rPr>
                <w:rFonts w:ascii="Arial" w:hAnsi="Arial" w:cs="Arial"/>
                <w:bCs/>
                <w:kern w:val="24"/>
                <w:sz w:val="18"/>
                <w:szCs w:val="18"/>
              </w:rPr>
            </w:pPr>
            <w:r>
              <w:rPr>
                <w:rFonts w:ascii="Arial" w:hAnsi="Arial" w:cs="Arial"/>
                <w:bCs/>
                <w:kern w:val="24"/>
                <w:sz w:val="18"/>
                <w:szCs w:val="18"/>
              </w:rPr>
              <w:t>100-250 ng/g</w:t>
            </w:r>
          </w:p>
        </w:tc>
        <w:tc>
          <w:tcPr>
            <w:tcW w:w="1447" w:type="dxa"/>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kern w:val="24"/>
                <w:sz w:val="18"/>
                <w:szCs w:val="18"/>
              </w:rPr>
              <w:t>Moderate</w:t>
            </w:r>
          </w:p>
        </w:tc>
        <w:tc>
          <w:tcPr>
            <w:tcW w:w="1440" w:type="dxa"/>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kern w:val="24"/>
                <w:sz w:val="18"/>
                <w:szCs w:val="18"/>
              </w:rPr>
              <w:t>Low</w:t>
            </w:r>
          </w:p>
        </w:tc>
        <w:tc>
          <w:tcPr>
            <w:tcW w:w="1530" w:type="dxa"/>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kern w:val="24"/>
                <w:sz w:val="18"/>
                <w:szCs w:val="18"/>
              </w:rPr>
              <w:t>Very low</w:t>
            </w:r>
          </w:p>
        </w:tc>
        <w:tc>
          <w:tcPr>
            <w:tcW w:w="1343" w:type="dxa"/>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kern w:val="24"/>
                <w:sz w:val="18"/>
                <w:szCs w:val="18"/>
              </w:rPr>
              <w:t>Very Low</w:t>
            </w:r>
          </w:p>
        </w:tc>
      </w:tr>
      <w:tr w:rsidR="004A6EE0" w:rsidRPr="006549B3" w:rsidTr="00692741">
        <w:trPr>
          <w:trHeight w:val="350"/>
        </w:trPr>
        <w:tc>
          <w:tcPr>
            <w:tcW w:w="3258" w:type="dxa"/>
            <w:tcBorders>
              <w:bottom w:val="single" w:sz="12" w:space="0" w:color="auto"/>
            </w:tcBorders>
            <w:shd w:val="clear" w:color="auto" w:fill="auto"/>
          </w:tcPr>
          <w:p w:rsidR="004A6EE0" w:rsidRPr="006549B3" w:rsidRDefault="009A58D3" w:rsidP="009A58D3">
            <w:pPr>
              <w:pStyle w:val="NormalWeb"/>
              <w:spacing w:after="0"/>
              <w:ind w:left="360"/>
              <w:rPr>
                <w:rFonts w:ascii="Arial" w:hAnsi="Arial" w:cs="Arial"/>
                <w:sz w:val="18"/>
                <w:szCs w:val="18"/>
              </w:rPr>
            </w:pPr>
            <w:r>
              <w:rPr>
                <w:rFonts w:ascii="Arial" w:hAnsi="Arial" w:cs="Arial"/>
                <w:kern w:val="24"/>
                <w:sz w:val="18"/>
                <w:szCs w:val="18"/>
              </w:rPr>
              <w:t>&gt;250</w:t>
            </w:r>
            <w:r w:rsidR="004A6EE0" w:rsidRPr="006549B3">
              <w:rPr>
                <w:rFonts w:ascii="Arial" w:hAnsi="Arial" w:cs="Arial"/>
                <w:kern w:val="24"/>
                <w:sz w:val="18"/>
                <w:szCs w:val="18"/>
              </w:rPr>
              <w:t xml:space="preserve"> ng/g</w:t>
            </w:r>
          </w:p>
        </w:tc>
        <w:tc>
          <w:tcPr>
            <w:tcW w:w="1447" w:type="dxa"/>
            <w:tcBorders>
              <w:bottom w:val="single" w:sz="12" w:space="0" w:color="auto"/>
            </w:tcBorders>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sz w:val="18"/>
                <w:szCs w:val="18"/>
              </w:rPr>
              <w:t>Low</w:t>
            </w:r>
          </w:p>
        </w:tc>
        <w:tc>
          <w:tcPr>
            <w:tcW w:w="1440" w:type="dxa"/>
            <w:tcBorders>
              <w:bottom w:val="single" w:sz="12" w:space="0" w:color="auto"/>
            </w:tcBorders>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sz w:val="18"/>
                <w:szCs w:val="18"/>
              </w:rPr>
              <w:t>Very Low</w:t>
            </w:r>
          </w:p>
        </w:tc>
        <w:tc>
          <w:tcPr>
            <w:tcW w:w="1530" w:type="dxa"/>
            <w:tcBorders>
              <w:bottom w:val="single" w:sz="12" w:space="0" w:color="auto"/>
            </w:tcBorders>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sz w:val="18"/>
                <w:szCs w:val="18"/>
              </w:rPr>
              <w:t>Very Low</w:t>
            </w:r>
          </w:p>
        </w:tc>
        <w:tc>
          <w:tcPr>
            <w:tcW w:w="1343" w:type="dxa"/>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sz w:val="18"/>
                <w:szCs w:val="18"/>
              </w:rPr>
              <w:t>Very Low</w:t>
            </w:r>
          </w:p>
        </w:tc>
      </w:tr>
      <w:tr w:rsidR="004A6EE0" w:rsidRPr="006549B3" w:rsidTr="00692741">
        <w:trPr>
          <w:trHeight w:val="420"/>
        </w:trPr>
        <w:tc>
          <w:tcPr>
            <w:tcW w:w="9018" w:type="dxa"/>
            <w:gridSpan w:val="5"/>
            <w:tcBorders>
              <w:top w:val="single" w:sz="12" w:space="0" w:color="auto"/>
            </w:tcBorders>
            <w:shd w:val="clear" w:color="auto" w:fill="auto"/>
            <w:vAlign w:val="center"/>
          </w:tcPr>
          <w:p w:rsidR="004A6EE0" w:rsidRPr="006549B3" w:rsidRDefault="004A6EE0">
            <w:pPr>
              <w:spacing w:line="276" w:lineRule="auto"/>
              <w:rPr>
                <w:rFonts w:ascii="Arial" w:hAnsi="Arial" w:cs="Arial"/>
                <w:b/>
                <w:sz w:val="18"/>
                <w:szCs w:val="18"/>
              </w:rPr>
            </w:pPr>
            <w:proofErr w:type="spellStart"/>
            <w:r w:rsidRPr="006549B3">
              <w:rPr>
                <w:rFonts w:ascii="Arial" w:hAnsi="Arial" w:cs="Arial"/>
                <w:b/>
                <w:sz w:val="18"/>
                <w:szCs w:val="18"/>
              </w:rPr>
              <w:t>Mussel</w:t>
            </w:r>
            <w:proofErr w:type="spellEnd"/>
            <w:r w:rsidRPr="006549B3">
              <w:rPr>
                <w:rFonts w:ascii="Arial" w:hAnsi="Arial" w:cs="Arial"/>
                <w:b/>
                <w:sz w:val="18"/>
                <w:szCs w:val="18"/>
              </w:rPr>
              <w:t xml:space="preserve"> Tissue</w:t>
            </w:r>
          </w:p>
        </w:tc>
      </w:tr>
      <w:tr w:rsidR="004A6EE0" w:rsidRPr="006549B3" w:rsidTr="00692741">
        <w:trPr>
          <w:trHeight w:val="350"/>
        </w:trPr>
        <w:tc>
          <w:tcPr>
            <w:tcW w:w="3258" w:type="dxa"/>
            <w:shd w:val="clear" w:color="auto" w:fill="auto"/>
          </w:tcPr>
          <w:p w:rsidR="004A6EE0" w:rsidRPr="006549B3" w:rsidRDefault="004A6EE0">
            <w:pPr>
              <w:pStyle w:val="NormalWeb"/>
              <w:spacing w:after="0"/>
              <w:ind w:firstLine="360"/>
              <w:rPr>
                <w:rFonts w:ascii="Arial" w:hAnsi="Arial" w:cs="Arial"/>
                <w:bCs/>
                <w:kern w:val="24"/>
                <w:sz w:val="18"/>
                <w:szCs w:val="18"/>
              </w:rPr>
            </w:pPr>
            <w:r w:rsidRPr="006549B3">
              <w:rPr>
                <w:rFonts w:ascii="Arial" w:hAnsi="Arial" w:cs="Arial"/>
                <w:bCs/>
                <w:kern w:val="24"/>
                <w:sz w:val="18"/>
                <w:szCs w:val="18"/>
              </w:rPr>
              <w:t>Non-detect</w:t>
            </w:r>
          </w:p>
        </w:tc>
        <w:tc>
          <w:tcPr>
            <w:tcW w:w="1447"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44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53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343"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r>
      <w:tr w:rsidR="004A6EE0" w:rsidRPr="006549B3" w:rsidTr="00692741">
        <w:trPr>
          <w:trHeight w:val="350"/>
        </w:trPr>
        <w:tc>
          <w:tcPr>
            <w:tcW w:w="3258" w:type="dxa"/>
            <w:shd w:val="clear" w:color="auto" w:fill="auto"/>
          </w:tcPr>
          <w:p w:rsidR="004A6EE0" w:rsidRPr="006549B3" w:rsidRDefault="004A6EE0">
            <w:pPr>
              <w:pStyle w:val="NormalWeb"/>
              <w:spacing w:after="0"/>
              <w:ind w:firstLine="360"/>
              <w:rPr>
                <w:rFonts w:ascii="Arial" w:hAnsi="Arial" w:cs="Arial"/>
                <w:sz w:val="18"/>
                <w:szCs w:val="18"/>
              </w:rPr>
            </w:pPr>
            <w:r w:rsidRPr="006549B3">
              <w:rPr>
                <w:rFonts w:ascii="Arial" w:hAnsi="Arial" w:cs="Arial"/>
                <w:sz w:val="18"/>
                <w:szCs w:val="18"/>
              </w:rPr>
              <w:t>Detectable, but &lt; 12 ng/g</w:t>
            </w:r>
          </w:p>
        </w:tc>
        <w:tc>
          <w:tcPr>
            <w:tcW w:w="1447"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High</w:t>
            </w:r>
          </w:p>
        </w:tc>
        <w:tc>
          <w:tcPr>
            <w:tcW w:w="144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53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343"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Low</w:t>
            </w:r>
          </w:p>
        </w:tc>
      </w:tr>
      <w:tr w:rsidR="004A6EE0" w:rsidRPr="006549B3" w:rsidTr="00692741">
        <w:trPr>
          <w:trHeight w:val="350"/>
        </w:trPr>
        <w:tc>
          <w:tcPr>
            <w:tcW w:w="3258" w:type="dxa"/>
            <w:shd w:val="clear" w:color="auto" w:fill="auto"/>
          </w:tcPr>
          <w:p w:rsidR="004A6EE0" w:rsidRPr="006549B3" w:rsidRDefault="004A6EE0">
            <w:pPr>
              <w:pStyle w:val="NormalWeb"/>
              <w:spacing w:after="0"/>
              <w:ind w:firstLine="360"/>
              <w:rPr>
                <w:rFonts w:ascii="Arial" w:hAnsi="Arial" w:cs="Arial"/>
                <w:sz w:val="18"/>
                <w:szCs w:val="18"/>
              </w:rPr>
            </w:pPr>
            <w:r w:rsidRPr="006549B3">
              <w:rPr>
                <w:rFonts w:ascii="Arial" w:hAnsi="Arial" w:cs="Arial"/>
                <w:sz w:val="18"/>
                <w:szCs w:val="18"/>
              </w:rPr>
              <w:t xml:space="preserve">12-24 ng/g </w:t>
            </w:r>
          </w:p>
        </w:tc>
        <w:tc>
          <w:tcPr>
            <w:tcW w:w="1447"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44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53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Low</w:t>
            </w:r>
          </w:p>
        </w:tc>
        <w:tc>
          <w:tcPr>
            <w:tcW w:w="1343"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r>
      <w:tr w:rsidR="004A6EE0" w:rsidRPr="006549B3" w:rsidTr="00692741">
        <w:trPr>
          <w:trHeight w:val="350"/>
        </w:trPr>
        <w:tc>
          <w:tcPr>
            <w:tcW w:w="3258" w:type="dxa"/>
            <w:tcBorders>
              <w:bottom w:val="single" w:sz="12" w:space="0" w:color="auto"/>
            </w:tcBorders>
            <w:shd w:val="clear" w:color="auto" w:fill="auto"/>
          </w:tcPr>
          <w:p w:rsidR="004A6EE0" w:rsidRPr="006549B3" w:rsidRDefault="004A6EE0">
            <w:pPr>
              <w:pStyle w:val="NormalWeb"/>
              <w:spacing w:after="0"/>
              <w:ind w:firstLine="360"/>
              <w:rPr>
                <w:rFonts w:ascii="Arial" w:hAnsi="Arial" w:cs="Arial"/>
                <w:sz w:val="18"/>
                <w:szCs w:val="18"/>
              </w:rPr>
            </w:pPr>
            <w:r w:rsidRPr="006549B3">
              <w:rPr>
                <w:rFonts w:ascii="Arial" w:hAnsi="Arial" w:cs="Arial"/>
                <w:sz w:val="18"/>
                <w:szCs w:val="18"/>
              </w:rPr>
              <w:t>&gt; 24 ng/g</w:t>
            </w:r>
          </w:p>
        </w:tc>
        <w:tc>
          <w:tcPr>
            <w:tcW w:w="1447" w:type="dxa"/>
            <w:tcBorders>
              <w:bottom w:val="single" w:sz="12" w:space="0" w:color="auto"/>
            </w:tcBorders>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Low</w:t>
            </w:r>
          </w:p>
        </w:tc>
        <w:tc>
          <w:tcPr>
            <w:tcW w:w="1440" w:type="dxa"/>
            <w:tcBorders>
              <w:bottom w:val="single" w:sz="12" w:space="0" w:color="auto"/>
            </w:tcBorders>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c>
          <w:tcPr>
            <w:tcW w:w="1530" w:type="dxa"/>
            <w:tcBorders>
              <w:bottom w:val="single" w:sz="12" w:space="0" w:color="auto"/>
            </w:tcBorders>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c>
          <w:tcPr>
            <w:tcW w:w="1343" w:type="dxa"/>
            <w:tcBorders>
              <w:bottom w:val="single" w:sz="12" w:space="0" w:color="auto"/>
            </w:tcBorders>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r>
    </w:tbl>
    <w:p w:rsidR="004A6EE0" w:rsidRPr="00C5023F" w:rsidRDefault="004A6EE0" w:rsidP="00BF22C7">
      <w:pPr>
        <w:spacing w:line="276" w:lineRule="auto"/>
        <w:rPr>
          <w:sz w:val="22"/>
          <w:szCs w:val="22"/>
        </w:rPr>
      </w:pPr>
    </w:p>
    <w:p w:rsidR="004A6EE0" w:rsidRDefault="004A6EE0">
      <w:pPr>
        <w:spacing w:line="276" w:lineRule="auto"/>
        <w:rPr>
          <w:rFonts w:ascii="Arial" w:hAnsi="Arial"/>
          <w:b/>
          <w:sz w:val="20"/>
          <w:szCs w:val="22"/>
          <w:lang w:bidi="en-US"/>
        </w:rPr>
      </w:pPr>
      <w:bookmarkStart w:id="73" w:name="_Toc410026618"/>
      <w:r>
        <w:br w:type="page"/>
      </w:r>
    </w:p>
    <w:p w:rsidR="004A6EE0" w:rsidRDefault="004A6EE0">
      <w:pPr>
        <w:pStyle w:val="TOT"/>
        <w:spacing w:before="0" w:after="0" w:line="276" w:lineRule="auto"/>
        <w:rPr>
          <w:caps w:val="0"/>
          <w:smallCaps w:val="0"/>
        </w:rPr>
      </w:pPr>
      <w:bookmarkStart w:id="74" w:name="_Toc440224080"/>
      <w:proofErr w:type="gramStart"/>
      <w:r w:rsidRPr="004B1D5F">
        <w:rPr>
          <w:caps w:val="0"/>
          <w:smallCaps w:val="0"/>
        </w:rPr>
        <w:lastRenderedPageBreak/>
        <w:t>Table 3.</w:t>
      </w:r>
      <w:r w:rsidR="00766906">
        <w:rPr>
          <w:caps w:val="0"/>
          <w:smallCaps w:val="0"/>
        </w:rPr>
        <w:t>9</w:t>
      </w:r>
      <w:r w:rsidRPr="004B1D5F">
        <w:rPr>
          <w:caps w:val="0"/>
          <w:smallCaps w:val="0"/>
        </w:rPr>
        <w:t>.</w:t>
      </w:r>
      <w:proofErr w:type="gramEnd"/>
      <w:r w:rsidRPr="004B1D5F">
        <w:rPr>
          <w:caps w:val="0"/>
          <w:smallCaps w:val="0"/>
        </w:rPr>
        <w:t xml:space="preserve"> </w:t>
      </w:r>
      <w:proofErr w:type="gramStart"/>
      <w:r w:rsidRPr="004B1D5F">
        <w:rPr>
          <w:caps w:val="0"/>
          <w:smallCaps w:val="0"/>
        </w:rPr>
        <w:t xml:space="preserve">Toxin Classification Table for </w:t>
      </w:r>
      <w:proofErr w:type="spellStart"/>
      <w:r w:rsidRPr="004B1D5F">
        <w:rPr>
          <w:caps w:val="0"/>
          <w:smallCaps w:val="0"/>
        </w:rPr>
        <w:t>Domoic</w:t>
      </w:r>
      <w:proofErr w:type="spellEnd"/>
      <w:r w:rsidRPr="004B1D5F">
        <w:rPr>
          <w:caps w:val="0"/>
          <w:smallCaps w:val="0"/>
        </w:rPr>
        <w:t xml:space="preserve"> Acid.</w:t>
      </w:r>
      <w:proofErr w:type="gramEnd"/>
      <w:r w:rsidRPr="004B1D5F">
        <w:rPr>
          <w:caps w:val="0"/>
          <w:smallCaps w:val="0"/>
        </w:rPr>
        <w:t xml:space="preserve"> Classification should be applied to each </w:t>
      </w:r>
      <w:proofErr w:type="spellStart"/>
      <w:r w:rsidR="00353722">
        <w:rPr>
          <w:caps w:val="0"/>
          <w:smallCaps w:val="0"/>
        </w:rPr>
        <w:t>subembayment</w:t>
      </w:r>
      <w:proofErr w:type="spellEnd"/>
      <w:r w:rsidRPr="004B1D5F">
        <w:rPr>
          <w:caps w:val="0"/>
          <w:smallCaps w:val="0"/>
        </w:rPr>
        <w:t xml:space="preserve">. If multiple hits in different media (particulate, SPATT, tissue) are detected within a </w:t>
      </w:r>
      <w:proofErr w:type="spellStart"/>
      <w:r w:rsidR="00353722">
        <w:rPr>
          <w:caps w:val="0"/>
          <w:smallCaps w:val="0"/>
        </w:rPr>
        <w:t>subembayment</w:t>
      </w:r>
      <w:proofErr w:type="spellEnd"/>
      <w:r w:rsidRPr="004B1D5F">
        <w:rPr>
          <w:caps w:val="0"/>
          <w:smallCaps w:val="0"/>
        </w:rPr>
        <w:t xml:space="preserve"> on an annual basis, lowest rating for the year should be applied.</w:t>
      </w:r>
      <w:bookmarkEnd w:id="73"/>
      <w:bookmarkEnd w:id="74"/>
      <w:r w:rsidRPr="004B1D5F">
        <w:rPr>
          <w:caps w:val="0"/>
          <w:smallCaps w:val="0"/>
        </w:rPr>
        <w:t xml:space="preserve"> </w:t>
      </w:r>
    </w:p>
    <w:p w:rsidR="00B747E5" w:rsidRPr="004B1D5F" w:rsidRDefault="00B747E5">
      <w:pPr>
        <w:pStyle w:val="TOT"/>
        <w:spacing w:before="0" w:after="0" w:line="276" w:lineRule="auto"/>
        <w:rPr>
          <w:caps w:val="0"/>
          <w:smallCaps w:val="0"/>
        </w:rPr>
      </w:pPr>
    </w:p>
    <w:tbl>
      <w:tblPr>
        <w:tblW w:w="90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115" w:type="dxa"/>
          <w:right w:w="115" w:type="dxa"/>
        </w:tblCellMar>
        <w:tblLook w:val="0420" w:firstRow="1" w:lastRow="0" w:firstColumn="0" w:lastColumn="0" w:noHBand="0" w:noVBand="1"/>
      </w:tblPr>
      <w:tblGrid>
        <w:gridCol w:w="3258"/>
        <w:gridCol w:w="1447"/>
        <w:gridCol w:w="1440"/>
        <w:gridCol w:w="1530"/>
        <w:gridCol w:w="1343"/>
      </w:tblGrid>
      <w:tr w:rsidR="004A6EE0" w:rsidRPr="006549B3" w:rsidTr="00692741">
        <w:trPr>
          <w:trHeight w:val="584"/>
        </w:trPr>
        <w:tc>
          <w:tcPr>
            <w:tcW w:w="3258" w:type="dxa"/>
            <w:vMerge w:val="restart"/>
            <w:tcBorders>
              <w:top w:val="single" w:sz="12" w:space="0" w:color="auto"/>
              <w:bottom w:val="single" w:sz="12" w:space="0" w:color="666666"/>
            </w:tcBorders>
            <w:shd w:val="clear" w:color="auto" w:fill="auto"/>
            <w:vAlign w:val="center"/>
            <w:hideMark/>
          </w:tcPr>
          <w:p w:rsidR="004A6EE0" w:rsidRPr="006549B3" w:rsidRDefault="004A6EE0">
            <w:pPr>
              <w:spacing w:line="276" w:lineRule="auto"/>
              <w:contextualSpacing/>
              <w:rPr>
                <w:rFonts w:ascii="Arial" w:hAnsi="Arial" w:cs="Arial"/>
                <w:b/>
                <w:bCs/>
                <w:sz w:val="18"/>
                <w:szCs w:val="18"/>
              </w:rPr>
            </w:pPr>
            <w:r w:rsidRPr="006549B3">
              <w:rPr>
                <w:rFonts w:ascii="Arial" w:hAnsi="Arial" w:cs="Arial"/>
                <w:b/>
                <w:bCs/>
                <w:sz w:val="18"/>
                <w:szCs w:val="18"/>
              </w:rPr>
              <w:t>Toxin Concentration</w:t>
            </w:r>
          </w:p>
        </w:tc>
        <w:tc>
          <w:tcPr>
            <w:tcW w:w="5760" w:type="dxa"/>
            <w:gridSpan w:val="4"/>
            <w:tcBorders>
              <w:top w:val="single" w:sz="12" w:space="0" w:color="auto"/>
              <w:bottom w:val="single" w:sz="12" w:space="0" w:color="666666"/>
            </w:tcBorders>
            <w:shd w:val="clear" w:color="auto" w:fill="auto"/>
            <w:vAlign w:val="center"/>
            <w:hideMark/>
          </w:tcPr>
          <w:p w:rsidR="004A6EE0" w:rsidRPr="006549B3" w:rsidRDefault="004A6EE0">
            <w:pPr>
              <w:spacing w:line="276" w:lineRule="auto"/>
              <w:contextualSpacing/>
              <w:rPr>
                <w:rFonts w:ascii="Arial" w:hAnsi="Arial" w:cs="Arial"/>
                <w:b/>
                <w:bCs/>
                <w:sz w:val="18"/>
                <w:szCs w:val="18"/>
              </w:rPr>
            </w:pPr>
            <w:r w:rsidRPr="006549B3">
              <w:rPr>
                <w:rFonts w:ascii="Arial" w:hAnsi="Arial" w:cs="Arial"/>
                <w:b/>
                <w:bCs/>
                <w:sz w:val="18"/>
                <w:szCs w:val="18"/>
              </w:rPr>
              <w:t>Ecological Condition Based on Annual Frequency of Occurrence in Monthly Samples</w:t>
            </w:r>
          </w:p>
        </w:tc>
      </w:tr>
      <w:tr w:rsidR="004A6EE0" w:rsidRPr="006549B3" w:rsidTr="00692741">
        <w:trPr>
          <w:trHeight w:val="321"/>
        </w:trPr>
        <w:tc>
          <w:tcPr>
            <w:tcW w:w="3258" w:type="dxa"/>
            <w:vMerge/>
            <w:tcBorders>
              <w:bottom w:val="single" w:sz="12" w:space="0" w:color="auto"/>
            </w:tcBorders>
            <w:shd w:val="clear" w:color="auto" w:fill="auto"/>
            <w:vAlign w:val="center"/>
            <w:hideMark/>
          </w:tcPr>
          <w:p w:rsidR="004A6EE0" w:rsidRPr="006549B3" w:rsidRDefault="004A6EE0">
            <w:pPr>
              <w:spacing w:line="276" w:lineRule="auto"/>
              <w:contextualSpacing/>
              <w:rPr>
                <w:rFonts w:ascii="Arial" w:hAnsi="Arial" w:cs="Arial"/>
                <w:sz w:val="18"/>
                <w:szCs w:val="18"/>
              </w:rPr>
            </w:pPr>
          </w:p>
        </w:tc>
        <w:tc>
          <w:tcPr>
            <w:tcW w:w="1447" w:type="dxa"/>
            <w:tcBorders>
              <w:bottom w:val="single" w:sz="12" w:space="0" w:color="auto"/>
            </w:tcBorders>
            <w:shd w:val="clear" w:color="auto" w:fill="auto"/>
            <w:vAlign w:val="center"/>
            <w:hideMark/>
          </w:tcPr>
          <w:p w:rsidR="004A6EE0" w:rsidRPr="006549B3" w:rsidRDefault="004A6EE0" w:rsidP="00BF22C7">
            <w:pPr>
              <w:spacing w:line="276" w:lineRule="auto"/>
              <w:contextualSpacing/>
              <w:rPr>
                <w:rFonts w:ascii="Arial" w:hAnsi="Arial" w:cs="Arial"/>
                <w:sz w:val="18"/>
                <w:szCs w:val="18"/>
              </w:rPr>
            </w:pPr>
            <w:r w:rsidRPr="006549B3">
              <w:rPr>
                <w:rFonts w:ascii="Arial" w:hAnsi="Arial" w:cs="Arial"/>
                <w:sz w:val="18"/>
                <w:szCs w:val="18"/>
              </w:rPr>
              <w:t>1 of 12</w:t>
            </w:r>
          </w:p>
        </w:tc>
        <w:tc>
          <w:tcPr>
            <w:tcW w:w="1440" w:type="dxa"/>
            <w:tcBorders>
              <w:bottom w:val="single" w:sz="12" w:space="0" w:color="auto"/>
            </w:tcBorders>
            <w:shd w:val="clear" w:color="auto" w:fill="auto"/>
            <w:vAlign w:val="center"/>
            <w:hideMark/>
          </w:tcPr>
          <w:p w:rsidR="004A6EE0" w:rsidRPr="006549B3" w:rsidRDefault="004A6EE0" w:rsidP="00BF22C7">
            <w:pPr>
              <w:spacing w:line="276" w:lineRule="auto"/>
              <w:contextualSpacing/>
              <w:rPr>
                <w:rFonts w:ascii="Arial" w:hAnsi="Arial" w:cs="Arial"/>
                <w:sz w:val="18"/>
                <w:szCs w:val="18"/>
              </w:rPr>
            </w:pPr>
            <w:r w:rsidRPr="006549B3">
              <w:rPr>
                <w:rFonts w:ascii="Arial" w:hAnsi="Arial" w:cs="Arial"/>
                <w:sz w:val="18"/>
                <w:szCs w:val="18"/>
              </w:rPr>
              <w:t>2-3</w:t>
            </w:r>
          </w:p>
        </w:tc>
        <w:tc>
          <w:tcPr>
            <w:tcW w:w="1530" w:type="dxa"/>
            <w:tcBorders>
              <w:bottom w:val="single" w:sz="12" w:space="0" w:color="auto"/>
            </w:tcBorders>
            <w:shd w:val="clear" w:color="auto" w:fill="auto"/>
            <w:vAlign w:val="center"/>
            <w:hideMark/>
          </w:tcPr>
          <w:p w:rsidR="004A6EE0" w:rsidRPr="006549B3" w:rsidRDefault="004A6EE0" w:rsidP="00BF22C7">
            <w:pPr>
              <w:spacing w:line="276" w:lineRule="auto"/>
              <w:contextualSpacing/>
              <w:rPr>
                <w:rFonts w:ascii="Arial" w:hAnsi="Arial" w:cs="Arial"/>
                <w:sz w:val="18"/>
                <w:szCs w:val="18"/>
              </w:rPr>
            </w:pPr>
            <w:r w:rsidRPr="006549B3">
              <w:rPr>
                <w:rFonts w:ascii="Arial" w:hAnsi="Arial" w:cs="Arial"/>
                <w:sz w:val="18"/>
                <w:szCs w:val="18"/>
              </w:rPr>
              <w:t>4-6</w:t>
            </w:r>
          </w:p>
        </w:tc>
        <w:tc>
          <w:tcPr>
            <w:tcW w:w="1343" w:type="dxa"/>
            <w:tcBorders>
              <w:bottom w:val="single" w:sz="12" w:space="0" w:color="auto"/>
            </w:tcBorders>
            <w:shd w:val="clear" w:color="auto" w:fill="auto"/>
            <w:vAlign w:val="center"/>
            <w:hideMark/>
          </w:tcPr>
          <w:p w:rsidR="004A6EE0" w:rsidRPr="006549B3" w:rsidRDefault="004A6EE0" w:rsidP="00BF22C7">
            <w:pPr>
              <w:spacing w:line="276" w:lineRule="auto"/>
              <w:contextualSpacing/>
              <w:rPr>
                <w:rFonts w:ascii="Arial" w:hAnsi="Arial" w:cs="Arial"/>
                <w:sz w:val="18"/>
                <w:szCs w:val="18"/>
              </w:rPr>
            </w:pPr>
            <w:r w:rsidRPr="006549B3">
              <w:rPr>
                <w:rFonts w:ascii="Arial" w:hAnsi="Arial" w:cs="Arial"/>
                <w:sz w:val="18"/>
                <w:szCs w:val="18"/>
              </w:rPr>
              <w:t>6+</w:t>
            </w:r>
          </w:p>
        </w:tc>
      </w:tr>
      <w:tr w:rsidR="004A6EE0" w:rsidRPr="006549B3" w:rsidTr="00692741">
        <w:trPr>
          <w:trHeight w:val="420"/>
        </w:trPr>
        <w:tc>
          <w:tcPr>
            <w:tcW w:w="9018" w:type="dxa"/>
            <w:gridSpan w:val="5"/>
            <w:shd w:val="clear" w:color="auto" w:fill="auto"/>
            <w:vAlign w:val="center"/>
          </w:tcPr>
          <w:p w:rsidR="004A6EE0" w:rsidRPr="006549B3" w:rsidRDefault="004A6EE0">
            <w:pPr>
              <w:spacing w:line="276" w:lineRule="auto"/>
              <w:contextualSpacing/>
              <w:rPr>
                <w:rFonts w:ascii="Arial" w:hAnsi="Arial" w:cs="Arial"/>
                <w:sz w:val="18"/>
                <w:szCs w:val="18"/>
              </w:rPr>
            </w:pPr>
            <w:r w:rsidRPr="006549B3">
              <w:rPr>
                <w:rFonts w:ascii="Arial" w:hAnsi="Arial" w:cs="Arial"/>
                <w:b/>
                <w:sz w:val="18"/>
                <w:szCs w:val="18"/>
              </w:rPr>
              <w:t>Particulate concentration</w:t>
            </w:r>
          </w:p>
        </w:tc>
      </w:tr>
      <w:tr w:rsidR="004A6EE0" w:rsidRPr="006549B3" w:rsidTr="00692741">
        <w:trPr>
          <w:trHeight w:val="440"/>
        </w:trPr>
        <w:tc>
          <w:tcPr>
            <w:tcW w:w="3258" w:type="dxa"/>
            <w:shd w:val="clear" w:color="auto" w:fill="auto"/>
            <w:vAlign w:val="center"/>
            <w:hideMark/>
          </w:tcPr>
          <w:p w:rsidR="004A6EE0" w:rsidRPr="006549B3" w:rsidRDefault="004A6EE0">
            <w:pPr>
              <w:pStyle w:val="NormalWeb"/>
              <w:spacing w:after="0"/>
              <w:ind w:firstLine="360"/>
              <w:rPr>
                <w:rFonts w:ascii="Arial" w:hAnsi="Arial" w:cs="Arial"/>
                <w:sz w:val="18"/>
                <w:szCs w:val="18"/>
              </w:rPr>
            </w:pPr>
            <w:r w:rsidRPr="006549B3">
              <w:rPr>
                <w:rFonts w:ascii="Arial" w:hAnsi="Arial" w:cs="Arial"/>
                <w:bCs/>
                <w:kern w:val="24"/>
                <w:sz w:val="18"/>
                <w:szCs w:val="18"/>
              </w:rPr>
              <w:t>Non-detect</w:t>
            </w:r>
          </w:p>
        </w:tc>
        <w:tc>
          <w:tcPr>
            <w:tcW w:w="1447"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440"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530"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343"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r>
      <w:tr w:rsidR="004A6EE0" w:rsidRPr="006549B3" w:rsidTr="00692741">
        <w:trPr>
          <w:trHeight w:val="368"/>
        </w:trPr>
        <w:tc>
          <w:tcPr>
            <w:tcW w:w="3258" w:type="dxa"/>
            <w:shd w:val="clear" w:color="auto" w:fill="auto"/>
            <w:hideMark/>
          </w:tcPr>
          <w:p w:rsidR="004A6EE0" w:rsidRPr="006549B3" w:rsidRDefault="004A6EE0">
            <w:pPr>
              <w:pStyle w:val="NormalWeb"/>
              <w:spacing w:after="0"/>
              <w:ind w:left="360"/>
              <w:rPr>
                <w:rFonts w:ascii="Arial" w:hAnsi="Arial" w:cs="Arial"/>
                <w:sz w:val="18"/>
                <w:szCs w:val="18"/>
              </w:rPr>
            </w:pPr>
            <w:r w:rsidRPr="006549B3">
              <w:rPr>
                <w:rFonts w:ascii="Arial" w:hAnsi="Arial" w:cs="Arial"/>
                <w:bCs/>
                <w:kern w:val="24"/>
                <w:sz w:val="18"/>
                <w:szCs w:val="18"/>
              </w:rPr>
              <w:t xml:space="preserve">0-100 </w:t>
            </w:r>
            <w:proofErr w:type="spellStart"/>
            <w:r w:rsidRPr="006549B3">
              <w:rPr>
                <w:rFonts w:ascii="Arial" w:hAnsi="Arial" w:cs="Arial"/>
                <w:bCs/>
                <w:kern w:val="24"/>
                <w:sz w:val="18"/>
                <w:szCs w:val="18"/>
              </w:rPr>
              <w:t>ug</w:t>
            </w:r>
            <w:proofErr w:type="spellEnd"/>
            <w:r w:rsidRPr="006549B3">
              <w:rPr>
                <w:rFonts w:ascii="Arial" w:hAnsi="Arial" w:cs="Arial"/>
                <w:bCs/>
                <w:kern w:val="24"/>
                <w:sz w:val="18"/>
                <w:szCs w:val="18"/>
              </w:rPr>
              <w:t>/L</w:t>
            </w:r>
          </w:p>
        </w:tc>
        <w:tc>
          <w:tcPr>
            <w:tcW w:w="1447"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High</w:t>
            </w:r>
          </w:p>
        </w:tc>
        <w:tc>
          <w:tcPr>
            <w:tcW w:w="1440"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530"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343"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Low</w:t>
            </w:r>
          </w:p>
        </w:tc>
      </w:tr>
      <w:tr w:rsidR="004A6EE0" w:rsidRPr="006549B3" w:rsidTr="00692741">
        <w:trPr>
          <w:trHeight w:val="440"/>
        </w:trPr>
        <w:tc>
          <w:tcPr>
            <w:tcW w:w="3258" w:type="dxa"/>
            <w:shd w:val="clear" w:color="auto" w:fill="auto"/>
            <w:hideMark/>
          </w:tcPr>
          <w:p w:rsidR="004A6EE0" w:rsidRPr="006549B3" w:rsidRDefault="004A6EE0">
            <w:pPr>
              <w:pStyle w:val="NormalWeb"/>
              <w:spacing w:after="0"/>
              <w:ind w:left="360"/>
              <w:rPr>
                <w:rFonts w:ascii="Arial" w:hAnsi="Arial" w:cs="Arial"/>
                <w:sz w:val="18"/>
                <w:szCs w:val="18"/>
              </w:rPr>
            </w:pPr>
            <w:r w:rsidRPr="006549B3">
              <w:rPr>
                <w:rFonts w:ascii="Arial" w:hAnsi="Arial" w:cs="Arial"/>
                <w:kern w:val="24"/>
                <w:sz w:val="18"/>
                <w:szCs w:val="18"/>
              </w:rPr>
              <w:t xml:space="preserve">100 - 1000 </w:t>
            </w:r>
            <w:proofErr w:type="spellStart"/>
            <w:r w:rsidRPr="006549B3">
              <w:rPr>
                <w:rFonts w:ascii="Arial" w:hAnsi="Arial" w:cs="Arial"/>
                <w:kern w:val="24"/>
                <w:sz w:val="18"/>
                <w:szCs w:val="18"/>
              </w:rPr>
              <w:t>ug</w:t>
            </w:r>
            <w:proofErr w:type="spellEnd"/>
            <w:r w:rsidRPr="006549B3">
              <w:rPr>
                <w:rFonts w:ascii="Arial" w:hAnsi="Arial" w:cs="Arial"/>
                <w:kern w:val="24"/>
                <w:sz w:val="18"/>
                <w:szCs w:val="18"/>
              </w:rPr>
              <w:t>/L</w:t>
            </w:r>
          </w:p>
        </w:tc>
        <w:tc>
          <w:tcPr>
            <w:tcW w:w="1447"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440"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530"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Low</w:t>
            </w:r>
          </w:p>
        </w:tc>
        <w:tc>
          <w:tcPr>
            <w:tcW w:w="1343"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r>
      <w:tr w:rsidR="004A6EE0" w:rsidRPr="006549B3" w:rsidTr="00692741">
        <w:trPr>
          <w:trHeight w:val="350"/>
        </w:trPr>
        <w:tc>
          <w:tcPr>
            <w:tcW w:w="3258" w:type="dxa"/>
            <w:tcBorders>
              <w:bottom w:val="single" w:sz="12" w:space="0" w:color="auto"/>
            </w:tcBorders>
            <w:shd w:val="clear" w:color="auto" w:fill="auto"/>
            <w:hideMark/>
          </w:tcPr>
          <w:p w:rsidR="004A6EE0" w:rsidRPr="006549B3" w:rsidRDefault="004A6EE0">
            <w:pPr>
              <w:pStyle w:val="NormalWeb"/>
              <w:spacing w:after="0"/>
              <w:ind w:left="360"/>
              <w:rPr>
                <w:rFonts w:ascii="Arial" w:hAnsi="Arial" w:cs="Arial"/>
                <w:sz w:val="18"/>
                <w:szCs w:val="18"/>
              </w:rPr>
            </w:pPr>
            <w:r w:rsidRPr="006549B3">
              <w:rPr>
                <w:rFonts w:ascii="Arial" w:hAnsi="Arial" w:cs="Arial"/>
                <w:kern w:val="24"/>
                <w:sz w:val="18"/>
                <w:szCs w:val="18"/>
              </w:rPr>
              <w:t xml:space="preserve">&gt; 1000 </w:t>
            </w:r>
            <w:proofErr w:type="spellStart"/>
            <w:r w:rsidRPr="006549B3">
              <w:rPr>
                <w:rFonts w:ascii="Arial" w:hAnsi="Arial" w:cs="Arial"/>
                <w:kern w:val="24"/>
                <w:sz w:val="18"/>
                <w:szCs w:val="18"/>
              </w:rPr>
              <w:t>ug</w:t>
            </w:r>
            <w:proofErr w:type="spellEnd"/>
            <w:r w:rsidRPr="006549B3">
              <w:rPr>
                <w:rFonts w:ascii="Arial" w:hAnsi="Arial" w:cs="Arial"/>
                <w:kern w:val="24"/>
                <w:sz w:val="18"/>
                <w:szCs w:val="18"/>
              </w:rPr>
              <w:t>/L</w:t>
            </w:r>
          </w:p>
        </w:tc>
        <w:tc>
          <w:tcPr>
            <w:tcW w:w="1447" w:type="dxa"/>
            <w:tcBorders>
              <w:bottom w:val="single" w:sz="12" w:space="0" w:color="auto"/>
            </w:tcBorders>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Low</w:t>
            </w:r>
          </w:p>
        </w:tc>
        <w:tc>
          <w:tcPr>
            <w:tcW w:w="1440" w:type="dxa"/>
            <w:tcBorders>
              <w:bottom w:val="single" w:sz="12" w:space="0" w:color="auto"/>
            </w:tcBorders>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c>
          <w:tcPr>
            <w:tcW w:w="1530" w:type="dxa"/>
            <w:tcBorders>
              <w:bottom w:val="single" w:sz="12" w:space="0" w:color="auto"/>
            </w:tcBorders>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c>
          <w:tcPr>
            <w:tcW w:w="1343" w:type="dxa"/>
            <w:shd w:val="clear" w:color="auto" w:fill="auto"/>
            <w:vAlign w:val="center"/>
            <w:hideMark/>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r>
      <w:tr w:rsidR="004A6EE0" w:rsidRPr="006549B3" w:rsidTr="00692741">
        <w:trPr>
          <w:trHeight w:val="420"/>
        </w:trPr>
        <w:tc>
          <w:tcPr>
            <w:tcW w:w="9018" w:type="dxa"/>
            <w:gridSpan w:val="5"/>
            <w:tcBorders>
              <w:top w:val="single" w:sz="12" w:space="0" w:color="auto"/>
            </w:tcBorders>
            <w:shd w:val="clear" w:color="auto" w:fill="auto"/>
            <w:vAlign w:val="center"/>
          </w:tcPr>
          <w:p w:rsidR="004A6EE0" w:rsidRPr="006549B3" w:rsidRDefault="004A6EE0">
            <w:pPr>
              <w:spacing w:line="276" w:lineRule="auto"/>
              <w:contextualSpacing/>
              <w:rPr>
                <w:rFonts w:ascii="Arial" w:hAnsi="Arial" w:cs="Arial"/>
                <w:b/>
                <w:sz w:val="18"/>
                <w:szCs w:val="18"/>
              </w:rPr>
            </w:pPr>
            <w:r w:rsidRPr="006549B3">
              <w:rPr>
                <w:rFonts w:ascii="Arial" w:hAnsi="Arial" w:cs="Arial"/>
                <w:b/>
                <w:sz w:val="18"/>
                <w:szCs w:val="18"/>
              </w:rPr>
              <w:t>SPATT</w:t>
            </w:r>
          </w:p>
        </w:tc>
      </w:tr>
      <w:tr w:rsidR="004A6EE0" w:rsidRPr="006549B3" w:rsidTr="00692741">
        <w:trPr>
          <w:trHeight w:val="350"/>
        </w:trPr>
        <w:tc>
          <w:tcPr>
            <w:tcW w:w="3258" w:type="dxa"/>
            <w:shd w:val="clear" w:color="auto" w:fill="auto"/>
          </w:tcPr>
          <w:p w:rsidR="004A6EE0" w:rsidRPr="006549B3" w:rsidRDefault="004A6EE0">
            <w:pPr>
              <w:pStyle w:val="NormalWeb"/>
              <w:spacing w:after="0"/>
              <w:ind w:left="360"/>
              <w:rPr>
                <w:rFonts w:ascii="Arial" w:hAnsi="Arial" w:cs="Arial"/>
                <w:sz w:val="18"/>
                <w:szCs w:val="18"/>
              </w:rPr>
            </w:pPr>
            <w:r w:rsidRPr="006549B3">
              <w:rPr>
                <w:rFonts w:ascii="Arial" w:hAnsi="Arial" w:cs="Arial"/>
                <w:bCs/>
                <w:kern w:val="24"/>
                <w:sz w:val="18"/>
                <w:szCs w:val="18"/>
              </w:rPr>
              <w:t xml:space="preserve"> &lt;30 ng/g</w:t>
            </w:r>
          </w:p>
        </w:tc>
        <w:tc>
          <w:tcPr>
            <w:tcW w:w="1447" w:type="dxa"/>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bCs/>
                <w:kern w:val="24"/>
                <w:sz w:val="18"/>
                <w:szCs w:val="18"/>
              </w:rPr>
              <w:t>Very high</w:t>
            </w:r>
          </w:p>
        </w:tc>
        <w:tc>
          <w:tcPr>
            <w:tcW w:w="1440" w:type="dxa"/>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bCs/>
                <w:kern w:val="24"/>
                <w:sz w:val="18"/>
                <w:szCs w:val="18"/>
              </w:rPr>
              <w:t>Very high</w:t>
            </w:r>
          </w:p>
        </w:tc>
        <w:tc>
          <w:tcPr>
            <w:tcW w:w="1530" w:type="dxa"/>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bCs/>
                <w:kern w:val="24"/>
                <w:sz w:val="18"/>
                <w:szCs w:val="18"/>
              </w:rPr>
              <w:t>Very high</w:t>
            </w:r>
          </w:p>
        </w:tc>
        <w:tc>
          <w:tcPr>
            <w:tcW w:w="1343" w:type="dxa"/>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bCs/>
                <w:kern w:val="24"/>
                <w:sz w:val="18"/>
                <w:szCs w:val="18"/>
              </w:rPr>
              <w:t>Very high</w:t>
            </w:r>
          </w:p>
        </w:tc>
      </w:tr>
      <w:tr w:rsidR="004A6EE0" w:rsidRPr="006549B3" w:rsidTr="00692741">
        <w:trPr>
          <w:trHeight w:val="350"/>
        </w:trPr>
        <w:tc>
          <w:tcPr>
            <w:tcW w:w="3258" w:type="dxa"/>
            <w:tcBorders>
              <w:bottom w:val="single" w:sz="4" w:space="0" w:color="auto"/>
            </w:tcBorders>
            <w:shd w:val="clear" w:color="auto" w:fill="auto"/>
          </w:tcPr>
          <w:p w:rsidR="004A6EE0" w:rsidRPr="006549B3" w:rsidRDefault="004A6EE0">
            <w:pPr>
              <w:pStyle w:val="NormalWeb"/>
              <w:spacing w:after="0"/>
              <w:ind w:left="360"/>
              <w:rPr>
                <w:rFonts w:ascii="Arial" w:hAnsi="Arial" w:cs="Arial"/>
                <w:sz w:val="18"/>
                <w:szCs w:val="18"/>
              </w:rPr>
            </w:pPr>
            <w:r w:rsidRPr="006549B3">
              <w:rPr>
                <w:rFonts w:ascii="Arial" w:hAnsi="Arial" w:cs="Arial"/>
                <w:kern w:val="24"/>
                <w:sz w:val="18"/>
                <w:szCs w:val="18"/>
              </w:rPr>
              <w:t>30-75 ng/g</w:t>
            </w:r>
          </w:p>
        </w:tc>
        <w:tc>
          <w:tcPr>
            <w:tcW w:w="1447" w:type="dxa"/>
            <w:tcBorders>
              <w:bottom w:val="single" w:sz="4" w:space="0" w:color="auto"/>
            </w:tcBorders>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kern w:val="24"/>
                <w:sz w:val="18"/>
                <w:szCs w:val="18"/>
              </w:rPr>
              <w:t>Moderate</w:t>
            </w:r>
          </w:p>
        </w:tc>
        <w:tc>
          <w:tcPr>
            <w:tcW w:w="1440" w:type="dxa"/>
            <w:tcBorders>
              <w:bottom w:val="single" w:sz="4" w:space="0" w:color="auto"/>
            </w:tcBorders>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kern w:val="24"/>
                <w:sz w:val="18"/>
                <w:szCs w:val="18"/>
              </w:rPr>
              <w:t>Low</w:t>
            </w:r>
          </w:p>
        </w:tc>
        <w:tc>
          <w:tcPr>
            <w:tcW w:w="1530" w:type="dxa"/>
            <w:tcBorders>
              <w:bottom w:val="single" w:sz="4" w:space="0" w:color="auto"/>
            </w:tcBorders>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kern w:val="24"/>
                <w:sz w:val="18"/>
                <w:szCs w:val="18"/>
              </w:rPr>
              <w:t>Very low</w:t>
            </w:r>
          </w:p>
        </w:tc>
        <w:tc>
          <w:tcPr>
            <w:tcW w:w="1343" w:type="dxa"/>
            <w:tcBorders>
              <w:bottom w:val="single" w:sz="4" w:space="0" w:color="auto"/>
            </w:tcBorders>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kern w:val="24"/>
                <w:sz w:val="18"/>
                <w:szCs w:val="18"/>
              </w:rPr>
              <w:t>Very Low</w:t>
            </w:r>
          </w:p>
        </w:tc>
      </w:tr>
      <w:tr w:rsidR="004A6EE0" w:rsidRPr="006549B3" w:rsidTr="00692741">
        <w:trPr>
          <w:trHeight w:val="350"/>
        </w:trPr>
        <w:tc>
          <w:tcPr>
            <w:tcW w:w="3258" w:type="dxa"/>
            <w:tcBorders>
              <w:top w:val="single" w:sz="4" w:space="0" w:color="auto"/>
              <w:bottom w:val="single" w:sz="12" w:space="0" w:color="auto"/>
            </w:tcBorders>
            <w:shd w:val="clear" w:color="auto" w:fill="auto"/>
          </w:tcPr>
          <w:p w:rsidR="004A6EE0" w:rsidRPr="006549B3" w:rsidRDefault="004A6EE0">
            <w:pPr>
              <w:pStyle w:val="NormalWeb"/>
              <w:spacing w:after="0"/>
              <w:ind w:left="360"/>
              <w:rPr>
                <w:rFonts w:ascii="Arial" w:hAnsi="Arial" w:cs="Arial"/>
                <w:sz w:val="18"/>
                <w:szCs w:val="18"/>
              </w:rPr>
            </w:pPr>
            <w:r w:rsidRPr="006549B3">
              <w:rPr>
                <w:rFonts w:ascii="Arial" w:hAnsi="Arial" w:cs="Arial"/>
                <w:kern w:val="24"/>
                <w:sz w:val="18"/>
                <w:szCs w:val="18"/>
              </w:rPr>
              <w:t>&gt;75</w:t>
            </w:r>
          </w:p>
        </w:tc>
        <w:tc>
          <w:tcPr>
            <w:tcW w:w="1447" w:type="dxa"/>
            <w:tcBorders>
              <w:top w:val="single" w:sz="4" w:space="0" w:color="auto"/>
              <w:bottom w:val="single" w:sz="12" w:space="0" w:color="auto"/>
            </w:tcBorders>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sz w:val="18"/>
                <w:szCs w:val="18"/>
              </w:rPr>
              <w:t>Low</w:t>
            </w:r>
          </w:p>
        </w:tc>
        <w:tc>
          <w:tcPr>
            <w:tcW w:w="1440" w:type="dxa"/>
            <w:tcBorders>
              <w:top w:val="single" w:sz="4" w:space="0" w:color="auto"/>
              <w:bottom w:val="single" w:sz="12" w:space="0" w:color="auto"/>
            </w:tcBorders>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sz w:val="18"/>
                <w:szCs w:val="18"/>
              </w:rPr>
              <w:t>Very Low</w:t>
            </w:r>
          </w:p>
        </w:tc>
        <w:tc>
          <w:tcPr>
            <w:tcW w:w="1530" w:type="dxa"/>
            <w:tcBorders>
              <w:top w:val="single" w:sz="4" w:space="0" w:color="auto"/>
              <w:bottom w:val="single" w:sz="12" w:space="0" w:color="auto"/>
            </w:tcBorders>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sz w:val="18"/>
                <w:szCs w:val="18"/>
              </w:rPr>
              <w:t>Very Low</w:t>
            </w:r>
          </w:p>
        </w:tc>
        <w:tc>
          <w:tcPr>
            <w:tcW w:w="1343" w:type="dxa"/>
            <w:tcBorders>
              <w:top w:val="single" w:sz="4" w:space="0" w:color="auto"/>
            </w:tcBorders>
            <w:shd w:val="clear" w:color="auto" w:fill="auto"/>
            <w:vAlign w:val="center"/>
          </w:tcPr>
          <w:p w:rsidR="004A6EE0" w:rsidRPr="006549B3" w:rsidRDefault="004A6EE0">
            <w:pPr>
              <w:pStyle w:val="NormalWeb"/>
              <w:spacing w:after="0"/>
              <w:ind w:left="-18"/>
              <w:rPr>
                <w:rFonts w:ascii="Arial" w:hAnsi="Arial" w:cs="Arial"/>
                <w:sz w:val="18"/>
                <w:szCs w:val="18"/>
              </w:rPr>
            </w:pPr>
            <w:r w:rsidRPr="006549B3">
              <w:rPr>
                <w:rFonts w:ascii="Arial" w:hAnsi="Arial" w:cs="Arial"/>
                <w:sz w:val="18"/>
                <w:szCs w:val="18"/>
              </w:rPr>
              <w:t>Very Low</w:t>
            </w:r>
          </w:p>
        </w:tc>
      </w:tr>
      <w:tr w:rsidR="004A6EE0" w:rsidRPr="006549B3" w:rsidTr="00692741">
        <w:trPr>
          <w:trHeight w:val="420"/>
        </w:trPr>
        <w:tc>
          <w:tcPr>
            <w:tcW w:w="9018" w:type="dxa"/>
            <w:gridSpan w:val="5"/>
            <w:tcBorders>
              <w:top w:val="single" w:sz="12" w:space="0" w:color="auto"/>
            </w:tcBorders>
            <w:shd w:val="clear" w:color="auto" w:fill="auto"/>
            <w:vAlign w:val="center"/>
          </w:tcPr>
          <w:p w:rsidR="004A6EE0" w:rsidRPr="006549B3" w:rsidRDefault="004A6EE0">
            <w:pPr>
              <w:spacing w:line="276" w:lineRule="auto"/>
              <w:rPr>
                <w:rFonts w:ascii="Arial" w:hAnsi="Arial" w:cs="Arial"/>
                <w:b/>
                <w:sz w:val="18"/>
                <w:szCs w:val="18"/>
              </w:rPr>
            </w:pPr>
            <w:proofErr w:type="spellStart"/>
            <w:r w:rsidRPr="006549B3">
              <w:rPr>
                <w:rFonts w:ascii="Arial" w:hAnsi="Arial" w:cs="Arial"/>
                <w:b/>
                <w:sz w:val="18"/>
                <w:szCs w:val="18"/>
              </w:rPr>
              <w:t>Mussel</w:t>
            </w:r>
            <w:proofErr w:type="spellEnd"/>
            <w:r w:rsidRPr="006549B3">
              <w:rPr>
                <w:rFonts w:ascii="Arial" w:hAnsi="Arial" w:cs="Arial"/>
                <w:b/>
                <w:sz w:val="18"/>
                <w:szCs w:val="18"/>
              </w:rPr>
              <w:t xml:space="preserve"> Tissue</w:t>
            </w:r>
          </w:p>
        </w:tc>
      </w:tr>
      <w:tr w:rsidR="004A6EE0" w:rsidRPr="006549B3" w:rsidTr="00692741">
        <w:trPr>
          <w:trHeight w:val="350"/>
        </w:trPr>
        <w:tc>
          <w:tcPr>
            <w:tcW w:w="3258" w:type="dxa"/>
            <w:shd w:val="clear" w:color="auto" w:fill="auto"/>
          </w:tcPr>
          <w:p w:rsidR="004A6EE0" w:rsidRPr="006549B3" w:rsidRDefault="004A6EE0">
            <w:pPr>
              <w:pStyle w:val="NormalWeb"/>
              <w:spacing w:after="0"/>
              <w:ind w:firstLine="360"/>
              <w:rPr>
                <w:rFonts w:ascii="Arial" w:hAnsi="Arial" w:cs="Arial"/>
                <w:bCs/>
                <w:kern w:val="24"/>
                <w:sz w:val="18"/>
                <w:szCs w:val="18"/>
              </w:rPr>
            </w:pPr>
            <w:r w:rsidRPr="006549B3">
              <w:rPr>
                <w:rFonts w:ascii="Arial" w:hAnsi="Arial" w:cs="Arial"/>
                <w:bCs/>
                <w:kern w:val="24"/>
                <w:sz w:val="18"/>
                <w:szCs w:val="18"/>
              </w:rPr>
              <w:t>Non-detect</w:t>
            </w:r>
          </w:p>
        </w:tc>
        <w:tc>
          <w:tcPr>
            <w:tcW w:w="1447"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44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53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343"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r>
      <w:tr w:rsidR="004A6EE0" w:rsidRPr="006549B3" w:rsidTr="00692741">
        <w:trPr>
          <w:trHeight w:val="350"/>
        </w:trPr>
        <w:tc>
          <w:tcPr>
            <w:tcW w:w="3258" w:type="dxa"/>
            <w:shd w:val="clear" w:color="auto" w:fill="auto"/>
          </w:tcPr>
          <w:p w:rsidR="004A6EE0" w:rsidRPr="006549B3" w:rsidRDefault="004A6EE0">
            <w:pPr>
              <w:pStyle w:val="NormalWeb"/>
              <w:spacing w:after="0"/>
              <w:ind w:firstLine="360"/>
              <w:rPr>
                <w:rFonts w:ascii="Arial" w:hAnsi="Arial" w:cs="Arial"/>
                <w:sz w:val="18"/>
                <w:szCs w:val="18"/>
              </w:rPr>
            </w:pPr>
            <w:r w:rsidRPr="006549B3">
              <w:rPr>
                <w:rFonts w:ascii="Arial" w:hAnsi="Arial" w:cs="Arial"/>
                <w:bCs/>
                <w:kern w:val="24"/>
                <w:sz w:val="18"/>
                <w:szCs w:val="18"/>
              </w:rPr>
              <w:t>&lt; 10 ppm</w:t>
            </w:r>
          </w:p>
        </w:tc>
        <w:tc>
          <w:tcPr>
            <w:tcW w:w="1447"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High</w:t>
            </w:r>
          </w:p>
        </w:tc>
        <w:tc>
          <w:tcPr>
            <w:tcW w:w="144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53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343"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Low</w:t>
            </w:r>
          </w:p>
        </w:tc>
      </w:tr>
      <w:tr w:rsidR="004A6EE0" w:rsidRPr="006549B3" w:rsidTr="00692741">
        <w:trPr>
          <w:trHeight w:val="350"/>
        </w:trPr>
        <w:tc>
          <w:tcPr>
            <w:tcW w:w="3258" w:type="dxa"/>
            <w:shd w:val="clear" w:color="auto" w:fill="auto"/>
          </w:tcPr>
          <w:p w:rsidR="004A6EE0" w:rsidRPr="006549B3" w:rsidRDefault="004A6EE0">
            <w:pPr>
              <w:pStyle w:val="NormalWeb"/>
              <w:spacing w:after="0"/>
              <w:ind w:firstLine="360"/>
              <w:rPr>
                <w:rFonts w:ascii="Arial" w:hAnsi="Arial" w:cs="Arial"/>
                <w:sz w:val="18"/>
                <w:szCs w:val="18"/>
              </w:rPr>
            </w:pPr>
            <w:r w:rsidRPr="006549B3">
              <w:rPr>
                <w:rFonts w:ascii="Arial" w:hAnsi="Arial" w:cs="Arial"/>
                <w:kern w:val="24"/>
                <w:sz w:val="18"/>
                <w:szCs w:val="18"/>
              </w:rPr>
              <w:t>10-20 ppm</w:t>
            </w:r>
          </w:p>
        </w:tc>
        <w:tc>
          <w:tcPr>
            <w:tcW w:w="1447"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44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53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Low</w:t>
            </w:r>
          </w:p>
        </w:tc>
        <w:tc>
          <w:tcPr>
            <w:tcW w:w="1343"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r>
      <w:tr w:rsidR="004A6EE0" w:rsidRPr="006549B3" w:rsidTr="00692741">
        <w:trPr>
          <w:trHeight w:val="350"/>
        </w:trPr>
        <w:tc>
          <w:tcPr>
            <w:tcW w:w="3258" w:type="dxa"/>
            <w:tcBorders>
              <w:bottom w:val="single" w:sz="12" w:space="0" w:color="auto"/>
            </w:tcBorders>
            <w:shd w:val="clear" w:color="auto" w:fill="auto"/>
          </w:tcPr>
          <w:p w:rsidR="004A6EE0" w:rsidRPr="006549B3" w:rsidRDefault="004A6EE0">
            <w:pPr>
              <w:pStyle w:val="NormalWeb"/>
              <w:spacing w:after="0"/>
              <w:ind w:firstLine="360"/>
              <w:rPr>
                <w:rFonts w:ascii="Arial" w:hAnsi="Arial" w:cs="Arial"/>
                <w:sz w:val="18"/>
                <w:szCs w:val="18"/>
              </w:rPr>
            </w:pPr>
            <w:r w:rsidRPr="006549B3">
              <w:rPr>
                <w:rFonts w:ascii="Arial" w:hAnsi="Arial" w:cs="Arial"/>
                <w:kern w:val="24"/>
                <w:sz w:val="18"/>
                <w:szCs w:val="18"/>
              </w:rPr>
              <w:t>&gt; 20 ppm</w:t>
            </w:r>
          </w:p>
        </w:tc>
        <w:tc>
          <w:tcPr>
            <w:tcW w:w="1447" w:type="dxa"/>
            <w:tcBorders>
              <w:bottom w:val="single" w:sz="12" w:space="0" w:color="auto"/>
            </w:tcBorders>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Low</w:t>
            </w:r>
          </w:p>
        </w:tc>
        <w:tc>
          <w:tcPr>
            <w:tcW w:w="1440" w:type="dxa"/>
            <w:tcBorders>
              <w:bottom w:val="single" w:sz="12" w:space="0" w:color="auto"/>
            </w:tcBorders>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c>
          <w:tcPr>
            <w:tcW w:w="1530" w:type="dxa"/>
            <w:tcBorders>
              <w:bottom w:val="single" w:sz="12" w:space="0" w:color="auto"/>
            </w:tcBorders>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c>
          <w:tcPr>
            <w:tcW w:w="1343" w:type="dxa"/>
            <w:tcBorders>
              <w:bottom w:val="single" w:sz="12" w:space="0" w:color="auto"/>
            </w:tcBorders>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r>
    </w:tbl>
    <w:p w:rsidR="004A6EE0" w:rsidRDefault="004A6EE0" w:rsidP="00BF22C7">
      <w:pPr>
        <w:spacing w:line="276" w:lineRule="auto"/>
        <w:rPr>
          <w:sz w:val="22"/>
          <w:szCs w:val="22"/>
        </w:rPr>
      </w:pPr>
    </w:p>
    <w:p w:rsidR="004A6EE0" w:rsidRDefault="004A6EE0">
      <w:pPr>
        <w:spacing w:line="276" w:lineRule="auto"/>
        <w:rPr>
          <w:rFonts w:ascii="Arial" w:hAnsi="Arial"/>
          <w:b/>
          <w:sz w:val="20"/>
          <w:szCs w:val="22"/>
          <w:lang w:bidi="en-US"/>
        </w:rPr>
      </w:pPr>
      <w:bookmarkStart w:id="75" w:name="_Toc410026619"/>
      <w:r>
        <w:br w:type="page"/>
      </w:r>
    </w:p>
    <w:p w:rsidR="004A6EE0" w:rsidRDefault="004A6EE0">
      <w:pPr>
        <w:pStyle w:val="TOT"/>
        <w:spacing w:before="0" w:after="0" w:line="276" w:lineRule="auto"/>
        <w:rPr>
          <w:caps w:val="0"/>
          <w:smallCaps w:val="0"/>
        </w:rPr>
      </w:pPr>
      <w:bookmarkStart w:id="76" w:name="_Toc440224081"/>
      <w:proofErr w:type="gramStart"/>
      <w:r w:rsidRPr="004B1D5F">
        <w:rPr>
          <w:caps w:val="0"/>
          <w:smallCaps w:val="0"/>
        </w:rPr>
        <w:lastRenderedPageBreak/>
        <w:t>Table 3.</w:t>
      </w:r>
      <w:r w:rsidR="00766906">
        <w:rPr>
          <w:caps w:val="0"/>
          <w:smallCaps w:val="0"/>
        </w:rPr>
        <w:t>10</w:t>
      </w:r>
      <w:r w:rsidRPr="004B1D5F">
        <w:rPr>
          <w:caps w:val="0"/>
          <w:smallCaps w:val="0"/>
        </w:rPr>
        <w:t>.</w:t>
      </w:r>
      <w:proofErr w:type="gramEnd"/>
      <w:r w:rsidRPr="004B1D5F">
        <w:rPr>
          <w:caps w:val="0"/>
          <w:smallCaps w:val="0"/>
        </w:rPr>
        <w:t xml:space="preserve"> </w:t>
      </w:r>
      <w:proofErr w:type="gramStart"/>
      <w:r w:rsidRPr="004B1D5F">
        <w:rPr>
          <w:caps w:val="0"/>
          <w:smallCaps w:val="0"/>
        </w:rPr>
        <w:t>Toxin Classification Table for Paralytic Shellfish Toxins.</w:t>
      </w:r>
      <w:proofErr w:type="gramEnd"/>
      <w:r w:rsidRPr="004B1D5F">
        <w:rPr>
          <w:caps w:val="0"/>
          <w:smallCaps w:val="0"/>
        </w:rPr>
        <w:t xml:space="preserve"> Classification should be applied to each </w:t>
      </w:r>
      <w:proofErr w:type="spellStart"/>
      <w:r w:rsidR="00353722">
        <w:rPr>
          <w:caps w:val="0"/>
          <w:smallCaps w:val="0"/>
        </w:rPr>
        <w:t>subembayment</w:t>
      </w:r>
      <w:proofErr w:type="spellEnd"/>
      <w:r w:rsidRPr="004B1D5F">
        <w:rPr>
          <w:caps w:val="0"/>
          <w:smallCaps w:val="0"/>
        </w:rPr>
        <w:t xml:space="preserve">. If multiple hits in different media (particulate, SPATT, tissue) are detected within a </w:t>
      </w:r>
      <w:proofErr w:type="spellStart"/>
      <w:r w:rsidR="00353722">
        <w:rPr>
          <w:caps w:val="0"/>
          <w:smallCaps w:val="0"/>
        </w:rPr>
        <w:t>subembayment</w:t>
      </w:r>
      <w:proofErr w:type="spellEnd"/>
      <w:r w:rsidRPr="004B1D5F">
        <w:rPr>
          <w:caps w:val="0"/>
          <w:smallCaps w:val="0"/>
        </w:rPr>
        <w:t xml:space="preserve"> on an annual basis, lowest rating for the year should be applied.</w:t>
      </w:r>
      <w:bookmarkEnd w:id="75"/>
      <w:bookmarkEnd w:id="76"/>
      <w:r w:rsidRPr="004B1D5F">
        <w:rPr>
          <w:caps w:val="0"/>
          <w:smallCaps w:val="0"/>
        </w:rPr>
        <w:t xml:space="preserve"> </w:t>
      </w:r>
    </w:p>
    <w:p w:rsidR="00B747E5" w:rsidRPr="004B1D5F" w:rsidRDefault="00B747E5">
      <w:pPr>
        <w:pStyle w:val="TOT"/>
        <w:spacing w:before="0" w:after="0" w:line="276" w:lineRule="auto"/>
        <w:rPr>
          <w:caps w:val="0"/>
          <w:smallCaps w:val="0"/>
        </w:rPr>
      </w:pPr>
    </w:p>
    <w:tbl>
      <w:tblPr>
        <w:tblW w:w="90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115" w:type="dxa"/>
          <w:right w:w="115" w:type="dxa"/>
        </w:tblCellMar>
        <w:tblLook w:val="0420" w:firstRow="1" w:lastRow="0" w:firstColumn="0" w:lastColumn="0" w:noHBand="0" w:noVBand="1"/>
      </w:tblPr>
      <w:tblGrid>
        <w:gridCol w:w="3258"/>
        <w:gridCol w:w="1447"/>
        <w:gridCol w:w="1440"/>
        <w:gridCol w:w="1530"/>
        <w:gridCol w:w="1343"/>
      </w:tblGrid>
      <w:tr w:rsidR="004A6EE0" w:rsidRPr="006549B3" w:rsidTr="00692741">
        <w:trPr>
          <w:trHeight w:val="584"/>
        </w:trPr>
        <w:tc>
          <w:tcPr>
            <w:tcW w:w="3258" w:type="dxa"/>
            <w:vMerge w:val="restart"/>
            <w:tcBorders>
              <w:top w:val="single" w:sz="12" w:space="0" w:color="auto"/>
              <w:bottom w:val="single" w:sz="12" w:space="0" w:color="666666"/>
            </w:tcBorders>
            <w:shd w:val="clear" w:color="auto" w:fill="auto"/>
            <w:vAlign w:val="center"/>
            <w:hideMark/>
          </w:tcPr>
          <w:p w:rsidR="004A6EE0" w:rsidRPr="006549B3" w:rsidRDefault="004A6EE0">
            <w:pPr>
              <w:spacing w:line="276" w:lineRule="auto"/>
              <w:contextualSpacing/>
              <w:rPr>
                <w:rFonts w:ascii="Arial" w:hAnsi="Arial" w:cs="Arial"/>
                <w:b/>
                <w:bCs/>
                <w:sz w:val="18"/>
                <w:szCs w:val="18"/>
              </w:rPr>
            </w:pPr>
            <w:r w:rsidRPr="006549B3">
              <w:rPr>
                <w:rFonts w:ascii="Arial" w:hAnsi="Arial" w:cs="Arial"/>
                <w:b/>
                <w:bCs/>
                <w:sz w:val="18"/>
                <w:szCs w:val="18"/>
              </w:rPr>
              <w:t>Toxin Concentration</w:t>
            </w:r>
          </w:p>
        </w:tc>
        <w:tc>
          <w:tcPr>
            <w:tcW w:w="5760" w:type="dxa"/>
            <w:gridSpan w:val="4"/>
            <w:tcBorders>
              <w:top w:val="single" w:sz="12" w:space="0" w:color="auto"/>
              <w:bottom w:val="single" w:sz="12" w:space="0" w:color="666666"/>
            </w:tcBorders>
            <w:shd w:val="clear" w:color="auto" w:fill="auto"/>
            <w:vAlign w:val="center"/>
            <w:hideMark/>
          </w:tcPr>
          <w:p w:rsidR="004A6EE0" w:rsidRPr="006549B3" w:rsidRDefault="004A6EE0">
            <w:pPr>
              <w:spacing w:line="276" w:lineRule="auto"/>
              <w:contextualSpacing/>
              <w:rPr>
                <w:rFonts w:ascii="Arial" w:hAnsi="Arial" w:cs="Arial"/>
                <w:b/>
                <w:bCs/>
                <w:sz w:val="18"/>
                <w:szCs w:val="18"/>
              </w:rPr>
            </w:pPr>
            <w:r w:rsidRPr="006549B3">
              <w:rPr>
                <w:rFonts w:ascii="Arial" w:hAnsi="Arial" w:cs="Arial"/>
                <w:b/>
                <w:bCs/>
                <w:sz w:val="18"/>
                <w:szCs w:val="18"/>
              </w:rPr>
              <w:t>Ecological Condition Based on Annual Frequency of Occurrence in Monthly Samples</w:t>
            </w:r>
          </w:p>
        </w:tc>
      </w:tr>
      <w:tr w:rsidR="004A6EE0" w:rsidRPr="006549B3" w:rsidTr="00692741">
        <w:trPr>
          <w:trHeight w:val="321"/>
        </w:trPr>
        <w:tc>
          <w:tcPr>
            <w:tcW w:w="3258" w:type="dxa"/>
            <w:vMerge/>
            <w:tcBorders>
              <w:bottom w:val="single" w:sz="12" w:space="0" w:color="auto"/>
            </w:tcBorders>
            <w:shd w:val="clear" w:color="auto" w:fill="auto"/>
            <w:vAlign w:val="center"/>
            <w:hideMark/>
          </w:tcPr>
          <w:p w:rsidR="004A6EE0" w:rsidRPr="006549B3" w:rsidRDefault="004A6EE0">
            <w:pPr>
              <w:spacing w:line="276" w:lineRule="auto"/>
              <w:contextualSpacing/>
              <w:rPr>
                <w:rFonts w:ascii="Arial" w:hAnsi="Arial" w:cs="Arial"/>
                <w:sz w:val="18"/>
                <w:szCs w:val="18"/>
              </w:rPr>
            </w:pPr>
          </w:p>
        </w:tc>
        <w:tc>
          <w:tcPr>
            <w:tcW w:w="1447" w:type="dxa"/>
            <w:tcBorders>
              <w:bottom w:val="single" w:sz="12" w:space="0" w:color="auto"/>
            </w:tcBorders>
            <w:shd w:val="clear" w:color="auto" w:fill="auto"/>
            <w:vAlign w:val="center"/>
            <w:hideMark/>
          </w:tcPr>
          <w:p w:rsidR="004A6EE0" w:rsidRPr="006549B3" w:rsidRDefault="004A6EE0" w:rsidP="00BF22C7">
            <w:pPr>
              <w:spacing w:line="276" w:lineRule="auto"/>
              <w:contextualSpacing/>
              <w:rPr>
                <w:rFonts w:ascii="Arial" w:hAnsi="Arial" w:cs="Arial"/>
                <w:sz w:val="18"/>
                <w:szCs w:val="18"/>
              </w:rPr>
            </w:pPr>
            <w:r w:rsidRPr="006549B3">
              <w:rPr>
                <w:rFonts w:ascii="Arial" w:hAnsi="Arial" w:cs="Arial"/>
                <w:sz w:val="18"/>
                <w:szCs w:val="18"/>
              </w:rPr>
              <w:t>1 of 12</w:t>
            </w:r>
          </w:p>
        </w:tc>
        <w:tc>
          <w:tcPr>
            <w:tcW w:w="1440" w:type="dxa"/>
            <w:tcBorders>
              <w:bottom w:val="single" w:sz="12" w:space="0" w:color="auto"/>
            </w:tcBorders>
            <w:shd w:val="clear" w:color="auto" w:fill="auto"/>
            <w:vAlign w:val="center"/>
            <w:hideMark/>
          </w:tcPr>
          <w:p w:rsidR="004A6EE0" w:rsidRPr="006549B3" w:rsidRDefault="004A6EE0" w:rsidP="00BF22C7">
            <w:pPr>
              <w:spacing w:line="276" w:lineRule="auto"/>
              <w:contextualSpacing/>
              <w:rPr>
                <w:rFonts w:ascii="Arial" w:hAnsi="Arial" w:cs="Arial"/>
                <w:sz w:val="18"/>
                <w:szCs w:val="18"/>
              </w:rPr>
            </w:pPr>
            <w:r w:rsidRPr="006549B3">
              <w:rPr>
                <w:rFonts w:ascii="Arial" w:hAnsi="Arial" w:cs="Arial"/>
                <w:sz w:val="18"/>
                <w:szCs w:val="18"/>
              </w:rPr>
              <w:t>2-3</w:t>
            </w:r>
          </w:p>
        </w:tc>
        <w:tc>
          <w:tcPr>
            <w:tcW w:w="1530" w:type="dxa"/>
            <w:tcBorders>
              <w:bottom w:val="single" w:sz="12" w:space="0" w:color="auto"/>
            </w:tcBorders>
            <w:shd w:val="clear" w:color="auto" w:fill="auto"/>
            <w:vAlign w:val="center"/>
            <w:hideMark/>
          </w:tcPr>
          <w:p w:rsidR="004A6EE0" w:rsidRPr="006549B3" w:rsidRDefault="004A6EE0" w:rsidP="00BF22C7">
            <w:pPr>
              <w:spacing w:line="276" w:lineRule="auto"/>
              <w:contextualSpacing/>
              <w:rPr>
                <w:rFonts w:ascii="Arial" w:hAnsi="Arial" w:cs="Arial"/>
                <w:sz w:val="18"/>
                <w:szCs w:val="18"/>
              </w:rPr>
            </w:pPr>
            <w:r w:rsidRPr="006549B3">
              <w:rPr>
                <w:rFonts w:ascii="Arial" w:hAnsi="Arial" w:cs="Arial"/>
                <w:sz w:val="18"/>
                <w:szCs w:val="18"/>
              </w:rPr>
              <w:t>4-6</w:t>
            </w:r>
          </w:p>
        </w:tc>
        <w:tc>
          <w:tcPr>
            <w:tcW w:w="1343" w:type="dxa"/>
            <w:tcBorders>
              <w:bottom w:val="single" w:sz="12" w:space="0" w:color="auto"/>
            </w:tcBorders>
            <w:shd w:val="clear" w:color="auto" w:fill="auto"/>
            <w:vAlign w:val="center"/>
            <w:hideMark/>
          </w:tcPr>
          <w:p w:rsidR="004A6EE0" w:rsidRPr="006549B3" w:rsidRDefault="004A6EE0" w:rsidP="00BF22C7">
            <w:pPr>
              <w:spacing w:line="276" w:lineRule="auto"/>
              <w:contextualSpacing/>
              <w:rPr>
                <w:rFonts w:ascii="Arial" w:hAnsi="Arial" w:cs="Arial"/>
                <w:sz w:val="18"/>
                <w:szCs w:val="18"/>
              </w:rPr>
            </w:pPr>
            <w:r w:rsidRPr="006549B3">
              <w:rPr>
                <w:rFonts w:ascii="Arial" w:hAnsi="Arial" w:cs="Arial"/>
                <w:sz w:val="18"/>
                <w:szCs w:val="18"/>
              </w:rPr>
              <w:t>6+</w:t>
            </w:r>
          </w:p>
        </w:tc>
      </w:tr>
      <w:tr w:rsidR="004A6EE0" w:rsidRPr="006549B3" w:rsidTr="00692741">
        <w:trPr>
          <w:trHeight w:val="420"/>
        </w:trPr>
        <w:tc>
          <w:tcPr>
            <w:tcW w:w="9018" w:type="dxa"/>
            <w:gridSpan w:val="5"/>
            <w:shd w:val="clear" w:color="auto" w:fill="auto"/>
            <w:vAlign w:val="center"/>
          </w:tcPr>
          <w:p w:rsidR="004A6EE0" w:rsidRPr="006549B3" w:rsidRDefault="004A6EE0">
            <w:pPr>
              <w:spacing w:line="276" w:lineRule="auto"/>
              <w:contextualSpacing/>
              <w:rPr>
                <w:rFonts w:ascii="Arial" w:hAnsi="Arial" w:cs="Arial"/>
                <w:sz w:val="18"/>
                <w:szCs w:val="18"/>
              </w:rPr>
            </w:pPr>
            <w:r w:rsidRPr="006549B3">
              <w:rPr>
                <w:rFonts w:ascii="Arial" w:hAnsi="Arial" w:cs="Arial"/>
                <w:b/>
                <w:sz w:val="18"/>
                <w:szCs w:val="18"/>
              </w:rPr>
              <w:t>Particulate Concentration</w:t>
            </w:r>
          </w:p>
        </w:tc>
      </w:tr>
      <w:tr w:rsidR="004A6EE0" w:rsidRPr="006549B3" w:rsidTr="00692741">
        <w:trPr>
          <w:trHeight w:val="440"/>
        </w:trPr>
        <w:tc>
          <w:tcPr>
            <w:tcW w:w="3258" w:type="dxa"/>
            <w:shd w:val="clear" w:color="auto" w:fill="auto"/>
            <w:vAlign w:val="center"/>
            <w:hideMark/>
          </w:tcPr>
          <w:p w:rsidR="004A6EE0" w:rsidRPr="006549B3" w:rsidRDefault="004A6EE0">
            <w:pPr>
              <w:pStyle w:val="NormalWeb"/>
              <w:spacing w:after="0"/>
              <w:ind w:firstLine="360"/>
              <w:rPr>
                <w:rFonts w:ascii="Arial" w:hAnsi="Arial" w:cs="Arial"/>
                <w:sz w:val="18"/>
                <w:szCs w:val="18"/>
              </w:rPr>
            </w:pPr>
            <w:r w:rsidRPr="006549B3">
              <w:rPr>
                <w:rFonts w:ascii="Arial" w:hAnsi="Arial" w:cs="Arial"/>
                <w:bCs/>
                <w:kern w:val="24"/>
                <w:sz w:val="18"/>
                <w:szCs w:val="18"/>
              </w:rPr>
              <w:t>Non-detect</w:t>
            </w:r>
          </w:p>
        </w:tc>
        <w:tc>
          <w:tcPr>
            <w:tcW w:w="1447" w:type="dxa"/>
            <w:shd w:val="clear" w:color="auto" w:fill="auto"/>
            <w:hideMark/>
          </w:tcPr>
          <w:p w:rsidR="004A6EE0" w:rsidRPr="006549B3" w:rsidRDefault="004A6EE0" w:rsidP="00BF22C7">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440" w:type="dxa"/>
            <w:shd w:val="clear" w:color="auto" w:fill="auto"/>
            <w:hideMark/>
          </w:tcPr>
          <w:p w:rsidR="004A6EE0" w:rsidRPr="006549B3" w:rsidRDefault="004A6EE0" w:rsidP="00BF22C7">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530" w:type="dxa"/>
            <w:shd w:val="clear" w:color="auto" w:fill="auto"/>
            <w:hideMark/>
          </w:tcPr>
          <w:p w:rsidR="004A6EE0" w:rsidRPr="006549B3" w:rsidRDefault="004A6EE0" w:rsidP="00BF22C7">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343" w:type="dxa"/>
            <w:shd w:val="clear" w:color="auto" w:fill="auto"/>
            <w:hideMark/>
          </w:tcPr>
          <w:p w:rsidR="004A6EE0" w:rsidRPr="006549B3" w:rsidRDefault="004A6EE0" w:rsidP="00BF22C7">
            <w:pPr>
              <w:pStyle w:val="NormalWeb"/>
              <w:spacing w:after="0"/>
              <w:rPr>
                <w:rFonts w:ascii="Arial" w:hAnsi="Arial" w:cs="Arial"/>
                <w:sz w:val="18"/>
                <w:szCs w:val="18"/>
              </w:rPr>
            </w:pPr>
            <w:r w:rsidRPr="006549B3">
              <w:rPr>
                <w:rFonts w:ascii="Arial" w:hAnsi="Arial" w:cs="Arial"/>
                <w:bCs/>
                <w:kern w:val="24"/>
                <w:sz w:val="18"/>
                <w:szCs w:val="18"/>
              </w:rPr>
              <w:t>Very high</w:t>
            </w:r>
          </w:p>
        </w:tc>
      </w:tr>
      <w:tr w:rsidR="004A6EE0" w:rsidRPr="006549B3" w:rsidTr="00692741">
        <w:trPr>
          <w:trHeight w:val="368"/>
        </w:trPr>
        <w:tc>
          <w:tcPr>
            <w:tcW w:w="3258" w:type="dxa"/>
            <w:shd w:val="clear" w:color="auto" w:fill="auto"/>
            <w:hideMark/>
          </w:tcPr>
          <w:p w:rsidR="004A6EE0" w:rsidRPr="006549B3" w:rsidRDefault="004A6EE0">
            <w:pPr>
              <w:pStyle w:val="NormalWeb"/>
              <w:spacing w:after="0"/>
              <w:ind w:left="360"/>
              <w:rPr>
                <w:rFonts w:ascii="Arial" w:hAnsi="Arial" w:cs="Arial"/>
                <w:sz w:val="18"/>
                <w:szCs w:val="18"/>
              </w:rPr>
            </w:pPr>
            <w:r w:rsidRPr="006549B3">
              <w:rPr>
                <w:rFonts w:ascii="Arial" w:hAnsi="Arial" w:cs="Arial"/>
                <w:bCs/>
                <w:kern w:val="24"/>
                <w:sz w:val="18"/>
                <w:szCs w:val="18"/>
              </w:rPr>
              <w:t>Detectable</w:t>
            </w:r>
          </w:p>
        </w:tc>
        <w:tc>
          <w:tcPr>
            <w:tcW w:w="1447" w:type="dxa"/>
            <w:shd w:val="clear" w:color="auto" w:fill="auto"/>
            <w:hideMark/>
          </w:tcPr>
          <w:p w:rsidR="004A6EE0" w:rsidRPr="006549B3" w:rsidRDefault="004A6EE0" w:rsidP="00BF22C7">
            <w:pPr>
              <w:pStyle w:val="NormalWeb"/>
              <w:spacing w:after="0"/>
              <w:rPr>
                <w:rFonts w:ascii="Arial" w:hAnsi="Arial" w:cs="Arial"/>
                <w:sz w:val="18"/>
                <w:szCs w:val="18"/>
              </w:rPr>
            </w:pPr>
            <w:r w:rsidRPr="006549B3">
              <w:rPr>
                <w:rFonts w:ascii="Arial" w:hAnsi="Arial" w:cs="Arial"/>
                <w:kern w:val="24"/>
                <w:sz w:val="18"/>
                <w:szCs w:val="18"/>
              </w:rPr>
              <w:t>Low</w:t>
            </w:r>
          </w:p>
        </w:tc>
        <w:tc>
          <w:tcPr>
            <w:tcW w:w="1440" w:type="dxa"/>
            <w:shd w:val="clear" w:color="auto" w:fill="auto"/>
            <w:hideMark/>
          </w:tcPr>
          <w:p w:rsidR="004A6EE0" w:rsidRPr="006549B3" w:rsidRDefault="004A6EE0" w:rsidP="00BF22C7">
            <w:pPr>
              <w:pStyle w:val="NormalWeb"/>
              <w:spacing w:after="0"/>
              <w:rPr>
                <w:rFonts w:ascii="Arial" w:hAnsi="Arial" w:cs="Arial"/>
                <w:sz w:val="18"/>
                <w:szCs w:val="18"/>
              </w:rPr>
            </w:pPr>
            <w:r w:rsidRPr="006549B3">
              <w:rPr>
                <w:rFonts w:ascii="Arial" w:hAnsi="Arial" w:cs="Arial"/>
                <w:kern w:val="24"/>
                <w:sz w:val="18"/>
                <w:szCs w:val="18"/>
              </w:rPr>
              <w:t>Very low</w:t>
            </w:r>
          </w:p>
        </w:tc>
        <w:tc>
          <w:tcPr>
            <w:tcW w:w="1530" w:type="dxa"/>
            <w:shd w:val="clear" w:color="auto" w:fill="auto"/>
            <w:hideMark/>
          </w:tcPr>
          <w:p w:rsidR="004A6EE0" w:rsidRPr="006549B3" w:rsidRDefault="004A6EE0" w:rsidP="00BF22C7">
            <w:pPr>
              <w:pStyle w:val="NormalWeb"/>
              <w:spacing w:after="0"/>
              <w:rPr>
                <w:rFonts w:ascii="Arial" w:hAnsi="Arial" w:cs="Arial"/>
                <w:sz w:val="18"/>
                <w:szCs w:val="18"/>
              </w:rPr>
            </w:pPr>
            <w:r w:rsidRPr="006549B3">
              <w:rPr>
                <w:rFonts w:ascii="Arial" w:hAnsi="Arial" w:cs="Arial"/>
                <w:kern w:val="24"/>
                <w:sz w:val="18"/>
                <w:szCs w:val="18"/>
              </w:rPr>
              <w:t>Very low</w:t>
            </w:r>
          </w:p>
        </w:tc>
        <w:tc>
          <w:tcPr>
            <w:tcW w:w="1343" w:type="dxa"/>
            <w:shd w:val="clear" w:color="auto" w:fill="auto"/>
            <w:hideMark/>
          </w:tcPr>
          <w:p w:rsidR="004A6EE0" w:rsidRPr="006549B3" w:rsidRDefault="004A6EE0" w:rsidP="00BF22C7">
            <w:pPr>
              <w:pStyle w:val="NormalWeb"/>
              <w:spacing w:after="0"/>
              <w:rPr>
                <w:rFonts w:ascii="Arial" w:hAnsi="Arial" w:cs="Arial"/>
                <w:sz w:val="18"/>
                <w:szCs w:val="18"/>
              </w:rPr>
            </w:pPr>
            <w:r w:rsidRPr="006549B3">
              <w:rPr>
                <w:rFonts w:ascii="Arial" w:hAnsi="Arial" w:cs="Arial"/>
                <w:kern w:val="24"/>
                <w:sz w:val="18"/>
                <w:szCs w:val="18"/>
              </w:rPr>
              <w:t>Very Low</w:t>
            </w:r>
          </w:p>
        </w:tc>
      </w:tr>
      <w:tr w:rsidR="004A6EE0" w:rsidRPr="006549B3" w:rsidTr="00692741">
        <w:trPr>
          <w:trHeight w:val="420"/>
        </w:trPr>
        <w:tc>
          <w:tcPr>
            <w:tcW w:w="9018" w:type="dxa"/>
            <w:gridSpan w:val="5"/>
            <w:tcBorders>
              <w:top w:val="single" w:sz="12" w:space="0" w:color="auto"/>
            </w:tcBorders>
            <w:shd w:val="clear" w:color="auto" w:fill="auto"/>
            <w:vAlign w:val="center"/>
          </w:tcPr>
          <w:p w:rsidR="004A6EE0" w:rsidRPr="006549B3" w:rsidRDefault="004A6EE0">
            <w:pPr>
              <w:spacing w:line="276" w:lineRule="auto"/>
              <w:rPr>
                <w:rFonts w:ascii="Arial" w:hAnsi="Arial" w:cs="Arial"/>
                <w:b/>
                <w:sz w:val="18"/>
                <w:szCs w:val="18"/>
              </w:rPr>
            </w:pPr>
            <w:proofErr w:type="spellStart"/>
            <w:r w:rsidRPr="006549B3">
              <w:rPr>
                <w:rFonts w:ascii="Arial" w:hAnsi="Arial" w:cs="Arial"/>
                <w:b/>
                <w:sz w:val="18"/>
                <w:szCs w:val="18"/>
              </w:rPr>
              <w:t>Mussel</w:t>
            </w:r>
            <w:proofErr w:type="spellEnd"/>
            <w:r w:rsidRPr="006549B3">
              <w:rPr>
                <w:rFonts w:ascii="Arial" w:hAnsi="Arial" w:cs="Arial"/>
                <w:b/>
                <w:sz w:val="18"/>
                <w:szCs w:val="18"/>
              </w:rPr>
              <w:t xml:space="preserve"> Tissue</w:t>
            </w:r>
          </w:p>
        </w:tc>
      </w:tr>
      <w:tr w:rsidR="004A6EE0" w:rsidRPr="006549B3" w:rsidTr="00692741">
        <w:trPr>
          <w:trHeight w:val="350"/>
        </w:trPr>
        <w:tc>
          <w:tcPr>
            <w:tcW w:w="3258" w:type="dxa"/>
            <w:shd w:val="clear" w:color="auto" w:fill="auto"/>
          </w:tcPr>
          <w:p w:rsidR="004A6EE0" w:rsidRPr="006549B3" w:rsidRDefault="004A6EE0">
            <w:pPr>
              <w:pStyle w:val="NormalWeb"/>
              <w:spacing w:after="0"/>
              <w:ind w:firstLine="360"/>
              <w:rPr>
                <w:rFonts w:ascii="Arial" w:hAnsi="Arial" w:cs="Arial"/>
                <w:bCs/>
                <w:kern w:val="24"/>
                <w:sz w:val="18"/>
                <w:szCs w:val="18"/>
              </w:rPr>
            </w:pPr>
            <w:r w:rsidRPr="006549B3">
              <w:rPr>
                <w:rFonts w:ascii="Arial" w:hAnsi="Arial" w:cs="Arial"/>
                <w:bCs/>
                <w:kern w:val="24"/>
                <w:sz w:val="18"/>
                <w:szCs w:val="18"/>
              </w:rPr>
              <w:t>Non-detect</w:t>
            </w:r>
          </w:p>
        </w:tc>
        <w:tc>
          <w:tcPr>
            <w:tcW w:w="1447"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44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53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343"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bCs/>
                <w:kern w:val="24"/>
                <w:sz w:val="18"/>
                <w:szCs w:val="18"/>
              </w:rPr>
              <w:t>Very high</w:t>
            </w:r>
          </w:p>
        </w:tc>
      </w:tr>
      <w:tr w:rsidR="004A6EE0" w:rsidRPr="006549B3" w:rsidTr="00692741">
        <w:trPr>
          <w:trHeight w:val="431"/>
        </w:trPr>
        <w:tc>
          <w:tcPr>
            <w:tcW w:w="3258" w:type="dxa"/>
            <w:shd w:val="clear" w:color="auto" w:fill="auto"/>
          </w:tcPr>
          <w:p w:rsidR="004A6EE0" w:rsidRPr="006549B3" w:rsidRDefault="004A6EE0">
            <w:pPr>
              <w:pStyle w:val="NormalWeb"/>
              <w:spacing w:after="0"/>
              <w:ind w:firstLine="360"/>
              <w:rPr>
                <w:rFonts w:ascii="Arial" w:hAnsi="Arial" w:cs="Arial"/>
                <w:sz w:val="18"/>
                <w:szCs w:val="18"/>
              </w:rPr>
            </w:pPr>
            <w:r w:rsidRPr="006549B3">
              <w:rPr>
                <w:rFonts w:ascii="Arial" w:hAnsi="Arial" w:cs="Arial"/>
                <w:bCs/>
                <w:kern w:val="24"/>
                <w:sz w:val="18"/>
                <w:szCs w:val="18"/>
              </w:rPr>
              <w:t xml:space="preserve">&lt; 40 </w:t>
            </w:r>
            <w:r w:rsidR="00E26F9C" w:rsidRPr="006549B3">
              <w:rPr>
                <w:rFonts w:ascii="Arial" w:hAnsi="Arial" w:cs="Arial"/>
                <w:bCs/>
                <w:kern w:val="24"/>
                <w:sz w:val="18"/>
                <w:szCs w:val="18"/>
              </w:rPr>
              <w:t>µ</w:t>
            </w:r>
            <w:r w:rsidRPr="006549B3">
              <w:rPr>
                <w:rFonts w:ascii="Arial" w:hAnsi="Arial" w:cs="Arial"/>
                <w:bCs/>
                <w:kern w:val="24"/>
                <w:sz w:val="18"/>
                <w:szCs w:val="18"/>
              </w:rPr>
              <w:t>g/100 g</w:t>
            </w:r>
          </w:p>
        </w:tc>
        <w:tc>
          <w:tcPr>
            <w:tcW w:w="1447"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High</w:t>
            </w:r>
          </w:p>
        </w:tc>
        <w:tc>
          <w:tcPr>
            <w:tcW w:w="144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53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343"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Low</w:t>
            </w:r>
          </w:p>
        </w:tc>
      </w:tr>
      <w:tr w:rsidR="004A6EE0" w:rsidRPr="006549B3" w:rsidTr="00692741">
        <w:trPr>
          <w:trHeight w:val="350"/>
        </w:trPr>
        <w:tc>
          <w:tcPr>
            <w:tcW w:w="3258" w:type="dxa"/>
            <w:shd w:val="clear" w:color="auto" w:fill="auto"/>
          </w:tcPr>
          <w:p w:rsidR="004A6EE0" w:rsidRPr="006549B3" w:rsidRDefault="004A6EE0">
            <w:pPr>
              <w:pStyle w:val="NormalWeb"/>
              <w:spacing w:after="0"/>
              <w:ind w:firstLine="360"/>
              <w:rPr>
                <w:rFonts w:ascii="Arial" w:hAnsi="Arial" w:cs="Arial"/>
                <w:sz w:val="18"/>
                <w:szCs w:val="18"/>
              </w:rPr>
            </w:pPr>
            <w:r w:rsidRPr="006549B3">
              <w:rPr>
                <w:rFonts w:ascii="Arial" w:hAnsi="Arial" w:cs="Arial"/>
                <w:kern w:val="24"/>
                <w:sz w:val="18"/>
                <w:szCs w:val="18"/>
              </w:rPr>
              <w:t xml:space="preserve">40-80 </w:t>
            </w:r>
            <w:r w:rsidR="00E26F9C" w:rsidRPr="006549B3">
              <w:rPr>
                <w:rFonts w:ascii="Arial" w:hAnsi="Arial" w:cs="Arial"/>
                <w:kern w:val="24"/>
                <w:sz w:val="18"/>
                <w:szCs w:val="18"/>
              </w:rPr>
              <w:t>µ</w:t>
            </w:r>
            <w:r w:rsidRPr="006549B3">
              <w:rPr>
                <w:rFonts w:ascii="Arial" w:hAnsi="Arial" w:cs="Arial"/>
                <w:kern w:val="24"/>
                <w:sz w:val="18"/>
                <w:szCs w:val="18"/>
              </w:rPr>
              <w:t>g/100 g</w:t>
            </w:r>
          </w:p>
        </w:tc>
        <w:tc>
          <w:tcPr>
            <w:tcW w:w="1447"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44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moderate</w:t>
            </w:r>
          </w:p>
        </w:tc>
        <w:tc>
          <w:tcPr>
            <w:tcW w:w="1530"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Low</w:t>
            </w:r>
          </w:p>
        </w:tc>
        <w:tc>
          <w:tcPr>
            <w:tcW w:w="1343" w:type="dxa"/>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r>
      <w:tr w:rsidR="004A6EE0" w:rsidRPr="006549B3" w:rsidTr="00692741">
        <w:trPr>
          <w:trHeight w:val="350"/>
        </w:trPr>
        <w:tc>
          <w:tcPr>
            <w:tcW w:w="3258" w:type="dxa"/>
            <w:tcBorders>
              <w:bottom w:val="single" w:sz="12" w:space="0" w:color="auto"/>
            </w:tcBorders>
            <w:shd w:val="clear" w:color="auto" w:fill="auto"/>
          </w:tcPr>
          <w:p w:rsidR="004A6EE0" w:rsidRPr="006549B3" w:rsidRDefault="004A6EE0">
            <w:pPr>
              <w:pStyle w:val="NormalWeb"/>
              <w:spacing w:after="0"/>
              <w:ind w:firstLine="360"/>
              <w:rPr>
                <w:rFonts w:ascii="Arial" w:hAnsi="Arial" w:cs="Arial"/>
                <w:sz w:val="18"/>
                <w:szCs w:val="18"/>
              </w:rPr>
            </w:pPr>
            <w:r w:rsidRPr="006549B3">
              <w:rPr>
                <w:rFonts w:ascii="Arial" w:hAnsi="Arial" w:cs="Arial"/>
                <w:kern w:val="24"/>
                <w:sz w:val="18"/>
                <w:szCs w:val="18"/>
              </w:rPr>
              <w:t xml:space="preserve">&gt; 80 </w:t>
            </w:r>
            <w:r w:rsidR="00E26F9C" w:rsidRPr="006549B3">
              <w:rPr>
                <w:rFonts w:ascii="Arial" w:hAnsi="Arial" w:cs="Arial"/>
                <w:kern w:val="24"/>
                <w:sz w:val="18"/>
                <w:szCs w:val="18"/>
              </w:rPr>
              <w:t>µ</w:t>
            </w:r>
            <w:r w:rsidRPr="006549B3">
              <w:rPr>
                <w:rFonts w:ascii="Arial" w:hAnsi="Arial" w:cs="Arial"/>
                <w:kern w:val="24"/>
                <w:sz w:val="18"/>
                <w:szCs w:val="18"/>
              </w:rPr>
              <w:t>g/100 g</w:t>
            </w:r>
          </w:p>
        </w:tc>
        <w:tc>
          <w:tcPr>
            <w:tcW w:w="1447" w:type="dxa"/>
            <w:tcBorders>
              <w:bottom w:val="single" w:sz="12" w:space="0" w:color="auto"/>
            </w:tcBorders>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Low</w:t>
            </w:r>
          </w:p>
        </w:tc>
        <w:tc>
          <w:tcPr>
            <w:tcW w:w="1440" w:type="dxa"/>
            <w:tcBorders>
              <w:bottom w:val="single" w:sz="12" w:space="0" w:color="auto"/>
            </w:tcBorders>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c>
          <w:tcPr>
            <w:tcW w:w="1530" w:type="dxa"/>
            <w:tcBorders>
              <w:bottom w:val="single" w:sz="12" w:space="0" w:color="auto"/>
            </w:tcBorders>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c>
          <w:tcPr>
            <w:tcW w:w="1343" w:type="dxa"/>
            <w:tcBorders>
              <w:bottom w:val="single" w:sz="12" w:space="0" w:color="auto"/>
            </w:tcBorders>
            <w:shd w:val="clear" w:color="auto" w:fill="auto"/>
            <w:vAlign w:val="center"/>
          </w:tcPr>
          <w:p w:rsidR="004A6EE0" w:rsidRPr="006549B3" w:rsidRDefault="004A6EE0">
            <w:pPr>
              <w:pStyle w:val="NormalWeb"/>
              <w:spacing w:after="0"/>
              <w:rPr>
                <w:rFonts w:ascii="Arial" w:hAnsi="Arial" w:cs="Arial"/>
                <w:sz w:val="18"/>
                <w:szCs w:val="18"/>
              </w:rPr>
            </w:pPr>
            <w:r w:rsidRPr="006549B3">
              <w:rPr>
                <w:rFonts w:ascii="Arial" w:hAnsi="Arial" w:cs="Arial"/>
                <w:kern w:val="24"/>
                <w:sz w:val="18"/>
                <w:szCs w:val="18"/>
              </w:rPr>
              <w:t>Very Low</w:t>
            </w:r>
          </w:p>
        </w:tc>
      </w:tr>
    </w:tbl>
    <w:p w:rsidR="004A6EE0" w:rsidRPr="00012955" w:rsidRDefault="004A6EE0" w:rsidP="00BF22C7">
      <w:pPr>
        <w:tabs>
          <w:tab w:val="num" w:pos="1440"/>
        </w:tabs>
        <w:spacing w:line="276" w:lineRule="auto"/>
        <w:rPr>
          <w:rFonts w:asciiTheme="minorHAnsi" w:hAnsiTheme="minorHAnsi"/>
        </w:rPr>
      </w:pPr>
    </w:p>
    <w:p w:rsidR="004A6EE0" w:rsidRPr="00012955" w:rsidRDefault="004A6EE0" w:rsidP="00BF22C7">
      <w:pPr>
        <w:tabs>
          <w:tab w:val="num" w:pos="720"/>
          <w:tab w:val="num" w:pos="1440"/>
        </w:tabs>
        <w:spacing w:line="276" w:lineRule="auto"/>
        <w:rPr>
          <w:rFonts w:asciiTheme="minorHAnsi" w:hAnsiTheme="minorHAnsi"/>
        </w:rPr>
      </w:pPr>
    </w:p>
    <w:p w:rsidR="0003082C" w:rsidRDefault="00340C83">
      <w:proofErr w:type="gramStart"/>
      <w:r w:rsidRPr="00340C83">
        <w:rPr>
          <w:b/>
        </w:rPr>
        <w:t>Classification of HAB Abundance.</w:t>
      </w:r>
      <w:proofErr w:type="gramEnd"/>
      <w:r>
        <w:t xml:space="preserve"> </w:t>
      </w:r>
      <w:r w:rsidR="0003082C" w:rsidRPr="00012955">
        <w:t xml:space="preserve">The classification scheme for presence of HAB organisms is based on a similar metric as for toxins (Table </w:t>
      </w:r>
      <w:r w:rsidR="0003082C">
        <w:t>3.</w:t>
      </w:r>
      <w:r w:rsidR="00D5413A">
        <w:t>11</w:t>
      </w:r>
      <w:r w:rsidR="0003082C" w:rsidRPr="00012955">
        <w:t xml:space="preserve">). An alert level is defined based on existing monitoring programs, and condition is graded based on expert opinion relative to those alert levels. For </w:t>
      </w:r>
      <w:proofErr w:type="spellStart"/>
      <w:r w:rsidR="0003082C" w:rsidRPr="00012955">
        <w:rPr>
          <w:i/>
        </w:rPr>
        <w:t>Alexandrium</w:t>
      </w:r>
      <w:proofErr w:type="spellEnd"/>
      <w:r w:rsidR="0003082C" w:rsidRPr="00012955">
        <w:t xml:space="preserve"> specifically, </w:t>
      </w:r>
      <w:r w:rsidR="00E81561">
        <w:t>because</w:t>
      </w:r>
      <w:r w:rsidR="00E81561" w:rsidRPr="00012955">
        <w:t xml:space="preserve"> </w:t>
      </w:r>
      <w:r w:rsidR="0003082C" w:rsidRPr="00012955">
        <w:t xml:space="preserve">all monitoring programs consider presence of </w:t>
      </w:r>
      <w:proofErr w:type="spellStart"/>
      <w:r w:rsidR="0003082C" w:rsidRPr="00012955">
        <w:rPr>
          <w:i/>
        </w:rPr>
        <w:t>Alexandrium</w:t>
      </w:r>
      <w:proofErr w:type="spellEnd"/>
      <w:r w:rsidR="0003082C" w:rsidRPr="00012955">
        <w:t xml:space="preserve"> to be a potential impairment, only three cell abundance categories are used (not detected, detected at up to 100 cells/L, and more than 100 cells/L). For BGA</w:t>
      </w:r>
      <w:r w:rsidR="00E81561">
        <w:t>,</w:t>
      </w:r>
      <w:r w:rsidR="0003082C" w:rsidRPr="00012955">
        <w:t xml:space="preserve"> the criteria </w:t>
      </w:r>
      <w:r w:rsidR="00E81561">
        <w:t>are</w:t>
      </w:r>
      <w:r w:rsidR="00E81561" w:rsidRPr="00012955">
        <w:t xml:space="preserve"> </w:t>
      </w:r>
      <w:r w:rsidR="0003082C" w:rsidRPr="00012955">
        <w:t xml:space="preserve">restricted to stations or locations where salinity is less than or equal to 2, and the alert level is based on OEHHA </w:t>
      </w:r>
      <w:r w:rsidR="00735A33">
        <w:t xml:space="preserve">2012 </w:t>
      </w:r>
      <w:r w:rsidR="0003082C" w:rsidRPr="00012955">
        <w:t>guidance of 1E6 cells/mL (i.e.</w:t>
      </w:r>
      <w:r w:rsidR="00E81561">
        <w:t>,</w:t>
      </w:r>
      <w:r w:rsidR="0003082C" w:rsidRPr="00012955">
        <w:t xml:space="preserve"> scum-forming blooms). Given the prevalence of BGA toxins in SFB (</w:t>
      </w:r>
      <w:r w:rsidR="00766906">
        <w:t>Appendix C-Figure 3</w:t>
      </w:r>
      <w:r w:rsidR="0003082C" w:rsidRPr="00012955">
        <w:t>), more conservative cell abundances were chosen for transitions from high Very High to Very Low condition compared to an alert threshold of 1E6 cells/</w:t>
      </w:r>
      <w:proofErr w:type="spellStart"/>
      <w:r w:rsidR="0003082C" w:rsidRPr="00012955">
        <w:t>mL.</w:t>
      </w:r>
      <w:proofErr w:type="spellEnd"/>
      <w:r w:rsidR="0003082C" w:rsidRPr="00012955">
        <w:t xml:space="preserve"> </w:t>
      </w:r>
    </w:p>
    <w:p w:rsidR="0003082C" w:rsidRDefault="0003082C">
      <w:pPr>
        <w:spacing w:line="276" w:lineRule="auto"/>
        <w:rPr>
          <w:rFonts w:ascii="Arial" w:hAnsi="Arial"/>
          <w:b/>
          <w:sz w:val="20"/>
          <w:szCs w:val="22"/>
          <w:lang w:bidi="en-US"/>
        </w:rPr>
      </w:pPr>
      <w:r>
        <w:br w:type="page"/>
      </w:r>
    </w:p>
    <w:p w:rsidR="0003082C" w:rsidRDefault="0003082C">
      <w:pPr>
        <w:pStyle w:val="TOT"/>
        <w:spacing w:before="0" w:after="0" w:line="276" w:lineRule="auto"/>
        <w:rPr>
          <w:caps w:val="0"/>
          <w:smallCaps w:val="0"/>
        </w:rPr>
      </w:pPr>
      <w:bookmarkStart w:id="77" w:name="_Toc410026620"/>
      <w:bookmarkStart w:id="78" w:name="_Toc440224082"/>
      <w:proofErr w:type="gramStart"/>
      <w:r w:rsidRPr="004B1D5F">
        <w:rPr>
          <w:caps w:val="0"/>
          <w:smallCaps w:val="0"/>
        </w:rPr>
        <w:lastRenderedPageBreak/>
        <w:t>Table 3.</w:t>
      </w:r>
      <w:r w:rsidR="00D5413A">
        <w:rPr>
          <w:caps w:val="0"/>
          <w:smallCaps w:val="0"/>
        </w:rPr>
        <w:t>11</w:t>
      </w:r>
      <w:r w:rsidRPr="004B1D5F">
        <w:rPr>
          <w:caps w:val="0"/>
          <w:smallCaps w:val="0"/>
        </w:rPr>
        <w:t>.</w:t>
      </w:r>
      <w:proofErr w:type="gramEnd"/>
      <w:r w:rsidRPr="004B1D5F">
        <w:rPr>
          <w:caps w:val="0"/>
          <w:smallCaps w:val="0"/>
        </w:rPr>
        <w:t xml:space="preserve"> </w:t>
      </w:r>
      <w:proofErr w:type="gramStart"/>
      <w:r w:rsidRPr="004B1D5F">
        <w:rPr>
          <w:caps w:val="0"/>
          <w:smallCaps w:val="0"/>
        </w:rPr>
        <w:t>HAB Abundance Classification Table.</w:t>
      </w:r>
      <w:proofErr w:type="gramEnd"/>
      <w:r w:rsidRPr="004B1D5F">
        <w:rPr>
          <w:caps w:val="0"/>
          <w:smallCaps w:val="0"/>
        </w:rPr>
        <w:t xml:space="preserve"> Classification should be applied to each </w:t>
      </w:r>
      <w:proofErr w:type="spellStart"/>
      <w:r w:rsidR="00353722">
        <w:rPr>
          <w:caps w:val="0"/>
          <w:smallCaps w:val="0"/>
        </w:rPr>
        <w:t>subembayment</w:t>
      </w:r>
      <w:proofErr w:type="spellEnd"/>
      <w:r w:rsidRPr="004B1D5F">
        <w:rPr>
          <w:caps w:val="0"/>
          <w:smallCaps w:val="0"/>
        </w:rPr>
        <w:t xml:space="preserve">. If multiple HABs are detected within a </w:t>
      </w:r>
      <w:proofErr w:type="spellStart"/>
      <w:r w:rsidR="00353722">
        <w:rPr>
          <w:caps w:val="0"/>
          <w:smallCaps w:val="0"/>
        </w:rPr>
        <w:t>subembayment</w:t>
      </w:r>
      <w:proofErr w:type="spellEnd"/>
      <w:r w:rsidRPr="004B1D5F">
        <w:rPr>
          <w:caps w:val="0"/>
          <w:smallCaps w:val="0"/>
        </w:rPr>
        <w:t xml:space="preserve"> on an annual basis, lowest rating for the year should be applied.</w:t>
      </w:r>
      <w:bookmarkEnd w:id="77"/>
      <w:bookmarkEnd w:id="78"/>
      <w:r w:rsidRPr="004B1D5F">
        <w:rPr>
          <w:caps w:val="0"/>
          <w:smallCaps w:val="0"/>
        </w:rPr>
        <w:t xml:space="preserve"> </w:t>
      </w:r>
    </w:p>
    <w:p w:rsidR="00B747E5" w:rsidRPr="004B1D5F" w:rsidRDefault="00B747E5">
      <w:pPr>
        <w:pStyle w:val="TOT"/>
        <w:spacing w:before="0" w:after="0" w:line="276" w:lineRule="auto"/>
        <w:rPr>
          <w:caps w:val="0"/>
          <w:smallCaps w:val="0"/>
        </w:rPr>
      </w:pPr>
    </w:p>
    <w:tbl>
      <w:tblPr>
        <w:tblW w:w="90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115" w:type="dxa"/>
          <w:right w:w="115" w:type="dxa"/>
        </w:tblCellMar>
        <w:tblLook w:val="0420" w:firstRow="1" w:lastRow="0" w:firstColumn="0" w:lastColumn="0" w:noHBand="0" w:noVBand="1"/>
      </w:tblPr>
      <w:tblGrid>
        <w:gridCol w:w="3258"/>
        <w:gridCol w:w="1447"/>
        <w:gridCol w:w="1440"/>
        <w:gridCol w:w="1530"/>
        <w:gridCol w:w="1343"/>
      </w:tblGrid>
      <w:tr w:rsidR="0003082C" w:rsidRPr="006549B3" w:rsidTr="00974D10">
        <w:trPr>
          <w:trHeight w:val="584"/>
        </w:trPr>
        <w:tc>
          <w:tcPr>
            <w:tcW w:w="3258" w:type="dxa"/>
            <w:vMerge w:val="restart"/>
            <w:tcBorders>
              <w:top w:val="single" w:sz="12" w:space="0" w:color="auto"/>
              <w:bottom w:val="single" w:sz="12" w:space="0" w:color="666666"/>
            </w:tcBorders>
            <w:shd w:val="clear" w:color="auto" w:fill="auto"/>
            <w:vAlign w:val="center"/>
            <w:hideMark/>
          </w:tcPr>
          <w:p w:rsidR="0003082C" w:rsidRPr="006549B3" w:rsidRDefault="0003082C">
            <w:pPr>
              <w:spacing w:line="276" w:lineRule="auto"/>
              <w:contextualSpacing/>
              <w:rPr>
                <w:rFonts w:ascii="Arial" w:hAnsi="Arial" w:cs="Arial"/>
                <w:b/>
                <w:bCs/>
                <w:sz w:val="18"/>
                <w:szCs w:val="18"/>
              </w:rPr>
            </w:pPr>
            <w:r w:rsidRPr="006549B3">
              <w:rPr>
                <w:rFonts w:ascii="Arial" w:hAnsi="Arial" w:cs="Arial"/>
                <w:b/>
                <w:bCs/>
                <w:sz w:val="18"/>
                <w:szCs w:val="18"/>
              </w:rPr>
              <w:t>Cell Count By Taxonomic Group</w:t>
            </w:r>
          </w:p>
        </w:tc>
        <w:tc>
          <w:tcPr>
            <w:tcW w:w="5760" w:type="dxa"/>
            <w:gridSpan w:val="4"/>
            <w:tcBorders>
              <w:top w:val="single" w:sz="12" w:space="0" w:color="auto"/>
              <w:bottom w:val="single" w:sz="12" w:space="0" w:color="666666"/>
            </w:tcBorders>
            <w:shd w:val="clear" w:color="auto" w:fill="auto"/>
            <w:vAlign w:val="center"/>
            <w:hideMark/>
          </w:tcPr>
          <w:p w:rsidR="0003082C" w:rsidRPr="006549B3" w:rsidRDefault="0003082C">
            <w:pPr>
              <w:spacing w:line="276" w:lineRule="auto"/>
              <w:contextualSpacing/>
              <w:rPr>
                <w:rFonts w:ascii="Arial" w:hAnsi="Arial" w:cs="Arial"/>
                <w:b/>
                <w:bCs/>
                <w:sz w:val="18"/>
                <w:szCs w:val="18"/>
              </w:rPr>
            </w:pPr>
            <w:r w:rsidRPr="006549B3">
              <w:rPr>
                <w:rFonts w:ascii="Arial" w:hAnsi="Arial" w:cs="Arial"/>
                <w:b/>
                <w:bCs/>
                <w:sz w:val="18"/>
                <w:szCs w:val="18"/>
              </w:rPr>
              <w:t>Ecological Condition Based on Annual Frequency of Occurrence in Monthly Samples</w:t>
            </w:r>
          </w:p>
        </w:tc>
      </w:tr>
      <w:tr w:rsidR="0003082C" w:rsidRPr="006549B3" w:rsidTr="00974D10">
        <w:trPr>
          <w:trHeight w:val="321"/>
        </w:trPr>
        <w:tc>
          <w:tcPr>
            <w:tcW w:w="3258" w:type="dxa"/>
            <w:vMerge/>
            <w:tcBorders>
              <w:bottom w:val="single" w:sz="12" w:space="0" w:color="auto"/>
            </w:tcBorders>
            <w:shd w:val="clear" w:color="auto" w:fill="auto"/>
            <w:vAlign w:val="center"/>
            <w:hideMark/>
          </w:tcPr>
          <w:p w:rsidR="0003082C" w:rsidRPr="006549B3" w:rsidRDefault="0003082C">
            <w:pPr>
              <w:spacing w:line="276" w:lineRule="auto"/>
              <w:contextualSpacing/>
              <w:rPr>
                <w:rFonts w:ascii="Arial" w:hAnsi="Arial" w:cs="Arial"/>
                <w:sz w:val="18"/>
                <w:szCs w:val="18"/>
              </w:rPr>
            </w:pPr>
          </w:p>
        </w:tc>
        <w:tc>
          <w:tcPr>
            <w:tcW w:w="1447" w:type="dxa"/>
            <w:tcBorders>
              <w:bottom w:val="single" w:sz="12" w:space="0" w:color="auto"/>
            </w:tcBorders>
            <w:shd w:val="clear" w:color="auto" w:fill="auto"/>
            <w:vAlign w:val="center"/>
            <w:hideMark/>
          </w:tcPr>
          <w:p w:rsidR="0003082C" w:rsidRPr="006549B3" w:rsidRDefault="0003082C" w:rsidP="00BE682F">
            <w:pPr>
              <w:spacing w:line="276" w:lineRule="auto"/>
              <w:contextualSpacing/>
              <w:rPr>
                <w:rFonts w:ascii="Arial" w:hAnsi="Arial" w:cs="Arial"/>
                <w:sz w:val="18"/>
                <w:szCs w:val="18"/>
              </w:rPr>
            </w:pPr>
            <w:r w:rsidRPr="006549B3">
              <w:rPr>
                <w:rFonts w:ascii="Arial" w:hAnsi="Arial" w:cs="Arial"/>
                <w:sz w:val="18"/>
                <w:szCs w:val="18"/>
              </w:rPr>
              <w:t>1 of 12</w:t>
            </w:r>
          </w:p>
        </w:tc>
        <w:tc>
          <w:tcPr>
            <w:tcW w:w="1440" w:type="dxa"/>
            <w:tcBorders>
              <w:bottom w:val="single" w:sz="12" w:space="0" w:color="auto"/>
            </w:tcBorders>
            <w:shd w:val="clear" w:color="auto" w:fill="auto"/>
            <w:vAlign w:val="center"/>
            <w:hideMark/>
          </w:tcPr>
          <w:p w:rsidR="0003082C" w:rsidRPr="006549B3" w:rsidRDefault="0003082C" w:rsidP="00BE682F">
            <w:pPr>
              <w:spacing w:line="276" w:lineRule="auto"/>
              <w:contextualSpacing/>
              <w:rPr>
                <w:rFonts w:ascii="Arial" w:hAnsi="Arial" w:cs="Arial"/>
                <w:sz w:val="18"/>
                <w:szCs w:val="18"/>
              </w:rPr>
            </w:pPr>
            <w:r w:rsidRPr="006549B3">
              <w:rPr>
                <w:rFonts w:ascii="Arial" w:hAnsi="Arial" w:cs="Arial"/>
                <w:sz w:val="18"/>
                <w:szCs w:val="18"/>
              </w:rPr>
              <w:t>2-3</w:t>
            </w:r>
          </w:p>
        </w:tc>
        <w:tc>
          <w:tcPr>
            <w:tcW w:w="1530" w:type="dxa"/>
            <w:tcBorders>
              <w:bottom w:val="single" w:sz="12" w:space="0" w:color="auto"/>
            </w:tcBorders>
            <w:shd w:val="clear" w:color="auto" w:fill="auto"/>
            <w:vAlign w:val="center"/>
            <w:hideMark/>
          </w:tcPr>
          <w:p w:rsidR="0003082C" w:rsidRPr="006549B3" w:rsidRDefault="0003082C" w:rsidP="00BE682F">
            <w:pPr>
              <w:spacing w:line="276" w:lineRule="auto"/>
              <w:contextualSpacing/>
              <w:rPr>
                <w:rFonts w:ascii="Arial" w:hAnsi="Arial" w:cs="Arial"/>
                <w:sz w:val="18"/>
                <w:szCs w:val="18"/>
              </w:rPr>
            </w:pPr>
            <w:r w:rsidRPr="006549B3">
              <w:rPr>
                <w:rFonts w:ascii="Arial" w:hAnsi="Arial" w:cs="Arial"/>
                <w:sz w:val="18"/>
                <w:szCs w:val="18"/>
              </w:rPr>
              <w:t>4-6</w:t>
            </w:r>
          </w:p>
        </w:tc>
        <w:tc>
          <w:tcPr>
            <w:tcW w:w="1343" w:type="dxa"/>
            <w:tcBorders>
              <w:bottom w:val="single" w:sz="12" w:space="0" w:color="auto"/>
            </w:tcBorders>
            <w:shd w:val="clear" w:color="auto" w:fill="auto"/>
            <w:vAlign w:val="center"/>
            <w:hideMark/>
          </w:tcPr>
          <w:p w:rsidR="0003082C" w:rsidRPr="006549B3" w:rsidRDefault="0003082C" w:rsidP="00BE682F">
            <w:pPr>
              <w:spacing w:line="276" w:lineRule="auto"/>
              <w:contextualSpacing/>
              <w:rPr>
                <w:rFonts w:ascii="Arial" w:hAnsi="Arial" w:cs="Arial"/>
                <w:sz w:val="18"/>
                <w:szCs w:val="18"/>
              </w:rPr>
            </w:pPr>
            <w:r w:rsidRPr="006549B3">
              <w:rPr>
                <w:rFonts w:ascii="Arial" w:hAnsi="Arial" w:cs="Arial"/>
                <w:sz w:val="18"/>
                <w:szCs w:val="18"/>
              </w:rPr>
              <w:t>6+</w:t>
            </w:r>
          </w:p>
        </w:tc>
      </w:tr>
      <w:tr w:rsidR="0003082C" w:rsidRPr="006549B3" w:rsidTr="00974D10">
        <w:trPr>
          <w:trHeight w:val="420"/>
        </w:trPr>
        <w:tc>
          <w:tcPr>
            <w:tcW w:w="9018" w:type="dxa"/>
            <w:gridSpan w:val="5"/>
            <w:shd w:val="clear" w:color="auto" w:fill="auto"/>
            <w:vAlign w:val="center"/>
          </w:tcPr>
          <w:p w:rsidR="0003082C" w:rsidRPr="006549B3" w:rsidRDefault="0003082C">
            <w:pPr>
              <w:spacing w:line="276" w:lineRule="auto"/>
              <w:contextualSpacing/>
              <w:rPr>
                <w:rFonts w:ascii="Arial" w:hAnsi="Arial" w:cs="Arial"/>
                <w:sz w:val="18"/>
                <w:szCs w:val="18"/>
              </w:rPr>
            </w:pPr>
            <w:r w:rsidRPr="006549B3">
              <w:rPr>
                <w:rFonts w:ascii="Arial" w:hAnsi="Arial" w:cs="Arial"/>
                <w:b/>
                <w:sz w:val="18"/>
                <w:szCs w:val="18"/>
              </w:rPr>
              <w:t>Cyanobacteria</w:t>
            </w:r>
            <w:r w:rsidRPr="006549B3">
              <w:rPr>
                <w:rFonts w:ascii="Arial" w:hAnsi="Arial" w:cs="Arial"/>
                <w:b/>
                <w:sz w:val="18"/>
                <w:szCs w:val="18"/>
                <w:vertAlign w:val="superscript"/>
              </w:rPr>
              <w:t>1</w:t>
            </w:r>
            <w:r w:rsidRPr="006549B3">
              <w:rPr>
                <w:rFonts w:ascii="Arial" w:hAnsi="Arial" w:cs="Arial"/>
                <w:sz w:val="18"/>
                <w:szCs w:val="18"/>
              </w:rPr>
              <w:t>. Applies at salinities ≤ 2 ppt.</w:t>
            </w:r>
          </w:p>
        </w:tc>
      </w:tr>
      <w:tr w:rsidR="0003082C" w:rsidRPr="006549B3" w:rsidTr="00974D10">
        <w:trPr>
          <w:trHeight w:val="440"/>
        </w:trPr>
        <w:tc>
          <w:tcPr>
            <w:tcW w:w="3258" w:type="dxa"/>
            <w:shd w:val="clear" w:color="auto" w:fill="auto"/>
            <w:vAlign w:val="center"/>
            <w:hideMark/>
          </w:tcPr>
          <w:p w:rsidR="0003082C" w:rsidRPr="006549B3" w:rsidRDefault="0003082C">
            <w:pPr>
              <w:spacing w:line="276" w:lineRule="auto"/>
              <w:ind w:left="360"/>
              <w:contextualSpacing/>
              <w:rPr>
                <w:rFonts w:ascii="Arial" w:hAnsi="Arial" w:cs="Arial"/>
                <w:sz w:val="18"/>
                <w:szCs w:val="18"/>
              </w:rPr>
            </w:pPr>
            <w:r w:rsidRPr="006549B3">
              <w:rPr>
                <w:rFonts w:ascii="Arial" w:hAnsi="Arial" w:cs="Arial"/>
                <w:sz w:val="18"/>
                <w:szCs w:val="18"/>
              </w:rPr>
              <w:t>Absent to &lt; 20,000 cells per ml</w:t>
            </w:r>
          </w:p>
        </w:tc>
        <w:tc>
          <w:tcPr>
            <w:tcW w:w="1447" w:type="dxa"/>
            <w:shd w:val="clear" w:color="auto" w:fill="auto"/>
            <w:vAlign w:val="center"/>
            <w:hideMark/>
          </w:tcPr>
          <w:p w:rsidR="0003082C" w:rsidRPr="006549B3" w:rsidRDefault="0003082C">
            <w:pPr>
              <w:spacing w:line="276" w:lineRule="auto"/>
              <w:contextualSpacing/>
              <w:rPr>
                <w:rFonts w:ascii="Arial" w:hAnsi="Arial" w:cs="Arial"/>
                <w:sz w:val="18"/>
                <w:szCs w:val="18"/>
              </w:rPr>
            </w:pPr>
            <w:r w:rsidRPr="006549B3">
              <w:rPr>
                <w:rFonts w:ascii="Arial" w:hAnsi="Arial" w:cs="Arial"/>
                <w:sz w:val="18"/>
                <w:szCs w:val="18"/>
              </w:rPr>
              <w:t>Very high</w:t>
            </w:r>
          </w:p>
        </w:tc>
        <w:tc>
          <w:tcPr>
            <w:tcW w:w="1440" w:type="dxa"/>
            <w:shd w:val="clear" w:color="auto" w:fill="auto"/>
            <w:vAlign w:val="center"/>
            <w:hideMark/>
          </w:tcPr>
          <w:p w:rsidR="0003082C" w:rsidRPr="006549B3" w:rsidRDefault="0003082C">
            <w:pPr>
              <w:spacing w:line="276" w:lineRule="auto"/>
              <w:contextualSpacing/>
              <w:rPr>
                <w:rFonts w:ascii="Arial" w:hAnsi="Arial" w:cs="Arial"/>
                <w:sz w:val="18"/>
                <w:szCs w:val="18"/>
              </w:rPr>
            </w:pPr>
            <w:r w:rsidRPr="006549B3">
              <w:rPr>
                <w:rFonts w:ascii="Arial" w:hAnsi="Arial" w:cs="Arial"/>
                <w:sz w:val="18"/>
                <w:szCs w:val="18"/>
              </w:rPr>
              <w:t>Very high</w:t>
            </w:r>
          </w:p>
        </w:tc>
        <w:tc>
          <w:tcPr>
            <w:tcW w:w="1530" w:type="dxa"/>
            <w:shd w:val="clear" w:color="auto" w:fill="auto"/>
            <w:vAlign w:val="center"/>
            <w:hideMark/>
          </w:tcPr>
          <w:p w:rsidR="0003082C" w:rsidRPr="006549B3" w:rsidRDefault="0003082C">
            <w:pPr>
              <w:spacing w:line="276" w:lineRule="auto"/>
              <w:contextualSpacing/>
              <w:rPr>
                <w:rFonts w:ascii="Arial" w:hAnsi="Arial" w:cs="Arial"/>
                <w:sz w:val="18"/>
                <w:szCs w:val="18"/>
              </w:rPr>
            </w:pPr>
            <w:r w:rsidRPr="006549B3">
              <w:rPr>
                <w:rFonts w:ascii="Arial" w:hAnsi="Arial" w:cs="Arial"/>
                <w:sz w:val="18"/>
                <w:szCs w:val="18"/>
              </w:rPr>
              <w:t>Very high</w:t>
            </w:r>
          </w:p>
        </w:tc>
        <w:tc>
          <w:tcPr>
            <w:tcW w:w="1343" w:type="dxa"/>
            <w:shd w:val="clear" w:color="auto" w:fill="auto"/>
            <w:vAlign w:val="center"/>
            <w:hideMark/>
          </w:tcPr>
          <w:p w:rsidR="0003082C" w:rsidRPr="006549B3" w:rsidRDefault="0003082C">
            <w:pPr>
              <w:spacing w:line="276" w:lineRule="auto"/>
              <w:contextualSpacing/>
              <w:rPr>
                <w:rFonts w:ascii="Arial" w:hAnsi="Arial" w:cs="Arial"/>
                <w:sz w:val="18"/>
                <w:szCs w:val="18"/>
              </w:rPr>
            </w:pPr>
            <w:r w:rsidRPr="006549B3">
              <w:rPr>
                <w:rFonts w:ascii="Arial" w:hAnsi="Arial" w:cs="Arial"/>
                <w:sz w:val="18"/>
                <w:szCs w:val="18"/>
              </w:rPr>
              <w:t>Very high</w:t>
            </w:r>
          </w:p>
        </w:tc>
      </w:tr>
      <w:tr w:rsidR="0003082C" w:rsidRPr="006549B3" w:rsidTr="00974D10">
        <w:trPr>
          <w:trHeight w:val="368"/>
        </w:trPr>
        <w:tc>
          <w:tcPr>
            <w:tcW w:w="3258" w:type="dxa"/>
            <w:shd w:val="clear" w:color="auto" w:fill="auto"/>
            <w:vAlign w:val="center"/>
            <w:hideMark/>
          </w:tcPr>
          <w:p w:rsidR="0003082C" w:rsidRPr="006549B3" w:rsidRDefault="0003082C">
            <w:pPr>
              <w:spacing w:line="276" w:lineRule="auto"/>
              <w:ind w:left="360"/>
              <w:contextualSpacing/>
              <w:rPr>
                <w:rFonts w:ascii="Arial" w:hAnsi="Arial" w:cs="Arial"/>
                <w:sz w:val="18"/>
                <w:szCs w:val="18"/>
              </w:rPr>
            </w:pPr>
            <w:r w:rsidRPr="006549B3">
              <w:rPr>
                <w:rFonts w:ascii="Arial" w:hAnsi="Arial" w:cs="Arial"/>
                <w:sz w:val="18"/>
                <w:szCs w:val="18"/>
              </w:rPr>
              <w:t>20,000 – 10</w:t>
            </w:r>
            <w:r w:rsidRPr="006549B3">
              <w:rPr>
                <w:rFonts w:ascii="Arial" w:hAnsi="Arial" w:cs="Arial"/>
                <w:sz w:val="18"/>
                <w:szCs w:val="18"/>
                <w:vertAlign w:val="superscript"/>
              </w:rPr>
              <w:t>5</w:t>
            </w:r>
            <w:r w:rsidRPr="006549B3">
              <w:rPr>
                <w:rFonts w:ascii="Arial" w:hAnsi="Arial" w:cs="Arial"/>
                <w:sz w:val="18"/>
                <w:szCs w:val="18"/>
              </w:rPr>
              <w:t xml:space="preserve"> cells per ml</w:t>
            </w:r>
          </w:p>
        </w:tc>
        <w:tc>
          <w:tcPr>
            <w:tcW w:w="1447" w:type="dxa"/>
            <w:shd w:val="clear" w:color="auto" w:fill="auto"/>
            <w:vAlign w:val="center"/>
            <w:hideMark/>
          </w:tcPr>
          <w:p w:rsidR="0003082C" w:rsidRPr="006549B3" w:rsidRDefault="0003082C">
            <w:pPr>
              <w:spacing w:line="276" w:lineRule="auto"/>
              <w:contextualSpacing/>
              <w:rPr>
                <w:rFonts w:ascii="Arial" w:hAnsi="Arial" w:cs="Arial"/>
                <w:sz w:val="18"/>
                <w:szCs w:val="18"/>
              </w:rPr>
            </w:pPr>
            <w:r w:rsidRPr="006549B3">
              <w:rPr>
                <w:rFonts w:ascii="Arial" w:hAnsi="Arial" w:cs="Arial"/>
                <w:sz w:val="18"/>
                <w:szCs w:val="18"/>
              </w:rPr>
              <w:t>High</w:t>
            </w:r>
          </w:p>
        </w:tc>
        <w:tc>
          <w:tcPr>
            <w:tcW w:w="1440" w:type="dxa"/>
            <w:shd w:val="clear" w:color="auto" w:fill="auto"/>
            <w:vAlign w:val="center"/>
            <w:hideMark/>
          </w:tcPr>
          <w:p w:rsidR="0003082C" w:rsidRPr="006549B3" w:rsidRDefault="0003082C">
            <w:pPr>
              <w:spacing w:line="276" w:lineRule="auto"/>
              <w:contextualSpacing/>
              <w:rPr>
                <w:rFonts w:ascii="Arial" w:hAnsi="Arial" w:cs="Arial"/>
                <w:sz w:val="18"/>
                <w:szCs w:val="18"/>
              </w:rPr>
            </w:pPr>
            <w:r w:rsidRPr="006549B3">
              <w:rPr>
                <w:rFonts w:ascii="Arial" w:hAnsi="Arial" w:cs="Arial"/>
                <w:sz w:val="18"/>
                <w:szCs w:val="18"/>
              </w:rPr>
              <w:t>Moderate</w:t>
            </w:r>
          </w:p>
        </w:tc>
        <w:tc>
          <w:tcPr>
            <w:tcW w:w="1530" w:type="dxa"/>
            <w:shd w:val="clear" w:color="auto" w:fill="auto"/>
            <w:vAlign w:val="center"/>
            <w:hideMark/>
          </w:tcPr>
          <w:p w:rsidR="0003082C" w:rsidRPr="006549B3" w:rsidRDefault="0003082C">
            <w:pPr>
              <w:spacing w:line="276" w:lineRule="auto"/>
              <w:contextualSpacing/>
              <w:rPr>
                <w:rFonts w:ascii="Arial" w:hAnsi="Arial" w:cs="Arial"/>
                <w:sz w:val="18"/>
                <w:szCs w:val="18"/>
              </w:rPr>
            </w:pPr>
            <w:r w:rsidRPr="006549B3">
              <w:rPr>
                <w:rFonts w:ascii="Arial" w:hAnsi="Arial" w:cs="Arial"/>
                <w:sz w:val="18"/>
                <w:szCs w:val="18"/>
              </w:rPr>
              <w:t>Low</w:t>
            </w:r>
          </w:p>
        </w:tc>
        <w:tc>
          <w:tcPr>
            <w:tcW w:w="1343" w:type="dxa"/>
            <w:shd w:val="clear" w:color="auto" w:fill="auto"/>
            <w:vAlign w:val="center"/>
            <w:hideMark/>
          </w:tcPr>
          <w:p w:rsidR="0003082C" w:rsidRPr="006549B3" w:rsidRDefault="0003082C">
            <w:pPr>
              <w:spacing w:line="276" w:lineRule="auto"/>
              <w:contextualSpacing/>
              <w:rPr>
                <w:rFonts w:ascii="Arial" w:hAnsi="Arial" w:cs="Arial"/>
                <w:sz w:val="18"/>
                <w:szCs w:val="18"/>
              </w:rPr>
            </w:pPr>
            <w:r w:rsidRPr="006549B3">
              <w:rPr>
                <w:rFonts w:ascii="Arial" w:hAnsi="Arial" w:cs="Arial"/>
                <w:sz w:val="18"/>
                <w:szCs w:val="18"/>
              </w:rPr>
              <w:t>Very Low</w:t>
            </w:r>
          </w:p>
        </w:tc>
      </w:tr>
      <w:tr w:rsidR="0003082C" w:rsidRPr="006549B3" w:rsidTr="00974D10">
        <w:trPr>
          <w:trHeight w:val="440"/>
        </w:trPr>
        <w:tc>
          <w:tcPr>
            <w:tcW w:w="3258" w:type="dxa"/>
            <w:shd w:val="clear" w:color="auto" w:fill="auto"/>
            <w:vAlign w:val="center"/>
            <w:hideMark/>
          </w:tcPr>
          <w:p w:rsidR="0003082C" w:rsidRPr="006549B3" w:rsidRDefault="0003082C">
            <w:pPr>
              <w:spacing w:line="276" w:lineRule="auto"/>
              <w:ind w:left="360"/>
              <w:contextualSpacing/>
              <w:rPr>
                <w:rFonts w:ascii="Arial" w:hAnsi="Arial" w:cs="Arial"/>
                <w:sz w:val="18"/>
                <w:szCs w:val="18"/>
              </w:rPr>
            </w:pPr>
            <w:r w:rsidRPr="006549B3">
              <w:rPr>
                <w:rFonts w:ascii="Arial" w:hAnsi="Arial" w:cs="Arial"/>
                <w:sz w:val="18"/>
                <w:szCs w:val="18"/>
              </w:rPr>
              <w:t>10</w:t>
            </w:r>
            <w:r w:rsidRPr="006549B3">
              <w:rPr>
                <w:rFonts w:ascii="Arial" w:hAnsi="Arial" w:cs="Arial"/>
                <w:sz w:val="18"/>
                <w:szCs w:val="18"/>
                <w:vertAlign w:val="superscript"/>
              </w:rPr>
              <w:t>5</w:t>
            </w:r>
            <w:r w:rsidR="00D72900" w:rsidRPr="006549B3">
              <w:rPr>
                <w:rFonts w:ascii="Arial" w:hAnsi="Arial" w:cs="Arial"/>
                <w:sz w:val="18"/>
                <w:szCs w:val="18"/>
              </w:rPr>
              <w:t xml:space="preserve"> </w:t>
            </w:r>
            <w:r w:rsidRPr="006549B3">
              <w:rPr>
                <w:rFonts w:ascii="Arial" w:hAnsi="Arial" w:cs="Arial"/>
                <w:sz w:val="18"/>
                <w:szCs w:val="18"/>
              </w:rPr>
              <w:t>– 10</w:t>
            </w:r>
            <w:r w:rsidRPr="006549B3">
              <w:rPr>
                <w:rFonts w:ascii="Arial" w:hAnsi="Arial" w:cs="Arial"/>
                <w:sz w:val="18"/>
                <w:szCs w:val="18"/>
                <w:vertAlign w:val="superscript"/>
              </w:rPr>
              <w:t>7</w:t>
            </w:r>
            <w:r w:rsidR="00D72900" w:rsidRPr="006549B3">
              <w:rPr>
                <w:rFonts w:ascii="Arial" w:hAnsi="Arial" w:cs="Arial"/>
                <w:sz w:val="18"/>
                <w:szCs w:val="18"/>
              </w:rPr>
              <w:t xml:space="preserve"> </w:t>
            </w:r>
            <w:r w:rsidRPr="006549B3">
              <w:rPr>
                <w:rFonts w:ascii="Arial" w:hAnsi="Arial" w:cs="Arial"/>
                <w:sz w:val="18"/>
                <w:szCs w:val="18"/>
              </w:rPr>
              <w:t>cells per ml</w:t>
            </w:r>
          </w:p>
        </w:tc>
        <w:tc>
          <w:tcPr>
            <w:tcW w:w="1447" w:type="dxa"/>
            <w:shd w:val="clear" w:color="auto" w:fill="auto"/>
            <w:vAlign w:val="center"/>
            <w:hideMark/>
          </w:tcPr>
          <w:p w:rsidR="0003082C" w:rsidRPr="006549B3" w:rsidRDefault="0003082C">
            <w:pPr>
              <w:spacing w:line="276" w:lineRule="auto"/>
              <w:contextualSpacing/>
              <w:rPr>
                <w:rFonts w:ascii="Arial" w:hAnsi="Arial" w:cs="Arial"/>
                <w:sz w:val="18"/>
                <w:szCs w:val="18"/>
              </w:rPr>
            </w:pPr>
            <w:r w:rsidRPr="006549B3">
              <w:rPr>
                <w:rFonts w:ascii="Arial" w:hAnsi="Arial" w:cs="Arial"/>
                <w:sz w:val="18"/>
                <w:szCs w:val="18"/>
              </w:rPr>
              <w:t>Moderate</w:t>
            </w:r>
          </w:p>
        </w:tc>
        <w:tc>
          <w:tcPr>
            <w:tcW w:w="1440" w:type="dxa"/>
            <w:shd w:val="clear" w:color="auto" w:fill="auto"/>
            <w:vAlign w:val="center"/>
            <w:hideMark/>
          </w:tcPr>
          <w:p w:rsidR="0003082C" w:rsidRPr="006549B3" w:rsidRDefault="0003082C">
            <w:pPr>
              <w:spacing w:line="276" w:lineRule="auto"/>
              <w:contextualSpacing/>
              <w:rPr>
                <w:rFonts w:ascii="Arial" w:hAnsi="Arial" w:cs="Arial"/>
                <w:sz w:val="18"/>
                <w:szCs w:val="18"/>
              </w:rPr>
            </w:pPr>
            <w:r w:rsidRPr="006549B3">
              <w:rPr>
                <w:rFonts w:ascii="Arial" w:hAnsi="Arial" w:cs="Arial"/>
                <w:sz w:val="18"/>
                <w:szCs w:val="18"/>
              </w:rPr>
              <w:t>Low</w:t>
            </w:r>
          </w:p>
        </w:tc>
        <w:tc>
          <w:tcPr>
            <w:tcW w:w="1530" w:type="dxa"/>
            <w:shd w:val="clear" w:color="auto" w:fill="auto"/>
            <w:vAlign w:val="center"/>
            <w:hideMark/>
          </w:tcPr>
          <w:p w:rsidR="0003082C" w:rsidRPr="006549B3" w:rsidRDefault="0003082C">
            <w:pPr>
              <w:spacing w:line="276" w:lineRule="auto"/>
              <w:contextualSpacing/>
              <w:rPr>
                <w:rFonts w:ascii="Arial" w:hAnsi="Arial" w:cs="Arial"/>
                <w:sz w:val="18"/>
                <w:szCs w:val="18"/>
              </w:rPr>
            </w:pPr>
            <w:r w:rsidRPr="006549B3">
              <w:rPr>
                <w:rFonts w:ascii="Arial" w:hAnsi="Arial" w:cs="Arial"/>
                <w:sz w:val="18"/>
                <w:szCs w:val="18"/>
              </w:rPr>
              <w:t>Very Low</w:t>
            </w:r>
          </w:p>
        </w:tc>
        <w:tc>
          <w:tcPr>
            <w:tcW w:w="1343" w:type="dxa"/>
            <w:shd w:val="clear" w:color="auto" w:fill="auto"/>
            <w:vAlign w:val="center"/>
            <w:hideMark/>
          </w:tcPr>
          <w:p w:rsidR="0003082C" w:rsidRPr="006549B3" w:rsidRDefault="0003082C">
            <w:pPr>
              <w:spacing w:line="276" w:lineRule="auto"/>
              <w:contextualSpacing/>
              <w:rPr>
                <w:rFonts w:ascii="Arial" w:hAnsi="Arial" w:cs="Arial"/>
                <w:sz w:val="18"/>
                <w:szCs w:val="18"/>
              </w:rPr>
            </w:pPr>
            <w:r w:rsidRPr="006549B3">
              <w:rPr>
                <w:rFonts w:ascii="Arial" w:hAnsi="Arial" w:cs="Arial"/>
                <w:sz w:val="18"/>
                <w:szCs w:val="18"/>
              </w:rPr>
              <w:t>Very Low</w:t>
            </w:r>
          </w:p>
        </w:tc>
      </w:tr>
      <w:tr w:rsidR="0003082C" w:rsidRPr="006549B3" w:rsidTr="00974D10">
        <w:trPr>
          <w:trHeight w:val="350"/>
        </w:trPr>
        <w:tc>
          <w:tcPr>
            <w:tcW w:w="3258" w:type="dxa"/>
            <w:tcBorders>
              <w:bottom w:val="single" w:sz="12" w:space="0" w:color="auto"/>
            </w:tcBorders>
            <w:shd w:val="clear" w:color="auto" w:fill="auto"/>
            <w:vAlign w:val="center"/>
            <w:hideMark/>
          </w:tcPr>
          <w:p w:rsidR="0003082C" w:rsidRPr="006549B3" w:rsidRDefault="0003082C">
            <w:pPr>
              <w:spacing w:line="276" w:lineRule="auto"/>
              <w:ind w:left="360"/>
              <w:contextualSpacing/>
              <w:rPr>
                <w:rFonts w:ascii="Arial" w:hAnsi="Arial" w:cs="Arial"/>
                <w:sz w:val="18"/>
                <w:szCs w:val="18"/>
              </w:rPr>
            </w:pPr>
            <w:r w:rsidRPr="006549B3">
              <w:rPr>
                <w:rFonts w:ascii="Arial" w:hAnsi="Arial" w:cs="Arial"/>
                <w:sz w:val="18"/>
                <w:szCs w:val="18"/>
              </w:rPr>
              <w:t>&gt; 10</w:t>
            </w:r>
            <w:r w:rsidRPr="006549B3">
              <w:rPr>
                <w:rFonts w:ascii="Arial" w:hAnsi="Arial" w:cs="Arial"/>
                <w:sz w:val="18"/>
                <w:szCs w:val="18"/>
                <w:vertAlign w:val="superscript"/>
              </w:rPr>
              <w:t>7</w:t>
            </w:r>
            <w:r w:rsidR="00D72900" w:rsidRPr="006549B3">
              <w:rPr>
                <w:rFonts w:ascii="Arial" w:hAnsi="Arial" w:cs="Arial"/>
                <w:sz w:val="18"/>
                <w:szCs w:val="18"/>
              </w:rPr>
              <w:t xml:space="preserve"> </w:t>
            </w:r>
            <w:r w:rsidRPr="006549B3">
              <w:rPr>
                <w:rFonts w:ascii="Arial" w:hAnsi="Arial" w:cs="Arial"/>
                <w:sz w:val="18"/>
                <w:szCs w:val="18"/>
              </w:rPr>
              <w:t>cells per ml</w:t>
            </w:r>
          </w:p>
        </w:tc>
        <w:tc>
          <w:tcPr>
            <w:tcW w:w="1447" w:type="dxa"/>
            <w:tcBorders>
              <w:bottom w:val="single" w:sz="12" w:space="0" w:color="auto"/>
            </w:tcBorders>
            <w:shd w:val="clear" w:color="auto" w:fill="auto"/>
            <w:vAlign w:val="center"/>
            <w:hideMark/>
          </w:tcPr>
          <w:p w:rsidR="0003082C" w:rsidRPr="006549B3" w:rsidRDefault="0003082C">
            <w:pPr>
              <w:spacing w:line="276" w:lineRule="auto"/>
              <w:contextualSpacing/>
              <w:rPr>
                <w:rFonts w:ascii="Arial" w:hAnsi="Arial" w:cs="Arial"/>
                <w:sz w:val="18"/>
                <w:szCs w:val="18"/>
              </w:rPr>
            </w:pPr>
            <w:r w:rsidRPr="006549B3">
              <w:rPr>
                <w:rFonts w:ascii="Arial" w:hAnsi="Arial" w:cs="Arial"/>
                <w:sz w:val="18"/>
                <w:szCs w:val="18"/>
              </w:rPr>
              <w:t>Low</w:t>
            </w:r>
          </w:p>
        </w:tc>
        <w:tc>
          <w:tcPr>
            <w:tcW w:w="1440" w:type="dxa"/>
            <w:tcBorders>
              <w:bottom w:val="single" w:sz="12" w:space="0" w:color="auto"/>
            </w:tcBorders>
            <w:shd w:val="clear" w:color="auto" w:fill="auto"/>
            <w:vAlign w:val="center"/>
            <w:hideMark/>
          </w:tcPr>
          <w:p w:rsidR="0003082C" w:rsidRPr="006549B3" w:rsidRDefault="0003082C">
            <w:pPr>
              <w:spacing w:line="276" w:lineRule="auto"/>
              <w:contextualSpacing/>
              <w:rPr>
                <w:rFonts w:ascii="Arial" w:hAnsi="Arial" w:cs="Arial"/>
                <w:sz w:val="18"/>
                <w:szCs w:val="18"/>
              </w:rPr>
            </w:pPr>
            <w:r w:rsidRPr="006549B3">
              <w:rPr>
                <w:rFonts w:ascii="Arial" w:hAnsi="Arial" w:cs="Arial"/>
                <w:sz w:val="18"/>
                <w:szCs w:val="18"/>
              </w:rPr>
              <w:t>Very Low</w:t>
            </w:r>
          </w:p>
        </w:tc>
        <w:tc>
          <w:tcPr>
            <w:tcW w:w="1530" w:type="dxa"/>
            <w:tcBorders>
              <w:bottom w:val="single" w:sz="12" w:space="0" w:color="auto"/>
            </w:tcBorders>
            <w:shd w:val="clear" w:color="auto" w:fill="auto"/>
            <w:vAlign w:val="center"/>
            <w:hideMark/>
          </w:tcPr>
          <w:p w:rsidR="0003082C" w:rsidRPr="006549B3" w:rsidRDefault="0003082C">
            <w:pPr>
              <w:spacing w:line="276" w:lineRule="auto"/>
              <w:contextualSpacing/>
              <w:rPr>
                <w:rFonts w:ascii="Arial" w:hAnsi="Arial" w:cs="Arial"/>
                <w:sz w:val="18"/>
                <w:szCs w:val="18"/>
              </w:rPr>
            </w:pPr>
            <w:r w:rsidRPr="006549B3">
              <w:rPr>
                <w:rFonts w:ascii="Arial" w:hAnsi="Arial" w:cs="Arial"/>
                <w:sz w:val="18"/>
                <w:szCs w:val="18"/>
              </w:rPr>
              <w:t>Very Low</w:t>
            </w:r>
          </w:p>
        </w:tc>
        <w:tc>
          <w:tcPr>
            <w:tcW w:w="1343" w:type="dxa"/>
            <w:shd w:val="clear" w:color="auto" w:fill="auto"/>
            <w:vAlign w:val="center"/>
            <w:hideMark/>
          </w:tcPr>
          <w:p w:rsidR="0003082C" w:rsidRPr="006549B3" w:rsidRDefault="0003082C">
            <w:pPr>
              <w:spacing w:line="276" w:lineRule="auto"/>
              <w:contextualSpacing/>
              <w:rPr>
                <w:rFonts w:ascii="Arial" w:hAnsi="Arial" w:cs="Arial"/>
                <w:sz w:val="18"/>
                <w:szCs w:val="18"/>
              </w:rPr>
            </w:pPr>
            <w:r w:rsidRPr="006549B3">
              <w:rPr>
                <w:rFonts w:ascii="Arial" w:hAnsi="Arial" w:cs="Arial"/>
                <w:sz w:val="18"/>
                <w:szCs w:val="18"/>
              </w:rPr>
              <w:t>Very Low</w:t>
            </w:r>
          </w:p>
        </w:tc>
      </w:tr>
      <w:tr w:rsidR="0003082C" w:rsidRPr="006549B3" w:rsidTr="00974D10">
        <w:trPr>
          <w:trHeight w:val="420"/>
        </w:trPr>
        <w:tc>
          <w:tcPr>
            <w:tcW w:w="9018" w:type="dxa"/>
            <w:gridSpan w:val="5"/>
            <w:tcBorders>
              <w:top w:val="single" w:sz="12" w:space="0" w:color="auto"/>
            </w:tcBorders>
            <w:shd w:val="clear" w:color="auto" w:fill="auto"/>
            <w:vAlign w:val="center"/>
          </w:tcPr>
          <w:p w:rsidR="0003082C" w:rsidRPr="006549B3" w:rsidRDefault="0003082C">
            <w:pPr>
              <w:spacing w:line="276" w:lineRule="auto"/>
              <w:contextualSpacing/>
              <w:rPr>
                <w:rFonts w:ascii="Arial" w:hAnsi="Arial" w:cs="Arial"/>
                <w:b/>
                <w:sz w:val="18"/>
                <w:szCs w:val="18"/>
              </w:rPr>
            </w:pPr>
            <w:r w:rsidRPr="006549B3">
              <w:rPr>
                <w:rFonts w:ascii="Arial" w:hAnsi="Arial" w:cs="Arial"/>
                <w:b/>
                <w:sz w:val="18"/>
                <w:szCs w:val="18"/>
              </w:rPr>
              <w:t>Pseudo-</w:t>
            </w:r>
            <w:proofErr w:type="spellStart"/>
            <w:r w:rsidRPr="006549B3">
              <w:rPr>
                <w:rFonts w:ascii="Arial" w:hAnsi="Arial" w:cs="Arial"/>
                <w:b/>
                <w:sz w:val="18"/>
                <w:szCs w:val="18"/>
              </w:rPr>
              <w:t>nitzchia</w:t>
            </w:r>
            <w:proofErr w:type="spellEnd"/>
            <w:r w:rsidRPr="006549B3">
              <w:rPr>
                <w:rFonts w:ascii="Arial" w:hAnsi="Arial" w:cs="Arial"/>
                <w:b/>
                <w:sz w:val="18"/>
                <w:szCs w:val="18"/>
              </w:rPr>
              <w:t xml:space="preserve"> spp.</w:t>
            </w:r>
          </w:p>
        </w:tc>
      </w:tr>
      <w:tr w:rsidR="0003082C" w:rsidRPr="006549B3" w:rsidTr="00974D10">
        <w:trPr>
          <w:trHeight w:val="350"/>
        </w:trPr>
        <w:tc>
          <w:tcPr>
            <w:tcW w:w="3258" w:type="dxa"/>
            <w:shd w:val="clear" w:color="auto" w:fill="auto"/>
            <w:vAlign w:val="center"/>
          </w:tcPr>
          <w:p w:rsidR="0003082C" w:rsidRPr="006549B3" w:rsidRDefault="0003082C">
            <w:pPr>
              <w:spacing w:line="276" w:lineRule="auto"/>
              <w:ind w:left="360"/>
              <w:rPr>
                <w:rFonts w:ascii="Arial" w:hAnsi="Arial" w:cs="Arial"/>
                <w:sz w:val="18"/>
                <w:szCs w:val="18"/>
              </w:rPr>
            </w:pPr>
            <w:r w:rsidRPr="006549B3">
              <w:rPr>
                <w:rFonts w:ascii="Arial" w:hAnsi="Arial" w:cs="Arial"/>
                <w:sz w:val="18"/>
                <w:szCs w:val="18"/>
              </w:rPr>
              <w:t>&lt;100</w:t>
            </w:r>
            <w:r w:rsidR="00D72900" w:rsidRPr="006549B3">
              <w:rPr>
                <w:rFonts w:ascii="Arial" w:hAnsi="Arial" w:cs="Arial"/>
                <w:sz w:val="18"/>
                <w:szCs w:val="18"/>
              </w:rPr>
              <w:t xml:space="preserve"> </w:t>
            </w:r>
            <w:r w:rsidRPr="006549B3">
              <w:rPr>
                <w:rFonts w:ascii="Arial" w:hAnsi="Arial" w:cs="Arial"/>
                <w:sz w:val="18"/>
                <w:szCs w:val="18"/>
              </w:rPr>
              <w:t>cells per l</w:t>
            </w:r>
          </w:p>
        </w:tc>
        <w:tc>
          <w:tcPr>
            <w:tcW w:w="1447" w:type="dxa"/>
            <w:shd w:val="clear" w:color="auto" w:fill="auto"/>
            <w:vAlign w:val="center"/>
          </w:tcPr>
          <w:p w:rsidR="0003082C" w:rsidRPr="006549B3" w:rsidRDefault="0003082C">
            <w:pPr>
              <w:spacing w:line="276" w:lineRule="auto"/>
              <w:rPr>
                <w:rFonts w:ascii="Arial" w:hAnsi="Arial" w:cs="Arial"/>
                <w:sz w:val="18"/>
                <w:szCs w:val="18"/>
              </w:rPr>
            </w:pPr>
            <w:r w:rsidRPr="006549B3">
              <w:rPr>
                <w:rFonts w:ascii="Arial" w:hAnsi="Arial" w:cs="Arial"/>
                <w:sz w:val="18"/>
                <w:szCs w:val="18"/>
              </w:rPr>
              <w:t>Very high</w:t>
            </w:r>
          </w:p>
        </w:tc>
        <w:tc>
          <w:tcPr>
            <w:tcW w:w="1440" w:type="dxa"/>
            <w:shd w:val="clear" w:color="auto" w:fill="auto"/>
            <w:vAlign w:val="center"/>
          </w:tcPr>
          <w:p w:rsidR="0003082C" w:rsidRPr="006549B3" w:rsidRDefault="0003082C">
            <w:pPr>
              <w:spacing w:line="276" w:lineRule="auto"/>
              <w:rPr>
                <w:rFonts w:ascii="Arial" w:hAnsi="Arial" w:cs="Arial"/>
                <w:sz w:val="18"/>
                <w:szCs w:val="18"/>
              </w:rPr>
            </w:pPr>
            <w:r w:rsidRPr="006549B3">
              <w:rPr>
                <w:rFonts w:ascii="Arial" w:hAnsi="Arial" w:cs="Arial"/>
                <w:sz w:val="18"/>
                <w:szCs w:val="18"/>
              </w:rPr>
              <w:t>Very high</w:t>
            </w:r>
          </w:p>
        </w:tc>
        <w:tc>
          <w:tcPr>
            <w:tcW w:w="1530" w:type="dxa"/>
            <w:shd w:val="clear" w:color="auto" w:fill="auto"/>
            <w:vAlign w:val="center"/>
          </w:tcPr>
          <w:p w:rsidR="0003082C" w:rsidRPr="006549B3" w:rsidRDefault="0003082C">
            <w:pPr>
              <w:spacing w:line="276" w:lineRule="auto"/>
              <w:rPr>
                <w:rFonts w:ascii="Arial" w:hAnsi="Arial" w:cs="Arial"/>
                <w:sz w:val="18"/>
                <w:szCs w:val="18"/>
              </w:rPr>
            </w:pPr>
            <w:r w:rsidRPr="006549B3">
              <w:rPr>
                <w:rFonts w:ascii="Arial" w:hAnsi="Arial" w:cs="Arial"/>
                <w:sz w:val="18"/>
                <w:szCs w:val="18"/>
              </w:rPr>
              <w:t>Very high</w:t>
            </w:r>
          </w:p>
        </w:tc>
        <w:tc>
          <w:tcPr>
            <w:tcW w:w="1343" w:type="dxa"/>
            <w:shd w:val="clear" w:color="auto" w:fill="auto"/>
            <w:vAlign w:val="center"/>
          </w:tcPr>
          <w:p w:rsidR="0003082C" w:rsidRPr="006549B3" w:rsidRDefault="0003082C">
            <w:pPr>
              <w:spacing w:line="276" w:lineRule="auto"/>
              <w:rPr>
                <w:rFonts w:ascii="Arial" w:hAnsi="Arial" w:cs="Arial"/>
                <w:sz w:val="18"/>
                <w:szCs w:val="18"/>
              </w:rPr>
            </w:pPr>
            <w:r w:rsidRPr="006549B3">
              <w:rPr>
                <w:rFonts w:ascii="Arial" w:hAnsi="Arial" w:cs="Arial"/>
                <w:sz w:val="18"/>
                <w:szCs w:val="18"/>
              </w:rPr>
              <w:t>Very high</w:t>
            </w:r>
          </w:p>
        </w:tc>
      </w:tr>
      <w:tr w:rsidR="0003082C" w:rsidRPr="006549B3" w:rsidTr="00974D10">
        <w:trPr>
          <w:trHeight w:val="350"/>
        </w:trPr>
        <w:tc>
          <w:tcPr>
            <w:tcW w:w="3258" w:type="dxa"/>
            <w:shd w:val="clear" w:color="auto" w:fill="auto"/>
            <w:vAlign w:val="center"/>
          </w:tcPr>
          <w:p w:rsidR="0003082C" w:rsidRPr="006549B3" w:rsidRDefault="0003082C">
            <w:pPr>
              <w:spacing w:line="276" w:lineRule="auto"/>
              <w:ind w:left="360"/>
              <w:rPr>
                <w:rFonts w:ascii="Arial" w:hAnsi="Arial" w:cs="Arial"/>
                <w:sz w:val="18"/>
                <w:szCs w:val="18"/>
              </w:rPr>
            </w:pPr>
            <w:r w:rsidRPr="006549B3">
              <w:rPr>
                <w:rFonts w:ascii="Arial" w:hAnsi="Arial" w:cs="Arial"/>
                <w:sz w:val="18"/>
                <w:szCs w:val="18"/>
              </w:rPr>
              <w:t>100 to 10,000 cells per l</w:t>
            </w:r>
          </w:p>
        </w:tc>
        <w:tc>
          <w:tcPr>
            <w:tcW w:w="1447" w:type="dxa"/>
            <w:shd w:val="clear" w:color="auto" w:fill="auto"/>
            <w:vAlign w:val="center"/>
          </w:tcPr>
          <w:p w:rsidR="0003082C" w:rsidRPr="006549B3" w:rsidRDefault="0003082C">
            <w:pPr>
              <w:spacing w:line="276" w:lineRule="auto"/>
              <w:rPr>
                <w:rFonts w:ascii="Arial" w:hAnsi="Arial" w:cs="Arial"/>
                <w:sz w:val="18"/>
                <w:szCs w:val="18"/>
              </w:rPr>
            </w:pPr>
            <w:r w:rsidRPr="006549B3">
              <w:rPr>
                <w:rFonts w:ascii="Arial" w:hAnsi="Arial" w:cs="Arial"/>
                <w:sz w:val="18"/>
                <w:szCs w:val="18"/>
              </w:rPr>
              <w:t>High</w:t>
            </w:r>
          </w:p>
        </w:tc>
        <w:tc>
          <w:tcPr>
            <w:tcW w:w="1440" w:type="dxa"/>
            <w:shd w:val="clear" w:color="auto" w:fill="auto"/>
            <w:vAlign w:val="center"/>
          </w:tcPr>
          <w:p w:rsidR="0003082C" w:rsidRPr="006549B3" w:rsidRDefault="0003082C">
            <w:pPr>
              <w:spacing w:line="276" w:lineRule="auto"/>
              <w:rPr>
                <w:rFonts w:ascii="Arial" w:hAnsi="Arial" w:cs="Arial"/>
                <w:sz w:val="18"/>
                <w:szCs w:val="18"/>
              </w:rPr>
            </w:pPr>
            <w:r w:rsidRPr="006549B3">
              <w:rPr>
                <w:rFonts w:ascii="Arial" w:hAnsi="Arial" w:cs="Arial"/>
                <w:sz w:val="18"/>
                <w:szCs w:val="18"/>
              </w:rPr>
              <w:t>High</w:t>
            </w:r>
          </w:p>
        </w:tc>
        <w:tc>
          <w:tcPr>
            <w:tcW w:w="1530" w:type="dxa"/>
            <w:shd w:val="clear" w:color="auto" w:fill="auto"/>
            <w:vAlign w:val="center"/>
          </w:tcPr>
          <w:p w:rsidR="0003082C" w:rsidRPr="006549B3" w:rsidRDefault="0003082C">
            <w:pPr>
              <w:spacing w:line="276" w:lineRule="auto"/>
              <w:rPr>
                <w:rFonts w:ascii="Arial" w:hAnsi="Arial" w:cs="Arial"/>
                <w:sz w:val="18"/>
                <w:szCs w:val="18"/>
              </w:rPr>
            </w:pPr>
            <w:r w:rsidRPr="006549B3">
              <w:rPr>
                <w:rFonts w:ascii="Arial" w:hAnsi="Arial" w:cs="Arial"/>
                <w:sz w:val="18"/>
                <w:szCs w:val="18"/>
              </w:rPr>
              <w:t>Moderate</w:t>
            </w:r>
          </w:p>
        </w:tc>
        <w:tc>
          <w:tcPr>
            <w:tcW w:w="1343" w:type="dxa"/>
            <w:shd w:val="clear" w:color="auto" w:fill="auto"/>
            <w:vAlign w:val="center"/>
          </w:tcPr>
          <w:p w:rsidR="0003082C" w:rsidRPr="006549B3" w:rsidRDefault="0003082C">
            <w:pPr>
              <w:spacing w:line="276" w:lineRule="auto"/>
              <w:rPr>
                <w:rFonts w:ascii="Arial" w:hAnsi="Arial" w:cs="Arial"/>
                <w:sz w:val="18"/>
                <w:szCs w:val="18"/>
              </w:rPr>
            </w:pPr>
            <w:r w:rsidRPr="006549B3">
              <w:rPr>
                <w:rFonts w:ascii="Arial" w:hAnsi="Arial" w:cs="Arial"/>
                <w:sz w:val="18"/>
                <w:szCs w:val="18"/>
              </w:rPr>
              <w:t>Low</w:t>
            </w:r>
          </w:p>
        </w:tc>
      </w:tr>
      <w:tr w:rsidR="0003082C" w:rsidRPr="006549B3" w:rsidTr="00974D10">
        <w:trPr>
          <w:trHeight w:val="350"/>
        </w:trPr>
        <w:tc>
          <w:tcPr>
            <w:tcW w:w="3258" w:type="dxa"/>
            <w:shd w:val="clear" w:color="auto" w:fill="auto"/>
            <w:vAlign w:val="center"/>
          </w:tcPr>
          <w:p w:rsidR="0003082C" w:rsidRPr="006549B3" w:rsidRDefault="0003082C">
            <w:pPr>
              <w:spacing w:line="276" w:lineRule="auto"/>
              <w:ind w:left="360"/>
              <w:rPr>
                <w:rFonts w:ascii="Arial" w:hAnsi="Arial" w:cs="Arial"/>
                <w:sz w:val="18"/>
                <w:szCs w:val="18"/>
              </w:rPr>
            </w:pPr>
            <w:r w:rsidRPr="006549B3">
              <w:rPr>
                <w:rFonts w:ascii="Arial" w:hAnsi="Arial" w:cs="Arial"/>
                <w:sz w:val="18"/>
                <w:szCs w:val="18"/>
              </w:rPr>
              <w:t>10,000 -50,000 cells per l</w:t>
            </w:r>
          </w:p>
        </w:tc>
        <w:tc>
          <w:tcPr>
            <w:tcW w:w="1447" w:type="dxa"/>
            <w:shd w:val="clear" w:color="auto" w:fill="auto"/>
            <w:vAlign w:val="center"/>
          </w:tcPr>
          <w:p w:rsidR="0003082C" w:rsidRPr="006549B3" w:rsidRDefault="0003082C">
            <w:pPr>
              <w:spacing w:line="276" w:lineRule="auto"/>
              <w:rPr>
                <w:rFonts w:ascii="Arial" w:hAnsi="Arial" w:cs="Arial"/>
                <w:sz w:val="18"/>
                <w:szCs w:val="18"/>
              </w:rPr>
            </w:pPr>
            <w:r w:rsidRPr="006549B3">
              <w:rPr>
                <w:rFonts w:ascii="Arial" w:hAnsi="Arial" w:cs="Arial"/>
                <w:sz w:val="18"/>
                <w:szCs w:val="18"/>
              </w:rPr>
              <w:t>Moderate</w:t>
            </w:r>
          </w:p>
        </w:tc>
        <w:tc>
          <w:tcPr>
            <w:tcW w:w="1440" w:type="dxa"/>
            <w:shd w:val="clear" w:color="auto" w:fill="auto"/>
            <w:vAlign w:val="center"/>
          </w:tcPr>
          <w:p w:rsidR="0003082C" w:rsidRPr="006549B3" w:rsidRDefault="0003082C">
            <w:pPr>
              <w:spacing w:line="276" w:lineRule="auto"/>
              <w:rPr>
                <w:rFonts w:ascii="Arial" w:hAnsi="Arial" w:cs="Arial"/>
                <w:sz w:val="18"/>
                <w:szCs w:val="18"/>
              </w:rPr>
            </w:pPr>
            <w:r w:rsidRPr="006549B3">
              <w:rPr>
                <w:rFonts w:ascii="Arial" w:hAnsi="Arial" w:cs="Arial"/>
                <w:sz w:val="18"/>
                <w:szCs w:val="18"/>
              </w:rPr>
              <w:t>Low</w:t>
            </w:r>
          </w:p>
        </w:tc>
        <w:tc>
          <w:tcPr>
            <w:tcW w:w="1530" w:type="dxa"/>
            <w:shd w:val="clear" w:color="auto" w:fill="auto"/>
            <w:vAlign w:val="center"/>
          </w:tcPr>
          <w:p w:rsidR="0003082C" w:rsidRPr="006549B3" w:rsidRDefault="0003082C">
            <w:pPr>
              <w:spacing w:line="276" w:lineRule="auto"/>
              <w:rPr>
                <w:rFonts w:ascii="Arial" w:hAnsi="Arial" w:cs="Arial"/>
                <w:sz w:val="18"/>
                <w:szCs w:val="18"/>
              </w:rPr>
            </w:pPr>
            <w:r w:rsidRPr="006549B3">
              <w:rPr>
                <w:rFonts w:ascii="Arial" w:hAnsi="Arial" w:cs="Arial"/>
                <w:sz w:val="18"/>
                <w:szCs w:val="18"/>
              </w:rPr>
              <w:t>Low</w:t>
            </w:r>
          </w:p>
        </w:tc>
        <w:tc>
          <w:tcPr>
            <w:tcW w:w="1343" w:type="dxa"/>
            <w:shd w:val="clear" w:color="auto" w:fill="auto"/>
            <w:vAlign w:val="center"/>
          </w:tcPr>
          <w:p w:rsidR="0003082C" w:rsidRPr="006549B3" w:rsidRDefault="0003082C">
            <w:pPr>
              <w:spacing w:line="276" w:lineRule="auto"/>
              <w:rPr>
                <w:rFonts w:ascii="Arial" w:hAnsi="Arial" w:cs="Arial"/>
                <w:sz w:val="18"/>
                <w:szCs w:val="18"/>
              </w:rPr>
            </w:pPr>
            <w:r w:rsidRPr="006549B3">
              <w:rPr>
                <w:rFonts w:ascii="Arial" w:hAnsi="Arial" w:cs="Arial"/>
                <w:sz w:val="18"/>
                <w:szCs w:val="18"/>
              </w:rPr>
              <w:t>Very Low</w:t>
            </w:r>
          </w:p>
        </w:tc>
      </w:tr>
      <w:tr w:rsidR="0003082C" w:rsidRPr="006549B3" w:rsidTr="00974D10">
        <w:trPr>
          <w:trHeight w:val="350"/>
        </w:trPr>
        <w:tc>
          <w:tcPr>
            <w:tcW w:w="3258" w:type="dxa"/>
            <w:tcBorders>
              <w:bottom w:val="single" w:sz="12" w:space="0" w:color="auto"/>
            </w:tcBorders>
            <w:shd w:val="clear" w:color="auto" w:fill="auto"/>
            <w:vAlign w:val="center"/>
          </w:tcPr>
          <w:p w:rsidR="0003082C" w:rsidRPr="006549B3" w:rsidRDefault="0003082C">
            <w:pPr>
              <w:spacing w:line="276" w:lineRule="auto"/>
              <w:ind w:left="360"/>
              <w:rPr>
                <w:rFonts w:ascii="Arial" w:hAnsi="Arial" w:cs="Arial"/>
                <w:sz w:val="18"/>
                <w:szCs w:val="18"/>
              </w:rPr>
            </w:pPr>
            <w:r w:rsidRPr="006549B3">
              <w:rPr>
                <w:rFonts w:ascii="Arial" w:hAnsi="Arial" w:cs="Arial"/>
                <w:sz w:val="18"/>
                <w:szCs w:val="18"/>
              </w:rPr>
              <w:t>&gt; 50,000 cells per l</w:t>
            </w:r>
          </w:p>
        </w:tc>
        <w:tc>
          <w:tcPr>
            <w:tcW w:w="1447" w:type="dxa"/>
            <w:tcBorders>
              <w:bottom w:val="single" w:sz="12" w:space="0" w:color="auto"/>
            </w:tcBorders>
            <w:shd w:val="clear" w:color="auto" w:fill="auto"/>
            <w:vAlign w:val="center"/>
          </w:tcPr>
          <w:p w:rsidR="0003082C" w:rsidRPr="006549B3" w:rsidRDefault="0003082C">
            <w:pPr>
              <w:spacing w:line="276" w:lineRule="auto"/>
              <w:rPr>
                <w:rFonts w:ascii="Arial" w:hAnsi="Arial" w:cs="Arial"/>
                <w:sz w:val="18"/>
                <w:szCs w:val="18"/>
              </w:rPr>
            </w:pPr>
            <w:r w:rsidRPr="006549B3">
              <w:rPr>
                <w:rFonts w:ascii="Arial" w:hAnsi="Arial" w:cs="Arial"/>
                <w:sz w:val="18"/>
                <w:szCs w:val="18"/>
              </w:rPr>
              <w:t>Low</w:t>
            </w:r>
          </w:p>
        </w:tc>
        <w:tc>
          <w:tcPr>
            <w:tcW w:w="1440" w:type="dxa"/>
            <w:tcBorders>
              <w:bottom w:val="single" w:sz="12" w:space="0" w:color="auto"/>
            </w:tcBorders>
            <w:shd w:val="clear" w:color="auto" w:fill="auto"/>
            <w:vAlign w:val="center"/>
          </w:tcPr>
          <w:p w:rsidR="0003082C" w:rsidRPr="006549B3" w:rsidRDefault="0003082C">
            <w:pPr>
              <w:spacing w:line="276" w:lineRule="auto"/>
              <w:rPr>
                <w:rFonts w:ascii="Arial" w:hAnsi="Arial" w:cs="Arial"/>
                <w:sz w:val="18"/>
                <w:szCs w:val="18"/>
              </w:rPr>
            </w:pPr>
            <w:r w:rsidRPr="006549B3">
              <w:rPr>
                <w:rFonts w:ascii="Arial" w:hAnsi="Arial" w:cs="Arial"/>
                <w:sz w:val="18"/>
                <w:szCs w:val="18"/>
              </w:rPr>
              <w:t>Very Low</w:t>
            </w:r>
          </w:p>
        </w:tc>
        <w:tc>
          <w:tcPr>
            <w:tcW w:w="1530" w:type="dxa"/>
            <w:tcBorders>
              <w:bottom w:val="single" w:sz="12" w:space="0" w:color="auto"/>
            </w:tcBorders>
            <w:shd w:val="clear" w:color="auto" w:fill="auto"/>
            <w:vAlign w:val="center"/>
          </w:tcPr>
          <w:p w:rsidR="0003082C" w:rsidRPr="006549B3" w:rsidRDefault="0003082C">
            <w:pPr>
              <w:spacing w:line="276" w:lineRule="auto"/>
              <w:rPr>
                <w:rFonts w:ascii="Arial" w:hAnsi="Arial" w:cs="Arial"/>
                <w:sz w:val="18"/>
                <w:szCs w:val="18"/>
              </w:rPr>
            </w:pPr>
            <w:r w:rsidRPr="006549B3">
              <w:rPr>
                <w:rFonts w:ascii="Arial" w:hAnsi="Arial" w:cs="Arial"/>
                <w:sz w:val="18"/>
                <w:szCs w:val="18"/>
              </w:rPr>
              <w:t>Very Low</w:t>
            </w:r>
          </w:p>
        </w:tc>
        <w:tc>
          <w:tcPr>
            <w:tcW w:w="1343" w:type="dxa"/>
            <w:shd w:val="clear" w:color="auto" w:fill="auto"/>
            <w:vAlign w:val="center"/>
          </w:tcPr>
          <w:p w:rsidR="0003082C" w:rsidRPr="006549B3" w:rsidRDefault="0003082C">
            <w:pPr>
              <w:spacing w:line="276" w:lineRule="auto"/>
              <w:rPr>
                <w:rFonts w:ascii="Arial" w:hAnsi="Arial" w:cs="Arial"/>
                <w:sz w:val="18"/>
                <w:szCs w:val="18"/>
              </w:rPr>
            </w:pPr>
            <w:r w:rsidRPr="006549B3">
              <w:rPr>
                <w:rFonts w:ascii="Arial" w:hAnsi="Arial" w:cs="Arial"/>
                <w:sz w:val="18"/>
                <w:szCs w:val="18"/>
              </w:rPr>
              <w:t>Very Low</w:t>
            </w:r>
          </w:p>
        </w:tc>
      </w:tr>
      <w:tr w:rsidR="0003082C" w:rsidRPr="006549B3" w:rsidTr="00974D10">
        <w:trPr>
          <w:trHeight w:val="420"/>
        </w:trPr>
        <w:tc>
          <w:tcPr>
            <w:tcW w:w="9018" w:type="dxa"/>
            <w:gridSpan w:val="5"/>
            <w:tcBorders>
              <w:top w:val="single" w:sz="12" w:space="0" w:color="auto"/>
            </w:tcBorders>
            <w:shd w:val="clear" w:color="auto" w:fill="auto"/>
            <w:vAlign w:val="center"/>
          </w:tcPr>
          <w:p w:rsidR="0003082C" w:rsidRPr="006549B3" w:rsidRDefault="0003082C">
            <w:pPr>
              <w:spacing w:line="276" w:lineRule="auto"/>
              <w:rPr>
                <w:rFonts w:ascii="Arial" w:hAnsi="Arial" w:cs="Arial"/>
                <w:b/>
                <w:sz w:val="18"/>
                <w:szCs w:val="18"/>
              </w:rPr>
            </w:pPr>
            <w:proofErr w:type="spellStart"/>
            <w:r w:rsidRPr="006549B3">
              <w:rPr>
                <w:rFonts w:ascii="Arial" w:hAnsi="Arial" w:cs="Arial"/>
                <w:b/>
                <w:sz w:val="18"/>
                <w:szCs w:val="18"/>
              </w:rPr>
              <w:t>Alexandrium</w:t>
            </w:r>
            <w:proofErr w:type="spellEnd"/>
            <w:r w:rsidRPr="006549B3">
              <w:rPr>
                <w:rFonts w:ascii="Arial" w:hAnsi="Arial" w:cs="Arial"/>
                <w:b/>
                <w:sz w:val="18"/>
                <w:szCs w:val="18"/>
              </w:rPr>
              <w:t xml:space="preserve"> spp.</w:t>
            </w:r>
          </w:p>
        </w:tc>
      </w:tr>
      <w:tr w:rsidR="0003082C" w:rsidRPr="006549B3" w:rsidTr="00974D10">
        <w:trPr>
          <w:trHeight w:val="350"/>
        </w:trPr>
        <w:tc>
          <w:tcPr>
            <w:tcW w:w="3258" w:type="dxa"/>
            <w:shd w:val="clear" w:color="auto" w:fill="auto"/>
          </w:tcPr>
          <w:p w:rsidR="0003082C" w:rsidRPr="006549B3" w:rsidRDefault="0003082C">
            <w:pPr>
              <w:pStyle w:val="NormalWeb"/>
              <w:spacing w:after="0"/>
              <w:ind w:firstLine="360"/>
              <w:rPr>
                <w:rFonts w:ascii="Arial" w:hAnsi="Arial" w:cs="Arial"/>
                <w:sz w:val="18"/>
                <w:szCs w:val="18"/>
              </w:rPr>
            </w:pPr>
            <w:r w:rsidRPr="006549B3">
              <w:rPr>
                <w:rFonts w:ascii="Arial" w:hAnsi="Arial" w:cs="Arial"/>
                <w:bCs/>
                <w:kern w:val="24"/>
                <w:sz w:val="18"/>
                <w:szCs w:val="18"/>
              </w:rPr>
              <w:t>Non detect</w:t>
            </w:r>
          </w:p>
        </w:tc>
        <w:tc>
          <w:tcPr>
            <w:tcW w:w="1447" w:type="dxa"/>
            <w:shd w:val="clear" w:color="auto" w:fill="auto"/>
          </w:tcPr>
          <w:p w:rsidR="0003082C" w:rsidRPr="006549B3" w:rsidRDefault="0003082C">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440" w:type="dxa"/>
            <w:shd w:val="clear" w:color="auto" w:fill="auto"/>
          </w:tcPr>
          <w:p w:rsidR="0003082C" w:rsidRPr="006549B3" w:rsidRDefault="0003082C">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530" w:type="dxa"/>
            <w:shd w:val="clear" w:color="auto" w:fill="auto"/>
          </w:tcPr>
          <w:p w:rsidR="0003082C" w:rsidRPr="006549B3" w:rsidRDefault="0003082C">
            <w:pPr>
              <w:pStyle w:val="NormalWeb"/>
              <w:spacing w:after="0"/>
              <w:rPr>
                <w:rFonts w:ascii="Arial" w:hAnsi="Arial" w:cs="Arial"/>
                <w:sz w:val="18"/>
                <w:szCs w:val="18"/>
              </w:rPr>
            </w:pPr>
            <w:r w:rsidRPr="006549B3">
              <w:rPr>
                <w:rFonts w:ascii="Arial" w:hAnsi="Arial" w:cs="Arial"/>
                <w:bCs/>
                <w:kern w:val="24"/>
                <w:sz w:val="18"/>
                <w:szCs w:val="18"/>
              </w:rPr>
              <w:t>Very high</w:t>
            </w:r>
          </w:p>
        </w:tc>
        <w:tc>
          <w:tcPr>
            <w:tcW w:w="1343" w:type="dxa"/>
            <w:shd w:val="clear" w:color="auto" w:fill="auto"/>
          </w:tcPr>
          <w:p w:rsidR="0003082C" w:rsidRPr="006549B3" w:rsidRDefault="0003082C">
            <w:pPr>
              <w:pStyle w:val="NormalWeb"/>
              <w:spacing w:after="0"/>
              <w:rPr>
                <w:rFonts w:ascii="Arial" w:hAnsi="Arial" w:cs="Arial"/>
                <w:sz w:val="18"/>
                <w:szCs w:val="18"/>
              </w:rPr>
            </w:pPr>
            <w:r w:rsidRPr="006549B3">
              <w:rPr>
                <w:rFonts w:ascii="Arial" w:hAnsi="Arial" w:cs="Arial"/>
                <w:bCs/>
                <w:kern w:val="24"/>
                <w:sz w:val="18"/>
                <w:szCs w:val="18"/>
              </w:rPr>
              <w:t>Very high</w:t>
            </w:r>
          </w:p>
        </w:tc>
      </w:tr>
      <w:tr w:rsidR="0003082C" w:rsidRPr="006549B3" w:rsidTr="00974D10">
        <w:trPr>
          <w:trHeight w:val="350"/>
        </w:trPr>
        <w:tc>
          <w:tcPr>
            <w:tcW w:w="3258" w:type="dxa"/>
            <w:shd w:val="clear" w:color="auto" w:fill="auto"/>
          </w:tcPr>
          <w:p w:rsidR="0003082C" w:rsidRPr="006549B3" w:rsidRDefault="0003082C">
            <w:pPr>
              <w:pStyle w:val="NormalWeb"/>
              <w:spacing w:after="0"/>
              <w:ind w:firstLine="360"/>
              <w:rPr>
                <w:rFonts w:ascii="Arial" w:hAnsi="Arial" w:cs="Arial"/>
                <w:sz w:val="18"/>
                <w:szCs w:val="18"/>
              </w:rPr>
            </w:pPr>
            <w:r w:rsidRPr="006549B3">
              <w:rPr>
                <w:rFonts w:ascii="Arial" w:hAnsi="Arial" w:cs="Arial"/>
                <w:kern w:val="24"/>
                <w:sz w:val="18"/>
                <w:szCs w:val="18"/>
              </w:rPr>
              <w:t>Detectable to &lt; 100 cells</w:t>
            </w:r>
          </w:p>
        </w:tc>
        <w:tc>
          <w:tcPr>
            <w:tcW w:w="1447" w:type="dxa"/>
            <w:shd w:val="clear" w:color="auto" w:fill="auto"/>
          </w:tcPr>
          <w:p w:rsidR="0003082C" w:rsidRPr="006549B3" w:rsidRDefault="0003082C">
            <w:pPr>
              <w:pStyle w:val="NormalWeb"/>
              <w:spacing w:after="0"/>
              <w:rPr>
                <w:rFonts w:ascii="Arial" w:hAnsi="Arial" w:cs="Arial"/>
                <w:sz w:val="18"/>
                <w:szCs w:val="18"/>
              </w:rPr>
            </w:pPr>
            <w:r w:rsidRPr="006549B3">
              <w:rPr>
                <w:rFonts w:ascii="Arial" w:hAnsi="Arial" w:cs="Arial"/>
                <w:sz w:val="18"/>
                <w:szCs w:val="18"/>
              </w:rPr>
              <w:t>High</w:t>
            </w:r>
          </w:p>
        </w:tc>
        <w:tc>
          <w:tcPr>
            <w:tcW w:w="1440" w:type="dxa"/>
            <w:shd w:val="clear" w:color="auto" w:fill="auto"/>
          </w:tcPr>
          <w:p w:rsidR="0003082C" w:rsidRPr="006549B3" w:rsidRDefault="0003082C">
            <w:pPr>
              <w:pStyle w:val="NormalWeb"/>
              <w:spacing w:after="0"/>
              <w:rPr>
                <w:rFonts w:ascii="Arial" w:hAnsi="Arial" w:cs="Arial"/>
                <w:sz w:val="18"/>
                <w:szCs w:val="18"/>
              </w:rPr>
            </w:pPr>
            <w:r w:rsidRPr="006549B3">
              <w:rPr>
                <w:rFonts w:ascii="Arial" w:hAnsi="Arial" w:cs="Arial"/>
                <w:kern w:val="24"/>
                <w:sz w:val="18"/>
                <w:szCs w:val="18"/>
              </w:rPr>
              <w:t xml:space="preserve"> Moderate</w:t>
            </w:r>
          </w:p>
        </w:tc>
        <w:tc>
          <w:tcPr>
            <w:tcW w:w="1530" w:type="dxa"/>
            <w:shd w:val="clear" w:color="auto" w:fill="auto"/>
          </w:tcPr>
          <w:p w:rsidR="0003082C" w:rsidRPr="006549B3" w:rsidRDefault="0003082C">
            <w:pPr>
              <w:pStyle w:val="NormalWeb"/>
              <w:spacing w:after="0"/>
              <w:rPr>
                <w:rFonts w:ascii="Arial" w:hAnsi="Arial" w:cs="Arial"/>
                <w:sz w:val="18"/>
                <w:szCs w:val="18"/>
              </w:rPr>
            </w:pPr>
            <w:r w:rsidRPr="006549B3">
              <w:rPr>
                <w:rFonts w:ascii="Arial" w:hAnsi="Arial" w:cs="Arial"/>
                <w:kern w:val="24"/>
                <w:sz w:val="18"/>
                <w:szCs w:val="18"/>
              </w:rPr>
              <w:t xml:space="preserve">Low </w:t>
            </w:r>
          </w:p>
        </w:tc>
        <w:tc>
          <w:tcPr>
            <w:tcW w:w="1343" w:type="dxa"/>
            <w:shd w:val="clear" w:color="auto" w:fill="auto"/>
          </w:tcPr>
          <w:p w:rsidR="0003082C" w:rsidRPr="006549B3" w:rsidRDefault="0003082C">
            <w:pPr>
              <w:pStyle w:val="NormalWeb"/>
              <w:spacing w:after="0"/>
              <w:rPr>
                <w:rFonts w:ascii="Arial" w:hAnsi="Arial" w:cs="Arial"/>
                <w:sz w:val="18"/>
                <w:szCs w:val="18"/>
              </w:rPr>
            </w:pPr>
            <w:r w:rsidRPr="006549B3">
              <w:rPr>
                <w:rFonts w:ascii="Arial" w:hAnsi="Arial" w:cs="Arial"/>
                <w:kern w:val="24"/>
                <w:sz w:val="18"/>
                <w:szCs w:val="18"/>
              </w:rPr>
              <w:t>Very low</w:t>
            </w:r>
          </w:p>
        </w:tc>
      </w:tr>
      <w:tr w:rsidR="0003082C" w:rsidRPr="006549B3" w:rsidTr="00974D10">
        <w:trPr>
          <w:trHeight w:val="350"/>
        </w:trPr>
        <w:tc>
          <w:tcPr>
            <w:tcW w:w="3258" w:type="dxa"/>
            <w:tcBorders>
              <w:bottom w:val="single" w:sz="12" w:space="0" w:color="auto"/>
            </w:tcBorders>
            <w:shd w:val="clear" w:color="auto" w:fill="auto"/>
          </w:tcPr>
          <w:p w:rsidR="0003082C" w:rsidRPr="006549B3" w:rsidRDefault="0003082C">
            <w:pPr>
              <w:pStyle w:val="NormalWeb"/>
              <w:spacing w:after="0"/>
              <w:ind w:firstLine="360"/>
              <w:rPr>
                <w:rFonts w:ascii="Arial" w:hAnsi="Arial" w:cs="Arial"/>
                <w:sz w:val="18"/>
                <w:szCs w:val="18"/>
              </w:rPr>
            </w:pPr>
            <w:r w:rsidRPr="006549B3">
              <w:rPr>
                <w:rFonts w:ascii="Arial" w:hAnsi="Arial" w:cs="Arial"/>
                <w:kern w:val="24"/>
                <w:sz w:val="18"/>
                <w:szCs w:val="18"/>
              </w:rPr>
              <w:t>&gt;100 cells</w:t>
            </w:r>
          </w:p>
        </w:tc>
        <w:tc>
          <w:tcPr>
            <w:tcW w:w="1447" w:type="dxa"/>
            <w:tcBorders>
              <w:bottom w:val="single" w:sz="12" w:space="0" w:color="auto"/>
            </w:tcBorders>
            <w:shd w:val="clear" w:color="auto" w:fill="auto"/>
          </w:tcPr>
          <w:p w:rsidR="0003082C" w:rsidRPr="006549B3" w:rsidRDefault="0003082C">
            <w:pPr>
              <w:pStyle w:val="NormalWeb"/>
              <w:spacing w:after="0"/>
              <w:rPr>
                <w:rFonts w:ascii="Arial" w:hAnsi="Arial" w:cs="Arial"/>
                <w:sz w:val="18"/>
                <w:szCs w:val="18"/>
              </w:rPr>
            </w:pPr>
            <w:r w:rsidRPr="006549B3">
              <w:rPr>
                <w:rFonts w:ascii="Arial" w:hAnsi="Arial" w:cs="Arial"/>
                <w:kern w:val="24"/>
                <w:sz w:val="18"/>
                <w:szCs w:val="18"/>
              </w:rPr>
              <w:t>Low</w:t>
            </w:r>
          </w:p>
        </w:tc>
        <w:tc>
          <w:tcPr>
            <w:tcW w:w="1440" w:type="dxa"/>
            <w:tcBorders>
              <w:bottom w:val="single" w:sz="12" w:space="0" w:color="auto"/>
            </w:tcBorders>
            <w:shd w:val="clear" w:color="auto" w:fill="auto"/>
          </w:tcPr>
          <w:p w:rsidR="0003082C" w:rsidRPr="006549B3" w:rsidRDefault="0003082C">
            <w:pPr>
              <w:pStyle w:val="NormalWeb"/>
              <w:spacing w:after="0"/>
              <w:rPr>
                <w:rFonts w:ascii="Arial" w:hAnsi="Arial" w:cs="Arial"/>
                <w:sz w:val="18"/>
                <w:szCs w:val="18"/>
              </w:rPr>
            </w:pPr>
            <w:r w:rsidRPr="006549B3">
              <w:rPr>
                <w:rFonts w:ascii="Arial" w:hAnsi="Arial" w:cs="Arial"/>
                <w:kern w:val="24"/>
                <w:sz w:val="18"/>
                <w:szCs w:val="18"/>
              </w:rPr>
              <w:t>Very low</w:t>
            </w:r>
          </w:p>
        </w:tc>
        <w:tc>
          <w:tcPr>
            <w:tcW w:w="1530" w:type="dxa"/>
            <w:tcBorders>
              <w:bottom w:val="single" w:sz="12" w:space="0" w:color="auto"/>
            </w:tcBorders>
            <w:shd w:val="clear" w:color="auto" w:fill="auto"/>
          </w:tcPr>
          <w:p w:rsidR="0003082C" w:rsidRPr="006549B3" w:rsidRDefault="0003082C">
            <w:pPr>
              <w:pStyle w:val="NormalWeb"/>
              <w:spacing w:after="0"/>
              <w:rPr>
                <w:rFonts w:ascii="Arial" w:hAnsi="Arial" w:cs="Arial"/>
                <w:sz w:val="18"/>
                <w:szCs w:val="18"/>
              </w:rPr>
            </w:pPr>
            <w:r w:rsidRPr="006549B3">
              <w:rPr>
                <w:rFonts w:ascii="Arial" w:hAnsi="Arial" w:cs="Arial"/>
                <w:kern w:val="24"/>
                <w:sz w:val="18"/>
                <w:szCs w:val="18"/>
              </w:rPr>
              <w:t>Very low</w:t>
            </w:r>
          </w:p>
        </w:tc>
        <w:tc>
          <w:tcPr>
            <w:tcW w:w="1343" w:type="dxa"/>
            <w:tcBorders>
              <w:bottom w:val="single" w:sz="12" w:space="0" w:color="auto"/>
            </w:tcBorders>
            <w:shd w:val="clear" w:color="auto" w:fill="auto"/>
          </w:tcPr>
          <w:p w:rsidR="0003082C" w:rsidRPr="006549B3" w:rsidRDefault="0003082C">
            <w:pPr>
              <w:pStyle w:val="NormalWeb"/>
              <w:spacing w:after="0"/>
              <w:rPr>
                <w:rFonts w:ascii="Arial" w:hAnsi="Arial" w:cs="Arial"/>
                <w:sz w:val="18"/>
                <w:szCs w:val="18"/>
              </w:rPr>
            </w:pPr>
            <w:r w:rsidRPr="006549B3">
              <w:rPr>
                <w:rFonts w:ascii="Arial" w:hAnsi="Arial" w:cs="Arial"/>
                <w:kern w:val="24"/>
                <w:sz w:val="18"/>
                <w:szCs w:val="18"/>
              </w:rPr>
              <w:t>Very Low</w:t>
            </w:r>
          </w:p>
        </w:tc>
      </w:tr>
    </w:tbl>
    <w:p w:rsidR="00B747E5" w:rsidRDefault="00B747E5" w:rsidP="00BE682F">
      <w:pPr>
        <w:spacing w:line="276" w:lineRule="auto"/>
        <w:rPr>
          <w:rFonts w:ascii="Arial" w:hAnsi="Arial" w:cs="Arial"/>
          <w:sz w:val="16"/>
          <w:szCs w:val="16"/>
          <w:vertAlign w:val="superscript"/>
        </w:rPr>
      </w:pPr>
    </w:p>
    <w:p w:rsidR="0003082C" w:rsidRPr="00BE682F" w:rsidRDefault="00B747E5" w:rsidP="00BE682F">
      <w:pPr>
        <w:spacing w:line="276" w:lineRule="auto"/>
        <w:rPr>
          <w:rFonts w:ascii="Arial" w:hAnsi="Arial" w:cs="Arial"/>
          <w:sz w:val="16"/>
          <w:szCs w:val="16"/>
        </w:rPr>
      </w:pPr>
      <w:r w:rsidRPr="00BE682F">
        <w:rPr>
          <w:rFonts w:ascii="Arial" w:hAnsi="Arial" w:cs="Arial"/>
          <w:sz w:val="16"/>
          <w:szCs w:val="16"/>
          <w:vertAlign w:val="superscript"/>
        </w:rPr>
        <w:t>1</w:t>
      </w:r>
      <w:r>
        <w:rPr>
          <w:rFonts w:ascii="Arial" w:hAnsi="Arial" w:cs="Arial"/>
          <w:sz w:val="16"/>
          <w:szCs w:val="16"/>
        </w:rPr>
        <w:t xml:space="preserve"> </w:t>
      </w:r>
      <w:r w:rsidR="0003082C" w:rsidRPr="00BE682F">
        <w:rPr>
          <w:rFonts w:ascii="Arial" w:hAnsi="Arial" w:cs="Arial"/>
          <w:sz w:val="16"/>
          <w:szCs w:val="16"/>
        </w:rPr>
        <w:t xml:space="preserve">Cyanobacteria include: </w:t>
      </w:r>
      <w:proofErr w:type="spellStart"/>
      <w:r w:rsidR="0003082C" w:rsidRPr="00BE682F">
        <w:rPr>
          <w:rFonts w:ascii="Arial" w:hAnsi="Arial" w:cs="Arial"/>
          <w:sz w:val="16"/>
          <w:szCs w:val="16"/>
        </w:rPr>
        <w:t>Cylindrospermopsis</w:t>
      </w:r>
      <w:proofErr w:type="spellEnd"/>
      <w:r w:rsidR="0003082C" w:rsidRPr="00BE682F">
        <w:rPr>
          <w:rFonts w:ascii="Arial" w:hAnsi="Arial" w:cs="Arial"/>
          <w:sz w:val="16"/>
          <w:szCs w:val="16"/>
        </w:rPr>
        <w:t xml:space="preserve">, Anabaena, </w:t>
      </w:r>
      <w:proofErr w:type="spellStart"/>
      <w:r w:rsidR="0003082C" w:rsidRPr="00BE682F">
        <w:rPr>
          <w:rFonts w:ascii="Arial" w:hAnsi="Arial" w:cs="Arial"/>
          <w:sz w:val="16"/>
          <w:szCs w:val="16"/>
        </w:rPr>
        <w:t>Microcystis</w:t>
      </w:r>
      <w:proofErr w:type="spellEnd"/>
      <w:r w:rsidR="0003082C" w:rsidRPr="00BE682F">
        <w:rPr>
          <w:rFonts w:ascii="Arial" w:hAnsi="Arial" w:cs="Arial"/>
          <w:sz w:val="16"/>
          <w:szCs w:val="16"/>
        </w:rPr>
        <w:t xml:space="preserve">, </w:t>
      </w:r>
      <w:proofErr w:type="spellStart"/>
      <w:r w:rsidR="0003082C" w:rsidRPr="00BE682F">
        <w:rPr>
          <w:rFonts w:ascii="Arial" w:hAnsi="Arial" w:cs="Arial"/>
          <w:sz w:val="16"/>
          <w:szCs w:val="16"/>
        </w:rPr>
        <w:t>Planktothrix</w:t>
      </w:r>
      <w:proofErr w:type="spellEnd"/>
      <w:r w:rsidR="0003082C" w:rsidRPr="00BE682F">
        <w:rPr>
          <w:rFonts w:ascii="Arial" w:hAnsi="Arial" w:cs="Arial"/>
          <w:sz w:val="16"/>
          <w:szCs w:val="16"/>
        </w:rPr>
        <w:t xml:space="preserve">, </w:t>
      </w:r>
      <w:proofErr w:type="spellStart"/>
      <w:r w:rsidR="0003082C" w:rsidRPr="00BE682F">
        <w:rPr>
          <w:rFonts w:ascii="Arial" w:hAnsi="Arial" w:cs="Arial"/>
          <w:sz w:val="16"/>
          <w:szCs w:val="16"/>
        </w:rPr>
        <w:t>Anabaenopsis</w:t>
      </w:r>
      <w:proofErr w:type="spellEnd"/>
      <w:r w:rsidR="0003082C" w:rsidRPr="00BE682F">
        <w:rPr>
          <w:rFonts w:ascii="Arial" w:hAnsi="Arial" w:cs="Arial"/>
          <w:sz w:val="16"/>
          <w:szCs w:val="16"/>
        </w:rPr>
        <w:t xml:space="preserve">, </w:t>
      </w:r>
      <w:proofErr w:type="spellStart"/>
      <w:r w:rsidR="0003082C" w:rsidRPr="00BE682F">
        <w:rPr>
          <w:rFonts w:ascii="Arial" w:hAnsi="Arial" w:cs="Arial"/>
          <w:sz w:val="16"/>
          <w:szCs w:val="16"/>
        </w:rPr>
        <w:t>Aphanizomenon</w:t>
      </w:r>
      <w:proofErr w:type="spellEnd"/>
      <w:r w:rsidR="0003082C" w:rsidRPr="00BE682F">
        <w:rPr>
          <w:rFonts w:ascii="Arial" w:hAnsi="Arial" w:cs="Arial"/>
          <w:sz w:val="16"/>
          <w:szCs w:val="16"/>
        </w:rPr>
        <w:t xml:space="preserve">, </w:t>
      </w:r>
      <w:proofErr w:type="spellStart"/>
      <w:r w:rsidR="0003082C" w:rsidRPr="00BE682F">
        <w:rPr>
          <w:rFonts w:ascii="Arial" w:hAnsi="Arial" w:cs="Arial"/>
          <w:sz w:val="16"/>
          <w:szCs w:val="16"/>
        </w:rPr>
        <w:t>Lyngbya</w:t>
      </w:r>
      <w:proofErr w:type="spellEnd"/>
      <w:r w:rsidR="0003082C" w:rsidRPr="00BE682F">
        <w:rPr>
          <w:rFonts w:ascii="Arial" w:hAnsi="Arial" w:cs="Arial"/>
          <w:sz w:val="16"/>
          <w:szCs w:val="16"/>
        </w:rPr>
        <w:t xml:space="preserve">, </w:t>
      </w:r>
      <w:proofErr w:type="spellStart"/>
      <w:r w:rsidR="0003082C" w:rsidRPr="00BE682F">
        <w:rPr>
          <w:rFonts w:ascii="Arial" w:hAnsi="Arial" w:cs="Arial"/>
          <w:sz w:val="16"/>
          <w:szCs w:val="16"/>
        </w:rPr>
        <w:t>Raphidiopsis</w:t>
      </w:r>
      <w:proofErr w:type="spellEnd"/>
      <w:r w:rsidR="0003082C" w:rsidRPr="00BE682F">
        <w:rPr>
          <w:rFonts w:ascii="Arial" w:hAnsi="Arial" w:cs="Arial"/>
          <w:sz w:val="16"/>
          <w:szCs w:val="16"/>
        </w:rPr>
        <w:t xml:space="preserve">, </w:t>
      </w:r>
      <w:proofErr w:type="spellStart"/>
      <w:r w:rsidR="0003082C" w:rsidRPr="00BE682F">
        <w:rPr>
          <w:rFonts w:ascii="Arial" w:hAnsi="Arial" w:cs="Arial"/>
          <w:sz w:val="16"/>
          <w:szCs w:val="16"/>
        </w:rPr>
        <w:t>Oscillatoria</w:t>
      </w:r>
      <w:proofErr w:type="spellEnd"/>
      <w:r w:rsidR="0003082C" w:rsidRPr="00BE682F">
        <w:rPr>
          <w:rFonts w:ascii="Arial" w:hAnsi="Arial" w:cs="Arial"/>
          <w:sz w:val="16"/>
          <w:szCs w:val="16"/>
        </w:rPr>
        <w:t xml:space="preserve">, and </w:t>
      </w:r>
      <w:proofErr w:type="spellStart"/>
      <w:r w:rsidR="0003082C" w:rsidRPr="00BE682F">
        <w:rPr>
          <w:rFonts w:ascii="Arial" w:hAnsi="Arial" w:cs="Arial"/>
          <w:sz w:val="16"/>
          <w:szCs w:val="16"/>
        </w:rPr>
        <w:t>Umezakia</w:t>
      </w:r>
      <w:proofErr w:type="spellEnd"/>
    </w:p>
    <w:p w:rsidR="0003082C" w:rsidRDefault="0003082C">
      <w:pPr>
        <w:spacing w:line="276" w:lineRule="auto"/>
        <w:rPr>
          <w:b/>
          <w:sz w:val="22"/>
          <w:szCs w:val="22"/>
        </w:rPr>
      </w:pPr>
    </w:p>
    <w:p w:rsidR="00B747E5" w:rsidRDefault="00B747E5">
      <w:pPr>
        <w:rPr>
          <w:b/>
        </w:rPr>
      </w:pPr>
    </w:p>
    <w:p w:rsidR="001F212A" w:rsidRDefault="005B436E">
      <w:r w:rsidRPr="00340C83">
        <w:rPr>
          <w:b/>
        </w:rPr>
        <w:t>Uncertainty Associated with HAB Abundance and Toxin Classification</w:t>
      </w:r>
      <w:r w:rsidR="00340C83" w:rsidRPr="00340C83">
        <w:rPr>
          <w:b/>
        </w:rPr>
        <w:t xml:space="preserve">. </w:t>
      </w:r>
      <w:r w:rsidR="001F212A" w:rsidRPr="00340C83">
        <w:t xml:space="preserve">There are </w:t>
      </w:r>
      <w:r w:rsidR="00D9123A">
        <w:t>three major</w:t>
      </w:r>
      <w:r w:rsidR="001F212A" w:rsidRPr="00340C83">
        <w:t xml:space="preserve"> sources of uncertainty associated with the classification of HAB abundance and toxin concentrations. </w:t>
      </w:r>
      <w:r w:rsidR="00D9123A">
        <w:t xml:space="preserve">The first source derives from the use of existing guidance on cell counts and toxin concentrations. Standard guidelines have not been adopted </w:t>
      </w:r>
      <w:r w:rsidR="00253D2A">
        <w:t xml:space="preserve">at the State or federal level. </w:t>
      </w:r>
      <w:r w:rsidR="00D72900">
        <w:t xml:space="preserve"> </w:t>
      </w:r>
      <w:r w:rsidR="00D9123A">
        <w:t xml:space="preserve">Second, </w:t>
      </w:r>
      <w:r w:rsidR="00340C83" w:rsidRPr="00340C83">
        <w:t>while HAB</w:t>
      </w:r>
      <w:r w:rsidR="00253D2A">
        <w:t>s</w:t>
      </w:r>
      <w:r w:rsidR="00340C83" w:rsidRPr="00340C83">
        <w:t xml:space="preserve"> represent a palatable </w:t>
      </w:r>
      <w:r w:rsidR="00340C83">
        <w:t>risk</w:t>
      </w:r>
      <w:r w:rsidR="00340C83" w:rsidRPr="00340C83">
        <w:t xml:space="preserve"> to </w:t>
      </w:r>
      <w:r w:rsidR="00340C83">
        <w:t xml:space="preserve">human and ecological threat in SFB, </w:t>
      </w:r>
      <w:r w:rsidR="00BE3900">
        <w:t>uncertainty exists in the significance</w:t>
      </w:r>
      <w:r w:rsidR="00340C83">
        <w:t xml:space="preserve"> of </w:t>
      </w:r>
      <w:r w:rsidR="00BE3900">
        <w:t xml:space="preserve">that </w:t>
      </w:r>
      <w:r w:rsidR="00340C83">
        <w:t>threat</w:t>
      </w:r>
      <w:r w:rsidR="00BE3900">
        <w:t xml:space="preserve">. For humans, the uncertainty lies in the level of risk given the amount of contact and noncontact recreation that occurs, as well as consumption of shellfish from SFB. Improved data on the concentrations of toxins in </w:t>
      </w:r>
      <w:proofErr w:type="spellStart"/>
      <w:r w:rsidR="00BE3900">
        <w:t>mussel</w:t>
      </w:r>
      <w:proofErr w:type="spellEnd"/>
      <w:r w:rsidR="00BE3900">
        <w:t xml:space="preserve"> tissue and shellfish consumption survey may help to better quality that risk. For aquatic organisms, this risk is difficult to characterize, particularly because existing guidance is oriented towards human health rather than ecological endpoints and on acute rather than chronic exposure to toxins. Because of the high baseline of HAB occurrence in SFB, uncertainty about values corresponding to this pathway of chronic exposure becomes a significant concern. </w:t>
      </w:r>
      <w:r w:rsidR="00D9123A">
        <w:t xml:space="preserve">The third source of uncertainty </w:t>
      </w:r>
      <w:r w:rsidR="00BE3900">
        <w:t>is the inclusion of SPATT</w:t>
      </w:r>
      <w:r w:rsidR="00E81561">
        <w:t>-</w:t>
      </w:r>
      <w:r w:rsidR="00BE3900">
        <w:t>derived toxins in the classification scheme. SPATT as a tool has not undergone rigorous calibration</w:t>
      </w:r>
      <w:r w:rsidR="00D9123A">
        <w:t xml:space="preserve">. </w:t>
      </w:r>
      <w:r w:rsidR="00BE3900">
        <w:t xml:space="preserve">Because of its utility as a monitoring tool, </w:t>
      </w:r>
      <w:r w:rsidR="001F212A">
        <w:lastRenderedPageBreak/>
        <w:t>calibration of SPATT relative to particulate or mussel toxin tissues should be a continued management focus</w:t>
      </w:r>
      <w:r w:rsidR="00D9123A">
        <w:t>.</w:t>
      </w:r>
    </w:p>
    <w:p w:rsidR="0003082C" w:rsidRDefault="0003082C" w:rsidP="00BE682F">
      <w:pPr>
        <w:spacing w:line="276" w:lineRule="auto"/>
        <w:rPr>
          <w:rFonts w:cs="Calibri"/>
        </w:rPr>
      </w:pPr>
    </w:p>
    <w:p w:rsidR="00B66072" w:rsidRDefault="00B66072" w:rsidP="00BE682F">
      <w:pPr>
        <w:pStyle w:val="Heading3"/>
        <w:spacing w:before="0" w:after="0" w:line="276" w:lineRule="auto"/>
        <w:jc w:val="left"/>
      </w:pPr>
      <w:bookmarkStart w:id="79" w:name="_Toc398785459"/>
      <w:bookmarkStart w:id="80" w:name="_Toc433370073"/>
      <w:r>
        <w:t>Dissolved oxygen</w:t>
      </w:r>
      <w:bookmarkEnd w:id="79"/>
      <w:bookmarkEnd w:id="80"/>
    </w:p>
    <w:p w:rsidR="00B66072" w:rsidRDefault="00B66072">
      <w:r>
        <w:t xml:space="preserve">Dissolved oxygen (DO) is considered to be keystone indicator within the </w:t>
      </w:r>
      <w:r w:rsidR="00353722">
        <w:t>AF</w:t>
      </w:r>
      <w:r>
        <w:t xml:space="preserve">. </w:t>
      </w:r>
      <w:r w:rsidRPr="00C14309">
        <w:t>DO is necessary to sustain the life of all aquatic organisms that depend on aerobic</w:t>
      </w:r>
      <w:r>
        <w:t xml:space="preserve"> </w:t>
      </w:r>
      <w:r w:rsidRPr="00C14309">
        <w:t>respiration</w:t>
      </w:r>
      <w:r>
        <w:t xml:space="preserve"> and</w:t>
      </w:r>
      <w:r w:rsidR="00E81561">
        <w:t>,</w:t>
      </w:r>
      <w:r>
        <w:t xml:space="preserve"> thus</w:t>
      </w:r>
      <w:r w:rsidR="00E81561">
        <w:t>,</w:t>
      </w:r>
      <w:r>
        <w:t xml:space="preserve"> it</w:t>
      </w:r>
      <w:r w:rsidRPr="00C14309">
        <w:t xml:space="preserve"> has a direct linkage to aquatic life and beneficial use protection (</w:t>
      </w:r>
      <w:r w:rsidR="00E81561">
        <w:t>s</w:t>
      </w:r>
      <w:r w:rsidRPr="00C14309">
        <w:t>ee</w:t>
      </w:r>
      <w:r>
        <w:t xml:space="preserve"> </w:t>
      </w:r>
      <w:proofErr w:type="spellStart"/>
      <w:r w:rsidRPr="00C14309">
        <w:t>Sutula</w:t>
      </w:r>
      <w:proofErr w:type="spellEnd"/>
      <w:r w:rsidRPr="00C14309">
        <w:t xml:space="preserve"> et al. 2012 for comprehensive review).</w:t>
      </w:r>
      <w:r>
        <w:t xml:space="preserve"> </w:t>
      </w:r>
      <w:r w:rsidRPr="00C14309">
        <w:t>Eutrophication produces excess organic matter that</w:t>
      </w:r>
      <w:r>
        <w:t xml:space="preserve"> </w:t>
      </w:r>
      <w:r w:rsidRPr="00C14309">
        <w:t>fuels the development of hypoxia and, in some cases, anoxia as that organic matter is</w:t>
      </w:r>
      <w:r>
        <w:t xml:space="preserve"> </w:t>
      </w:r>
      <w:r w:rsidRPr="00C14309">
        <w:t xml:space="preserve">respired (Diaz 2001). </w:t>
      </w:r>
      <w:r w:rsidRPr="00593A82">
        <w:t>Low dissolved oxygen (DO) has direct effects on the reproduction,</w:t>
      </w:r>
      <w:r>
        <w:t xml:space="preserve"> </w:t>
      </w:r>
      <w:r w:rsidRPr="00593A82">
        <w:t xml:space="preserve">growth and survival of pelagic and benthic fish and invertebrates (USEPA 2000, Bricker et al. 2003, </w:t>
      </w:r>
      <w:proofErr w:type="gramStart"/>
      <w:r w:rsidRPr="00593A82">
        <w:t>Best</w:t>
      </w:r>
      <w:proofErr w:type="gramEnd"/>
      <w:r>
        <w:t xml:space="preserve"> </w:t>
      </w:r>
      <w:r w:rsidRPr="00593A82">
        <w:t>et al. 2007). The response of aquatic organisms to low dissolved oxygen will depend on the intensity of hypoxia,</w:t>
      </w:r>
      <w:r>
        <w:t xml:space="preserve"> </w:t>
      </w:r>
      <w:r w:rsidRPr="00593A82">
        <w:t>duration of exposure, and the periodicity and frequency of exposure (</w:t>
      </w:r>
      <w:proofErr w:type="spellStart"/>
      <w:r w:rsidRPr="00593A82">
        <w:t>Rabalais</w:t>
      </w:r>
      <w:proofErr w:type="spellEnd"/>
      <w:r w:rsidRPr="00593A82">
        <w:t xml:space="preserve"> and Harper 1992).</w:t>
      </w:r>
      <w:r>
        <w:t xml:space="preserve"> </w:t>
      </w:r>
      <w:r w:rsidRPr="00593A82">
        <w:t>Thresholds for assessment of effects of DO are derived from criteria deemed to be</w:t>
      </w:r>
      <w:r>
        <w:t xml:space="preserve"> </w:t>
      </w:r>
      <w:r w:rsidRPr="00593A82">
        <w:t>protective of the mo</w:t>
      </w:r>
      <w:r>
        <w:t xml:space="preserve">st sensitive species from acute (timescales of days) </w:t>
      </w:r>
      <w:r w:rsidRPr="00593A82">
        <w:t xml:space="preserve">and chronic </w:t>
      </w:r>
      <w:r>
        <w:t xml:space="preserve">(time scales of weeks to months) </w:t>
      </w:r>
      <w:r w:rsidRPr="00593A82">
        <w:t>exposures to low dissolved oxygen.</w:t>
      </w:r>
      <w:r>
        <w:t xml:space="preserve"> </w:t>
      </w:r>
    </w:p>
    <w:p w:rsidR="00B66072" w:rsidRDefault="00B66072" w:rsidP="00BE682F">
      <w:pPr>
        <w:spacing w:line="276" w:lineRule="auto"/>
        <w:rPr>
          <w:rFonts w:asciiTheme="minorHAnsi" w:hAnsiTheme="minorHAnsi"/>
        </w:rPr>
      </w:pPr>
    </w:p>
    <w:p w:rsidR="00B66072" w:rsidRDefault="00B66072">
      <w:r>
        <w:t xml:space="preserve">In this work, we chose explicitly to defer work on a classification scheme for DO, citing the need to prioritize the development of classification for phytoplankton related indicators and the fact that DO objectives already exist for SFB. </w:t>
      </w:r>
      <w:r w:rsidR="00095E02">
        <w:t>The following recommendations</w:t>
      </w:r>
      <w:r>
        <w:t xml:space="preserve"> are intended to encourage future discussion of DO classification schemes for SFB, given that no scheme is being proposed at this time. </w:t>
      </w:r>
    </w:p>
    <w:p w:rsidR="00B66072" w:rsidRDefault="00B66072" w:rsidP="00BE682F">
      <w:pPr>
        <w:spacing w:line="276" w:lineRule="auto"/>
        <w:rPr>
          <w:rFonts w:asciiTheme="minorHAnsi" w:hAnsiTheme="minorHAnsi"/>
        </w:rPr>
      </w:pPr>
    </w:p>
    <w:p w:rsidR="00B66072" w:rsidRDefault="00B66072">
      <w:r>
        <w:t>Existing DO WQOs exist for SFB, based on a combination of DO concentration and percent saturation objectives. The SF</w:t>
      </w:r>
      <w:r w:rsidR="00095E02">
        <w:t>B</w:t>
      </w:r>
      <w:r>
        <w:t xml:space="preserve"> Water Board </w:t>
      </w:r>
      <w:r w:rsidR="00BE682F">
        <w:t xml:space="preserve">staff </w:t>
      </w:r>
      <w:r>
        <w:t xml:space="preserve">is considering revising the Basin Plan to allow for deviation from these numeric objectives in Suisun Marsh (Howard et al. 2014) and is entertaining a similar undertaking for shallow margin and intertidal habitats in South and Lower South Bay. </w:t>
      </w:r>
      <w:r w:rsidR="004B1D5F">
        <w:t xml:space="preserve">Once this has been established, modeling could be used to refine expectations for the deep channel habitats of South SFB. </w:t>
      </w:r>
      <w:r w:rsidRPr="00593A82">
        <w:t xml:space="preserve">Considering that these intertidal habitats rich in organic carbon may have natural sources of low DO water, </w:t>
      </w:r>
      <w:r w:rsidR="00253D2A">
        <w:t xml:space="preserve">and may experience natural conditions of low DO, </w:t>
      </w:r>
      <w:r w:rsidRPr="00593A82">
        <w:t xml:space="preserve">the expectations for DO in these habitats and their physical and biological exchanges with </w:t>
      </w:r>
      <w:r>
        <w:t>open water habitat</w:t>
      </w:r>
      <w:r w:rsidRPr="00593A82">
        <w:t xml:space="preserve"> need to be considered in setting appropriate expectations for </w:t>
      </w:r>
      <w:r w:rsidR="004B1D5F">
        <w:t>the</w:t>
      </w:r>
      <w:r w:rsidRPr="00593A82">
        <w:t xml:space="preserve"> </w:t>
      </w:r>
      <w:r w:rsidR="004B1D5F">
        <w:t>deep channel</w:t>
      </w:r>
      <w:r w:rsidRPr="00593A82">
        <w:t xml:space="preserve"> habitat.</w:t>
      </w:r>
      <w:r w:rsidR="00D72900">
        <w:t xml:space="preserve"> </w:t>
      </w:r>
      <w:r w:rsidRPr="00593A82">
        <w:t xml:space="preserve"> </w:t>
      </w:r>
    </w:p>
    <w:p w:rsidR="00B66072" w:rsidRDefault="00B66072" w:rsidP="00BE682F">
      <w:pPr>
        <w:spacing w:line="276" w:lineRule="auto"/>
        <w:rPr>
          <w:rFonts w:asciiTheme="minorHAnsi" w:hAnsiTheme="minorHAnsi"/>
        </w:rPr>
      </w:pPr>
    </w:p>
    <w:p w:rsidR="00B66072" w:rsidRDefault="00B66072">
      <w:r>
        <w:t xml:space="preserve">One question that should be addressed in future iterations of the SFB </w:t>
      </w:r>
      <w:r w:rsidR="00353722">
        <w:t>AF</w:t>
      </w:r>
      <w:r>
        <w:t xml:space="preserve"> is the need to develop a DO </w:t>
      </w:r>
      <w:r w:rsidR="00353722">
        <w:t>AF</w:t>
      </w:r>
      <w:r>
        <w:t xml:space="preserve"> that captures a fuller gradient in condition than expressed through binary classification associated with meeting established </w:t>
      </w:r>
      <w:r w:rsidR="001B7024">
        <w:t>WQOs</w:t>
      </w:r>
      <w:r>
        <w:t xml:space="preserve"> (i.e.</w:t>
      </w:r>
      <w:r w:rsidR="00E81561">
        <w:t>,</w:t>
      </w:r>
      <w:r>
        <w:t xml:space="preserve"> above or below established objectives). Best et al. (2007)</w:t>
      </w:r>
      <w:r w:rsidRPr="00C14309">
        <w:t xml:space="preserve"> </w:t>
      </w:r>
      <w:r>
        <w:t>have proposed a DO classification scheme for European Union Water Framework Directive (EU-WFD)</w:t>
      </w:r>
      <w:r w:rsidRPr="00C14309">
        <w:t xml:space="preserve"> based on observed</w:t>
      </w:r>
      <w:r>
        <w:t xml:space="preserve"> </w:t>
      </w:r>
      <w:r w:rsidRPr="00C14309">
        <w:t>impacts of hypoxia on benthic and demersal fauna</w:t>
      </w:r>
      <w:r w:rsidR="00E81561">
        <w:t>,</w:t>
      </w:r>
      <w:r w:rsidRPr="00C14309">
        <w:t xml:space="preserve"> as well as expert opinion</w:t>
      </w:r>
      <w:r w:rsidR="00E81561">
        <w:t>,</w:t>
      </w:r>
      <w:r w:rsidRPr="00C14309">
        <w:t xml:space="preserve"> </w:t>
      </w:r>
      <w:r w:rsidR="00E81561">
        <w:t>that</w:t>
      </w:r>
      <w:r w:rsidR="00E81561" w:rsidRPr="00C14309">
        <w:t xml:space="preserve"> </w:t>
      </w:r>
      <w:r w:rsidR="00E81561">
        <w:t>is</w:t>
      </w:r>
      <w:r w:rsidR="00E81561" w:rsidRPr="00C14309">
        <w:t xml:space="preserve"> </w:t>
      </w:r>
      <w:r w:rsidRPr="00C14309">
        <w:t>targeted to be</w:t>
      </w:r>
      <w:r>
        <w:t xml:space="preserve"> </w:t>
      </w:r>
      <w:r w:rsidRPr="00C14309">
        <w:t>relevant in a wide range of estuarine environments (</w:t>
      </w:r>
      <w:proofErr w:type="spellStart"/>
      <w:r w:rsidRPr="00C14309">
        <w:t>Vaquer-Sunyer</w:t>
      </w:r>
      <w:proofErr w:type="spellEnd"/>
      <w:r w:rsidRPr="00C14309">
        <w:t xml:space="preserve"> and Duarte 2008</w:t>
      </w:r>
      <w:r>
        <w:t>)</w:t>
      </w:r>
      <w:r w:rsidRPr="00C14309">
        <w:t>. The thresholds proposed by Best et</w:t>
      </w:r>
      <w:r>
        <w:t xml:space="preserve"> </w:t>
      </w:r>
      <w:r w:rsidRPr="00C14309">
        <w:t>al. (2007) are similar to those calculated for California species</w:t>
      </w:r>
      <w:r>
        <w:t>, including those found in SFB</w:t>
      </w:r>
      <w:r w:rsidRPr="00C14309">
        <w:t xml:space="preserve"> (5.7 mg L</w:t>
      </w:r>
      <w:r w:rsidRPr="00593A82">
        <w:rPr>
          <w:vertAlign w:val="superscript"/>
        </w:rPr>
        <w:t>-1</w:t>
      </w:r>
      <w:r w:rsidRPr="00C14309">
        <w:t xml:space="preserve"> as chronic-effects criteria</w:t>
      </w:r>
      <w:r>
        <w:t xml:space="preserve"> </w:t>
      </w:r>
      <w:r w:rsidRPr="00C14309">
        <w:t>protective of 95% of the non-</w:t>
      </w:r>
      <w:proofErr w:type="spellStart"/>
      <w:r w:rsidRPr="00C14309">
        <w:t>salmonid</w:t>
      </w:r>
      <w:proofErr w:type="spellEnd"/>
      <w:r w:rsidRPr="00C14309">
        <w:t xml:space="preserve"> population and 2.8 mg L</w:t>
      </w:r>
      <w:r w:rsidRPr="00593A82">
        <w:rPr>
          <w:vertAlign w:val="superscript"/>
        </w:rPr>
        <w:t>-1</w:t>
      </w:r>
      <w:r w:rsidRPr="00C14309">
        <w:t xml:space="preserve"> as acute effects criteria; </w:t>
      </w:r>
      <w:proofErr w:type="spellStart"/>
      <w:r w:rsidRPr="00C14309">
        <w:t>Sutula</w:t>
      </w:r>
      <w:proofErr w:type="spellEnd"/>
      <w:r w:rsidRPr="00C14309">
        <w:t xml:space="preserve"> et al.</w:t>
      </w:r>
      <w:r>
        <w:t xml:space="preserve"> </w:t>
      </w:r>
      <w:r w:rsidRPr="00C14309">
        <w:t xml:space="preserve">2012). For </w:t>
      </w:r>
      <w:proofErr w:type="spellStart"/>
      <w:r w:rsidRPr="00C14309">
        <w:t>salmonids</w:t>
      </w:r>
      <w:proofErr w:type="spellEnd"/>
      <w:r w:rsidRPr="00C14309">
        <w:t xml:space="preserve">, </w:t>
      </w:r>
      <w:proofErr w:type="spellStart"/>
      <w:r w:rsidRPr="00C14309">
        <w:t>Sutula</w:t>
      </w:r>
      <w:proofErr w:type="spellEnd"/>
      <w:r w:rsidRPr="00C14309">
        <w:t xml:space="preserve"> et al. (2012) calculated 6.3 mg L</w:t>
      </w:r>
      <w:r w:rsidRPr="00593A82">
        <w:rPr>
          <w:vertAlign w:val="superscript"/>
        </w:rPr>
        <w:t>-1</w:t>
      </w:r>
      <w:r w:rsidRPr="00C14309">
        <w:t xml:space="preserve"> as chronic effects criteria and 4.0 mg L</w:t>
      </w:r>
      <w:r w:rsidRPr="00593A82">
        <w:rPr>
          <w:vertAlign w:val="superscript"/>
        </w:rPr>
        <w:t>-1</w:t>
      </w:r>
      <w:r>
        <w:t xml:space="preserve"> </w:t>
      </w:r>
      <w:r w:rsidRPr="00C14309">
        <w:t xml:space="preserve">as acute effects criteria, but notes that the effects data used to </w:t>
      </w:r>
      <w:r w:rsidRPr="00C14309">
        <w:lastRenderedPageBreak/>
        <w:t>calcul</w:t>
      </w:r>
      <w:r>
        <w:t xml:space="preserve">ate these criteria were based of freshwater exposure studies. </w:t>
      </w:r>
      <w:r w:rsidRPr="00C14309">
        <w:t xml:space="preserve">Thus, applying </w:t>
      </w:r>
      <w:r>
        <w:t xml:space="preserve">fixed criteria to </w:t>
      </w:r>
      <w:r w:rsidRPr="00C14309">
        <w:t xml:space="preserve">habitats that </w:t>
      </w:r>
      <w:r>
        <w:t>represent a continuum along a salinity gradient can be problematic</w:t>
      </w:r>
      <w:r w:rsidRPr="00C14309">
        <w:t>. The Best et al. (2007) thresholds have the advantage of incorporating the</w:t>
      </w:r>
      <w:r>
        <w:t xml:space="preserve"> effects of </w:t>
      </w:r>
      <w:r w:rsidRPr="00C14309">
        <w:t>salinity on oxygen solubility and</w:t>
      </w:r>
      <w:r w:rsidR="00E81561">
        <w:t>,</w:t>
      </w:r>
      <w:r w:rsidRPr="00C14309">
        <w:t xml:space="preserve"> thus, can reconcile a threshold protective of all life history</w:t>
      </w:r>
      <w:r>
        <w:t xml:space="preserve"> </w:t>
      </w:r>
      <w:r w:rsidRPr="00C14309">
        <w:t xml:space="preserve">stages for </w:t>
      </w:r>
      <w:proofErr w:type="spellStart"/>
      <w:r w:rsidRPr="00C14309">
        <w:t>salmonids</w:t>
      </w:r>
      <w:proofErr w:type="spellEnd"/>
      <w:r w:rsidRPr="00C14309">
        <w:t xml:space="preserve"> from 7 mg L</w:t>
      </w:r>
      <w:r w:rsidRPr="00C14309">
        <w:rPr>
          <w:vertAlign w:val="superscript"/>
        </w:rPr>
        <w:t>-1</w:t>
      </w:r>
      <w:r w:rsidRPr="00C14309">
        <w:t xml:space="preserve"> in freshwater to 5.7 mg L</w:t>
      </w:r>
      <w:r w:rsidRPr="00C14309">
        <w:rPr>
          <w:vertAlign w:val="superscript"/>
        </w:rPr>
        <w:t>-1</w:t>
      </w:r>
      <w:r w:rsidRPr="00C14309">
        <w:t xml:space="preserve"> at marine salinities. The ASSETS upper</w:t>
      </w:r>
      <w:r>
        <w:t xml:space="preserve"> </w:t>
      </w:r>
      <w:r w:rsidRPr="00C14309">
        <w:t>threshold of 5.0 mg L</w:t>
      </w:r>
      <w:r w:rsidRPr="00593A82">
        <w:rPr>
          <w:vertAlign w:val="superscript"/>
        </w:rPr>
        <w:t>-1</w:t>
      </w:r>
      <w:r w:rsidRPr="00C14309">
        <w:t xml:space="preserve"> is roughly equivalent to this threshold but does not take into account salinity</w:t>
      </w:r>
      <w:r>
        <w:t xml:space="preserve"> </w:t>
      </w:r>
      <w:r w:rsidRPr="00C14309">
        <w:t xml:space="preserve">(Bricker et al. 2003). </w:t>
      </w:r>
      <w:r>
        <w:t xml:space="preserve">Both </w:t>
      </w:r>
      <w:r w:rsidRPr="00C14309">
        <w:t>ASSETS and EU-WFD (Brick</w:t>
      </w:r>
      <w:r>
        <w:t xml:space="preserve">er et al. </w:t>
      </w:r>
      <w:r w:rsidR="006C28B7">
        <w:t>1999</w:t>
      </w:r>
      <w:r>
        <w:t xml:space="preserve">, </w:t>
      </w:r>
      <w:r w:rsidR="006C28B7">
        <w:t>2003</w:t>
      </w:r>
      <w:r>
        <w:t>) utilize the 5</w:t>
      </w:r>
      <w:r w:rsidRPr="005C026D">
        <w:rPr>
          <w:vertAlign w:val="superscript"/>
        </w:rPr>
        <w:t>th</w:t>
      </w:r>
      <w:r>
        <w:t xml:space="preserve"> and 10</w:t>
      </w:r>
      <w:r w:rsidRPr="005C026D">
        <w:rPr>
          <w:vertAlign w:val="superscript"/>
        </w:rPr>
        <w:t>th</w:t>
      </w:r>
      <w:r>
        <w:t xml:space="preserve"> percentile, respectively, to integrate over time, similar to the SFB Basin Plan calculation of 10% frequency of non-compliance.</w:t>
      </w:r>
      <w:r w:rsidR="00D72900">
        <w:t xml:space="preserve"> </w:t>
      </w:r>
      <w:r w:rsidRPr="00C14309">
        <w:t>The use of the percentile approach integrates the duration and frequency of low DO events and doesn't</w:t>
      </w:r>
      <w:r>
        <w:t xml:space="preserve"> </w:t>
      </w:r>
      <w:r w:rsidRPr="00C14309">
        <w:t>distinguish between high frequency short duration events and low</w:t>
      </w:r>
      <w:r w:rsidR="00BA287A">
        <w:t>-</w:t>
      </w:r>
      <w:r w:rsidRPr="00C14309">
        <w:t>frequency but long</w:t>
      </w:r>
      <w:r w:rsidR="00BA287A">
        <w:t>-</w:t>
      </w:r>
      <w:r w:rsidRPr="00C14309">
        <w:t>duration events.</w:t>
      </w:r>
      <w:r>
        <w:t xml:space="preserve"> </w:t>
      </w:r>
      <w:r w:rsidRPr="00C14309">
        <w:t>The effect of these two examples can be very different on biota, depending the timing and number of</w:t>
      </w:r>
      <w:r>
        <w:t xml:space="preserve"> </w:t>
      </w:r>
      <w:r w:rsidRPr="00C14309">
        <w:t xml:space="preserve">reproductive cycles in the year, number per brood, etc. </w:t>
      </w:r>
    </w:p>
    <w:p w:rsidR="00B66072" w:rsidRDefault="00B66072" w:rsidP="00BE682F">
      <w:pPr>
        <w:spacing w:line="276" w:lineRule="auto"/>
        <w:rPr>
          <w:rFonts w:asciiTheme="minorHAnsi" w:hAnsiTheme="minorHAnsi"/>
        </w:rPr>
      </w:pPr>
    </w:p>
    <w:p w:rsidR="00B66072" w:rsidRDefault="00D9123A">
      <w:r>
        <w:t>E</w:t>
      </w:r>
      <w:r w:rsidR="00B66072" w:rsidRPr="00C14309">
        <w:t>stuari</w:t>
      </w:r>
      <w:r w:rsidR="00B66072">
        <w:t xml:space="preserve">ne </w:t>
      </w:r>
      <w:proofErr w:type="spellStart"/>
      <w:r w:rsidR="00B66072">
        <w:t>subtidal</w:t>
      </w:r>
      <w:proofErr w:type="spellEnd"/>
      <w:r w:rsidR="00B66072">
        <w:t xml:space="preserve"> habitat</w:t>
      </w:r>
      <w:r w:rsidR="00B66072" w:rsidRPr="00C14309">
        <w:t xml:space="preserve"> </w:t>
      </w:r>
      <w:r w:rsidR="00B66072">
        <w:t xml:space="preserve">and associated intertidal margin habitats </w:t>
      </w:r>
      <w:r w:rsidR="00B66072" w:rsidRPr="00C14309">
        <w:t>are prone</w:t>
      </w:r>
      <w:r w:rsidR="00B66072">
        <w:t xml:space="preserve"> </w:t>
      </w:r>
      <w:r w:rsidR="00B66072" w:rsidRPr="00C14309">
        <w:t>to development</w:t>
      </w:r>
      <w:r w:rsidR="00B66072">
        <w:t xml:space="preserve"> of density-driven stratification</w:t>
      </w:r>
      <w:r w:rsidR="00BA287A">
        <w:t>,</w:t>
      </w:r>
      <w:r w:rsidR="00B66072" w:rsidRPr="00C14309">
        <w:t xml:space="preserve"> precluding diffusion and mixing of oxygen to bottom waters (</w:t>
      </w:r>
      <w:proofErr w:type="spellStart"/>
      <w:r w:rsidR="00B66072" w:rsidRPr="00C14309">
        <w:t>Largier</w:t>
      </w:r>
      <w:proofErr w:type="spellEnd"/>
      <w:r w:rsidR="00B66072" w:rsidRPr="00C14309">
        <w:t xml:space="preserve"> et al. 1991, 1996).</w:t>
      </w:r>
      <w:r w:rsidR="00B66072">
        <w:t xml:space="preserve"> </w:t>
      </w:r>
      <w:proofErr w:type="spellStart"/>
      <w:r w:rsidR="00B66072" w:rsidRPr="00C14309">
        <w:t>Sutula</w:t>
      </w:r>
      <w:proofErr w:type="spellEnd"/>
      <w:r w:rsidR="00B66072" w:rsidRPr="00C14309">
        <w:t xml:space="preserve"> et al. (2012) note that natural</w:t>
      </w:r>
      <w:r w:rsidR="00B66072">
        <w:t xml:space="preserve"> </w:t>
      </w:r>
      <w:r w:rsidR="00B66072" w:rsidRPr="00C14309">
        <w:t xml:space="preserve">hypoxia in bottom waters of </w:t>
      </w:r>
      <w:r w:rsidR="00B66072">
        <w:t xml:space="preserve">stratified </w:t>
      </w:r>
      <w:r w:rsidR="00B66072" w:rsidRPr="00C14309">
        <w:t xml:space="preserve">estuaries is </w:t>
      </w:r>
      <w:proofErr w:type="gramStart"/>
      <w:r w:rsidR="00B66072" w:rsidRPr="00C14309">
        <w:t xml:space="preserve">an issue for </w:t>
      </w:r>
      <w:r w:rsidR="00B66072">
        <w:t>interpretation of existing Water Board</w:t>
      </w:r>
      <w:r w:rsidR="00E81C1F">
        <w:t>s’</w:t>
      </w:r>
      <w:r w:rsidR="00B66072">
        <w:t xml:space="preserve"> </w:t>
      </w:r>
      <w:r w:rsidR="00B66072" w:rsidRPr="00C14309">
        <w:t>DO</w:t>
      </w:r>
      <w:proofErr w:type="gramEnd"/>
      <w:r w:rsidR="00B66072" w:rsidRPr="00C14309">
        <w:t xml:space="preserve"> </w:t>
      </w:r>
      <w:r w:rsidR="00B66072">
        <w:t>objectives</w:t>
      </w:r>
      <w:r w:rsidR="00B66072" w:rsidRPr="00C14309">
        <w:t xml:space="preserve">. </w:t>
      </w:r>
      <w:r w:rsidR="00B66072">
        <w:t xml:space="preserve">Stacey (2015, Appendix </w:t>
      </w:r>
      <w:r w:rsidR="00B32938">
        <w:t>D</w:t>
      </w:r>
      <w:r w:rsidR="00B66072">
        <w:t xml:space="preserve">) analyzed the frequency of stratification events in South Bay; he found that: </w:t>
      </w:r>
      <w:r w:rsidR="00BA287A">
        <w:t>(</w:t>
      </w:r>
      <w:r w:rsidR="00B66072">
        <w:t xml:space="preserve">1) salinity-stratification most often occurs during periods of peak freshwater flow to SFB (winter-spring), </w:t>
      </w:r>
      <w:r w:rsidR="00BA287A">
        <w:t>(</w:t>
      </w:r>
      <w:r w:rsidR="00B66072">
        <w:t>2) duration of stratification seldom persists for periods greater than two weeks due to tidal mixing associated with spring tides</w:t>
      </w:r>
      <w:r w:rsidR="00BA287A">
        <w:t>,</w:t>
      </w:r>
      <w:r w:rsidR="00B66072">
        <w:t xml:space="preserve"> and </w:t>
      </w:r>
      <w:r w:rsidR="00BA287A">
        <w:t>(</w:t>
      </w:r>
      <w:r w:rsidR="00B66072">
        <w:t>3) observed periods of low DO in South Bay do not typically coincide with stratification events.</w:t>
      </w:r>
      <w:r w:rsidR="00D72900">
        <w:t xml:space="preserve"> </w:t>
      </w:r>
      <w:proofErr w:type="gramStart"/>
      <w:r w:rsidR="00B66072">
        <w:t>Incursions of low DO water into SFB is</w:t>
      </w:r>
      <w:proofErr w:type="gramEnd"/>
      <w:r w:rsidR="00B66072">
        <w:t xml:space="preserve"> possible when oceanic deep waters </w:t>
      </w:r>
      <w:proofErr w:type="spellStart"/>
      <w:r w:rsidR="00B66072">
        <w:t>upwell</w:t>
      </w:r>
      <w:proofErr w:type="spellEnd"/>
      <w:r w:rsidR="00B66072">
        <w:t xml:space="preserve"> at the mouth of SFB (J.E. </w:t>
      </w:r>
      <w:proofErr w:type="spellStart"/>
      <w:r w:rsidR="00B66072">
        <w:t>Cloern</w:t>
      </w:r>
      <w:proofErr w:type="spellEnd"/>
      <w:r w:rsidR="00B66072">
        <w:t>, personal communication). Although these are currently rarely observed, it is possible that these events will occur with increased frequency due to rising coastal hypoxia (Booth et al. 2013).</w:t>
      </w:r>
      <w:r w:rsidR="00D72900">
        <w:t xml:space="preserve"> </w:t>
      </w:r>
    </w:p>
    <w:p w:rsidR="006549B3" w:rsidRDefault="006549B3"/>
    <w:p w:rsidR="00D9123A" w:rsidRDefault="00D9123A">
      <w:r>
        <w:t xml:space="preserve">Finally, in the first phase of </w:t>
      </w:r>
      <w:r w:rsidR="00353722">
        <w:t>AF</w:t>
      </w:r>
      <w:r>
        <w:t xml:space="preserve"> development, we chose not to recommend </w:t>
      </w:r>
      <w:r w:rsidR="00A6157F">
        <w:t>a prescribed</w:t>
      </w:r>
      <w:r>
        <w:t xml:space="preserve"> monitoring program for </w:t>
      </w:r>
      <w:r w:rsidR="00BE682F">
        <w:t>DO</w:t>
      </w:r>
      <w:r>
        <w:t xml:space="preserve">. </w:t>
      </w:r>
      <w:r w:rsidR="002E704D">
        <w:t>Such recommendations were outside the scope of our current effort, yet w</w:t>
      </w:r>
      <w:r>
        <w:t>e believe that this is an important issue</w:t>
      </w:r>
      <w:r w:rsidR="00BA287A">
        <w:t xml:space="preserve"> – </w:t>
      </w:r>
      <w:r>
        <w:t xml:space="preserve">one that should be coupled to a better </w:t>
      </w:r>
      <w:r w:rsidR="002E704D">
        <w:t>characterization</w:t>
      </w:r>
      <w:r>
        <w:t xml:space="preserve"> of the </w:t>
      </w:r>
      <w:r w:rsidR="002E704D">
        <w:t xml:space="preserve">seasonal DO requirements of the </w:t>
      </w:r>
      <w:r>
        <w:t xml:space="preserve">most sensitive species and </w:t>
      </w:r>
      <w:r w:rsidR="002E704D">
        <w:t>their important</w:t>
      </w:r>
      <w:r>
        <w:t xml:space="preserve"> habitats in SFB</w:t>
      </w:r>
      <w:r w:rsidR="002E704D">
        <w:t xml:space="preserve">. </w:t>
      </w:r>
      <w:r>
        <w:t xml:space="preserve">Future </w:t>
      </w:r>
      <w:r w:rsidR="002E704D">
        <w:t>science</w:t>
      </w:r>
      <w:r>
        <w:t xml:space="preserve"> plans related to </w:t>
      </w:r>
      <w:r w:rsidR="001C2C80">
        <w:t>DO</w:t>
      </w:r>
      <w:r>
        <w:t xml:space="preserve"> should </w:t>
      </w:r>
      <w:r w:rsidR="002E704D">
        <w:t xml:space="preserve">address </w:t>
      </w:r>
      <w:r>
        <w:t xml:space="preserve">this important aspect. </w:t>
      </w:r>
    </w:p>
    <w:p w:rsidR="002E704D" w:rsidRDefault="002E704D" w:rsidP="00BE682F">
      <w:pPr>
        <w:spacing w:line="276" w:lineRule="auto"/>
        <w:rPr>
          <w:rFonts w:asciiTheme="minorHAnsi" w:hAnsiTheme="minorHAnsi"/>
        </w:rPr>
      </w:pPr>
    </w:p>
    <w:p w:rsidR="001C170C" w:rsidRDefault="00353722">
      <w:pPr>
        <w:pStyle w:val="Heading2"/>
      </w:pPr>
      <w:bookmarkStart w:id="81" w:name="_Toc433370074"/>
      <w:r>
        <w:t>AF</w:t>
      </w:r>
      <w:r w:rsidR="001C170C">
        <w:t xml:space="preserve"> Indicators as Multiple Lines of Evidence</w:t>
      </w:r>
      <w:bookmarkEnd w:id="81"/>
    </w:p>
    <w:p w:rsidR="001C170C" w:rsidRDefault="001C170C">
      <w:r>
        <w:t>A</w:t>
      </w:r>
      <w:r w:rsidRPr="002E704D">
        <w:t xml:space="preserve"> core principle of the </w:t>
      </w:r>
      <w:r w:rsidR="00353722">
        <w:t>AF</w:t>
      </w:r>
      <w:r w:rsidRPr="002E704D">
        <w:t xml:space="preserve"> is that it be comprised of several indicators that should be used as multiple lines of evidence</w:t>
      </w:r>
      <w:r>
        <w:t xml:space="preserve"> in the determination of overall ecological condition. In this preliminary </w:t>
      </w:r>
      <w:r w:rsidR="00353722">
        <w:t>AF</w:t>
      </w:r>
      <w:r>
        <w:t>, we have chosen not to specifically address combin</w:t>
      </w:r>
      <w:r w:rsidR="00095E02">
        <w:t>ing</w:t>
      </w:r>
      <w:r>
        <w:t xml:space="preserve"> each indicator into a multi-metric index, pending refinement of the classification through improved monitoring, modeling and other research. However, we can offer some simple guidance on the relative weight that these indicators can be given in view of their status and relative degree of associated uncertainty. </w:t>
      </w:r>
      <w:r w:rsidR="00152A24">
        <w:t>Th</w:t>
      </w:r>
      <w:r w:rsidR="00095E02">
        <w:t>is</w:t>
      </w:r>
      <w:r w:rsidR="00152A24">
        <w:t xml:space="preserve"> relative importance</w:t>
      </w:r>
      <w:r w:rsidR="00095E02">
        <w:t>, presented</w:t>
      </w:r>
      <w:r w:rsidR="00152A24">
        <w:t xml:space="preserve"> as multiple lines</w:t>
      </w:r>
      <w:r w:rsidR="00095E02">
        <w:t xml:space="preserve"> of evidence,</w:t>
      </w:r>
      <w:r w:rsidR="00152A24">
        <w:t xml:space="preserve"> can be revised as uncertainties are reduced and our understanding of risk to beneficial uses from each impairment pathway improves. </w:t>
      </w:r>
    </w:p>
    <w:p w:rsidR="001C170C" w:rsidRDefault="001C170C" w:rsidP="0065032F">
      <w:pPr>
        <w:spacing w:line="276" w:lineRule="auto"/>
        <w:rPr>
          <w:rFonts w:asciiTheme="minorHAnsi" w:hAnsiTheme="minorHAnsi"/>
        </w:rPr>
      </w:pPr>
    </w:p>
    <w:p w:rsidR="001C170C" w:rsidRDefault="009937F5">
      <w:r>
        <w:lastRenderedPageBreak/>
        <w:t>Three</w:t>
      </w:r>
      <w:r w:rsidR="001C170C">
        <w:t xml:space="preserve"> indicators should be given strong weight in motivating management </w:t>
      </w:r>
      <w:r>
        <w:t>attention</w:t>
      </w:r>
      <w:r w:rsidR="001C170C">
        <w:t xml:space="preserve"> the near term, given their strong linkage to beneficial uses: </w:t>
      </w:r>
      <w:r w:rsidR="00B747E5">
        <w:t>(</w:t>
      </w:r>
      <w:r w:rsidR="001C170C">
        <w:t>1) dissolved oxygen</w:t>
      </w:r>
      <w:r>
        <w:t xml:space="preserve">, </w:t>
      </w:r>
      <w:r w:rsidR="00B747E5">
        <w:t>(</w:t>
      </w:r>
      <w:r w:rsidR="001C170C">
        <w:t>2) HAB toxins, particularly if found to be accumulating to levels of concern in shellfish</w:t>
      </w:r>
      <w:r w:rsidR="00152A24">
        <w:t xml:space="preserve"> or other aquatic organisms</w:t>
      </w:r>
      <w:r>
        <w:t xml:space="preserve">, and </w:t>
      </w:r>
      <w:r w:rsidR="00B747E5">
        <w:t>(</w:t>
      </w:r>
      <w:r>
        <w:t xml:space="preserve">3) </w:t>
      </w:r>
      <w:r w:rsidR="00095E02">
        <w:t xml:space="preserve">gross </w:t>
      </w:r>
      <w:r w:rsidR="0065032F">
        <w:t xml:space="preserve">and net </w:t>
      </w:r>
      <w:r w:rsidR="00095E02">
        <w:t>primary productivity</w:t>
      </w:r>
      <w:r>
        <w:t xml:space="preserve">. </w:t>
      </w:r>
      <w:r w:rsidR="00826F22">
        <w:t xml:space="preserve">We note that </w:t>
      </w:r>
      <w:r>
        <w:t>DO already serves as an independent line of evidence, as it is already in the SF</w:t>
      </w:r>
      <w:r w:rsidR="00095E02">
        <w:t>B</w:t>
      </w:r>
      <w:r>
        <w:t xml:space="preserve"> Water Board Basin plan. </w:t>
      </w:r>
    </w:p>
    <w:p w:rsidR="001C170C" w:rsidRDefault="001C170C" w:rsidP="0065032F">
      <w:pPr>
        <w:spacing w:line="276" w:lineRule="auto"/>
        <w:rPr>
          <w:rFonts w:asciiTheme="minorHAnsi" w:hAnsiTheme="minorHAnsi"/>
        </w:rPr>
      </w:pPr>
    </w:p>
    <w:p w:rsidR="00152A24" w:rsidRDefault="00152A24">
      <w:r>
        <w:t xml:space="preserve">HAB abundances should be given moderate weight in motivating management action. For HAB abundances, this weight could be refined pending better characterization of HAB risk in SFB. </w:t>
      </w:r>
    </w:p>
    <w:p w:rsidR="00152A24" w:rsidRDefault="00152A24" w:rsidP="0065032F">
      <w:pPr>
        <w:spacing w:line="276" w:lineRule="auto"/>
        <w:rPr>
          <w:rFonts w:asciiTheme="minorHAnsi" w:hAnsiTheme="minorHAnsi"/>
        </w:rPr>
      </w:pPr>
    </w:p>
    <w:p w:rsidR="001C170C" w:rsidRDefault="00152A24">
      <w:r>
        <w:t>Chlorophyll-</w:t>
      </w:r>
      <w:proofErr w:type="gramStart"/>
      <w:r>
        <w:t>a should</w:t>
      </w:r>
      <w:proofErr w:type="gramEnd"/>
      <w:r>
        <w:t xml:space="preserve"> be given </w:t>
      </w:r>
      <w:r w:rsidR="00AB1DA8">
        <w:t>moderate</w:t>
      </w:r>
      <w:r>
        <w:t xml:space="preserve"> weight in motivating nutrient management action</w:t>
      </w:r>
      <w:r w:rsidR="00826F22">
        <w:t xml:space="preserve"> in the short</w:t>
      </w:r>
      <w:r w:rsidR="00E55DE5">
        <w:t xml:space="preserve"> </w:t>
      </w:r>
      <w:r w:rsidR="00826F22">
        <w:t>term</w:t>
      </w:r>
      <w:r>
        <w:t>, because of the considerable uncertainty in the linkage of chlorophyll-a with HAB toxins and DO</w:t>
      </w:r>
      <w:r w:rsidR="00AB1DA8">
        <w:t>, particularly</w:t>
      </w:r>
      <w:r>
        <w:t xml:space="preserve"> in shallow margins with SFB.</w:t>
      </w:r>
      <w:r w:rsidR="00D72900">
        <w:t xml:space="preserve"> </w:t>
      </w:r>
      <w:r w:rsidR="00AB1DA8">
        <w:t>The trend in chlorophyll-</w:t>
      </w:r>
      <w:proofErr w:type="gramStart"/>
      <w:r w:rsidR="00AB1DA8">
        <w:t>a should</w:t>
      </w:r>
      <w:proofErr w:type="gramEnd"/>
      <w:r w:rsidR="00AB1DA8">
        <w:t xml:space="preserve"> be given as much weight as the absolute magnitude. </w:t>
      </w:r>
      <w:r w:rsidR="00826F22">
        <w:t>However, given the importance of the linkage of chlorophyll-</w:t>
      </w:r>
      <w:proofErr w:type="gramStart"/>
      <w:r w:rsidR="00826F22">
        <w:t>a and</w:t>
      </w:r>
      <w:proofErr w:type="gramEnd"/>
      <w:r w:rsidR="00826F22">
        <w:t xml:space="preserve"> GPP with nutrient loads, reduction in the uncertainty surrounding chlorophyll-a classification should be a high priority in the SFB Nutrient Science Plan. </w:t>
      </w:r>
    </w:p>
    <w:p w:rsidR="009937F5" w:rsidRDefault="009937F5" w:rsidP="0065032F">
      <w:pPr>
        <w:spacing w:line="276" w:lineRule="auto"/>
        <w:rPr>
          <w:rFonts w:asciiTheme="minorHAnsi" w:hAnsiTheme="minorHAnsi"/>
        </w:rPr>
      </w:pPr>
    </w:p>
    <w:p w:rsidR="009937F5" w:rsidRDefault="009937F5">
      <w:r>
        <w:t>Finally</w:t>
      </w:r>
      <w:r w:rsidR="00E55DE5">
        <w:t>,</w:t>
      </w:r>
      <w:r>
        <w:t xml:space="preserve"> for metrics of phytoplankton composition, emphasis should be on research and data visualization to communicate the ecological significance of trends over time.</w:t>
      </w:r>
      <w:r w:rsidR="00D72900">
        <w:t xml:space="preserve"> </w:t>
      </w:r>
      <w:r>
        <w:t xml:space="preserve">We would expect that a classification system for phytoplankton food quality index should </w:t>
      </w:r>
      <w:r w:rsidR="00826F22">
        <w:t>be forthcoming after a period of piloting and demonstration in SFB. However, poor phytoplankton food quality</w:t>
      </w:r>
      <w:r w:rsidR="00E55DE5">
        <w:t>,</w:t>
      </w:r>
      <w:r w:rsidR="00826F22">
        <w:t xml:space="preserve"> as well as other shifts in phytoplankton composition</w:t>
      </w:r>
      <w:r w:rsidR="00E55DE5">
        <w:t>,</w:t>
      </w:r>
      <w:r w:rsidR="00826F22">
        <w:t xml:space="preserve"> can be driven by factors other than nutrients. For this reason, this indicator will likely serve as a supporting rather than primary line of evidence going into the future. </w:t>
      </w:r>
    </w:p>
    <w:p w:rsidR="001C170C" w:rsidRDefault="001C170C">
      <w:pPr>
        <w:rPr>
          <w:rFonts w:asciiTheme="minorHAnsi" w:hAnsiTheme="minorHAnsi"/>
        </w:rPr>
      </w:pPr>
    </w:p>
    <w:p w:rsidR="001C170C" w:rsidRPr="001C170C" w:rsidRDefault="001C170C"/>
    <w:p w:rsidR="00FC0F36" w:rsidRDefault="00FC0F36">
      <w:pPr>
        <w:rPr>
          <w:rFonts w:asciiTheme="minorHAnsi" w:hAnsiTheme="minorHAnsi"/>
        </w:rPr>
      </w:pPr>
    </w:p>
    <w:p w:rsidR="00012955" w:rsidRPr="00E224FC" w:rsidRDefault="00012955">
      <w:pPr>
        <w:pStyle w:val="Heading1"/>
      </w:pPr>
      <w:bookmarkStart w:id="82" w:name="_Toc433370075"/>
      <w:r w:rsidRPr="00E224FC">
        <w:t xml:space="preserve">Summary </w:t>
      </w:r>
      <w:r w:rsidR="005E1E84">
        <w:t>of Findings</w:t>
      </w:r>
      <w:r w:rsidR="001B56A2">
        <w:t xml:space="preserve">, Vision for Near-term Use, </w:t>
      </w:r>
      <w:r w:rsidRPr="00E224FC">
        <w:t xml:space="preserve">and Recommendations </w:t>
      </w:r>
      <w:r w:rsidR="001B56A2">
        <w:t xml:space="preserve">for </w:t>
      </w:r>
      <w:r w:rsidR="00353722">
        <w:t>AF</w:t>
      </w:r>
      <w:r w:rsidR="001B56A2">
        <w:t xml:space="preserve"> Refinement</w:t>
      </w:r>
      <w:bookmarkEnd w:id="82"/>
    </w:p>
    <w:p w:rsidR="00826F22" w:rsidRDefault="00826F22" w:rsidP="0065032F">
      <w:pPr>
        <w:spacing w:line="276" w:lineRule="auto"/>
        <w:rPr>
          <w:rFonts w:asciiTheme="minorHAnsi" w:hAnsiTheme="minorHAnsi"/>
        </w:rPr>
      </w:pPr>
    </w:p>
    <w:p w:rsidR="005E1E84" w:rsidRDefault="005E1E84">
      <w:pPr>
        <w:pStyle w:val="Heading2"/>
      </w:pPr>
      <w:bookmarkStart w:id="83" w:name="_Toc433370076"/>
      <w:r>
        <w:t>Summary of Findings</w:t>
      </w:r>
      <w:bookmarkEnd w:id="83"/>
    </w:p>
    <w:p w:rsidR="00095E02" w:rsidRDefault="00826F22">
      <w:r w:rsidRPr="00E224FC">
        <w:t>San Francisco Bay has long been recognized as a nutrient-enriched</w:t>
      </w:r>
      <w:r w:rsidRPr="005F19C7">
        <w:t xml:space="preserve"> estuary; however, it has exhibited resistance to some of the classic symptoms of nutrient </w:t>
      </w:r>
      <w:proofErr w:type="spellStart"/>
      <w:r w:rsidRPr="005F19C7">
        <w:t>overenrichment</w:t>
      </w:r>
      <w:proofErr w:type="spellEnd"/>
      <w:r w:rsidRPr="005F19C7">
        <w:t xml:space="preserve">, such as high phytoplankton biomass and hypoxia, due to a number of factors such as high turbidity, strong tidal mixing, and grazing that limit organic matter accumulation within the estuary. </w:t>
      </w:r>
      <w:r w:rsidRPr="00E224FC">
        <w:t xml:space="preserve">These observations have reinforced the need to identify numeric </w:t>
      </w:r>
      <w:r w:rsidR="001B7024">
        <w:t>WQOs</w:t>
      </w:r>
      <w:r w:rsidRPr="00E224FC">
        <w:t xml:space="preserve"> or a specific implementation plan for the existing narrative objective to protect the estuary </w:t>
      </w:r>
      <w:r w:rsidRPr="005F19C7">
        <w:t xml:space="preserve">from </w:t>
      </w:r>
      <w:r w:rsidRPr="00E224FC">
        <w:t>the potential effects of nutrient</w:t>
      </w:r>
      <w:r>
        <w:t xml:space="preserve"> over-enrichment</w:t>
      </w:r>
      <w:r w:rsidR="00095E02">
        <w:t xml:space="preserve">, especially following recent documentation of </w:t>
      </w:r>
      <w:r w:rsidR="00095E02" w:rsidRPr="00BF7A17">
        <w:t>shifts in the timing and extent of freshwater inflow and salinity intrusion, decreasing turbidity, restructuring of plankton communities, elimination of hypoxia and reduced metal contamination of biota, and food web changes that decrease resistance of the estuary to nutrient polluti</w:t>
      </w:r>
      <w:r w:rsidR="00095E02">
        <w:t>on</w:t>
      </w:r>
      <w:r w:rsidRPr="00E224FC">
        <w:t xml:space="preserve">. </w:t>
      </w:r>
    </w:p>
    <w:p w:rsidR="00095E02" w:rsidRDefault="00095E02"/>
    <w:p w:rsidR="005E1E84" w:rsidRDefault="00826F22">
      <w:r>
        <w:t xml:space="preserve">In this study, we utilized an expert workgroup to develop </w:t>
      </w:r>
      <w:r w:rsidRPr="005F19C7">
        <w:t>a quantitative framework to assess eutrophication in the SFB, based on indicators of phytoplankton biomass (chlorophyll-a)</w:t>
      </w:r>
      <w:r>
        <w:t xml:space="preserve">, gross </w:t>
      </w:r>
      <w:r>
        <w:lastRenderedPageBreak/>
        <w:t>primary productivity,</w:t>
      </w:r>
      <w:r w:rsidRPr="005F19C7">
        <w:t xml:space="preserve"> the prevalence of harmful algal blooms (HAB) and toxin</w:t>
      </w:r>
      <w:r>
        <w:t>, and DO</w:t>
      </w:r>
      <w:r w:rsidRPr="005F19C7">
        <w:t>.</w:t>
      </w:r>
      <w:r w:rsidR="00D72900">
        <w:t xml:space="preserve"> </w:t>
      </w:r>
      <w:r w:rsidR="00485C95">
        <w:t>Experts defined core principles including geographic scope, recommended Bay segmentation, linkage of key indicators to beneficial uses, and the protocols and recommended spatial and temporal frequency of monitoring that would support a core assessment of nutrient effects on SFB</w:t>
      </w:r>
      <w:r w:rsidR="005E1E84">
        <w:t xml:space="preserve">. </w:t>
      </w:r>
    </w:p>
    <w:p w:rsidR="005E1E84" w:rsidRDefault="005E1E84" w:rsidP="0065032F">
      <w:pPr>
        <w:spacing w:line="276" w:lineRule="auto"/>
        <w:rPr>
          <w:rFonts w:asciiTheme="minorHAnsi" w:hAnsiTheme="minorHAnsi"/>
        </w:rPr>
      </w:pPr>
    </w:p>
    <w:p w:rsidR="007C2CC0" w:rsidRDefault="00095E02">
      <w:r>
        <w:t xml:space="preserve">We discussed a </w:t>
      </w:r>
      <w:r w:rsidR="005E1E84">
        <w:t xml:space="preserve">quantitative scheme to classify SFB </w:t>
      </w:r>
      <w:proofErr w:type="spellStart"/>
      <w:r w:rsidR="005E1E84">
        <w:t>subembayments</w:t>
      </w:r>
      <w:proofErr w:type="spellEnd"/>
      <w:r w:rsidR="005E1E84">
        <w:t xml:space="preserve"> in tiers of ecological condition, from very high to very low, based on risk to adverse effects of nutrient </w:t>
      </w:r>
      <w:proofErr w:type="spellStart"/>
      <w:r w:rsidR="005E1E84">
        <w:t>overenrichment</w:t>
      </w:r>
      <w:proofErr w:type="spellEnd"/>
      <w:r w:rsidR="005E1E84">
        <w:t xml:space="preserve"> and eutrophication. Decisions on classification bins were supported by a combination of existing literature and guidance, quantitative analyses of existing SFB data from the USGS research program, and expert best professional judgment. </w:t>
      </w:r>
    </w:p>
    <w:p w:rsidR="007C2CC0" w:rsidRDefault="007C2CC0"/>
    <w:p w:rsidR="005E1E84" w:rsidRDefault="00826F22">
      <w:r w:rsidRPr="005F19C7">
        <w:t xml:space="preserve">Analyses of </w:t>
      </w:r>
      <w:r w:rsidRPr="00E224FC">
        <w:t xml:space="preserve">two decades of phytoplankton species composition, chlorophyll-a, and dissolved oxygen (DO), </w:t>
      </w:r>
      <w:r w:rsidR="007C2CC0">
        <w:t>as well as</w:t>
      </w:r>
      <w:r w:rsidR="007C2CC0" w:rsidRPr="00E224FC">
        <w:t xml:space="preserve"> </w:t>
      </w:r>
      <w:r w:rsidR="007C2CC0">
        <w:t>three</w:t>
      </w:r>
      <w:r w:rsidR="007C2CC0" w:rsidRPr="00E224FC">
        <w:t xml:space="preserve"> </w:t>
      </w:r>
      <w:r w:rsidRPr="00E224FC">
        <w:t xml:space="preserve">years of toxin data </w:t>
      </w:r>
      <w:r w:rsidRPr="005F19C7">
        <w:t>from solid phase adsorption toxin tracking (SPATT) samplers</w:t>
      </w:r>
      <w:r w:rsidR="007C2CC0">
        <w:t>,</w:t>
      </w:r>
      <w:r w:rsidRPr="005F19C7">
        <w:t xml:space="preserve"> </w:t>
      </w:r>
      <w:r>
        <w:t xml:space="preserve">were used to demonstrate </w:t>
      </w:r>
      <w:r w:rsidR="00B747E5">
        <w:t>(</w:t>
      </w:r>
      <w:r>
        <w:t xml:space="preserve">1) </w:t>
      </w:r>
      <w:r w:rsidRPr="005F19C7">
        <w:t xml:space="preserve">significant increases in </w:t>
      </w:r>
      <w:r w:rsidR="007C2CC0" w:rsidRPr="005F19C7">
        <w:t>chlorophyll</w:t>
      </w:r>
      <w:r w:rsidR="007C2CC0">
        <w:t>-</w:t>
      </w:r>
      <w:r w:rsidRPr="005F19C7">
        <w:t xml:space="preserve">a, declines in DO, and a high prevalence of HAB species and toxins across most SFB </w:t>
      </w:r>
      <w:proofErr w:type="spellStart"/>
      <w:r w:rsidRPr="005F19C7">
        <w:t>subembayments</w:t>
      </w:r>
      <w:proofErr w:type="spellEnd"/>
      <w:r w:rsidR="00B747E5">
        <w:t>,</w:t>
      </w:r>
      <w:r>
        <w:t xml:space="preserve"> and </w:t>
      </w:r>
      <w:r w:rsidR="00B747E5">
        <w:t>(</w:t>
      </w:r>
      <w:r>
        <w:t>2) strong linkage of increasing chlorophyll-a to declining DO and HAB abundance. Statistical approaches were used to define thresholds in chlorophyll-a relate</w:t>
      </w:r>
      <w:r w:rsidR="00E81C1F">
        <w:t>d</w:t>
      </w:r>
      <w:r>
        <w:t xml:space="preserve"> to increased risks of HABs and low DO.</w:t>
      </w:r>
      <w:r w:rsidR="00D72900">
        <w:t xml:space="preserve"> </w:t>
      </w:r>
      <w:r w:rsidR="005E1E84">
        <w:t xml:space="preserve">In development of the </w:t>
      </w:r>
      <w:r w:rsidR="00353722">
        <w:t>AF</w:t>
      </w:r>
      <w:r w:rsidR="005E1E84">
        <w:t xml:space="preserve"> classification scheme, a qualitative summary of uncertainty associated with each indicator was made for the purpose of focusing future research, monitoring, and modeling on </w:t>
      </w:r>
      <w:r w:rsidR="00353722">
        <w:t>AF</w:t>
      </w:r>
      <w:r w:rsidR="005E1E84">
        <w:t xml:space="preserve"> refinement.</w:t>
      </w:r>
      <w:r w:rsidR="00D72900">
        <w:t xml:space="preserve"> </w:t>
      </w:r>
    </w:p>
    <w:p w:rsidR="0087597C" w:rsidRDefault="0087597C">
      <w:pPr>
        <w:rPr>
          <w:rFonts w:asciiTheme="minorHAnsi" w:hAnsiTheme="minorHAnsi"/>
        </w:rPr>
      </w:pPr>
      <w:r>
        <w:rPr>
          <w:rFonts w:asciiTheme="minorHAnsi" w:hAnsiTheme="minorHAnsi"/>
        </w:rPr>
        <w:br w:type="page"/>
      </w:r>
    </w:p>
    <w:p w:rsidR="00262A44" w:rsidRDefault="001B56A2">
      <w:pPr>
        <w:pStyle w:val="Heading2"/>
      </w:pPr>
      <w:bookmarkStart w:id="84" w:name="_Toc433370077"/>
      <w:r>
        <w:lastRenderedPageBreak/>
        <w:t xml:space="preserve">Vision for Near-Term Use of </w:t>
      </w:r>
      <w:r w:rsidR="00353722">
        <w:t>AF</w:t>
      </w:r>
      <w:bookmarkEnd w:id="84"/>
    </w:p>
    <w:p w:rsidR="001B56A2" w:rsidRDefault="001B56A2">
      <w:r w:rsidRPr="00E224FC">
        <w:t xml:space="preserve">The nutrient </w:t>
      </w:r>
      <w:r w:rsidR="00353722">
        <w:t>AF</w:t>
      </w:r>
      <w:r w:rsidRPr="00E224FC">
        <w:t xml:space="preserve"> is intended to provide a decision framework for quantifying </w:t>
      </w:r>
      <w:r w:rsidRPr="00E224FC">
        <w:rPr>
          <w:rFonts w:cs="Calibri"/>
        </w:rPr>
        <w:t xml:space="preserve">the </w:t>
      </w:r>
      <w:r w:rsidRPr="00E224FC">
        <w:t xml:space="preserve">extent to which SFB is </w:t>
      </w:r>
      <w:r w:rsidRPr="00E224FC">
        <w:rPr>
          <w:rFonts w:cs="Calibri"/>
        </w:rPr>
        <w:t>supporting</w:t>
      </w:r>
      <w:r w:rsidRPr="00E224FC">
        <w:t xml:space="preserve"> beneficial uses with respect to nutrients. </w:t>
      </w:r>
      <w:r w:rsidR="00872FC3">
        <w:t xml:space="preserve">This </w:t>
      </w:r>
      <w:r w:rsidR="00353722">
        <w:t>AF</w:t>
      </w:r>
      <w:r w:rsidR="00872FC3">
        <w:t xml:space="preserve"> is comprised of three important elements: </w:t>
      </w:r>
      <w:r w:rsidR="007C2CC0">
        <w:t>(</w:t>
      </w:r>
      <w:r w:rsidR="00872FC3">
        <w:t xml:space="preserve">1) a set of conceptual models that defines what a problem would look like in SFB, if it occurred, </w:t>
      </w:r>
      <w:r w:rsidR="007C2CC0">
        <w:t>(</w:t>
      </w:r>
      <w:r w:rsidR="00872FC3">
        <w:t xml:space="preserve">2) a set of core principles supporting the </w:t>
      </w:r>
      <w:r w:rsidR="00353722">
        <w:t>AF</w:t>
      </w:r>
      <w:r w:rsidR="00872FC3">
        <w:t xml:space="preserve">, and </w:t>
      </w:r>
      <w:r w:rsidR="007C2CC0">
        <w:t>(</w:t>
      </w:r>
      <w:r w:rsidR="00872FC3">
        <w:t xml:space="preserve">3) classification tables. The </w:t>
      </w:r>
      <w:r w:rsidR="00353722">
        <w:t>AF</w:t>
      </w:r>
      <w:r w:rsidR="00872FC3">
        <w:t xml:space="preserve"> </w:t>
      </w:r>
      <w:r w:rsidRPr="00E224FC">
        <w:t>supports</w:t>
      </w:r>
      <w:r>
        <w:t xml:space="preserve"> and is supported through</w:t>
      </w:r>
      <w:r w:rsidRPr="00E224FC">
        <w:t xml:space="preserve"> the other major elements through: </w:t>
      </w:r>
    </w:p>
    <w:p w:rsidR="004733B6" w:rsidRPr="00E224FC" w:rsidRDefault="004733B6" w:rsidP="0065032F">
      <w:pPr>
        <w:spacing w:line="276" w:lineRule="auto"/>
        <w:rPr>
          <w:rFonts w:asciiTheme="minorHAnsi" w:hAnsiTheme="minorHAnsi"/>
        </w:rPr>
      </w:pPr>
    </w:p>
    <w:p w:rsidR="001B56A2" w:rsidRPr="006549B3" w:rsidRDefault="001B56A2" w:rsidP="0065032F">
      <w:pPr>
        <w:numPr>
          <w:ilvl w:val="0"/>
          <w:numId w:val="7"/>
        </w:numPr>
        <w:autoSpaceDE w:val="0"/>
        <w:autoSpaceDN w:val="0"/>
        <w:adjustRightInd w:val="0"/>
        <w:spacing w:line="276" w:lineRule="auto"/>
      </w:pPr>
      <w:r w:rsidRPr="006549B3">
        <w:t>Defining monitoring requirements (the core indicators, spatial and temporal frequency of sampling) needed to support routine assessments of SFB</w:t>
      </w:r>
    </w:p>
    <w:p w:rsidR="001B56A2" w:rsidRPr="006549B3" w:rsidRDefault="001B56A2" w:rsidP="0065032F">
      <w:pPr>
        <w:numPr>
          <w:ilvl w:val="0"/>
          <w:numId w:val="7"/>
        </w:numPr>
        <w:spacing w:line="276" w:lineRule="auto"/>
      </w:pPr>
      <w:r w:rsidRPr="006549B3">
        <w:t>Modeling to identify a set of management endpoints that should constitute the output of SFB water quality models and improve mechanistic understanding of the linkage of nutrients to adverse outcomes in SFB</w:t>
      </w:r>
    </w:p>
    <w:p w:rsidR="001B56A2" w:rsidRPr="006549B3" w:rsidRDefault="00872FC3" w:rsidP="0065032F">
      <w:pPr>
        <w:numPr>
          <w:ilvl w:val="0"/>
          <w:numId w:val="7"/>
        </w:numPr>
        <w:spacing w:line="276" w:lineRule="auto"/>
      </w:pPr>
      <w:r w:rsidRPr="006549B3">
        <w:t xml:space="preserve">Informing science by identifying </w:t>
      </w:r>
      <w:r w:rsidR="001B56A2" w:rsidRPr="006549B3">
        <w:t xml:space="preserve">analyses needed to further refine the </w:t>
      </w:r>
      <w:r w:rsidR="00353722">
        <w:t>AF</w:t>
      </w:r>
      <w:r w:rsidRPr="006549B3">
        <w:t xml:space="preserve"> and highlighting areas in which monitoring, modeling and core synthesis should be improved</w:t>
      </w:r>
    </w:p>
    <w:p w:rsidR="001B56A2" w:rsidRDefault="001B56A2">
      <w:pPr>
        <w:rPr>
          <w:rFonts w:asciiTheme="minorHAnsi" w:hAnsiTheme="minorHAnsi"/>
        </w:rPr>
      </w:pPr>
    </w:p>
    <w:p w:rsidR="00826F22" w:rsidRDefault="00872FC3">
      <w:r>
        <w:t xml:space="preserve">Given this philosophy, we feel that it is important to provide a statement of the appropriate use of the </w:t>
      </w:r>
      <w:r w:rsidR="00353722">
        <w:t>AF</w:t>
      </w:r>
      <w:r>
        <w:t xml:space="preserve">, </w:t>
      </w:r>
      <w:r w:rsidR="00826F22">
        <w:t>given existing uncertainties</w:t>
      </w:r>
      <w:r>
        <w:t xml:space="preserve">. </w:t>
      </w:r>
    </w:p>
    <w:p w:rsidR="00872FC3" w:rsidRDefault="00872FC3"/>
    <w:p w:rsidR="00826F22" w:rsidRDefault="00872FC3">
      <w:r>
        <w:t xml:space="preserve">The conceptual models and </w:t>
      </w:r>
      <w:r w:rsidR="00353722">
        <w:t>AF</w:t>
      </w:r>
      <w:r>
        <w:t xml:space="preserve"> c</w:t>
      </w:r>
      <w:r w:rsidR="00826F22" w:rsidRPr="00872FC3">
        <w:t>ore principles provid</w:t>
      </w:r>
      <w:r>
        <w:t xml:space="preserve">e a sound scientific foundation for informing modeling and monitoring. Through early interactions with the stakeholder community, these are the components of the </w:t>
      </w:r>
      <w:r w:rsidR="00353722">
        <w:t>AF</w:t>
      </w:r>
      <w:r>
        <w:t xml:space="preserve"> that appear to have the greatest consensus and the least “uncertainty.” </w:t>
      </w:r>
    </w:p>
    <w:p w:rsidR="00872FC3" w:rsidRDefault="00872FC3"/>
    <w:p w:rsidR="007C2CC0" w:rsidRDefault="00872FC3">
      <w:r>
        <w:t xml:space="preserve">The classification scheme is a critical element of the </w:t>
      </w:r>
      <w:r w:rsidR="00353722">
        <w:t>AF</w:t>
      </w:r>
      <w:r>
        <w:t xml:space="preserve">, because it represents a </w:t>
      </w:r>
      <w:r w:rsidR="003F5B58">
        <w:t xml:space="preserve">quantitative and </w:t>
      </w:r>
      <w:r>
        <w:t xml:space="preserve">transparent mechanism through which SFB data are interpreted to </w:t>
      </w:r>
      <w:r w:rsidR="003F5B58">
        <w:t>assess</w:t>
      </w:r>
      <w:r>
        <w:t xml:space="preserve">, ultimately, </w:t>
      </w:r>
      <w:r w:rsidR="003F5B58">
        <w:t xml:space="preserve">nutrient-related beneficial use support. Given its importance, </w:t>
      </w:r>
      <w:r w:rsidR="003F5B58" w:rsidRPr="00E224FC">
        <w:rPr>
          <w:u w:val="single"/>
        </w:rPr>
        <w:t xml:space="preserve">the authors of this document fully acknowledge the uncertainty in the </w:t>
      </w:r>
      <w:r w:rsidR="00353722">
        <w:rPr>
          <w:u w:val="single"/>
        </w:rPr>
        <w:t>AF</w:t>
      </w:r>
      <w:r w:rsidR="003F5B58" w:rsidRPr="00E224FC">
        <w:rPr>
          <w:u w:val="single"/>
        </w:rPr>
        <w:t xml:space="preserve"> classification scheme and need for refinement, through multiple iterations of basic resea</w:t>
      </w:r>
      <w:r w:rsidR="003F5B58">
        <w:rPr>
          <w:u w:val="single"/>
        </w:rPr>
        <w:t>rch, monitoring, and modeling.</w:t>
      </w:r>
      <w:r w:rsidR="00D72900" w:rsidRPr="0065032F">
        <w:t xml:space="preserve"> </w:t>
      </w:r>
    </w:p>
    <w:p w:rsidR="007C2CC0" w:rsidRDefault="007C2CC0"/>
    <w:p w:rsidR="003F5B58" w:rsidRPr="003F5B58" w:rsidRDefault="003F5B58">
      <w:r>
        <w:t xml:space="preserve">We suggest that the near-term use of the </w:t>
      </w:r>
      <w:r w:rsidR="00353722">
        <w:t>AF</w:t>
      </w:r>
      <w:r>
        <w:t xml:space="preserve"> classification system be focused on a scientific “test drive” </w:t>
      </w:r>
      <w:r w:rsidR="007C2CC0">
        <w:t>that seeks to understand</w:t>
      </w:r>
      <w:r>
        <w:t xml:space="preserve"> how to collectively use and improve efficiencies for assessment, monitoring and modeling. This “test drive” should also consider whether or how to combine indicator results into multiple lines of evidence, particularly for communication to the public.</w:t>
      </w:r>
      <w:r w:rsidR="00D72900">
        <w:t xml:space="preserve"> </w:t>
      </w:r>
      <w:r w:rsidR="00A91486">
        <w:t xml:space="preserve">Finally, this test drive should be conducted in tandem with research, monitoring and modeling to refine the </w:t>
      </w:r>
      <w:r w:rsidR="00353722">
        <w:t>AF</w:t>
      </w:r>
      <w:r w:rsidR="00A91486">
        <w:t xml:space="preserve">. </w:t>
      </w:r>
    </w:p>
    <w:p w:rsidR="0087597C" w:rsidRDefault="0087597C">
      <w:pPr>
        <w:rPr>
          <w:rFonts w:asciiTheme="minorHAnsi" w:hAnsiTheme="minorHAnsi"/>
        </w:rPr>
      </w:pPr>
      <w:r>
        <w:rPr>
          <w:rFonts w:asciiTheme="minorHAnsi" w:hAnsiTheme="minorHAnsi"/>
        </w:rPr>
        <w:br w:type="page"/>
      </w:r>
    </w:p>
    <w:p w:rsidR="00826F22" w:rsidRDefault="003F5B58">
      <w:pPr>
        <w:pStyle w:val="Heading2"/>
      </w:pPr>
      <w:bookmarkStart w:id="85" w:name="_Toc433370078"/>
      <w:r>
        <w:lastRenderedPageBreak/>
        <w:t xml:space="preserve">Recommendations for Refinement of the </w:t>
      </w:r>
      <w:r w:rsidR="00353722">
        <w:t>AF</w:t>
      </w:r>
      <w:bookmarkEnd w:id="85"/>
      <w:r>
        <w:t xml:space="preserve"> </w:t>
      </w:r>
    </w:p>
    <w:p w:rsidR="00012955" w:rsidRDefault="00012955">
      <w:r w:rsidRPr="00E224FC">
        <w:t xml:space="preserve">From this initial </w:t>
      </w:r>
      <w:r w:rsidR="003F5B58">
        <w:t>work, a</w:t>
      </w:r>
      <w:r w:rsidRPr="00E224FC">
        <w:t xml:space="preserve"> number of recommendations emerge for refining and potentially expanding the </w:t>
      </w:r>
      <w:r w:rsidR="00353722">
        <w:t>AF</w:t>
      </w:r>
      <w:r w:rsidR="0087597C">
        <w:t xml:space="preserve">. </w:t>
      </w:r>
      <w:r w:rsidR="007C2CC0">
        <w:t xml:space="preserve">Please </w:t>
      </w:r>
      <w:r w:rsidR="0087597C">
        <w:t>note that these recommendations have not been prioritized</w:t>
      </w:r>
      <w:r w:rsidR="007C2CC0">
        <w:t>, and that e</w:t>
      </w:r>
      <w:r w:rsidR="0087597C">
        <w:t xml:space="preserve">arly discussions to incorporate these needs </w:t>
      </w:r>
      <w:r w:rsidR="0087597C" w:rsidRPr="0065032F">
        <w:t>into the SFB Nutrient Management Science Plan have already begun.</w:t>
      </w:r>
      <w:r w:rsidR="0087597C">
        <w:t xml:space="preserve"> </w:t>
      </w:r>
    </w:p>
    <w:p w:rsidR="0087597C" w:rsidRPr="006549B3" w:rsidRDefault="0087597C"/>
    <w:p w:rsidR="0087597C" w:rsidRPr="006549B3" w:rsidRDefault="0087597C" w:rsidP="0065032F">
      <w:pPr>
        <w:pStyle w:val="ListParagraph"/>
        <w:numPr>
          <w:ilvl w:val="0"/>
          <w:numId w:val="31"/>
        </w:numPr>
      </w:pPr>
      <w:r w:rsidRPr="006549B3">
        <w:rPr>
          <w:b/>
        </w:rPr>
        <w:t>Improve scientific basis for nutrient-related segmentation of SFB.</w:t>
      </w:r>
      <w:r w:rsidRPr="006549B3">
        <w:t xml:space="preserve"> Our recommendation that the preliminary segmentation be based on </w:t>
      </w:r>
      <w:proofErr w:type="spellStart"/>
      <w:r w:rsidRPr="006549B3">
        <w:t>Jassby</w:t>
      </w:r>
      <w:proofErr w:type="spellEnd"/>
      <w:r w:rsidRPr="006549B3">
        <w:t xml:space="preserve"> et al. (1997) is a departure from the existing </w:t>
      </w:r>
      <w:proofErr w:type="spellStart"/>
      <w:r w:rsidR="00353722">
        <w:t>subembayments</w:t>
      </w:r>
      <w:proofErr w:type="spellEnd"/>
      <w:r w:rsidRPr="006549B3">
        <w:t xml:space="preserve"> used by the SF</w:t>
      </w:r>
      <w:r w:rsidR="007C2CC0">
        <w:t>B</w:t>
      </w:r>
      <w:r w:rsidRPr="006549B3">
        <w:t xml:space="preserve"> Water Board for assessments and permit-related activities. We strongly recommend reanalysis of existing data to be repeated using the </w:t>
      </w:r>
      <w:proofErr w:type="spellStart"/>
      <w:r w:rsidRPr="006549B3">
        <w:t>Jassby</w:t>
      </w:r>
      <w:proofErr w:type="spellEnd"/>
      <w:r w:rsidRPr="006549B3">
        <w:t xml:space="preserve"> et al. (1997) methodology, using newly available and relevant ecological data, to finalize this segmentation scheme. </w:t>
      </w:r>
    </w:p>
    <w:p w:rsidR="00D67DD0" w:rsidRPr="006549B3" w:rsidRDefault="00D67DD0">
      <w:pPr>
        <w:pStyle w:val="ListParagraph"/>
      </w:pPr>
    </w:p>
    <w:p w:rsidR="0087597C" w:rsidRPr="006549B3" w:rsidRDefault="0087597C" w:rsidP="0065032F">
      <w:pPr>
        <w:pStyle w:val="ListParagraph"/>
        <w:numPr>
          <w:ilvl w:val="0"/>
          <w:numId w:val="31"/>
        </w:numPr>
      </w:pPr>
      <w:r w:rsidRPr="006549B3">
        <w:rPr>
          <w:b/>
        </w:rPr>
        <w:t xml:space="preserve">Include diked </w:t>
      </w:r>
      <w:proofErr w:type="spellStart"/>
      <w:r w:rsidRPr="006549B3">
        <w:rPr>
          <w:b/>
        </w:rPr>
        <w:t>baylands</w:t>
      </w:r>
      <w:proofErr w:type="spellEnd"/>
      <w:r w:rsidRPr="006549B3">
        <w:rPr>
          <w:b/>
        </w:rPr>
        <w:t xml:space="preserve">, restored salt ponds and tidal sloughs in future iterations of this </w:t>
      </w:r>
      <w:r w:rsidR="00353722">
        <w:rPr>
          <w:b/>
        </w:rPr>
        <w:t>AF</w:t>
      </w:r>
      <w:r w:rsidRPr="006549B3">
        <w:rPr>
          <w:b/>
        </w:rPr>
        <w:t>.</w:t>
      </w:r>
      <w:r w:rsidRPr="006549B3">
        <w:t xml:space="preserve"> Deepwater and shallow </w:t>
      </w:r>
      <w:proofErr w:type="spellStart"/>
      <w:r w:rsidRPr="006549B3">
        <w:t>subtidal</w:t>
      </w:r>
      <w:proofErr w:type="spellEnd"/>
      <w:r w:rsidRPr="006549B3">
        <w:t xml:space="preserve"> habitats are the focus of this </w:t>
      </w:r>
      <w:r w:rsidR="00353722">
        <w:t>AF</w:t>
      </w:r>
      <w:r w:rsidRPr="006549B3">
        <w:t xml:space="preserve">; diked </w:t>
      </w:r>
      <w:proofErr w:type="spellStart"/>
      <w:r w:rsidRPr="006549B3">
        <w:t>baylands</w:t>
      </w:r>
      <w:proofErr w:type="spellEnd"/>
      <w:r w:rsidRPr="006549B3">
        <w:t>, restored salt ponds, and tidal sloughs are excluded in this first phase of work.</w:t>
      </w:r>
      <w:r w:rsidR="00D72900" w:rsidRPr="006549B3">
        <w:t xml:space="preserve"> </w:t>
      </w:r>
      <w:r w:rsidRPr="006549B3">
        <w:t xml:space="preserve">We believe that these shallow water margin habitats are critical components of the SFB ecosystem and should be include in future iterations of the </w:t>
      </w:r>
      <w:r w:rsidR="00353722">
        <w:t>AF</w:t>
      </w:r>
      <w:r w:rsidRPr="006549B3">
        <w:t xml:space="preserve">. </w:t>
      </w:r>
    </w:p>
    <w:p w:rsidR="00D67DD0" w:rsidRPr="006549B3" w:rsidRDefault="00D67DD0">
      <w:pPr>
        <w:pStyle w:val="ListParagraph"/>
      </w:pPr>
    </w:p>
    <w:p w:rsidR="00D918E8" w:rsidRPr="006549B3" w:rsidRDefault="0087597C" w:rsidP="0065032F">
      <w:pPr>
        <w:pStyle w:val="ListParagraph"/>
        <w:numPr>
          <w:ilvl w:val="0"/>
          <w:numId w:val="31"/>
        </w:numPr>
      </w:pPr>
      <w:r w:rsidRPr="006549B3">
        <w:rPr>
          <w:b/>
        </w:rPr>
        <w:t xml:space="preserve">Include </w:t>
      </w:r>
      <w:r w:rsidR="00D67DD0" w:rsidRPr="006549B3">
        <w:rPr>
          <w:b/>
        </w:rPr>
        <w:t xml:space="preserve">dissolved oxygen classification and recommendations for monitoring in future iterations of the </w:t>
      </w:r>
      <w:r w:rsidR="00353722">
        <w:rPr>
          <w:b/>
        </w:rPr>
        <w:t>AF</w:t>
      </w:r>
      <w:r w:rsidR="00D67DD0" w:rsidRPr="006549B3">
        <w:rPr>
          <w:b/>
        </w:rPr>
        <w:t>.</w:t>
      </w:r>
      <w:r w:rsidR="00D67DD0" w:rsidRPr="006549B3">
        <w:t xml:space="preserve"> Current recommendations for </w:t>
      </w:r>
      <w:r w:rsidR="00353722">
        <w:t>AF</w:t>
      </w:r>
      <w:r w:rsidR="00D67DD0" w:rsidRPr="006549B3">
        <w:t xml:space="preserve"> focus on indicators of phytoplankton. We recommend science and synthesis to accomplish the following: </w:t>
      </w:r>
    </w:p>
    <w:p w:rsidR="00D918E8" w:rsidRPr="006549B3" w:rsidRDefault="00D918E8">
      <w:pPr>
        <w:pStyle w:val="ListParagraph"/>
      </w:pPr>
    </w:p>
    <w:p w:rsidR="00D918E8" w:rsidRPr="006549B3" w:rsidRDefault="00D918E8">
      <w:pPr>
        <w:pStyle w:val="ListParagraph"/>
        <w:numPr>
          <w:ilvl w:val="1"/>
          <w:numId w:val="24"/>
        </w:numPr>
      </w:pPr>
      <w:r w:rsidRPr="006549B3">
        <w:t>I</w:t>
      </w:r>
      <w:r w:rsidR="00D67DD0" w:rsidRPr="006549B3">
        <w:t xml:space="preserve">mprove understanding of what species, representative of different beneficial uses, are the most sensitive to low DO and what are the temporal and spatial scales of their use of SFB </w:t>
      </w:r>
      <w:proofErr w:type="spellStart"/>
      <w:r w:rsidR="00D67DD0" w:rsidRPr="006549B3">
        <w:t>subembayments</w:t>
      </w:r>
      <w:proofErr w:type="spellEnd"/>
      <w:r w:rsidR="00D67DD0" w:rsidRPr="006549B3">
        <w:t xml:space="preserve"> as habitat</w:t>
      </w:r>
    </w:p>
    <w:p w:rsidR="00D918E8" w:rsidRPr="006549B3" w:rsidRDefault="00D918E8">
      <w:pPr>
        <w:pStyle w:val="ListParagraph"/>
        <w:numPr>
          <w:ilvl w:val="1"/>
          <w:numId w:val="24"/>
        </w:numPr>
      </w:pPr>
      <w:r w:rsidRPr="006549B3">
        <w:t>I</w:t>
      </w:r>
      <w:r w:rsidR="00D67DD0" w:rsidRPr="006549B3">
        <w:t>dentify DO criteria representing acute and chronic tolerances to low exposure, and individual and population scales</w:t>
      </w:r>
    </w:p>
    <w:p w:rsidR="00D918E8" w:rsidRPr="006549B3" w:rsidRDefault="00D918E8">
      <w:pPr>
        <w:pStyle w:val="ListParagraph"/>
        <w:numPr>
          <w:ilvl w:val="1"/>
          <w:numId w:val="24"/>
        </w:numPr>
      </w:pPr>
      <w:r w:rsidRPr="006549B3">
        <w:t>I</w:t>
      </w:r>
      <w:r w:rsidR="00D67DD0" w:rsidRPr="006549B3">
        <w:t xml:space="preserve">mprove characterization of the </w:t>
      </w:r>
      <w:proofErr w:type="spellStart"/>
      <w:r w:rsidR="00D67DD0" w:rsidRPr="006549B3">
        <w:t>diel</w:t>
      </w:r>
      <w:proofErr w:type="spellEnd"/>
      <w:r w:rsidR="00D67DD0" w:rsidRPr="006549B3">
        <w:t xml:space="preserve"> variability of DO at key points within the deep water and shallow margin habitat of each </w:t>
      </w:r>
      <w:proofErr w:type="spellStart"/>
      <w:r w:rsidR="00D67DD0" w:rsidRPr="006549B3">
        <w:t>subembayment</w:t>
      </w:r>
      <w:proofErr w:type="spellEnd"/>
      <w:r w:rsidR="00D67DD0" w:rsidRPr="006549B3">
        <w:t xml:space="preserve"> in order to better characterize support of species and habitats</w:t>
      </w:r>
    </w:p>
    <w:p w:rsidR="0087597C" w:rsidRPr="006549B3" w:rsidRDefault="00D918E8">
      <w:pPr>
        <w:pStyle w:val="ListParagraph"/>
        <w:numPr>
          <w:ilvl w:val="1"/>
          <w:numId w:val="24"/>
        </w:numPr>
      </w:pPr>
      <w:r w:rsidRPr="006549B3">
        <w:t>I</w:t>
      </w:r>
      <w:r w:rsidR="00D67DD0" w:rsidRPr="006549B3">
        <w:t>mprove mechanistic understanding of the physical and biological factors influencing DO within and between the deep channel and shallow water margin habitat</w:t>
      </w:r>
    </w:p>
    <w:p w:rsidR="0087597C" w:rsidRPr="006549B3" w:rsidRDefault="0087597C">
      <w:pPr>
        <w:pStyle w:val="ListParagraph"/>
        <w:tabs>
          <w:tab w:val="num" w:pos="720"/>
          <w:tab w:val="num" w:pos="1440"/>
        </w:tabs>
      </w:pPr>
    </w:p>
    <w:p w:rsidR="00D67DD0" w:rsidRPr="006549B3" w:rsidRDefault="00D67DD0" w:rsidP="0065032F">
      <w:pPr>
        <w:pStyle w:val="ListParagraph"/>
        <w:numPr>
          <w:ilvl w:val="0"/>
          <w:numId w:val="31"/>
        </w:numPr>
        <w:rPr>
          <w:b/>
        </w:rPr>
      </w:pPr>
      <w:r w:rsidRPr="006549B3">
        <w:rPr>
          <w:b/>
        </w:rPr>
        <w:t xml:space="preserve">Optimize spatial and temporal sampling of </w:t>
      </w:r>
      <w:r w:rsidR="00353722">
        <w:rPr>
          <w:b/>
        </w:rPr>
        <w:t>AF</w:t>
      </w:r>
      <w:r w:rsidRPr="006549B3">
        <w:rPr>
          <w:b/>
        </w:rPr>
        <w:t xml:space="preserve"> indicators to best align quality of the information produced, while balancing costs, logistics, and power to detect trends. </w:t>
      </w:r>
      <w:r w:rsidR="00867D06" w:rsidRPr="006549B3">
        <w:t>Dissolved oxygen, phytoplankton biomass, productivity and phytoplankton composition are all extremely variable</w:t>
      </w:r>
      <w:r w:rsidR="007C2CC0">
        <w:t xml:space="preserve"> across</w:t>
      </w:r>
      <w:r w:rsidR="00867D06" w:rsidRPr="006549B3">
        <w:t xml:space="preserve"> both time and space. The temporal and spatial elements of the </w:t>
      </w:r>
      <w:r w:rsidR="00353722">
        <w:t>AF</w:t>
      </w:r>
      <w:r w:rsidR="00867D06" w:rsidRPr="006549B3">
        <w:t xml:space="preserve"> and the monitoring program must be aligned and optimized to capture this variability in a manner that is also cost-effective. </w:t>
      </w:r>
      <w:r w:rsidR="00B91827">
        <w:t xml:space="preserve">This could be done by conducting an intensive field observation program coupled </w:t>
      </w:r>
      <w:r w:rsidR="00CB4398">
        <w:t>interpolated with hydrodynamic</w:t>
      </w:r>
      <w:r w:rsidR="00B91827">
        <w:t xml:space="preserve"> model simulations, then conducting power analyses to understand how</w:t>
      </w:r>
      <w:r w:rsidR="00CB4398">
        <w:t xml:space="preserve"> to best capture variability, given real constraints in available resources. </w:t>
      </w:r>
      <w:r w:rsidR="00B91827">
        <w:t xml:space="preserve"> </w:t>
      </w:r>
      <w:r w:rsidR="00CB4398">
        <w:t>Another approach is to invite subject matter experts to provide perspective about how this was done in systems of similar size and complexity (e.g. Chesapeake Bay).</w:t>
      </w:r>
    </w:p>
    <w:p w:rsidR="00867D06" w:rsidRPr="006549B3" w:rsidRDefault="00867D06">
      <w:pPr>
        <w:pStyle w:val="ListParagraph"/>
        <w:rPr>
          <w:b/>
        </w:rPr>
      </w:pPr>
    </w:p>
    <w:p w:rsidR="00D918E8" w:rsidRPr="006549B3" w:rsidRDefault="00867D06" w:rsidP="0065032F">
      <w:pPr>
        <w:pStyle w:val="ListParagraph"/>
        <w:numPr>
          <w:ilvl w:val="0"/>
          <w:numId w:val="31"/>
        </w:numPr>
      </w:pPr>
      <w:r w:rsidRPr="006549B3">
        <w:rPr>
          <w:b/>
        </w:rPr>
        <w:t>Reduce sources of uncertainty in chlorophyll-a</w:t>
      </w:r>
      <w:r w:rsidR="00D918E8" w:rsidRPr="006549B3">
        <w:rPr>
          <w:b/>
        </w:rPr>
        <w:t xml:space="preserve">, HAB abundance and toxin </w:t>
      </w:r>
      <w:r w:rsidRPr="006549B3">
        <w:rPr>
          <w:b/>
        </w:rPr>
        <w:t xml:space="preserve">classification. </w:t>
      </w:r>
      <w:r w:rsidRPr="006549B3">
        <w:t xml:space="preserve">Three major recommendations are given to reduce uncertainty in the chlorophyll-a classification. These include: </w:t>
      </w:r>
    </w:p>
    <w:p w:rsidR="00D918E8" w:rsidRPr="006549B3" w:rsidRDefault="00D918E8">
      <w:pPr>
        <w:pStyle w:val="ListParagraph"/>
      </w:pPr>
    </w:p>
    <w:p w:rsidR="00D918E8" w:rsidRPr="006549B3" w:rsidRDefault="00D918E8">
      <w:pPr>
        <w:pStyle w:val="ListParagraph"/>
        <w:numPr>
          <w:ilvl w:val="1"/>
          <w:numId w:val="24"/>
        </w:numPr>
      </w:pPr>
      <w:r w:rsidRPr="006549B3">
        <w:t>B</w:t>
      </w:r>
      <w:r w:rsidR="00867D06" w:rsidRPr="006549B3">
        <w:t xml:space="preserve">etter characterization of </w:t>
      </w:r>
      <w:r w:rsidR="00825ABC">
        <w:t xml:space="preserve">the </w:t>
      </w:r>
      <w:r w:rsidR="00867D06" w:rsidRPr="006549B3">
        <w:t>significance</w:t>
      </w:r>
      <w:r w:rsidR="00825ABC">
        <w:t xml:space="preserve"> of</w:t>
      </w:r>
      <w:r w:rsidR="00867D06" w:rsidRPr="006549B3">
        <w:t xml:space="preserve"> the ecological and human risk of HABs in SFB through more intensive monitoring</w:t>
      </w:r>
      <w:r w:rsidR="00825ABC">
        <w:t xml:space="preserve"> of</w:t>
      </w:r>
      <w:r w:rsidR="00867D06" w:rsidRPr="006549B3">
        <w:t xml:space="preserve"> </w:t>
      </w:r>
      <w:proofErr w:type="spellStart"/>
      <w:r w:rsidR="00867D06" w:rsidRPr="006549B3">
        <w:t>subembayments</w:t>
      </w:r>
      <w:proofErr w:type="spellEnd"/>
      <w:r w:rsidR="00867D06" w:rsidRPr="006549B3">
        <w:t xml:space="preserve"> </w:t>
      </w:r>
    </w:p>
    <w:p w:rsidR="00D918E8" w:rsidRPr="006549B3" w:rsidRDefault="00D918E8">
      <w:pPr>
        <w:pStyle w:val="ListParagraph"/>
        <w:numPr>
          <w:ilvl w:val="1"/>
          <w:numId w:val="24"/>
        </w:numPr>
      </w:pPr>
      <w:r w:rsidRPr="006549B3">
        <w:t>C</w:t>
      </w:r>
      <w:r w:rsidR="00867D06" w:rsidRPr="006549B3">
        <w:t>o-location of chlorophyll-a, particulate, shellfish and SPATT monitoring to improve linkage of chlorophyll-a to HAB toxin concentrations</w:t>
      </w:r>
      <w:r w:rsidR="00825ABC">
        <w:t>,</w:t>
      </w:r>
      <w:r w:rsidR="00867D06" w:rsidRPr="006549B3">
        <w:t xml:space="preserve"> </w:t>
      </w:r>
      <w:r w:rsidR="00A91486" w:rsidRPr="006549B3">
        <w:t xml:space="preserve">rather than cell counts </w:t>
      </w:r>
      <w:r w:rsidR="00867D06" w:rsidRPr="006549B3">
        <w:t>as the foundation for the risk paradigm</w:t>
      </w:r>
    </w:p>
    <w:p w:rsidR="00825ABC" w:rsidRDefault="00D918E8">
      <w:pPr>
        <w:numPr>
          <w:ilvl w:val="1"/>
          <w:numId w:val="24"/>
        </w:numPr>
      </w:pPr>
      <w:r w:rsidRPr="006549B3">
        <w:t>Expan</w:t>
      </w:r>
      <w:r w:rsidR="00825ABC">
        <w:t>sion of</w:t>
      </w:r>
      <w:r w:rsidRPr="006549B3">
        <w:t xml:space="preserve"> SPATT samplers to include other toxins, particularly PSTs</w:t>
      </w:r>
    </w:p>
    <w:p w:rsidR="00D918E8" w:rsidRPr="006549B3" w:rsidRDefault="00825ABC">
      <w:pPr>
        <w:numPr>
          <w:ilvl w:val="1"/>
          <w:numId w:val="24"/>
        </w:numPr>
      </w:pPr>
      <w:r>
        <w:t>A</w:t>
      </w:r>
      <w:r w:rsidR="00867D06" w:rsidRPr="006549B3">
        <w:t xml:space="preserve"> work element to better validate SPATT toxin data relative to particulate or mussel toxin tissues</w:t>
      </w:r>
      <w:r>
        <w:t>:</w:t>
      </w:r>
      <w:r w:rsidR="00867D06" w:rsidRPr="006549B3">
        <w:t xml:space="preserve"> </w:t>
      </w:r>
      <w:r w:rsidR="00D918E8" w:rsidRPr="006549B3">
        <w:t>While this has historically been difficult, precedence exists (Lane et al. 2010)</w:t>
      </w:r>
      <w:r>
        <w:t xml:space="preserve">, and because </w:t>
      </w:r>
      <w:r w:rsidR="00D918E8" w:rsidRPr="006549B3">
        <w:t>SPATT were originally designed for lipophilic toxins (Mackenzie et al. 2004)</w:t>
      </w:r>
      <w:r>
        <w:t>,</w:t>
      </w:r>
      <w:r w:rsidR="00D918E8" w:rsidRPr="006549B3">
        <w:t xml:space="preserve"> an obvious next step would also be to analyze SPATT </w:t>
      </w:r>
      <w:r w:rsidR="00995549">
        <w:t xml:space="preserve">samplers </w:t>
      </w:r>
      <w:r w:rsidR="00D918E8" w:rsidRPr="006549B3">
        <w:t xml:space="preserve">for </w:t>
      </w:r>
      <w:proofErr w:type="spellStart"/>
      <w:r w:rsidR="00D918E8" w:rsidRPr="006549B3">
        <w:t>okadaic</w:t>
      </w:r>
      <w:proofErr w:type="spellEnd"/>
      <w:r w:rsidR="00D918E8" w:rsidRPr="006549B3">
        <w:t xml:space="preserve"> acid, </w:t>
      </w:r>
      <w:proofErr w:type="spellStart"/>
      <w:r w:rsidR="00D918E8" w:rsidRPr="006549B3">
        <w:t>dinophysistoxins</w:t>
      </w:r>
      <w:proofErr w:type="spellEnd"/>
      <w:r w:rsidR="00D918E8" w:rsidRPr="006549B3">
        <w:t xml:space="preserve">, and </w:t>
      </w:r>
      <w:proofErr w:type="spellStart"/>
      <w:r w:rsidR="00D918E8" w:rsidRPr="006549B3">
        <w:t>yessotoxins</w:t>
      </w:r>
      <w:proofErr w:type="spellEnd"/>
      <w:r w:rsidR="00D918E8" w:rsidRPr="006549B3">
        <w:t xml:space="preserve">. </w:t>
      </w:r>
    </w:p>
    <w:p w:rsidR="00D918E8" w:rsidRPr="006549B3" w:rsidRDefault="00D918E8">
      <w:pPr>
        <w:pStyle w:val="ListParagraph"/>
        <w:numPr>
          <w:ilvl w:val="1"/>
          <w:numId w:val="24"/>
        </w:numPr>
      </w:pPr>
      <w:r w:rsidRPr="006549B3">
        <w:t>A</w:t>
      </w:r>
      <w:r w:rsidR="00867D06" w:rsidRPr="006549B3">
        <w:t>ssembl</w:t>
      </w:r>
      <w:r w:rsidR="00995549">
        <w:t>y of</w:t>
      </w:r>
      <w:r w:rsidR="00867D06" w:rsidRPr="006549B3">
        <w:t xml:space="preserve"> a scientific workgroup to </w:t>
      </w:r>
      <w:r w:rsidRPr="006549B3">
        <w:t>synthesize scientific understanding</w:t>
      </w:r>
      <w:r w:rsidR="00867D06" w:rsidRPr="006549B3">
        <w:t xml:space="preserve"> of chronic effects of HAB toxins on SFB food webs and human health</w:t>
      </w:r>
    </w:p>
    <w:p w:rsidR="00867D06" w:rsidRPr="006549B3" w:rsidRDefault="00995549">
      <w:pPr>
        <w:pStyle w:val="ListParagraph"/>
        <w:numPr>
          <w:ilvl w:val="1"/>
          <w:numId w:val="24"/>
        </w:numPr>
      </w:pPr>
      <w:r>
        <w:t>M</w:t>
      </w:r>
      <w:r w:rsidR="00D918E8" w:rsidRPr="006549B3">
        <w:t>onitoring</w:t>
      </w:r>
      <w:r>
        <w:t xml:space="preserve"> improvements</w:t>
      </w:r>
      <w:r w:rsidR="00D918E8" w:rsidRPr="006549B3">
        <w:t xml:space="preserve"> through </w:t>
      </w:r>
      <w:r w:rsidR="00867D06" w:rsidRPr="006549B3">
        <w:t xml:space="preserve">better spatial coverage and temporal coverage of data to link chlorophyll-a to DO, focused specifically on South SFB, coupled with improved understanding of DO expectations for shallow water margins, tidal sloughs and intertidal wetland habitat (see </w:t>
      </w:r>
      <w:r>
        <w:t>R</w:t>
      </w:r>
      <w:r w:rsidR="00867D06" w:rsidRPr="006549B3">
        <w:t xml:space="preserve">ecommendation </w:t>
      </w:r>
      <w:r>
        <w:t>C</w:t>
      </w:r>
      <w:r w:rsidR="00867D06" w:rsidRPr="006549B3">
        <w:t xml:space="preserve"> above). </w:t>
      </w:r>
    </w:p>
    <w:p w:rsidR="00867D06" w:rsidRPr="006549B3" w:rsidRDefault="00867D06">
      <w:pPr>
        <w:ind w:left="720"/>
        <w:rPr>
          <w:b/>
        </w:rPr>
      </w:pPr>
    </w:p>
    <w:p w:rsidR="00012955" w:rsidRPr="0065032F" w:rsidRDefault="00D918E8" w:rsidP="0065032F">
      <w:pPr>
        <w:numPr>
          <w:ilvl w:val="0"/>
          <w:numId w:val="31"/>
        </w:numPr>
        <w:rPr>
          <w:rFonts w:asciiTheme="minorHAnsi" w:hAnsiTheme="minorHAnsi"/>
        </w:rPr>
      </w:pPr>
      <w:r w:rsidRPr="006549B3">
        <w:rPr>
          <w:b/>
        </w:rPr>
        <w:t>Link HABs more specifically to nutrients.</w:t>
      </w:r>
      <w:r w:rsidRPr="006549B3">
        <w:t xml:space="preserve"> </w:t>
      </w:r>
      <w:r w:rsidR="00012955" w:rsidRPr="006549B3">
        <w:t xml:space="preserve">Although deliberately excluded from this analysis, sufficient data exist to develop more complex multidimensional statistical models for harmful algal species and toxins (e.g. </w:t>
      </w:r>
      <w:proofErr w:type="spellStart"/>
      <w:r w:rsidR="00012955" w:rsidRPr="006549B3">
        <w:t>Kudela</w:t>
      </w:r>
      <w:proofErr w:type="spellEnd"/>
      <w:r w:rsidR="00012955" w:rsidRPr="006549B3">
        <w:t xml:space="preserve"> 2012) or to apply existing estuarine and coastal models to SFB (e.g. Lane et al. 20</w:t>
      </w:r>
      <w:r w:rsidR="005C693F">
        <w:t>10</w:t>
      </w:r>
      <w:r w:rsidR="00012955" w:rsidRPr="006549B3">
        <w:t>; Anderson et al. 2009, 2</w:t>
      </w:r>
      <w:r w:rsidR="005C693F">
        <w:t>010</w:t>
      </w:r>
      <w:r w:rsidR="00012955" w:rsidRPr="006549B3">
        <w:t>). This would also more directly link condition to nutrients.</w:t>
      </w:r>
    </w:p>
    <w:p w:rsidR="0065032F" w:rsidRDefault="0065032F" w:rsidP="0065032F">
      <w:pPr>
        <w:rPr>
          <w:rFonts w:asciiTheme="minorHAnsi" w:hAnsiTheme="minorHAnsi"/>
        </w:rPr>
      </w:pPr>
    </w:p>
    <w:p w:rsidR="0065032F" w:rsidRPr="0065032F" w:rsidRDefault="00B91827" w:rsidP="00BA2477">
      <w:pPr>
        <w:pStyle w:val="ListParagraph"/>
        <w:numPr>
          <w:ilvl w:val="0"/>
          <w:numId w:val="20"/>
        </w:numPr>
      </w:pPr>
      <w:r w:rsidRPr="00B91827">
        <w:rPr>
          <w:b/>
        </w:rPr>
        <w:t>Fund a Nutrient Monitoring Program.</w:t>
      </w:r>
      <w:r>
        <w:t xml:space="preserve"> Since 1969, a USGS research program has supported water</w:t>
      </w:r>
      <w:r w:rsidRPr="00B91827">
        <w:rPr>
          <w:rFonts w:ascii="Cambria Math" w:hAnsi="Cambria Math" w:cs="Cambria Math"/>
        </w:rPr>
        <w:t>‐</w:t>
      </w:r>
      <w:r>
        <w:t>quality sampling in SFB.  This USGS program collects monthly samples between the South Bay and the lower Sacramento River to measure salinity, temperature, turbidity, suspended sediments, nutrients, dissolved oxygen and chlorophyll a.  The USGS data, along with sampling conducted by the Interagency Ecological Program, provide coverage for the entire San Francisco Bay –Delta system. The San Francisco Bay Regional Monitoring Program (RMP) has no independent nutrient</w:t>
      </w:r>
      <w:r w:rsidRPr="00B91827">
        <w:rPr>
          <w:rFonts w:ascii="Cambria Math" w:hAnsi="Cambria Math" w:cs="Cambria Math"/>
        </w:rPr>
        <w:t>‐</w:t>
      </w:r>
      <w:r>
        <w:t>related monitoring program, but instead contributes approximately 20% of the USGS data collection cost. Thus, there is currently an urgent need to lay the groundwork for a locally</w:t>
      </w:r>
      <w:r w:rsidRPr="00B91827">
        <w:rPr>
          <w:rFonts w:ascii="Cambria Math" w:hAnsi="Cambria Math" w:cs="Cambria Math"/>
        </w:rPr>
        <w:t>‐</w:t>
      </w:r>
      <w:r>
        <w:t>supported, long</w:t>
      </w:r>
      <w:r w:rsidRPr="00B91827">
        <w:rPr>
          <w:rFonts w:ascii="Cambria Math" w:hAnsi="Cambria Math" w:cs="Cambria Math"/>
        </w:rPr>
        <w:t>‐</w:t>
      </w:r>
      <w:r>
        <w:t>term monitoring program to provide information that is most needed to support nutrient</w:t>
      </w:r>
      <w:r w:rsidRPr="00B91827">
        <w:rPr>
          <w:rFonts w:ascii="Cambria Math" w:hAnsi="Cambria Math" w:cs="Cambria Math"/>
        </w:rPr>
        <w:t>‐</w:t>
      </w:r>
      <w:r>
        <w:t>related management decisions in the Bay.  </w:t>
      </w:r>
    </w:p>
    <w:p w:rsidR="0058375E" w:rsidRPr="0065032F" w:rsidRDefault="0058375E">
      <w:r w:rsidRPr="0065032F">
        <w:br w:type="page"/>
      </w:r>
    </w:p>
    <w:p w:rsidR="00012955" w:rsidRPr="00E224FC" w:rsidRDefault="00012955">
      <w:pPr>
        <w:pStyle w:val="Heading1"/>
      </w:pPr>
      <w:bookmarkStart w:id="86" w:name="_Toc433370079"/>
      <w:r w:rsidRPr="00E224FC">
        <w:lastRenderedPageBreak/>
        <w:t>Literature Cited</w:t>
      </w:r>
      <w:bookmarkEnd w:id="86"/>
    </w:p>
    <w:p w:rsidR="009C1712" w:rsidRPr="00A56BA8" w:rsidRDefault="009C1712">
      <w:r w:rsidRPr="00E224FC">
        <w:t xml:space="preserve">Andersen, </w:t>
      </w:r>
      <w:proofErr w:type="spellStart"/>
      <w:r w:rsidRPr="00E224FC">
        <w:t>Jesper</w:t>
      </w:r>
      <w:proofErr w:type="spellEnd"/>
      <w:r w:rsidRPr="00E224FC">
        <w:t xml:space="preserve"> H., Philip Axe, </w:t>
      </w:r>
      <w:proofErr w:type="spellStart"/>
      <w:r w:rsidRPr="00E224FC">
        <w:t>Hermanni</w:t>
      </w:r>
      <w:proofErr w:type="spellEnd"/>
      <w:r w:rsidRPr="00E224FC">
        <w:t xml:space="preserve"> Backer, Jacob </w:t>
      </w:r>
      <w:proofErr w:type="spellStart"/>
      <w:r w:rsidRPr="00E224FC">
        <w:t>Carstensen</w:t>
      </w:r>
      <w:proofErr w:type="spellEnd"/>
      <w:r w:rsidRPr="00E224FC">
        <w:t xml:space="preserve">, Ulrich </w:t>
      </w:r>
      <w:proofErr w:type="spellStart"/>
      <w:r w:rsidRPr="00E224FC">
        <w:t>Claussen</w:t>
      </w:r>
      <w:proofErr w:type="spellEnd"/>
      <w:r w:rsidRPr="00E224FC">
        <w:t xml:space="preserve">, </w:t>
      </w:r>
      <w:proofErr w:type="spellStart"/>
      <w:r w:rsidRPr="00E224FC">
        <w:t>Vivi</w:t>
      </w:r>
      <w:proofErr w:type="spellEnd"/>
      <w:r w:rsidRPr="00E224FC">
        <w:t xml:space="preserve"> Fleming-</w:t>
      </w:r>
      <w:proofErr w:type="spellStart"/>
      <w:r w:rsidRPr="00E224FC">
        <w:t>Lehtinen</w:t>
      </w:r>
      <w:proofErr w:type="spellEnd"/>
      <w:r w:rsidRPr="00E224FC">
        <w:t xml:space="preserve">, Marko </w:t>
      </w:r>
      <w:proofErr w:type="spellStart"/>
      <w:r w:rsidRPr="00E224FC">
        <w:t>Järvinen</w:t>
      </w:r>
      <w:proofErr w:type="spellEnd"/>
      <w:r w:rsidRPr="00E224FC">
        <w:t xml:space="preserve"> et al.</w:t>
      </w:r>
      <w:r w:rsidR="00B80903">
        <w:t>, 2011.</w:t>
      </w:r>
      <w:r w:rsidRPr="00E224FC">
        <w:t xml:space="preserve"> "Getting the measure of eutrophication in the Baltic Sea: towards improved assessment principles and methods." Biogeochemistry 106, no. 2 (2011): 137-156.</w:t>
      </w:r>
    </w:p>
    <w:p w:rsidR="00E9027B" w:rsidRPr="00E224FC" w:rsidRDefault="00E9027B"/>
    <w:p w:rsidR="009C1712" w:rsidRPr="00A56BA8" w:rsidRDefault="009C1712">
      <w:r w:rsidRPr="00E224FC">
        <w:t xml:space="preserve">Anderson, Donald M., Joann M. Burkholder, William P. </w:t>
      </w:r>
      <w:proofErr w:type="spellStart"/>
      <w:r w:rsidRPr="00E224FC">
        <w:t>Cochlan</w:t>
      </w:r>
      <w:proofErr w:type="spellEnd"/>
      <w:r w:rsidRPr="00E224FC">
        <w:t xml:space="preserve">, Patricia M. </w:t>
      </w:r>
      <w:proofErr w:type="spellStart"/>
      <w:r w:rsidRPr="00E224FC">
        <w:t>Glibert</w:t>
      </w:r>
      <w:proofErr w:type="spellEnd"/>
      <w:r w:rsidRPr="00E224FC">
        <w:t xml:space="preserve">, Christopher J. </w:t>
      </w:r>
      <w:proofErr w:type="spellStart"/>
      <w:r w:rsidRPr="00E224FC">
        <w:t>Gobler</w:t>
      </w:r>
      <w:proofErr w:type="spellEnd"/>
      <w:r w:rsidRPr="00E224FC">
        <w:t xml:space="preserve">, Cynthia A. </w:t>
      </w:r>
      <w:proofErr w:type="spellStart"/>
      <w:r w:rsidRPr="00E224FC">
        <w:t>Heil</w:t>
      </w:r>
      <w:proofErr w:type="spellEnd"/>
      <w:r w:rsidRPr="00E224FC">
        <w:t xml:space="preserve">, Raphael M. </w:t>
      </w:r>
      <w:proofErr w:type="spellStart"/>
      <w:r w:rsidRPr="00E224FC">
        <w:t>Kudela</w:t>
      </w:r>
      <w:proofErr w:type="spellEnd"/>
      <w:r w:rsidRPr="00E224FC">
        <w:t xml:space="preserve"> et al.</w:t>
      </w:r>
      <w:r w:rsidR="00B80903">
        <w:t>, 2008.</w:t>
      </w:r>
      <w:r w:rsidRPr="00E224FC">
        <w:t xml:space="preserve"> "Harmful algal blooms and eutrophication: examining linkages from selected coastal regions of the United States." Harmful Algae 8, no. 1 (2008): 39-53.</w:t>
      </w:r>
    </w:p>
    <w:p w:rsidR="00E9027B" w:rsidRPr="00E224FC" w:rsidRDefault="00E9027B"/>
    <w:p w:rsidR="00CB2AF3" w:rsidRDefault="009C1712">
      <w:r w:rsidRPr="00E224FC">
        <w:t xml:space="preserve"> </w:t>
      </w:r>
      <w:proofErr w:type="gramStart"/>
      <w:r w:rsidRPr="00E224FC">
        <w:t xml:space="preserve">Anderson, Clarissa R., David A. Siegel, Raphael M. </w:t>
      </w:r>
      <w:proofErr w:type="spellStart"/>
      <w:r w:rsidRPr="00E224FC">
        <w:t>Kudela</w:t>
      </w:r>
      <w:proofErr w:type="spellEnd"/>
      <w:r w:rsidRPr="00E224FC">
        <w:t>, and Mark A. Brzezinski.</w:t>
      </w:r>
      <w:r w:rsidR="00B80903">
        <w:t>, 2009.</w:t>
      </w:r>
      <w:proofErr w:type="gramEnd"/>
      <w:r w:rsidRPr="00E224FC">
        <w:t xml:space="preserve"> "Empirical models of toxigenic</w:t>
      </w:r>
      <w:r w:rsidR="002B10F7">
        <w:t xml:space="preserve"> </w:t>
      </w:r>
      <w:r w:rsidRPr="00E224FC">
        <w:t>Pseudo-</w:t>
      </w:r>
      <w:proofErr w:type="spellStart"/>
      <w:r w:rsidRPr="00E224FC">
        <w:t>nitzschia</w:t>
      </w:r>
      <w:proofErr w:type="spellEnd"/>
      <w:r w:rsidR="002B10F7">
        <w:t xml:space="preserve"> </w:t>
      </w:r>
      <w:r w:rsidRPr="00E224FC">
        <w:t>blooms: Potential use as a remote detection tool in the Santa Barbara Channel." Harmful Algae 8, no. 3 (2009): 478-492.</w:t>
      </w:r>
    </w:p>
    <w:p w:rsidR="002F5862" w:rsidRDefault="002F5862"/>
    <w:p w:rsidR="004733B6" w:rsidRDefault="00EA141A">
      <w:proofErr w:type="gramStart"/>
      <w:r w:rsidRPr="00EA141A">
        <w:t xml:space="preserve">Bailey, H., Curran, C., </w:t>
      </w:r>
      <w:proofErr w:type="spellStart"/>
      <w:r w:rsidRPr="00EA141A">
        <w:t>Poucher</w:t>
      </w:r>
      <w:proofErr w:type="spellEnd"/>
      <w:r w:rsidRPr="00EA141A">
        <w:t xml:space="preserve">, S., </w:t>
      </w:r>
      <w:proofErr w:type="spellStart"/>
      <w:r w:rsidRPr="00EA141A">
        <w:t>Sutula</w:t>
      </w:r>
      <w:proofErr w:type="spellEnd"/>
      <w:r w:rsidRPr="00EA141A">
        <w:t>, M., 2014.</w:t>
      </w:r>
      <w:proofErr w:type="gramEnd"/>
      <w:r w:rsidRPr="00EA141A">
        <w:t xml:space="preserve"> Science supporting dissolved oxygen objectives for Suisun Marsh. Southern California Coastal Water Research Project Authority Technical Report 830. </w:t>
      </w:r>
      <w:proofErr w:type="gramStart"/>
      <w:r w:rsidRPr="00EA141A">
        <w:t>www.sccwrp.org. 33 p.</w:t>
      </w:r>
      <w:proofErr w:type="gramEnd"/>
    </w:p>
    <w:p w:rsidR="00EA141A" w:rsidRDefault="00EA141A"/>
    <w:p w:rsidR="00E9027B" w:rsidRPr="00E224FC" w:rsidRDefault="00E9027B">
      <w:r w:rsidRPr="00E224FC">
        <w:t>Barber, R. T., and M. R. Hiscock.</w:t>
      </w:r>
      <w:r w:rsidR="00B80903">
        <w:t>, 2006.</w:t>
      </w:r>
      <w:r w:rsidRPr="00E224FC">
        <w:t xml:space="preserve"> "A rising tide lifts all phytoplankton: Growth response of other phytoplankton taxa in diatom</w:t>
      </w:r>
      <w:r w:rsidRPr="00E224FC">
        <w:rPr>
          <w:rFonts w:ascii="Cambria Math" w:hAnsi="Cambria Math" w:cs="Cambria Math"/>
        </w:rPr>
        <w:t>‐</w:t>
      </w:r>
      <w:r w:rsidRPr="00E224FC">
        <w:t xml:space="preserve">dominated blooms." </w:t>
      </w:r>
      <w:proofErr w:type="gramStart"/>
      <w:r w:rsidRPr="00E224FC">
        <w:t>Global Biogeochemical Cycles 20, no. 4 (2006).</w:t>
      </w:r>
      <w:proofErr w:type="gramEnd"/>
    </w:p>
    <w:p w:rsidR="004733B6" w:rsidRDefault="004733B6" w:rsidP="00544A60"/>
    <w:p w:rsidR="005C693F" w:rsidRDefault="0084485B" w:rsidP="0084485B">
      <w:proofErr w:type="spellStart"/>
      <w:proofErr w:type="gramStart"/>
      <w:r w:rsidRPr="005F19C7">
        <w:t>Baustian</w:t>
      </w:r>
      <w:proofErr w:type="spellEnd"/>
      <w:r w:rsidRPr="005F19C7">
        <w:t xml:space="preserve">, M.M. and N.N. </w:t>
      </w:r>
      <w:proofErr w:type="spellStart"/>
      <w:r w:rsidRPr="005F19C7">
        <w:t>Rabalais</w:t>
      </w:r>
      <w:proofErr w:type="spellEnd"/>
      <w:r w:rsidRPr="005F19C7">
        <w:t>.</w:t>
      </w:r>
      <w:r w:rsidR="00B80903">
        <w:t>,</w:t>
      </w:r>
      <w:r w:rsidRPr="005F19C7">
        <w:t xml:space="preserve"> 2009.</w:t>
      </w:r>
      <w:proofErr w:type="gramEnd"/>
      <w:r w:rsidRPr="005F19C7">
        <w:t xml:space="preserve"> Seasonal composition of benthic </w:t>
      </w:r>
      <w:proofErr w:type="spellStart"/>
      <w:r w:rsidRPr="005F19C7">
        <w:t>macroinfauna</w:t>
      </w:r>
      <w:proofErr w:type="spellEnd"/>
      <w:r w:rsidRPr="005F19C7">
        <w:t xml:space="preserve"> exposed to hypoxia in the Northern Gulf of Mexico. Estuaries and Coasts 32:975-983.</w:t>
      </w:r>
    </w:p>
    <w:p w:rsidR="005C693F" w:rsidRDefault="005C693F" w:rsidP="0084485B"/>
    <w:p w:rsidR="00544A60" w:rsidRPr="006F2F2C" w:rsidRDefault="00544A60" w:rsidP="00CF0F3E">
      <w:pPr>
        <w:spacing w:after="120"/>
      </w:pPr>
      <w:proofErr w:type="gramStart"/>
      <w:r w:rsidRPr="006F2F2C">
        <w:t xml:space="preserve">Best, M. </w:t>
      </w:r>
      <w:r>
        <w:t xml:space="preserve">A., </w:t>
      </w:r>
      <w:r w:rsidRPr="006F2F2C">
        <w:t xml:space="preserve">Wither, </w:t>
      </w:r>
      <w:r>
        <w:t xml:space="preserve">A. W., </w:t>
      </w:r>
      <w:r w:rsidRPr="006F2F2C">
        <w:t>Coates</w:t>
      </w:r>
      <w:r>
        <w:t>, S., 2007.</w:t>
      </w:r>
      <w:proofErr w:type="gramEnd"/>
      <w:r w:rsidRPr="006F2F2C">
        <w:t xml:space="preserve"> </w:t>
      </w:r>
      <w:proofErr w:type="gramStart"/>
      <w:r w:rsidRPr="006F2F2C">
        <w:t xml:space="preserve">Dissolved oxygen as a </w:t>
      </w:r>
      <w:proofErr w:type="spellStart"/>
      <w:r w:rsidRPr="006F2F2C">
        <w:t>ph</w:t>
      </w:r>
      <w:r>
        <w:t>ysico</w:t>
      </w:r>
      <w:proofErr w:type="spellEnd"/>
      <w:r>
        <w:t xml:space="preserve">-chemical </w:t>
      </w:r>
      <w:r w:rsidRPr="006F2F2C">
        <w:t>supporting element in the W</w:t>
      </w:r>
      <w:r>
        <w:t xml:space="preserve">ater Framework Directive, Mar. </w:t>
      </w:r>
      <w:proofErr w:type="spellStart"/>
      <w:r>
        <w:t>Pollut</w:t>
      </w:r>
      <w:proofErr w:type="spellEnd"/>
      <w:r>
        <w:t>.</w:t>
      </w:r>
      <w:proofErr w:type="gramEnd"/>
      <w:r>
        <w:t xml:space="preserve"> Bull. 55,</w:t>
      </w:r>
      <w:r w:rsidRPr="006F2F2C">
        <w:t xml:space="preserve"> 53-64.</w:t>
      </w:r>
    </w:p>
    <w:p w:rsidR="00544A60" w:rsidRDefault="00544A60"/>
    <w:p w:rsidR="004421D9" w:rsidRDefault="004421D9">
      <w:r w:rsidRPr="00E224FC">
        <w:t xml:space="preserve">Borja, A., J. Bald, J. Franco, J. </w:t>
      </w:r>
      <w:proofErr w:type="spellStart"/>
      <w:r w:rsidRPr="00E224FC">
        <w:t>Larreta</w:t>
      </w:r>
      <w:proofErr w:type="spellEnd"/>
      <w:r w:rsidRPr="00E224FC">
        <w:t xml:space="preserve">, I. </w:t>
      </w:r>
      <w:proofErr w:type="spellStart"/>
      <w:r w:rsidRPr="00E224FC">
        <w:t>Muxika</w:t>
      </w:r>
      <w:proofErr w:type="spellEnd"/>
      <w:r w:rsidRPr="00E224FC">
        <w:t xml:space="preserve">, M. Revilla, J. G. Rodriguez, O. </w:t>
      </w:r>
      <w:proofErr w:type="spellStart"/>
      <w:r w:rsidRPr="00E224FC">
        <w:t>Solaun</w:t>
      </w:r>
      <w:proofErr w:type="spellEnd"/>
      <w:r w:rsidRPr="00E224FC">
        <w:t xml:space="preserve">, A. </w:t>
      </w:r>
      <w:proofErr w:type="spellStart"/>
      <w:r w:rsidRPr="00E224FC">
        <w:t>Uriarte</w:t>
      </w:r>
      <w:proofErr w:type="spellEnd"/>
      <w:r w:rsidRPr="00E224FC">
        <w:t>, and V. Valencia</w:t>
      </w:r>
      <w:r w:rsidR="00B80903">
        <w:t xml:space="preserve">., </w:t>
      </w:r>
      <w:r w:rsidRPr="00E224FC">
        <w:t>2009</w:t>
      </w:r>
      <w:r w:rsidR="00B80903">
        <w:t>.</w:t>
      </w:r>
      <w:r w:rsidRPr="00E224FC">
        <w:t xml:space="preserve"> Using multiple ecosystem components, in assessing ecological status in Spanish (Basque Country) Atlantic marine waters, Marine Pollution Bulletin, 59(1-3), 54-64.</w:t>
      </w:r>
    </w:p>
    <w:p w:rsidR="006708A9" w:rsidRDefault="006708A9"/>
    <w:p w:rsidR="006708A9" w:rsidRPr="00E224FC" w:rsidRDefault="006708A9" w:rsidP="006708A9">
      <w:proofErr w:type="gramStart"/>
      <w:r>
        <w:t>Brett, M.T. and D.C. Muller-Navarra.</w:t>
      </w:r>
      <w:r w:rsidR="00B80903">
        <w:t>,</w:t>
      </w:r>
      <w:r>
        <w:t xml:space="preserve"> 1997.</w:t>
      </w:r>
      <w:proofErr w:type="gramEnd"/>
      <w:r>
        <w:t xml:space="preserve"> The role of highly unsaturated fatty acids in aquatic </w:t>
      </w:r>
      <w:proofErr w:type="spellStart"/>
      <w:r>
        <w:t>foodweb</w:t>
      </w:r>
      <w:proofErr w:type="spellEnd"/>
      <w:r>
        <w:t xml:space="preserve"> processes. </w:t>
      </w:r>
      <w:proofErr w:type="gramStart"/>
      <w:r>
        <w:t>Freshwater Biology.</w:t>
      </w:r>
      <w:proofErr w:type="gramEnd"/>
      <w:r>
        <w:t xml:space="preserve"> 38: 483–499</w:t>
      </w:r>
    </w:p>
    <w:p w:rsidR="004733B6" w:rsidRDefault="004733B6"/>
    <w:p w:rsidR="004421D9" w:rsidRPr="00A56BA8" w:rsidRDefault="004421D9">
      <w:proofErr w:type="gramStart"/>
      <w:r w:rsidRPr="00E224FC">
        <w:t>Bricker, S. B., J. G</w:t>
      </w:r>
      <w:r w:rsidR="005C693F">
        <w:t xml:space="preserve">. Ferreira, and T. </w:t>
      </w:r>
      <w:proofErr w:type="spellStart"/>
      <w:r w:rsidR="005C693F">
        <w:t>Simas</w:t>
      </w:r>
      <w:proofErr w:type="spellEnd"/>
      <w:r w:rsidR="00B80903">
        <w:t xml:space="preserve">, </w:t>
      </w:r>
      <w:r w:rsidR="005C693F">
        <w:t>2003.</w:t>
      </w:r>
      <w:proofErr w:type="gramEnd"/>
      <w:r w:rsidR="005C693F">
        <w:t xml:space="preserve"> </w:t>
      </w:r>
      <w:proofErr w:type="gramStart"/>
      <w:r w:rsidRPr="00E224FC">
        <w:t>An integrated methodology for assessment of estuarine trophic status, Ecological Modelling, 169(1), 39-60.</w:t>
      </w:r>
      <w:proofErr w:type="gramEnd"/>
    </w:p>
    <w:p w:rsidR="00E9027B" w:rsidRPr="00E224FC" w:rsidRDefault="00E9027B"/>
    <w:p w:rsidR="004421D9" w:rsidRPr="00E224FC" w:rsidRDefault="004421D9">
      <w:r w:rsidRPr="00E224FC">
        <w:t xml:space="preserve">Bricker, S. B., C. G. Clement, D. E. </w:t>
      </w:r>
      <w:proofErr w:type="spellStart"/>
      <w:r w:rsidRPr="00E224FC">
        <w:t>Pirhalla</w:t>
      </w:r>
      <w:proofErr w:type="spellEnd"/>
      <w:r w:rsidRPr="00E224FC">
        <w:t>, S. P. Orlando, and D. R. G. Farrow</w:t>
      </w:r>
      <w:r w:rsidR="00B80903">
        <w:t>.,</w:t>
      </w:r>
      <w:r w:rsidRPr="00E224FC">
        <w:t xml:space="preserve"> 1999</w:t>
      </w:r>
      <w:r w:rsidR="00B80903">
        <w:t>.</w:t>
      </w:r>
      <w:r w:rsidRPr="00E224FC">
        <w:t xml:space="preserve"> National Estuarine Eutrophication Assessment: Effects of Nutrient Enrichment in the Nation's Estuaries, NOAA, National Ocean Service, </w:t>
      </w:r>
      <w:r w:rsidR="00E9027B" w:rsidRPr="00E224FC">
        <w:t>Spe</w:t>
      </w:r>
      <w:r w:rsidRPr="00E224FC">
        <w:t>c</w:t>
      </w:r>
      <w:r w:rsidR="00E9027B" w:rsidRPr="00E224FC">
        <w:t>i</w:t>
      </w:r>
      <w:r w:rsidRPr="00E224FC">
        <w:t>al Projects Office and National Centers for Coastal Ocean Science, Silver Springs, MD.</w:t>
      </w:r>
    </w:p>
    <w:p w:rsidR="00544A60" w:rsidRDefault="00544A60"/>
    <w:p w:rsidR="004421D9" w:rsidRPr="00A56BA8" w:rsidRDefault="004421D9">
      <w:proofErr w:type="spellStart"/>
      <w:r w:rsidRPr="00E224FC">
        <w:lastRenderedPageBreak/>
        <w:t>Caffrey</w:t>
      </w:r>
      <w:proofErr w:type="spellEnd"/>
      <w:r w:rsidRPr="00E224FC">
        <w:t>, J. M.</w:t>
      </w:r>
      <w:r w:rsidR="00B80903">
        <w:t xml:space="preserve">, </w:t>
      </w:r>
      <w:r w:rsidRPr="00E224FC">
        <w:t xml:space="preserve">2003. </w:t>
      </w:r>
      <w:proofErr w:type="gramStart"/>
      <w:r w:rsidRPr="00E224FC">
        <w:t>"Production, respiration and net ecosystem metabolism in US estuaries."</w:t>
      </w:r>
      <w:proofErr w:type="gramEnd"/>
      <w:r w:rsidRPr="00E224FC">
        <w:t xml:space="preserve"> Environmental Monitoring and Assessment 81(1-3): 207-219.</w:t>
      </w:r>
    </w:p>
    <w:p w:rsidR="00E9027B" w:rsidRPr="00E224FC" w:rsidRDefault="00E9027B"/>
    <w:p w:rsidR="004421D9" w:rsidRPr="00A56BA8" w:rsidRDefault="00B80903">
      <w:proofErr w:type="spellStart"/>
      <w:r>
        <w:t>Cloern</w:t>
      </w:r>
      <w:proofErr w:type="spellEnd"/>
      <w:r>
        <w:t>, J. E., 1996</w:t>
      </w:r>
      <w:r w:rsidR="004421D9" w:rsidRPr="00E224FC">
        <w:t>. "Phytoplankton bloom dynamics in coastal ecosystems: a review with some general lessons from sustained investigation of San Francisco Bay, California." Reviews of Geophysics 34(2): 127-168.</w:t>
      </w:r>
    </w:p>
    <w:p w:rsidR="000701A1" w:rsidRPr="00E224FC" w:rsidRDefault="000701A1"/>
    <w:p w:rsidR="00E32013" w:rsidRPr="00A56BA8" w:rsidRDefault="00E32013">
      <w:proofErr w:type="spellStart"/>
      <w:proofErr w:type="gramStart"/>
      <w:r w:rsidRPr="00E224FC">
        <w:t>Cloern</w:t>
      </w:r>
      <w:proofErr w:type="spellEnd"/>
      <w:r w:rsidRPr="00E224FC">
        <w:t xml:space="preserve">, J. E. and R. </w:t>
      </w:r>
      <w:proofErr w:type="spellStart"/>
      <w:r w:rsidRPr="00E224FC">
        <w:t>Dufford</w:t>
      </w:r>
      <w:proofErr w:type="spellEnd"/>
      <w:r w:rsidR="00B80903">
        <w:t>.,</w:t>
      </w:r>
      <w:r w:rsidRPr="00E224FC">
        <w:t xml:space="preserve"> 2005.</w:t>
      </w:r>
      <w:proofErr w:type="gramEnd"/>
      <w:r w:rsidRPr="00E224FC">
        <w:t xml:space="preserve"> "Phytoplankton community ecology: principles applied in San Francisco Bay." Marine Ecology Progress Series 285: 11-28.</w:t>
      </w:r>
    </w:p>
    <w:p w:rsidR="000701A1" w:rsidRPr="00E224FC" w:rsidRDefault="000701A1"/>
    <w:p w:rsidR="00E32013" w:rsidRPr="00A56BA8" w:rsidRDefault="00E32013">
      <w:proofErr w:type="spellStart"/>
      <w:proofErr w:type="gramStart"/>
      <w:r w:rsidRPr="00E224FC">
        <w:t>Cloern</w:t>
      </w:r>
      <w:proofErr w:type="spellEnd"/>
      <w:r w:rsidRPr="00E224FC">
        <w:t xml:space="preserve">, J. E. and A. D. </w:t>
      </w:r>
      <w:proofErr w:type="spellStart"/>
      <w:r w:rsidRPr="00E224FC">
        <w:t>Jassby</w:t>
      </w:r>
      <w:proofErr w:type="spellEnd"/>
      <w:r w:rsidR="00B80903">
        <w:t>., 2012</w:t>
      </w:r>
      <w:r w:rsidRPr="00E224FC">
        <w:t>.</w:t>
      </w:r>
      <w:proofErr w:type="gramEnd"/>
      <w:r w:rsidRPr="00E224FC">
        <w:t xml:space="preserve"> </w:t>
      </w:r>
      <w:r w:rsidR="009C1712" w:rsidRPr="00E224FC">
        <w:t>Drivers of change in estuarine</w:t>
      </w:r>
      <w:r w:rsidR="009C1712" w:rsidRPr="005F19C7">
        <w:t xml:space="preserve">-coastal ecosystems: discoveries from four decades of study in San Francisco Bay. </w:t>
      </w:r>
      <w:proofErr w:type="gramStart"/>
      <w:r w:rsidRPr="005F19C7">
        <w:t>Reviews of Geophysics 50.</w:t>
      </w:r>
      <w:proofErr w:type="gramEnd"/>
    </w:p>
    <w:p w:rsidR="000701A1" w:rsidRPr="00E224FC" w:rsidRDefault="000701A1"/>
    <w:p w:rsidR="00E32013" w:rsidRPr="00A56BA8" w:rsidRDefault="00E32013">
      <w:proofErr w:type="spellStart"/>
      <w:proofErr w:type="gramStart"/>
      <w:r w:rsidRPr="00E224FC">
        <w:t>Cloern</w:t>
      </w:r>
      <w:proofErr w:type="spellEnd"/>
      <w:r w:rsidRPr="00E224FC">
        <w:t xml:space="preserve">, J. E., T. S. </w:t>
      </w:r>
      <w:proofErr w:type="spellStart"/>
      <w:r w:rsidRPr="00E224FC">
        <w:t>Schraga</w:t>
      </w:r>
      <w:proofErr w:type="spellEnd"/>
      <w:r w:rsidRPr="00E224FC">
        <w:t>, et al.</w:t>
      </w:r>
      <w:r w:rsidR="00B80903">
        <w:t>, 2005</w:t>
      </w:r>
      <w:r w:rsidRPr="00E224FC">
        <w:t>.</w:t>
      </w:r>
      <w:proofErr w:type="gramEnd"/>
      <w:r w:rsidRPr="00E224FC">
        <w:t xml:space="preserve"> "Heat wave brings an unprecedented red tide to San Francisco Bay." </w:t>
      </w:r>
      <w:proofErr w:type="gramStart"/>
      <w:r w:rsidRPr="00E224FC">
        <w:t>Eos Transactions of the American Geophysical Union 86(7): 66.</w:t>
      </w:r>
      <w:proofErr w:type="gramEnd"/>
    </w:p>
    <w:p w:rsidR="000701A1" w:rsidRPr="00E224FC" w:rsidRDefault="000701A1"/>
    <w:p w:rsidR="00E32013" w:rsidRDefault="00E32013">
      <w:proofErr w:type="spellStart"/>
      <w:proofErr w:type="gramStart"/>
      <w:r w:rsidRPr="00E224FC">
        <w:t>Cloern</w:t>
      </w:r>
      <w:proofErr w:type="spellEnd"/>
      <w:r w:rsidRPr="00E224FC">
        <w:t xml:space="preserve">, J. E., A. D. </w:t>
      </w:r>
      <w:proofErr w:type="spellStart"/>
      <w:r w:rsidRPr="00E224FC">
        <w:t>Jassby</w:t>
      </w:r>
      <w:proofErr w:type="spellEnd"/>
      <w:r w:rsidRPr="00E224FC">
        <w:t>, et al.</w:t>
      </w:r>
      <w:r w:rsidR="00A13733">
        <w:t>, 2007</w:t>
      </w:r>
      <w:r w:rsidRPr="00E224FC">
        <w:t>.</w:t>
      </w:r>
      <w:proofErr w:type="gramEnd"/>
      <w:r w:rsidRPr="00E224FC">
        <w:t xml:space="preserve"> "A cold phase of the East Pacific triggers new phytoplankton blooms in San Francisco Bay." Proceedings of the National Academy of Sciences 104(47): 18561-18565.</w:t>
      </w:r>
    </w:p>
    <w:p w:rsidR="002F5862" w:rsidRDefault="002F5862"/>
    <w:p w:rsidR="000701A1" w:rsidRDefault="00EA141A">
      <w:proofErr w:type="spellStart"/>
      <w:r w:rsidRPr="00EA141A">
        <w:t>Cloern</w:t>
      </w:r>
      <w:proofErr w:type="spellEnd"/>
      <w:r w:rsidRPr="00EA141A">
        <w:t xml:space="preserve">, J. E., Foster, S. Q., </w:t>
      </w:r>
      <w:proofErr w:type="spellStart"/>
      <w:r w:rsidRPr="00EA141A">
        <w:t>Kleckner</w:t>
      </w:r>
      <w:proofErr w:type="spellEnd"/>
      <w:r w:rsidRPr="00EA141A">
        <w:t xml:space="preserve">, A. E., 2014. </w:t>
      </w:r>
      <w:proofErr w:type="gramStart"/>
      <w:r w:rsidRPr="00EA141A">
        <w:t>Phytoplankton primary production in the world’s estuarine-coastal ecosystems.</w:t>
      </w:r>
      <w:proofErr w:type="gramEnd"/>
      <w:r w:rsidRPr="00EA141A">
        <w:t xml:space="preserve"> </w:t>
      </w:r>
      <w:proofErr w:type="spellStart"/>
      <w:proofErr w:type="gramStart"/>
      <w:r w:rsidRPr="00EA141A">
        <w:t>Biogeosciences</w:t>
      </w:r>
      <w:proofErr w:type="spellEnd"/>
      <w:r w:rsidRPr="00EA141A">
        <w:t xml:space="preserve"> 11, 2477–2501.</w:t>
      </w:r>
      <w:proofErr w:type="gramEnd"/>
      <w:r w:rsidRPr="00EA141A">
        <w:t xml:space="preserve"> </w:t>
      </w:r>
      <w:r>
        <w:t>DOI</w:t>
      </w:r>
      <w:r w:rsidRPr="00EA141A">
        <w:t>:</w:t>
      </w:r>
      <w:r>
        <w:t xml:space="preserve"> </w:t>
      </w:r>
      <w:r w:rsidRPr="00EA141A">
        <w:t>10.5194/bg-11-2477-2014</w:t>
      </w:r>
    </w:p>
    <w:p w:rsidR="00EA141A" w:rsidRPr="00E224FC" w:rsidRDefault="00EA141A"/>
    <w:p w:rsidR="002F5862" w:rsidRDefault="00EA141A" w:rsidP="00EA141A">
      <w:proofErr w:type="gramStart"/>
      <w:r>
        <w:t xml:space="preserve">Cole, B. E. and J. E. </w:t>
      </w:r>
      <w:proofErr w:type="spellStart"/>
      <w:r>
        <w:t>Cloern</w:t>
      </w:r>
      <w:proofErr w:type="spellEnd"/>
      <w:r w:rsidR="00A13733">
        <w:t>.,</w:t>
      </w:r>
      <w:r>
        <w:t xml:space="preserve"> 1984.</w:t>
      </w:r>
      <w:proofErr w:type="gramEnd"/>
      <w:r>
        <w:t xml:space="preserve"> </w:t>
      </w:r>
      <w:proofErr w:type="gramStart"/>
      <w:r>
        <w:t>An empirical model for estimating phytoplankton productivity in estuaries.</w:t>
      </w:r>
      <w:proofErr w:type="gramEnd"/>
      <w:r>
        <w:t xml:space="preserve"> Marine Ecology Progress Series 36: 299-305.</w:t>
      </w:r>
    </w:p>
    <w:p w:rsidR="00EA141A" w:rsidRDefault="00EA141A" w:rsidP="00EA141A"/>
    <w:p w:rsidR="00E32013" w:rsidRPr="00A56BA8" w:rsidRDefault="00E32013">
      <w:proofErr w:type="spellStart"/>
      <w:r w:rsidRPr="00E224FC">
        <w:t>Conomos</w:t>
      </w:r>
      <w:proofErr w:type="spellEnd"/>
      <w:r w:rsidRPr="00E224FC">
        <w:t>, T.J., (</w:t>
      </w:r>
      <w:proofErr w:type="gramStart"/>
      <w:r w:rsidRPr="00E224FC">
        <w:t>ed</w:t>
      </w:r>
      <w:proofErr w:type="gramEnd"/>
      <w:r w:rsidRPr="00E224FC">
        <w:t xml:space="preserve">.). 1979. San Francisco Bay: the urbanized estuary. </w:t>
      </w:r>
      <w:proofErr w:type="gramStart"/>
      <w:r w:rsidRPr="00E224FC">
        <w:t>Investigation into the natural history of San Francisco Bay and Delta with reference to the influence of man.</w:t>
      </w:r>
      <w:proofErr w:type="gramEnd"/>
      <w:r w:rsidRPr="00E224FC">
        <w:t xml:space="preserve"> San Francisco, California: Pacific Division of the American Association for the Advancement of Sci</w:t>
      </w:r>
      <w:r w:rsidRPr="005F19C7">
        <w:t xml:space="preserve">ence. </w:t>
      </w:r>
      <w:proofErr w:type="gramStart"/>
      <w:r w:rsidRPr="005F19C7">
        <w:t>493 p.</w:t>
      </w:r>
      <w:proofErr w:type="gramEnd"/>
    </w:p>
    <w:p w:rsidR="000701A1" w:rsidRPr="00E224FC" w:rsidRDefault="000701A1"/>
    <w:p w:rsidR="004421D9" w:rsidRPr="00E224FC" w:rsidRDefault="00E32013">
      <w:proofErr w:type="gramStart"/>
      <w:r w:rsidRPr="00E224FC">
        <w:t>Devlin, M., S. Bricker, and S. Painting</w:t>
      </w:r>
      <w:r w:rsidR="00A13733">
        <w:t>., 2011.</w:t>
      </w:r>
      <w:proofErr w:type="gramEnd"/>
      <w:r w:rsidRPr="00E224FC">
        <w:t xml:space="preserve"> </w:t>
      </w:r>
      <w:proofErr w:type="gramStart"/>
      <w:r w:rsidRPr="00E224FC">
        <w:t>Comparison of five methods for assessing impacts of nutrient enrichment using estuarine case studies, Biogeochemistry, 106(2), 177-205.</w:t>
      </w:r>
      <w:proofErr w:type="gramEnd"/>
    </w:p>
    <w:p w:rsidR="00A535E7" w:rsidRPr="00E224FC" w:rsidRDefault="00A535E7"/>
    <w:p w:rsidR="00940DE2" w:rsidRDefault="00940DE2" w:rsidP="00940DE2">
      <w:proofErr w:type="gramStart"/>
      <w:r>
        <w:t>Diaz, Robert J., and Andrew Solow.</w:t>
      </w:r>
      <w:r w:rsidR="00A13733">
        <w:t>,</w:t>
      </w:r>
      <w:r>
        <w:t xml:space="preserve"> 1999.</w:t>
      </w:r>
      <w:proofErr w:type="gramEnd"/>
      <w:r>
        <w:t xml:space="preserve"> Ecological and Economic Consequences of Hypoxia: Topic 2 Report for the Integrated Assessment on Hypoxia in the Gulf of Mexico. </w:t>
      </w:r>
      <w:proofErr w:type="gramStart"/>
      <w:r>
        <w:t>NOAA Coastal Ocean Program Decision Analysis Series No. 16.</w:t>
      </w:r>
      <w:proofErr w:type="gramEnd"/>
      <w:r>
        <w:t xml:space="preserve"> </w:t>
      </w:r>
      <w:proofErr w:type="gramStart"/>
      <w:r>
        <w:t>NOAA Coastal Ocean Program, Silver Spring, MD.</w:t>
      </w:r>
      <w:proofErr w:type="gramEnd"/>
      <w:r>
        <w:t xml:space="preserve"> </w:t>
      </w:r>
      <w:proofErr w:type="gramStart"/>
      <w:r>
        <w:t>45 pp.</w:t>
      </w:r>
      <w:proofErr w:type="gramEnd"/>
    </w:p>
    <w:p w:rsidR="00940DE2" w:rsidRDefault="00940DE2"/>
    <w:p w:rsidR="00E32013" w:rsidRPr="00A56BA8" w:rsidRDefault="00E32013">
      <w:proofErr w:type="spellStart"/>
      <w:proofErr w:type="gramStart"/>
      <w:r w:rsidRPr="00E224FC">
        <w:t>Dugdale</w:t>
      </w:r>
      <w:proofErr w:type="spellEnd"/>
      <w:r w:rsidRPr="00E224FC">
        <w:t>, R., F. Wilkerson, et al.</w:t>
      </w:r>
      <w:r w:rsidR="00A13733">
        <w:t>, 2012</w:t>
      </w:r>
      <w:r w:rsidRPr="00E224FC">
        <w:t>.</w:t>
      </w:r>
      <w:proofErr w:type="gramEnd"/>
      <w:r w:rsidRPr="00E224FC">
        <w:t xml:space="preserve"> "River flow and ammonium discharge determine spring phytoplankton blooms in an urbanized estuary." </w:t>
      </w:r>
      <w:proofErr w:type="gramStart"/>
      <w:r w:rsidRPr="00E224FC">
        <w:t>Estuarine Coastal and Shelf Science 115: 187-199.</w:t>
      </w:r>
      <w:proofErr w:type="gramEnd"/>
    </w:p>
    <w:p w:rsidR="000701A1" w:rsidRPr="00E224FC" w:rsidRDefault="000701A1"/>
    <w:p w:rsidR="00E32013" w:rsidRDefault="00E32013">
      <w:proofErr w:type="spellStart"/>
      <w:proofErr w:type="gramStart"/>
      <w:r w:rsidRPr="00E224FC">
        <w:t>Dugdale</w:t>
      </w:r>
      <w:proofErr w:type="spellEnd"/>
      <w:r w:rsidRPr="00E224FC">
        <w:t>, R. C., F. P. Wilkerson, et al.</w:t>
      </w:r>
      <w:r w:rsidR="00A13733">
        <w:t>, 2007</w:t>
      </w:r>
      <w:r w:rsidRPr="00E224FC">
        <w:t>.</w:t>
      </w:r>
      <w:proofErr w:type="gramEnd"/>
      <w:r w:rsidRPr="00E224FC">
        <w:t xml:space="preserve"> </w:t>
      </w:r>
      <w:proofErr w:type="gramStart"/>
      <w:r w:rsidRPr="00E224FC">
        <w:t>"The role of ammonium and nitrate in spring bloom development in San Francisco Bay."</w:t>
      </w:r>
      <w:proofErr w:type="gramEnd"/>
      <w:r w:rsidRPr="00E224FC">
        <w:t xml:space="preserve"> </w:t>
      </w:r>
      <w:proofErr w:type="gramStart"/>
      <w:r w:rsidRPr="00E224FC">
        <w:t>Estuarine, Coastal and Shelf Science 73: 17-29.</w:t>
      </w:r>
      <w:proofErr w:type="gramEnd"/>
    </w:p>
    <w:p w:rsidR="00D52FE4" w:rsidRDefault="006D35DE">
      <w:proofErr w:type="spellStart"/>
      <w:r w:rsidRPr="006D35DE">
        <w:lastRenderedPageBreak/>
        <w:t>Eppley</w:t>
      </w:r>
      <w:proofErr w:type="spellEnd"/>
      <w:r w:rsidRPr="006D35DE">
        <w:t>, R. W., Carlucci, A. F., Holm</w:t>
      </w:r>
      <w:r w:rsidRPr="006D35DE">
        <w:rPr>
          <w:rFonts w:ascii="Cambria Math" w:hAnsi="Cambria Math" w:cs="Cambria Math"/>
        </w:rPr>
        <w:t>‐</w:t>
      </w:r>
      <w:r w:rsidRPr="006D35DE">
        <w:t xml:space="preserve">Hansen, O., Kiefer, D., McCarthy, J. J., </w:t>
      </w:r>
      <w:proofErr w:type="spellStart"/>
      <w:r w:rsidRPr="006D35DE">
        <w:t>Venrick</w:t>
      </w:r>
      <w:proofErr w:type="spellEnd"/>
      <w:r w:rsidRPr="006D35DE">
        <w:t xml:space="preserve">, E., Williams, P. M., 1971. Phytoplankton growth and composition in shipboard cultures supplied with nitrate, ammonium, or urea as the nitrogen source. </w:t>
      </w:r>
      <w:proofErr w:type="spellStart"/>
      <w:proofErr w:type="gramStart"/>
      <w:r w:rsidRPr="006D35DE">
        <w:t>Limnol</w:t>
      </w:r>
      <w:proofErr w:type="spellEnd"/>
      <w:r w:rsidRPr="006D35DE">
        <w:t>.</w:t>
      </w:r>
      <w:proofErr w:type="gramEnd"/>
      <w:r w:rsidRPr="006D35DE">
        <w:t xml:space="preserve"> </w:t>
      </w:r>
      <w:proofErr w:type="spellStart"/>
      <w:proofErr w:type="gramStart"/>
      <w:r w:rsidRPr="006D35DE">
        <w:t>Oceanogr</w:t>
      </w:r>
      <w:proofErr w:type="spellEnd"/>
      <w:r w:rsidRPr="006D35DE">
        <w:t>.</w:t>
      </w:r>
      <w:proofErr w:type="gramEnd"/>
      <w:r w:rsidRPr="006D35DE">
        <w:t xml:space="preserve"> 16, 741-751.</w:t>
      </w:r>
    </w:p>
    <w:p w:rsidR="006D35DE" w:rsidRPr="00E224FC" w:rsidRDefault="006D35DE"/>
    <w:p w:rsidR="00122E5D" w:rsidRDefault="00122E5D" w:rsidP="00122E5D">
      <w:r>
        <w:t xml:space="preserve">Ferreira, J.G., J.H. Andersen, A. Borja, S.B. Bricker, J. Camp, M. Cardoso da Silva, E. </w:t>
      </w:r>
      <w:proofErr w:type="spellStart"/>
      <w:r>
        <w:t>Garcés</w:t>
      </w:r>
      <w:proofErr w:type="spellEnd"/>
      <w:r>
        <w:t xml:space="preserve">, A.-S. </w:t>
      </w:r>
      <w:proofErr w:type="spellStart"/>
      <w:r>
        <w:t>Heiskanen</w:t>
      </w:r>
      <w:proofErr w:type="spellEnd"/>
      <w:r>
        <w:t xml:space="preserve">, C. </w:t>
      </w:r>
      <w:proofErr w:type="spellStart"/>
      <w:r>
        <w:t>Humborg</w:t>
      </w:r>
      <w:proofErr w:type="spellEnd"/>
      <w:r>
        <w:t xml:space="preserve">, L. </w:t>
      </w:r>
      <w:proofErr w:type="spellStart"/>
      <w:r>
        <w:t>Ignatiades</w:t>
      </w:r>
      <w:proofErr w:type="spellEnd"/>
      <w:r>
        <w:t xml:space="preserve">, C. Lancelot, A. </w:t>
      </w:r>
      <w:proofErr w:type="spellStart"/>
      <w:r>
        <w:t>Menesguen</w:t>
      </w:r>
      <w:proofErr w:type="spellEnd"/>
      <w:r>
        <w:t xml:space="preserve">, P. </w:t>
      </w:r>
      <w:proofErr w:type="spellStart"/>
      <w:r>
        <w:t>Tett</w:t>
      </w:r>
      <w:proofErr w:type="spellEnd"/>
      <w:r>
        <w:t xml:space="preserve">, N. </w:t>
      </w:r>
      <w:proofErr w:type="spellStart"/>
      <w:r>
        <w:t>Hoepffner</w:t>
      </w:r>
      <w:proofErr w:type="spellEnd"/>
      <w:r>
        <w:t xml:space="preserve">, and U. </w:t>
      </w:r>
      <w:proofErr w:type="spellStart"/>
      <w:r>
        <w:t>Claussen</w:t>
      </w:r>
      <w:proofErr w:type="spellEnd"/>
      <w:r>
        <w:t>.</w:t>
      </w:r>
      <w:r w:rsidR="00A13733">
        <w:t>,</w:t>
      </w:r>
      <w:r>
        <w:t xml:space="preserve"> 2011. Overview of eutrophication indicators to assess environmental status within the European Marine Strategy Framework Directive. </w:t>
      </w:r>
      <w:proofErr w:type="gramStart"/>
      <w:r>
        <w:t>Estuarine, Coastal and Shelf Science 93: 117–131.</w:t>
      </w:r>
      <w:proofErr w:type="gramEnd"/>
    </w:p>
    <w:p w:rsidR="00122E5D" w:rsidRDefault="00122E5D" w:rsidP="00122E5D"/>
    <w:p w:rsidR="00B67B7A" w:rsidRPr="00A56BA8" w:rsidRDefault="00B67B7A">
      <w:proofErr w:type="gramStart"/>
      <w:r w:rsidRPr="00B67B7A">
        <w:t>Galloway AWE, Winder M</w:t>
      </w:r>
      <w:r w:rsidR="00A13733">
        <w:t xml:space="preserve">., </w:t>
      </w:r>
      <w:r w:rsidRPr="00B67B7A">
        <w:t>2015</w:t>
      </w:r>
      <w:r w:rsidR="00A13733">
        <w:t>.</w:t>
      </w:r>
      <w:proofErr w:type="gramEnd"/>
      <w:r w:rsidRPr="00B67B7A">
        <w:t xml:space="preserve"> Partitioning the Relative Importance of Phylogeny and Environmental Conditions on Phytoplankton Fatty Acids. </w:t>
      </w:r>
      <w:proofErr w:type="spellStart"/>
      <w:r w:rsidRPr="00B67B7A">
        <w:t>PLoS</w:t>
      </w:r>
      <w:proofErr w:type="spellEnd"/>
      <w:r w:rsidRPr="00B67B7A">
        <w:t xml:space="preserve"> ONE 10(6): e0130053. </w:t>
      </w:r>
      <w:proofErr w:type="spellStart"/>
      <w:proofErr w:type="gramStart"/>
      <w:r w:rsidRPr="00B67B7A">
        <w:t>doi</w:t>
      </w:r>
      <w:proofErr w:type="spellEnd"/>
      <w:proofErr w:type="gramEnd"/>
      <w:r w:rsidRPr="00B67B7A">
        <w:t>: 10.1371/journal.pone.0130053</w:t>
      </w:r>
    </w:p>
    <w:p w:rsidR="000701A1" w:rsidRDefault="000701A1"/>
    <w:p w:rsidR="00AE6735" w:rsidRPr="00CF0F3E" w:rsidRDefault="00AE6735">
      <w:pPr>
        <w:rPr>
          <w:szCs w:val="24"/>
        </w:rPr>
      </w:pPr>
      <w:proofErr w:type="gramStart"/>
      <w:r w:rsidRPr="00CF0F3E">
        <w:rPr>
          <w:szCs w:val="24"/>
        </w:rPr>
        <w:t>Gallegos, C. L. and P. J. Neale</w:t>
      </w:r>
      <w:r w:rsidR="00A13733">
        <w:rPr>
          <w:szCs w:val="24"/>
        </w:rPr>
        <w:t>., 2015</w:t>
      </w:r>
      <w:r w:rsidRPr="00CF0F3E">
        <w:rPr>
          <w:szCs w:val="24"/>
        </w:rPr>
        <w:t>.</w:t>
      </w:r>
      <w:proofErr w:type="gramEnd"/>
      <w:r w:rsidRPr="00CF0F3E">
        <w:rPr>
          <w:szCs w:val="24"/>
        </w:rPr>
        <w:t xml:space="preserve"> "Long-term variations in primary production in a eutrophic sub-estuary: Contribution of short-term events." </w:t>
      </w:r>
      <w:proofErr w:type="gramStart"/>
      <w:r w:rsidRPr="006D35DE">
        <w:rPr>
          <w:szCs w:val="24"/>
        </w:rPr>
        <w:t xml:space="preserve">Estuarine, Coastal and Shelf Science </w:t>
      </w:r>
      <w:r w:rsidRPr="006D35DE">
        <w:rPr>
          <w:bCs/>
          <w:szCs w:val="24"/>
        </w:rPr>
        <w:t>162</w:t>
      </w:r>
      <w:r w:rsidRPr="006D35DE">
        <w:rPr>
          <w:szCs w:val="24"/>
        </w:rPr>
        <w:t>: 22-34.</w:t>
      </w:r>
      <w:proofErr w:type="gramEnd"/>
    </w:p>
    <w:p w:rsidR="00AE6735" w:rsidRPr="00E224FC" w:rsidRDefault="00AE6735"/>
    <w:p w:rsidR="006F781C" w:rsidRPr="00A56BA8" w:rsidRDefault="006F781C">
      <w:proofErr w:type="spellStart"/>
      <w:r w:rsidRPr="00E224FC">
        <w:t>Glibert</w:t>
      </w:r>
      <w:proofErr w:type="spellEnd"/>
      <w:r w:rsidRPr="00E224FC">
        <w:t>, P. M.</w:t>
      </w:r>
      <w:r w:rsidR="00A13733">
        <w:t>,</w:t>
      </w:r>
      <w:r w:rsidRPr="00E224FC">
        <w:t xml:space="preserve"> 2010. "Long-Term Changes in Nutrient Loading and Stoichiometry and Their Relationships with Changes in the Food Web and Dominant Pelagic Fish Species in the San Francisco Estuary, California." Reviews in Fisheries Science 18(2): 211-232.</w:t>
      </w:r>
    </w:p>
    <w:p w:rsidR="000701A1" w:rsidRPr="00E224FC" w:rsidRDefault="000701A1"/>
    <w:p w:rsidR="006F781C" w:rsidRPr="00A56BA8" w:rsidRDefault="006F781C">
      <w:proofErr w:type="spellStart"/>
      <w:proofErr w:type="gramStart"/>
      <w:r w:rsidRPr="00E224FC">
        <w:t>Glibert</w:t>
      </w:r>
      <w:proofErr w:type="spellEnd"/>
      <w:r w:rsidRPr="00E224FC">
        <w:t xml:space="preserve">, P.M., D.M. Anderson, P. </w:t>
      </w:r>
      <w:proofErr w:type="spellStart"/>
      <w:r w:rsidRPr="00E224FC">
        <w:t>Gentien</w:t>
      </w:r>
      <w:proofErr w:type="spellEnd"/>
      <w:r w:rsidRPr="00E224FC">
        <w:t xml:space="preserve">, E. </w:t>
      </w:r>
      <w:proofErr w:type="spellStart"/>
      <w:r w:rsidRPr="00E224FC">
        <w:t>Graneli</w:t>
      </w:r>
      <w:proofErr w:type="spellEnd"/>
      <w:r w:rsidRPr="00E224FC">
        <w:t xml:space="preserve">, and K.G. </w:t>
      </w:r>
      <w:proofErr w:type="spellStart"/>
      <w:r w:rsidRPr="00E224FC">
        <w:t>Sellner</w:t>
      </w:r>
      <w:proofErr w:type="spellEnd"/>
      <w:r w:rsidRPr="00E224FC">
        <w:t>.</w:t>
      </w:r>
      <w:r w:rsidR="00A13733">
        <w:t>,</w:t>
      </w:r>
      <w:r w:rsidRPr="00E224FC">
        <w:t xml:space="preserve"> 2005.</w:t>
      </w:r>
      <w:proofErr w:type="gramEnd"/>
      <w:r w:rsidRPr="00E224FC">
        <w:t xml:space="preserve"> The global, complex phenomena of harmful algal blooms. Oceanography 18(2):137–147.</w:t>
      </w:r>
    </w:p>
    <w:p w:rsidR="000701A1" w:rsidRPr="00E224FC" w:rsidRDefault="000701A1"/>
    <w:p w:rsidR="004421D9" w:rsidRPr="00A56BA8" w:rsidRDefault="004421D9">
      <w:r w:rsidRPr="00E224FC">
        <w:t xml:space="preserve">Goldstein, T., J. A. K. </w:t>
      </w:r>
      <w:proofErr w:type="spellStart"/>
      <w:r w:rsidRPr="00E224FC">
        <w:t>Mazet</w:t>
      </w:r>
      <w:proofErr w:type="spellEnd"/>
      <w:r w:rsidRPr="00E224FC">
        <w:t xml:space="preserve">, T. S. </w:t>
      </w:r>
      <w:proofErr w:type="spellStart"/>
      <w:r w:rsidRPr="00E224FC">
        <w:t>Zabka</w:t>
      </w:r>
      <w:proofErr w:type="spellEnd"/>
      <w:r w:rsidRPr="00E224FC">
        <w:t xml:space="preserve">, G. Langlois, K. M. </w:t>
      </w:r>
      <w:proofErr w:type="spellStart"/>
      <w:r w:rsidRPr="00E224FC">
        <w:t>Colegrove</w:t>
      </w:r>
      <w:proofErr w:type="spellEnd"/>
      <w:r w:rsidRPr="00E224FC">
        <w:t xml:space="preserve">, M. Silver, S. </w:t>
      </w:r>
      <w:proofErr w:type="spellStart"/>
      <w:r w:rsidRPr="00E224FC">
        <w:t>Bargu</w:t>
      </w:r>
      <w:proofErr w:type="spellEnd"/>
      <w:r w:rsidRPr="00E224FC">
        <w:t xml:space="preserve"> et al.</w:t>
      </w:r>
      <w:r w:rsidR="00A13733">
        <w:t>,</w:t>
      </w:r>
      <w:r w:rsidRPr="00E224FC">
        <w:t xml:space="preserve"> 2008. "Novel symptomatology and changing epidemiology of </w:t>
      </w:r>
      <w:proofErr w:type="spellStart"/>
      <w:r w:rsidRPr="00E224FC">
        <w:t>domoic</w:t>
      </w:r>
      <w:proofErr w:type="spellEnd"/>
      <w:r w:rsidRPr="00E224FC">
        <w:t xml:space="preserve"> acid </w:t>
      </w:r>
      <w:proofErr w:type="spellStart"/>
      <w:r w:rsidRPr="00E224FC">
        <w:t>toxicosis</w:t>
      </w:r>
      <w:proofErr w:type="spellEnd"/>
      <w:r w:rsidRPr="00E224FC">
        <w:t xml:space="preserve"> in California sea lions </w:t>
      </w:r>
      <w:proofErr w:type="spellStart"/>
      <w:r w:rsidRPr="00E224FC">
        <w:t>Zalophus</w:t>
      </w:r>
      <w:proofErr w:type="spellEnd"/>
      <w:r w:rsidRPr="00E224FC">
        <w:t xml:space="preserve"> </w:t>
      </w:r>
      <w:proofErr w:type="spellStart"/>
      <w:r w:rsidRPr="00E224FC">
        <w:t>californianus</w:t>
      </w:r>
      <w:proofErr w:type="spellEnd"/>
      <w:r w:rsidRPr="00E224FC">
        <w:t>: an increasing risk to marine mammal health." Proceedings of the Royal Society B: Biological Sciences 275, no. 1632 2008: 267-276.</w:t>
      </w:r>
    </w:p>
    <w:p w:rsidR="000701A1" w:rsidRPr="00E224FC" w:rsidRDefault="000701A1"/>
    <w:p w:rsidR="002408A2" w:rsidRPr="00E224FC" w:rsidRDefault="002408A2">
      <w:r w:rsidRPr="00E224FC">
        <w:t xml:space="preserve">Harding, L. W., R. A. </w:t>
      </w:r>
      <w:proofErr w:type="spellStart"/>
      <w:r w:rsidRPr="00E224FC">
        <w:t>Batiuk</w:t>
      </w:r>
      <w:proofErr w:type="spellEnd"/>
      <w:r w:rsidRPr="00E224FC">
        <w:t xml:space="preserve">, T. R. Fisher, C. L. Gallegos, T. C. Malone, W. D. Miller, M. R. Mulholland, H. W. </w:t>
      </w:r>
      <w:proofErr w:type="spellStart"/>
      <w:r w:rsidRPr="00E224FC">
        <w:t>Paerl</w:t>
      </w:r>
      <w:proofErr w:type="spellEnd"/>
      <w:r w:rsidRPr="00E224FC">
        <w:t>, E. S. Perry, and P. Tango</w:t>
      </w:r>
      <w:r w:rsidR="00A13733">
        <w:t>.,</w:t>
      </w:r>
      <w:r w:rsidRPr="00E224FC">
        <w:t xml:space="preserve"> 2013. Scientific bases for numerical chlorophyll criteria in Chesapeake Bay. Estuaries and Coasts DOI 10.1007/s12237-013-9656-6</w:t>
      </w:r>
    </w:p>
    <w:p w:rsidR="006D35DE" w:rsidRDefault="006D35DE"/>
    <w:p w:rsidR="004421D9" w:rsidRPr="00A56BA8" w:rsidRDefault="004421D9">
      <w:proofErr w:type="spellStart"/>
      <w:r w:rsidRPr="005F19C7">
        <w:t>Heisler</w:t>
      </w:r>
      <w:proofErr w:type="spellEnd"/>
      <w:r w:rsidRPr="005F19C7">
        <w:t xml:space="preserve">, John, Patricia M. </w:t>
      </w:r>
      <w:proofErr w:type="spellStart"/>
      <w:r w:rsidRPr="005F19C7">
        <w:t>Glibert</w:t>
      </w:r>
      <w:proofErr w:type="spellEnd"/>
      <w:r w:rsidRPr="005F19C7">
        <w:t xml:space="preserve">, JoAnn M. Burkholder, Donald M. Anderson, William </w:t>
      </w:r>
      <w:proofErr w:type="spellStart"/>
      <w:r w:rsidRPr="005F19C7">
        <w:t>Cochlan</w:t>
      </w:r>
      <w:proofErr w:type="spellEnd"/>
      <w:r w:rsidRPr="005F19C7">
        <w:t>, William C. Dennison, Quay Dortch et al.</w:t>
      </w:r>
      <w:r w:rsidR="00A13733">
        <w:t>, 2008.</w:t>
      </w:r>
      <w:r w:rsidRPr="005F19C7">
        <w:t xml:space="preserve"> "Eutrophication and harmful algal blooms: a scientific consensus." Harmful algae 8, no. 1 2008: 3-13.</w:t>
      </w:r>
    </w:p>
    <w:p w:rsidR="000701A1" w:rsidRPr="00E224FC" w:rsidRDefault="000701A1"/>
    <w:p w:rsidR="000701A1" w:rsidRDefault="006D35DE">
      <w:proofErr w:type="spellStart"/>
      <w:r w:rsidRPr="006D35DE">
        <w:t>Hiolski</w:t>
      </w:r>
      <w:proofErr w:type="spellEnd"/>
      <w:r w:rsidRPr="006D35DE">
        <w:t xml:space="preserve"> EM, Kendrick PS, Frame ER, Myers MS, </w:t>
      </w:r>
      <w:proofErr w:type="spellStart"/>
      <w:r w:rsidRPr="006D35DE">
        <w:t>Bammler</w:t>
      </w:r>
      <w:proofErr w:type="spellEnd"/>
      <w:r w:rsidRPr="006D35DE">
        <w:t xml:space="preserve"> TK, Beyer RP, </w:t>
      </w:r>
      <w:proofErr w:type="spellStart"/>
      <w:r w:rsidRPr="006D35DE">
        <w:t>Farin</w:t>
      </w:r>
      <w:proofErr w:type="spellEnd"/>
      <w:r w:rsidRPr="006D35DE">
        <w:t xml:space="preserve"> FM, Wilkerson HW, Smith DR, </w:t>
      </w:r>
      <w:proofErr w:type="spellStart"/>
      <w:r w:rsidRPr="006D35DE">
        <w:t>Marcinek</w:t>
      </w:r>
      <w:proofErr w:type="spellEnd"/>
      <w:r w:rsidRPr="006D35DE">
        <w:t xml:space="preserve"> DJ, Lefebvre KA.,</w:t>
      </w:r>
      <w:r w:rsidR="00A13733">
        <w:t xml:space="preserve"> 2014. </w:t>
      </w:r>
      <w:r w:rsidRPr="006D35DE">
        <w:t xml:space="preserve"> Chronic low-level </w:t>
      </w:r>
      <w:proofErr w:type="spellStart"/>
      <w:r w:rsidRPr="006D35DE">
        <w:t>domoic</w:t>
      </w:r>
      <w:proofErr w:type="spellEnd"/>
      <w:r w:rsidRPr="006D35DE">
        <w:t xml:space="preserve"> acid exposure alters gene transcription and impairs mitochondrial function in the CNS. </w:t>
      </w:r>
      <w:proofErr w:type="spellStart"/>
      <w:r w:rsidRPr="006D35DE">
        <w:t>Aquat</w:t>
      </w:r>
      <w:proofErr w:type="spellEnd"/>
      <w:r w:rsidRPr="006D35DE">
        <w:t xml:space="preserve"> </w:t>
      </w:r>
      <w:proofErr w:type="spellStart"/>
      <w:r w:rsidRPr="006D35DE">
        <w:t>Toxicol</w:t>
      </w:r>
      <w:proofErr w:type="spellEnd"/>
      <w:r w:rsidRPr="006D35DE">
        <w:t>., 2014, 155: 151-159.</w:t>
      </w:r>
    </w:p>
    <w:p w:rsidR="003F4204" w:rsidRDefault="003F4204">
      <w:r>
        <w:br w:type="page"/>
      </w:r>
    </w:p>
    <w:p w:rsidR="00DF6DD2" w:rsidRPr="00E224FC" w:rsidRDefault="00DF6DD2">
      <w:proofErr w:type="gramStart"/>
      <w:r w:rsidRPr="00E224FC">
        <w:lastRenderedPageBreak/>
        <w:t xml:space="preserve">Howard, Meredith D. Armstrong, William P. </w:t>
      </w:r>
      <w:proofErr w:type="spellStart"/>
      <w:r w:rsidRPr="00E224FC">
        <w:t>Cochlan</w:t>
      </w:r>
      <w:proofErr w:type="spellEnd"/>
      <w:r w:rsidRPr="00E224FC">
        <w:t xml:space="preserve">, Nicolas </w:t>
      </w:r>
      <w:proofErr w:type="spellStart"/>
      <w:r w:rsidRPr="00E224FC">
        <w:t>Ladizinsky</w:t>
      </w:r>
      <w:proofErr w:type="spellEnd"/>
      <w:r w:rsidRPr="00E224FC">
        <w:t xml:space="preserve">, and Raphael M. </w:t>
      </w:r>
      <w:proofErr w:type="spellStart"/>
      <w:r w:rsidRPr="00E224FC">
        <w:t>Kudela</w:t>
      </w:r>
      <w:proofErr w:type="spellEnd"/>
      <w:r w:rsidRPr="00E224FC">
        <w:t>.</w:t>
      </w:r>
      <w:r w:rsidR="00A13733">
        <w:t>, 2007.</w:t>
      </w:r>
      <w:proofErr w:type="gramEnd"/>
      <w:r w:rsidR="00A13733">
        <w:t xml:space="preserve"> </w:t>
      </w:r>
      <w:r w:rsidRPr="00E224FC">
        <w:t xml:space="preserve"> </w:t>
      </w:r>
      <w:proofErr w:type="gramStart"/>
      <w:r w:rsidRPr="00E224FC">
        <w:t>"Nitrogenous preference of toxigenic</w:t>
      </w:r>
      <w:r w:rsidR="00AE4353">
        <w:t xml:space="preserve"> </w:t>
      </w:r>
      <w:r w:rsidRPr="00E224FC">
        <w:t>Pseudo-</w:t>
      </w:r>
      <w:proofErr w:type="spellStart"/>
      <w:r w:rsidRPr="00E224FC">
        <w:t>nitzschia</w:t>
      </w:r>
      <w:proofErr w:type="spellEnd"/>
      <w:r w:rsidRPr="00E224FC">
        <w:t xml:space="preserve"> </w:t>
      </w:r>
      <w:proofErr w:type="spellStart"/>
      <w:r w:rsidRPr="00E224FC">
        <w:t>australis</w:t>
      </w:r>
      <w:proofErr w:type="spellEnd"/>
      <w:r w:rsidR="00AE4353">
        <w:t xml:space="preserve"> </w:t>
      </w:r>
      <w:r w:rsidRPr="00E224FC">
        <w:t>(</w:t>
      </w:r>
      <w:proofErr w:type="spellStart"/>
      <w:r w:rsidRPr="00E224FC">
        <w:t>Bacillariophyceae</w:t>
      </w:r>
      <w:proofErr w:type="spellEnd"/>
      <w:r w:rsidRPr="00E224FC">
        <w:t>) from field and laboratory experiments."</w:t>
      </w:r>
      <w:proofErr w:type="gramEnd"/>
      <w:r w:rsidRPr="00E224FC">
        <w:t xml:space="preserve"> Harmful Algae 6, no. 2 (2007): 206-217.</w:t>
      </w:r>
    </w:p>
    <w:p w:rsidR="000701A1" w:rsidRPr="00E224FC" w:rsidRDefault="000701A1"/>
    <w:p w:rsidR="00FA20A2" w:rsidRPr="00E224FC" w:rsidRDefault="00FA20A2">
      <w:proofErr w:type="spellStart"/>
      <w:r w:rsidRPr="00E224FC">
        <w:t>Jassby</w:t>
      </w:r>
      <w:proofErr w:type="spellEnd"/>
      <w:r w:rsidRPr="00E224FC">
        <w:t xml:space="preserve">, A.D., Cole, B.E., </w:t>
      </w:r>
      <w:proofErr w:type="spellStart"/>
      <w:r w:rsidRPr="00E224FC">
        <w:t>Cloern</w:t>
      </w:r>
      <w:proofErr w:type="spellEnd"/>
      <w:r w:rsidRPr="00E224FC">
        <w:t>, J.E., 1997. The design of sampling transects for characterizing water quality in estuaries. Estuarine, Coastal, and Shelf Science</w:t>
      </w:r>
      <w:r w:rsidR="00DF6DD2" w:rsidRPr="00E224FC">
        <w:t xml:space="preserve"> </w:t>
      </w:r>
      <w:r w:rsidRPr="00E224FC">
        <w:t>45, 285–302.</w:t>
      </w:r>
    </w:p>
    <w:p w:rsidR="000701A1" w:rsidRPr="00E224FC" w:rsidRDefault="000701A1"/>
    <w:p w:rsidR="006F0C1C" w:rsidRPr="00E224FC" w:rsidRDefault="00FA20A2">
      <w:r w:rsidRPr="00E224FC">
        <w:t>Kimmerer, W. J., J. K. Thompson</w:t>
      </w:r>
      <w:r w:rsidR="003F4204">
        <w:t xml:space="preserve">., </w:t>
      </w:r>
      <w:r w:rsidRPr="00E224FC">
        <w:t>2014</w:t>
      </w:r>
      <w:r w:rsidR="003F4204">
        <w:t>.</w:t>
      </w:r>
      <w:r w:rsidRPr="00E224FC">
        <w:t xml:space="preserve"> "Phytoplankton Growth Balanced by Clam and Zooplankton Grazing and Net Transport into the Low-Salinity Zone of the San Francisco Estuary" Estuaries and Coasts 37 (5): 1202-1218</w:t>
      </w:r>
      <w:r w:rsidR="00D72900">
        <w:t xml:space="preserve"> </w:t>
      </w:r>
    </w:p>
    <w:p w:rsidR="006F0C1C" w:rsidRPr="00E224FC" w:rsidRDefault="006F0C1C"/>
    <w:p w:rsidR="009C1712" w:rsidRPr="00A56BA8" w:rsidRDefault="009C1712">
      <w:proofErr w:type="spellStart"/>
      <w:r w:rsidRPr="00E224FC">
        <w:t>Kudela</w:t>
      </w:r>
      <w:proofErr w:type="spellEnd"/>
      <w:r w:rsidRPr="00E224FC">
        <w:t>, Raphael M.</w:t>
      </w:r>
      <w:r w:rsidR="003F4204">
        <w:t>, 2011.</w:t>
      </w:r>
      <w:r w:rsidRPr="00E224FC">
        <w:t xml:space="preserve"> "Characterization and deployment of Solid Phase Adsorption Toxin Tracking (SPATT) resin for monitoring of </w:t>
      </w:r>
      <w:proofErr w:type="spellStart"/>
      <w:r w:rsidRPr="00E224FC">
        <w:t>microcystins</w:t>
      </w:r>
      <w:proofErr w:type="spellEnd"/>
      <w:r w:rsidRPr="00E224FC">
        <w:t xml:space="preserve"> in fresh and saltwater." Harmful Algae 11 (2011): 117-125.</w:t>
      </w:r>
    </w:p>
    <w:p w:rsidR="000701A1" w:rsidRPr="00E224FC" w:rsidRDefault="000701A1"/>
    <w:p w:rsidR="00B70AA0" w:rsidRPr="00A56BA8" w:rsidRDefault="00B70AA0">
      <w:r w:rsidRPr="00E224FC">
        <w:t xml:space="preserve">Lane, J.Q., </w:t>
      </w:r>
      <w:proofErr w:type="spellStart"/>
      <w:r w:rsidRPr="00E224FC">
        <w:t>Roddam</w:t>
      </w:r>
      <w:proofErr w:type="spellEnd"/>
      <w:r w:rsidRPr="00E224FC">
        <w:t xml:space="preserve">, C.M., Langlois, G.W., </w:t>
      </w:r>
      <w:proofErr w:type="spellStart"/>
      <w:r w:rsidRPr="00E224FC">
        <w:t>Kudela</w:t>
      </w:r>
      <w:proofErr w:type="spellEnd"/>
      <w:r w:rsidRPr="00E224FC">
        <w:t xml:space="preserve">, R.M., 2010. </w:t>
      </w:r>
      <w:proofErr w:type="gramStart"/>
      <w:r w:rsidRPr="00E224FC">
        <w:t xml:space="preserve">Application of Solid Phase Adsorption Toxin Tracking (SPATT) for field detection of </w:t>
      </w:r>
      <w:proofErr w:type="spellStart"/>
      <w:r w:rsidRPr="00E224FC">
        <w:t>domoic</w:t>
      </w:r>
      <w:proofErr w:type="spellEnd"/>
      <w:r w:rsidRPr="00E224FC">
        <w:t xml:space="preserve"> acid and </w:t>
      </w:r>
      <w:proofErr w:type="spellStart"/>
      <w:r w:rsidRPr="00E224FC">
        <w:t>saxitoxin</w:t>
      </w:r>
      <w:proofErr w:type="spellEnd"/>
      <w:r w:rsidRPr="00E224FC">
        <w:t xml:space="preserve"> in coastal California.</w:t>
      </w:r>
      <w:proofErr w:type="gramEnd"/>
      <w:r w:rsidRPr="00E224FC">
        <w:t xml:space="preserve"> </w:t>
      </w:r>
      <w:proofErr w:type="spellStart"/>
      <w:proofErr w:type="gramStart"/>
      <w:r w:rsidRPr="00E224FC">
        <w:t>Limnol</w:t>
      </w:r>
      <w:proofErr w:type="spellEnd"/>
      <w:r w:rsidRPr="00E224FC">
        <w:t>.</w:t>
      </w:r>
      <w:proofErr w:type="gramEnd"/>
      <w:r w:rsidRPr="00E224FC">
        <w:t xml:space="preserve"> </w:t>
      </w:r>
      <w:proofErr w:type="spellStart"/>
      <w:proofErr w:type="gramStart"/>
      <w:r w:rsidRPr="00E224FC">
        <w:t>Oceanogr</w:t>
      </w:r>
      <w:proofErr w:type="spellEnd"/>
      <w:r w:rsidRPr="00E224FC">
        <w:t>.</w:t>
      </w:r>
      <w:proofErr w:type="gramEnd"/>
      <w:r w:rsidRPr="00E224FC">
        <w:t xml:space="preserve"> Methods 8, 645–660.</w:t>
      </w:r>
    </w:p>
    <w:p w:rsidR="00DF6DD2" w:rsidRPr="00E224FC" w:rsidRDefault="00DF6DD2"/>
    <w:p w:rsidR="00B70AA0" w:rsidRPr="005C693F" w:rsidRDefault="00B70AA0">
      <w:proofErr w:type="gramStart"/>
      <w:r w:rsidRPr="005C693F">
        <w:t>Lehman, P.W. and S. Waller.</w:t>
      </w:r>
      <w:r w:rsidR="003F4204">
        <w:t>,</w:t>
      </w:r>
      <w:r w:rsidRPr="005C693F">
        <w:t xml:space="preserve"> 2003.</w:t>
      </w:r>
      <w:proofErr w:type="gramEnd"/>
      <w:r w:rsidRPr="005C693F">
        <w:t xml:space="preserve"> </w:t>
      </w:r>
      <w:proofErr w:type="spellStart"/>
      <w:r w:rsidRPr="005C693F">
        <w:t>Microcystis</w:t>
      </w:r>
      <w:proofErr w:type="spellEnd"/>
      <w:r w:rsidRPr="005C693F">
        <w:t xml:space="preserve"> blooms in the delta. </w:t>
      </w:r>
      <w:proofErr w:type="gramStart"/>
      <w:r w:rsidRPr="005C693F">
        <w:t>Interagency Ecological Program for the San Francisco Estuary Newsletter.</w:t>
      </w:r>
      <w:proofErr w:type="gramEnd"/>
      <w:r w:rsidRPr="005C693F">
        <w:t xml:space="preserve"> 16, 18-19. </w:t>
      </w:r>
      <w:hyperlink r:id="rId34" w:history="1">
        <w:r w:rsidRPr="005C693F">
          <w:rPr>
            <w:rStyle w:val="Hyperlink"/>
          </w:rPr>
          <w:t>www.water.ca.gov/iep/products/newsletter.cfm</w:t>
        </w:r>
      </w:hyperlink>
    </w:p>
    <w:p w:rsidR="000701A1" w:rsidRPr="005C693F" w:rsidRDefault="000701A1"/>
    <w:p w:rsidR="00B70AA0" w:rsidRPr="00A56BA8" w:rsidRDefault="00B70AA0">
      <w:r w:rsidRPr="00E224FC">
        <w:t>Lehman, P. W., G. Boyer, et al.</w:t>
      </w:r>
      <w:r w:rsidR="003F4204">
        <w:t>, 2005</w:t>
      </w:r>
      <w:r w:rsidRPr="00E224FC">
        <w:t xml:space="preserve">. "Distribution and toxicity of a new colonial </w:t>
      </w:r>
      <w:proofErr w:type="spellStart"/>
      <w:r w:rsidRPr="00E224FC">
        <w:t>Microcystis</w:t>
      </w:r>
      <w:proofErr w:type="spellEnd"/>
      <w:r w:rsidRPr="00E224FC">
        <w:t xml:space="preserve"> aeruginosa bloom in the San Francisco Bay Estuary, California." </w:t>
      </w:r>
      <w:proofErr w:type="spellStart"/>
      <w:r w:rsidRPr="00E224FC">
        <w:t>Hydrobiologia</w:t>
      </w:r>
      <w:proofErr w:type="spellEnd"/>
      <w:r w:rsidRPr="00E224FC">
        <w:t xml:space="preserve"> 541: 87-99.</w:t>
      </w:r>
    </w:p>
    <w:p w:rsidR="000701A1" w:rsidRPr="00E224FC" w:rsidRDefault="000701A1"/>
    <w:p w:rsidR="00B70AA0" w:rsidRDefault="00B70AA0">
      <w:r w:rsidRPr="00E224FC">
        <w:t>Lehman, P. W., G. Boyer, et al.</w:t>
      </w:r>
      <w:r w:rsidR="003F4204">
        <w:t>, 2008</w:t>
      </w:r>
      <w:r w:rsidRPr="00E224FC">
        <w:t xml:space="preserve">. </w:t>
      </w:r>
      <w:proofErr w:type="gramStart"/>
      <w:r w:rsidRPr="00E224FC">
        <w:t xml:space="preserve">"The influence of environmental conditions on the seasonal variation of </w:t>
      </w:r>
      <w:proofErr w:type="spellStart"/>
      <w:r w:rsidRPr="00E224FC">
        <w:t>Microsystis</w:t>
      </w:r>
      <w:proofErr w:type="spellEnd"/>
      <w:r w:rsidRPr="00E224FC">
        <w:t xml:space="preserve"> cell density and </w:t>
      </w:r>
      <w:proofErr w:type="spellStart"/>
      <w:r w:rsidRPr="00E224FC">
        <w:t>microcystins</w:t>
      </w:r>
      <w:proofErr w:type="spellEnd"/>
      <w:r w:rsidRPr="00E224FC">
        <w:t xml:space="preserve"> concentration in San Francisco Estuary."</w:t>
      </w:r>
      <w:proofErr w:type="gramEnd"/>
      <w:r w:rsidRPr="00E224FC">
        <w:t xml:space="preserve"> </w:t>
      </w:r>
      <w:proofErr w:type="spellStart"/>
      <w:r w:rsidRPr="00E224FC">
        <w:t>Hydrobiologia</w:t>
      </w:r>
      <w:proofErr w:type="spellEnd"/>
      <w:r w:rsidRPr="00E224FC">
        <w:t xml:space="preserve"> 600: 187-204.</w:t>
      </w:r>
    </w:p>
    <w:p w:rsidR="003F4204" w:rsidRPr="005F19C7" w:rsidRDefault="003F4204"/>
    <w:p w:rsidR="005A46BC" w:rsidRPr="00E224FC" w:rsidRDefault="005A46BC">
      <w:r w:rsidRPr="00E224FC">
        <w:t xml:space="preserve">Lehman, P. W., K. Marr, G. L. Boyer, S. Acuna, and S. J. </w:t>
      </w:r>
      <w:proofErr w:type="spellStart"/>
      <w:r w:rsidRPr="00E224FC">
        <w:t>Teh</w:t>
      </w:r>
      <w:proofErr w:type="spellEnd"/>
      <w:r w:rsidRPr="00E224FC">
        <w:t>.</w:t>
      </w:r>
      <w:r w:rsidR="003F4204">
        <w:t>,</w:t>
      </w:r>
      <w:r w:rsidRPr="00E224FC">
        <w:t xml:space="preserve"> 2013. "Long-term trends and causal factors associated with </w:t>
      </w:r>
      <w:proofErr w:type="spellStart"/>
      <w:r w:rsidRPr="00E224FC">
        <w:t>Microcystis</w:t>
      </w:r>
      <w:proofErr w:type="spellEnd"/>
      <w:r w:rsidRPr="00E224FC">
        <w:t xml:space="preserve"> abundance and toxicity in San Francisco Estuary and implications for climate change impacts." </w:t>
      </w:r>
      <w:proofErr w:type="spellStart"/>
      <w:r w:rsidRPr="00E224FC">
        <w:t>Hydrobiologia</w:t>
      </w:r>
      <w:proofErr w:type="spellEnd"/>
      <w:r w:rsidRPr="00E224FC">
        <w:t xml:space="preserve"> 718, no. 1: 141-158.</w:t>
      </w:r>
    </w:p>
    <w:p w:rsidR="000701A1" w:rsidRPr="00E224FC" w:rsidRDefault="000701A1"/>
    <w:p w:rsidR="004421D9" w:rsidRPr="00A56BA8" w:rsidRDefault="00B70AA0">
      <w:proofErr w:type="spellStart"/>
      <w:r w:rsidRPr="00E224FC">
        <w:t>Lewitus</w:t>
      </w:r>
      <w:proofErr w:type="spellEnd"/>
      <w:r w:rsidRPr="00E224FC">
        <w:t xml:space="preserve">, Alan J; Horner, Rita A; Caron, David A; Garcia-Mendoza, Ernesto; Hickey, Barbara M; Hunter, Matthew; Huppert, Daniel D; </w:t>
      </w:r>
      <w:proofErr w:type="spellStart"/>
      <w:r w:rsidRPr="00E224FC">
        <w:t>Kudela</w:t>
      </w:r>
      <w:proofErr w:type="spellEnd"/>
      <w:r w:rsidRPr="00E224FC">
        <w:t xml:space="preserve">, Raphael M; Langlois, Gregg W; </w:t>
      </w:r>
      <w:proofErr w:type="spellStart"/>
      <w:r w:rsidRPr="00E224FC">
        <w:t>Largier</w:t>
      </w:r>
      <w:proofErr w:type="spellEnd"/>
      <w:r w:rsidRPr="00E224FC">
        <w:t>, John L.</w:t>
      </w:r>
      <w:r w:rsidR="003F4204">
        <w:t>,</w:t>
      </w:r>
      <w:r w:rsidRPr="00E224FC">
        <w:t xml:space="preserve"> 2012. Harmful algal blooms along the North American west coast region: History, trends, causes, and impacts.</w:t>
      </w:r>
      <w:r w:rsidR="00D72900">
        <w:t xml:space="preserve"> </w:t>
      </w:r>
      <w:proofErr w:type="gramStart"/>
      <w:r w:rsidRPr="00E224FC">
        <w:t>Harmful Algae.</w:t>
      </w:r>
      <w:proofErr w:type="gramEnd"/>
      <w:r w:rsidRPr="00E224FC">
        <w:t xml:space="preserve"> 19: 133-159. </w:t>
      </w:r>
    </w:p>
    <w:p w:rsidR="000701A1" w:rsidRPr="00E224FC" w:rsidRDefault="000701A1"/>
    <w:p w:rsidR="00B70AA0" w:rsidRPr="00A56BA8" w:rsidRDefault="00B70AA0">
      <w:proofErr w:type="gramStart"/>
      <w:r w:rsidRPr="00E224FC">
        <w:t xml:space="preserve">Mackenzie, L., V. </w:t>
      </w:r>
      <w:proofErr w:type="spellStart"/>
      <w:r w:rsidRPr="00E224FC">
        <w:t>Beuzenberg</w:t>
      </w:r>
      <w:proofErr w:type="spellEnd"/>
      <w:r w:rsidRPr="00E224FC">
        <w:t xml:space="preserve">, P. Holland, P. </w:t>
      </w:r>
      <w:proofErr w:type="spellStart"/>
      <w:r w:rsidRPr="00E224FC">
        <w:t>Mcnabb</w:t>
      </w:r>
      <w:proofErr w:type="spellEnd"/>
      <w:r w:rsidRPr="00E224FC">
        <w:t xml:space="preserve">, and A. </w:t>
      </w:r>
      <w:proofErr w:type="spellStart"/>
      <w:r w:rsidRPr="00E224FC">
        <w:t>Selwood</w:t>
      </w:r>
      <w:proofErr w:type="spellEnd"/>
      <w:r w:rsidRPr="00E224FC">
        <w:t>.</w:t>
      </w:r>
      <w:r w:rsidR="003F4204">
        <w:t>,</w:t>
      </w:r>
      <w:r w:rsidRPr="00E224FC">
        <w:t xml:space="preserve"> 2004.</w:t>
      </w:r>
      <w:proofErr w:type="gramEnd"/>
      <w:r w:rsidRPr="00E224FC">
        <w:t xml:space="preserve"> Solid phase adsorption toxin tracking (SPATT): a new monitoring tool that simulates the </w:t>
      </w:r>
      <w:proofErr w:type="spellStart"/>
      <w:r w:rsidRPr="00E224FC">
        <w:t>biotoxin</w:t>
      </w:r>
      <w:proofErr w:type="spellEnd"/>
      <w:r w:rsidRPr="00E224FC">
        <w:t xml:space="preserve"> contamination of filter feeding bivalves. </w:t>
      </w:r>
      <w:proofErr w:type="spellStart"/>
      <w:r w:rsidRPr="00E224FC">
        <w:t>Toxicon</w:t>
      </w:r>
      <w:proofErr w:type="spellEnd"/>
      <w:r w:rsidRPr="00E224FC">
        <w:t xml:space="preserve"> 44:901-918 [doi:10.1016/j.toxicon.2004.08.020].</w:t>
      </w:r>
    </w:p>
    <w:p w:rsidR="000701A1" w:rsidRPr="00E224FC" w:rsidRDefault="000701A1"/>
    <w:p w:rsidR="00B61F39" w:rsidRPr="00A56BA8" w:rsidRDefault="00B61F39">
      <w:r w:rsidRPr="00E224FC">
        <w:lastRenderedPageBreak/>
        <w:t xml:space="preserve">K McLaughlin, M </w:t>
      </w:r>
      <w:proofErr w:type="spellStart"/>
      <w:r w:rsidRPr="00E224FC">
        <w:t>Sutula</w:t>
      </w:r>
      <w:proofErr w:type="spellEnd"/>
      <w:r w:rsidRPr="00E224FC">
        <w:t xml:space="preserve">, L </w:t>
      </w:r>
      <w:proofErr w:type="spellStart"/>
      <w:r w:rsidRPr="00E224FC">
        <w:t>Busse</w:t>
      </w:r>
      <w:proofErr w:type="spellEnd"/>
      <w:r w:rsidRPr="00E224FC">
        <w:t xml:space="preserve">, S Anderson, J Crooks, R </w:t>
      </w:r>
      <w:proofErr w:type="spellStart"/>
      <w:r w:rsidRPr="00E224FC">
        <w:t>Dagit</w:t>
      </w:r>
      <w:proofErr w:type="spellEnd"/>
      <w:r w:rsidRPr="00E224FC">
        <w:t xml:space="preserve">, D Gibson, K Johnston, L </w:t>
      </w:r>
      <w:proofErr w:type="gramStart"/>
      <w:r w:rsidRPr="00E224FC">
        <w:t>Stratton.</w:t>
      </w:r>
      <w:r w:rsidR="003F4204">
        <w:t>,</w:t>
      </w:r>
      <w:proofErr w:type="gramEnd"/>
      <w:r w:rsidR="003F4204">
        <w:t xml:space="preserve"> </w:t>
      </w:r>
      <w:r w:rsidRPr="00E224FC">
        <w:t>2013. A regional survey of the extent and magnitude of eutrophication in Mediterranean estuaries of Southern California, USA. Estuaries and Coasts DOI 10.1007/s12237-013-9670-8.</w:t>
      </w:r>
    </w:p>
    <w:p w:rsidR="000701A1" w:rsidRPr="00E224FC" w:rsidRDefault="000701A1"/>
    <w:p w:rsidR="004421D9" w:rsidRPr="00A56BA8" w:rsidRDefault="00B61F39">
      <w:proofErr w:type="spellStart"/>
      <w:proofErr w:type="gramStart"/>
      <w:r w:rsidRPr="00E224FC">
        <w:t>Ning</w:t>
      </w:r>
      <w:proofErr w:type="spellEnd"/>
      <w:r w:rsidRPr="00E224FC">
        <w:t xml:space="preserve">, X., </w:t>
      </w:r>
      <w:proofErr w:type="spellStart"/>
      <w:r w:rsidRPr="00E224FC">
        <w:t>Cloern</w:t>
      </w:r>
      <w:proofErr w:type="spellEnd"/>
      <w:r w:rsidRPr="00E224FC">
        <w:t>, J. E. and Cole, B. E.</w:t>
      </w:r>
      <w:r w:rsidR="003F4204">
        <w:t xml:space="preserve">, </w:t>
      </w:r>
      <w:r w:rsidRPr="00E224FC">
        <w:t>2000</w:t>
      </w:r>
      <w:r w:rsidR="003F4204">
        <w:t>.</w:t>
      </w:r>
      <w:proofErr w:type="gramEnd"/>
      <w:r w:rsidRPr="00E224FC">
        <w:t xml:space="preserve"> </w:t>
      </w:r>
      <w:proofErr w:type="gramStart"/>
      <w:r w:rsidRPr="00E224FC">
        <w:t xml:space="preserve">Spatial and temporal variability of </w:t>
      </w:r>
      <w:proofErr w:type="spellStart"/>
      <w:r w:rsidRPr="00E224FC">
        <w:t>picocyanobacteria</w:t>
      </w:r>
      <w:proofErr w:type="spellEnd"/>
      <w:r w:rsidRPr="00E224FC">
        <w:t xml:space="preserve"> </w:t>
      </w:r>
      <w:proofErr w:type="spellStart"/>
      <w:r w:rsidRPr="00E224FC">
        <w:t>Synechococcus</w:t>
      </w:r>
      <w:proofErr w:type="spellEnd"/>
      <w:r w:rsidRPr="00E224FC">
        <w:t xml:space="preserve"> sp. in San Francisco Bay.</w:t>
      </w:r>
      <w:proofErr w:type="gramEnd"/>
      <w:r w:rsidRPr="00E224FC">
        <w:t xml:space="preserve"> </w:t>
      </w:r>
      <w:proofErr w:type="spellStart"/>
      <w:proofErr w:type="gramStart"/>
      <w:r w:rsidRPr="00E224FC">
        <w:t>Limnol</w:t>
      </w:r>
      <w:proofErr w:type="spellEnd"/>
      <w:r w:rsidRPr="00E224FC">
        <w:t>.</w:t>
      </w:r>
      <w:proofErr w:type="gramEnd"/>
      <w:r w:rsidRPr="00E224FC">
        <w:t xml:space="preserve"> </w:t>
      </w:r>
      <w:proofErr w:type="spellStart"/>
      <w:proofErr w:type="gramStart"/>
      <w:r w:rsidRPr="00E224FC">
        <w:t>Oceanogr</w:t>
      </w:r>
      <w:proofErr w:type="spellEnd"/>
      <w:r w:rsidRPr="00E224FC">
        <w:t>.,</w:t>
      </w:r>
      <w:proofErr w:type="gramEnd"/>
      <w:r w:rsidRPr="00E224FC">
        <w:t xml:space="preserve"> 45, 695–702.</w:t>
      </w:r>
    </w:p>
    <w:p w:rsidR="000701A1" w:rsidRPr="00E224FC" w:rsidRDefault="000701A1">
      <w:bookmarkStart w:id="87" w:name="_ENREF_27"/>
    </w:p>
    <w:p w:rsidR="00B61F39" w:rsidRPr="00E224FC" w:rsidRDefault="00B70AA0">
      <w:pPr>
        <w:rPr>
          <w:rFonts w:cs="Calibri"/>
          <w:noProof/>
        </w:rPr>
      </w:pPr>
      <w:r w:rsidRPr="00E224FC">
        <w:rPr>
          <w:rFonts w:cs="Calibri"/>
          <w:noProof/>
        </w:rPr>
        <w:t>Nixon, S. W.</w:t>
      </w:r>
      <w:r w:rsidR="003F4204">
        <w:rPr>
          <w:rFonts w:cs="Calibri"/>
          <w:noProof/>
        </w:rPr>
        <w:t>, 1995</w:t>
      </w:r>
      <w:r w:rsidRPr="00E224FC">
        <w:rPr>
          <w:rFonts w:cs="Calibri"/>
          <w:noProof/>
        </w:rPr>
        <w:t xml:space="preserve">, Coastal marine eutrophication: a definition, social causes, and future concerns, </w:t>
      </w:r>
      <w:r w:rsidRPr="00E224FC">
        <w:rPr>
          <w:rFonts w:cs="Calibri"/>
          <w:i/>
          <w:noProof/>
        </w:rPr>
        <w:t>Ophelia</w:t>
      </w:r>
      <w:r w:rsidRPr="00E224FC">
        <w:rPr>
          <w:rFonts w:cs="Calibri"/>
          <w:noProof/>
        </w:rPr>
        <w:t xml:space="preserve">, </w:t>
      </w:r>
      <w:r w:rsidRPr="00E224FC">
        <w:rPr>
          <w:rFonts w:cs="Calibri"/>
          <w:i/>
          <w:noProof/>
        </w:rPr>
        <w:t>41</w:t>
      </w:r>
      <w:r w:rsidRPr="00E224FC">
        <w:rPr>
          <w:rFonts w:cs="Calibri"/>
          <w:noProof/>
        </w:rPr>
        <w:t>, 199-219.</w:t>
      </w:r>
      <w:bookmarkEnd w:id="87"/>
    </w:p>
    <w:p w:rsidR="000701A1" w:rsidRPr="00E224FC" w:rsidRDefault="000701A1">
      <w:pPr>
        <w:rPr>
          <w:rFonts w:cs="Calibri"/>
          <w:noProof/>
        </w:rPr>
      </w:pPr>
    </w:p>
    <w:p w:rsidR="00B61F39" w:rsidRPr="00E224FC" w:rsidRDefault="00B61F39">
      <w:pPr>
        <w:rPr>
          <w:rFonts w:cs="Calibri"/>
          <w:noProof/>
        </w:rPr>
      </w:pPr>
      <w:proofErr w:type="gramStart"/>
      <w:r w:rsidRPr="00E224FC">
        <w:t>NRC.</w:t>
      </w:r>
      <w:proofErr w:type="gramEnd"/>
      <w:r w:rsidRPr="00E224FC">
        <w:t xml:space="preserve"> </w:t>
      </w:r>
      <w:proofErr w:type="gramStart"/>
      <w:r w:rsidR="003F4204">
        <w:t>,</w:t>
      </w:r>
      <w:r w:rsidRPr="00E224FC">
        <w:t>2012</w:t>
      </w:r>
      <w:proofErr w:type="gramEnd"/>
      <w:r w:rsidRPr="00E224FC">
        <w:t xml:space="preserve">. Sustainable Water and Environmental Management in the California Bay-Delta. </w:t>
      </w:r>
      <w:proofErr w:type="gramStart"/>
      <w:r w:rsidRPr="00E224FC">
        <w:t xml:space="preserve">Committee on Sustainable Water and Environmental Management in the California Bay-Delta; Water Science and Technology Board; Ocean Studies Board; Division on Earth and Life Studies; National Research </w:t>
      </w:r>
      <w:r w:rsidRPr="005F19C7">
        <w:t>Council.</w:t>
      </w:r>
      <w:proofErr w:type="gramEnd"/>
      <w:r w:rsidRPr="005F19C7">
        <w:t xml:space="preserve"> </w:t>
      </w:r>
      <w:r w:rsidRPr="00E224FC">
        <w:t xml:space="preserve">Available at: </w:t>
      </w:r>
      <w:hyperlink r:id="rId35" w:history="1">
        <w:r w:rsidR="005A46BC" w:rsidRPr="00E224FC">
          <w:rPr>
            <w:rStyle w:val="Hyperlink"/>
            <w:rFonts w:asciiTheme="minorHAnsi" w:hAnsiTheme="minorHAnsi"/>
          </w:rPr>
          <w:t>http://www.nap.edu/catalog.php?record_id=13394</w:t>
        </w:r>
      </w:hyperlink>
      <w:r w:rsidRPr="00E224FC">
        <w:t>.</w:t>
      </w:r>
    </w:p>
    <w:p w:rsidR="005A46BC" w:rsidRPr="00E224FC" w:rsidRDefault="005A46BC">
      <w:pPr>
        <w:rPr>
          <w:rFonts w:cs="Calibri"/>
          <w:noProof/>
        </w:rPr>
      </w:pPr>
    </w:p>
    <w:p w:rsidR="00850F76" w:rsidRDefault="00562A1C">
      <w:proofErr w:type="gramStart"/>
      <w:r w:rsidRPr="00E224FC">
        <w:t xml:space="preserve">Null, K.A., </w:t>
      </w:r>
      <w:proofErr w:type="spellStart"/>
      <w:r w:rsidRPr="00E224FC">
        <w:t>Dimova</w:t>
      </w:r>
      <w:proofErr w:type="spellEnd"/>
      <w:r w:rsidRPr="00E224FC">
        <w:t>, N.T, et al</w:t>
      </w:r>
      <w:r w:rsidR="003F4204">
        <w:t>., 2012</w:t>
      </w:r>
      <w:r w:rsidRPr="00E224FC">
        <w:t>.</w:t>
      </w:r>
      <w:proofErr w:type="gramEnd"/>
      <w:r w:rsidRPr="00E224FC">
        <w:t xml:space="preserve"> "Submarine Groundwater Discharge-Derived Nutrient Loads to San Francisco Bay: Implications to Future Ecosystem Changes". </w:t>
      </w:r>
      <w:proofErr w:type="gramStart"/>
      <w:r w:rsidRPr="00E224FC">
        <w:t>Estuaries and Coasts.</w:t>
      </w:r>
      <w:proofErr w:type="gramEnd"/>
      <w:r w:rsidRPr="00E224FC">
        <w:t xml:space="preserve"> 35: 1299-1315</w:t>
      </w:r>
    </w:p>
    <w:p w:rsidR="00735A33" w:rsidRDefault="00735A33"/>
    <w:p w:rsidR="00735A33" w:rsidRDefault="00735A33" w:rsidP="00735A33">
      <w:pPr>
        <w:autoSpaceDE w:val="0"/>
        <w:autoSpaceDN w:val="0"/>
        <w:adjustRightInd w:val="0"/>
      </w:pPr>
      <w:proofErr w:type="gramStart"/>
      <w:r>
        <w:t>OEHHA.</w:t>
      </w:r>
      <w:r w:rsidR="003F4204">
        <w:t>,</w:t>
      </w:r>
      <w:proofErr w:type="gramEnd"/>
      <w:r>
        <w:t xml:space="preserve"> 2012. Office of Environmental Health Hazard Assessment. Toxicological summary and suggested action levels to reduce potential adverse health effects of six </w:t>
      </w:r>
      <w:proofErr w:type="spellStart"/>
      <w:r>
        <w:t>cyanotoxins</w:t>
      </w:r>
      <w:proofErr w:type="spellEnd"/>
      <w:r>
        <w:t>. May 2012.</w:t>
      </w:r>
    </w:p>
    <w:p w:rsidR="00735A33" w:rsidRPr="005F19C7" w:rsidRDefault="00735A33" w:rsidP="00735A33">
      <w:pPr>
        <w:autoSpaceDE w:val="0"/>
        <w:autoSpaceDN w:val="0"/>
        <w:adjustRightInd w:val="0"/>
      </w:pPr>
    </w:p>
    <w:p w:rsidR="005A46BC" w:rsidRPr="00E224FC" w:rsidRDefault="005A46BC">
      <w:proofErr w:type="gramStart"/>
      <w:r w:rsidRPr="00E224FC">
        <w:t xml:space="preserve">Park S., M. Brett, E.T. </w:t>
      </w:r>
      <w:proofErr w:type="spellStart"/>
      <w:r w:rsidRPr="00E224FC">
        <w:t>Oshel</w:t>
      </w:r>
      <w:proofErr w:type="spellEnd"/>
      <w:r w:rsidRPr="00E224FC">
        <w:t>, and C.R. Goldman.</w:t>
      </w:r>
      <w:r w:rsidR="003F4204">
        <w:t>,</w:t>
      </w:r>
      <w:r w:rsidRPr="00E224FC">
        <w:t xml:space="preserve"> 2003.</w:t>
      </w:r>
      <w:proofErr w:type="gramEnd"/>
      <w:r w:rsidRPr="00E224FC">
        <w:t xml:space="preserve"> </w:t>
      </w:r>
      <w:proofErr w:type="spellStart"/>
      <w:r w:rsidRPr="00E224FC">
        <w:t>Seston</w:t>
      </w:r>
      <w:proofErr w:type="spellEnd"/>
      <w:r w:rsidRPr="00E224FC">
        <w:t xml:space="preserve"> food quality and Daphnia production efficiencies in an </w:t>
      </w:r>
      <w:proofErr w:type="spellStart"/>
      <w:r w:rsidRPr="00E224FC">
        <w:t>oligo-mesotrophic</w:t>
      </w:r>
      <w:proofErr w:type="spellEnd"/>
      <w:r w:rsidRPr="00E224FC">
        <w:t xml:space="preserve"> Subalpine Lake. Aquatic Ecology 37: 123–136.</w:t>
      </w:r>
    </w:p>
    <w:p w:rsidR="00562A1C" w:rsidRPr="00E224FC" w:rsidRDefault="00562A1C"/>
    <w:p w:rsidR="0000442B" w:rsidRPr="006D35DE" w:rsidRDefault="0000442B">
      <w:proofErr w:type="gramStart"/>
      <w:r w:rsidRPr="006D35DE">
        <w:t xml:space="preserve">Parker, A. E., R. C. </w:t>
      </w:r>
      <w:proofErr w:type="spellStart"/>
      <w:r w:rsidRPr="006D35DE">
        <w:t>Dugdale</w:t>
      </w:r>
      <w:proofErr w:type="spellEnd"/>
      <w:r w:rsidRPr="006D35DE">
        <w:t>, et al.</w:t>
      </w:r>
      <w:r w:rsidR="003F4204">
        <w:t>, 2012a</w:t>
      </w:r>
      <w:r w:rsidRPr="006D35DE">
        <w:t>.</w:t>
      </w:r>
      <w:proofErr w:type="gramEnd"/>
      <w:r w:rsidRPr="006D35DE">
        <w:t xml:space="preserve"> "Elevated ammonium concentrations from wastewater discharge depress primary productivity in the Sacramento River and the Northern San Francisco Estuary." Marine Pollution Bulletin 64(3): 574-586.</w:t>
      </w:r>
    </w:p>
    <w:p w:rsidR="000701A1" w:rsidRPr="006D35DE" w:rsidRDefault="000701A1"/>
    <w:p w:rsidR="004421D9" w:rsidRDefault="0000442B">
      <w:proofErr w:type="gramStart"/>
      <w:r w:rsidRPr="006D35DE">
        <w:t>Parker, A. E., V. E. Hogue, et al.</w:t>
      </w:r>
      <w:r w:rsidR="003F4204">
        <w:t xml:space="preserve">, </w:t>
      </w:r>
      <w:r w:rsidRPr="006D35DE">
        <w:t>2012b.</w:t>
      </w:r>
      <w:proofErr w:type="gramEnd"/>
      <w:r w:rsidRPr="006D35DE">
        <w:t xml:space="preserve"> </w:t>
      </w:r>
      <w:proofErr w:type="gramStart"/>
      <w:r w:rsidRPr="006D35DE">
        <w:t>"The effect of inorganic nitrogen speciation on primary production in the San Francisco Estuary."</w:t>
      </w:r>
      <w:proofErr w:type="gramEnd"/>
      <w:r w:rsidRPr="006D35DE">
        <w:t xml:space="preserve"> </w:t>
      </w:r>
      <w:proofErr w:type="gramStart"/>
      <w:r w:rsidRPr="006D35DE">
        <w:t>Estuarine Coastal and Shelf Science 104: 91-101.</w:t>
      </w:r>
      <w:proofErr w:type="gramEnd"/>
    </w:p>
    <w:p w:rsidR="002F5862" w:rsidRDefault="002F5862"/>
    <w:p w:rsidR="002F5862" w:rsidRPr="00E224FC" w:rsidRDefault="006D35DE">
      <w:r w:rsidRPr="006D35DE">
        <w:t xml:space="preserve">Riemann, B., </w:t>
      </w:r>
      <w:proofErr w:type="spellStart"/>
      <w:r w:rsidRPr="006D35DE">
        <w:t>Carstensen</w:t>
      </w:r>
      <w:proofErr w:type="spellEnd"/>
      <w:r w:rsidRPr="006D35DE">
        <w:t xml:space="preserve">, J., Dahl, K., </w:t>
      </w:r>
      <w:proofErr w:type="spellStart"/>
      <w:r w:rsidRPr="006D35DE">
        <w:t>Fossing</w:t>
      </w:r>
      <w:proofErr w:type="spellEnd"/>
      <w:r w:rsidRPr="006D35DE">
        <w:t xml:space="preserve">, H., Hansen, J. W., </w:t>
      </w:r>
      <w:proofErr w:type="spellStart"/>
      <w:r w:rsidRPr="006D35DE">
        <w:t>Jakobsen</w:t>
      </w:r>
      <w:proofErr w:type="spellEnd"/>
      <w:r w:rsidRPr="006D35DE">
        <w:t xml:space="preserve">, H. H., </w:t>
      </w:r>
      <w:proofErr w:type="spellStart"/>
      <w:r w:rsidRPr="006D35DE">
        <w:t>Josefson</w:t>
      </w:r>
      <w:proofErr w:type="spellEnd"/>
      <w:r w:rsidRPr="006D35DE">
        <w:t xml:space="preserve">, A. A., Krause-Jensen, D., </w:t>
      </w:r>
      <w:proofErr w:type="spellStart"/>
      <w:r w:rsidRPr="006D35DE">
        <w:t>Markager</w:t>
      </w:r>
      <w:proofErr w:type="spellEnd"/>
      <w:r w:rsidRPr="006D35DE">
        <w:t xml:space="preserve">, S., </w:t>
      </w:r>
      <w:proofErr w:type="spellStart"/>
      <w:r w:rsidRPr="006D35DE">
        <w:t>Stæhr</w:t>
      </w:r>
      <w:proofErr w:type="spellEnd"/>
      <w:r w:rsidRPr="006D35DE">
        <w:t xml:space="preserve">, P.A., </w:t>
      </w:r>
      <w:proofErr w:type="spellStart"/>
      <w:r w:rsidRPr="006D35DE">
        <w:t>Timmermann</w:t>
      </w:r>
      <w:proofErr w:type="spellEnd"/>
      <w:r w:rsidRPr="006D35DE">
        <w:t xml:space="preserve">, K., </w:t>
      </w:r>
      <w:proofErr w:type="spellStart"/>
      <w:r w:rsidRPr="006D35DE">
        <w:t>Windolf</w:t>
      </w:r>
      <w:proofErr w:type="spellEnd"/>
      <w:r w:rsidRPr="006D35DE">
        <w:t xml:space="preserve">, J., Andersen, J. H., 2015. Recovery of Danish coastal ecosystems after reductions in nutrient loading: A holistic ecosystem approach. </w:t>
      </w:r>
      <w:proofErr w:type="spellStart"/>
      <w:proofErr w:type="gramStart"/>
      <w:r w:rsidRPr="006D35DE">
        <w:t>Estuar</w:t>
      </w:r>
      <w:proofErr w:type="spellEnd"/>
      <w:r w:rsidRPr="006D35DE">
        <w:t>.</w:t>
      </w:r>
      <w:proofErr w:type="gramEnd"/>
      <w:r w:rsidRPr="006D35DE">
        <w:t xml:space="preserve"> Coasts </w:t>
      </w:r>
      <w:proofErr w:type="spellStart"/>
      <w:r w:rsidRPr="006D35DE">
        <w:t>doi</w:t>
      </w:r>
      <w:proofErr w:type="spellEnd"/>
      <w:r w:rsidRPr="006D35DE">
        <w:t>: 10.1007/s12237-015-9980-0.</w:t>
      </w:r>
    </w:p>
    <w:p w:rsidR="005A46BC" w:rsidRPr="00E224FC" w:rsidRDefault="005A46BC"/>
    <w:p w:rsidR="005A46BC" w:rsidRPr="00E224FC" w:rsidRDefault="005A46BC">
      <w:r w:rsidRPr="00E224FC">
        <w:t xml:space="preserve">Schaeffer, Blake A., James D. Hagy, Robyn N. </w:t>
      </w:r>
      <w:proofErr w:type="spellStart"/>
      <w:r w:rsidRPr="00E224FC">
        <w:t>Conmy</w:t>
      </w:r>
      <w:proofErr w:type="spellEnd"/>
      <w:r w:rsidRPr="00E224FC">
        <w:t xml:space="preserve">, John C. </w:t>
      </w:r>
      <w:proofErr w:type="spellStart"/>
      <w:r w:rsidRPr="00E224FC">
        <w:t>Lehrter</w:t>
      </w:r>
      <w:proofErr w:type="spellEnd"/>
      <w:r w:rsidRPr="00E224FC">
        <w:t xml:space="preserve">, and Richard P. </w:t>
      </w:r>
      <w:proofErr w:type="spellStart"/>
      <w:r w:rsidRPr="00E224FC">
        <w:t>Stumpf</w:t>
      </w:r>
      <w:proofErr w:type="spellEnd"/>
      <w:r w:rsidRPr="00E224FC">
        <w:t>.</w:t>
      </w:r>
      <w:r w:rsidR="003F4204">
        <w:t xml:space="preserve">, 2012. </w:t>
      </w:r>
      <w:r w:rsidRPr="00E224FC">
        <w:t xml:space="preserve"> </w:t>
      </w:r>
      <w:proofErr w:type="gramStart"/>
      <w:r w:rsidRPr="00E224FC">
        <w:t xml:space="preserve">"An approach to developing numeric water quality criteria for coastal waters using the </w:t>
      </w:r>
      <w:proofErr w:type="spellStart"/>
      <w:r w:rsidRPr="00E224FC">
        <w:t>SeaWiFS</w:t>
      </w:r>
      <w:proofErr w:type="spellEnd"/>
      <w:r w:rsidRPr="00E224FC">
        <w:t xml:space="preserve"> satellite data record."</w:t>
      </w:r>
      <w:proofErr w:type="gramEnd"/>
      <w:r w:rsidRPr="00E224FC">
        <w:t xml:space="preserve"> Environmental science &amp; technology 46, no. 2 (2012): 916-922.</w:t>
      </w:r>
    </w:p>
    <w:p w:rsidR="000701A1" w:rsidRPr="00E224FC" w:rsidRDefault="000701A1"/>
    <w:p w:rsidR="002F5862" w:rsidRDefault="002F5862">
      <w:proofErr w:type="gramStart"/>
      <w:r>
        <w:t>SFEI 2014a.</w:t>
      </w:r>
      <w:proofErr w:type="gramEnd"/>
      <w:r>
        <w:t xml:space="preserve"> Synthesis of existing dissolved oxygen data in Lower South Bay. </w:t>
      </w:r>
    </w:p>
    <w:p w:rsidR="002F5862" w:rsidRDefault="002F5862"/>
    <w:p w:rsidR="002F5862" w:rsidRDefault="002F5862">
      <w:proofErr w:type="gramStart"/>
      <w:r>
        <w:t>SFEI 2014b.</w:t>
      </w:r>
      <w:proofErr w:type="gramEnd"/>
      <w:r>
        <w:t xml:space="preserve"> </w:t>
      </w:r>
      <w:proofErr w:type="gramStart"/>
      <w:r>
        <w:t>Conceptual model of nutrient impairment in San Francisco Bay.</w:t>
      </w:r>
      <w:proofErr w:type="gramEnd"/>
      <w:r>
        <w:t xml:space="preserve"> </w:t>
      </w:r>
    </w:p>
    <w:p w:rsidR="002F5862" w:rsidRDefault="002F5862"/>
    <w:p w:rsidR="00037C05" w:rsidRPr="00A56BA8" w:rsidRDefault="00037C05">
      <w:proofErr w:type="gramStart"/>
      <w:r w:rsidRPr="00E224FC">
        <w:t>SFEI</w:t>
      </w:r>
      <w:r w:rsidR="003F4204">
        <w:t>,</w:t>
      </w:r>
      <w:r w:rsidRPr="00E224FC">
        <w:t xml:space="preserve"> 2014</w:t>
      </w:r>
      <w:r w:rsidR="002F5862">
        <w:t>c</w:t>
      </w:r>
      <w:r w:rsidRPr="00E224FC">
        <w:t>.</w:t>
      </w:r>
      <w:proofErr w:type="gramEnd"/>
      <w:r w:rsidR="00D72900">
        <w:t xml:space="preserve"> </w:t>
      </w:r>
      <w:proofErr w:type="gramStart"/>
      <w:r w:rsidRPr="00E224FC">
        <w:t>Development Plan for the San Francisco Bay Nutrient Monitoring Program.</w:t>
      </w:r>
      <w:proofErr w:type="gramEnd"/>
    </w:p>
    <w:p w:rsidR="000701A1" w:rsidRPr="00E224FC" w:rsidRDefault="000701A1"/>
    <w:p w:rsidR="004421D9" w:rsidRDefault="00E82982">
      <w:proofErr w:type="gramStart"/>
      <w:r w:rsidRPr="00E224FC">
        <w:t>SF</w:t>
      </w:r>
      <w:r w:rsidR="004421D9" w:rsidRPr="00E224FC">
        <w:t>R</w:t>
      </w:r>
      <w:r w:rsidRPr="00E224FC">
        <w:t>WQCB</w:t>
      </w:r>
      <w:r w:rsidR="003F4204">
        <w:t>,</w:t>
      </w:r>
      <w:r w:rsidR="004421D9" w:rsidRPr="00E224FC">
        <w:t xml:space="preserve"> </w:t>
      </w:r>
      <w:r w:rsidR="00DB602D" w:rsidRPr="00E224FC">
        <w:t>201</w:t>
      </w:r>
      <w:r w:rsidRPr="00E224FC">
        <w:t>2</w:t>
      </w:r>
      <w:r w:rsidR="00DB602D" w:rsidRPr="00E224FC">
        <w:t>.</w:t>
      </w:r>
      <w:proofErr w:type="gramEnd"/>
      <w:r w:rsidR="00DB602D" w:rsidRPr="00E224FC">
        <w:t xml:space="preserve"> </w:t>
      </w:r>
      <w:proofErr w:type="gramStart"/>
      <w:r w:rsidRPr="00E224FC">
        <w:t>San Francisco Bay</w:t>
      </w:r>
      <w:r w:rsidR="004421D9" w:rsidRPr="00E224FC">
        <w:t xml:space="preserve"> Regional Water </w:t>
      </w:r>
      <w:r w:rsidRPr="00E224FC">
        <w:t xml:space="preserve">Quality </w:t>
      </w:r>
      <w:r w:rsidR="004421D9" w:rsidRPr="00E224FC">
        <w:t>Control Board</w:t>
      </w:r>
      <w:r w:rsidR="00DB602D" w:rsidRPr="00E224FC">
        <w:t>.</w:t>
      </w:r>
      <w:proofErr w:type="gramEnd"/>
      <w:r w:rsidR="00DB602D" w:rsidRPr="00E224FC">
        <w:t xml:space="preserve"> San Francisco Bay Nutrient </w:t>
      </w:r>
      <w:r w:rsidR="004421D9" w:rsidRPr="005F19C7">
        <w:t xml:space="preserve">Management Strategy </w:t>
      </w:r>
      <w:r w:rsidRPr="00E224FC">
        <w:t>2012</w:t>
      </w:r>
    </w:p>
    <w:p w:rsidR="00B9329F" w:rsidRDefault="00B9329F"/>
    <w:p w:rsidR="00B9329F" w:rsidRPr="00A56BA8" w:rsidRDefault="00B9329F">
      <w:proofErr w:type="gramStart"/>
      <w:r w:rsidRPr="00E224FC">
        <w:t>SFRWQCB</w:t>
      </w:r>
      <w:r w:rsidR="003F4204">
        <w:t>,</w:t>
      </w:r>
      <w:r w:rsidRPr="00E224FC">
        <w:t xml:space="preserve"> </w:t>
      </w:r>
      <w:r>
        <w:t>1975</w:t>
      </w:r>
      <w:r w:rsidRPr="00E224FC">
        <w:t>.</w:t>
      </w:r>
      <w:proofErr w:type="gramEnd"/>
      <w:r w:rsidRPr="00E224FC">
        <w:t xml:space="preserve"> San Francisco Bay Basin (Region 2) Water Quality Control Plan</w:t>
      </w:r>
    </w:p>
    <w:p w:rsidR="000701A1" w:rsidRPr="00E224FC" w:rsidRDefault="000701A1"/>
    <w:p w:rsidR="00DB602D" w:rsidRPr="005C693F" w:rsidRDefault="00DB602D">
      <w:proofErr w:type="gramStart"/>
      <w:r w:rsidRPr="005C693F">
        <w:t>SFRWQCB</w:t>
      </w:r>
      <w:r w:rsidR="003F4204">
        <w:t>,</w:t>
      </w:r>
      <w:r w:rsidRPr="005C693F">
        <w:t xml:space="preserve"> </w:t>
      </w:r>
      <w:r w:rsidR="00E82982" w:rsidRPr="005C693F">
        <w:t>201</w:t>
      </w:r>
      <w:r w:rsidR="006B45A8">
        <w:t>5</w:t>
      </w:r>
      <w:r w:rsidRPr="005C693F">
        <w:t>.</w:t>
      </w:r>
      <w:proofErr w:type="gramEnd"/>
      <w:r w:rsidRPr="005C693F">
        <w:t xml:space="preserve"> San Francisco Bay Basin (Region 2) Water Quality Control Plan, available at </w:t>
      </w:r>
      <w:hyperlink r:id="rId36" w:history="1">
        <w:r w:rsidRPr="005C693F">
          <w:rPr>
            <w:rStyle w:val="Hyperlink"/>
          </w:rPr>
          <w:t>www.waterboards.ca.gov/rwqcb2/basin_planning.shtml</w:t>
        </w:r>
      </w:hyperlink>
      <w:r w:rsidRPr="005C693F">
        <w:t>.</w:t>
      </w:r>
    </w:p>
    <w:p w:rsidR="000701A1" w:rsidRPr="005C693F" w:rsidRDefault="000701A1"/>
    <w:p w:rsidR="00DB602D" w:rsidRDefault="00DB602D">
      <w:proofErr w:type="spellStart"/>
      <w:proofErr w:type="gramStart"/>
      <w:r w:rsidRPr="005C693F">
        <w:t>Shellenbarger</w:t>
      </w:r>
      <w:proofErr w:type="spellEnd"/>
      <w:r w:rsidRPr="00E224FC">
        <w:t xml:space="preserve">, G. G., </w:t>
      </w:r>
      <w:proofErr w:type="spellStart"/>
      <w:r w:rsidRPr="00E224FC">
        <w:t>Schoellhamer</w:t>
      </w:r>
      <w:proofErr w:type="spellEnd"/>
      <w:r w:rsidRPr="00E224FC">
        <w:t xml:space="preserve">, D.H., Morgan, T.L., </w:t>
      </w:r>
      <w:proofErr w:type="spellStart"/>
      <w:r w:rsidRPr="00E224FC">
        <w:t>Takekawa</w:t>
      </w:r>
      <w:proofErr w:type="spellEnd"/>
      <w:r w:rsidRPr="00E224FC">
        <w:t xml:space="preserve">, J.Y., </w:t>
      </w:r>
      <w:proofErr w:type="spellStart"/>
      <w:r w:rsidRPr="00E224FC">
        <w:t>Ath</w:t>
      </w:r>
      <w:r w:rsidR="003F4204">
        <w:t>earn</w:t>
      </w:r>
      <w:proofErr w:type="spellEnd"/>
      <w:r w:rsidR="003F4204">
        <w:t xml:space="preserve">, N.D., and Henderson, K.D., </w:t>
      </w:r>
      <w:r w:rsidRPr="00E224FC">
        <w:t>2008.</w:t>
      </w:r>
      <w:proofErr w:type="gramEnd"/>
      <w:r w:rsidRPr="00E224FC">
        <w:t xml:space="preserve"> </w:t>
      </w:r>
      <w:proofErr w:type="gramStart"/>
      <w:r w:rsidRPr="00E224FC">
        <w:t>"Dissolved oxygen in Guadalupe Slough and Pond A3W, South San Francisco Bay, California, August and September 2007."</w:t>
      </w:r>
      <w:proofErr w:type="gramEnd"/>
      <w:r w:rsidRPr="00E224FC">
        <w:t xml:space="preserve"> </w:t>
      </w:r>
      <w:proofErr w:type="gramStart"/>
      <w:r w:rsidRPr="00E224FC">
        <w:t>U.S. Geological Survey Open-File Report 2</w:t>
      </w:r>
      <w:r w:rsidRPr="005F19C7">
        <w:t>008–1097, 26 p.</w:t>
      </w:r>
      <w:proofErr w:type="gramEnd"/>
    </w:p>
    <w:p w:rsidR="002F5862" w:rsidRDefault="002F5862"/>
    <w:p w:rsidR="002F5862" w:rsidRDefault="006D35DE">
      <w:r w:rsidRPr="006D35DE">
        <w:t xml:space="preserve">Smith S.V., </w:t>
      </w:r>
      <w:proofErr w:type="spellStart"/>
      <w:r w:rsidRPr="006D35DE">
        <w:t>Hollibaugh</w:t>
      </w:r>
      <w:proofErr w:type="spellEnd"/>
      <w:r w:rsidRPr="006D35DE">
        <w:t xml:space="preserve">, J. T., 2006. </w:t>
      </w:r>
      <w:proofErr w:type="gramStart"/>
      <w:r w:rsidRPr="006D35DE">
        <w:t>Water, salt, and nutrient exchanges in San Francisco Bay.</w:t>
      </w:r>
      <w:proofErr w:type="gramEnd"/>
      <w:r w:rsidRPr="006D35DE">
        <w:t xml:space="preserve"> </w:t>
      </w:r>
      <w:proofErr w:type="spellStart"/>
      <w:proofErr w:type="gramStart"/>
      <w:r w:rsidRPr="006D35DE">
        <w:t>Limnol</w:t>
      </w:r>
      <w:proofErr w:type="spellEnd"/>
      <w:r w:rsidRPr="006D35DE">
        <w:t>.</w:t>
      </w:r>
      <w:proofErr w:type="gramEnd"/>
      <w:r w:rsidRPr="006D35DE">
        <w:t xml:space="preserve"> </w:t>
      </w:r>
      <w:proofErr w:type="spellStart"/>
      <w:proofErr w:type="gramStart"/>
      <w:r w:rsidRPr="006D35DE">
        <w:t>Oceanogr</w:t>
      </w:r>
      <w:proofErr w:type="spellEnd"/>
      <w:r w:rsidRPr="006D35DE">
        <w:t>.</w:t>
      </w:r>
      <w:proofErr w:type="gramEnd"/>
      <w:r w:rsidRPr="006D35DE">
        <w:t xml:space="preserve"> 51, 504–517.</w:t>
      </w:r>
    </w:p>
    <w:p w:rsidR="002F5862" w:rsidRDefault="002F5862"/>
    <w:p w:rsidR="005A46BC" w:rsidRPr="00CB0E57" w:rsidRDefault="00766906">
      <w:proofErr w:type="spellStart"/>
      <w:proofErr w:type="gramStart"/>
      <w:r w:rsidRPr="00CB0E57">
        <w:t>Sutula</w:t>
      </w:r>
      <w:proofErr w:type="spellEnd"/>
      <w:r w:rsidRPr="00CB0E57">
        <w:t>, M.</w:t>
      </w:r>
      <w:r w:rsidR="003F4204">
        <w:t>,</w:t>
      </w:r>
      <w:r w:rsidRPr="00CB0E57">
        <w:t xml:space="preserve"> 2011.</w:t>
      </w:r>
      <w:proofErr w:type="gramEnd"/>
      <w:r w:rsidRPr="00CB0E57">
        <w:t xml:space="preserve"> Review of indicators for development of nutrient numeric endpoints in California estuaries. </w:t>
      </w:r>
      <w:proofErr w:type="gramStart"/>
      <w:r w:rsidRPr="00CB0E57">
        <w:t>Technical Report 646.</w:t>
      </w:r>
      <w:proofErr w:type="gramEnd"/>
      <w:r w:rsidRPr="00CB0E57">
        <w:t xml:space="preserve"> </w:t>
      </w:r>
      <w:proofErr w:type="gramStart"/>
      <w:r w:rsidRPr="00CB0E57">
        <w:t>Southern California Coastal Water Research Project.</w:t>
      </w:r>
      <w:proofErr w:type="gramEnd"/>
      <w:r w:rsidRPr="00CB0E57">
        <w:t xml:space="preserve"> Costa Mesa, CA.</w:t>
      </w:r>
    </w:p>
    <w:p w:rsidR="00766906" w:rsidRPr="00CB0E57" w:rsidRDefault="00766906"/>
    <w:p w:rsidR="00DB602D" w:rsidRPr="00CB0E57" w:rsidRDefault="00DB602D">
      <w:proofErr w:type="gramStart"/>
      <w:r w:rsidRPr="00CB0E57">
        <w:t>S</w:t>
      </w:r>
      <w:r w:rsidR="00E82982" w:rsidRPr="00CB0E57">
        <w:t>WRCB</w:t>
      </w:r>
      <w:r w:rsidR="003F4204">
        <w:t>,</w:t>
      </w:r>
      <w:r w:rsidRPr="00CB0E57">
        <w:t xml:space="preserve"> 2014.</w:t>
      </w:r>
      <w:proofErr w:type="gramEnd"/>
      <w:r w:rsidRPr="00CB0E57">
        <w:t xml:space="preserve"> </w:t>
      </w:r>
      <w:proofErr w:type="gramStart"/>
      <w:r w:rsidRPr="00CB0E57">
        <w:t>State Water Resources Control Board.</w:t>
      </w:r>
      <w:proofErr w:type="gramEnd"/>
      <w:r w:rsidRPr="00CB0E57">
        <w:t xml:space="preserve"> </w:t>
      </w:r>
      <w:proofErr w:type="gramStart"/>
      <w:r w:rsidRPr="00CB0E57">
        <w:t xml:space="preserve">Proposed </w:t>
      </w:r>
      <w:proofErr w:type="spellStart"/>
      <w:r w:rsidRPr="00CB0E57">
        <w:t>Workplan</w:t>
      </w:r>
      <w:proofErr w:type="spellEnd"/>
      <w:r w:rsidRPr="00CB0E57">
        <w:t xml:space="preserve"> for Development of a Nutrient Control Program.</w:t>
      </w:r>
      <w:proofErr w:type="gramEnd"/>
      <w:r w:rsidRPr="00CB0E57">
        <w:t xml:space="preserve"> </w:t>
      </w:r>
      <w:hyperlink r:id="rId37" w:history="1">
        <w:r w:rsidRPr="00CB0E57">
          <w:rPr>
            <w:rStyle w:val="Hyperlink"/>
          </w:rPr>
          <w:t>www.waterboards.ca.gov/plans_policies/nutrients.shtml</w:t>
        </w:r>
      </w:hyperlink>
    </w:p>
    <w:p w:rsidR="00DF6DD2" w:rsidRPr="00CB0E57" w:rsidRDefault="00DF6DD2">
      <w:pPr>
        <w:rPr>
          <w:rStyle w:val="Hyperlink"/>
        </w:rPr>
      </w:pPr>
    </w:p>
    <w:p w:rsidR="00DB602D" w:rsidRPr="00CB0E57" w:rsidRDefault="00DB602D">
      <w:proofErr w:type="gramStart"/>
      <w:r w:rsidRPr="00CB0E57">
        <w:t xml:space="preserve">Tetra </w:t>
      </w:r>
      <w:proofErr w:type="spellStart"/>
      <w:r w:rsidRPr="00CB0E57">
        <w:t>Tech</w:t>
      </w:r>
      <w:proofErr w:type="spellEnd"/>
      <w:r w:rsidR="003F4204">
        <w:t>,</w:t>
      </w:r>
      <w:r w:rsidRPr="00CB0E57">
        <w:t xml:space="preserve"> 2006.</w:t>
      </w:r>
      <w:proofErr w:type="gramEnd"/>
      <w:r w:rsidRPr="00CB0E57">
        <w:t xml:space="preserve"> </w:t>
      </w:r>
      <w:proofErr w:type="gramStart"/>
      <w:r w:rsidRPr="00CB0E57">
        <w:t>Technical Approach to Develop Nutrient Numeric Endpoints for California.</w:t>
      </w:r>
      <w:proofErr w:type="gramEnd"/>
      <w:r w:rsidRPr="00CB0E57">
        <w:t xml:space="preserve"> </w:t>
      </w:r>
      <w:proofErr w:type="gramStart"/>
      <w:r w:rsidRPr="00CB0E57">
        <w:t xml:space="preserve">Tetra Tech, Inc. </w:t>
      </w:r>
      <w:hyperlink r:id="rId38" w:history="1">
        <w:r w:rsidR="00FE329F" w:rsidRPr="00CA60B2">
          <w:rPr>
            <w:rStyle w:val="Hyperlink"/>
          </w:rPr>
          <w:t>http://rd.tetratech.com/epa/Documents/CA_NNE_July_Final.pdf</w:t>
        </w:r>
      </w:hyperlink>
      <w:r w:rsidRPr="00CB0E57">
        <w:t>.</w:t>
      </w:r>
      <w:proofErr w:type="gramEnd"/>
    </w:p>
    <w:p w:rsidR="00DF6DD2" w:rsidRPr="00E224FC" w:rsidRDefault="00DF6DD2"/>
    <w:p w:rsidR="004421D9" w:rsidRPr="00A56BA8" w:rsidRDefault="004421D9">
      <w:proofErr w:type="spellStart"/>
      <w:r w:rsidRPr="00E224FC">
        <w:t>Tett</w:t>
      </w:r>
      <w:proofErr w:type="spellEnd"/>
      <w:r w:rsidRPr="00E224FC">
        <w:t xml:space="preserve">, Paul, Richard </w:t>
      </w:r>
      <w:proofErr w:type="spellStart"/>
      <w:r w:rsidRPr="00E224FC">
        <w:t>Gowen</w:t>
      </w:r>
      <w:proofErr w:type="spellEnd"/>
      <w:r w:rsidRPr="00E224FC">
        <w:t xml:space="preserve">, Dave Mills, Teresa </w:t>
      </w:r>
      <w:proofErr w:type="spellStart"/>
      <w:r w:rsidRPr="00E224FC">
        <w:t>Fernandes</w:t>
      </w:r>
      <w:proofErr w:type="spellEnd"/>
      <w:r w:rsidRPr="00E224FC">
        <w:t xml:space="preserve">, Linda Gilpin, Mark </w:t>
      </w:r>
      <w:proofErr w:type="spellStart"/>
      <w:r w:rsidRPr="00E224FC">
        <w:t>Huxham</w:t>
      </w:r>
      <w:proofErr w:type="spellEnd"/>
      <w:r w:rsidRPr="00E224FC">
        <w:t xml:space="preserve">, Kevin </w:t>
      </w:r>
      <w:proofErr w:type="spellStart"/>
      <w:r w:rsidRPr="00E224FC">
        <w:t>Kennington</w:t>
      </w:r>
      <w:proofErr w:type="spellEnd"/>
      <w:r w:rsidRPr="00E224FC">
        <w:t xml:space="preserve"> et al.</w:t>
      </w:r>
      <w:r w:rsidR="003F4204">
        <w:t>, 2007.</w:t>
      </w:r>
      <w:r w:rsidRPr="00E224FC">
        <w:t xml:space="preserve"> "Defining and detecting undesirable disturbance in the context of marine eutrophication." Marine Pollution Bulletin 55, no. 1 2007: 282-297.</w:t>
      </w:r>
    </w:p>
    <w:p w:rsidR="00DF6DD2" w:rsidRPr="00E224FC" w:rsidRDefault="00DF6DD2"/>
    <w:p w:rsidR="004421D9" w:rsidRPr="00E224FC" w:rsidRDefault="00DB602D">
      <w:proofErr w:type="spellStart"/>
      <w:proofErr w:type="gramStart"/>
      <w:r w:rsidRPr="00E224FC">
        <w:t>Thebault</w:t>
      </w:r>
      <w:proofErr w:type="spellEnd"/>
      <w:r w:rsidRPr="00E224FC">
        <w:t xml:space="preserve">, J., T. S. </w:t>
      </w:r>
      <w:proofErr w:type="spellStart"/>
      <w:r w:rsidRPr="00E224FC">
        <w:t>Schraga</w:t>
      </w:r>
      <w:proofErr w:type="spellEnd"/>
      <w:r w:rsidRPr="00E224FC">
        <w:t>, et al.</w:t>
      </w:r>
      <w:r w:rsidR="003F4204">
        <w:t xml:space="preserve">, </w:t>
      </w:r>
      <w:r w:rsidRPr="00E224FC">
        <w:t>2008.</w:t>
      </w:r>
      <w:proofErr w:type="gramEnd"/>
      <w:r w:rsidRPr="00E224FC">
        <w:t xml:space="preserve"> </w:t>
      </w:r>
      <w:proofErr w:type="gramStart"/>
      <w:r w:rsidRPr="00E224FC">
        <w:t>"Primary production and carrying capacity of former salt ponds after reconnection to San Francisco Bay."</w:t>
      </w:r>
      <w:proofErr w:type="gramEnd"/>
      <w:r w:rsidRPr="00E224FC">
        <w:t xml:space="preserve"> Wetlands 28(3): 841-851.</w:t>
      </w:r>
    </w:p>
    <w:p w:rsidR="00DF6DD2" w:rsidRPr="00E224FC" w:rsidRDefault="00DF6DD2"/>
    <w:p w:rsidR="00DB602D" w:rsidRPr="00A56BA8" w:rsidRDefault="00DB602D">
      <w:proofErr w:type="gramStart"/>
      <w:r w:rsidRPr="00E224FC">
        <w:t xml:space="preserve">Topping, B. R., </w:t>
      </w:r>
      <w:proofErr w:type="spellStart"/>
      <w:r w:rsidRPr="00E224FC">
        <w:t>Kuwabara</w:t>
      </w:r>
      <w:proofErr w:type="spellEnd"/>
      <w:r w:rsidRPr="00E224FC">
        <w:t xml:space="preserve">, J.S., </w:t>
      </w:r>
      <w:proofErr w:type="spellStart"/>
      <w:r w:rsidRPr="00E224FC">
        <w:t>Athearn</w:t>
      </w:r>
      <w:proofErr w:type="spellEnd"/>
      <w:r w:rsidRPr="00E224FC">
        <w:t xml:space="preserve">, N.D., </w:t>
      </w:r>
      <w:proofErr w:type="spellStart"/>
      <w:r w:rsidRPr="00E224FC">
        <w:t>Takekawa</w:t>
      </w:r>
      <w:proofErr w:type="spellEnd"/>
      <w:r w:rsidRPr="00E224FC">
        <w:t xml:space="preserve">, J.Y., </w:t>
      </w:r>
      <w:proofErr w:type="spellStart"/>
      <w:r w:rsidRPr="00E224FC">
        <w:t>Parchaso</w:t>
      </w:r>
      <w:proofErr w:type="spellEnd"/>
      <w:r w:rsidRPr="00E224FC">
        <w:t xml:space="preserve">, F., Henderson, K.D., and </w:t>
      </w:r>
      <w:proofErr w:type="spellStart"/>
      <w:r w:rsidRPr="00E224FC">
        <w:t>Piotter</w:t>
      </w:r>
      <w:proofErr w:type="spellEnd"/>
      <w:r w:rsidRPr="00E224FC">
        <w:t>, S.</w:t>
      </w:r>
      <w:r w:rsidR="003F4204">
        <w:t>,</w:t>
      </w:r>
      <w:r w:rsidRPr="00E224FC">
        <w:t xml:space="preserve"> 2009.</w:t>
      </w:r>
      <w:proofErr w:type="gramEnd"/>
      <w:r w:rsidRPr="00E224FC">
        <w:t xml:space="preserve"> </w:t>
      </w:r>
      <w:proofErr w:type="gramStart"/>
      <w:r w:rsidRPr="00E224FC">
        <w:t>Benthic oxygen demand in three former salt ponds adjacent to south San Francisco Bay, California.</w:t>
      </w:r>
      <w:proofErr w:type="gramEnd"/>
      <w:r w:rsidRPr="00E224FC">
        <w:t xml:space="preserve"> </w:t>
      </w:r>
      <w:proofErr w:type="gramStart"/>
      <w:r w:rsidRPr="00E224FC">
        <w:t>U.S. Geological Survey Open-File Report 2009-1180, 21 p.</w:t>
      </w:r>
      <w:proofErr w:type="gramEnd"/>
    </w:p>
    <w:p w:rsidR="00DF6DD2" w:rsidRPr="00E224FC" w:rsidRDefault="00DF6DD2"/>
    <w:p w:rsidR="00E32013" w:rsidRDefault="00DF6DD2">
      <w:proofErr w:type="gramStart"/>
      <w:r w:rsidRPr="00E224FC">
        <w:t>USEPA</w:t>
      </w:r>
      <w:r w:rsidR="003F4204">
        <w:t xml:space="preserve">, </w:t>
      </w:r>
      <w:r w:rsidR="005C693F">
        <w:t>2001</w:t>
      </w:r>
      <w:r w:rsidR="00E32013" w:rsidRPr="00E224FC">
        <w:t>.</w:t>
      </w:r>
      <w:proofErr w:type="gramEnd"/>
      <w:r w:rsidR="00E32013" w:rsidRPr="00E224FC">
        <w:t xml:space="preserve"> Nutrient Criteria</w:t>
      </w:r>
      <w:r w:rsidR="005C693F">
        <w:t xml:space="preserve"> Technical Guidance Manual: Estuarine, Coastal and Marine Waters</w:t>
      </w:r>
      <w:r w:rsidR="00E32013" w:rsidRPr="00E224FC">
        <w:t xml:space="preserve">. </w:t>
      </w:r>
      <w:proofErr w:type="gramStart"/>
      <w:r w:rsidR="00E32013" w:rsidRPr="00E224FC">
        <w:t>Office of Water, U.S. Environmental Protection Agency.</w:t>
      </w:r>
      <w:proofErr w:type="gramEnd"/>
      <w:r w:rsidR="00E32013" w:rsidRPr="00E224FC">
        <w:t xml:space="preserve"> </w:t>
      </w:r>
      <w:proofErr w:type="gramStart"/>
      <w:r w:rsidR="00E32013" w:rsidRPr="00E224FC">
        <w:t>EPA 822-</w:t>
      </w:r>
      <w:r w:rsidR="005C693F">
        <w:t>B</w:t>
      </w:r>
      <w:r w:rsidR="00E32013" w:rsidRPr="00E224FC">
        <w:t>-</w:t>
      </w:r>
      <w:r w:rsidR="005C693F">
        <w:t>01</w:t>
      </w:r>
      <w:r w:rsidR="00E32013" w:rsidRPr="00E224FC">
        <w:t>-00</w:t>
      </w:r>
      <w:r w:rsidR="005C693F">
        <w:t>3</w:t>
      </w:r>
      <w:r w:rsidR="00E32013" w:rsidRPr="00E224FC">
        <w:t>.</w:t>
      </w:r>
      <w:proofErr w:type="gramEnd"/>
    </w:p>
    <w:p w:rsidR="0045380C" w:rsidRDefault="0045380C"/>
    <w:p w:rsidR="0045380C" w:rsidRDefault="0045380C" w:rsidP="0045380C">
      <w:proofErr w:type="spellStart"/>
      <w:proofErr w:type="gramStart"/>
      <w:r>
        <w:t>Vlamis</w:t>
      </w:r>
      <w:proofErr w:type="spellEnd"/>
      <w:r>
        <w:t xml:space="preserve"> A. and P. </w:t>
      </w:r>
      <w:proofErr w:type="spellStart"/>
      <w:r>
        <w:t>Katikou</w:t>
      </w:r>
      <w:proofErr w:type="spellEnd"/>
      <w:r>
        <w:t>.</w:t>
      </w:r>
      <w:r w:rsidR="003F4204">
        <w:t>,</w:t>
      </w:r>
      <w:r>
        <w:t xml:space="preserve"> 2014.</w:t>
      </w:r>
      <w:proofErr w:type="gramEnd"/>
      <w:r>
        <w:t xml:space="preserve"> Climate influence on </w:t>
      </w:r>
      <w:proofErr w:type="spellStart"/>
      <w:r>
        <w:t>Dinophysis</w:t>
      </w:r>
      <w:proofErr w:type="spellEnd"/>
      <w:r>
        <w:t xml:space="preserve"> spp. spatial and temporal</w:t>
      </w:r>
    </w:p>
    <w:p w:rsidR="0045380C" w:rsidRPr="005F19C7" w:rsidRDefault="0045380C" w:rsidP="0045380C">
      <w:proofErr w:type="gramStart"/>
      <w:r>
        <w:t>distributions</w:t>
      </w:r>
      <w:proofErr w:type="gramEnd"/>
      <w:r>
        <w:t xml:space="preserve"> in Greek coastal water. </w:t>
      </w:r>
      <w:r w:rsidRPr="0045380C">
        <w:t>Plankton Benthos Res 9(1): 15–31</w:t>
      </w:r>
      <w:r>
        <w:t>.</w:t>
      </w:r>
    </w:p>
    <w:p w:rsidR="00DF6DD2" w:rsidRPr="00E224FC" w:rsidRDefault="00DF6DD2"/>
    <w:p w:rsidR="00CF0F3E" w:rsidRPr="00CF0F3E" w:rsidRDefault="00DB602D" w:rsidP="00180C0B">
      <w:pPr>
        <w:pStyle w:val="Default"/>
        <w:rPr>
          <w:sz w:val="24"/>
          <w:szCs w:val="24"/>
        </w:rPr>
        <w:sectPr w:rsidR="00CF0F3E" w:rsidRPr="00CF0F3E" w:rsidSect="00521D92">
          <w:footerReference w:type="default" r:id="rId39"/>
          <w:pgSz w:w="12240" w:h="15840"/>
          <w:pgMar w:top="1440" w:right="1440" w:bottom="1440" w:left="1440" w:header="720" w:footer="720" w:gutter="0"/>
          <w:lnNumType w:countBy="1" w:restart="continuous"/>
          <w:cols w:space="720"/>
          <w:docGrid w:linePitch="360"/>
        </w:sectPr>
      </w:pPr>
      <w:proofErr w:type="spellStart"/>
      <w:r w:rsidRPr="00CF0F3E">
        <w:rPr>
          <w:sz w:val="24"/>
          <w:szCs w:val="24"/>
        </w:rPr>
        <w:lastRenderedPageBreak/>
        <w:t>Zaldivar</w:t>
      </w:r>
      <w:proofErr w:type="spellEnd"/>
      <w:r w:rsidRPr="00CF0F3E">
        <w:rPr>
          <w:sz w:val="24"/>
          <w:szCs w:val="24"/>
        </w:rPr>
        <w:t xml:space="preserve">, J.-M., </w:t>
      </w:r>
      <w:r w:rsidR="00AE4353" w:rsidRPr="00CF0F3E">
        <w:rPr>
          <w:color w:val="221E1F"/>
          <w:sz w:val="24"/>
          <w:szCs w:val="24"/>
        </w:rPr>
        <w:t xml:space="preserve">Ana Cristina Cardoso, </w:t>
      </w:r>
      <w:proofErr w:type="spellStart"/>
      <w:r w:rsidR="00AE4353" w:rsidRPr="00CF0F3E">
        <w:rPr>
          <w:color w:val="221E1F"/>
          <w:sz w:val="24"/>
          <w:szCs w:val="24"/>
        </w:rPr>
        <w:t>Pierluigi</w:t>
      </w:r>
      <w:proofErr w:type="spellEnd"/>
      <w:r w:rsidR="00AE4353" w:rsidRPr="00CF0F3E">
        <w:rPr>
          <w:color w:val="221E1F"/>
          <w:sz w:val="24"/>
          <w:szCs w:val="24"/>
        </w:rPr>
        <w:t xml:space="preserve"> </w:t>
      </w:r>
      <w:proofErr w:type="spellStart"/>
      <w:r w:rsidR="00AE4353" w:rsidRPr="00CF0F3E">
        <w:rPr>
          <w:color w:val="221E1F"/>
          <w:sz w:val="24"/>
          <w:szCs w:val="24"/>
        </w:rPr>
        <w:t>Viaroli</w:t>
      </w:r>
      <w:proofErr w:type="spellEnd"/>
      <w:r w:rsidR="00AE4353" w:rsidRPr="00CF0F3E">
        <w:rPr>
          <w:color w:val="221E1F"/>
          <w:sz w:val="24"/>
          <w:szCs w:val="24"/>
        </w:rPr>
        <w:t xml:space="preserve">, Alice Newton, </w:t>
      </w:r>
      <w:proofErr w:type="spellStart"/>
      <w:r w:rsidR="00AE4353" w:rsidRPr="00CF0F3E">
        <w:rPr>
          <w:color w:val="221E1F"/>
          <w:sz w:val="24"/>
          <w:szCs w:val="24"/>
        </w:rPr>
        <w:t>Rutger</w:t>
      </w:r>
      <w:proofErr w:type="spellEnd"/>
      <w:r w:rsidR="00AE4353" w:rsidRPr="00CF0F3E">
        <w:rPr>
          <w:color w:val="221E1F"/>
          <w:sz w:val="24"/>
          <w:szCs w:val="24"/>
        </w:rPr>
        <w:t xml:space="preserve"> de Wit, </w:t>
      </w:r>
      <w:proofErr w:type="spellStart"/>
      <w:r w:rsidR="00AE4353" w:rsidRPr="00CF0F3E">
        <w:rPr>
          <w:color w:val="221E1F"/>
          <w:sz w:val="24"/>
          <w:szCs w:val="24"/>
        </w:rPr>
        <w:t>Carles</w:t>
      </w:r>
      <w:proofErr w:type="spellEnd"/>
      <w:r w:rsidR="00AE4353" w:rsidRPr="00CF0F3E">
        <w:rPr>
          <w:color w:val="221E1F"/>
          <w:sz w:val="24"/>
          <w:szCs w:val="24"/>
        </w:rPr>
        <w:t xml:space="preserve"> </w:t>
      </w:r>
      <w:proofErr w:type="spellStart"/>
      <w:r w:rsidR="00AE4353" w:rsidRPr="00CF0F3E">
        <w:rPr>
          <w:color w:val="221E1F"/>
          <w:sz w:val="24"/>
          <w:szCs w:val="24"/>
        </w:rPr>
        <w:t>Ibañez</w:t>
      </w:r>
      <w:proofErr w:type="spellEnd"/>
      <w:r w:rsidR="00AE4353" w:rsidRPr="00CF0F3E">
        <w:rPr>
          <w:color w:val="221E1F"/>
          <w:sz w:val="24"/>
          <w:szCs w:val="24"/>
        </w:rPr>
        <w:t xml:space="preserve">, Sofia </w:t>
      </w:r>
      <w:proofErr w:type="spellStart"/>
      <w:r w:rsidR="00AE4353" w:rsidRPr="00CF0F3E">
        <w:rPr>
          <w:color w:val="221E1F"/>
          <w:sz w:val="24"/>
          <w:szCs w:val="24"/>
        </w:rPr>
        <w:t>Reizopoulou</w:t>
      </w:r>
      <w:proofErr w:type="spellEnd"/>
      <w:r w:rsidR="00AE4353" w:rsidRPr="00CF0F3E">
        <w:rPr>
          <w:color w:val="221E1F"/>
          <w:sz w:val="24"/>
          <w:szCs w:val="24"/>
        </w:rPr>
        <w:t xml:space="preserve">, Francesca </w:t>
      </w:r>
      <w:proofErr w:type="spellStart"/>
      <w:r w:rsidR="00AE4353" w:rsidRPr="00CF0F3E">
        <w:rPr>
          <w:color w:val="221E1F"/>
          <w:sz w:val="24"/>
          <w:szCs w:val="24"/>
        </w:rPr>
        <w:t>Somma</w:t>
      </w:r>
      <w:proofErr w:type="spellEnd"/>
      <w:r w:rsidR="00AE4353" w:rsidRPr="00CF0F3E">
        <w:rPr>
          <w:color w:val="221E1F"/>
          <w:sz w:val="24"/>
          <w:szCs w:val="24"/>
        </w:rPr>
        <w:t xml:space="preserve">, </w:t>
      </w:r>
      <w:proofErr w:type="spellStart"/>
      <w:r w:rsidR="00AE4353" w:rsidRPr="00CF0F3E">
        <w:rPr>
          <w:color w:val="221E1F"/>
          <w:sz w:val="24"/>
          <w:szCs w:val="24"/>
        </w:rPr>
        <w:t>Arturas</w:t>
      </w:r>
      <w:proofErr w:type="spellEnd"/>
      <w:r w:rsidR="00AE4353" w:rsidRPr="00CF0F3E">
        <w:rPr>
          <w:color w:val="221E1F"/>
          <w:sz w:val="24"/>
          <w:szCs w:val="24"/>
        </w:rPr>
        <w:t xml:space="preserve"> </w:t>
      </w:r>
      <w:proofErr w:type="spellStart"/>
      <w:r w:rsidR="00AE4353" w:rsidRPr="00CF0F3E">
        <w:rPr>
          <w:color w:val="221E1F"/>
          <w:sz w:val="24"/>
          <w:szCs w:val="24"/>
        </w:rPr>
        <w:t>Razinkovas</w:t>
      </w:r>
      <w:proofErr w:type="spellEnd"/>
      <w:r w:rsidR="00AE4353" w:rsidRPr="00CF0F3E">
        <w:rPr>
          <w:color w:val="221E1F"/>
          <w:sz w:val="24"/>
          <w:szCs w:val="24"/>
        </w:rPr>
        <w:t xml:space="preserve">, Alberto Basset, Marianne </w:t>
      </w:r>
      <w:proofErr w:type="spellStart"/>
      <w:r w:rsidR="00AE4353" w:rsidRPr="00CF0F3E">
        <w:rPr>
          <w:color w:val="221E1F"/>
          <w:sz w:val="24"/>
          <w:szCs w:val="24"/>
        </w:rPr>
        <w:t>Holmer</w:t>
      </w:r>
      <w:proofErr w:type="spellEnd"/>
      <w:r w:rsidR="0045380C">
        <w:rPr>
          <w:color w:val="221E1F"/>
          <w:sz w:val="24"/>
          <w:szCs w:val="24"/>
        </w:rPr>
        <w:t xml:space="preserve">, </w:t>
      </w:r>
      <w:r w:rsidR="00AE4353" w:rsidRPr="00CF0F3E">
        <w:rPr>
          <w:rFonts w:eastAsia="DF Kai Shu"/>
          <w:color w:val="221E1F"/>
          <w:sz w:val="24"/>
          <w:szCs w:val="24"/>
        </w:rPr>
        <w:t>and Nicholas Murray.</w:t>
      </w:r>
      <w:r w:rsidR="003F4204">
        <w:rPr>
          <w:rFonts w:eastAsia="DF Kai Shu"/>
          <w:color w:val="221E1F"/>
          <w:sz w:val="24"/>
          <w:szCs w:val="24"/>
        </w:rPr>
        <w:t xml:space="preserve">, </w:t>
      </w:r>
      <w:r w:rsidRPr="00CF0F3E">
        <w:rPr>
          <w:sz w:val="24"/>
          <w:szCs w:val="24"/>
        </w:rPr>
        <w:t>2008, Eutrophication in transitional waters: an overview, Transitional Waters Monographs, 1, 1-78.</w:t>
      </w:r>
    </w:p>
    <w:p w:rsidR="00692741" w:rsidRDefault="00012955" w:rsidP="0065032F">
      <w:pPr>
        <w:pStyle w:val="Heading1"/>
        <w:numPr>
          <w:ilvl w:val="0"/>
          <w:numId w:val="0"/>
        </w:numPr>
        <w:ind w:left="432" w:hanging="432"/>
      </w:pPr>
      <w:bookmarkStart w:id="88" w:name="_Toc433370080"/>
      <w:r w:rsidRPr="00E224FC">
        <w:lastRenderedPageBreak/>
        <w:t xml:space="preserve">Appendix </w:t>
      </w:r>
      <w:r w:rsidR="001B56A2">
        <w:t>A</w:t>
      </w:r>
      <w:r w:rsidR="000C09CA">
        <w:t>.</w:t>
      </w:r>
      <w:r w:rsidR="00692741">
        <w:t xml:space="preserve"> Definitions of Key Terms and</w:t>
      </w:r>
      <w:r w:rsidR="00D72900">
        <w:t xml:space="preserve"> </w:t>
      </w:r>
      <w:r w:rsidR="00692741">
        <w:t>SFB Beneficial Uses</w:t>
      </w:r>
      <w:bookmarkEnd w:id="88"/>
    </w:p>
    <w:p w:rsidR="00692741" w:rsidRPr="00692741" w:rsidRDefault="00692741">
      <w:pPr>
        <w:spacing w:line="276" w:lineRule="auto"/>
      </w:pPr>
    </w:p>
    <w:p w:rsidR="00692741" w:rsidRPr="00692741" w:rsidRDefault="00692741">
      <w:pPr>
        <w:spacing w:line="276" w:lineRule="auto"/>
      </w:pPr>
    </w:p>
    <w:p w:rsidR="00692741" w:rsidRPr="00692741" w:rsidRDefault="00692741">
      <w:pPr>
        <w:spacing w:line="276" w:lineRule="auto"/>
      </w:pPr>
    </w:p>
    <w:p w:rsidR="00692741" w:rsidRPr="00692741" w:rsidRDefault="00692741">
      <w:pPr>
        <w:spacing w:line="276" w:lineRule="auto"/>
      </w:pPr>
    </w:p>
    <w:p w:rsidR="00692741" w:rsidRPr="00692741" w:rsidRDefault="00692741">
      <w:pPr>
        <w:spacing w:line="276" w:lineRule="auto"/>
      </w:pPr>
    </w:p>
    <w:p w:rsidR="00692741" w:rsidRPr="00692741" w:rsidRDefault="00692741">
      <w:pPr>
        <w:spacing w:line="276" w:lineRule="auto"/>
      </w:pPr>
    </w:p>
    <w:p w:rsidR="00692741" w:rsidRPr="00692741" w:rsidRDefault="00692741">
      <w:pPr>
        <w:spacing w:line="276" w:lineRule="auto"/>
      </w:pPr>
    </w:p>
    <w:p w:rsidR="00692741" w:rsidRPr="00692741" w:rsidRDefault="00692741">
      <w:pPr>
        <w:spacing w:line="276" w:lineRule="auto"/>
      </w:pPr>
    </w:p>
    <w:p w:rsidR="00692741" w:rsidRPr="00692741" w:rsidRDefault="00692741">
      <w:pPr>
        <w:spacing w:line="276" w:lineRule="auto"/>
      </w:pPr>
    </w:p>
    <w:p w:rsidR="00692741" w:rsidRPr="00692741" w:rsidRDefault="00692741">
      <w:pPr>
        <w:spacing w:line="276" w:lineRule="auto"/>
      </w:pPr>
    </w:p>
    <w:p w:rsidR="00692741" w:rsidRPr="00692741" w:rsidRDefault="00692741">
      <w:pPr>
        <w:spacing w:line="276" w:lineRule="auto"/>
      </w:pPr>
    </w:p>
    <w:p w:rsidR="00692741" w:rsidRPr="00692741" w:rsidRDefault="00692741">
      <w:pPr>
        <w:spacing w:line="276" w:lineRule="auto"/>
      </w:pPr>
    </w:p>
    <w:p w:rsidR="00692741" w:rsidRPr="00692741" w:rsidRDefault="00692741">
      <w:pPr>
        <w:spacing w:line="276" w:lineRule="auto"/>
      </w:pPr>
    </w:p>
    <w:p w:rsidR="00692741" w:rsidRDefault="00692741">
      <w:pPr>
        <w:spacing w:line="276" w:lineRule="auto"/>
      </w:pPr>
    </w:p>
    <w:p w:rsidR="00692741" w:rsidRDefault="00692741" w:rsidP="0065032F">
      <w:pPr>
        <w:spacing w:line="276" w:lineRule="auto"/>
      </w:pPr>
    </w:p>
    <w:p w:rsidR="00692741" w:rsidRDefault="00692741">
      <w:pPr>
        <w:spacing w:line="276" w:lineRule="auto"/>
      </w:pPr>
    </w:p>
    <w:p w:rsidR="00012955" w:rsidRPr="00692741" w:rsidRDefault="00012955">
      <w:pPr>
        <w:spacing w:line="276" w:lineRule="auto"/>
        <w:sectPr w:rsidR="00012955" w:rsidRPr="00692741" w:rsidSect="001B03A2">
          <w:footerReference w:type="default" r:id="rId40"/>
          <w:pgSz w:w="12240" w:h="15840"/>
          <w:pgMar w:top="1440" w:right="1440" w:bottom="1440" w:left="1440" w:header="720" w:footer="720" w:gutter="0"/>
          <w:lnNumType w:countBy="1" w:restart="continuous"/>
          <w:cols w:space="720"/>
          <w:docGrid w:linePitch="360"/>
        </w:sectPr>
      </w:pPr>
    </w:p>
    <w:p w:rsidR="00D33A16" w:rsidRDefault="00012955" w:rsidP="0065032F">
      <w:pPr>
        <w:pStyle w:val="Heading1"/>
        <w:numPr>
          <w:ilvl w:val="0"/>
          <w:numId w:val="0"/>
        </w:numPr>
        <w:ind w:left="432" w:hanging="432"/>
        <w:sectPr w:rsidR="00D33A16" w:rsidSect="0095445E">
          <w:footerReference w:type="default" r:id="rId41"/>
          <w:pgSz w:w="12240" w:h="15840"/>
          <w:pgMar w:top="1440" w:right="1440" w:bottom="1440" w:left="1440" w:header="720" w:footer="720" w:gutter="0"/>
          <w:lnNumType w:countBy="1" w:restart="continuous"/>
          <w:cols w:space="720"/>
          <w:docGrid w:linePitch="360"/>
        </w:sectPr>
      </w:pPr>
      <w:bookmarkStart w:id="89" w:name="_Toc433370081"/>
      <w:r w:rsidRPr="00E224FC">
        <w:lastRenderedPageBreak/>
        <w:t xml:space="preserve">Appendix </w:t>
      </w:r>
      <w:r w:rsidR="00D33A16">
        <w:t>B</w:t>
      </w:r>
      <w:r w:rsidR="0087034F" w:rsidRPr="00E224FC">
        <w:t xml:space="preserve"> </w:t>
      </w:r>
      <w:r w:rsidR="00D33A16">
        <w:t>Review of Approaches to Assessment of Nutrient Effects on Estuaries</w:t>
      </w:r>
      <w:bookmarkEnd w:id="89"/>
    </w:p>
    <w:p w:rsidR="00D33A16" w:rsidRDefault="00D33A16" w:rsidP="0065032F">
      <w:pPr>
        <w:pStyle w:val="Heading1"/>
        <w:numPr>
          <w:ilvl w:val="0"/>
          <w:numId w:val="0"/>
        </w:numPr>
        <w:ind w:left="432" w:hanging="432"/>
        <w:sectPr w:rsidR="00D33A16" w:rsidSect="001B03A2">
          <w:headerReference w:type="default" r:id="rId42"/>
          <w:footerReference w:type="default" r:id="rId43"/>
          <w:pgSz w:w="12240" w:h="15840"/>
          <w:pgMar w:top="1440" w:right="1440" w:bottom="1440" w:left="1440" w:header="720" w:footer="720" w:gutter="0"/>
          <w:lnNumType w:countBy="1" w:restart="continuous"/>
          <w:cols w:space="720"/>
          <w:docGrid w:linePitch="360"/>
        </w:sectPr>
      </w:pPr>
      <w:bookmarkStart w:id="90" w:name="_Toc433370082"/>
      <w:r w:rsidRPr="00E224FC">
        <w:lastRenderedPageBreak/>
        <w:t xml:space="preserve">Appendix </w:t>
      </w:r>
      <w:r>
        <w:t>C</w:t>
      </w:r>
      <w:r w:rsidRPr="00E224FC">
        <w:t xml:space="preserve"> </w:t>
      </w:r>
      <w:r>
        <w:t>Quantitative Analyses Supporting Decisions on Chlorophyll-A Assessment Endpoints (</w:t>
      </w:r>
      <w:proofErr w:type="spellStart"/>
      <w:r>
        <w:t>Sutula</w:t>
      </w:r>
      <w:proofErr w:type="spellEnd"/>
      <w:r>
        <w:t xml:space="preserve"> et al. Manuscript in prep for Submission to a Scientific Journal)</w:t>
      </w:r>
      <w:bookmarkEnd w:id="90"/>
    </w:p>
    <w:p w:rsidR="00012955" w:rsidRPr="00D33A16" w:rsidRDefault="00D33A16" w:rsidP="0065032F">
      <w:pPr>
        <w:pStyle w:val="Heading1"/>
        <w:numPr>
          <w:ilvl w:val="0"/>
          <w:numId w:val="0"/>
        </w:numPr>
        <w:ind w:left="432" w:hanging="432"/>
      </w:pPr>
      <w:bookmarkStart w:id="91" w:name="_Toc433370083"/>
      <w:r>
        <w:lastRenderedPageBreak/>
        <w:t xml:space="preserve">Appendix D. Supplemental Analyses Supporting Discussion of the Importance of Stratification on the Relationship between Dissolved Oxygen and Chlorophyll-a In SF Bay (Stacey and </w:t>
      </w:r>
      <w:proofErr w:type="spellStart"/>
      <w:r>
        <w:t>Senn</w:t>
      </w:r>
      <w:proofErr w:type="spellEnd"/>
      <w:r>
        <w:t>, 2015 Technical Memo)</w:t>
      </w:r>
      <w:bookmarkEnd w:id="91"/>
    </w:p>
    <w:sectPr w:rsidR="00012955" w:rsidRPr="00D33A16" w:rsidSect="001B03A2">
      <w:headerReference w:type="default" r:id="rId44"/>
      <w:footerReference w:type="default" r:id="rId4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809" w:rsidRDefault="00441809">
      <w:r>
        <w:separator/>
      </w:r>
    </w:p>
    <w:p w:rsidR="00441809" w:rsidRDefault="00441809"/>
  </w:endnote>
  <w:endnote w:type="continuationSeparator" w:id="0">
    <w:p w:rsidR="00441809" w:rsidRDefault="00441809">
      <w:r>
        <w:continuationSeparator/>
      </w:r>
    </w:p>
    <w:p w:rsidR="00441809" w:rsidRDefault="00441809"/>
  </w:endnote>
  <w:endnote w:type="continuationNotice" w:id="1">
    <w:p w:rsidR="00441809" w:rsidRDefault="00441809"/>
    <w:p w:rsidR="00441809" w:rsidRDefault="004418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Omeg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auto"/>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G Omega (W1)">
    <w:panose1 w:val="00000000000000000000"/>
    <w:charset w:val="00"/>
    <w:family w:val="swiss"/>
    <w:notTrueType/>
    <w:pitch w:val="variable"/>
    <w:sig w:usb0="00000003" w:usb1="00000000" w:usb2="00000000" w:usb3="00000000" w:csb0="00000001" w:csb1="00000000"/>
  </w:font>
  <w:font w:name="Times New (W1)">
    <w:altName w:val="Times New Roman"/>
    <w:charset w:val="00"/>
    <w:family w:val="roman"/>
    <w:pitch w:val="variable"/>
    <w:sig w:usb0="00000000"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DF Kai Shu">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FC2" w:rsidRDefault="005D6F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6FC2" w:rsidRDefault="005D6FC2">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092161"/>
      <w:docPartObj>
        <w:docPartGallery w:val="Page Numbers (Bottom of Page)"/>
        <w:docPartUnique/>
      </w:docPartObj>
    </w:sdtPr>
    <w:sdtEndPr>
      <w:rPr>
        <w:rFonts w:ascii="Times New Roman" w:hAnsi="Times New Roman"/>
        <w:noProof/>
        <w:sz w:val="24"/>
        <w:szCs w:val="24"/>
      </w:rPr>
    </w:sdtEndPr>
    <w:sdtContent>
      <w:p w:rsidR="005D6FC2" w:rsidRPr="001B03A2" w:rsidRDefault="005D6FC2" w:rsidP="001B03A2">
        <w:pPr>
          <w:pStyle w:val="Footer"/>
          <w:pBdr>
            <w:top w:val="none" w:sz="0" w:space="0" w:color="auto"/>
          </w:pBdr>
          <w:jc w:val="center"/>
          <w:rPr>
            <w:rFonts w:ascii="Times New Roman" w:hAnsi="Times New Roman"/>
            <w:sz w:val="24"/>
            <w:szCs w:val="24"/>
          </w:rPr>
        </w:pPr>
        <w:r w:rsidRPr="001B03A2">
          <w:rPr>
            <w:rFonts w:ascii="Times New Roman" w:hAnsi="Times New Roman"/>
            <w:sz w:val="24"/>
            <w:szCs w:val="24"/>
          </w:rPr>
          <w:fldChar w:fldCharType="begin"/>
        </w:r>
        <w:r w:rsidRPr="001B03A2">
          <w:rPr>
            <w:rFonts w:ascii="Times New Roman" w:hAnsi="Times New Roman"/>
            <w:sz w:val="24"/>
            <w:szCs w:val="24"/>
          </w:rPr>
          <w:instrText xml:space="preserve"> PAGE   \* MERGEFORMAT </w:instrText>
        </w:r>
        <w:r w:rsidRPr="001B03A2">
          <w:rPr>
            <w:rFonts w:ascii="Times New Roman" w:hAnsi="Times New Roman"/>
            <w:sz w:val="24"/>
            <w:szCs w:val="24"/>
          </w:rPr>
          <w:fldChar w:fldCharType="separate"/>
        </w:r>
        <w:r w:rsidR="003F4204">
          <w:rPr>
            <w:rFonts w:ascii="Times New Roman" w:hAnsi="Times New Roman"/>
            <w:noProof/>
            <w:sz w:val="24"/>
            <w:szCs w:val="24"/>
          </w:rPr>
          <w:t>54</w:t>
        </w:r>
        <w:r w:rsidRPr="001B03A2">
          <w:rPr>
            <w:rFonts w:ascii="Times New Roman" w:hAnsi="Times New Roman"/>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FC2" w:rsidRDefault="005D6FC2" w:rsidP="00CB25FF">
    <w:pPr>
      <w:pStyle w:val="Footer"/>
      <w:pBdr>
        <w:top w:val="none" w:sz="0" w:space="0" w:color="auto"/>
      </w:pBdr>
      <w:tabs>
        <w:tab w:val="clear" w:pos="9360"/>
        <w:tab w:val="right" w:pos="129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782288"/>
      <w:docPartObj>
        <w:docPartGallery w:val="Page Numbers (Bottom of Page)"/>
        <w:docPartUnique/>
      </w:docPartObj>
    </w:sdtPr>
    <w:sdtEndPr>
      <w:rPr>
        <w:rFonts w:ascii="Times New Roman" w:hAnsi="Times New Roman"/>
        <w:noProof/>
        <w:sz w:val="24"/>
        <w:szCs w:val="24"/>
      </w:rPr>
    </w:sdtEndPr>
    <w:sdtContent>
      <w:p w:rsidR="005D6FC2" w:rsidRPr="00A236F6" w:rsidRDefault="005D6FC2" w:rsidP="00CB25FF">
        <w:pPr>
          <w:pStyle w:val="Footer"/>
          <w:pBdr>
            <w:top w:val="none" w:sz="0" w:space="0" w:color="auto"/>
          </w:pBdr>
          <w:jc w:val="center"/>
          <w:rPr>
            <w:rFonts w:ascii="Times New Roman" w:hAnsi="Times New Roman"/>
            <w:sz w:val="24"/>
            <w:szCs w:val="24"/>
          </w:rPr>
        </w:pPr>
        <w:r w:rsidRPr="00A236F6">
          <w:rPr>
            <w:rFonts w:ascii="Times New Roman" w:hAnsi="Times New Roman"/>
            <w:sz w:val="24"/>
            <w:szCs w:val="24"/>
          </w:rPr>
          <w:fldChar w:fldCharType="begin"/>
        </w:r>
        <w:r w:rsidRPr="00A236F6">
          <w:rPr>
            <w:rFonts w:ascii="Times New Roman" w:hAnsi="Times New Roman"/>
            <w:sz w:val="24"/>
            <w:szCs w:val="24"/>
          </w:rPr>
          <w:instrText xml:space="preserve"> PAGE   \* MERGEFORMAT </w:instrText>
        </w:r>
        <w:r w:rsidRPr="00A236F6">
          <w:rPr>
            <w:rFonts w:ascii="Times New Roman" w:hAnsi="Times New Roman"/>
            <w:sz w:val="24"/>
            <w:szCs w:val="24"/>
          </w:rPr>
          <w:fldChar w:fldCharType="separate"/>
        </w:r>
        <w:r w:rsidR="003F4204" w:rsidRPr="003F4204">
          <w:rPr>
            <w:rFonts w:ascii="Times New Roman" w:hAnsi="Times New Roman"/>
            <w:noProof/>
            <w:sz w:val="24"/>
          </w:rPr>
          <w:t>i</w:t>
        </w:r>
        <w:r w:rsidRPr="00A236F6">
          <w:rPr>
            <w:rFonts w:ascii="Times New Roman" w:hAnsi="Times New Roman"/>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481948"/>
      <w:docPartObj>
        <w:docPartGallery w:val="Page Numbers (Bottom of Page)"/>
        <w:docPartUnique/>
      </w:docPartObj>
    </w:sdtPr>
    <w:sdtEndPr>
      <w:rPr>
        <w:rFonts w:ascii="Times New Roman" w:hAnsi="Times New Roman"/>
        <w:noProof/>
        <w:sz w:val="24"/>
        <w:szCs w:val="24"/>
      </w:rPr>
    </w:sdtEndPr>
    <w:sdtContent>
      <w:p w:rsidR="005D6FC2" w:rsidRPr="00C66F93" w:rsidRDefault="005D6FC2" w:rsidP="00C66F93">
        <w:pPr>
          <w:pStyle w:val="Footer"/>
          <w:pBdr>
            <w:top w:val="none" w:sz="0" w:space="0" w:color="auto"/>
          </w:pBdr>
          <w:jc w:val="center"/>
          <w:rPr>
            <w:rFonts w:ascii="Times New Roman" w:hAnsi="Times New Roman"/>
            <w:sz w:val="24"/>
            <w:szCs w:val="24"/>
          </w:rPr>
        </w:pPr>
        <w:r w:rsidRPr="00C66F93">
          <w:rPr>
            <w:rFonts w:ascii="Times New Roman" w:hAnsi="Times New Roman"/>
            <w:sz w:val="24"/>
            <w:szCs w:val="24"/>
          </w:rPr>
          <w:fldChar w:fldCharType="begin"/>
        </w:r>
        <w:r w:rsidRPr="00C66F93">
          <w:rPr>
            <w:rFonts w:ascii="Times New Roman" w:hAnsi="Times New Roman"/>
            <w:sz w:val="24"/>
            <w:szCs w:val="24"/>
          </w:rPr>
          <w:instrText xml:space="preserve"> PAGE   \* MERGEFORMAT </w:instrText>
        </w:r>
        <w:r w:rsidRPr="00C66F93">
          <w:rPr>
            <w:rFonts w:ascii="Times New Roman" w:hAnsi="Times New Roman"/>
            <w:sz w:val="24"/>
            <w:szCs w:val="24"/>
          </w:rPr>
          <w:fldChar w:fldCharType="separate"/>
        </w:r>
        <w:r w:rsidR="003F4204">
          <w:rPr>
            <w:rFonts w:ascii="Times New Roman" w:hAnsi="Times New Roman"/>
            <w:noProof/>
            <w:sz w:val="24"/>
            <w:szCs w:val="24"/>
          </w:rPr>
          <w:t>vii</w:t>
        </w:r>
        <w:r w:rsidRPr="00C66F93">
          <w:rPr>
            <w:rFonts w:ascii="Times New Roman" w:hAnsi="Times New Roman"/>
            <w:noProof/>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842559"/>
      <w:docPartObj>
        <w:docPartGallery w:val="Page Numbers (Bottom of Page)"/>
        <w:docPartUnique/>
      </w:docPartObj>
    </w:sdtPr>
    <w:sdtEndPr>
      <w:rPr>
        <w:rFonts w:ascii="Times New Roman" w:hAnsi="Times New Roman"/>
        <w:noProof/>
        <w:sz w:val="24"/>
        <w:szCs w:val="24"/>
      </w:rPr>
    </w:sdtEndPr>
    <w:sdtContent>
      <w:p w:rsidR="005D6FC2" w:rsidRPr="0095445E" w:rsidRDefault="005D6FC2" w:rsidP="0095445E">
        <w:pPr>
          <w:pStyle w:val="Footer"/>
          <w:pBdr>
            <w:top w:val="none" w:sz="0" w:space="0" w:color="auto"/>
          </w:pBdr>
          <w:jc w:val="center"/>
          <w:rPr>
            <w:rFonts w:ascii="Times New Roman" w:hAnsi="Times New Roman"/>
            <w:sz w:val="24"/>
            <w:szCs w:val="24"/>
          </w:rPr>
        </w:pPr>
        <w:r w:rsidRPr="0095445E">
          <w:rPr>
            <w:rFonts w:ascii="Times New Roman" w:hAnsi="Times New Roman"/>
            <w:sz w:val="24"/>
            <w:szCs w:val="24"/>
          </w:rPr>
          <w:fldChar w:fldCharType="begin"/>
        </w:r>
        <w:r w:rsidRPr="0095445E">
          <w:rPr>
            <w:rFonts w:ascii="Times New Roman" w:hAnsi="Times New Roman"/>
            <w:sz w:val="24"/>
            <w:szCs w:val="24"/>
          </w:rPr>
          <w:instrText xml:space="preserve"> PAGE   \* MERGEFORMAT </w:instrText>
        </w:r>
        <w:r w:rsidRPr="0095445E">
          <w:rPr>
            <w:rFonts w:ascii="Times New Roman" w:hAnsi="Times New Roman"/>
            <w:sz w:val="24"/>
            <w:szCs w:val="24"/>
          </w:rPr>
          <w:fldChar w:fldCharType="separate"/>
        </w:r>
        <w:r w:rsidR="003F4204">
          <w:rPr>
            <w:rFonts w:ascii="Times New Roman" w:hAnsi="Times New Roman"/>
            <w:noProof/>
            <w:sz w:val="24"/>
            <w:szCs w:val="24"/>
          </w:rPr>
          <w:t>11</w:t>
        </w:r>
        <w:r w:rsidRPr="0095445E">
          <w:rPr>
            <w:rFonts w:ascii="Times New Roman" w:hAnsi="Times New Roman"/>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779248"/>
      <w:docPartObj>
        <w:docPartGallery w:val="Page Numbers (Bottom of Page)"/>
        <w:docPartUnique/>
      </w:docPartObj>
    </w:sdtPr>
    <w:sdtEndPr>
      <w:rPr>
        <w:noProof/>
      </w:rPr>
    </w:sdtEndPr>
    <w:sdtContent>
      <w:p w:rsidR="005D6FC2" w:rsidRDefault="005D6FC2" w:rsidP="0095445E">
        <w:pPr>
          <w:pStyle w:val="Footer"/>
          <w:pBdr>
            <w:top w:val="none" w:sz="0" w:space="0" w:color="auto"/>
          </w:pBdr>
          <w:jc w:val="center"/>
        </w:pPr>
        <w:r w:rsidRPr="0095445E">
          <w:rPr>
            <w:rFonts w:ascii="Times New Roman" w:hAnsi="Times New Roman"/>
            <w:sz w:val="24"/>
            <w:szCs w:val="24"/>
          </w:rPr>
          <w:fldChar w:fldCharType="begin"/>
        </w:r>
        <w:r w:rsidRPr="0095445E">
          <w:rPr>
            <w:rFonts w:ascii="Times New Roman" w:hAnsi="Times New Roman"/>
            <w:sz w:val="24"/>
            <w:szCs w:val="24"/>
          </w:rPr>
          <w:instrText xml:space="preserve"> PAGE   \* MERGEFORMAT </w:instrText>
        </w:r>
        <w:r w:rsidRPr="0095445E">
          <w:rPr>
            <w:rFonts w:ascii="Times New Roman" w:hAnsi="Times New Roman"/>
            <w:sz w:val="24"/>
            <w:szCs w:val="24"/>
          </w:rPr>
          <w:fldChar w:fldCharType="separate"/>
        </w:r>
        <w:r w:rsidR="003F4204">
          <w:rPr>
            <w:rFonts w:ascii="Times New Roman" w:hAnsi="Times New Roman"/>
            <w:noProof/>
            <w:sz w:val="24"/>
            <w:szCs w:val="24"/>
          </w:rPr>
          <w:t>15</w:t>
        </w:r>
        <w:r w:rsidRPr="0095445E">
          <w:rPr>
            <w:rFonts w:ascii="Times New Roman" w:hAnsi="Times New Roman"/>
            <w:noProof/>
            <w:sz w:val="24"/>
            <w:szCs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429825"/>
      <w:docPartObj>
        <w:docPartGallery w:val="Page Numbers (Bottom of Page)"/>
        <w:docPartUnique/>
      </w:docPartObj>
    </w:sdtPr>
    <w:sdtEndPr>
      <w:rPr>
        <w:noProof/>
      </w:rPr>
    </w:sdtEndPr>
    <w:sdtContent>
      <w:p w:rsidR="005D6FC2" w:rsidRDefault="005D6FC2" w:rsidP="0095445E">
        <w:pPr>
          <w:pStyle w:val="Footer"/>
          <w:pBdr>
            <w:top w:val="none" w:sz="0" w:space="0" w:color="auto"/>
          </w:pBdr>
          <w:jc w:val="center"/>
        </w:pPr>
        <w:r w:rsidRPr="0095445E">
          <w:rPr>
            <w:rFonts w:ascii="Times New Roman" w:hAnsi="Times New Roman"/>
            <w:sz w:val="24"/>
            <w:szCs w:val="24"/>
          </w:rPr>
          <w:fldChar w:fldCharType="begin"/>
        </w:r>
        <w:r w:rsidRPr="0095445E">
          <w:rPr>
            <w:rFonts w:ascii="Times New Roman" w:hAnsi="Times New Roman"/>
            <w:sz w:val="24"/>
            <w:szCs w:val="24"/>
          </w:rPr>
          <w:instrText xml:space="preserve"> PAGE  \* Arabic  \* MERGEFORMAT </w:instrText>
        </w:r>
        <w:r w:rsidRPr="0095445E">
          <w:rPr>
            <w:rFonts w:ascii="Times New Roman" w:hAnsi="Times New Roman"/>
            <w:sz w:val="24"/>
            <w:szCs w:val="24"/>
          </w:rPr>
          <w:fldChar w:fldCharType="separate"/>
        </w:r>
        <w:r w:rsidR="003F4204">
          <w:rPr>
            <w:rFonts w:ascii="Times New Roman" w:hAnsi="Times New Roman"/>
            <w:noProof/>
            <w:sz w:val="24"/>
            <w:szCs w:val="24"/>
          </w:rPr>
          <w:t>51</w:t>
        </w:r>
        <w:r w:rsidRPr="0095445E">
          <w:rPr>
            <w:rFonts w:ascii="Times New Roman" w:hAnsi="Times New Roman"/>
            <w:sz w:val="24"/>
            <w:szCs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043194"/>
      <w:docPartObj>
        <w:docPartGallery w:val="Page Numbers (Bottom of Page)"/>
        <w:docPartUnique/>
      </w:docPartObj>
    </w:sdtPr>
    <w:sdtEndPr>
      <w:rPr>
        <w:noProof/>
      </w:rPr>
    </w:sdtEndPr>
    <w:sdtContent>
      <w:p w:rsidR="005D6FC2" w:rsidRDefault="005D6FC2" w:rsidP="0095445E">
        <w:pPr>
          <w:pStyle w:val="Footer"/>
          <w:pBdr>
            <w:top w:val="none" w:sz="0" w:space="0" w:color="auto"/>
          </w:pBdr>
          <w:jc w:val="center"/>
        </w:pPr>
        <w:r w:rsidRPr="0095445E">
          <w:rPr>
            <w:rFonts w:ascii="Times New Roman" w:hAnsi="Times New Roman"/>
            <w:sz w:val="24"/>
            <w:szCs w:val="24"/>
          </w:rPr>
          <w:fldChar w:fldCharType="begin"/>
        </w:r>
        <w:r w:rsidRPr="0095445E">
          <w:rPr>
            <w:rFonts w:ascii="Times New Roman" w:hAnsi="Times New Roman"/>
            <w:sz w:val="24"/>
            <w:szCs w:val="24"/>
          </w:rPr>
          <w:instrText xml:space="preserve"> PAGE   \* MERGEFORMAT </w:instrText>
        </w:r>
        <w:r w:rsidRPr="0095445E">
          <w:rPr>
            <w:rFonts w:ascii="Times New Roman" w:hAnsi="Times New Roman"/>
            <w:sz w:val="24"/>
            <w:szCs w:val="24"/>
          </w:rPr>
          <w:fldChar w:fldCharType="separate"/>
        </w:r>
        <w:r w:rsidR="003F4204">
          <w:rPr>
            <w:rFonts w:ascii="Times New Roman" w:hAnsi="Times New Roman"/>
            <w:noProof/>
            <w:sz w:val="24"/>
            <w:szCs w:val="24"/>
          </w:rPr>
          <w:t>52</w:t>
        </w:r>
        <w:r w:rsidRPr="0095445E">
          <w:rPr>
            <w:rFonts w:ascii="Times New Roman" w:hAnsi="Times New Roman"/>
            <w:noProof/>
            <w:sz w:val="24"/>
            <w:szCs w:val="24"/>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870646"/>
      <w:docPartObj>
        <w:docPartGallery w:val="Page Numbers (Bottom of Page)"/>
        <w:docPartUnique/>
      </w:docPartObj>
    </w:sdtPr>
    <w:sdtEndPr>
      <w:rPr>
        <w:rFonts w:ascii="Times New Roman" w:hAnsi="Times New Roman"/>
        <w:noProof/>
        <w:sz w:val="24"/>
        <w:szCs w:val="24"/>
      </w:rPr>
    </w:sdtEndPr>
    <w:sdtContent>
      <w:p w:rsidR="005D6FC2" w:rsidRPr="001B03A2" w:rsidRDefault="005D6FC2" w:rsidP="001B03A2">
        <w:pPr>
          <w:pStyle w:val="Footer"/>
          <w:jc w:val="center"/>
          <w:rPr>
            <w:rFonts w:ascii="Times New Roman" w:hAnsi="Times New Roman"/>
            <w:sz w:val="24"/>
            <w:szCs w:val="24"/>
          </w:rPr>
        </w:pPr>
        <w:r w:rsidRPr="001B03A2">
          <w:rPr>
            <w:rFonts w:ascii="Times New Roman" w:hAnsi="Times New Roman"/>
            <w:sz w:val="24"/>
            <w:szCs w:val="24"/>
          </w:rPr>
          <w:fldChar w:fldCharType="begin"/>
        </w:r>
        <w:r w:rsidRPr="001B03A2">
          <w:rPr>
            <w:rFonts w:ascii="Times New Roman" w:hAnsi="Times New Roman"/>
            <w:sz w:val="24"/>
            <w:szCs w:val="24"/>
          </w:rPr>
          <w:instrText xml:space="preserve"> PAGE   \* MERGEFORMAT </w:instrText>
        </w:r>
        <w:r w:rsidRPr="001B03A2">
          <w:rPr>
            <w:rFonts w:ascii="Times New Roman" w:hAnsi="Times New Roman"/>
            <w:sz w:val="24"/>
            <w:szCs w:val="24"/>
          </w:rPr>
          <w:fldChar w:fldCharType="separate"/>
        </w:r>
        <w:r w:rsidR="003F4204">
          <w:rPr>
            <w:rFonts w:ascii="Times New Roman" w:hAnsi="Times New Roman"/>
            <w:noProof/>
            <w:sz w:val="24"/>
            <w:szCs w:val="24"/>
          </w:rPr>
          <w:t>53</w:t>
        </w:r>
        <w:r w:rsidRPr="001B03A2">
          <w:rPr>
            <w:rFonts w:ascii="Times New Roman" w:hAnsi="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809" w:rsidRDefault="00441809">
      <w:r>
        <w:separator/>
      </w:r>
    </w:p>
    <w:p w:rsidR="00441809" w:rsidRDefault="00441809"/>
  </w:footnote>
  <w:footnote w:type="continuationSeparator" w:id="0">
    <w:p w:rsidR="00441809" w:rsidRDefault="00441809">
      <w:r>
        <w:continuationSeparator/>
      </w:r>
    </w:p>
    <w:p w:rsidR="00441809" w:rsidRDefault="00441809"/>
  </w:footnote>
  <w:footnote w:type="continuationNotice" w:id="1">
    <w:p w:rsidR="00441809" w:rsidRDefault="00441809"/>
    <w:p w:rsidR="00441809" w:rsidRDefault="004418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FC2" w:rsidRDefault="005D6FC2" w:rsidP="00CB25FF">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FC2" w:rsidRDefault="005D6FC2" w:rsidP="00CB25FF">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FC2" w:rsidRPr="00A76264" w:rsidRDefault="005D6FC2" w:rsidP="0095445E">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FC2" w:rsidRDefault="005D6F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3in;height:3in" o:bullet="t"/>
    </w:pict>
  </w:numPicBullet>
  <w:abstractNum w:abstractNumId="0">
    <w:nsid w:val="FFFFFF1D"/>
    <w:multiLevelType w:val="multilevel"/>
    <w:tmpl w:val="FF0895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90DD9"/>
    <w:multiLevelType w:val="hybridMultilevel"/>
    <w:tmpl w:val="AE382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886221"/>
    <w:multiLevelType w:val="hybridMultilevel"/>
    <w:tmpl w:val="F4CCF16C"/>
    <w:lvl w:ilvl="0" w:tplc="04090001">
      <w:start w:val="1"/>
      <w:numFmt w:val="bullet"/>
      <w:lvlText w:val=""/>
      <w:lvlJc w:val="left"/>
      <w:pPr>
        <w:ind w:left="720" w:hanging="360"/>
      </w:pPr>
      <w:rPr>
        <w:rFonts w:ascii="Symbol" w:hAnsi="Symbol" w:hint="default"/>
      </w:rPr>
    </w:lvl>
    <w:lvl w:ilvl="1" w:tplc="AA9CBEF0">
      <w:start w:val="3"/>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27385C"/>
    <w:multiLevelType w:val="hybridMultilevel"/>
    <w:tmpl w:val="7C36C930"/>
    <w:lvl w:ilvl="0" w:tplc="736E9F12">
      <w:start w:val="6"/>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nsid w:val="0D412B7C"/>
    <w:multiLevelType w:val="hybridMultilevel"/>
    <w:tmpl w:val="D36C89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5A669A"/>
    <w:multiLevelType w:val="hybridMultilevel"/>
    <w:tmpl w:val="B4525782"/>
    <w:lvl w:ilvl="0" w:tplc="BEEA8ECC">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C053BB"/>
    <w:multiLevelType w:val="hybridMultilevel"/>
    <w:tmpl w:val="6CC40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FF46EA"/>
    <w:multiLevelType w:val="hybridMultilevel"/>
    <w:tmpl w:val="6900A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31068B"/>
    <w:multiLevelType w:val="hybridMultilevel"/>
    <w:tmpl w:val="FA82D8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944343"/>
    <w:multiLevelType w:val="multilevel"/>
    <w:tmpl w:val="0234D89A"/>
    <w:lvl w:ilvl="0">
      <w:start w:val="1"/>
      <w:numFmt w:val="decimal"/>
      <w:lvlText w:val="%1."/>
      <w:lvlJc w:val="left"/>
      <w:pPr>
        <w:ind w:left="720" w:hanging="360"/>
      </w:pPr>
      <w:rPr>
        <w:rFonts w:ascii="Calibri" w:eastAsia="Times New Roman"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F1652AB"/>
    <w:multiLevelType w:val="hybridMultilevel"/>
    <w:tmpl w:val="1B36340C"/>
    <w:lvl w:ilvl="0" w:tplc="04090013">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D91180"/>
    <w:multiLevelType w:val="hybridMultilevel"/>
    <w:tmpl w:val="1A2EE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4945AA"/>
    <w:multiLevelType w:val="hybridMultilevel"/>
    <w:tmpl w:val="9640A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9416E1E"/>
    <w:multiLevelType w:val="hybridMultilevel"/>
    <w:tmpl w:val="88B2A1CA"/>
    <w:lvl w:ilvl="0" w:tplc="B950BBD0">
      <w:start w:val="1"/>
      <w:numFmt w:val="decimal"/>
      <w:lvlText w:val="%1."/>
      <w:lvlJc w:val="left"/>
      <w:pPr>
        <w:ind w:left="720" w:hanging="360"/>
      </w:pPr>
      <w:rPr>
        <w:rFonts w:hint="default"/>
        <w:b/>
      </w:rPr>
    </w:lvl>
    <w:lvl w:ilvl="1" w:tplc="531019C8">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2372EE"/>
    <w:multiLevelType w:val="hybridMultilevel"/>
    <w:tmpl w:val="ADCAC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BD5C4B"/>
    <w:multiLevelType w:val="hybridMultilevel"/>
    <w:tmpl w:val="E5323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A3513E"/>
    <w:multiLevelType w:val="hybridMultilevel"/>
    <w:tmpl w:val="0756D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102B5D"/>
    <w:multiLevelType w:val="hybridMultilevel"/>
    <w:tmpl w:val="6A2A5B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92F521F"/>
    <w:multiLevelType w:val="hybridMultilevel"/>
    <w:tmpl w:val="39B2E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085AC0"/>
    <w:multiLevelType w:val="hybridMultilevel"/>
    <w:tmpl w:val="286E4DE2"/>
    <w:lvl w:ilvl="0" w:tplc="4350A0D4">
      <w:start w:val="1"/>
      <w:numFmt w:val="decimal"/>
      <w:lvlText w:val="%1."/>
      <w:lvlJc w:val="left"/>
      <w:pPr>
        <w:ind w:left="720" w:hanging="360"/>
      </w:pPr>
      <w:rPr>
        <w:rFonts w:hint="default"/>
        <w:b w:val="0"/>
      </w:rPr>
    </w:lvl>
    <w:lvl w:ilvl="1" w:tplc="04090001">
      <w:start w:val="1"/>
      <w:numFmt w:val="bullet"/>
      <w:lvlText w:val=""/>
      <w:lvlJc w:val="left"/>
      <w:pPr>
        <w:ind w:left="1800" w:hanging="72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495B26"/>
    <w:multiLevelType w:val="hybridMultilevel"/>
    <w:tmpl w:val="A3269B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352034"/>
    <w:multiLevelType w:val="hybridMultilevel"/>
    <w:tmpl w:val="452071C2"/>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D44E6F"/>
    <w:multiLevelType w:val="hybridMultilevel"/>
    <w:tmpl w:val="8BF496A4"/>
    <w:lvl w:ilvl="0" w:tplc="04090001">
      <w:start w:val="1"/>
      <w:numFmt w:val="bullet"/>
      <w:lvlText w:val=""/>
      <w:lvlJc w:val="left"/>
      <w:pPr>
        <w:ind w:left="720" w:hanging="360"/>
      </w:pPr>
      <w:rPr>
        <w:rFonts w:ascii="Symbol" w:hAnsi="Symbol" w:hint="default"/>
      </w:rPr>
    </w:lvl>
    <w:lvl w:ilvl="1" w:tplc="83E45930" w:tentative="1">
      <w:start w:val="1"/>
      <w:numFmt w:val="decimal"/>
      <w:lvlText w:val="%2."/>
      <w:lvlJc w:val="left"/>
      <w:pPr>
        <w:tabs>
          <w:tab w:val="num" w:pos="1440"/>
        </w:tabs>
        <w:ind w:left="1440" w:hanging="360"/>
      </w:pPr>
    </w:lvl>
    <w:lvl w:ilvl="2" w:tplc="DAD8313C" w:tentative="1">
      <w:start w:val="1"/>
      <w:numFmt w:val="decimal"/>
      <w:lvlText w:val="%3."/>
      <w:lvlJc w:val="left"/>
      <w:pPr>
        <w:tabs>
          <w:tab w:val="num" w:pos="2160"/>
        </w:tabs>
        <w:ind w:left="2160" w:hanging="360"/>
      </w:pPr>
    </w:lvl>
    <w:lvl w:ilvl="3" w:tplc="2D3491D0" w:tentative="1">
      <w:start w:val="1"/>
      <w:numFmt w:val="decimal"/>
      <w:lvlText w:val="%4."/>
      <w:lvlJc w:val="left"/>
      <w:pPr>
        <w:tabs>
          <w:tab w:val="num" w:pos="2880"/>
        </w:tabs>
        <w:ind w:left="2880" w:hanging="360"/>
      </w:pPr>
    </w:lvl>
    <w:lvl w:ilvl="4" w:tplc="6D9C722A" w:tentative="1">
      <w:start w:val="1"/>
      <w:numFmt w:val="decimal"/>
      <w:lvlText w:val="%5."/>
      <w:lvlJc w:val="left"/>
      <w:pPr>
        <w:tabs>
          <w:tab w:val="num" w:pos="3600"/>
        </w:tabs>
        <w:ind w:left="3600" w:hanging="360"/>
      </w:pPr>
    </w:lvl>
    <w:lvl w:ilvl="5" w:tplc="2C6EFBFC" w:tentative="1">
      <w:start w:val="1"/>
      <w:numFmt w:val="decimal"/>
      <w:lvlText w:val="%6."/>
      <w:lvlJc w:val="left"/>
      <w:pPr>
        <w:tabs>
          <w:tab w:val="num" w:pos="4320"/>
        </w:tabs>
        <w:ind w:left="4320" w:hanging="360"/>
      </w:pPr>
    </w:lvl>
    <w:lvl w:ilvl="6" w:tplc="9F2A90A6" w:tentative="1">
      <w:start w:val="1"/>
      <w:numFmt w:val="decimal"/>
      <w:lvlText w:val="%7."/>
      <w:lvlJc w:val="left"/>
      <w:pPr>
        <w:tabs>
          <w:tab w:val="num" w:pos="5040"/>
        </w:tabs>
        <w:ind w:left="5040" w:hanging="360"/>
      </w:pPr>
    </w:lvl>
    <w:lvl w:ilvl="7" w:tplc="A3A0986E" w:tentative="1">
      <w:start w:val="1"/>
      <w:numFmt w:val="decimal"/>
      <w:lvlText w:val="%8."/>
      <w:lvlJc w:val="left"/>
      <w:pPr>
        <w:tabs>
          <w:tab w:val="num" w:pos="5760"/>
        </w:tabs>
        <w:ind w:left="5760" w:hanging="360"/>
      </w:pPr>
    </w:lvl>
    <w:lvl w:ilvl="8" w:tplc="355EE1A8" w:tentative="1">
      <w:start w:val="1"/>
      <w:numFmt w:val="decimal"/>
      <w:lvlText w:val="%9."/>
      <w:lvlJc w:val="left"/>
      <w:pPr>
        <w:tabs>
          <w:tab w:val="num" w:pos="6480"/>
        </w:tabs>
        <w:ind w:left="6480" w:hanging="360"/>
      </w:pPr>
    </w:lvl>
  </w:abstractNum>
  <w:abstractNum w:abstractNumId="23">
    <w:nsid w:val="5E006436"/>
    <w:multiLevelType w:val="hybridMultilevel"/>
    <w:tmpl w:val="7B84069E"/>
    <w:lvl w:ilvl="0" w:tplc="75F83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1C3444"/>
    <w:multiLevelType w:val="hybridMultilevel"/>
    <w:tmpl w:val="7FD80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97043D"/>
    <w:multiLevelType w:val="hybridMultilevel"/>
    <w:tmpl w:val="85E884F8"/>
    <w:lvl w:ilvl="0" w:tplc="C2EEB4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3B7235"/>
    <w:multiLevelType w:val="hybridMultilevel"/>
    <w:tmpl w:val="6E4A9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160D4E"/>
    <w:multiLevelType w:val="multilevel"/>
    <w:tmpl w:val="BECC2F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nsid w:val="6F62652A"/>
    <w:multiLevelType w:val="multilevel"/>
    <w:tmpl w:val="4EB2705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1116"/>
        </w:tabs>
        <w:ind w:left="111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nsid w:val="75C5635F"/>
    <w:multiLevelType w:val="hybridMultilevel"/>
    <w:tmpl w:val="FC92023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E32455"/>
    <w:multiLevelType w:val="multilevel"/>
    <w:tmpl w:val="1140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0"/>
  </w:num>
  <w:num w:numId="3">
    <w:abstractNumId w:val="2"/>
  </w:num>
  <w:num w:numId="4">
    <w:abstractNumId w:val="27"/>
  </w:num>
  <w:num w:numId="5">
    <w:abstractNumId w:val="18"/>
  </w:num>
  <w:num w:numId="6">
    <w:abstractNumId w:val="22"/>
  </w:num>
  <w:num w:numId="7">
    <w:abstractNumId w:val="14"/>
  </w:num>
  <w:num w:numId="8">
    <w:abstractNumId w:val="19"/>
  </w:num>
  <w:num w:numId="9">
    <w:abstractNumId w:val="7"/>
  </w:num>
  <w:num w:numId="10">
    <w:abstractNumId w:val="6"/>
  </w:num>
  <w:num w:numId="11">
    <w:abstractNumId w:val="29"/>
  </w:num>
  <w:num w:numId="12">
    <w:abstractNumId w:val="0"/>
  </w:num>
  <w:num w:numId="13">
    <w:abstractNumId w:val="9"/>
  </w:num>
  <w:num w:numId="14">
    <w:abstractNumId w:val="12"/>
  </w:num>
  <w:num w:numId="15">
    <w:abstractNumId w:val="17"/>
  </w:num>
  <w:num w:numId="16">
    <w:abstractNumId w:val="15"/>
  </w:num>
  <w:num w:numId="17">
    <w:abstractNumId w:val="26"/>
  </w:num>
  <w:num w:numId="18">
    <w:abstractNumId w:val="1"/>
  </w:num>
  <w:num w:numId="19">
    <w:abstractNumId w:val="3"/>
  </w:num>
  <w:num w:numId="20">
    <w:abstractNumId w:val="23"/>
  </w:num>
  <w:num w:numId="21">
    <w:abstractNumId w:val="13"/>
  </w:num>
  <w:num w:numId="22">
    <w:abstractNumId w:val="24"/>
  </w:num>
  <w:num w:numId="23">
    <w:abstractNumId w:val="20"/>
  </w:num>
  <w:num w:numId="24">
    <w:abstractNumId w:val="8"/>
  </w:num>
  <w:num w:numId="25">
    <w:abstractNumId w:val="10"/>
  </w:num>
  <w:num w:numId="26">
    <w:abstractNumId w:val="28"/>
  </w:num>
  <w:num w:numId="27">
    <w:abstractNumId w:val="5"/>
  </w:num>
  <w:num w:numId="28">
    <w:abstractNumId w:val="11"/>
  </w:num>
  <w:num w:numId="29">
    <w:abstractNumId w:val="4"/>
  </w:num>
  <w:num w:numId="30">
    <w:abstractNumId w:val="21"/>
  </w:num>
  <w:num w:numId="31">
    <w:abstractNumId w:val="25"/>
  </w:num>
  <w:num w:numId="32">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cological Application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KarenLibrary.enl&lt;/item&gt;&lt;/Libraries&gt;&lt;/ENLibraries&gt;"/>
  </w:docVars>
  <w:rsids>
    <w:rsidRoot w:val="00401477"/>
    <w:rsid w:val="000018D7"/>
    <w:rsid w:val="00002EBF"/>
    <w:rsid w:val="000036C7"/>
    <w:rsid w:val="0000442B"/>
    <w:rsid w:val="00005D32"/>
    <w:rsid w:val="000066EB"/>
    <w:rsid w:val="00010293"/>
    <w:rsid w:val="000125D1"/>
    <w:rsid w:val="00012955"/>
    <w:rsid w:val="00015FB5"/>
    <w:rsid w:val="00016D48"/>
    <w:rsid w:val="000176B4"/>
    <w:rsid w:val="00022DB0"/>
    <w:rsid w:val="00025355"/>
    <w:rsid w:val="00025C1E"/>
    <w:rsid w:val="000272E5"/>
    <w:rsid w:val="00027BA7"/>
    <w:rsid w:val="0003082C"/>
    <w:rsid w:val="000313D0"/>
    <w:rsid w:val="0003176D"/>
    <w:rsid w:val="0003193A"/>
    <w:rsid w:val="0003304F"/>
    <w:rsid w:val="00034384"/>
    <w:rsid w:val="000363EF"/>
    <w:rsid w:val="00036428"/>
    <w:rsid w:val="00037C05"/>
    <w:rsid w:val="00040C5F"/>
    <w:rsid w:val="0004150B"/>
    <w:rsid w:val="0004273E"/>
    <w:rsid w:val="000451FA"/>
    <w:rsid w:val="000475DE"/>
    <w:rsid w:val="000504B0"/>
    <w:rsid w:val="0005193C"/>
    <w:rsid w:val="00056745"/>
    <w:rsid w:val="00057550"/>
    <w:rsid w:val="0006009E"/>
    <w:rsid w:val="00061ECF"/>
    <w:rsid w:val="000623C6"/>
    <w:rsid w:val="00063FFD"/>
    <w:rsid w:val="00070003"/>
    <w:rsid w:val="000701A1"/>
    <w:rsid w:val="00071BFD"/>
    <w:rsid w:val="00072B33"/>
    <w:rsid w:val="000774A4"/>
    <w:rsid w:val="000811E1"/>
    <w:rsid w:val="0009126E"/>
    <w:rsid w:val="00091FBD"/>
    <w:rsid w:val="00091FCD"/>
    <w:rsid w:val="00093872"/>
    <w:rsid w:val="00093961"/>
    <w:rsid w:val="00095E02"/>
    <w:rsid w:val="000961C8"/>
    <w:rsid w:val="000A0C64"/>
    <w:rsid w:val="000A1030"/>
    <w:rsid w:val="000A1E2A"/>
    <w:rsid w:val="000A2CCB"/>
    <w:rsid w:val="000A4CCC"/>
    <w:rsid w:val="000A7C77"/>
    <w:rsid w:val="000B2624"/>
    <w:rsid w:val="000B386F"/>
    <w:rsid w:val="000B3C0F"/>
    <w:rsid w:val="000B3F53"/>
    <w:rsid w:val="000B44E8"/>
    <w:rsid w:val="000B606E"/>
    <w:rsid w:val="000B6F9D"/>
    <w:rsid w:val="000C09CA"/>
    <w:rsid w:val="000C176E"/>
    <w:rsid w:val="000C19FB"/>
    <w:rsid w:val="000C3EC6"/>
    <w:rsid w:val="000D06AC"/>
    <w:rsid w:val="000D0A11"/>
    <w:rsid w:val="000D17FA"/>
    <w:rsid w:val="000D3467"/>
    <w:rsid w:val="000D41A0"/>
    <w:rsid w:val="000E2524"/>
    <w:rsid w:val="000E2BF2"/>
    <w:rsid w:val="000E3535"/>
    <w:rsid w:val="000E513C"/>
    <w:rsid w:val="000E5D6C"/>
    <w:rsid w:val="000E6755"/>
    <w:rsid w:val="000E71D7"/>
    <w:rsid w:val="000F2EB9"/>
    <w:rsid w:val="000F48A0"/>
    <w:rsid w:val="000F651A"/>
    <w:rsid w:val="000F6775"/>
    <w:rsid w:val="000F74C1"/>
    <w:rsid w:val="001034F7"/>
    <w:rsid w:val="001036CE"/>
    <w:rsid w:val="0010732D"/>
    <w:rsid w:val="0011042D"/>
    <w:rsid w:val="001113DF"/>
    <w:rsid w:val="00111754"/>
    <w:rsid w:val="00111BC8"/>
    <w:rsid w:val="00111ECD"/>
    <w:rsid w:val="00112FF4"/>
    <w:rsid w:val="0011355E"/>
    <w:rsid w:val="00113A6D"/>
    <w:rsid w:val="001149DC"/>
    <w:rsid w:val="00115309"/>
    <w:rsid w:val="001154DA"/>
    <w:rsid w:val="00120512"/>
    <w:rsid w:val="00121382"/>
    <w:rsid w:val="00122438"/>
    <w:rsid w:val="00122E5D"/>
    <w:rsid w:val="00130DAB"/>
    <w:rsid w:val="00132956"/>
    <w:rsid w:val="00134FC1"/>
    <w:rsid w:val="001353E6"/>
    <w:rsid w:val="00144013"/>
    <w:rsid w:val="001452D9"/>
    <w:rsid w:val="00146D07"/>
    <w:rsid w:val="00147EA5"/>
    <w:rsid w:val="0015190F"/>
    <w:rsid w:val="001526FF"/>
    <w:rsid w:val="00152A24"/>
    <w:rsid w:val="00153DF0"/>
    <w:rsid w:val="00156915"/>
    <w:rsid w:val="00160561"/>
    <w:rsid w:val="00162EED"/>
    <w:rsid w:val="00163103"/>
    <w:rsid w:val="00163417"/>
    <w:rsid w:val="001638BD"/>
    <w:rsid w:val="00163AA8"/>
    <w:rsid w:val="0016481F"/>
    <w:rsid w:val="001676DB"/>
    <w:rsid w:val="0016786C"/>
    <w:rsid w:val="00170F01"/>
    <w:rsid w:val="0017324E"/>
    <w:rsid w:val="0017450D"/>
    <w:rsid w:val="001754C9"/>
    <w:rsid w:val="00175D80"/>
    <w:rsid w:val="00176F23"/>
    <w:rsid w:val="001800B8"/>
    <w:rsid w:val="00180C0B"/>
    <w:rsid w:val="00187696"/>
    <w:rsid w:val="00192018"/>
    <w:rsid w:val="00192469"/>
    <w:rsid w:val="00192C32"/>
    <w:rsid w:val="00193123"/>
    <w:rsid w:val="00197AB8"/>
    <w:rsid w:val="001A16F9"/>
    <w:rsid w:val="001A1A53"/>
    <w:rsid w:val="001A3C62"/>
    <w:rsid w:val="001A674E"/>
    <w:rsid w:val="001A79EC"/>
    <w:rsid w:val="001B03A2"/>
    <w:rsid w:val="001B4CCC"/>
    <w:rsid w:val="001B56A2"/>
    <w:rsid w:val="001B7024"/>
    <w:rsid w:val="001B76DA"/>
    <w:rsid w:val="001B7F04"/>
    <w:rsid w:val="001C170C"/>
    <w:rsid w:val="001C19AB"/>
    <w:rsid w:val="001C2C80"/>
    <w:rsid w:val="001C32F1"/>
    <w:rsid w:val="001C663F"/>
    <w:rsid w:val="001C77F7"/>
    <w:rsid w:val="001D299B"/>
    <w:rsid w:val="001D32EC"/>
    <w:rsid w:val="001D41C2"/>
    <w:rsid w:val="001D4328"/>
    <w:rsid w:val="001E09B4"/>
    <w:rsid w:val="001E36E5"/>
    <w:rsid w:val="001E4C06"/>
    <w:rsid w:val="001E5460"/>
    <w:rsid w:val="001E67AA"/>
    <w:rsid w:val="001E71B0"/>
    <w:rsid w:val="001F212A"/>
    <w:rsid w:val="001F392E"/>
    <w:rsid w:val="001F3BC3"/>
    <w:rsid w:val="001F6041"/>
    <w:rsid w:val="00202D37"/>
    <w:rsid w:val="002038E3"/>
    <w:rsid w:val="00204859"/>
    <w:rsid w:val="0020608A"/>
    <w:rsid w:val="002075FF"/>
    <w:rsid w:val="00210D32"/>
    <w:rsid w:val="002139D3"/>
    <w:rsid w:val="00213E0A"/>
    <w:rsid w:val="00216F99"/>
    <w:rsid w:val="0021747D"/>
    <w:rsid w:val="00221129"/>
    <w:rsid w:val="002322E0"/>
    <w:rsid w:val="00236AE9"/>
    <w:rsid w:val="002408A2"/>
    <w:rsid w:val="00241764"/>
    <w:rsid w:val="00244138"/>
    <w:rsid w:val="00246B12"/>
    <w:rsid w:val="002478DD"/>
    <w:rsid w:val="0025120E"/>
    <w:rsid w:val="002526DF"/>
    <w:rsid w:val="00252AF9"/>
    <w:rsid w:val="00252C35"/>
    <w:rsid w:val="0025324A"/>
    <w:rsid w:val="00253D2A"/>
    <w:rsid w:val="0025718C"/>
    <w:rsid w:val="002571DA"/>
    <w:rsid w:val="00257E4C"/>
    <w:rsid w:val="00262630"/>
    <w:rsid w:val="00262A44"/>
    <w:rsid w:val="00264403"/>
    <w:rsid w:val="00270195"/>
    <w:rsid w:val="0027024A"/>
    <w:rsid w:val="00271498"/>
    <w:rsid w:val="00271BF9"/>
    <w:rsid w:val="00271D3D"/>
    <w:rsid w:val="00275D09"/>
    <w:rsid w:val="00276D3A"/>
    <w:rsid w:val="002860D5"/>
    <w:rsid w:val="0029358F"/>
    <w:rsid w:val="00293F01"/>
    <w:rsid w:val="00295A7B"/>
    <w:rsid w:val="002A0D56"/>
    <w:rsid w:val="002A1093"/>
    <w:rsid w:val="002A1B88"/>
    <w:rsid w:val="002A1ED2"/>
    <w:rsid w:val="002A3CCB"/>
    <w:rsid w:val="002A55DD"/>
    <w:rsid w:val="002A6F35"/>
    <w:rsid w:val="002A7BCF"/>
    <w:rsid w:val="002B10F7"/>
    <w:rsid w:val="002B6711"/>
    <w:rsid w:val="002B67F8"/>
    <w:rsid w:val="002B6801"/>
    <w:rsid w:val="002C1B36"/>
    <w:rsid w:val="002C224E"/>
    <w:rsid w:val="002C4C6F"/>
    <w:rsid w:val="002C5F03"/>
    <w:rsid w:val="002D0A87"/>
    <w:rsid w:val="002D57AA"/>
    <w:rsid w:val="002E1E1C"/>
    <w:rsid w:val="002E2252"/>
    <w:rsid w:val="002E3580"/>
    <w:rsid w:val="002E46AE"/>
    <w:rsid w:val="002E504E"/>
    <w:rsid w:val="002E5E7F"/>
    <w:rsid w:val="002E704D"/>
    <w:rsid w:val="002F0EDA"/>
    <w:rsid w:val="002F39EC"/>
    <w:rsid w:val="002F410D"/>
    <w:rsid w:val="002F4D7D"/>
    <w:rsid w:val="002F5862"/>
    <w:rsid w:val="00302935"/>
    <w:rsid w:val="003057CF"/>
    <w:rsid w:val="00307AAB"/>
    <w:rsid w:val="00310A02"/>
    <w:rsid w:val="0031115B"/>
    <w:rsid w:val="00311A16"/>
    <w:rsid w:val="00311C0F"/>
    <w:rsid w:val="0031548C"/>
    <w:rsid w:val="00316F24"/>
    <w:rsid w:val="00330E13"/>
    <w:rsid w:val="00335C16"/>
    <w:rsid w:val="003376FC"/>
    <w:rsid w:val="00340C83"/>
    <w:rsid w:val="0034265A"/>
    <w:rsid w:val="00346865"/>
    <w:rsid w:val="00353722"/>
    <w:rsid w:val="00355454"/>
    <w:rsid w:val="00356F49"/>
    <w:rsid w:val="00360251"/>
    <w:rsid w:val="003619F1"/>
    <w:rsid w:val="00361BD5"/>
    <w:rsid w:val="00361DA7"/>
    <w:rsid w:val="00364133"/>
    <w:rsid w:val="00366FBA"/>
    <w:rsid w:val="00372F9B"/>
    <w:rsid w:val="00373CDA"/>
    <w:rsid w:val="00382298"/>
    <w:rsid w:val="0038287C"/>
    <w:rsid w:val="00382B27"/>
    <w:rsid w:val="00383C41"/>
    <w:rsid w:val="00386A40"/>
    <w:rsid w:val="00391672"/>
    <w:rsid w:val="00395588"/>
    <w:rsid w:val="00396BBA"/>
    <w:rsid w:val="003A05DC"/>
    <w:rsid w:val="003A1095"/>
    <w:rsid w:val="003A1F48"/>
    <w:rsid w:val="003A3B74"/>
    <w:rsid w:val="003A3F87"/>
    <w:rsid w:val="003A5430"/>
    <w:rsid w:val="003A56BD"/>
    <w:rsid w:val="003B1F96"/>
    <w:rsid w:val="003B24DF"/>
    <w:rsid w:val="003B4F2F"/>
    <w:rsid w:val="003C5DDA"/>
    <w:rsid w:val="003C5FFE"/>
    <w:rsid w:val="003D2629"/>
    <w:rsid w:val="003D32B1"/>
    <w:rsid w:val="003D3E6B"/>
    <w:rsid w:val="003D466D"/>
    <w:rsid w:val="003D75DC"/>
    <w:rsid w:val="003D7B21"/>
    <w:rsid w:val="003E07F3"/>
    <w:rsid w:val="003F19A1"/>
    <w:rsid w:val="003F35AC"/>
    <w:rsid w:val="003F398C"/>
    <w:rsid w:val="003F4204"/>
    <w:rsid w:val="003F4DEE"/>
    <w:rsid w:val="003F5B58"/>
    <w:rsid w:val="00400AB9"/>
    <w:rsid w:val="00401477"/>
    <w:rsid w:val="00401979"/>
    <w:rsid w:val="00402349"/>
    <w:rsid w:val="0040341B"/>
    <w:rsid w:val="00405401"/>
    <w:rsid w:val="0040608E"/>
    <w:rsid w:val="00406E48"/>
    <w:rsid w:val="004072D0"/>
    <w:rsid w:val="0041062C"/>
    <w:rsid w:val="004121EA"/>
    <w:rsid w:val="00413556"/>
    <w:rsid w:val="00414BC1"/>
    <w:rsid w:val="0041544E"/>
    <w:rsid w:val="0041555D"/>
    <w:rsid w:val="004162BD"/>
    <w:rsid w:val="0041785A"/>
    <w:rsid w:val="00420391"/>
    <w:rsid w:val="00421174"/>
    <w:rsid w:val="004233BA"/>
    <w:rsid w:val="00423C97"/>
    <w:rsid w:val="00424A6D"/>
    <w:rsid w:val="004255F2"/>
    <w:rsid w:val="004316C6"/>
    <w:rsid w:val="00435575"/>
    <w:rsid w:val="00436111"/>
    <w:rsid w:val="00441809"/>
    <w:rsid w:val="004421D9"/>
    <w:rsid w:val="00443718"/>
    <w:rsid w:val="00446A46"/>
    <w:rsid w:val="004528E0"/>
    <w:rsid w:val="0045380C"/>
    <w:rsid w:val="00453D26"/>
    <w:rsid w:val="00466051"/>
    <w:rsid w:val="004733B6"/>
    <w:rsid w:val="004813C7"/>
    <w:rsid w:val="00482283"/>
    <w:rsid w:val="004826AA"/>
    <w:rsid w:val="00485C95"/>
    <w:rsid w:val="00486CDB"/>
    <w:rsid w:val="00491E08"/>
    <w:rsid w:val="00491FCE"/>
    <w:rsid w:val="0049290E"/>
    <w:rsid w:val="00495649"/>
    <w:rsid w:val="0049630C"/>
    <w:rsid w:val="00496757"/>
    <w:rsid w:val="004A6246"/>
    <w:rsid w:val="004A6EE0"/>
    <w:rsid w:val="004A714F"/>
    <w:rsid w:val="004A7F1F"/>
    <w:rsid w:val="004B05EB"/>
    <w:rsid w:val="004B1D5F"/>
    <w:rsid w:val="004B2D5D"/>
    <w:rsid w:val="004B3FCE"/>
    <w:rsid w:val="004B4EF7"/>
    <w:rsid w:val="004C5F07"/>
    <w:rsid w:val="004D1A97"/>
    <w:rsid w:val="004D1CEC"/>
    <w:rsid w:val="004D659D"/>
    <w:rsid w:val="004D667C"/>
    <w:rsid w:val="004E093F"/>
    <w:rsid w:val="004E2255"/>
    <w:rsid w:val="004E3DFC"/>
    <w:rsid w:val="004F4FDD"/>
    <w:rsid w:val="004F6C87"/>
    <w:rsid w:val="005030E0"/>
    <w:rsid w:val="00504DA4"/>
    <w:rsid w:val="00504F38"/>
    <w:rsid w:val="00505421"/>
    <w:rsid w:val="00510809"/>
    <w:rsid w:val="00511159"/>
    <w:rsid w:val="00514E03"/>
    <w:rsid w:val="00517A28"/>
    <w:rsid w:val="00520CA1"/>
    <w:rsid w:val="00520DB0"/>
    <w:rsid w:val="00521D92"/>
    <w:rsid w:val="00521ED0"/>
    <w:rsid w:val="00524A86"/>
    <w:rsid w:val="00524F89"/>
    <w:rsid w:val="005308A8"/>
    <w:rsid w:val="00530949"/>
    <w:rsid w:val="0053312E"/>
    <w:rsid w:val="00533B4C"/>
    <w:rsid w:val="00535A10"/>
    <w:rsid w:val="00535CEA"/>
    <w:rsid w:val="0054174D"/>
    <w:rsid w:val="005418D2"/>
    <w:rsid w:val="005435CB"/>
    <w:rsid w:val="00543F83"/>
    <w:rsid w:val="00544A60"/>
    <w:rsid w:val="005507A4"/>
    <w:rsid w:val="00555987"/>
    <w:rsid w:val="00557628"/>
    <w:rsid w:val="00562A1C"/>
    <w:rsid w:val="005639C2"/>
    <w:rsid w:val="00565BF1"/>
    <w:rsid w:val="00566F8D"/>
    <w:rsid w:val="005676F1"/>
    <w:rsid w:val="00570349"/>
    <w:rsid w:val="005737B2"/>
    <w:rsid w:val="00573C43"/>
    <w:rsid w:val="00574A8B"/>
    <w:rsid w:val="005753EB"/>
    <w:rsid w:val="00576EF0"/>
    <w:rsid w:val="00580B8B"/>
    <w:rsid w:val="00581017"/>
    <w:rsid w:val="005826EE"/>
    <w:rsid w:val="00582D6B"/>
    <w:rsid w:val="0058375E"/>
    <w:rsid w:val="00584996"/>
    <w:rsid w:val="00587EC8"/>
    <w:rsid w:val="00590082"/>
    <w:rsid w:val="00593A82"/>
    <w:rsid w:val="0059573E"/>
    <w:rsid w:val="005974C3"/>
    <w:rsid w:val="005A049D"/>
    <w:rsid w:val="005A1285"/>
    <w:rsid w:val="005A1446"/>
    <w:rsid w:val="005A1DF7"/>
    <w:rsid w:val="005A46BC"/>
    <w:rsid w:val="005A589C"/>
    <w:rsid w:val="005A69F4"/>
    <w:rsid w:val="005B025B"/>
    <w:rsid w:val="005B3855"/>
    <w:rsid w:val="005B436E"/>
    <w:rsid w:val="005C026D"/>
    <w:rsid w:val="005C0337"/>
    <w:rsid w:val="005C693F"/>
    <w:rsid w:val="005D0CB9"/>
    <w:rsid w:val="005D1004"/>
    <w:rsid w:val="005D1316"/>
    <w:rsid w:val="005D318A"/>
    <w:rsid w:val="005D360E"/>
    <w:rsid w:val="005D3BB5"/>
    <w:rsid w:val="005D4D12"/>
    <w:rsid w:val="005D6449"/>
    <w:rsid w:val="005D6FC2"/>
    <w:rsid w:val="005E1CD5"/>
    <w:rsid w:val="005E1E84"/>
    <w:rsid w:val="005E1F62"/>
    <w:rsid w:val="005E44A0"/>
    <w:rsid w:val="005E4F09"/>
    <w:rsid w:val="005F01DB"/>
    <w:rsid w:val="005F084F"/>
    <w:rsid w:val="005F0B9C"/>
    <w:rsid w:val="005F19C7"/>
    <w:rsid w:val="005F6B5C"/>
    <w:rsid w:val="005F74A1"/>
    <w:rsid w:val="00611E3F"/>
    <w:rsid w:val="00614DDD"/>
    <w:rsid w:val="00614F3A"/>
    <w:rsid w:val="00617C39"/>
    <w:rsid w:val="00617EB6"/>
    <w:rsid w:val="00627440"/>
    <w:rsid w:val="006278CF"/>
    <w:rsid w:val="00633664"/>
    <w:rsid w:val="006336C6"/>
    <w:rsid w:val="00641086"/>
    <w:rsid w:val="006419A1"/>
    <w:rsid w:val="00643955"/>
    <w:rsid w:val="0064698A"/>
    <w:rsid w:val="0065032F"/>
    <w:rsid w:val="0065129F"/>
    <w:rsid w:val="006516D1"/>
    <w:rsid w:val="00651982"/>
    <w:rsid w:val="00652D39"/>
    <w:rsid w:val="006539C5"/>
    <w:rsid w:val="006549B3"/>
    <w:rsid w:val="00662DA3"/>
    <w:rsid w:val="00663418"/>
    <w:rsid w:val="00664DA2"/>
    <w:rsid w:val="006650BA"/>
    <w:rsid w:val="006662EB"/>
    <w:rsid w:val="006708A9"/>
    <w:rsid w:val="006734AA"/>
    <w:rsid w:val="00673718"/>
    <w:rsid w:val="00673EA3"/>
    <w:rsid w:val="0067669A"/>
    <w:rsid w:val="0068012B"/>
    <w:rsid w:val="00680D93"/>
    <w:rsid w:val="00684A6B"/>
    <w:rsid w:val="00684F36"/>
    <w:rsid w:val="00685F51"/>
    <w:rsid w:val="006862D8"/>
    <w:rsid w:val="00692741"/>
    <w:rsid w:val="00695976"/>
    <w:rsid w:val="006A0706"/>
    <w:rsid w:val="006A1C6B"/>
    <w:rsid w:val="006A2628"/>
    <w:rsid w:val="006A288A"/>
    <w:rsid w:val="006A752D"/>
    <w:rsid w:val="006A7601"/>
    <w:rsid w:val="006B130E"/>
    <w:rsid w:val="006B21ED"/>
    <w:rsid w:val="006B427C"/>
    <w:rsid w:val="006B45A8"/>
    <w:rsid w:val="006B4AA4"/>
    <w:rsid w:val="006B5666"/>
    <w:rsid w:val="006B605B"/>
    <w:rsid w:val="006C096A"/>
    <w:rsid w:val="006C20CA"/>
    <w:rsid w:val="006C28B7"/>
    <w:rsid w:val="006C4345"/>
    <w:rsid w:val="006C6897"/>
    <w:rsid w:val="006D1153"/>
    <w:rsid w:val="006D35DE"/>
    <w:rsid w:val="006D3650"/>
    <w:rsid w:val="006D6493"/>
    <w:rsid w:val="006E307C"/>
    <w:rsid w:val="006E3CDF"/>
    <w:rsid w:val="006F0C1C"/>
    <w:rsid w:val="006F2F3D"/>
    <w:rsid w:val="006F3C59"/>
    <w:rsid w:val="006F72E9"/>
    <w:rsid w:val="006F781C"/>
    <w:rsid w:val="007010D6"/>
    <w:rsid w:val="00701B57"/>
    <w:rsid w:val="007020E2"/>
    <w:rsid w:val="00703256"/>
    <w:rsid w:val="007040CF"/>
    <w:rsid w:val="007135D9"/>
    <w:rsid w:val="00713714"/>
    <w:rsid w:val="00714CC7"/>
    <w:rsid w:val="0071644D"/>
    <w:rsid w:val="00716985"/>
    <w:rsid w:val="007247B2"/>
    <w:rsid w:val="00724F4F"/>
    <w:rsid w:val="00727C17"/>
    <w:rsid w:val="00727E53"/>
    <w:rsid w:val="00734627"/>
    <w:rsid w:val="00735A33"/>
    <w:rsid w:val="00736D34"/>
    <w:rsid w:val="00740796"/>
    <w:rsid w:val="00742F94"/>
    <w:rsid w:val="00743E1B"/>
    <w:rsid w:val="007462CE"/>
    <w:rsid w:val="007532A2"/>
    <w:rsid w:val="007645A7"/>
    <w:rsid w:val="00766109"/>
    <w:rsid w:val="007661A4"/>
    <w:rsid w:val="00766906"/>
    <w:rsid w:val="00767C99"/>
    <w:rsid w:val="007710FA"/>
    <w:rsid w:val="00773EA5"/>
    <w:rsid w:val="00776DAF"/>
    <w:rsid w:val="007773E5"/>
    <w:rsid w:val="00780939"/>
    <w:rsid w:val="00781057"/>
    <w:rsid w:val="00783597"/>
    <w:rsid w:val="007847D7"/>
    <w:rsid w:val="0079288A"/>
    <w:rsid w:val="007974F1"/>
    <w:rsid w:val="007A37A4"/>
    <w:rsid w:val="007A45FE"/>
    <w:rsid w:val="007B16BA"/>
    <w:rsid w:val="007B4739"/>
    <w:rsid w:val="007B567F"/>
    <w:rsid w:val="007B5715"/>
    <w:rsid w:val="007B768D"/>
    <w:rsid w:val="007C076C"/>
    <w:rsid w:val="007C2CC0"/>
    <w:rsid w:val="007C3EEA"/>
    <w:rsid w:val="007D1150"/>
    <w:rsid w:val="007D5737"/>
    <w:rsid w:val="007D6835"/>
    <w:rsid w:val="007D7287"/>
    <w:rsid w:val="007D7841"/>
    <w:rsid w:val="007E3776"/>
    <w:rsid w:val="007E6076"/>
    <w:rsid w:val="007F1DDC"/>
    <w:rsid w:val="007F390D"/>
    <w:rsid w:val="007F6754"/>
    <w:rsid w:val="007F799A"/>
    <w:rsid w:val="00804103"/>
    <w:rsid w:val="008049E5"/>
    <w:rsid w:val="00810888"/>
    <w:rsid w:val="00810EE6"/>
    <w:rsid w:val="0082184B"/>
    <w:rsid w:val="00823841"/>
    <w:rsid w:val="00823886"/>
    <w:rsid w:val="00823A5C"/>
    <w:rsid w:val="00825ABC"/>
    <w:rsid w:val="00825F84"/>
    <w:rsid w:val="00826F22"/>
    <w:rsid w:val="00830445"/>
    <w:rsid w:val="00830839"/>
    <w:rsid w:val="00830986"/>
    <w:rsid w:val="00830F54"/>
    <w:rsid w:val="00832933"/>
    <w:rsid w:val="008352C2"/>
    <w:rsid w:val="0084485B"/>
    <w:rsid w:val="00845BF4"/>
    <w:rsid w:val="00845DD3"/>
    <w:rsid w:val="00850F76"/>
    <w:rsid w:val="00851873"/>
    <w:rsid w:val="00852035"/>
    <w:rsid w:val="00854A3E"/>
    <w:rsid w:val="00856901"/>
    <w:rsid w:val="00856F76"/>
    <w:rsid w:val="0086259B"/>
    <w:rsid w:val="00863BB3"/>
    <w:rsid w:val="008645C7"/>
    <w:rsid w:val="00864FFE"/>
    <w:rsid w:val="00867D06"/>
    <w:rsid w:val="0087034F"/>
    <w:rsid w:val="008720F5"/>
    <w:rsid w:val="00872FC3"/>
    <w:rsid w:val="0087597C"/>
    <w:rsid w:val="00875A69"/>
    <w:rsid w:val="00876F9E"/>
    <w:rsid w:val="00877D8F"/>
    <w:rsid w:val="00877ECC"/>
    <w:rsid w:val="0088028B"/>
    <w:rsid w:val="00882125"/>
    <w:rsid w:val="00885AB4"/>
    <w:rsid w:val="00886DB6"/>
    <w:rsid w:val="00887207"/>
    <w:rsid w:val="00887BB2"/>
    <w:rsid w:val="00892A2E"/>
    <w:rsid w:val="008935F4"/>
    <w:rsid w:val="008A2758"/>
    <w:rsid w:val="008A32BC"/>
    <w:rsid w:val="008A5915"/>
    <w:rsid w:val="008A5CBE"/>
    <w:rsid w:val="008A7455"/>
    <w:rsid w:val="008B0773"/>
    <w:rsid w:val="008B1DAC"/>
    <w:rsid w:val="008B4E5C"/>
    <w:rsid w:val="008B6A8E"/>
    <w:rsid w:val="008C27EF"/>
    <w:rsid w:val="008C32C3"/>
    <w:rsid w:val="008C6A57"/>
    <w:rsid w:val="008D5C0D"/>
    <w:rsid w:val="008D63B9"/>
    <w:rsid w:val="008D71FD"/>
    <w:rsid w:val="008D76B9"/>
    <w:rsid w:val="008E0575"/>
    <w:rsid w:val="008E15C5"/>
    <w:rsid w:val="008E3486"/>
    <w:rsid w:val="008E34AF"/>
    <w:rsid w:val="008E5C66"/>
    <w:rsid w:val="008F2637"/>
    <w:rsid w:val="008F287A"/>
    <w:rsid w:val="008F32B2"/>
    <w:rsid w:val="008F4369"/>
    <w:rsid w:val="008F7562"/>
    <w:rsid w:val="00900E25"/>
    <w:rsid w:val="0090229B"/>
    <w:rsid w:val="009039B0"/>
    <w:rsid w:val="00903F02"/>
    <w:rsid w:val="00903FC7"/>
    <w:rsid w:val="00905BC5"/>
    <w:rsid w:val="00905DA2"/>
    <w:rsid w:val="00906DD3"/>
    <w:rsid w:val="00912345"/>
    <w:rsid w:val="009152D7"/>
    <w:rsid w:val="00921CC2"/>
    <w:rsid w:val="00925C16"/>
    <w:rsid w:val="0092634B"/>
    <w:rsid w:val="00932D28"/>
    <w:rsid w:val="00934E26"/>
    <w:rsid w:val="00936FDA"/>
    <w:rsid w:val="00940DE2"/>
    <w:rsid w:val="00947DFD"/>
    <w:rsid w:val="00952129"/>
    <w:rsid w:val="00952384"/>
    <w:rsid w:val="0095445E"/>
    <w:rsid w:val="00954BA3"/>
    <w:rsid w:val="009573DA"/>
    <w:rsid w:val="00960603"/>
    <w:rsid w:val="00960B75"/>
    <w:rsid w:val="009628F7"/>
    <w:rsid w:val="00964814"/>
    <w:rsid w:val="00965B14"/>
    <w:rsid w:val="009735A2"/>
    <w:rsid w:val="00974352"/>
    <w:rsid w:val="00974D10"/>
    <w:rsid w:val="00977374"/>
    <w:rsid w:val="00980DF7"/>
    <w:rsid w:val="00980EE1"/>
    <w:rsid w:val="00984E13"/>
    <w:rsid w:val="00986989"/>
    <w:rsid w:val="0099107B"/>
    <w:rsid w:val="00992E41"/>
    <w:rsid w:val="009937F5"/>
    <w:rsid w:val="00995549"/>
    <w:rsid w:val="00996BA2"/>
    <w:rsid w:val="009972B8"/>
    <w:rsid w:val="009A2395"/>
    <w:rsid w:val="009A2672"/>
    <w:rsid w:val="009A26BF"/>
    <w:rsid w:val="009A309C"/>
    <w:rsid w:val="009A4E6B"/>
    <w:rsid w:val="009A58D3"/>
    <w:rsid w:val="009B0B78"/>
    <w:rsid w:val="009B2A30"/>
    <w:rsid w:val="009B2C6E"/>
    <w:rsid w:val="009C1712"/>
    <w:rsid w:val="009D1875"/>
    <w:rsid w:val="009D1F66"/>
    <w:rsid w:val="009D66F9"/>
    <w:rsid w:val="009D7828"/>
    <w:rsid w:val="009E052D"/>
    <w:rsid w:val="009E22E2"/>
    <w:rsid w:val="009E37C1"/>
    <w:rsid w:val="009E3A86"/>
    <w:rsid w:val="009E4206"/>
    <w:rsid w:val="009F0273"/>
    <w:rsid w:val="009F3998"/>
    <w:rsid w:val="009F40D9"/>
    <w:rsid w:val="00A010C4"/>
    <w:rsid w:val="00A01AD8"/>
    <w:rsid w:val="00A03992"/>
    <w:rsid w:val="00A10CA1"/>
    <w:rsid w:val="00A10E48"/>
    <w:rsid w:val="00A13733"/>
    <w:rsid w:val="00A17924"/>
    <w:rsid w:val="00A20A52"/>
    <w:rsid w:val="00A20BEB"/>
    <w:rsid w:val="00A21824"/>
    <w:rsid w:val="00A2289C"/>
    <w:rsid w:val="00A236F6"/>
    <w:rsid w:val="00A240EA"/>
    <w:rsid w:val="00A26B64"/>
    <w:rsid w:val="00A310DC"/>
    <w:rsid w:val="00A31737"/>
    <w:rsid w:val="00A328AC"/>
    <w:rsid w:val="00A3518E"/>
    <w:rsid w:val="00A427B7"/>
    <w:rsid w:val="00A535E7"/>
    <w:rsid w:val="00A56BA8"/>
    <w:rsid w:val="00A6157F"/>
    <w:rsid w:val="00A62224"/>
    <w:rsid w:val="00A63E89"/>
    <w:rsid w:val="00A667C3"/>
    <w:rsid w:val="00A70D16"/>
    <w:rsid w:val="00A71CA5"/>
    <w:rsid w:val="00A739E9"/>
    <w:rsid w:val="00A76264"/>
    <w:rsid w:val="00A85236"/>
    <w:rsid w:val="00A8750D"/>
    <w:rsid w:val="00A87DFA"/>
    <w:rsid w:val="00A9126D"/>
    <w:rsid w:val="00A91486"/>
    <w:rsid w:val="00A93A15"/>
    <w:rsid w:val="00A94312"/>
    <w:rsid w:val="00A973E1"/>
    <w:rsid w:val="00AA1A0C"/>
    <w:rsid w:val="00AA2B9F"/>
    <w:rsid w:val="00AA2D6F"/>
    <w:rsid w:val="00AA4A1E"/>
    <w:rsid w:val="00AA5436"/>
    <w:rsid w:val="00AA5E22"/>
    <w:rsid w:val="00AB1DA8"/>
    <w:rsid w:val="00AB585F"/>
    <w:rsid w:val="00AB71AA"/>
    <w:rsid w:val="00AC54D9"/>
    <w:rsid w:val="00AD1129"/>
    <w:rsid w:val="00AD627A"/>
    <w:rsid w:val="00AE3F3E"/>
    <w:rsid w:val="00AE4353"/>
    <w:rsid w:val="00AE4498"/>
    <w:rsid w:val="00AE46F9"/>
    <w:rsid w:val="00AE48BA"/>
    <w:rsid w:val="00AE4AD2"/>
    <w:rsid w:val="00AE53DA"/>
    <w:rsid w:val="00AE6735"/>
    <w:rsid w:val="00AF0883"/>
    <w:rsid w:val="00AF0DE4"/>
    <w:rsid w:val="00AF190B"/>
    <w:rsid w:val="00AF1F26"/>
    <w:rsid w:val="00AF1F3E"/>
    <w:rsid w:val="00AF7355"/>
    <w:rsid w:val="00B00652"/>
    <w:rsid w:val="00B05125"/>
    <w:rsid w:val="00B113C2"/>
    <w:rsid w:val="00B1156C"/>
    <w:rsid w:val="00B11DAB"/>
    <w:rsid w:val="00B12F02"/>
    <w:rsid w:val="00B13B5A"/>
    <w:rsid w:val="00B13D52"/>
    <w:rsid w:val="00B16DFD"/>
    <w:rsid w:val="00B1778A"/>
    <w:rsid w:val="00B17AA6"/>
    <w:rsid w:val="00B20191"/>
    <w:rsid w:val="00B2390C"/>
    <w:rsid w:val="00B242D0"/>
    <w:rsid w:val="00B30A28"/>
    <w:rsid w:val="00B31FBA"/>
    <w:rsid w:val="00B32938"/>
    <w:rsid w:val="00B33B52"/>
    <w:rsid w:val="00B3661C"/>
    <w:rsid w:val="00B46DE3"/>
    <w:rsid w:val="00B50152"/>
    <w:rsid w:val="00B508D3"/>
    <w:rsid w:val="00B517AF"/>
    <w:rsid w:val="00B52B3B"/>
    <w:rsid w:val="00B52F2B"/>
    <w:rsid w:val="00B53D92"/>
    <w:rsid w:val="00B54549"/>
    <w:rsid w:val="00B5554B"/>
    <w:rsid w:val="00B55A40"/>
    <w:rsid w:val="00B57A45"/>
    <w:rsid w:val="00B61F39"/>
    <w:rsid w:val="00B62945"/>
    <w:rsid w:val="00B62C49"/>
    <w:rsid w:val="00B630CB"/>
    <w:rsid w:val="00B64DFE"/>
    <w:rsid w:val="00B66072"/>
    <w:rsid w:val="00B67B7A"/>
    <w:rsid w:val="00B7037C"/>
    <w:rsid w:val="00B70AA0"/>
    <w:rsid w:val="00B72EAC"/>
    <w:rsid w:val="00B747E5"/>
    <w:rsid w:val="00B760EF"/>
    <w:rsid w:val="00B76275"/>
    <w:rsid w:val="00B76E06"/>
    <w:rsid w:val="00B80647"/>
    <w:rsid w:val="00B80903"/>
    <w:rsid w:val="00B80979"/>
    <w:rsid w:val="00B85553"/>
    <w:rsid w:val="00B866DF"/>
    <w:rsid w:val="00B870BA"/>
    <w:rsid w:val="00B874A6"/>
    <w:rsid w:val="00B90861"/>
    <w:rsid w:val="00B91827"/>
    <w:rsid w:val="00B9223B"/>
    <w:rsid w:val="00B9329F"/>
    <w:rsid w:val="00B9345E"/>
    <w:rsid w:val="00B936E4"/>
    <w:rsid w:val="00B948DC"/>
    <w:rsid w:val="00B952A3"/>
    <w:rsid w:val="00B97E72"/>
    <w:rsid w:val="00BA2477"/>
    <w:rsid w:val="00BA287A"/>
    <w:rsid w:val="00BA3E8C"/>
    <w:rsid w:val="00BA6FBB"/>
    <w:rsid w:val="00BB3991"/>
    <w:rsid w:val="00BB41F7"/>
    <w:rsid w:val="00BB6BEA"/>
    <w:rsid w:val="00BC0BC2"/>
    <w:rsid w:val="00BC2C78"/>
    <w:rsid w:val="00BC5A96"/>
    <w:rsid w:val="00BD378B"/>
    <w:rsid w:val="00BD4FE5"/>
    <w:rsid w:val="00BD68D5"/>
    <w:rsid w:val="00BE3900"/>
    <w:rsid w:val="00BE39F5"/>
    <w:rsid w:val="00BE4F84"/>
    <w:rsid w:val="00BE5401"/>
    <w:rsid w:val="00BE5B6B"/>
    <w:rsid w:val="00BE682F"/>
    <w:rsid w:val="00BE7473"/>
    <w:rsid w:val="00BF22C7"/>
    <w:rsid w:val="00BF22E3"/>
    <w:rsid w:val="00BF2D18"/>
    <w:rsid w:val="00BF2D86"/>
    <w:rsid w:val="00BF3F7A"/>
    <w:rsid w:val="00BF4DAA"/>
    <w:rsid w:val="00BF7A17"/>
    <w:rsid w:val="00C006C3"/>
    <w:rsid w:val="00C02BC5"/>
    <w:rsid w:val="00C069BB"/>
    <w:rsid w:val="00C13338"/>
    <w:rsid w:val="00C14309"/>
    <w:rsid w:val="00C17C7A"/>
    <w:rsid w:val="00C21BF5"/>
    <w:rsid w:val="00C262C5"/>
    <w:rsid w:val="00C305A8"/>
    <w:rsid w:val="00C31DE5"/>
    <w:rsid w:val="00C32346"/>
    <w:rsid w:val="00C36CB7"/>
    <w:rsid w:val="00C41746"/>
    <w:rsid w:val="00C50684"/>
    <w:rsid w:val="00C51BB9"/>
    <w:rsid w:val="00C52900"/>
    <w:rsid w:val="00C52C61"/>
    <w:rsid w:val="00C53A64"/>
    <w:rsid w:val="00C54ECC"/>
    <w:rsid w:val="00C56CB1"/>
    <w:rsid w:val="00C57FE4"/>
    <w:rsid w:val="00C60DDB"/>
    <w:rsid w:val="00C6108D"/>
    <w:rsid w:val="00C66F93"/>
    <w:rsid w:val="00C7068D"/>
    <w:rsid w:val="00C70F87"/>
    <w:rsid w:val="00C731AF"/>
    <w:rsid w:val="00C74793"/>
    <w:rsid w:val="00C75AC0"/>
    <w:rsid w:val="00C801B9"/>
    <w:rsid w:val="00C82A32"/>
    <w:rsid w:val="00C84957"/>
    <w:rsid w:val="00C86285"/>
    <w:rsid w:val="00C8749A"/>
    <w:rsid w:val="00C91A1A"/>
    <w:rsid w:val="00C939FF"/>
    <w:rsid w:val="00C9663E"/>
    <w:rsid w:val="00C97C2F"/>
    <w:rsid w:val="00CA2FB5"/>
    <w:rsid w:val="00CA76E4"/>
    <w:rsid w:val="00CB0E57"/>
    <w:rsid w:val="00CB25FF"/>
    <w:rsid w:val="00CB2AF3"/>
    <w:rsid w:val="00CB3E6B"/>
    <w:rsid w:val="00CB4398"/>
    <w:rsid w:val="00CB47F5"/>
    <w:rsid w:val="00CB501C"/>
    <w:rsid w:val="00CC6601"/>
    <w:rsid w:val="00CC6E66"/>
    <w:rsid w:val="00CD0329"/>
    <w:rsid w:val="00CD2510"/>
    <w:rsid w:val="00CD5F56"/>
    <w:rsid w:val="00CE5192"/>
    <w:rsid w:val="00CF0F3E"/>
    <w:rsid w:val="00CF3CE4"/>
    <w:rsid w:val="00CF577D"/>
    <w:rsid w:val="00D018A1"/>
    <w:rsid w:val="00D02F6D"/>
    <w:rsid w:val="00D04312"/>
    <w:rsid w:val="00D13D6A"/>
    <w:rsid w:val="00D168D1"/>
    <w:rsid w:val="00D17875"/>
    <w:rsid w:val="00D20B62"/>
    <w:rsid w:val="00D20DE9"/>
    <w:rsid w:val="00D20F02"/>
    <w:rsid w:val="00D22281"/>
    <w:rsid w:val="00D23A04"/>
    <w:rsid w:val="00D26C4E"/>
    <w:rsid w:val="00D30472"/>
    <w:rsid w:val="00D30D56"/>
    <w:rsid w:val="00D30EF1"/>
    <w:rsid w:val="00D31DEC"/>
    <w:rsid w:val="00D321FF"/>
    <w:rsid w:val="00D335CC"/>
    <w:rsid w:val="00D33A16"/>
    <w:rsid w:val="00D46196"/>
    <w:rsid w:val="00D510DB"/>
    <w:rsid w:val="00D52F48"/>
    <w:rsid w:val="00D52FE4"/>
    <w:rsid w:val="00D53DA9"/>
    <w:rsid w:val="00D5413A"/>
    <w:rsid w:val="00D57526"/>
    <w:rsid w:val="00D61D4D"/>
    <w:rsid w:val="00D64C7C"/>
    <w:rsid w:val="00D677EC"/>
    <w:rsid w:val="00D67DD0"/>
    <w:rsid w:val="00D7072E"/>
    <w:rsid w:val="00D70CF2"/>
    <w:rsid w:val="00D70F02"/>
    <w:rsid w:val="00D71785"/>
    <w:rsid w:val="00D72900"/>
    <w:rsid w:val="00D733B1"/>
    <w:rsid w:val="00D741C9"/>
    <w:rsid w:val="00D80DA3"/>
    <w:rsid w:val="00D814A1"/>
    <w:rsid w:val="00D81F3E"/>
    <w:rsid w:val="00D833C3"/>
    <w:rsid w:val="00D8470B"/>
    <w:rsid w:val="00D903BC"/>
    <w:rsid w:val="00D9123A"/>
    <w:rsid w:val="00D918E8"/>
    <w:rsid w:val="00D92142"/>
    <w:rsid w:val="00D938C5"/>
    <w:rsid w:val="00DA1021"/>
    <w:rsid w:val="00DA3532"/>
    <w:rsid w:val="00DA37A5"/>
    <w:rsid w:val="00DA58BF"/>
    <w:rsid w:val="00DA6C27"/>
    <w:rsid w:val="00DA7658"/>
    <w:rsid w:val="00DB1D36"/>
    <w:rsid w:val="00DB391C"/>
    <w:rsid w:val="00DB39F5"/>
    <w:rsid w:val="00DB410B"/>
    <w:rsid w:val="00DB450B"/>
    <w:rsid w:val="00DB602D"/>
    <w:rsid w:val="00DC6345"/>
    <w:rsid w:val="00DC75E8"/>
    <w:rsid w:val="00DC7A36"/>
    <w:rsid w:val="00DC7C6D"/>
    <w:rsid w:val="00DD1010"/>
    <w:rsid w:val="00DE0B74"/>
    <w:rsid w:val="00DE56F5"/>
    <w:rsid w:val="00DE5EEA"/>
    <w:rsid w:val="00DE7D83"/>
    <w:rsid w:val="00DF08E3"/>
    <w:rsid w:val="00DF0D54"/>
    <w:rsid w:val="00DF0D92"/>
    <w:rsid w:val="00DF1014"/>
    <w:rsid w:val="00DF1021"/>
    <w:rsid w:val="00DF11F8"/>
    <w:rsid w:val="00DF3340"/>
    <w:rsid w:val="00DF36F2"/>
    <w:rsid w:val="00DF607D"/>
    <w:rsid w:val="00DF6C50"/>
    <w:rsid w:val="00DF6DD2"/>
    <w:rsid w:val="00E02AF8"/>
    <w:rsid w:val="00E0646E"/>
    <w:rsid w:val="00E10A28"/>
    <w:rsid w:val="00E17E7B"/>
    <w:rsid w:val="00E20921"/>
    <w:rsid w:val="00E20997"/>
    <w:rsid w:val="00E224FC"/>
    <w:rsid w:val="00E23FE9"/>
    <w:rsid w:val="00E26F9C"/>
    <w:rsid w:val="00E27275"/>
    <w:rsid w:val="00E27DD7"/>
    <w:rsid w:val="00E27F29"/>
    <w:rsid w:val="00E32013"/>
    <w:rsid w:val="00E3396F"/>
    <w:rsid w:val="00E37474"/>
    <w:rsid w:val="00E43266"/>
    <w:rsid w:val="00E43DE7"/>
    <w:rsid w:val="00E47638"/>
    <w:rsid w:val="00E50584"/>
    <w:rsid w:val="00E55997"/>
    <w:rsid w:val="00E55DE5"/>
    <w:rsid w:val="00E567C7"/>
    <w:rsid w:val="00E56F99"/>
    <w:rsid w:val="00E57592"/>
    <w:rsid w:val="00E6013D"/>
    <w:rsid w:val="00E63DBC"/>
    <w:rsid w:val="00E669DD"/>
    <w:rsid w:val="00E67036"/>
    <w:rsid w:val="00E71645"/>
    <w:rsid w:val="00E71785"/>
    <w:rsid w:val="00E754A5"/>
    <w:rsid w:val="00E75BA0"/>
    <w:rsid w:val="00E760FF"/>
    <w:rsid w:val="00E81561"/>
    <w:rsid w:val="00E81C1F"/>
    <w:rsid w:val="00E82982"/>
    <w:rsid w:val="00E85C60"/>
    <w:rsid w:val="00E85E2E"/>
    <w:rsid w:val="00E86FE0"/>
    <w:rsid w:val="00E9027B"/>
    <w:rsid w:val="00E92805"/>
    <w:rsid w:val="00E93456"/>
    <w:rsid w:val="00E959A9"/>
    <w:rsid w:val="00EA04E5"/>
    <w:rsid w:val="00EA141A"/>
    <w:rsid w:val="00EA152C"/>
    <w:rsid w:val="00EA1DB1"/>
    <w:rsid w:val="00EA22E9"/>
    <w:rsid w:val="00EA2D56"/>
    <w:rsid w:val="00EA41AD"/>
    <w:rsid w:val="00EA4EBF"/>
    <w:rsid w:val="00EA6F12"/>
    <w:rsid w:val="00EB1EDA"/>
    <w:rsid w:val="00EB2B0A"/>
    <w:rsid w:val="00EB5248"/>
    <w:rsid w:val="00EB5838"/>
    <w:rsid w:val="00EC008D"/>
    <w:rsid w:val="00EC324D"/>
    <w:rsid w:val="00EC6D04"/>
    <w:rsid w:val="00EC6F3A"/>
    <w:rsid w:val="00EC76E1"/>
    <w:rsid w:val="00ED267E"/>
    <w:rsid w:val="00ED3AD9"/>
    <w:rsid w:val="00ED3CAD"/>
    <w:rsid w:val="00ED4A0A"/>
    <w:rsid w:val="00EE07CA"/>
    <w:rsid w:val="00EE1E76"/>
    <w:rsid w:val="00EE5559"/>
    <w:rsid w:val="00EF0CD2"/>
    <w:rsid w:val="00EF1367"/>
    <w:rsid w:val="00EF1372"/>
    <w:rsid w:val="00EF1AF5"/>
    <w:rsid w:val="00EF2AB1"/>
    <w:rsid w:val="00EF3734"/>
    <w:rsid w:val="00EF4B24"/>
    <w:rsid w:val="00F00B5F"/>
    <w:rsid w:val="00F03135"/>
    <w:rsid w:val="00F046B8"/>
    <w:rsid w:val="00F04BA2"/>
    <w:rsid w:val="00F13396"/>
    <w:rsid w:val="00F15339"/>
    <w:rsid w:val="00F16ED2"/>
    <w:rsid w:val="00F208E9"/>
    <w:rsid w:val="00F21853"/>
    <w:rsid w:val="00F3023C"/>
    <w:rsid w:val="00F30B73"/>
    <w:rsid w:val="00F30DEE"/>
    <w:rsid w:val="00F339A4"/>
    <w:rsid w:val="00F411C6"/>
    <w:rsid w:val="00F43A18"/>
    <w:rsid w:val="00F4490F"/>
    <w:rsid w:val="00F4519D"/>
    <w:rsid w:val="00F47C78"/>
    <w:rsid w:val="00F546DA"/>
    <w:rsid w:val="00F633E4"/>
    <w:rsid w:val="00F648E6"/>
    <w:rsid w:val="00F64F28"/>
    <w:rsid w:val="00F7313A"/>
    <w:rsid w:val="00F741D0"/>
    <w:rsid w:val="00F75919"/>
    <w:rsid w:val="00F771FA"/>
    <w:rsid w:val="00F8439A"/>
    <w:rsid w:val="00F90F32"/>
    <w:rsid w:val="00F93750"/>
    <w:rsid w:val="00F96CF2"/>
    <w:rsid w:val="00F97037"/>
    <w:rsid w:val="00F978F4"/>
    <w:rsid w:val="00FA16FD"/>
    <w:rsid w:val="00FA20A2"/>
    <w:rsid w:val="00FA4A53"/>
    <w:rsid w:val="00FA6BF2"/>
    <w:rsid w:val="00FA6D80"/>
    <w:rsid w:val="00FB1A95"/>
    <w:rsid w:val="00FB29D3"/>
    <w:rsid w:val="00FB51B4"/>
    <w:rsid w:val="00FB611F"/>
    <w:rsid w:val="00FB66D9"/>
    <w:rsid w:val="00FB696C"/>
    <w:rsid w:val="00FC0F36"/>
    <w:rsid w:val="00FC293B"/>
    <w:rsid w:val="00FC2B10"/>
    <w:rsid w:val="00FC70FA"/>
    <w:rsid w:val="00FD0A42"/>
    <w:rsid w:val="00FD3F75"/>
    <w:rsid w:val="00FD556A"/>
    <w:rsid w:val="00FD58AC"/>
    <w:rsid w:val="00FD6D0C"/>
    <w:rsid w:val="00FD7D57"/>
    <w:rsid w:val="00FE1AC1"/>
    <w:rsid w:val="00FE329F"/>
    <w:rsid w:val="00FE3482"/>
    <w:rsid w:val="00FE6FA7"/>
    <w:rsid w:val="00FF0CE1"/>
    <w:rsid w:val="00FF485C"/>
    <w:rsid w:val="00FF5BB1"/>
    <w:rsid w:val="00FF608D"/>
    <w:rsid w:val="00FF6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94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semiHidden="0" w:uiPriority="35" w:unhideWhenUsed="0" w:qFormat="1"/>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5A2"/>
    <w:rPr>
      <w:sz w:val="24"/>
    </w:rPr>
  </w:style>
  <w:style w:type="paragraph" w:styleId="Heading1">
    <w:name w:val="heading 1"/>
    <w:basedOn w:val="Normal"/>
    <w:next w:val="Normal"/>
    <w:uiPriority w:val="9"/>
    <w:qFormat/>
    <w:rsid w:val="00160561"/>
    <w:pPr>
      <w:keepNext/>
      <w:numPr>
        <w:numId w:val="1"/>
      </w:numPr>
      <w:tabs>
        <w:tab w:val="left" w:pos="720"/>
      </w:tabs>
      <w:spacing w:before="300" w:after="120"/>
      <w:outlineLvl w:val="0"/>
    </w:pPr>
    <w:rPr>
      <w:rFonts w:ascii="Arial" w:hAnsi="Arial"/>
      <w:b/>
      <w:bCs/>
      <w:smallCaps/>
      <w:sz w:val="28"/>
    </w:rPr>
  </w:style>
  <w:style w:type="paragraph" w:styleId="Heading2">
    <w:name w:val="heading 2"/>
    <w:basedOn w:val="Normal"/>
    <w:next w:val="Normal"/>
    <w:link w:val="Heading2Char"/>
    <w:autoRedefine/>
    <w:uiPriority w:val="9"/>
    <w:qFormat/>
    <w:rsid w:val="009735A2"/>
    <w:pPr>
      <w:keepNext/>
      <w:numPr>
        <w:ilvl w:val="1"/>
        <w:numId w:val="1"/>
      </w:numPr>
      <w:tabs>
        <w:tab w:val="clear" w:pos="1116"/>
      </w:tabs>
      <w:spacing w:line="276" w:lineRule="auto"/>
      <w:ind w:left="576"/>
      <w:outlineLvl w:val="1"/>
    </w:pPr>
    <w:rPr>
      <w:rFonts w:ascii="Arial" w:hAnsi="Arial" w:cs="Calibri"/>
      <w:b/>
      <w:bCs/>
      <w:szCs w:val="28"/>
    </w:rPr>
  </w:style>
  <w:style w:type="paragraph" w:styleId="Heading3">
    <w:name w:val="heading 3"/>
    <w:basedOn w:val="Normal"/>
    <w:next w:val="Normal"/>
    <w:link w:val="Heading3Char"/>
    <w:autoRedefine/>
    <w:uiPriority w:val="9"/>
    <w:qFormat/>
    <w:rsid w:val="009735A2"/>
    <w:pPr>
      <w:keepNext/>
      <w:spacing w:before="120" w:after="120"/>
      <w:jc w:val="both"/>
      <w:outlineLvl w:val="2"/>
    </w:pPr>
    <w:rPr>
      <w:rFonts w:ascii="Arial" w:hAnsi="Arial"/>
      <w:bCs/>
      <w:iCs/>
      <w:szCs w:val="24"/>
    </w:rPr>
  </w:style>
  <w:style w:type="paragraph" w:styleId="Heading4">
    <w:name w:val="heading 4"/>
    <w:basedOn w:val="Normal"/>
    <w:next w:val="Normal"/>
    <w:link w:val="Heading4Char"/>
    <w:uiPriority w:val="9"/>
    <w:qFormat/>
    <w:rsid w:val="00B52F2B"/>
    <w:pPr>
      <w:keepNext/>
      <w:numPr>
        <w:ilvl w:val="3"/>
        <w:numId w:val="1"/>
      </w:numPr>
      <w:spacing w:before="60" w:after="60"/>
      <w:outlineLvl w:val="3"/>
    </w:pPr>
    <w:rPr>
      <w:rFonts w:ascii="CG Omega" w:hAnsi="CG Omega" w:cs="Arial"/>
      <w:i/>
      <w:iCs/>
      <w:sz w:val="23"/>
      <w:u w:val="single"/>
    </w:rPr>
  </w:style>
  <w:style w:type="paragraph" w:styleId="Heading5">
    <w:name w:val="heading 5"/>
    <w:basedOn w:val="Normal"/>
    <w:next w:val="Normal"/>
    <w:link w:val="Heading5Char"/>
    <w:uiPriority w:val="9"/>
    <w:qFormat/>
    <w:rsid w:val="00B52F2B"/>
    <w:pPr>
      <w:keepNext/>
      <w:numPr>
        <w:ilvl w:val="4"/>
        <w:numId w:val="1"/>
      </w:numPr>
      <w:autoSpaceDE w:val="0"/>
      <w:autoSpaceDN w:val="0"/>
      <w:adjustRightInd w:val="0"/>
      <w:jc w:val="both"/>
      <w:outlineLvl w:val="4"/>
    </w:pPr>
    <w:rPr>
      <w:rFonts w:ascii="Arial" w:hAnsi="Arial" w:cs="Arial"/>
      <w:b/>
      <w:bCs/>
      <w:sz w:val="22"/>
      <w:szCs w:val="22"/>
    </w:rPr>
  </w:style>
  <w:style w:type="paragraph" w:styleId="Heading6">
    <w:name w:val="heading 6"/>
    <w:basedOn w:val="Normal"/>
    <w:next w:val="Normal"/>
    <w:link w:val="Heading6Char"/>
    <w:uiPriority w:val="9"/>
    <w:qFormat/>
    <w:rsid w:val="00B52F2B"/>
    <w:pPr>
      <w:keepNext/>
      <w:numPr>
        <w:ilvl w:val="5"/>
        <w:numId w:val="1"/>
      </w:numPr>
      <w:autoSpaceDE w:val="0"/>
      <w:autoSpaceDN w:val="0"/>
      <w:adjustRightInd w:val="0"/>
      <w:jc w:val="both"/>
      <w:outlineLvl w:val="5"/>
    </w:pPr>
    <w:rPr>
      <w:rFonts w:ascii="Arial" w:hAnsi="Arial" w:cs="Arial"/>
      <w:b/>
      <w:bCs/>
      <w:color w:val="000000"/>
      <w:szCs w:val="22"/>
    </w:rPr>
  </w:style>
  <w:style w:type="paragraph" w:styleId="Heading7">
    <w:name w:val="heading 7"/>
    <w:basedOn w:val="Normal"/>
    <w:next w:val="Normal"/>
    <w:link w:val="Heading7Char"/>
    <w:uiPriority w:val="9"/>
    <w:qFormat/>
    <w:rsid w:val="00B52F2B"/>
    <w:pPr>
      <w:numPr>
        <w:ilvl w:val="6"/>
        <w:numId w:val="1"/>
      </w:numPr>
      <w:spacing w:before="240" w:after="60"/>
      <w:outlineLvl w:val="6"/>
    </w:pPr>
  </w:style>
  <w:style w:type="paragraph" w:styleId="Heading8">
    <w:name w:val="heading 8"/>
    <w:basedOn w:val="Normal"/>
    <w:next w:val="Normal"/>
    <w:link w:val="Heading8Char"/>
    <w:uiPriority w:val="9"/>
    <w:qFormat/>
    <w:rsid w:val="00B52F2B"/>
    <w:pPr>
      <w:numPr>
        <w:ilvl w:val="7"/>
        <w:numId w:val="1"/>
      </w:numPr>
      <w:spacing w:before="240" w:after="60"/>
      <w:outlineLvl w:val="7"/>
    </w:pPr>
    <w:rPr>
      <w:i/>
      <w:iCs/>
    </w:rPr>
  </w:style>
  <w:style w:type="paragraph" w:styleId="Heading9">
    <w:name w:val="heading 9"/>
    <w:basedOn w:val="Normal"/>
    <w:next w:val="Normal"/>
    <w:link w:val="Heading9Char"/>
    <w:uiPriority w:val="9"/>
    <w:qFormat/>
    <w:rsid w:val="00B52F2B"/>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735A2"/>
    <w:rPr>
      <w:rFonts w:ascii="Arial" w:hAnsi="Arial" w:cs="Calibri"/>
      <w:b/>
      <w:bCs/>
      <w:sz w:val="24"/>
      <w:szCs w:val="28"/>
    </w:rPr>
  </w:style>
  <w:style w:type="character" w:customStyle="1" w:styleId="Heading3Char">
    <w:name w:val="Heading 3 Char"/>
    <w:link w:val="Heading3"/>
    <w:uiPriority w:val="9"/>
    <w:locked/>
    <w:rsid w:val="009735A2"/>
    <w:rPr>
      <w:rFonts w:ascii="Arial" w:hAnsi="Arial"/>
      <w:bCs/>
      <w:iCs/>
      <w:sz w:val="24"/>
      <w:szCs w:val="24"/>
    </w:rPr>
  </w:style>
  <w:style w:type="character" w:customStyle="1" w:styleId="Heading4Char">
    <w:name w:val="Heading 4 Char"/>
    <w:link w:val="Heading4"/>
    <w:uiPriority w:val="9"/>
    <w:rsid w:val="00FF5BB1"/>
    <w:rPr>
      <w:rFonts w:ascii="CG Omega" w:hAnsi="CG Omega" w:cs="Arial"/>
      <w:i/>
      <w:iCs/>
      <w:sz w:val="23"/>
      <w:u w:val="single"/>
    </w:rPr>
  </w:style>
  <w:style w:type="character" w:customStyle="1" w:styleId="Heading5Char">
    <w:name w:val="Heading 5 Char"/>
    <w:link w:val="Heading5"/>
    <w:uiPriority w:val="9"/>
    <w:rsid w:val="00FF5BB1"/>
    <w:rPr>
      <w:rFonts w:ascii="Arial" w:hAnsi="Arial" w:cs="Arial"/>
      <w:b/>
      <w:bCs/>
      <w:sz w:val="22"/>
      <w:szCs w:val="22"/>
    </w:rPr>
  </w:style>
  <w:style w:type="character" w:customStyle="1" w:styleId="Heading6Char">
    <w:name w:val="Heading 6 Char"/>
    <w:link w:val="Heading6"/>
    <w:uiPriority w:val="9"/>
    <w:rsid w:val="00FF5BB1"/>
    <w:rPr>
      <w:rFonts w:ascii="Arial" w:hAnsi="Arial" w:cs="Arial"/>
      <w:b/>
      <w:bCs/>
      <w:color w:val="000000"/>
      <w:sz w:val="24"/>
      <w:szCs w:val="22"/>
    </w:rPr>
  </w:style>
  <w:style w:type="character" w:customStyle="1" w:styleId="Heading7Char">
    <w:name w:val="Heading 7 Char"/>
    <w:link w:val="Heading7"/>
    <w:uiPriority w:val="9"/>
    <w:rsid w:val="00FF5BB1"/>
    <w:rPr>
      <w:sz w:val="24"/>
      <w:szCs w:val="24"/>
    </w:rPr>
  </w:style>
  <w:style w:type="character" w:customStyle="1" w:styleId="Heading8Char">
    <w:name w:val="Heading 8 Char"/>
    <w:link w:val="Heading8"/>
    <w:uiPriority w:val="9"/>
    <w:rsid w:val="00FF5BB1"/>
    <w:rPr>
      <w:i/>
      <w:iCs/>
      <w:sz w:val="24"/>
      <w:szCs w:val="24"/>
    </w:rPr>
  </w:style>
  <w:style w:type="character" w:customStyle="1" w:styleId="Heading9Char">
    <w:name w:val="Heading 9 Char"/>
    <w:link w:val="Heading9"/>
    <w:uiPriority w:val="9"/>
    <w:rsid w:val="00FF5BB1"/>
    <w:rPr>
      <w:rFonts w:ascii="Arial" w:hAnsi="Arial" w:cs="Arial"/>
      <w:sz w:val="22"/>
      <w:szCs w:val="22"/>
    </w:rPr>
  </w:style>
  <w:style w:type="paragraph" w:customStyle="1" w:styleId="BulletPoint">
    <w:name w:val="Bullet Point"/>
    <w:basedOn w:val="Normal"/>
    <w:rsid w:val="00B52F2B"/>
    <w:pPr>
      <w:tabs>
        <w:tab w:val="num" w:pos="2880"/>
      </w:tabs>
      <w:spacing w:after="100" w:line="276" w:lineRule="auto"/>
      <w:ind w:left="2880" w:hanging="360"/>
    </w:pPr>
  </w:style>
  <w:style w:type="paragraph" w:styleId="HTMLPreformatted">
    <w:name w:val="HTML Preformatted"/>
    <w:basedOn w:val="Normal"/>
    <w:link w:val="HTMLPreformattedChar"/>
    <w:uiPriority w:val="99"/>
    <w:semiHidden/>
    <w:rsid w:val="00B52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link w:val="HTMLPreformatted"/>
    <w:uiPriority w:val="99"/>
    <w:semiHidden/>
    <w:rsid w:val="00012955"/>
    <w:rPr>
      <w:rFonts w:ascii="Arial Unicode MS" w:eastAsia="Arial Unicode MS" w:hAnsi="Arial Unicode MS" w:cs="Arial Unicode MS"/>
    </w:rPr>
  </w:style>
  <w:style w:type="paragraph" w:customStyle="1" w:styleId="Style1">
    <w:name w:val="Style1"/>
    <w:basedOn w:val="Heading1"/>
    <w:rsid w:val="00B52F2B"/>
    <w:pPr>
      <w:tabs>
        <w:tab w:val="num" w:pos="360"/>
      </w:tabs>
      <w:spacing w:before="0" w:after="0"/>
      <w:ind w:left="360" w:hanging="360"/>
    </w:pPr>
    <w:rPr>
      <w:caps/>
    </w:rPr>
  </w:style>
  <w:style w:type="character" w:styleId="Emphasis">
    <w:name w:val="Emphasis"/>
    <w:uiPriority w:val="20"/>
    <w:qFormat/>
    <w:rsid w:val="00B52F2B"/>
    <w:rPr>
      <w:i/>
      <w:iCs/>
    </w:rPr>
  </w:style>
  <w:style w:type="paragraph" w:styleId="TableofFigures">
    <w:name w:val="table of figures"/>
    <w:basedOn w:val="Normal"/>
    <w:next w:val="Normal"/>
    <w:uiPriority w:val="99"/>
    <w:rsid w:val="00B52F2B"/>
    <w:pPr>
      <w:tabs>
        <w:tab w:val="left" w:pos="1440"/>
        <w:tab w:val="right" w:leader="dot" w:pos="9360"/>
      </w:tabs>
      <w:spacing w:before="60" w:after="60"/>
      <w:ind w:left="1440" w:hanging="1440"/>
    </w:pPr>
    <w:rPr>
      <w:rFonts w:ascii="CG Omega" w:hAnsi="CG Omega"/>
    </w:rPr>
  </w:style>
  <w:style w:type="paragraph" w:customStyle="1" w:styleId="Heading1TOC">
    <w:name w:val="Heading 1_TOC"/>
    <w:basedOn w:val="TOC1"/>
    <w:next w:val="TOC1"/>
    <w:rsid w:val="00B52F2B"/>
    <w:pPr>
      <w:tabs>
        <w:tab w:val="left" w:pos="1440"/>
      </w:tabs>
      <w:suppressAutoHyphens/>
      <w:spacing w:before="360" w:after="360" w:line="360" w:lineRule="auto"/>
      <w:jc w:val="both"/>
    </w:pPr>
    <w:rPr>
      <w:bCs/>
      <w:caps/>
      <w:spacing w:val="-2"/>
    </w:rPr>
  </w:style>
  <w:style w:type="paragraph" w:styleId="TOC1">
    <w:name w:val="toc 1"/>
    <w:basedOn w:val="Normal"/>
    <w:autoRedefine/>
    <w:uiPriority w:val="39"/>
    <w:rsid w:val="00B32938"/>
    <w:pPr>
      <w:tabs>
        <w:tab w:val="left" w:pos="440"/>
        <w:tab w:val="right" w:leader="dot" w:pos="9350"/>
      </w:tabs>
      <w:spacing w:before="120" w:after="120"/>
      <w:ind w:left="446" w:hanging="446"/>
    </w:pPr>
    <w:rPr>
      <w:rFonts w:ascii="Times New Roman Bold" w:hAnsi="Times New Roman Bold"/>
      <w:b/>
      <w:smallCaps/>
      <w:noProof/>
    </w:rPr>
  </w:style>
  <w:style w:type="paragraph" w:styleId="TOC2">
    <w:name w:val="toc 2"/>
    <w:basedOn w:val="TOC1"/>
    <w:autoRedefine/>
    <w:uiPriority w:val="39"/>
    <w:rsid w:val="001B03A2"/>
    <w:pPr>
      <w:ind w:left="878"/>
    </w:pPr>
    <w:rPr>
      <w:rFonts w:eastAsia="MS Mincho"/>
      <w:caps/>
    </w:rPr>
  </w:style>
  <w:style w:type="paragraph" w:customStyle="1" w:styleId="Heading2TOC">
    <w:name w:val="Heading 2_TOC"/>
    <w:basedOn w:val="Heading1"/>
    <w:next w:val="Normal"/>
    <w:autoRedefine/>
    <w:rsid w:val="00B52F2B"/>
    <w:pPr>
      <w:tabs>
        <w:tab w:val="num" w:pos="360"/>
        <w:tab w:val="left" w:pos="1440"/>
      </w:tabs>
      <w:suppressAutoHyphens/>
      <w:spacing w:before="0" w:after="0"/>
      <w:ind w:left="360" w:hanging="360"/>
      <w:jc w:val="both"/>
    </w:pPr>
    <w:rPr>
      <w:rFonts w:ascii="Times New Roman" w:hAnsi="Times New Roman"/>
      <w:b w:val="0"/>
      <w:bCs w:val="0"/>
      <w:caps/>
      <w:spacing w:val="-2"/>
    </w:rPr>
  </w:style>
  <w:style w:type="paragraph" w:customStyle="1" w:styleId="table-title">
    <w:name w:val="table-title"/>
    <w:basedOn w:val="Normal"/>
    <w:autoRedefine/>
    <w:rsid w:val="007F390D"/>
    <w:pPr>
      <w:keepNext/>
      <w:ind w:left="1440" w:hanging="1440"/>
    </w:pPr>
    <w:rPr>
      <w:rFonts w:ascii="CG Omega (W1)" w:hAnsi="CG Omega (W1)"/>
      <w:b/>
      <w:bCs/>
      <w:sz w:val="20"/>
    </w:rPr>
  </w:style>
  <w:style w:type="paragraph" w:customStyle="1" w:styleId="FigureTitle">
    <w:name w:val="Figure Title"/>
    <w:basedOn w:val="Normal"/>
    <w:link w:val="FigureTitleChar"/>
    <w:autoRedefine/>
    <w:rsid w:val="00D733B1"/>
    <w:pPr>
      <w:spacing w:after="240"/>
    </w:pPr>
    <w:rPr>
      <w:rFonts w:ascii="Times New (W1)" w:hAnsi="Times New (W1)"/>
      <w:b/>
      <w:sz w:val="22"/>
    </w:rPr>
  </w:style>
  <w:style w:type="character" w:customStyle="1" w:styleId="FigureTitleChar">
    <w:name w:val="Figure Title Char"/>
    <w:link w:val="FigureTitle"/>
    <w:rsid w:val="00D70F02"/>
    <w:rPr>
      <w:rFonts w:ascii="Times New (W1)" w:hAnsi="Times New (W1)"/>
      <w:b/>
      <w:sz w:val="22"/>
    </w:rPr>
  </w:style>
  <w:style w:type="paragraph" w:styleId="Index1">
    <w:name w:val="index 1"/>
    <w:aliases w:val="Table of Figures - Figures"/>
    <w:basedOn w:val="Normal"/>
    <w:next w:val="Normal"/>
    <w:autoRedefine/>
    <w:semiHidden/>
    <w:rsid w:val="007F390D"/>
    <w:pPr>
      <w:spacing w:before="40" w:after="40"/>
    </w:pPr>
    <w:rPr>
      <w:rFonts w:ascii="Calibri" w:hAnsi="Calibri" w:cs="Arial"/>
      <w:i/>
      <w:iCs/>
      <w:sz w:val="20"/>
    </w:rPr>
  </w:style>
  <w:style w:type="paragraph" w:customStyle="1" w:styleId="Appendices-Title">
    <w:name w:val="Appendices- Title"/>
    <w:basedOn w:val="Normal"/>
    <w:next w:val="Normal"/>
    <w:autoRedefine/>
    <w:rsid w:val="00B52F2B"/>
    <w:rPr>
      <w:rFonts w:ascii="Times New (W1)" w:hAnsi="Times New (W1)"/>
    </w:rPr>
  </w:style>
  <w:style w:type="paragraph" w:styleId="BodyText">
    <w:name w:val="Body Text"/>
    <w:basedOn w:val="Normal"/>
    <w:semiHidden/>
    <w:rsid w:val="00B52F2B"/>
    <w:pPr>
      <w:spacing w:after="240"/>
      <w:ind w:left="1080"/>
      <w:jc w:val="both"/>
    </w:pPr>
  </w:style>
  <w:style w:type="paragraph" w:styleId="Index2">
    <w:name w:val="index 2"/>
    <w:aliases w:val="Tables"/>
    <w:basedOn w:val="Normal"/>
    <w:next w:val="Normal"/>
    <w:autoRedefine/>
    <w:semiHidden/>
    <w:rsid w:val="00B52F2B"/>
    <w:rPr>
      <w:rFonts w:ascii="Book Antiqua" w:hAnsi="Book Antiqua"/>
    </w:rPr>
  </w:style>
  <w:style w:type="paragraph" w:styleId="List">
    <w:name w:val="List"/>
    <w:aliases w:val="List-Figures"/>
    <w:basedOn w:val="Normal"/>
    <w:semiHidden/>
    <w:rsid w:val="00B52F2B"/>
    <w:rPr>
      <w:rFonts w:ascii="Book Antiqua" w:hAnsi="Book Antiqua"/>
    </w:rPr>
  </w:style>
  <w:style w:type="paragraph" w:styleId="List2">
    <w:name w:val="List 2"/>
    <w:aliases w:val="List 2- Tables"/>
    <w:basedOn w:val="Normal"/>
    <w:semiHidden/>
    <w:rsid w:val="00B52F2B"/>
    <w:rPr>
      <w:rFonts w:ascii="Book Antiqua" w:hAnsi="Book Antiqua"/>
    </w:rPr>
  </w:style>
  <w:style w:type="paragraph" w:customStyle="1" w:styleId="TableofTables">
    <w:name w:val="Table of Tables"/>
    <w:basedOn w:val="TableofFigures"/>
    <w:rsid w:val="00B52F2B"/>
    <w:pPr>
      <w:ind w:left="0" w:firstLine="0"/>
    </w:pPr>
    <w:rPr>
      <w:rFonts w:ascii="Arial" w:hAnsi="Arial" w:cs="Arial"/>
      <w:iCs/>
      <w:sz w:val="22"/>
      <w:szCs w:val="28"/>
    </w:rPr>
  </w:style>
  <w:style w:type="paragraph" w:styleId="Header">
    <w:name w:val="header"/>
    <w:basedOn w:val="Normal"/>
    <w:link w:val="HeaderChar"/>
    <w:uiPriority w:val="99"/>
    <w:rsid w:val="00B52F2B"/>
    <w:pPr>
      <w:pBdr>
        <w:bottom w:val="single" w:sz="4" w:space="1" w:color="auto"/>
      </w:pBdr>
      <w:tabs>
        <w:tab w:val="right" w:pos="9360"/>
      </w:tabs>
    </w:pPr>
    <w:rPr>
      <w:rFonts w:ascii="Arial" w:hAnsi="Arial"/>
      <w:sz w:val="20"/>
    </w:rPr>
  </w:style>
  <w:style w:type="character" w:customStyle="1" w:styleId="HeaderChar">
    <w:name w:val="Header Char"/>
    <w:link w:val="Header"/>
    <w:uiPriority w:val="99"/>
    <w:rsid w:val="00C97C2F"/>
    <w:rPr>
      <w:rFonts w:ascii="Arial" w:hAnsi="Arial"/>
      <w:szCs w:val="24"/>
    </w:rPr>
  </w:style>
  <w:style w:type="paragraph" w:styleId="BodyText2">
    <w:name w:val="Body Text 2"/>
    <w:basedOn w:val="Normal"/>
    <w:semiHidden/>
    <w:rsid w:val="00B52F2B"/>
    <w:rPr>
      <w:rFonts w:ascii="Arial Narrow" w:hAnsi="Arial Narrow" w:cs="Arial"/>
      <w:i/>
      <w:iCs/>
      <w:color w:val="000000"/>
    </w:rPr>
  </w:style>
  <w:style w:type="paragraph" w:styleId="BodyTextIndent">
    <w:name w:val="Body Text Indent"/>
    <w:basedOn w:val="Normal"/>
    <w:semiHidden/>
    <w:rsid w:val="00B52F2B"/>
    <w:pPr>
      <w:tabs>
        <w:tab w:val="left" w:pos="1080"/>
      </w:tabs>
      <w:ind w:left="1080"/>
    </w:pPr>
  </w:style>
  <w:style w:type="paragraph" w:customStyle="1" w:styleId="Default">
    <w:name w:val="Default"/>
    <w:rsid w:val="00B52F2B"/>
    <w:pPr>
      <w:autoSpaceDE w:val="0"/>
      <w:autoSpaceDN w:val="0"/>
      <w:adjustRightInd w:val="0"/>
    </w:pPr>
    <w:rPr>
      <w:rFonts w:ascii="TimesNewRoman" w:hAnsi="TimesNewRoman"/>
    </w:rPr>
  </w:style>
  <w:style w:type="character" w:styleId="CommentReference">
    <w:name w:val="annotation reference"/>
    <w:semiHidden/>
    <w:rsid w:val="00B52F2B"/>
    <w:rPr>
      <w:sz w:val="16"/>
      <w:szCs w:val="16"/>
    </w:rPr>
  </w:style>
  <w:style w:type="paragraph" w:styleId="CommentText">
    <w:name w:val="annotation text"/>
    <w:basedOn w:val="Normal"/>
    <w:link w:val="CommentTextChar"/>
    <w:rsid w:val="00B52F2B"/>
    <w:rPr>
      <w:sz w:val="20"/>
    </w:rPr>
  </w:style>
  <w:style w:type="character" w:customStyle="1" w:styleId="CommentTextChar">
    <w:name w:val="Comment Text Char"/>
    <w:basedOn w:val="DefaultParagraphFont"/>
    <w:link w:val="CommentText"/>
    <w:rsid w:val="00E02AF8"/>
  </w:style>
  <w:style w:type="character" w:styleId="Hyperlink">
    <w:name w:val="Hyperlink"/>
    <w:uiPriority w:val="99"/>
    <w:rsid w:val="00B52F2B"/>
    <w:rPr>
      <w:color w:val="0000FF"/>
      <w:u w:val="single"/>
    </w:rPr>
  </w:style>
  <w:style w:type="paragraph" w:styleId="Footer">
    <w:name w:val="footer"/>
    <w:basedOn w:val="Normal"/>
    <w:link w:val="FooterChar"/>
    <w:uiPriority w:val="99"/>
    <w:rsid w:val="00B52F2B"/>
    <w:pPr>
      <w:pBdr>
        <w:top w:val="single" w:sz="4" w:space="1" w:color="auto"/>
      </w:pBdr>
      <w:tabs>
        <w:tab w:val="right" w:pos="9360"/>
      </w:tabs>
    </w:pPr>
    <w:rPr>
      <w:rFonts w:ascii="Arial" w:hAnsi="Arial"/>
      <w:sz w:val="20"/>
    </w:rPr>
  </w:style>
  <w:style w:type="character" w:customStyle="1" w:styleId="FooterChar">
    <w:name w:val="Footer Char"/>
    <w:link w:val="Footer"/>
    <w:uiPriority w:val="99"/>
    <w:rsid w:val="00187696"/>
    <w:rPr>
      <w:rFonts w:ascii="Arial" w:hAnsi="Arial"/>
      <w:szCs w:val="24"/>
    </w:rPr>
  </w:style>
  <w:style w:type="character" w:styleId="PageNumber">
    <w:name w:val="page number"/>
    <w:basedOn w:val="DefaultParagraphFont"/>
    <w:semiHidden/>
    <w:rsid w:val="00B52F2B"/>
  </w:style>
  <w:style w:type="paragraph" w:styleId="BalloonText">
    <w:name w:val="Balloon Text"/>
    <w:basedOn w:val="Normal"/>
    <w:link w:val="BalloonTextChar"/>
    <w:uiPriority w:val="99"/>
    <w:semiHidden/>
    <w:rsid w:val="00B52F2B"/>
    <w:rPr>
      <w:rFonts w:ascii="Tahoma" w:hAnsi="Tahoma" w:cs="Tahoma"/>
      <w:sz w:val="16"/>
      <w:szCs w:val="16"/>
    </w:rPr>
  </w:style>
  <w:style w:type="character" w:customStyle="1" w:styleId="BalloonTextChar">
    <w:name w:val="Balloon Text Char"/>
    <w:link w:val="BalloonText"/>
    <w:uiPriority w:val="99"/>
    <w:semiHidden/>
    <w:rsid w:val="00FF5BB1"/>
    <w:rPr>
      <w:rFonts w:ascii="Tahoma" w:hAnsi="Tahoma" w:cs="Tahoma"/>
      <w:sz w:val="16"/>
      <w:szCs w:val="16"/>
    </w:rPr>
  </w:style>
  <w:style w:type="paragraph" w:styleId="TOC3">
    <w:name w:val="toc 3"/>
    <w:basedOn w:val="Normal"/>
    <w:next w:val="Normal"/>
    <w:autoRedefine/>
    <w:uiPriority w:val="39"/>
    <w:rsid w:val="00D72900"/>
    <w:pPr>
      <w:tabs>
        <w:tab w:val="right" w:leader="dot" w:pos="9350"/>
      </w:tabs>
      <w:ind w:left="864"/>
    </w:pPr>
  </w:style>
  <w:style w:type="paragraph" w:styleId="TOC4">
    <w:name w:val="toc 4"/>
    <w:basedOn w:val="Normal"/>
    <w:next w:val="Normal"/>
    <w:autoRedefine/>
    <w:semiHidden/>
    <w:rsid w:val="00B52F2B"/>
    <w:pPr>
      <w:ind w:left="660"/>
    </w:pPr>
  </w:style>
  <w:style w:type="paragraph" w:styleId="TOC5">
    <w:name w:val="toc 5"/>
    <w:basedOn w:val="Normal"/>
    <w:next w:val="Normal"/>
    <w:autoRedefine/>
    <w:semiHidden/>
    <w:rsid w:val="00B52F2B"/>
    <w:pPr>
      <w:ind w:left="880"/>
    </w:pPr>
  </w:style>
  <w:style w:type="paragraph" w:styleId="TOC6">
    <w:name w:val="toc 6"/>
    <w:basedOn w:val="Normal"/>
    <w:next w:val="Normal"/>
    <w:autoRedefine/>
    <w:semiHidden/>
    <w:rsid w:val="00B52F2B"/>
    <w:pPr>
      <w:ind w:left="1100"/>
    </w:pPr>
  </w:style>
  <w:style w:type="paragraph" w:styleId="TOC7">
    <w:name w:val="toc 7"/>
    <w:basedOn w:val="Normal"/>
    <w:next w:val="Normal"/>
    <w:autoRedefine/>
    <w:semiHidden/>
    <w:rsid w:val="00B52F2B"/>
    <w:pPr>
      <w:ind w:left="1320"/>
    </w:pPr>
  </w:style>
  <w:style w:type="paragraph" w:styleId="TOC8">
    <w:name w:val="toc 8"/>
    <w:basedOn w:val="Normal"/>
    <w:next w:val="Normal"/>
    <w:autoRedefine/>
    <w:semiHidden/>
    <w:rsid w:val="00B52F2B"/>
    <w:pPr>
      <w:ind w:left="1540"/>
    </w:pPr>
  </w:style>
  <w:style w:type="paragraph" w:styleId="TOC9">
    <w:name w:val="toc 9"/>
    <w:basedOn w:val="Normal"/>
    <w:next w:val="Normal"/>
    <w:autoRedefine/>
    <w:semiHidden/>
    <w:rsid w:val="00B52F2B"/>
    <w:pPr>
      <w:ind w:left="1760"/>
    </w:pPr>
  </w:style>
  <w:style w:type="paragraph" w:styleId="BodyTextIndent2">
    <w:name w:val="Body Text Indent 2"/>
    <w:basedOn w:val="Normal"/>
    <w:semiHidden/>
    <w:rsid w:val="00B52F2B"/>
    <w:pPr>
      <w:ind w:left="1980"/>
    </w:pPr>
  </w:style>
  <w:style w:type="character" w:styleId="FollowedHyperlink">
    <w:name w:val="FollowedHyperlink"/>
    <w:uiPriority w:val="99"/>
    <w:semiHidden/>
    <w:rsid w:val="00B52F2B"/>
    <w:rPr>
      <w:color w:val="800080"/>
      <w:u w:val="single"/>
    </w:rPr>
  </w:style>
  <w:style w:type="paragraph" w:styleId="FootnoteText">
    <w:name w:val="footnote text"/>
    <w:basedOn w:val="Normal"/>
    <w:link w:val="FootnoteTextChar"/>
    <w:uiPriority w:val="99"/>
    <w:rsid w:val="00B52F2B"/>
    <w:rPr>
      <w:sz w:val="20"/>
    </w:rPr>
  </w:style>
  <w:style w:type="character" w:customStyle="1" w:styleId="FootnoteTextChar">
    <w:name w:val="Footnote Text Char"/>
    <w:basedOn w:val="DefaultParagraphFont"/>
    <w:link w:val="FootnoteText"/>
    <w:uiPriority w:val="99"/>
    <w:rsid w:val="00FA6D80"/>
  </w:style>
  <w:style w:type="character" w:styleId="FootnoteReference">
    <w:name w:val="footnote reference"/>
    <w:uiPriority w:val="99"/>
    <w:rsid w:val="00B52F2B"/>
    <w:rPr>
      <w:vertAlign w:val="superscript"/>
    </w:rPr>
  </w:style>
  <w:style w:type="paragraph" w:customStyle="1" w:styleId="FigureCaption">
    <w:name w:val="Figure Caption"/>
    <w:basedOn w:val="Normal"/>
    <w:next w:val="Normal"/>
    <w:rsid w:val="00B52F2B"/>
    <w:pPr>
      <w:tabs>
        <w:tab w:val="left" w:pos="1350"/>
      </w:tabs>
      <w:spacing w:before="120"/>
      <w:ind w:left="1350" w:hanging="1350"/>
    </w:pPr>
    <w:rPr>
      <w:rFonts w:ascii="CG Omega" w:hAnsi="CG Omega"/>
    </w:rPr>
  </w:style>
  <w:style w:type="paragraph" w:customStyle="1" w:styleId="TOCLevel1">
    <w:name w:val="TOC Level 1"/>
    <w:basedOn w:val="Normal"/>
    <w:rsid w:val="00B52F2B"/>
    <w:pPr>
      <w:tabs>
        <w:tab w:val="left" w:pos="540"/>
        <w:tab w:val="right" w:leader="dot" w:pos="9360"/>
      </w:tabs>
      <w:spacing w:before="120" w:after="60"/>
      <w:ind w:left="547" w:hanging="547"/>
    </w:pPr>
    <w:rPr>
      <w:rFonts w:ascii="CG Omega" w:hAnsi="CG Omega"/>
      <w:b/>
      <w:bCs/>
    </w:rPr>
  </w:style>
  <w:style w:type="paragraph" w:customStyle="1" w:styleId="TOCLevel2">
    <w:name w:val="TOC Level 2"/>
    <w:basedOn w:val="Normal"/>
    <w:rsid w:val="00B52F2B"/>
    <w:pPr>
      <w:tabs>
        <w:tab w:val="left" w:pos="1224"/>
        <w:tab w:val="right" w:leader="dot" w:pos="9360"/>
      </w:tabs>
      <w:ind w:left="1080" w:hanging="540"/>
    </w:pPr>
    <w:rPr>
      <w:rFonts w:ascii="CG Omega" w:hAnsi="CG Omega"/>
    </w:rPr>
  </w:style>
  <w:style w:type="character" w:customStyle="1" w:styleId="BodyTextChar">
    <w:name w:val="Body Text Char"/>
    <w:rsid w:val="00B52F2B"/>
    <w:rPr>
      <w:sz w:val="24"/>
      <w:szCs w:val="24"/>
      <w:lang w:val="en-US" w:eastAsia="en-US" w:bidi="ar-SA"/>
    </w:rPr>
  </w:style>
  <w:style w:type="paragraph" w:customStyle="1" w:styleId="Heading">
    <w:name w:val="Heading"/>
    <w:basedOn w:val="Normal"/>
    <w:rsid w:val="00B52F2B"/>
    <w:pPr>
      <w:pBdr>
        <w:bottom w:val="single" w:sz="12" w:space="1" w:color="auto"/>
      </w:pBdr>
      <w:tabs>
        <w:tab w:val="left" w:pos="1080"/>
      </w:tabs>
      <w:spacing w:before="3000" w:after="480" w:line="560" w:lineRule="exact"/>
    </w:pPr>
    <w:rPr>
      <w:rFonts w:ascii="Arial" w:hAnsi="Arial"/>
      <w:b/>
      <w:bCs/>
      <w:smallCaps/>
      <w:sz w:val="56"/>
    </w:rPr>
  </w:style>
  <w:style w:type="paragraph" w:customStyle="1" w:styleId="Bullet">
    <w:name w:val="Bullet"/>
    <w:basedOn w:val="BodyText0"/>
    <w:rsid w:val="00B52F2B"/>
    <w:pPr>
      <w:ind w:left="0"/>
    </w:pPr>
  </w:style>
  <w:style w:type="paragraph" w:customStyle="1" w:styleId="BodyText0">
    <w:name w:val="BodyText"/>
    <w:basedOn w:val="Normal"/>
    <w:rsid w:val="00B52F2B"/>
    <w:pPr>
      <w:ind w:left="1080"/>
    </w:pPr>
  </w:style>
  <w:style w:type="paragraph" w:customStyle="1" w:styleId="TableHead">
    <w:name w:val="Table Head"/>
    <w:basedOn w:val="Normal"/>
    <w:link w:val="TableHeadChar1"/>
    <w:rsid w:val="00B52F2B"/>
    <w:pPr>
      <w:spacing w:after="120"/>
      <w:jc w:val="center"/>
    </w:pPr>
    <w:rPr>
      <w:rFonts w:ascii="CG Omega" w:hAnsi="CG Omega" w:cs="Arial"/>
      <w:b/>
      <w:bCs/>
      <w:sz w:val="20"/>
    </w:rPr>
  </w:style>
  <w:style w:type="character" w:customStyle="1" w:styleId="TableHeadChar1">
    <w:name w:val="Table Head Char1"/>
    <w:link w:val="TableHead"/>
    <w:rsid w:val="00D70F02"/>
    <w:rPr>
      <w:rFonts w:ascii="CG Omega" w:hAnsi="CG Omega" w:cs="Arial"/>
      <w:b/>
      <w:bCs/>
    </w:rPr>
  </w:style>
  <w:style w:type="paragraph" w:customStyle="1" w:styleId="ListofTables">
    <w:name w:val="List of Tables"/>
    <w:basedOn w:val="Normal"/>
    <w:rsid w:val="00B52F2B"/>
    <w:pPr>
      <w:tabs>
        <w:tab w:val="left" w:pos="1260"/>
        <w:tab w:val="right" w:leader="dot" w:pos="9350"/>
      </w:tabs>
      <w:spacing w:after="120"/>
      <w:ind w:left="1267" w:hanging="1267"/>
    </w:pPr>
    <w:rPr>
      <w:rFonts w:ascii="CG Omega" w:hAnsi="CG Omega"/>
    </w:rPr>
  </w:style>
  <w:style w:type="paragraph" w:customStyle="1" w:styleId="TOCLevel3">
    <w:name w:val="TOC Level 3"/>
    <w:basedOn w:val="Normal"/>
    <w:rsid w:val="00B52F2B"/>
    <w:pPr>
      <w:tabs>
        <w:tab w:val="right" w:leader="dot" w:pos="9360"/>
      </w:tabs>
      <w:spacing w:before="20" w:after="20"/>
      <w:ind w:left="1080"/>
    </w:pPr>
    <w:rPr>
      <w:rFonts w:ascii="CG Omega" w:hAnsi="CG Omega"/>
    </w:rPr>
  </w:style>
  <w:style w:type="paragraph" w:customStyle="1" w:styleId="BodyHeading">
    <w:name w:val="Body Heading"/>
    <w:rsid w:val="00B52F2B"/>
    <w:pPr>
      <w:tabs>
        <w:tab w:val="left" w:pos="1620"/>
      </w:tabs>
      <w:spacing w:before="60" w:after="60"/>
      <w:ind w:left="1080"/>
    </w:pPr>
    <w:rPr>
      <w:b/>
      <w:bCs/>
      <w:sz w:val="24"/>
      <w:szCs w:val="24"/>
    </w:rPr>
  </w:style>
  <w:style w:type="paragraph" w:styleId="BodyTextIndent3">
    <w:name w:val="Body Text Indent 3"/>
    <w:basedOn w:val="Normal"/>
    <w:semiHidden/>
    <w:rsid w:val="00B52F2B"/>
    <w:pPr>
      <w:ind w:left="360"/>
    </w:pPr>
    <w:rPr>
      <w:b/>
      <w:bCs/>
      <w:i/>
      <w:iCs/>
    </w:rPr>
  </w:style>
  <w:style w:type="paragraph" w:customStyle="1" w:styleId="titleheading2">
    <w:name w:val="title heading 2"/>
    <w:basedOn w:val="Heading2"/>
    <w:rsid w:val="00B52F2B"/>
    <w:pPr>
      <w:ind w:left="0" w:firstLine="0"/>
    </w:pPr>
  </w:style>
  <w:style w:type="paragraph" w:customStyle="1" w:styleId="Arial">
    <w:name w:val="Arial"/>
    <w:basedOn w:val="Normal"/>
    <w:rsid w:val="00B52F2B"/>
    <w:rPr>
      <w:rFonts w:ascii="Arial" w:hAnsi="Arial"/>
      <w:sz w:val="22"/>
    </w:rPr>
  </w:style>
  <w:style w:type="character" w:customStyle="1" w:styleId="TableHeadChar">
    <w:name w:val="Table Head Char"/>
    <w:rsid w:val="00B52F2B"/>
    <w:rPr>
      <w:rFonts w:ascii="CG Omega" w:hAnsi="CG Omega" w:cs="Arial"/>
      <w:b/>
      <w:bCs/>
      <w:lang w:val="en-US" w:eastAsia="en-US" w:bidi="ar-SA"/>
    </w:rPr>
  </w:style>
  <w:style w:type="paragraph" w:customStyle="1" w:styleId="NumberedList">
    <w:name w:val="Numbered List"/>
    <w:rsid w:val="00B52F2B"/>
    <w:pPr>
      <w:tabs>
        <w:tab w:val="left" w:pos="1440"/>
        <w:tab w:val="num" w:pos="2880"/>
      </w:tabs>
      <w:spacing w:before="60" w:after="60"/>
      <w:ind w:left="2880" w:hanging="360"/>
    </w:pPr>
    <w:rPr>
      <w:sz w:val="24"/>
    </w:rPr>
  </w:style>
  <w:style w:type="paragraph" w:customStyle="1" w:styleId="BulletPoint1">
    <w:name w:val="Bullet Point1"/>
    <w:basedOn w:val="Normal"/>
    <w:next w:val="BulletPoint"/>
    <w:rsid w:val="00B52F2B"/>
    <w:pPr>
      <w:tabs>
        <w:tab w:val="num" w:pos="2880"/>
      </w:tabs>
      <w:spacing w:after="100" w:line="276" w:lineRule="auto"/>
      <w:ind w:left="2880" w:hanging="360"/>
    </w:pPr>
    <w:rPr>
      <w:sz w:val="20"/>
    </w:rPr>
  </w:style>
  <w:style w:type="paragraph" w:styleId="ListBullet3">
    <w:name w:val="List Bullet 3"/>
    <w:basedOn w:val="Normal"/>
    <w:semiHidden/>
    <w:rsid w:val="00B52F2B"/>
    <w:pPr>
      <w:tabs>
        <w:tab w:val="num" w:pos="1080"/>
      </w:tabs>
      <w:ind w:left="1080" w:hanging="360"/>
    </w:pPr>
  </w:style>
  <w:style w:type="paragraph" w:styleId="ListBullet4">
    <w:name w:val="List Bullet 4"/>
    <w:basedOn w:val="Normal"/>
    <w:semiHidden/>
    <w:rsid w:val="00B52F2B"/>
    <w:pPr>
      <w:tabs>
        <w:tab w:val="num" w:pos="1440"/>
      </w:tabs>
      <w:spacing w:before="60" w:after="60"/>
      <w:ind w:left="1440" w:hanging="360"/>
    </w:pPr>
  </w:style>
  <w:style w:type="paragraph" w:styleId="ListBullet5">
    <w:name w:val="List Bullet 5"/>
    <w:basedOn w:val="Normal"/>
    <w:semiHidden/>
    <w:rsid w:val="00B52F2B"/>
    <w:pPr>
      <w:tabs>
        <w:tab w:val="num" w:pos="1800"/>
      </w:tabs>
      <w:ind w:left="1800" w:hanging="360"/>
    </w:pPr>
  </w:style>
  <w:style w:type="paragraph" w:styleId="ListContinue2">
    <w:name w:val="List Continue 2"/>
    <w:basedOn w:val="Normal"/>
    <w:semiHidden/>
    <w:rsid w:val="00B52F2B"/>
    <w:pPr>
      <w:spacing w:after="120"/>
      <w:ind w:left="720"/>
    </w:pPr>
  </w:style>
  <w:style w:type="paragraph" w:customStyle="1" w:styleId="Listbullet6">
    <w:name w:val="List bullet 6"/>
    <w:basedOn w:val="ListBullet5"/>
    <w:rsid w:val="00B52F2B"/>
    <w:pPr>
      <w:spacing w:before="60" w:after="60"/>
      <w:ind w:left="2232"/>
    </w:pPr>
  </w:style>
  <w:style w:type="paragraph" w:styleId="ListBullet">
    <w:name w:val="List Bullet"/>
    <w:basedOn w:val="Normal"/>
    <w:semiHidden/>
    <w:rsid w:val="00B52F2B"/>
    <w:pPr>
      <w:tabs>
        <w:tab w:val="num" w:pos="360"/>
      </w:tabs>
      <w:ind w:left="360" w:hanging="360"/>
    </w:pPr>
  </w:style>
  <w:style w:type="paragraph" w:styleId="ListBullet2">
    <w:name w:val="List Bullet 2"/>
    <w:basedOn w:val="Normal"/>
    <w:semiHidden/>
    <w:rsid w:val="00B52F2B"/>
    <w:pPr>
      <w:tabs>
        <w:tab w:val="num" w:pos="720"/>
      </w:tabs>
      <w:ind w:left="720" w:hanging="360"/>
    </w:pPr>
  </w:style>
  <w:style w:type="paragraph" w:styleId="BlockText">
    <w:name w:val="Block Text"/>
    <w:basedOn w:val="Normal"/>
    <w:semiHidden/>
    <w:rsid w:val="00B52F2B"/>
    <w:pPr>
      <w:spacing w:after="120"/>
      <w:ind w:left="1440" w:right="1440"/>
    </w:pPr>
  </w:style>
  <w:style w:type="paragraph" w:customStyle="1" w:styleId="numberedlist2">
    <w:name w:val="numbered list 2"/>
    <w:basedOn w:val="NumberedList"/>
    <w:rsid w:val="00B52F2B"/>
  </w:style>
  <w:style w:type="character" w:customStyle="1" w:styleId="ListBullet5Char">
    <w:name w:val="List Bullet 5 Char"/>
    <w:rsid w:val="00B52F2B"/>
    <w:rPr>
      <w:sz w:val="24"/>
      <w:szCs w:val="24"/>
      <w:lang w:val="en-US" w:eastAsia="en-US" w:bidi="ar-SA"/>
    </w:rPr>
  </w:style>
  <w:style w:type="character" w:customStyle="1" w:styleId="Listbullet6Char">
    <w:name w:val="List bullet 6 Char"/>
    <w:basedOn w:val="ListBullet5Char"/>
    <w:rsid w:val="00B52F2B"/>
    <w:rPr>
      <w:sz w:val="24"/>
      <w:szCs w:val="24"/>
      <w:lang w:val="en-US" w:eastAsia="en-US" w:bidi="ar-SA"/>
    </w:rPr>
  </w:style>
  <w:style w:type="character" w:customStyle="1" w:styleId="BodyText2Char">
    <w:name w:val="Body Text 2 Char"/>
    <w:rsid w:val="00B52F2B"/>
    <w:rPr>
      <w:rFonts w:ascii="Arial Narrow" w:hAnsi="Arial Narrow" w:cs="Arial"/>
      <w:i/>
      <w:iCs/>
      <w:color w:val="000000"/>
      <w:sz w:val="24"/>
      <w:szCs w:val="24"/>
      <w:lang w:val="en-US" w:eastAsia="en-US" w:bidi="ar-SA"/>
    </w:rPr>
  </w:style>
  <w:style w:type="character" w:customStyle="1" w:styleId="TOCLevel1Char">
    <w:name w:val="TOC Level 1 Char"/>
    <w:rsid w:val="00B52F2B"/>
    <w:rPr>
      <w:rFonts w:ascii="CG Omega" w:hAnsi="CG Omega"/>
      <w:b/>
      <w:bCs/>
      <w:sz w:val="24"/>
      <w:szCs w:val="24"/>
      <w:lang w:val="en-US" w:eastAsia="en-US" w:bidi="ar-SA"/>
    </w:rPr>
  </w:style>
  <w:style w:type="paragraph" w:styleId="Caption">
    <w:name w:val="caption"/>
    <w:basedOn w:val="Normal"/>
    <w:next w:val="Normal"/>
    <w:uiPriority w:val="35"/>
    <w:qFormat/>
    <w:rsid w:val="00B52F2B"/>
  </w:style>
  <w:style w:type="paragraph" w:styleId="BodyText3">
    <w:name w:val="Body Text 3"/>
    <w:basedOn w:val="Normal"/>
    <w:semiHidden/>
    <w:rsid w:val="00B52F2B"/>
    <w:pPr>
      <w:jc w:val="both"/>
    </w:pPr>
  </w:style>
  <w:style w:type="character" w:customStyle="1" w:styleId="d">
    <w:name w:val="d"/>
    <w:basedOn w:val="DefaultParagraphFont"/>
    <w:rsid w:val="00B52F2B"/>
  </w:style>
  <w:style w:type="table" w:styleId="TableGrid">
    <w:name w:val="Table Grid"/>
    <w:basedOn w:val="TableNormal"/>
    <w:uiPriority w:val="59"/>
    <w:rsid w:val="00ED26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2D57AA"/>
    <w:pPr>
      <w:ind w:left="720"/>
      <w:contextualSpacing/>
    </w:pPr>
  </w:style>
  <w:style w:type="paragraph" w:styleId="CommentSubject">
    <w:name w:val="annotation subject"/>
    <w:basedOn w:val="CommentText"/>
    <w:next w:val="CommentText"/>
    <w:link w:val="CommentSubjectChar"/>
    <w:uiPriority w:val="99"/>
    <w:semiHidden/>
    <w:unhideWhenUsed/>
    <w:rsid w:val="00E02AF8"/>
    <w:rPr>
      <w:b/>
      <w:bCs/>
    </w:rPr>
  </w:style>
  <w:style w:type="character" w:customStyle="1" w:styleId="CommentSubjectChar">
    <w:name w:val="Comment Subject Char"/>
    <w:basedOn w:val="CommentTextChar"/>
    <w:link w:val="CommentSubject"/>
    <w:uiPriority w:val="99"/>
    <w:rsid w:val="00E02AF8"/>
  </w:style>
  <w:style w:type="paragraph" w:styleId="Revision">
    <w:name w:val="Revision"/>
    <w:hidden/>
    <w:uiPriority w:val="99"/>
    <w:semiHidden/>
    <w:rsid w:val="00DA7658"/>
    <w:rPr>
      <w:sz w:val="24"/>
      <w:szCs w:val="24"/>
    </w:rPr>
  </w:style>
  <w:style w:type="paragraph" w:customStyle="1" w:styleId="Figure">
    <w:name w:val="Figure"/>
    <w:basedOn w:val="FigureTitle"/>
    <w:link w:val="FigureChar"/>
    <w:qFormat/>
    <w:rsid w:val="00D70F02"/>
  </w:style>
  <w:style w:type="character" w:customStyle="1" w:styleId="FigureChar">
    <w:name w:val="Figure Char"/>
    <w:basedOn w:val="FigureTitleChar"/>
    <w:link w:val="Figure"/>
    <w:rsid w:val="00D70F02"/>
    <w:rPr>
      <w:rFonts w:ascii="Times New (W1)" w:hAnsi="Times New (W1)"/>
      <w:b/>
      <w:sz w:val="22"/>
    </w:rPr>
  </w:style>
  <w:style w:type="paragraph" w:customStyle="1" w:styleId="Table">
    <w:name w:val="Table"/>
    <w:basedOn w:val="TableHead"/>
    <w:link w:val="TableChar"/>
    <w:qFormat/>
    <w:rsid w:val="00D70F02"/>
  </w:style>
  <w:style w:type="character" w:customStyle="1" w:styleId="TableChar">
    <w:name w:val="Table Char"/>
    <w:basedOn w:val="TableHeadChar1"/>
    <w:link w:val="Table"/>
    <w:rsid w:val="00D70F02"/>
    <w:rPr>
      <w:rFonts w:ascii="CG Omega" w:hAnsi="CG Omega" w:cs="Arial"/>
      <w:b/>
      <w:bCs/>
    </w:rPr>
  </w:style>
  <w:style w:type="paragraph" w:customStyle="1" w:styleId="TOT">
    <w:name w:val="TOT"/>
    <w:basedOn w:val="TOC1"/>
    <w:link w:val="TOTChar"/>
    <w:qFormat/>
    <w:rsid w:val="00036428"/>
    <w:pPr>
      <w:tabs>
        <w:tab w:val="clear" w:pos="440"/>
        <w:tab w:val="left" w:pos="450"/>
      </w:tabs>
      <w:ind w:left="0" w:firstLine="0"/>
    </w:pPr>
    <w:rPr>
      <w:rFonts w:ascii="Arial" w:hAnsi="Arial"/>
      <w:caps/>
      <w:noProof w:val="0"/>
      <w:sz w:val="20"/>
      <w:szCs w:val="22"/>
      <w:lang w:bidi="en-US"/>
    </w:rPr>
  </w:style>
  <w:style w:type="character" w:customStyle="1" w:styleId="TOTChar">
    <w:name w:val="TOT Char"/>
    <w:link w:val="TOT"/>
    <w:rsid w:val="00036428"/>
    <w:rPr>
      <w:rFonts w:ascii="Arial" w:hAnsi="Arial"/>
      <w:b/>
      <w:szCs w:val="22"/>
      <w:lang w:bidi="en-US"/>
    </w:rPr>
  </w:style>
  <w:style w:type="paragraph" w:customStyle="1" w:styleId="space">
    <w:name w:val="space"/>
    <w:basedOn w:val="Table"/>
    <w:qFormat/>
    <w:rsid w:val="00036428"/>
    <w:pPr>
      <w:spacing w:after="0"/>
      <w:jc w:val="left"/>
    </w:pPr>
    <w:rPr>
      <w:rFonts w:ascii="Arial" w:hAnsi="Arial"/>
      <w:b w:val="0"/>
      <w:bCs w:val="0"/>
      <w:sz w:val="12"/>
      <w:szCs w:val="22"/>
      <w:lang w:bidi="en-US"/>
    </w:rPr>
  </w:style>
  <w:style w:type="paragraph" w:customStyle="1" w:styleId="TOF">
    <w:name w:val="TOF"/>
    <w:basedOn w:val="TOC2"/>
    <w:link w:val="TOFChar"/>
    <w:qFormat/>
    <w:rsid w:val="00C66F93"/>
    <w:pPr>
      <w:tabs>
        <w:tab w:val="clear" w:pos="440"/>
      </w:tabs>
      <w:spacing w:after="100"/>
      <w:ind w:left="0" w:firstLine="0"/>
    </w:pPr>
    <w:rPr>
      <w:rFonts w:ascii="Arial" w:eastAsia="Times New Roman" w:hAnsi="Arial"/>
      <w:caps w:val="0"/>
      <w:smallCaps w:val="0"/>
      <w:sz w:val="20"/>
      <w:szCs w:val="22"/>
      <w:lang w:bidi="en-US"/>
    </w:rPr>
  </w:style>
  <w:style w:type="character" w:customStyle="1" w:styleId="TOFChar">
    <w:name w:val="TOF Char"/>
    <w:link w:val="TOF"/>
    <w:rsid w:val="00C66F93"/>
    <w:rPr>
      <w:rFonts w:ascii="Arial" w:hAnsi="Arial"/>
      <w:b/>
      <w:noProof/>
      <w:szCs w:val="22"/>
      <w:lang w:bidi="en-US"/>
    </w:rPr>
  </w:style>
  <w:style w:type="paragraph" w:styleId="EndnoteText">
    <w:name w:val="endnote text"/>
    <w:basedOn w:val="Normal"/>
    <w:link w:val="EndnoteTextChar"/>
    <w:uiPriority w:val="99"/>
    <w:unhideWhenUsed/>
    <w:rsid w:val="001E4C06"/>
    <w:rPr>
      <w:sz w:val="20"/>
    </w:rPr>
  </w:style>
  <w:style w:type="character" w:customStyle="1" w:styleId="EndnoteTextChar">
    <w:name w:val="Endnote Text Char"/>
    <w:basedOn w:val="DefaultParagraphFont"/>
    <w:link w:val="EndnoteText"/>
    <w:uiPriority w:val="99"/>
    <w:rsid w:val="001E4C06"/>
  </w:style>
  <w:style w:type="paragraph" w:styleId="NoSpacing">
    <w:name w:val="No Spacing"/>
    <w:link w:val="NoSpacingChar"/>
    <w:uiPriority w:val="1"/>
    <w:qFormat/>
    <w:rsid w:val="00C97C2F"/>
    <w:rPr>
      <w:rFonts w:ascii="Cambria" w:hAnsi="Cambria"/>
      <w:sz w:val="22"/>
      <w:szCs w:val="22"/>
      <w:lang w:bidi="en-US"/>
    </w:rPr>
  </w:style>
  <w:style w:type="character" w:customStyle="1" w:styleId="NoSpacingChar">
    <w:name w:val="No Spacing Char"/>
    <w:link w:val="NoSpacing"/>
    <w:uiPriority w:val="1"/>
    <w:rsid w:val="00C97C2F"/>
    <w:rPr>
      <w:rFonts w:ascii="Cambria" w:hAnsi="Cambria"/>
      <w:sz w:val="22"/>
      <w:szCs w:val="22"/>
      <w:lang w:bidi="en-US"/>
    </w:rPr>
  </w:style>
  <w:style w:type="character" w:customStyle="1" w:styleId="Heading1Char">
    <w:name w:val="Heading 1 Char"/>
    <w:uiPriority w:val="9"/>
    <w:rsid w:val="008D63B9"/>
    <w:rPr>
      <w:rFonts w:ascii="Calibri" w:eastAsia="Times New Roman" w:hAnsi="Calibri" w:cs="Times New Roman"/>
      <w:b/>
      <w:bCs/>
      <w:color w:val="365F91"/>
      <w:sz w:val="28"/>
      <w:szCs w:val="28"/>
    </w:rPr>
  </w:style>
  <w:style w:type="paragraph" w:styleId="Title">
    <w:name w:val="Title"/>
    <w:basedOn w:val="Normal"/>
    <w:link w:val="TitleChar"/>
    <w:uiPriority w:val="10"/>
    <w:qFormat/>
    <w:rsid w:val="006A752D"/>
    <w:pPr>
      <w:jc w:val="center"/>
    </w:pPr>
    <w:rPr>
      <w:rFonts w:ascii="Arial" w:hAnsi="Arial"/>
      <w:b/>
      <w:lang w:val="x-none" w:eastAsia="x-none"/>
    </w:rPr>
  </w:style>
  <w:style w:type="character" w:customStyle="1" w:styleId="TitleChar">
    <w:name w:val="Title Char"/>
    <w:link w:val="Title"/>
    <w:uiPriority w:val="10"/>
    <w:rsid w:val="006A752D"/>
    <w:rPr>
      <w:rFonts w:ascii="Arial" w:hAnsi="Arial"/>
      <w:b/>
      <w:sz w:val="24"/>
      <w:lang w:val="x-none" w:eastAsia="x-none"/>
    </w:rPr>
  </w:style>
  <w:style w:type="paragraph" w:customStyle="1" w:styleId="sub-sub-task">
    <w:name w:val="sub-sub-task"/>
    <w:basedOn w:val="Normal"/>
    <w:rsid w:val="006A752D"/>
    <w:pPr>
      <w:tabs>
        <w:tab w:val="left" w:pos="-1440"/>
        <w:tab w:val="left" w:pos="-720"/>
        <w:tab w:val="left" w:pos="2160"/>
      </w:tabs>
      <w:suppressAutoHyphens/>
      <w:spacing w:after="120"/>
      <w:ind w:left="2160" w:hanging="720"/>
    </w:pPr>
    <w:rPr>
      <w:rFonts w:ascii="Arial" w:hAnsi="Arial" w:cs="Arial"/>
      <w:sz w:val="20"/>
    </w:rPr>
  </w:style>
  <w:style w:type="paragraph" w:styleId="Subtitle">
    <w:name w:val="Subtitle"/>
    <w:basedOn w:val="Normal"/>
    <w:next w:val="Normal"/>
    <w:link w:val="SubtitleChar"/>
    <w:uiPriority w:val="11"/>
    <w:qFormat/>
    <w:rsid w:val="00FF5BB1"/>
    <w:pPr>
      <w:spacing w:after="200" w:line="276" w:lineRule="auto"/>
    </w:pPr>
    <w:rPr>
      <w:rFonts w:ascii="Cambria" w:hAnsi="Cambria"/>
      <w:i/>
      <w:iCs/>
      <w:smallCaps/>
      <w:spacing w:val="10"/>
      <w:sz w:val="28"/>
      <w:szCs w:val="28"/>
    </w:rPr>
  </w:style>
  <w:style w:type="character" w:customStyle="1" w:styleId="SubtitleChar">
    <w:name w:val="Subtitle Char"/>
    <w:link w:val="Subtitle"/>
    <w:uiPriority w:val="11"/>
    <w:rsid w:val="00FF5BB1"/>
    <w:rPr>
      <w:rFonts w:ascii="Cambria" w:hAnsi="Cambria"/>
      <w:i/>
      <w:iCs/>
      <w:smallCaps/>
      <w:spacing w:val="10"/>
      <w:sz w:val="28"/>
      <w:szCs w:val="28"/>
    </w:rPr>
  </w:style>
  <w:style w:type="character" w:styleId="Strong">
    <w:name w:val="Strong"/>
    <w:uiPriority w:val="22"/>
    <w:qFormat/>
    <w:rsid w:val="00FF5BB1"/>
    <w:rPr>
      <w:b/>
      <w:bCs/>
    </w:rPr>
  </w:style>
  <w:style w:type="paragraph" w:styleId="Quote">
    <w:name w:val="Quote"/>
    <w:basedOn w:val="Normal"/>
    <w:next w:val="Normal"/>
    <w:link w:val="QuoteChar"/>
    <w:uiPriority w:val="29"/>
    <w:qFormat/>
    <w:rsid w:val="00FF5BB1"/>
    <w:pPr>
      <w:spacing w:after="200" w:line="276" w:lineRule="auto"/>
    </w:pPr>
    <w:rPr>
      <w:rFonts w:ascii="Cambria" w:hAnsi="Cambria"/>
      <w:i/>
      <w:iCs/>
      <w:sz w:val="22"/>
      <w:szCs w:val="22"/>
    </w:rPr>
  </w:style>
  <w:style w:type="character" w:customStyle="1" w:styleId="QuoteChar">
    <w:name w:val="Quote Char"/>
    <w:link w:val="Quote"/>
    <w:uiPriority w:val="29"/>
    <w:rsid w:val="00FF5BB1"/>
    <w:rPr>
      <w:rFonts w:ascii="Cambria" w:hAnsi="Cambria"/>
      <w:i/>
      <w:iCs/>
      <w:sz w:val="22"/>
      <w:szCs w:val="22"/>
    </w:rPr>
  </w:style>
  <w:style w:type="paragraph" w:styleId="IntenseQuote">
    <w:name w:val="Intense Quote"/>
    <w:basedOn w:val="Normal"/>
    <w:next w:val="Normal"/>
    <w:link w:val="IntenseQuoteChar"/>
    <w:uiPriority w:val="30"/>
    <w:qFormat/>
    <w:rsid w:val="00FF5BB1"/>
    <w:pPr>
      <w:pBdr>
        <w:top w:val="single" w:sz="4" w:space="10" w:color="auto"/>
        <w:bottom w:val="single" w:sz="4" w:space="10" w:color="auto"/>
      </w:pBdr>
      <w:spacing w:before="240" w:after="240" w:line="300" w:lineRule="auto"/>
      <w:ind w:left="1152" w:right="1152"/>
      <w:jc w:val="both"/>
    </w:pPr>
    <w:rPr>
      <w:rFonts w:ascii="Cambria" w:hAnsi="Cambria"/>
      <w:i/>
      <w:iCs/>
      <w:sz w:val="22"/>
      <w:szCs w:val="22"/>
    </w:rPr>
  </w:style>
  <w:style w:type="character" w:customStyle="1" w:styleId="IntenseQuoteChar">
    <w:name w:val="Intense Quote Char"/>
    <w:link w:val="IntenseQuote"/>
    <w:uiPriority w:val="30"/>
    <w:rsid w:val="00FF5BB1"/>
    <w:rPr>
      <w:rFonts w:ascii="Cambria" w:hAnsi="Cambria"/>
      <w:i/>
      <w:iCs/>
      <w:sz w:val="22"/>
      <w:szCs w:val="22"/>
    </w:rPr>
  </w:style>
  <w:style w:type="character" w:styleId="SubtleEmphasis">
    <w:name w:val="Subtle Emphasis"/>
    <w:uiPriority w:val="19"/>
    <w:qFormat/>
    <w:rsid w:val="00FF5BB1"/>
    <w:rPr>
      <w:i/>
      <w:iCs/>
    </w:rPr>
  </w:style>
  <w:style w:type="character" w:styleId="IntenseEmphasis">
    <w:name w:val="Intense Emphasis"/>
    <w:uiPriority w:val="21"/>
    <w:qFormat/>
    <w:rsid w:val="00FF5BB1"/>
    <w:rPr>
      <w:b/>
      <w:bCs/>
      <w:i/>
      <w:iCs/>
    </w:rPr>
  </w:style>
  <w:style w:type="character" w:styleId="SubtleReference">
    <w:name w:val="Subtle Reference"/>
    <w:uiPriority w:val="31"/>
    <w:qFormat/>
    <w:rsid w:val="00FF5BB1"/>
    <w:rPr>
      <w:smallCaps/>
    </w:rPr>
  </w:style>
  <w:style w:type="character" w:styleId="IntenseReference">
    <w:name w:val="Intense Reference"/>
    <w:uiPriority w:val="32"/>
    <w:qFormat/>
    <w:rsid w:val="00FF5BB1"/>
    <w:rPr>
      <w:b/>
      <w:bCs/>
      <w:smallCaps/>
    </w:rPr>
  </w:style>
  <w:style w:type="character" w:styleId="BookTitle">
    <w:name w:val="Book Title"/>
    <w:uiPriority w:val="33"/>
    <w:qFormat/>
    <w:rsid w:val="00FF5BB1"/>
    <w:rPr>
      <w:i/>
      <w:iCs/>
      <w:smallCaps/>
      <w:spacing w:val="5"/>
    </w:rPr>
  </w:style>
  <w:style w:type="paragraph" w:styleId="TOCHeading">
    <w:name w:val="TOC Heading"/>
    <w:basedOn w:val="Heading1"/>
    <w:next w:val="Normal"/>
    <w:uiPriority w:val="39"/>
    <w:semiHidden/>
    <w:unhideWhenUsed/>
    <w:qFormat/>
    <w:rsid w:val="00FF5BB1"/>
    <w:pPr>
      <w:keepNext w:val="0"/>
      <w:numPr>
        <w:numId w:val="0"/>
      </w:numPr>
      <w:tabs>
        <w:tab w:val="clear" w:pos="720"/>
      </w:tabs>
      <w:spacing w:before="480" w:after="0" w:line="276" w:lineRule="auto"/>
      <w:contextualSpacing/>
      <w:outlineLvl w:val="9"/>
    </w:pPr>
    <w:rPr>
      <w:rFonts w:ascii="Cambria" w:hAnsi="Cambria"/>
      <w:b w:val="0"/>
      <w:bCs w:val="0"/>
      <w:spacing w:val="5"/>
      <w:sz w:val="36"/>
      <w:szCs w:val="36"/>
      <w:lang w:bidi="en-US"/>
    </w:rPr>
  </w:style>
  <w:style w:type="character" w:customStyle="1" w:styleId="bodytext1">
    <w:name w:val="bodytext"/>
    <w:rsid w:val="00FF5BB1"/>
    <w:rPr>
      <w:rFonts w:ascii="Calibri" w:hAnsi="Calibri"/>
      <w:sz w:val="22"/>
    </w:rPr>
  </w:style>
  <w:style w:type="paragraph" w:styleId="NormalWeb">
    <w:name w:val="Normal (Web)"/>
    <w:basedOn w:val="Normal"/>
    <w:uiPriority w:val="99"/>
    <w:unhideWhenUsed/>
    <w:rsid w:val="00FF5BB1"/>
    <w:pPr>
      <w:spacing w:after="200" w:line="276" w:lineRule="auto"/>
    </w:pPr>
  </w:style>
  <w:style w:type="paragraph" w:customStyle="1" w:styleId="Heading3custom">
    <w:name w:val="Heading 3 custom"/>
    <w:basedOn w:val="Heading3"/>
    <w:link w:val="Heading3customChar"/>
    <w:qFormat/>
    <w:rsid w:val="00D46196"/>
    <w:rPr>
      <w:rFonts w:ascii="Calibri" w:hAnsi="Calibri" w:cs="Calibri"/>
    </w:rPr>
  </w:style>
  <w:style w:type="character" w:customStyle="1" w:styleId="Heading3customChar">
    <w:name w:val="Heading 3 custom Char"/>
    <w:link w:val="Heading3custom"/>
    <w:rsid w:val="00D46196"/>
    <w:rPr>
      <w:rFonts w:ascii="Calibri" w:hAnsi="Calibri" w:cs="Calibri"/>
      <w:b/>
      <w:bCs/>
      <w:i/>
      <w:iCs/>
      <w:sz w:val="24"/>
    </w:rPr>
  </w:style>
  <w:style w:type="paragraph" w:customStyle="1" w:styleId="ColorfulList-Accent11">
    <w:name w:val="Colorful List - Accent 11"/>
    <w:basedOn w:val="Normal"/>
    <w:uiPriority w:val="34"/>
    <w:qFormat/>
    <w:rsid w:val="00012955"/>
    <w:pPr>
      <w:ind w:left="720"/>
      <w:contextualSpacing/>
    </w:pPr>
    <w:rPr>
      <w:rFonts w:ascii="Cambria" w:hAnsi="Cambria"/>
    </w:rPr>
  </w:style>
  <w:style w:type="character" w:customStyle="1" w:styleId="MediumGrid11">
    <w:name w:val="Medium Grid 11"/>
    <w:uiPriority w:val="99"/>
    <w:semiHidden/>
    <w:rsid w:val="00012955"/>
    <w:rPr>
      <w:color w:val="808080"/>
    </w:rPr>
  </w:style>
  <w:style w:type="character" w:styleId="LineNumber">
    <w:name w:val="line number"/>
    <w:basedOn w:val="DefaultParagraphFont"/>
    <w:uiPriority w:val="99"/>
    <w:semiHidden/>
    <w:unhideWhenUsed/>
    <w:rsid w:val="00012955"/>
  </w:style>
  <w:style w:type="character" w:styleId="HTMLCite">
    <w:name w:val="HTML Cite"/>
    <w:uiPriority w:val="99"/>
    <w:semiHidden/>
    <w:unhideWhenUsed/>
    <w:rsid w:val="00012955"/>
    <w:rPr>
      <w:i/>
      <w:iCs/>
    </w:rPr>
  </w:style>
  <w:style w:type="character" w:customStyle="1" w:styleId="slug-pub-date">
    <w:name w:val="slug-pub-date"/>
    <w:basedOn w:val="DefaultParagraphFont"/>
    <w:rsid w:val="00012955"/>
  </w:style>
  <w:style w:type="character" w:customStyle="1" w:styleId="slug-vol">
    <w:name w:val="slug-vol"/>
    <w:basedOn w:val="DefaultParagraphFont"/>
    <w:rsid w:val="00012955"/>
  </w:style>
  <w:style w:type="character" w:customStyle="1" w:styleId="slug-issue">
    <w:name w:val="slug-issue"/>
    <w:basedOn w:val="DefaultParagraphFont"/>
    <w:rsid w:val="00012955"/>
  </w:style>
  <w:style w:type="character" w:customStyle="1" w:styleId="slug-pages">
    <w:name w:val="slug-pages"/>
    <w:basedOn w:val="DefaultParagraphFont"/>
    <w:rsid w:val="00012955"/>
  </w:style>
  <w:style w:type="character" w:customStyle="1" w:styleId="pub-chicago">
    <w:name w:val="pub-chicago"/>
    <w:basedOn w:val="DefaultParagraphFont"/>
    <w:rsid w:val="00012955"/>
  </w:style>
  <w:style w:type="character" w:customStyle="1" w:styleId="pub-book-title">
    <w:name w:val="pub-book-title"/>
    <w:basedOn w:val="DefaultParagraphFont"/>
    <w:rsid w:val="00012955"/>
  </w:style>
  <w:style w:type="table" w:customStyle="1" w:styleId="MediumShading21">
    <w:name w:val="Medium Shading 21"/>
    <w:basedOn w:val="TableNormal"/>
    <w:uiPriority w:val="64"/>
    <w:rsid w:val="00012955"/>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1">
    <w:name w:val="Plain Table 21"/>
    <w:basedOn w:val="TableNormal"/>
    <w:uiPriority w:val="99"/>
    <w:rsid w:val="00012955"/>
    <w:rPr>
      <w:rFonts w:ascii="Cambria" w:hAnsi="Cambr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1">
    <w:name w:val="Grid Table 1 Light1"/>
    <w:basedOn w:val="TableNormal"/>
    <w:uiPriority w:val="46"/>
    <w:rsid w:val="00012955"/>
    <w:rPr>
      <w:rFonts w:ascii="Cambria" w:hAnsi="Cambri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012955"/>
    <w:rPr>
      <w:rFonts w:ascii="Consolas" w:eastAsia="Calibri" w:hAnsi="Consolas" w:cs="Consolas"/>
      <w:sz w:val="21"/>
      <w:szCs w:val="21"/>
    </w:rPr>
  </w:style>
  <w:style w:type="character" w:customStyle="1" w:styleId="PlainTextChar">
    <w:name w:val="Plain Text Char"/>
    <w:basedOn w:val="DefaultParagraphFont"/>
    <w:link w:val="PlainText"/>
    <w:uiPriority w:val="99"/>
    <w:rsid w:val="00012955"/>
    <w:rPr>
      <w:rFonts w:ascii="Consolas" w:eastAsia="Calibri" w:hAnsi="Consolas" w:cs="Consolas"/>
      <w:sz w:val="21"/>
      <w:szCs w:val="21"/>
    </w:rPr>
  </w:style>
  <w:style w:type="character" w:customStyle="1" w:styleId="MediumGrid2Char">
    <w:name w:val="Medium Grid 2 Char"/>
    <w:link w:val="MediumGrid2"/>
    <w:uiPriority w:val="1"/>
    <w:rsid w:val="00C6108D"/>
    <w:rPr>
      <w:rFonts w:ascii="Cambria" w:hAnsi="Cambria"/>
      <w:sz w:val="22"/>
      <w:szCs w:val="22"/>
      <w:lang w:bidi="en-US"/>
    </w:rPr>
  </w:style>
  <w:style w:type="character" w:customStyle="1" w:styleId="ColorfulGrid-Accent1Char">
    <w:name w:val="Colorful Grid - Accent 1 Char"/>
    <w:link w:val="ColorfulGrid-Accent1"/>
    <w:uiPriority w:val="29"/>
    <w:rsid w:val="00C6108D"/>
    <w:rPr>
      <w:rFonts w:ascii="Cambria" w:hAnsi="Cambria"/>
      <w:i/>
      <w:iCs/>
      <w:sz w:val="22"/>
      <w:szCs w:val="22"/>
    </w:rPr>
  </w:style>
  <w:style w:type="character" w:customStyle="1" w:styleId="LightShading-Accent2Char">
    <w:name w:val="Light Shading - Accent 2 Char"/>
    <w:link w:val="LightShading-Accent2"/>
    <w:uiPriority w:val="30"/>
    <w:rsid w:val="00C6108D"/>
    <w:rPr>
      <w:rFonts w:ascii="Cambria" w:hAnsi="Cambria"/>
      <w:i/>
      <w:iCs/>
      <w:sz w:val="22"/>
      <w:szCs w:val="22"/>
    </w:rPr>
  </w:style>
  <w:style w:type="table" w:styleId="MediumGrid2">
    <w:name w:val="Medium Grid 2"/>
    <w:basedOn w:val="TableNormal"/>
    <w:link w:val="MediumGrid2Char"/>
    <w:uiPriority w:val="1"/>
    <w:semiHidden/>
    <w:unhideWhenUsed/>
    <w:rsid w:val="00C6108D"/>
    <w:rPr>
      <w:rFonts w:ascii="Cambria" w:hAnsi="Cambria"/>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Grid-Accent1">
    <w:name w:val="Colorful Grid Accent 1"/>
    <w:basedOn w:val="TableNormal"/>
    <w:link w:val="ColorfulGrid-Accent1Char"/>
    <w:uiPriority w:val="29"/>
    <w:semiHidden/>
    <w:unhideWhenUsed/>
    <w:rsid w:val="00C6108D"/>
    <w:rPr>
      <w:rFonts w:ascii="Cambria" w:hAnsi="Cambria"/>
      <w:i/>
      <w:iCs/>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link w:val="LightShading-Accent2Char"/>
    <w:uiPriority w:val="30"/>
    <w:semiHidden/>
    <w:unhideWhenUsed/>
    <w:rsid w:val="00C6108D"/>
    <w:rPr>
      <w:rFonts w:ascii="Cambria" w:hAnsi="Cambria"/>
      <w:i/>
      <w:iCs/>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PlaceholderText">
    <w:name w:val="Placeholder Text"/>
    <w:basedOn w:val="DefaultParagraphFont"/>
    <w:uiPriority w:val="99"/>
    <w:semiHidden/>
    <w:rsid w:val="00C17C7A"/>
    <w:rPr>
      <w:color w:val="808080"/>
    </w:rPr>
  </w:style>
  <w:style w:type="character" w:customStyle="1" w:styleId="citationauthor">
    <w:name w:val="citation_author"/>
    <w:basedOn w:val="DefaultParagraphFont"/>
    <w:rsid w:val="00B67B7A"/>
  </w:style>
  <w:style w:type="character" w:customStyle="1" w:styleId="citationdate">
    <w:name w:val="citation_date"/>
    <w:basedOn w:val="DefaultParagraphFont"/>
    <w:rsid w:val="00B67B7A"/>
  </w:style>
  <w:style w:type="character" w:customStyle="1" w:styleId="citationarticletitle">
    <w:name w:val="citation_article_title"/>
    <w:basedOn w:val="DefaultParagraphFont"/>
    <w:rsid w:val="00B67B7A"/>
  </w:style>
  <w:style w:type="character" w:customStyle="1" w:styleId="citationjournaltitle">
    <w:name w:val="citation_journal_title"/>
    <w:basedOn w:val="DefaultParagraphFont"/>
    <w:rsid w:val="00B67B7A"/>
  </w:style>
  <w:style w:type="character" w:customStyle="1" w:styleId="citationissue">
    <w:name w:val="citation_issue"/>
    <w:basedOn w:val="DefaultParagraphFont"/>
    <w:rsid w:val="00B67B7A"/>
  </w:style>
  <w:style w:type="character" w:customStyle="1" w:styleId="citationstartpage">
    <w:name w:val="citation_start_page"/>
    <w:basedOn w:val="DefaultParagraphFont"/>
    <w:rsid w:val="00B67B7A"/>
  </w:style>
  <w:style w:type="character" w:customStyle="1" w:styleId="citationdoi">
    <w:name w:val="citation_doi"/>
    <w:basedOn w:val="DefaultParagraphFont"/>
    <w:rsid w:val="00B67B7A"/>
  </w:style>
  <w:style w:type="table" w:customStyle="1" w:styleId="PlainTable31">
    <w:name w:val="Plain Table 31"/>
    <w:basedOn w:val="TableNormal"/>
    <w:uiPriority w:val="43"/>
    <w:rsid w:val="00B948D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B948D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7B16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BodyText">
    <w:name w:val="Normal Body Text"/>
    <w:basedOn w:val="Normal"/>
    <w:rsid w:val="003D7B21"/>
    <w:pPr>
      <w:spacing w:after="120"/>
      <w:ind w:firstLine="720"/>
    </w:pPr>
  </w:style>
  <w:style w:type="character" w:customStyle="1" w:styleId="A3">
    <w:name w:val="A3"/>
    <w:uiPriority w:val="99"/>
    <w:rsid w:val="00AE4353"/>
    <w:rPr>
      <w:color w:val="221E1F"/>
      <w:sz w:val="11"/>
      <w:szCs w:val="11"/>
    </w:rPr>
  </w:style>
  <w:style w:type="table" w:customStyle="1" w:styleId="PlainTable5">
    <w:name w:val="Plain Table 5"/>
    <w:basedOn w:val="TableNormal"/>
    <w:uiPriority w:val="45"/>
    <w:rsid w:val="0076690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semiHidden="0" w:uiPriority="35" w:unhideWhenUsed="0" w:qFormat="1"/>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5A2"/>
    <w:rPr>
      <w:sz w:val="24"/>
    </w:rPr>
  </w:style>
  <w:style w:type="paragraph" w:styleId="Heading1">
    <w:name w:val="heading 1"/>
    <w:basedOn w:val="Normal"/>
    <w:next w:val="Normal"/>
    <w:uiPriority w:val="9"/>
    <w:qFormat/>
    <w:rsid w:val="00160561"/>
    <w:pPr>
      <w:keepNext/>
      <w:numPr>
        <w:numId w:val="1"/>
      </w:numPr>
      <w:tabs>
        <w:tab w:val="left" w:pos="720"/>
      </w:tabs>
      <w:spacing w:before="300" w:after="120"/>
      <w:outlineLvl w:val="0"/>
    </w:pPr>
    <w:rPr>
      <w:rFonts w:ascii="Arial" w:hAnsi="Arial"/>
      <w:b/>
      <w:bCs/>
      <w:smallCaps/>
      <w:sz w:val="28"/>
    </w:rPr>
  </w:style>
  <w:style w:type="paragraph" w:styleId="Heading2">
    <w:name w:val="heading 2"/>
    <w:basedOn w:val="Normal"/>
    <w:next w:val="Normal"/>
    <w:link w:val="Heading2Char"/>
    <w:autoRedefine/>
    <w:uiPriority w:val="9"/>
    <w:qFormat/>
    <w:rsid w:val="009735A2"/>
    <w:pPr>
      <w:keepNext/>
      <w:numPr>
        <w:ilvl w:val="1"/>
        <w:numId w:val="1"/>
      </w:numPr>
      <w:tabs>
        <w:tab w:val="clear" w:pos="1116"/>
      </w:tabs>
      <w:spacing w:line="276" w:lineRule="auto"/>
      <w:ind w:left="576"/>
      <w:outlineLvl w:val="1"/>
    </w:pPr>
    <w:rPr>
      <w:rFonts w:ascii="Arial" w:hAnsi="Arial" w:cs="Calibri"/>
      <w:b/>
      <w:bCs/>
      <w:szCs w:val="28"/>
    </w:rPr>
  </w:style>
  <w:style w:type="paragraph" w:styleId="Heading3">
    <w:name w:val="heading 3"/>
    <w:basedOn w:val="Normal"/>
    <w:next w:val="Normal"/>
    <w:link w:val="Heading3Char"/>
    <w:autoRedefine/>
    <w:uiPriority w:val="9"/>
    <w:qFormat/>
    <w:rsid w:val="009735A2"/>
    <w:pPr>
      <w:keepNext/>
      <w:spacing w:before="120" w:after="120"/>
      <w:jc w:val="both"/>
      <w:outlineLvl w:val="2"/>
    </w:pPr>
    <w:rPr>
      <w:rFonts w:ascii="Arial" w:hAnsi="Arial"/>
      <w:bCs/>
      <w:iCs/>
      <w:szCs w:val="24"/>
    </w:rPr>
  </w:style>
  <w:style w:type="paragraph" w:styleId="Heading4">
    <w:name w:val="heading 4"/>
    <w:basedOn w:val="Normal"/>
    <w:next w:val="Normal"/>
    <w:link w:val="Heading4Char"/>
    <w:uiPriority w:val="9"/>
    <w:qFormat/>
    <w:rsid w:val="00B52F2B"/>
    <w:pPr>
      <w:keepNext/>
      <w:numPr>
        <w:ilvl w:val="3"/>
        <w:numId w:val="1"/>
      </w:numPr>
      <w:spacing w:before="60" w:after="60"/>
      <w:outlineLvl w:val="3"/>
    </w:pPr>
    <w:rPr>
      <w:rFonts w:ascii="CG Omega" w:hAnsi="CG Omega" w:cs="Arial"/>
      <w:i/>
      <w:iCs/>
      <w:sz w:val="23"/>
      <w:u w:val="single"/>
    </w:rPr>
  </w:style>
  <w:style w:type="paragraph" w:styleId="Heading5">
    <w:name w:val="heading 5"/>
    <w:basedOn w:val="Normal"/>
    <w:next w:val="Normal"/>
    <w:link w:val="Heading5Char"/>
    <w:uiPriority w:val="9"/>
    <w:qFormat/>
    <w:rsid w:val="00B52F2B"/>
    <w:pPr>
      <w:keepNext/>
      <w:numPr>
        <w:ilvl w:val="4"/>
        <w:numId w:val="1"/>
      </w:numPr>
      <w:autoSpaceDE w:val="0"/>
      <w:autoSpaceDN w:val="0"/>
      <w:adjustRightInd w:val="0"/>
      <w:jc w:val="both"/>
      <w:outlineLvl w:val="4"/>
    </w:pPr>
    <w:rPr>
      <w:rFonts w:ascii="Arial" w:hAnsi="Arial" w:cs="Arial"/>
      <w:b/>
      <w:bCs/>
      <w:sz w:val="22"/>
      <w:szCs w:val="22"/>
    </w:rPr>
  </w:style>
  <w:style w:type="paragraph" w:styleId="Heading6">
    <w:name w:val="heading 6"/>
    <w:basedOn w:val="Normal"/>
    <w:next w:val="Normal"/>
    <w:link w:val="Heading6Char"/>
    <w:uiPriority w:val="9"/>
    <w:qFormat/>
    <w:rsid w:val="00B52F2B"/>
    <w:pPr>
      <w:keepNext/>
      <w:numPr>
        <w:ilvl w:val="5"/>
        <w:numId w:val="1"/>
      </w:numPr>
      <w:autoSpaceDE w:val="0"/>
      <w:autoSpaceDN w:val="0"/>
      <w:adjustRightInd w:val="0"/>
      <w:jc w:val="both"/>
      <w:outlineLvl w:val="5"/>
    </w:pPr>
    <w:rPr>
      <w:rFonts w:ascii="Arial" w:hAnsi="Arial" w:cs="Arial"/>
      <w:b/>
      <w:bCs/>
      <w:color w:val="000000"/>
      <w:szCs w:val="22"/>
    </w:rPr>
  </w:style>
  <w:style w:type="paragraph" w:styleId="Heading7">
    <w:name w:val="heading 7"/>
    <w:basedOn w:val="Normal"/>
    <w:next w:val="Normal"/>
    <w:link w:val="Heading7Char"/>
    <w:uiPriority w:val="9"/>
    <w:qFormat/>
    <w:rsid w:val="00B52F2B"/>
    <w:pPr>
      <w:numPr>
        <w:ilvl w:val="6"/>
        <w:numId w:val="1"/>
      </w:numPr>
      <w:spacing w:before="240" w:after="60"/>
      <w:outlineLvl w:val="6"/>
    </w:pPr>
  </w:style>
  <w:style w:type="paragraph" w:styleId="Heading8">
    <w:name w:val="heading 8"/>
    <w:basedOn w:val="Normal"/>
    <w:next w:val="Normal"/>
    <w:link w:val="Heading8Char"/>
    <w:uiPriority w:val="9"/>
    <w:qFormat/>
    <w:rsid w:val="00B52F2B"/>
    <w:pPr>
      <w:numPr>
        <w:ilvl w:val="7"/>
        <w:numId w:val="1"/>
      </w:numPr>
      <w:spacing w:before="240" w:after="60"/>
      <w:outlineLvl w:val="7"/>
    </w:pPr>
    <w:rPr>
      <w:i/>
      <w:iCs/>
    </w:rPr>
  </w:style>
  <w:style w:type="paragraph" w:styleId="Heading9">
    <w:name w:val="heading 9"/>
    <w:basedOn w:val="Normal"/>
    <w:next w:val="Normal"/>
    <w:link w:val="Heading9Char"/>
    <w:uiPriority w:val="9"/>
    <w:qFormat/>
    <w:rsid w:val="00B52F2B"/>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735A2"/>
    <w:rPr>
      <w:rFonts w:ascii="Arial" w:hAnsi="Arial" w:cs="Calibri"/>
      <w:b/>
      <w:bCs/>
      <w:sz w:val="24"/>
      <w:szCs w:val="28"/>
    </w:rPr>
  </w:style>
  <w:style w:type="character" w:customStyle="1" w:styleId="Heading3Char">
    <w:name w:val="Heading 3 Char"/>
    <w:link w:val="Heading3"/>
    <w:uiPriority w:val="9"/>
    <w:locked/>
    <w:rsid w:val="009735A2"/>
    <w:rPr>
      <w:rFonts w:ascii="Arial" w:hAnsi="Arial"/>
      <w:bCs/>
      <w:iCs/>
      <w:sz w:val="24"/>
      <w:szCs w:val="24"/>
    </w:rPr>
  </w:style>
  <w:style w:type="character" w:customStyle="1" w:styleId="Heading4Char">
    <w:name w:val="Heading 4 Char"/>
    <w:link w:val="Heading4"/>
    <w:uiPriority w:val="9"/>
    <w:rsid w:val="00FF5BB1"/>
    <w:rPr>
      <w:rFonts w:ascii="CG Omega" w:hAnsi="CG Omega" w:cs="Arial"/>
      <w:i/>
      <w:iCs/>
      <w:sz w:val="23"/>
      <w:u w:val="single"/>
    </w:rPr>
  </w:style>
  <w:style w:type="character" w:customStyle="1" w:styleId="Heading5Char">
    <w:name w:val="Heading 5 Char"/>
    <w:link w:val="Heading5"/>
    <w:uiPriority w:val="9"/>
    <w:rsid w:val="00FF5BB1"/>
    <w:rPr>
      <w:rFonts w:ascii="Arial" w:hAnsi="Arial" w:cs="Arial"/>
      <w:b/>
      <w:bCs/>
      <w:sz w:val="22"/>
      <w:szCs w:val="22"/>
    </w:rPr>
  </w:style>
  <w:style w:type="character" w:customStyle="1" w:styleId="Heading6Char">
    <w:name w:val="Heading 6 Char"/>
    <w:link w:val="Heading6"/>
    <w:uiPriority w:val="9"/>
    <w:rsid w:val="00FF5BB1"/>
    <w:rPr>
      <w:rFonts w:ascii="Arial" w:hAnsi="Arial" w:cs="Arial"/>
      <w:b/>
      <w:bCs/>
      <w:color w:val="000000"/>
      <w:sz w:val="24"/>
      <w:szCs w:val="22"/>
    </w:rPr>
  </w:style>
  <w:style w:type="character" w:customStyle="1" w:styleId="Heading7Char">
    <w:name w:val="Heading 7 Char"/>
    <w:link w:val="Heading7"/>
    <w:uiPriority w:val="9"/>
    <w:rsid w:val="00FF5BB1"/>
    <w:rPr>
      <w:sz w:val="24"/>
      <w:szCs w:val="24"/>
    </w:rPr>
  </w:style>
  <w:style w:type="character" w:customStyle="1" w:styleId="Heading8Char">
    <w:name w:val="Heading 8 Char"/>
    <w:link w:val="Heading8"/>
    <w:uiPriority w:val="9"/>
    <w:rsid w:val="00FF5BB1"/>
    <w:rPr>
      <w:i/>
      <w:iCs/>
      <w:sz w:val="24"/>
      <w:szCs w:val="24"/>
    </w:rPr>
  </w:style>
  <w:style w:type="character" w:customStyle="1" w:styleId="Heading9Char">
    <w:name w:val="Heading 9 Char"/>
    <w:link w:val="Heading9"/>
    <w:uiPriority w:val="9"/>
    <w:rsid w:val="00FF5BB1"/>
    <w:rPr>
      <w:rFonts w:ascii="Arial" w:hAnsi="Arial" w:cs="Arial"/>
      <w:sz w:val="22"/>
      <w:szCs w:val="22"/>
    </w:rPr>
  </w:style>
  <w:style w:type="paragraph" w:customStyle="1" w:styleId="BulletPoint">
    <w:name w:val="Bullet Point"/>
    <w:basedOn w:val="Normal"/>
    <w:rsid w:val="00B52F2B"/>
    <w:pPr>
      <w:tabs>
        <w:tab w:val="num" w:pos="2880"/>
      </w:tabs>
      <w:spacing w:after="100" w:line="276" w:lineRule="auto"/>
      <w:ind w:left="2880" w:hanging="360"/>
    </w:pPr>
  </w:style>
  <w:style w:type="paragraph" w:styleId="HTMLPreformatted">
    <w:name w:val="HTML Preformatted"/>
    <w:basedOn w:val="Normal"/>
    <w:link w:val="HTMLPreformattedChar"/>
    <w:uiPriority w:val="99"/>
    <w:semiHidden/>
    <w:rsid w:val="00B52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link w:val="HTMLPreformatted"/>
    <w:uiPriority w:val="99"/>
    <w:semiHidden/>
    <w:rsid w:val="00012955"/>
    <w:rPr>
      <w:rFonts w:ascii="Arial Unicode MS" w:eastAsia="Arial Unicode MS" w:hAnsi="Arial Unicode MS" w:cs="Arial Unicode MS"/>
    </w:rPr>
  </w:style>
  <w:style w:type="paragraph" w:customStyle="1" w:styleId="Style1">
    <w:name w:val="Style1"/>
    <w:basedOn w:val="Heading1"/>
    <w:rsid w:val="00B52F2B"/>
    <w:pPr>
      <w:tabs>
        <w:tab w:val="num" w:pos="360"/>
      </w:tabs>
      <w:spacing w:before="0" w:after="0"/>
      <w:ind w:left="360" w:hanging="360"/>
    </w:pPr>
    <w:rPr>
      <w:caps/>
    </w:rPr>
  </w:style>
  <w:style w:type="character" w:styleId="Emphasis">
    <w:name w:val="Emphasis"/>
    <w:uiPriority w:val="20"/>
    <w:qFormat/>
    <w:rsid w:val="00B52F2B"/>
    <w:rPr>
      <w:i/>
      <w:iCs/>
    </w:rPr>
  </w:style>
  <w:style w:type="paragraph" w:styleId="TableofFigures">
    <w:name w:val="table of figures"/>
    <w:basedOn w:val="Normal"/>
    <w:next w:val="Normal"/>
    <w:uiPriority w:val="99"/>
    <w:rsid w:val="00B52F2B"/>
    <w:pPr>
      <w:tabs>
        <w:tab w:val="left" w:pos="1440"/>
        <w:tab w:val="right" w:leader="dot" w:pos="9360"/>
      </w:tabs>
      <w:spacing w:before="60" w:after="60"/>
      <w:ind w:left="1440" w:hanging="1440"/>
    </w:pPr>
    <w:rPr>
      <w:rFonts w:ascii="CG Omega" w:hAnsi="CG Omega"/>
    </w:rPr>
  </w:style>
  <w:style w:type="paragraph" w:customStyle="1" w:styleId="Heading1TOC">
    <w:name w:val="Heading 1_TOC"/>
    <w:basedOn w:val="TOC1"/>
    <w:next w:val="TOC1"/>
    <w:rsid w:val="00B52F2B"/>
    <w:pPr>
      <w:tabs>
        <w:tab w:val="left" w:pos="1440"/>
      </w:tabs>
      <w:suppressAutoHyphens/>
      <w:spacing w:before="360" w:after="360" w:line="360" w:lineRule="auto"/>
      <w:jc w:val="both"/>
    </w:pPr>
    <w:rPr>
      <w:bCs/>
      <w:caps/>
      <w:spacing w:val="-2"/>
    </w:rPr>
  </w:style>
  <w:style w:type="paragraph" w:styleId="TOC1">
    <w:name w:val="toc 1"/>
    <w:basedOn w:val="Normal"/>
    <w:autoRedefine/>
    <w:uiPriority w:val="39"/>
    <w:rsid w:val="00B32938"/>
    <w:pPr>
      <w:tabs>
        <w:tab w:val="left" w:pos="440"/>
        <w:tab w:val="right" w:leader="dot" w:pos="9350"/>
      </w:tabs>
      <w:spacing w:before="120" w:after="120"/>
      <w:ind w:left="446" w:hanging="446"/>
    </w:pPr>
    <w:rPr>
      <w:rFonts w:ascii="Times New Roman Bold" w:hAnsi="Times New Roman Bold"/>
      <w:b/>
      <w:smallCaps/>
      <w:noProof/>
    </w:rPr>
  </w:style>
  <w:style w:type="paragraph" w:styleId="TOC2">
    <w:name w:val="toc 2"/>
    <w:basedOn w:val="TOC1"/>
    <w:autoRedefine/>
    <w:uiPriority w:val="39"/>
    <w:rsid w:val="001B03A2"/>
    <w:pPr>
      <w:ind w:left="878"/>
    </w:pPr>
    <w:rPr>
      <w:rFonts w:eastAsia="MS Mincho"/>
      <w:caps/>
    </w:rPr>
  </w:style>
  <w:style w:type="paragraph" w:customStyle="1" w:styleId="Heading2TOC">
    <w:name w:val="Heading 2_TOC"/>
    <w:basedOn w:val="Heading1"/>
    <w:next w:val="Normal"/>
    <w:autoRedefine/>
    <w:rsid w:val="00B52F2B"/>
    <w:pPr>
      <w:tabs>
        <w:tab w:val="num" w:pos="360"/>
        <w:tab w:val="left" w:pos="1440"/>
      </w:tabs>
      <w:suppressAutoHyphens/>
      <w:spacing w:before="0" w:after="0"/>
      <w:ind w:left="360" w:hanging="360"/>
      <w:jc w:val="both"/>
    </w:pPr>
    <w:rPr>
      <w:rFonts w:ascii="Times New Roman" w:hAnsi="Times New Roman"/>
      <w:b w:val="0"/>
      <w:bCs w:val="0"/>
      <w:caps/>
      <w:spacing w:val="-2"/>
    </w:rPr>
  </w:style>
  <w:style w:type="paragraph" w:customStyle="1" w:styleId="table-title">
    <w:name w:val="table-title"/>
    <w:basedOn w:val="Normal"/>
    <w:autoRedefine/>
    <w:rsid w:val="007F390D"/>
    <w:pPr>
      <w:keepNext/>
      <w:ind w:left="1440" w:hanging="1440"/>
    </w:pPr>
    <w:rPr>
      <w:rFonts w:ascii="CG Omega (W1)" w:hAnsi="CG Omega (W1)"/>
      <w:b/>
      <w:bCs/>
      <w:sz w:val="20"/>
    </w:rPr>
  </w:style>
  <w:style w:type="paragraph" w:customStyle="1" w:styleId="FigureTitle">
    <w:name w:val="Figure Title"/>
    <w:basedOn w:val="Normal"/>
    <w:link w:val="FigureTitleChar"/>
    <w:autoRedefine/>
    <w:rsid w:val="00D733B1"/>
    <w:pPr>
      <w:spacing w:after="240"/>
    </w:pPr>
    <w:rPr>
      <w:rFonts w:ascii="Times New (W1)" w:hAnsi="Times New (W1)"/>
      <w:b/>
      <w:sz w:val="22"/>
    </w:rPr>
  </w:style>
  <w:style w:type="character" w:customStyle="1" w:styleId="FigureTitleChar">
    <w:name w:val="Figure Title Char"/>
    <w:link w:val="FigureTitle"/>
    <w:rsid w:val="00D70F02"/>
    <w:rPr>
      <w:rFonts w:ascii="Times New (W1)" w:hAnsi="Times New (W1)"/>
      <w:b/>
      <w:sz w:val="22"/>
    </w:rPr>
  </w:style>
  <w:style w:type="paragraph" w:styleId="Index1">
    <w:name w:val="index 1"/>
    <w:aliases w:val="Table of Figures - Figures"/>
    <w:basedOn w:val="Normal"/>
    <w:next w:val="Normal"/>
    <w:autoRedefine/>
    <w:semiHidden/>
    <w:rsid w:val="007F390D"/>
    <w:pPr>
      <w:spacing w:before="40" w:after="40"/>
    </w:pPr>
    <w:rPr>
      <w:rFonts w:ascii="Calibri" w:hAnsi="Calibri" w:cs="Arial"/>
      <w:i/>
      <w:iCs/>
      <w:sz w:val="20"/>
    </w:rPr>
  </w:style>
  <w:style w:type="paragraph" w:customStyle="1" w:styleId="Appendices-Title">
    <w:name w:val="Appendices- Title"/>
    <w:basedOn w:val="Normal"/>
    <w:next w:val="Normal"/>
    <w:autoRedefine/>
    <w:rsid w:val="00B52F2B"/>
    <w:rPr>
      <w:rFonts w:ascii="Times New (W1)" w:hAnsi="Times New (W1)"/>
    </w:rPr>
  </w:style>
  <w:style w:type="paragraph" w:styleId="BodyText">
    <w:name w:val="Body Text"/>
    <w:basedOn w:val="Normal"/>
    <w:semiHidden/>
    <w:rsid w:val="00B52F2B"/>
    <w:pPr>
      <w:spacing w:after="240"/>
      <w:ind w:left="1080"/>
      <w:jc w:val="both"/>
    </w:pPr>
  </w:style>
  <w:style w:type="paragraph" w:styleId="Index2">
    <w:name w:val="index 2"/>
    <w:aliases w:val="Tables"/>
    <w:basedOn w:val="Normal"/>
    <w:next w:val="Normal"/>
    <w:autoRedefine/>
    <w:semiHidden/>
    <w:rsid w:val="00B52F2B"/>
    <w:rPr>
      <w:rFonts w:ascii="Book Antiqua" w:hAnsi="Book Antiqua"/>
    </w:rPr>
  </w:style>
  <w:style w:type="paragraph" w:styleId="List">
    <w:name w:val="List"/>
    <w:aliases w:val="List-Figures"/>
    <w:basedOn w:val="Normal"/>
    <w:semiHidden/>
    <w:rsid w:val="00B52F2B"/>
    <w:rPr>
      <w:rFonts w:ascii="Book Antiqua" w:hAnsi="Book Antiqua"/>
    </w:rPr>
  </w:style>
  <w:style w:type="paragraph" w:styleId="List2">
    <w:name w:val="List 2"/>
    <w:aliases w:val="List 2- Tables"/>
    <w:basedOn w:val="Normal"/>
    <w:semiHidden/>
    <w:rsid w:val="00B52F2B"/>
    <w:rPr>
      <w:rFonts w:ascii="Book Antiqua" w:hAnsi="Book Antiqua"/>
    </w:rPr>
  </w:style>
  <w:style w:type="paragraph" w:customStyle="1" w:styleId="TableofTables">
    <w:name w:val="Table of Tables"/>
    <w:basedOn w:val="TableofFigures"/>
    <w:rsid w:val="00B52F2B"/>
    <w:pPr>
      <w:ind w:left="0" w:firstLine="0"/>
    </w:pPr>
    <w:rPr>
      <w:rFonts w:ascii="Arial" w:hAnsi="Arial" w:cs="Arial"/>
      <w:iCs/>
      <w:sz w:val="22"/>
      <w:szCs w:val="28"/>
    </w:rPr>
  </w:style>
  <w:style w:type="paragraph" w:styleId="Header">
    <w:name w:val="header"/>
    <w:basedOn w:val="Normal"/>
    <w:link w:val="HeaderChar"/>
    <w:uiPriority w:val="99"/>
    <w:rsid w:val="00B52F2B"/>
    <w:pPr>
      <w:pBdr>
        <w:bottom w:val="single" w:sz="4" w:space="1" w:color="auto"/>
      </w:pBdr>
      <w:tabs>
        <w:tab w:val="right" w:pos="9360"/>
      </w:tabs>
    </w:pPr>
    <w:rPr>
      <w:rFonts w:ascii="Arial" w:hAnsi="Arial"/>
      <w:sz w:val="20"/>
    </w:rPr>
  </w:style>
  <w:style w:type="character" w:customStyle="1" w:styleId="HeaderChar">
    <w:name w:val="Header Char"/>
    <w:link w:val="Header"/>
    <w:uiPriority w:val="99"/>
    <w:rsid w:val="00C97C2F"/>
    <w:rPr>
      <w:rFonts w:ascii="Arial" w:hAnsi="Arial"/>
      <w:szCs w:val="24"/>
    </w:rPr>
  </w:style>
  <w:style w:type="paragraph" w:styleId="BodyText2">
    <w:name w:val="Body Text 2"/>
    <w:basedOn w:val="Normal"/>
    <w:semiHidden/>
    <w:rsid w:val="00B52F2B"/>
    <w:rPr>
      <w:rFonts w:ascii="Arial Narrow" w:hAnsi="Arial Narrow" w:cs="Arial"/>
      <w:i/>
      <w:iCs/>
      <w:color w:val="000000"/>
    </w:rPr>
  </w:style>
  <w:style w:type="paragraph" w:styleId="BodyTextIndent">
    <w:name w:val="Body Text Indent"/>
    <w:basedOn w:val="Normal"/>
    <w:semiHidden/>
    <w:rsid w:val="00B52F2B"/>
    <w:pPr>
      <w:tabs>
        <w:tab w:val="left" w:pos="1080"/>
      </w:tabs>
      <w:ind w:left="1080"/>
    </w:pPr>
  </w:style>
  <w:style w:type="paragraph" w:customStyle="1" w:styleId="Default">
    <w:name w:val="Default"/>
    <w:rsid w:val="00B52F2B"/>
    <w:pPr>
      <w:autoSpaceDE w:val="0"/>
      <w:autoSpaceDN w:val="0"/>
      <w:adjustRightInd w:val="0"/>
    </w:pPr>
    <w:rPr>
      <w:rFonts w:ascii="TimesNewRoman" w:hAnsi="TimesNewRoman"/>
    </w:rPr>
  </w:style>
  <w:style w:type="character" w:styleId="CommentReference">
    <w:name w:val="annotation reference"/>
    <w:semiHidden/>
    <w:rsid w:val="00B52F2B"/>
    <w:rPr>
      <w:sz w:val="16"/>
      <w:szCs w:val="16"/>
    </w:rPr>
  </w:style>
  <w:style w:type="paragraph" w:styleId="CommentText">
    <w:name w:val="annotation text"/>
    <w:basedOn w:val="Normal"/>
    <w:link w:val="CommentTextChar"/>
    <w:rsid w:val="00B52F2B"/>
    <w:rPr>
      <w:sz w:val="20"/>
    </w:rPr>
  </w:style>
  <w:style w:type="character" w:customStyle="1" w:styleId="CommentTextChar">
    <w:name w:val="Comment Text Char"/>
    <w:basedOn w:val="DefaultParagraphFont"/>
    <w:link w:val="CommentText"/>
    <w:rsid w:val="00E02AF8"/>
  </w:style>
  <w:style w:type="character" w:styleId="Hyperlink">
    <w:name w:val="Hyperlink"/>
    <w:uiPriority w:val="99"/>
    <w:rsid w:val="00B52F2B"/>
    <w:rPr>
      <w:color w:val="0000FF"/>
      <w:u w:val="single"/>
    </w:rPr>
  </w:style>
  <w:style w:type="paragraph" w:styleId="Footer">
    <w:name w:val="footer"/>
    <w:basedOn w:val="Normal"/>
    <w:link w:val="FooterChar"/>
    <w:uiPriority w:val="99"/>
    <w:rsid w:val="00B52F2B"/>
    <w:pPr>
      <w:pBdr>
        <w:top w:val="single" w:sz="4" w:space="1" w:color="auto"/>
      </w:pBdr>
      <w:tabs>
        <w:tab w:val="right" w:pos="9360"/>
      </w:tabs>
    </w:pPr>
    <w:rPr>
      <w:rFonts w:ascii="Arial" w:hAnsi="Arial"/>
      <w:sz w:val="20"/>
    </w:rPr>
  </w:style>
  <w:style w:type="character" w:customStyle="1" w:styleId="FooterChar">
    <w:name w:val="Footer Char"/>
    <w:link w:val="Footer"/>
    <w:uiPriority w:val="99"/>
    <w:rsid w:val="00187696"/>
    <w:rPr>
      <w:rFonts w:ascii="Arial" w:hAnsi="Arial"/>
      <w:szCs w:val="24"/>
    </w:rPr>
  </w:style>
  <w:style w:type="character" w:styleId="PageNumber">
    <w:name w:val="page number"/>
    <w:basedOn w:val="DefaultParagraphFont"/>
    <w:semiHidden/>
    <w:rsid w:val="00B52F2B"/>
  </w:style>
  <w:style w:type="paragraph" w:styleId="BalloonText">
    <w:name w:val="Balloon Text"/>
    <w:basedOn w:val="Normal"/>
    <w:link w:val="BalloonTextChar"/>
    <w:uiPriority w:val="99"/>
    <w:semiHidden/>
    <w:rsid w:val="00B52F2B"/>
    <w:rPr>
      <w:rFonts w:ascii="Tahoma" w:hAnsi="Tahoma" w:cs="Tahoma"/>
      <w:sz w:val="16"/>
      <w:szCs w:val="16"/>
    </w:rPr>
  </w:style>
  <w:style w:type="character" w:customStyle="1" w:styleId="BalloonTextChar">
    <w:name w:val="Balloon Text Char"/>
    <w:link w:val="BalloonText"/>
    <w:uiPriority w:val="99"/>
    <w:semiHidden/>
    <w:rsid w:val="00FF5BB1"/>
    <w:rPr>
      <w:rFonts w:ascii="Tahoma" w:hAnsi="Tahoma" w:cs="Tahoma"/>
      <w:sz w:val="16"/>
      <w:szCs w:val="16"/>
    </w:rPr>
  </w:style>
  <w:style w:type="paragraph" w:styleId="TOC3">
    <w:name w:val="toc 3"/>
    <w:basedOn w:val="Normal"/>
    <w:next w:val="Normal"/>
    <w:autoRedefine/>
    <w:uiPriority w:val="39"/>
    <w:rsid w:val="00D72900"/>
    <w:pPr>
      <w:tabs>
        <w:tab w:val="right" w:leader="dot" w:pos="9350"/>
      </w:tabs>
      <w:ind w:left="864"/>
    </w:pPr>
  </w:style>
  <w:style w:type="paragraph" w:styleId="TOC4">
    <w:name w:val="toc 4"/>
    <w:basedOn w:val="Normal"/>
    <w:next w:val="Normal"/>
    <w:autoRedefine/>
    <w:semiHidden/>
    <w:rsid w:val="00B52F2B"/>
    <w:pPr>
      <w:ind w:left="660"/>
    </w:pPr>
  </w:style>
  <w:style w:type="paragraph" w:styleId="TOC5">
    <w:name w:val="toc 5"/>
    <w:basedOn w:val="Normal"/>
    <w:next w:val="Normal"/>
    <w:autoRedefine/>
    <w:semiHidden/>
    <w:rsid w:val="00B52F2B"/>
    <w:pPr>
      <w:ind w:left="880"/>
    </w:pPr>
  </w:style>
  <w:style w:type="paragraph" w:styleId="TOC6">
    <w:name w:val="toc 6"/>
    <w:basedOn w:val="Normal"/>
    <w:next w:val="Normal"/>
    <w:autoRedefine/>
    <w:semiHidden/>
    <w:rsid w:val="00B52F2B"/>
    <w:pPr>
      <w:ind w:left="1100"/>
    </w:pPr>
  </w:style>
  <w:style w:type="paragraph" w:styleId="TOC7">
    <w:name w:val="toc 7"/>
    <w:basedOn w:val="Normal"/>
    <w:next w:val="Normal"/>
    <w:autoRedefine/>
    <w:semiHidden/>
    <w:rsid w:val="00B52F2B"/>
    <w:pPr>
      <w:ind w:left="1320"/>
    </w:pPr>
  </w:style>
  <w:style w:type="paragraph" w:styleId="TOC8">
    <w:name w:val="toc 8"/>
    <w:basedOn w:val="Normal"/>
    <w:next w:val="Normal"/>
    <w:autoRedefine/>
    <w:semiHidden/>
    <w:rsid w:val="00B52F2B"/>
    <w:pPr>
      <w:ind w:left="1540"/>
    </w:pPr>
  </w:style>
  <w:style w:type="paragraph" w:styleId="TOC9">
    <w:name w:val="toc 9"/>
    <w:basedOn w:val="Normal"/>
    <w:next w:val="Normal"/>
    <w:autoRedefine/>
    <w:semiHidden/>
    <w:rsid w:val="00B52F2B"/>
    <w:pPr>
      <w:ind w:left="1760"/>
    </w:pPr>
  </w:style>
  <w:style w:type="paragraph" w:styleId="BodyTextIndent2">
    <w:name w:val="Body Text Indent 2"/>
    <w:basedOn w:val="Normal"/>
    <w:semiHidden/>
    <w:rsid w:val="00B52F2B"/>
    <w:pPr>
      <w:ind w:left="1980"/>
    </w:pPr>
  </w:style>
  <w:style w:type="character" w:styleId="FollowedHyperlink">
    <w:name w:val="FollowedHyperlink"/>
    <w:uiPriority w:val="99"/>
    <w:semiHidden/>
    <w:rsid w:val="00B52F2B"/>
    <w:rPr>
      <w:color w:val="800080"/>
      <w:u w:val="single"/>
    </w:rPr>
  </w:style>
  <w:style w:type="paragraph" w:styleId="FootnoteText">
    <w:name w:val="footnote text"/>
    <w:basedOn w:val="Normal"/>
    <w:link w:val="FootnoteTextChar"/>
    <w:uiPriority w:val="99"/>
    <w:rsid w:val="00B52F2B"/>
    <w:rPr>
      <w:sz w:val="20"/>
    </w:rPr>
  </w:style>
  <w:style w:type="character" w:customStyle="1" w:styleId="FootnoteTextChar">
    <w:name w:val="Footnote Text Char"/>
    <w:basedOn w:val="DefaultParagraphFont"/>
    <w:link w:val="FootnoteText"/>
    <w:uiPriority w:val="99"/>
    <w:rsid w:val="00FA6D80"/>
  </w:style>
  <w:style w:type="character" w:styleId="FootnoteReference">
    <w:name w:val="footnote reference"/>
    <w:uiPriority w:val="99"/>
    <w:rsid w:val="00B52F2B"/>
    <w:rPr>
      <w:vertAlign w:val="superscript"/>
    </w:rPr>
  </w:style>
  <w:style w:type="paragraph" w:customStyle="1" w:styleId="FigureCaption">
    <w:name w:val="Figure Caption"/>
    <w:basedOn w:val="Normal"/>
    <w:next w:val="Normal"/>
    <w:rsid w:val="00B52F2B"/>
    <w:pPr>
      <w:tabs>
        <w:tab w:val="left" w:pos="1350"/>
      </w:tabs>
      <w:spacing w:before="120"/>
      <w:ind w:left="1350" w:hanging="1350"/>
    </w:pPr>
    <w:rPr>
      <w:rFonts w:ascii="CG Omega" w:hAnsi="CG Omega"/>
    </w:rPr>
  </w:style>
  <w:style w:type="paragraph" w:customStyle="1" w:styleId="TOCLevel1">
    <w:name w:val="TOC Level 1"/>
    <w:basedOn w:val="Normal"/>
    <w:rsid w:val="00B52F2B"/>
    <w:pPr>
      <w:tabs>
        <w:tab w:val="left" w:pos="540"/>
        <w:tab w:val="right" w:leader="dot" w:pos="9360"/>
      </w:tabs>
      <w:spacing w:before="120" w:after="60"/>
      <w:ind w:left="547" w:hanging="547"/>
    </w:pPr>
    <w:rPr>
      <w:rFonts w:ascii="CG Omega" w:hAnsi="CG Omega"/>
      <w:b/>
      <w:bCs/>
    </w:rPr>
  </w:style>
  <w:style w:type="paragraph" w:customStyle="1" w:styleId="TOCLevel2">
    <w:name w:val="TOC Level 2"/>
    <w:basedOn w:val="Normal"/>
    <w:rsid w:val="00B52F2B"/>
    <w:pPr>
      <w:tabs>
        <w:tab w:val="left" w:pos="1224"/>
        <w:tab w:val="right" w:leader="dot" w:pos="9360"/>
      </w:tabs>
      <w:ind w:left="1080" w:hanging="540"/>
    </w:pPr>
    <w:rPr>
      <w:rFonts w:ascii="CG Omega" w:hAnsi="CG Omega"/>
    </w:rPr>
  </w:style>
  <w:style w:type="character" w:customStyle="1" w:styleId="BodyTextChar">
    <w:name w:val="Body Text Char"/>
    <w:rsid w:val="00B52F2B"/>
    <w:rPr>
      <w:sz w:val="24"/>
      <w:szCs w:val="24"/>
      <w:lang w:val="en-US" w:eastAsia="en-US" w:bidi="ar-SA"/>
    </w:rPr>
  </w:style>
  <w:style w:type="paragraph" w:customStyle="1" w:styleId="Heading">
    <w:name w:val="Heading"/>
    <w:basedOn w:val="Normal"/>
    <w:rsid w:val="00B52F2B"/>
    <w:pPr>
      <w:pBdr>
        <w:bottom w:val="single" w:sz="12" w:space="1" w:color="auto"/>
      </w:pBdr>
      <w:tabs>
        <w:tab w:val="left" w:pos="1080"/>
      </w:tabs>
      <w:spacing w:before="3000" w:after="480" w:line="560" w:lineRule="exact"/>
    </w:pPr>
    <w:rPr>
      <w:rFonts w:ascii="Arial" w:hAnsi="Arial"/>
      <w:b/>
      <w:bCs/>
      <w:smallCaps/>
      <w:sz w:val="56"/>
    </w:rPr>
  </w:style>
  <w:style w:type="paragraph" w:customStyle="1" w:styleId="Bullet">
    <w:name w:val="Bullet"/>
    <w:basedOn w:val="BodyText0"/>
    <w:rsid w:val="00B52F2B"/>
    <w:pPr>
      <w:ind w:left="0"/>
    </w:pPr>
  </w:style>
  <w:style w:type="paragraph" w:customStyle="1" w:styleId="BodyText0">
    <w:name w:val="BodyText"/>
    <w:basedOn w:val="Normal"/>
    <w:rsid w:val="00B52F2B"/>
    <w:pPr>
      <w:ind w:left="1080"/>
    </w:pPr>
  </w:style>
  <w:style w:type="paragraph" w:customStyle="1" w:styleId="TableHead">
    <w:name w:val="Table Head"/>
    <w:basedOn w:val="Normal"/>
    <w:link w:val="TableHeadChar1"/>
    <w:rsid w:val="00B52F2B"/>
    <w:pPr>
      <w:spacing w:after="120"/>
      <w:jc w:val="center"/>
    </w:pPr>
    <w:rPr>
      <w:rFonts w:ascii="CG Omega" w:hAnsi="CG Omega" w:cs="Arial"/>
      <w:b/>
      <w:bCs/>
      <w:sz w:val="20"/>
    </w:rPr>
  </w:style>
  <w:style w:type="character" w:customStyle="1" w:styleId="TableHeadChar1">
    <w:name w:val="Table Head Char1"/>
    <w:link w:val="TableHead"/>
    <w:rsid w:val="00D70F02"/>
    <w:rPr>
      <w:rFonts w:ascii="CG Omega" w:hAnsi="CG Omega" w:cs="Arial"/>
      <w:b/>
      <w:bCs/>
    </w:rPr>
  </w:style>
  <w:style w:type="paragraph" w:customStyle="1" w:styleId="ListofTables">
    <w:name w:val="List of Tables"/>
    <w:basedOn w:val="Normal"/>
    <w:rsid w:val="00B52F2B"/>
    <w:pPr>
      <w:tabs>
        <w:tab w:val="left" w:pos="1260"/>
        <w:tab w:val="right" w:leader="dot" w:pos="9350"/>
      </w:tabs>
      <w:spacing w:after="120"/>
      <w:ind w:left="1267" w:hanging="1267"/>
    </w:pPr>
    <w:rPr>
      <w:rFonts w:ascii="CG Omega" w:hAnsi="CG Omega"/>
    </w:rPr>
  </w:style>
  <w:style w:type="paragraph" w:customStyle="1" w:styleId="TOCLevel3">
    <w:name w:val="TOC Level 3"/>
    <w:basedOn w:val="Normal"/>
    <w:rsid w:val="00B52F2B"/>
    <w:pPr>
      <w:tabs>
        <w:tab w:val="right" w:leader="dot" w:pos="9360"/>
      </w:tabs>
      <w:spacing w:before="20" w:after="20"/>
      <w:ind w:left="1080"/>
    </w:pPr>
    <w:rPr>
      <w:rFonts w:ascii="CG Omega" w:hAnsi="CG Omega"/>
    </w:rPr>
  </w:style>
  <w:style w:type="paragraph" w:customStyle="1" w:styleId="BodyHeading">
    <w:name w:val="Body Heading"/>
    <w:rsid w:val="00B52F2B"/>
    <w:pPr>
      <w:tabs>
        <w:tab w:val="left" w:pos="1620"/>
      </w:tabs>
      <w:spacing w:before="60" w:after="60"/>
      <w:ind w:left="1080"/>
    </w:pPr>
    <w:rPr>
      <w:b/>
      <w:bCs/>
      <w:sz w:val="24"/>
      <w:szCs w:val="24"/>
    </w:rPr>
  </w:style>
  <w:style w:type="paragraph" w:styleId="BodyTextIndent3">
    <w:name w:val="Body Text Indent 3"/>
    <w:basedOn w:val="Normal"/>
    <w:semiHidden/>
    <w:rsid w:val="00B52F2B"/>
    <w:pPr>
      <w:ind w:left="360"/>
    </w:pPr>
    <w:rPr>
      <w:b/>
      <w:bCs/>
      <w:i/>
      <w:iCs/>
    </w:rPr>
  </w:style>
  <w:style w:type="paragraph" w:customStyle="1" w:styleId="titleheading2">
    <w:name w:val="title heading 2"/>
    <w:basedOn w:val="Heading2"/>
    <w:rsid w:val="00B52F2B"/>
    <w:pPr>
      <w:ind w:left="0" w:firstLine="0"/>
    </w:pPr>
  </w:style>
  <w:style w:type="paragraph" w:customStyle="1" w:styleId="Arial">
    <w:name w:val="Arial"/>
    <w:basedOn w:val="Normal"/>
    <w:rsid w:val="00B52F2B"/>
    <w:rPr>
      <w:rFonts w:ascii="Arial" w:hAnsi="Arial"/>
      <w:sz w:val="22"/>
    </w:rPr>
  </w:style>
  <w:style w:type="character" w:customStyle="1" w:styleId="TableHeadChar">
    <w:name w:val="Table Head Char"/>
    <w:rsid w:val="00B52F2B"/>
    <w:rPr>
      <w:rFonts w:ascii="CG Omega" w:hAnsi="CG Omega" w:cs="Arial"/>
      <w:b/>
      <w:bCs/>
      <w:lang w:val="en-US" w:eastAsia="en-US" w:bidi="ar-SA"/>
    </w:rPr>
  </w:style>
  <w:style w:type="paragraph" w:customStyle="1" w:styleId="NumberedList">
    <w:name w:val="Numbered List"/>
    <w:rsid w:val="00B52F2B"/>
    <w:pPr>
      <w:tabs>
        <w:tab w:val="left" w:pos="1440"/>
        <w:tab w:val="num" w:pos="2880"/>
      </w:tabs>
      <w:spacing w:before="60" w:after="60"/>
      <w:ind w:left="2880" w:hanging="360"/>
    </w:pPr>
    <w:rPr>
      <w:sz w:val="24"/>
    </w:rPr>
  </w:style>
  <w:style w:type="paragraph" w:customStyle="1" w:styleId="BulletPoint1">
    <w:name w:val="Bullet Point1"/>
    <w:basedOn w:val="Normal"/>
    <w:next w:val="BulletPoint"/>
    <w:rsid w:val="00B52F2B"/>
    <w:pPr>
      <w:tabs>
        <w:tab w:val="num" w:pos="2880"/>
      </w:tabs>
      <w:spacing w:after="100" w:line="276" w:lineRule="auto"/>
      <w:ind w:left="2880" w:hanging="360"/>
    </w:pPr>
    <w:rPr>
      <w:sz w:val="20"/>
    </w:rPr>
  </w:style>
  <w:style w:type="paragraph" w:styleId="ListBullet3">
    <w:name w:val="List Bullet 3"/>
    <w:basedOn w:val="Normal"/>
    <w:semiHidden/>
    <w:rsid w:val="00B52F2B"/>
    <w:pPr>
      <w:tabs>
        <w:tab w:val="num" w:pos="1080"/>
      </w:tabs>
      <w:ind w:left="1080" w:hanging="360"/>
    </w:pPr>
  </w:style>
  <w:style w:type="paragraph" w:styleId="ListBullet4">
    <w:name w:val="List Bullet 4"/>
    <w:basedOn w:val="Normal"/>
    <w:semiHidden/>
    <w:rsid w:val="00B52F2B"/>
    <w:pPr>
      <w:tabs>
        <w:tab w:val="num" w:pos="1440"/>
      </w:tabs>
      <w:spacing w:before="60" w:after="60"/>
      <w:ind w:left="1440" w:hanging="360"/>
    </w:pPr>
  </w:style>
  <w:style w:type="paragraph" w:styleId="ListBullet5">
    <w:name w:val="List Bullet 5"/>
    <w:basedOn w:val="Normal"/>
    <w:semiHidden/>
    <w:rsid w:val="00B52F2B"/>
    <w:pPr>
      <w:tabs>
        <w:tab w:val="num" w:pos="1800"/>
      </w:tabs>
      <w:ind w:left="1800" w:hanging="360"/>
    </w:pPr>
  </w:style>
  <w:style w:type="paragraph" w:styleId="ListContinue2">
    <w:name w:val="List Continue 2"/>
    <w:basedOn w:val="Normal"/>
    <w:semiHidden/>
    <w:rsid w:val="00B52F2B"/>
    <w:pPr>
      <w:spacing w:after="120"/>
      <w:ind w:left="720"/>
    </w:pPr>
  </w:style>
  <w:style w:type="paragraph" w:customStyle="1" w:styleId="Listbullet6">
    <w:name w:val="List bullet 6"/>
    <w:basedOn w:val="ListBullet5"/>
    <w:rsid w:val="00B52F2B"/>
    <w:pPr>
      <w:spacing w:before="60" w:after="60"/>
      <w:ind w:left="2232"/>
    </w:pPr>
  </w:style>
  <w:style w:type="paragraph" w:styleId="ListBullet">
    <w:name w:val="List Bullet"/>
    <w:basedOn w:val="Normal"/>
    <w:semiHidden/>
    <w:rsid w:val="00B52F2B"/>
    <w:pPr>
      <w:tabs>
        <w:tab w:val="num" w:pos="360"/>
      </w:tabs>
      <w:ind w:left="360" w:hanging="360"/>
    </w:pPr>
  </w:style>
  <w:style w:type="paragraph" w:styleId="ListBullet2">
    <w:name w:val="List Bullet 2"/>
    <w:basedOn w:val="Normal"/>
    <w:semiHidden/>
    <w:rsid w:val="00B52F2B"/>
    <w:pPr>
      <w:tabs>
        <w:tab w:val="num" w:pos="720"/>
      </w:tabs>
      <w:ind w:left="720" w:hanging="360"/>
    </w:pPr>
  </w:style>
  <w:style w:type="paragraph" w:styleId="BlockText">
    <w:name w:val="Block Text"/>
    <w:basedOn w:val="Normal"/>
    <w:semiHidden/>
    <w:rsid w:val="00B52F2B"/>
    <w:pPr>
      <w:spacing w:after="120"/>
      <w:ind w:left="1440" w:right="1440"/>
    </w:pPr>
  </w:style>
  <w:style w:type="paragraph" w:customStyle="1" w:styleId="numberedlist2">
    <w:name w:val="numbered list 2"/>
    <w:basedOn w:val="NumberedList"/>
    <w:rsid w:val="00B52F2B"/>
  </w:style>
  <w:style w:type="character" w:customStyle="1" w:styleId="ListBullet5Char">
    <w:name w:val="List Bullet 5 Char"/>
    <w:rsid w:val="00B52F2B"/>
    <w:rPr>
      <w:sz w:val="24"/>
      <w:szCs w:val="24"/>
      <w:lang w:val="en-US" w:eastAsia="en-US" w:bidi="ar-SA"/>
    </w:rPr>
  </w:style>
  <w:style w:type="character" w:customStyle="1" w:styleId="Listbullet6Char">
    <w:name w:val="List bullet 6 Char"/>
    <w:basedOn w:val="ListBullet5Char"/>
    <w:rsid w:val="00B52F2B"/>
    <w:rPr>
      <w:sz w:val="24"/>
      <w:szCs w:val="24"/>
      <w:lang w:val="en-US" w:eastAsia="en-US" w:bidi="ar-SA"/>
    </w:rPr>
  </w:style>
  <w:style w:type="character" w:customStyle="1" w:styleId="BodyText2Char">
    <w:name w:val="Body Text 2 Char"/>
    <w:rsid w:val="00B52F2B"/>
    <w:rPr>
      <w:rFonts w:ascii="Arial Narrow" w:hAnsi="Arial Narrow" w:cs="Arial"/>
      <w:i/>
      <w:iCs/>
      <w:color w:val="000000"/>
      <w:sz w:val="24"/>
      <w:szCs w:val="24"/>
      <w:lang w:val="en-US" w:eastAsia="en-US" w:bidi="ar-SA"/>
    </w:rPr>
  </w:style>
  <w:style w:type="character" w:customStyle="1" w:styleId="TOCLevel1Char">
    <w:name w:val="TOC Level 1 Char"/>
    <w:rsid w:val="00B52F2B"/>
    <w:rPr>
      <w:rFonts w:ascii="CG Omega" w:hAnsi="CG Omega"/>
      <w:b/>
      <w:bCs/>
      <w:sz w:val="24"/>
      <w:szCs w:val="24"/>
      <w:lang w:val="en-US" w:eastAsia="en-US" w:bidi="ar-SA"/>
    </w:rPr>
  </w:style>
  <w:style w:type="paragraph" w:styleId="Caption">
    <w:name w:val="caption"/>
    <w:basedOn w:val="Normal"/>
    <w:next w:val="Normal"/>
    <w:uiPriority w:val="35"/>
    <w:qFormat/>
    <w:rsid w:val="00B52F2B"/>
  </w:style>
  <w:style w:type="paragraph" w:styleId="BodyText3">
    <w:name w:val="Body Text 3"/>
    <w:basedOn w:val="Normal"/>
    <w:semiHidden/>
    <w:rsid w:val="00B52F2B"/>
    <w:pPr>
      <w:jc w:val="both"/>
    </w:pPr>
  </w:style>
  <w:style w:type="character" w:customStyle="1" w:styleId="d">
    <w:name w:val="d"/>
    <w:basedOn w:val="DefaultParagraphFont"/>
    <w:rsid w:val="00B52F2B"/>
  </w:style>
  <w:style w:type="table" w:styleId="TableGrid">
    <w:name w:val="Table Grid"/>
    <w:basedOn w:val="TableNormal"/>
    <w:uiPriority w:val="59"/>
    <w:rsid w:val="00ED26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2D57AA"/>
    <w:pPr>
      <w:ind w:left="720"/>
      <w:contextualSpacing/>
    </w:pPr>
  </w:style>
  <w:style w:type="paragraph" w:styleId="CommentSubject">
    <w:name w:val="annotation subject"/>
    <w:basedOn w:val="CommentText"/>
    <w:next w:val="CommentText"/>
    <w:link w:val="CommentSubjectChar"/>
    <w:uiPriority w:val="99"/>
    <w:semiHidden/>
    <w:unhideWhenUsed/>
    <w:rsid w:val="00E02AF8"/>
    <w:rPr>
      <w:b/>
      <w:bCs/>
    </w:rPr>
  </w:style>
  <w:style w:type="character" w:customStyle="1" w:styleId="CommentSubjectChar">
    <w:name w:val="Comment Subject Char"/>
    <w:basedOn w:val="CommentTextChar"/>
    <w:link w:val="CommentSubject"/>
    <w:uiPriority w:val="99"/>
    <w:rsid w:val="00E02AF8"/>
  </w:style>
  <w:style w:type="paragraph" w:styleId="Revision">
    <w:name w:val="Revision"/>
    <w:hidden/>
    <w:uiPriority w:val="99"/>
    <w:semiHidden/>
    <w:rsid w:val="00DA7658"/>
    <w:rPr>
      <w:sz w:val="24"/>
      <w:szCs w:val="24"/>
    </w:rPr>
  </w:style>
  <w:style w:type="paragraph" w:customStyle="1" w:styleId="Figure">
    <w:name w:val="Figure"/>
    <w:basedOn w:val="FigureTitle"/>
    <w:link w:val="FigureChar"/>
    <w:qFormat/>
    <w:rsid w:val="00D70F02"/>
  </w:style>
  <w:style w:type="character" w:customStyle="1" w:styleId="FigureChar">
    <w:name w:val="Figure Char"/>
    <w:basedOn w:val="FigureTitleChar"/>
    <w:link w:val="Figure"/>
    <w:rsid w:val="00D70F02"/>
    <w:rPr>
      <w:rFonts w:ascii="Times New (W1)" w:hAnsi="Times New (W1)"/>
      <w:b/>
      <w:sz w:val="22"/>
    </w:rPr>
  </w:style>
  <w:style w:type="paragraph" w:customStyle="1" w:styleId="Table">
    <w:name w:val="Table"/>
    <w:basedOn w:val="TableHead"/>
    <w:link w:val="TableChar"/>
    <w:qFormat/>
    <w:rsid w:val="00D70F02"/>
  </w:style>
  <w:style w:type="character" w:customStyle="1" w:styleId="TableChar">
    <w:name w:val="Table Char"/>
    <w:basedOn w:val="TableHeadChar1"/>
    <w:link w:val="Table"/>
    <w:rsid w:val="00D70F02"/>
    <w:rPr>
      <w:rFonts w:ascii="CG Omega" w:hAnsi="CG Omega" w:cs="Arial"/>
      <w:b/>
      <w:bCs/>
    </w:rPr>
  </w:style>
  <w:style w:type="paragraph" w:customStyle="1" w:styleId="TOT">
    <w:name w:val="TOT"/>
    <w:basedOn w:val="TOC1"/>
    <w:link w:val="TOTChar"/>
    <w:qFormat/>
    <w:rsid w:val="00036428"/>
    <w:pPr>
      <w:tabs>
        <w:tab w:val="clear" w:pos="440"/>
        <w:tab w:val="left" w:pos="450"/>
      </w:tabs>
      <w:ind w:left="0" w:firstLine="0"/>
    </w:pPr>
    <w:rPr>
      <w:rFonts w:ascii="Arial" w:hAnsi="Arial"/>
      <w:caps/>
      <w:noProof w:val="0"/>
      <w:sz w:val="20"/>
      <w:szCs w:val="22"/>
      <w:lang w:bidi="en-US"/>
    </w:rPr>
  </w:style>
  <w:style w:type="character" w:customStyle="1" w:styleId="TOTChar">
    <w:name w:val="TOT Char"/>
    <w:link w:val="TOT"/>
    <w:rsid w:val="00036428"/>
    <w:rPr>
      <w:rFonts w:ascii="Arial" w:hAnsi="Arial"/>
      <w:b/>
      <w:szCs w:val="22"/>
      <w:lang w:bidi="en-US"/>
    </w:rPr>
  </w:style>
  <w:style w:type="paragraph" w:customStyle="1" w:styleId="space">
    <w:name w:val="space"/>
    <w:basedOn w:val="Table"/>
    <w:qFormat/>
    <w:rsid w:val="00036428"/>
    <w:pPr>
      <w:spacing w:after="0"/>
      <w:jc w:val="left"/>
    </w:pPr>
    <w:rPr>
      <w:rFonts w:ascii="Arial" w:hAnsi="Arial"/>
      <w:b w:val="0"/>
      <w:bCs w:val="0"/>
      <w:sz w:val="12"/>
      <w:szCs w:val="22"/>
      <w:lang w:bidi="en-US"/>
    </w:rPr>
  </w:style>
  <w:style w:type="paragraph" w:customStyle="1" w:styleId="TOF">
    <w:name w:val="TOF"/>
    <w:basedOn w:val="TOC2"/>
    <w:link w:val="TOFChar"/>
    <w:qFormat/>
    <w:rsid w:val="00C66F93"/>
    <w:pPr>
      <w:tabs>
        <w:tab w:val="clear" w:pos="440"/>
      </w:tabs>
      <w:spacing w:after="100"/>
      <w:ind w:left="0" w:firstLine="0"/>
    </w:pPr>
    <w:rPr>
      <w:rFonts w:ascii="Arial" w:eastAsia="Times New Roman" w:hAnsi="Arial"/>
      <w:caps w:val="0"/>
      <w:smallCaps w:val="0"/>
      <w:sz w:val="20"/>
      <w:szCs w:val="22"/>
      <w:lang w:bidi="en-US"/>
    </w:rPr>
  </w:style>
  <w:style w:type="character" w:customStyle="1" w:styleId="TOFChar">
    <w:name w:val="TOF Char"/>
    <w:link w:val="TOF"/>
    <w:rsid w:val="00C66F93"/>
    <w:rPr>
      <w:rFonts w:ascii="Arial" w:hAnsi="Arial"/>
      <w:b/>
      <w:noProof/>
      <w:szCs w:val="22"/>
      <w:lang w:bidi="en-US"/>
    </w:rPr>
  </w:style>
  <w:style w:type="paragraph" w:styleId="EndnoteText">
    <w:name w:val="endnote text"/>
    <w:basedOn w:val="Normal"/>
    <w:link w:val="EndnoteTextChar"/>
    <w:uiPriority w:val="99"/>
    <w:unhideWhenUsed/>
    <w:rsid w:val="001E4C06"/>
    <w:rPr>
      <w:sz w:val="20"/>
    </w:rPr>
  </w:style>
  <w:style w:type="character" w:customStyle="1" w:styleId="EndnoteTextChar">
    <w:name w:val="Endnote Text Char"/>
    <w:basedOn w:val="DefaultParagraphFont"/>
    <w:link w:val="EndnoteText"/>
    <w:uiPriority w:val="99"/>
    <w:rsid w:val="001E4C06"/>
  </w:style>
  <w:style w:type="paragraph" w:styleId="NoSpacing">
    <w:name w:val="No Spacing"/>
    <w:link w:val="NoSpacingChar"/>
    <w:uiPriority w:val="1"/>
    <w:qFormat/>
    <w:rsid w:val="00C97C2F"/>
    <w:rPr>
      <w:rFonts w:ascii="Cambria" w:hAnsi="Cambria"/>
      <w:sz w:val="22"/>
      <w:szCs w:val="22"/>
      <w:lang w:bidi="en-US"/>
    </w:rPr>
  </w:style>
  <w:style w:type="character" w:customStyle="1" w:styleId="NoSpacingChar">
    <w:name w:val="No Spacing Char"/>
    <w:link w:val="NoSpacing"/>
    <w:uiPriority w:val="1"/>
    <w:rsid w:val="00C97C2F"/>
    <w:rPr>
      <w:rFonts w:ascii="Cambria" w:hAnsi="Cambria"/>
      <w:sz w:val="22"/>
      <w:szCs w:val="22"/>
      <w:lang w:bidi="en-US"/>
    </w:rPr>
  </w:style>
  <w:style w:type="character" w:customStyle="1" w:styleId="Heading1Char">
    <w:name w:val="Heading 1 Char"/>
    <w:uiPriority w:val="9"/>
    <w:rsid w:val="008D63B9"/>
    <w:rPr>
      <w:rFonts w:ascii="Calibri" w:eastAsia="Times New Roman" w:hAnsi="Calibri" w:cs="Times New Roman"/>
      <w:b/>
      <w:bCs/>
      <w:color w:val="365F91"/>
      <w:sz w:val="28"/>
      <w:szCs w:val="28"/>
    </w:rPr>
  </w:style>
  <w:style w:type="paragraph" w:styleId="Title">
    <w:name w:val="Title"/>
    <w:basedOn w:val="Normal"/>
    <w:link w:val="TitleChar"/>
    <w:uiPriority w:val="10"/>
    <w:qFormat/>
    <w:rsid w:val="006A752D"/>
    <w:pPr>
      <w:jc w:val="center"/>
    </w:pPr>
    <w:rPr>
      <w:rFonts w:ascii="Arial" w:hAnsi="Arial"/>
      <w:b/>
      <w:lang w:val="x-none" w:eastAsia="x-none"/>
    </w:rPr>
  </w:style>
  <w:style w:type="character" w:customStyle="1" w:styleId="TitleChar">
    <w:name w:val="Title Char"/>
    <w:link w:val="Title"/>
    <w:uiPriority w:val="10"/>
    <w:rsid w:val="006A752D"/>
    <w:rPr>
      <w:rFonts w:ascii="Arial" w:hAnsi="Arial"/>
      <w:b/>
      <w:sz w:val="24"/>
      <w:lang w:val="x-none" w:eastAsia="x-none"/>
    </w:rPr>
  </w:style>
  <w:style w:type="paragraph" w:customStyle="1" w:styleId="sub-sub-task">
    <w:name w:val="sub-sub-task"/>
    <w:basedOn w:val="Normal"/>
    <w:rsid w:val="006A752D"/>
    <w:pPr>
      <w:tabs>
        <w:tab w:val="left" w:pos="-1440"/>
        <w:tab w:val="left" w:pos="-720"/>
        <w:tab w:val="left" w:pos="2160"/>
      </w:tabs>
      <w:suppressAutoHyphens/>
      <w:spacing w:after="120"/>
      <w:ind w:left="2160" w:hanging="720"/>
    </w:pPr>
    <w:rPr>
      <w:rFonts w:ascii="Arial" w:hAnsi="Arial" w:cs="Arial"/>
      <w:sz w:val="20"/>
    </w:rPr>
  </w:style>
  <w:style w:type="paragraph" w:styleId="Subtitle">
    <w:name w:val="Subtitle"/>
    <w:basedOn w:val="Normal"/>
    <w:next w:val="Normal"/>
    <w:link w:val="SubtitleChar"/>
    <w:uiPriority w:val="11"/>
    <w:qFormat/>
    <w:rsid w:val="00FF5BB1"/>
    <w:pPr>
      <w:spacing w:after="200" w:line="276" w:lineRule="auto"/>
    </w:pPr>
    <w:rPr>
      <w:rFonts w:ascii="Cambria" w:hAnsi="Cambria"/>
      <w:i/>
      <w:iCs/>
      <w:smallCaps/>
      <w:spacing w:val="10"/>
      <w:sz w:val="28"/>
      <w:szCs w:val="28"/>
    </w:rPr>
  </w:style>
  <w:style w:type="character" w:customStyle="1" w:styleId="SubtitleChar">
    <w:name w:val="Subtitle Char"/>
    <w:link w:val="Subtitle"/>
    <w:uiPriority w:val="11"/>
    <w:rsid w:val="00FF5BB1"/>
    <w:rPr>
      <w:rFonts w:ascii="Cambria" w:hAnsi="Cambria"/>
      <w:i/>
      <w:iCs/>
      <w:smallCaps/>
      <w:spacing w:val="10"/>
      <w:sz w:val="28"/>
      <w:szCs w:val="28"/>
    </w:rPr>
  </w:style>
  <w:style w:type="character" w:styleId="Strong">
    <w:name w:val="Strong"/>
    <w:uiPriority w:val="22"/>
    <w:qFormat/>
    <w:rsid w:val="00FF5BB1"/>
    <w:rPr>
      <w:b/>
      <w:bCs/>
    </w:rPr>
  </w:style>
  <w:style w:type="paragraph" w:styleId="Quote">
    <w:name w:val="Quote"/>
    <w:basedOn w:val="Normal"/>
    <w:next w:val="Normal"/>
    <w:link w:val="QuoteChar"/>
    <w:uiPriority w:val="29"/>
    <w:qFormat/>
    <w:rsid w:val="00FF5BB1"/>
    <w:pPr>
      <w:spacing w:after="200" w:line="276" w:lineRule="auto"/>
    </w:pPr>
    <w:rPr>
      <w:rFonts w:ascii="Cambria" w:hAnsi="Cambria"/>
      <w:i/>
      <w:iCs/>
      <w:sz w:val="22"/>
      <w:szCs w:val="22"/>
    </w:rPr>
  </w:style>
  <w:style w:type="character" w:customStyle="1" w:styleId="QuoteChar">
    <w:name w:val="Quote Char"/>
    <w:link w:val="Quote"/>
    <w:uiPriority w:val="29"/>
    <w:rsid w:val="00FF5BB1"/>
    <w:rPr>
      <w:rFonts w:ascii="Cambria" w:hAnsi="Cambria"/>
      <w:i/>
      <w:iCs/>
      <w:sz w:val="22"/>
      <w:szCs w:val="22"/>
    </w:rPr>
  </w:style>
  <w:style w:type="paragraph" w:styleId="IntenseQuote">
    <w:name w:val="Intense Quote"/>
    <w:basedOn w:val="Normal"/>
    <w:next w:val="Normal"/>
    <w:link w:val="IntenseQuoteChar"/>
    <w:uiPriority w:val="30"/>
    <w:qFormat/>
    <w:rsid w:val="00FF5BB1"/>
    <w:pPr>
      <w:pBdr>
        <w:top w:val="single" w:sz="4" w:space="10" w:color="auto"/>
        <w:bottom w:val="single" w:sz="4" w:space="10" w:color="auto"/>
      </w:pBdr>
      <w:spacing w:before="240" w:after="240" w:line="300" w:lineRule="auto"/>
      <w:ind w:left="1152" w:right="1152"/>
      <w:jc w:val="both"/>
    </w:pPr>
    <w:rPr>
      <w:rFonts w:ascii="Cambria" w:hAnsi="Cambria"/>
      <w:i/>
      <w:iCs/>
      <w:sz w:val="22"/>
      <w:szCs w:val="22"/>
    </w:rPr>
  </w:style>
  <w:style w:type="character" w:customStyle="1" w:styleId="IntenseQuoteChar">
    <w:name w:val="Intense Quote Char"/>
    <w:link w:val="IntenseQuote"/>
    <w:uiPriority w:val="30"/>
    <w:rsid w:val="00FF5BB1"/>
    <w:rPr>
      <w:rFonts w:ascii="Cambria" w:hAnsi="Cambria"/>
      <w:i/>
      <w:iCs/>
      <w:sz w:val="22"/>
      <w:szCs w:val="22"/>
    </w:rPr>
  </w:style>
  <w:style w:type="character" w:styleId="SubtleEmphasis">
    <w:name w:val="Subtle Emphasis"/>
    <w:uiPriority w:val="19"/>
    <w:qFormat/>
    <w:rsid w:val="00FF5BB1"/>
    <w:rPr>
      <w:i/>
      <w:iCs/>
    </w:rPr>
  </w:style>
  <w:style w:type="character" w:styleId="IntenseEmphasis">
    <w:name w:val="Intense Emphasis"/>
    <w:uiPriority w:val="21"/>
    <w:qFormat/>
    <w:rsid w:val="00FF5BB1"/>
    <w:rPr>
      <w:b/>
      <w:bCs/>
      <w:i/>
      <w:iCs/>
    </w:rPr>
  </w:style>
  <w:style w:type="character" w:styleId="SubtleReference">
    <w:name w:val="Subtle Reference"/>
    <w:uiPriority w:val="31"/>
    <w:qFormat/>
    <w:rsid w:val="00FF5BB1"/>
    <w:rPr>
      <w:smallCaps/>
    </w:rPr>
  </w:style>
  <w:style w:type="character" w:styleId="IntenseReference">
    <w:name w:val="Intense Reference"/>
    <w:uiPriority w:val="32"/>
    <w:qFormat/>
    <w:rsid w:val="00FF5BB1"/>
    <w:rPr>
      <w:b/>
      <w:bCs/>
      <w:smallCaps/>
    </w:rPr>
  </w:style>
  <w:style w:type="character" w:styleId="BookTitle">
    <w:name w:val="Book Title"/>
    <w:uiPriority w:val="33"/>
    <w:qFormat/>
    <w:rsid w:val="00FF5BB1"/>
    <w:rPr>
      <w:i/>
      <w:iCs/>
      <w:smallCaps/>
      <w:spacing w:val="5"/>
    </w:rPr>
  </w:style>
  <w:style w:type="paragraph" w:styleId="TOCHeading">
    <w:name w:val="TOC Heading"/>
    <w:basedOn w:val="Heading1"/>
    <w:next w:val="Normal"/>
    <w:uiPriority w:val="39"/>
    <w:semiHidden/>
    <w:unhideWhenUsed/>
    <w:qFormat/>
    <w:rsid w:val="00FF5BB1"/>
    <w:pPr>
      <w:keepNext w:val="0"/>
      <w:numPr>
        <w:numId w:val="0"/>
      </w:numPr>
      <w:tabs>
        <w:tab w:val="clear" w:pos="720"/>
      </w:tabs>
      <w:spacing w:before="480" w:after="0" w:line="276" w:lineRule="auto"/>
      <w:contextualSpacing/>
      <w:outlineLvl w:val="9"/>
    </w:pPr>
    <w:rPr>
      <w:rFonts w:ascii="Cambria" w:hAnsi="Cambria"/>
      <w:b w:val="0"/>
      <w:bCs w:val="0"/>
      <w:spacing w:val="5"/>
      <w:sz w:val="36"/>
      <w:szCs w:val="36"/>
      <w:lang w:bidi="en-US"/>
    </w:rPr>
  </w:style>
  <w:style w:type="character" w:customStyle="1" w:styleId="bodytext1">
    <w:name w:val="bodytext"/>
    <w:rsid w:val="00FF5BB1"/>
    <w:rPr>
      <w:rFonts w:ascii="Calibri" w:hAnsi="Calibri"/>
      <w:sz w:val="22"/>
    </w:rPr>
  </w:style>
  <w:style w:type="paragraph" w:styleId="NormalWeb">
    <w:name w:val="Normal (Web)"/>
    <w:basedOn w:val="Normal"/>
    <w:uiPriority w:val="99"/>
    <w:unhideWhenUsed/>
    <w:rsid w:val="00FF5BB1"/>
    <w:pPr>
      <w:spacing w:after="200" w:line="276" w:lineRule="auto"/>
    </w:pPr>
  </w:style>
  <w:style w:type="paragraph" w:customStyle="1" w:styleId="Heading3custom">
    <w:name w:val="Heading 3 custom"/>
    <w:basedOn w:val="Heading3"/>
    <w:link w:val="Heading3customChar"/>
    <w:qFormat/>
    <w:rsid w:val="00D46196"/>
    <w:rPr>
      <w:rFonts w:ascii="Calibri" w:hAnsi="Calibri" w:cs="Calibri"/>
    </w:rPr>
  </w:style>
  <w:style w:type="character" w:customStyle="1" w:styleId="Heading3customChar">
    <w:name w:val="Heading 3 custom Char"/>
    <w:link w:val="Heading3custom"/>
    <w:rsid w:val="00D46196"/>
    <w:rPr>
      <w:rFonts w:ascii="Calibri" w:hAnsi="Calibri" w:cs="Calibri"/>
      <w:b/>
      <w:bCs/>
      <w:i/>
      <w:iCs/>
      <w:sz w:val="24"/>
    </w:rPr>
  </w:style>
  <w:style w:type="paragraph" w:customStyle="1" w:styleId="ColorfulList-Accent11">
    <w:name w:val="Colorful List - Accent 11"/>
    <w:basedOn w:val="Normal"/>
    <w:uiPriority w:val="34"/>
    <w:qFormat/>
    <w:rsid w:val="00012955"/>
    <w:pPr>
      <w:ind w:left="720"/>
      <w:contextualSpacing/>
    </w:pPr>
    <w:rPr>
      <w:rFonts w:ascii="Cambria" w:hAnsi="Cambria"/>
    </w:rPr>
  </w:style>
  <w:style w:type="character" w:customStyle="1" w:styleId="MediumGrid11">
    <w:name w:val="Medium Grid 11"/>
    <w:uiPriority w:val="99"/>
    <w:semiHidden/>
    <w:rsid w:val="00012955"/>
    <w:rPr>
      <w:color w:val="808080"/>
    </w:rPr>
  </w:style>
  <w:style w:type="character" w:styleId="LineNumber">
    <w:name w:val="line number"/>
    <w:basedOn w:val="DefaultParagraphFont"/>
    <w:uiPriority w:val="99"/>
    <w:semiHidden/>
    <w:unhideWhenUsed/>
    <w:rsid w:val="00012955"/>
  </w:style>
  <w:style w:type="character" w:styleId="HTMLCite">
    <w:name w:val="HTML Cite"/>
    <w:uiPriority w:val="99"/>
    <w:semiHidden/>
    <w:unhideWhenUsed/>
    <w:rsid w:val="00012955"/>
    <w:rPr>
      <w:i/>
      <w:iCs/>
    </w:rPr>
  </w:style>
  <w:style w:type="character" w:customStyle="1" w:styleId="slug-pub-date">
    <w:name w:val="slug-pub-date"/>
    <w:basedOn w:val="DefaultParagraphFont"/>
    <w:rsid w:val="00012955"/>
  </w:style>
  <w:style w:type="character" w:customStyle="1" w:styleId="slug-vol">
    <w:name w:val="slug-vol"/>
    <w:basedOn w:val="DefaultParagraphFont"/>
    <w:rsid w:val="00012955"/>
  </w:style>
  <w:style w:type="character" w:customStyle="1" w:styleId="slug-issue">
    <w:name w:val="slug-issue"/>
    <w:basedOn w:val="DefaultParagraphFont"/>
    <w:rsid w:val="00012955"/>
  </w:style>
  <w:style w:type="character" w:customStyle="1" w:styleId="slug-pages">
    <w:name w:val="slug-pages"/>
    <w:basedOn w:val="DefaultParagraphFont"/>
    <w:rsid w:val="00012955"/>
  </w:style>
  <w:style w:type="character" w:customStyle="1" w:styleId="pub-chicago">
    <w:name w:val="pub-chicago"/>
    <w:basedOn w:val="DefaultParagraphFont"/>
    <w:rsid w:val="00012955"/>
  </w:style>
  <w:style w:type="character" w:customStyle="1" w:styleId="pub-book-title">
    <w:name w:val="pub-book-title"/>
    <w:basedOn w:val="DefaultParagraphFont"/>
    <w:rsid w:val="00012955"/>
  </w:style>
  <w:style w:type="table" w:customStyle="1" w:styleId="MediumShading21">
    <w:name w:val="Medium Shading 21"/>
    <w:basedOn w:val="TableNormal"/>
    <w:uiPriority w:val="64"/>
    <w:rsid w:val="00012955"/>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1">
    <w:name w:val="Plain Table 21"/>
    <w:basedOn w:val="TableNormal"/>
    <w:uiPriority w:val="99"/>
    <w:rsid w:val="00012955"/>
    <w:rPr>
      <w:rFonts w:ascii="Cambria" w:hAnsi="Cambr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1">
    <w:name w:val="Grid Table 1 Light1"/>
    <w:basedOn w:val="TableNormal"/>
    <w:uiPriority w:val="46"/>
    <w:rsid w:val="00012955"/>
    <w:rPr>
      <w:rFonts w:ascii="Cambria" w:hAnsi="Cambri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012955"/>
    <w:rPr>
      <w:rFonts w:ascii="Consolas" w:eastAsia="Calibri" w:hAnsi="Consolas" w:cs="Consolas"/>
      <w:sz w:val="21"/>
      <w:szCs w:val="21"/>
    </w:rPr>
  </w:style>
  <w:style w:type="character" w:customStyle="1" w:styleId="PlainTextChar">
    <w:name w:val="Plain Text Char"/>
    <w:basedOn w:val="DefaultParagraphFont"/>
    <w:link w:val="PlainText"/>
    <w:uiPriority w:val="99"/>
    <w:rsid w:val="00012955"/>
    <w:rPr>
      <w:rFonts w:ascii="Consolas" w:eastAsia="Calibri" w:hAnsi="Consolas" w:cs="Consolas"/>
      <w:sz w:val="21"/>
      <w:szCs w:val="21"/>
    </w:rPr>
  </w:style>
  <w:style w:type="character" w:customStyle="1" w:styleId="MediumGrid2Char">
    <w:name w:val="Medium Grid 2 Char"/>
    <w:link w:val="MediumGrid2"/>
    <w:uiPriority w:val="1"/>
    <w:rsid w:val="00C6108D"/>
    <w:rPr>
      <w:rFonts w:ascii="Cambria" w:hAnsi="Cambria"/>
      <w:sz w:val="22"/>
      <w:szCs w:val="22"/>
      <w:lang w:bidi="en-US"/>
    </w:rPr>
  </w:style>
  <w:style w:type="character" w:customStyle="1" w:styleId="ColorfulGrid-Accent1Char">
    <w:name w:val="Colorful Grid - Accent 1 Char"/>
    <w:link w:val="ColorfulGrid-Accent1"/>
    <w:uiPriority w:val="29"/>
    <w:rsid w:val="00C6108D"/>
    <w:rPr>
      <w:rFonts w:ascii="Cambria" w:hAnsi="Cambria"/>
      <w:i/>
      <w:iCs/>
      <w:sz w:val="22"/>
      <w:szCs w:val="22"/>
    </w:rPr>
  </w:style>
  <w:style w:type="character" w:customStyle="1" w:styleId="LightShading-Accent2Char">
    <w:name w:val="Light Shading - Accent 2 Char"/>
    <w:link w:val="LightShading-Accent2"/>
    <w:uiPriority w:val="30"/>
    <w:rsid w:val="00C6108D"/>
    <w:rPr>
      <w:rFonts w:ascii="Cambria" w:hAnsi="Cambria"/>
      <w:i/>
      <w:iCs/>
      <w:sz w:val="22"/>
      <w:szCs w:val="22"/>
    </w:rPr>
  </w:style>
  <w:style w:type="table" w:styleId="MediumGrid2">
    <w:name w:val="Medium Grid 2"/>
    <w:basedOn w:val="TableNormal"/>
    <w:link w:val="MediumGrid2Char"/>
    <w:uiPriority w:val="1"/>
    <w:semiHidden/>
    <w:unhideWhenUsed/>
    <w:rsid w:val="00C6108D"/>
    <w:rPr>
      <w:rFonts w:ascii="Cambria" w:hAnsi="Cambria"/>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Grid-Accent1">
    <w:name w:val="Colorful Grid Accent 1"/>
    <w:basedOn w:val="TableNormal"/>
    <w:link w:val="ColorfulGrid-Accent1Char"/>
    <w:uiPriority w:val="29"/>
    <w:semiHidden/>
    <w:unhideWhenUsed/>
    <w:rsid w:val="00C6108D"/>
    <w:rPr>
      <w:rFonts w:ascii="Cambria" w:hAnsi="Cambria"/>
      <w:i/>
      <w:iCs/>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link w:val="LightShading-Accent2Char"/>
    <w:uiPriority w:val="30"/>
    <w:semiHidden/>
    <w:unhideWhenUsed/>
    <w:rsid w:val="00C6108D"/>
    <w:rPr>
      <w:rFonts w:ascii="Cambria" w:hAnsi="Cambria"/>
      <w:i/>
      <w:iCs/>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PlaceholderText">
    <w:name w:val="Placeholder Text"/>
    <w:basedOn w:val="DefaultParagraphFont"/>
    <w:uiPriority w:val="99"/>
    <w:semiHidden/>
    <w:rsid w:val="00C17C7A"/>
    <w:rPr>
      <w:color w:val="808080"/>
    </w:rPr>
  </w:style>
  <w:style w:type="character" w:customStyle="1" w:styleId="citationauthor">
    <w:name w:val="citation_author"/>
    <w:basedOn w:val="DefaultParagraphFont"/>
    <w:rsid w:val="00B67B7A"/>
  </w:style>
  <w:style w:type="character" w:customStyle="1" w:styleId="citationdate">
    <w:name w:val="citation_date"/>
    <w:basedOn w:val="DefaultParagraphFont"/>
    <w:rsid w:val="00B67B7A"/>
  </w:style>
  <w:style w:type="character" w:customStyle="1" w:styleId="citationarticletitle">
    <w:name w:val="citation_article_title"/>
    <w:basedOn w:val="DefaultParagraphFont"/>
    <w:rsid w:val="00B67B7A"/>
  </w:style>
  <w:style w:type="character" w:customStyle="1" w:styleId="citationjournaltitle">
    <w:name w:val="citation_journal_title"/>
    <w:basedOn w:val="DefaultParagraphFont"/>
    <w:rsid w:val="00B67B7A"/>
  </w:style>
  <w:style w:type="character" w:customStyle="1" w:styleId="citationissue">
    <w:name w:val="citation_issue"/>
    <w:basedOn w:val="DefaultParagraphFont"/>
    <w:rsid w:val="00B67B7A"/>
  </w:style>
  <w:style w:type="character" w:customStyle="1" w:styleId="citationstartpage">
    <w:name w:val="citation_start_page"/>
    <w:basedOn w:val="DefaultParagraphFont"/>
    <w:rsid w:val="00B67B7A"/>
  </w:style>
  <w:style w:type="character" w:customStyle="1" w:styleId="citationdoi">
    <w:name w:val="citation_doi"/>
    <w:basedOn w:val="DefaultParagraphFont"/>
    <w:rsid w:val="00B67B7A"/>
  </w:style>
  <w:style w:type="table" w:customStyle="1" w:styleId="PlainTable31">
    <w:name w:val="Plain Table 31"/>
    <w:basedOn w:val="TableNormal"/>
    <w:uiPriority w:val="43"/>
    <w:rsid w:val="00B948D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B948D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7B16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BodyText">
    <w:name w:val="Normal Body Text"/>
    <w:basedOn w:val="Normal"/>
    <w:rsid w:val="003D7B21"/>
    <w:pPr>
      <w:spacing w:after="120"/>
      <w:ind w:firstLine="720"/>
    </w:pPr>
  </w:style>
  <w:style w:type="character" w:customStyle="1" w:styleId="A3">
    <w:name w:val="A3"/>
    <w:uiPriority w:val="99"/>
    <w:rsid w:val="00AE4353"/>
    <w:rPr>
      <w:color w:val="221E1F"/>
      <w:sz w:val="11"/>
      <w:szCs w:val="11"/>
    </w:rPr>
  </w:style>
  <w:style w:type="table" w:customStyle="1" w:styleId="PlainTable5">
    <w:name w:val="Plain Table 5"/>
    <w:basedOn w:val="TableNormal"/>
    <w:uiPriority w:val="45"/>
    <w:rsid w:val="0076690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78184">
      <w:bodyDiv w:val="1"/>
      <w:marLeft w:val="0"/>
      <w:marRight w:val="0"/>
      <w:marTop w:val="0"/>
      <w:marBottom w:val="0"/>
      <w:divBdr>
        <w:top w:val="none" w:sz="0" w:space="0" w:color="auto"/>
        <w:left w:val="none" w:sz="0" w:space="0" w:color="auto"/>
        <w:bottom w:val="none" w:sz="0" w:space="0" w:color="auto"/>
        <w:right w:val="none" w:sz="0" w:space="0" w:color="auto"/>
      </w:divBdr>
    </w:div>
    <w:div w:id="570432415">
      <w:bodyDiv w:val="1"/>
      <w:marLeft w:val="0"/>
      <w:marRight w:val="5"/>
      <w:marTop w:val="0"/>
      <w:marBottom w:val="600"/>
      <w:divBdr>
        <w:top w:val="none" w:sz="0" w:space="0" w:color="auto"/>
        <w:left w:val="none" w:sz="0" w:space="0" w:color="auto"/>
        <w:bottom w:val="none" w:sz="0" w:space="0" w:color="auto"/>
        <w:right w:val="none" w:sz="0" w:space="0" w:color="auto"/>
      </w:divBdr>
      <w:divsChild>
        <w:div w:id="520626242">
          <w:marLeft w:val="2265"/>
          <w:marRight w:val="0"/>
          <w:marTop w:val="450"/>
          <w:marBottom w:val="300"/>
          <w:divBdr>
            <w:top w:val="none" w:sz="0" w:space="0" w:color="auto"/>
            <w:left w:val="none" w:sz="0" w:space="0" w:color="auto"/>
            <w:bottom w:val="none" w:sz="0" w:space="0" w:color="auto"/>
            <w:right w:val="none" w:sz="0" w:space="0" w:color="auto"/>
          </w:divBdr>
        </w:div>
      </w:divsChild>
    </w:div>
    <w:div w:id="666322808">
      <w:bodyDiv w:val="1"/>
      <w:marLeft w:val="0"/>
      <w:marRight w:val="0"/>
      <w:marTop w:val="0"/>
      <w:marBottom w:val="0"/>
      <w:divBdr>
        <w:top w:val="none" w:sz="0" w:space="0" w:color="auto"/>
        <w:left w:val="none" w:sz="0" w:space="0" w:color="auto"/>
        <w:bottom w:val="none" w:sz="0" w:space="0" w:color="auto"/>
        <w:right w:val="none" w:sz="0" w:space="0" w:color="auto"/>
      </w:divBdr>
    </w:div>
    <w:div w:id="812210797">
      <w:bodyDiv w:val="1"/>
      <w:marLeft w:val="0"/>
      <w:marRight w:val="0"/>
      <w:marTop w:val="0"/>
      <w:marBottom w:val="0"/>
      <w:divBdr>
        <w:top w:val="none" w:sz="0" w:space="0" w:color="auto"/>
        <w:left w:val="none" w:sz="0" w:space="0" w:color="auto"/>
        <w:bottom w:val="none" w:sz="0" w:space="0" w:color="auto"/>
        <w:right w:val="none" w:sz="0" w:space="0" w:color="auto"/>
      </w:divBdr>
    </w:div>
    <w:div w:id="828669329">
      <w:bodyDiv w:val="1"/>
      <w:marLeft w:val="0"/>
      <w:marRight w:val="0"/>
      <w:marTop w:val="0"/>
      <w:marBottom w:val="0"/>
      <w:divBdr>
        <w:top w:val="none" w:sz="0" w:space="0" w:color="auto"/>
        <w:left w:val="none" w:sz="0" w:space="0" w:color="auto"/>
        <w:bottom w:val="none" w:sz="0" w:space="0" w:color="auto"/>
        <w:right w:val="none" w:sz="0" w:space="0" w:color="auto"/>
      </w:divBdr>
    </w:div>
    <w:div w:id="1064068132">
      <w:bodyDiv w:val="1"/>
      <w:marLeft w:val="0"/>
      <w:marRight w:val="0"/>
      <w:marTop w:val="0"/>
      <w:marBottom w:val="0"/>
      <w:divBdr>
        <w:top w:val="none" w:sz="0" w:space="0" w:color="auto"/>
        <w:left w:val="none" w:sz="0" w:space="0" w:color="auto"/>
        <w:bottom w:val="none" w:sz="0" w:space="0" w:color="auto"/>
        <w:right w:val="none" w:sz="0" w:space="0" w:color="auto"/>
      </w:divBdr>
    </w:div>
    <w:div w:id="1388845112">
      <w:bodyDiv w:val="1"/>
      <w:marLeft w:val="0"/>
      <w:marRight w:val="0"/>
      <w:marTop w:val="0"/>
      <w:marBottom w:val="0"/>
      <w:divBdr>
        <w:top w:val="none" w:sz="0" w:space="0" w:color="auto"/>
        <w:left w:val="none" w:sz="0" w:space="0" w:color="auto"/>
        <w:bottom w:val="none" w:sz="0" w:space="0" w:color="auto"/>
        <w:right w:val="none" w:sz="0" w:space="0" w:color="auto"/>
      </w:divBdr>
      <w:divsChild>
        <w:div w:id="1173910308">
          <w:marLeft w:val="0"/>
          <w:marRight w:val="0"/>
          <w:marTop w:val="0"/>
          <w:marBottom w:val="0"/>
          <w:divBdr>
            <w:top w:val="none" w:sz="0" w:space="0" w:color="auto"/>
            <w:left w:val="none" w:sz="0" w:space="0" w:color="auto"/>
            <w:bottom w:val="none" w:sz="0" w:space="0" w:color="auto"/>
            <w:right w:val="none" w:sz="0" w:space="0" w:color="auto"/>
          </w:divBdr>
          <w:divsChild>
            <w:div w:id="1344554654">
              <w:marLeft w:val="0"/>
              <w:marRight w:val="0"/>
              <w:marTop w:val="0"/>
              <w:marBottom w:val="0"/>
              <w:divBdr>
                <w:top w:val="none" w:sz="0" w:space="0" w:color="auto"/>
                <w:left w:val="none" w:sz="0" w:space="0" w:color="auto"/>
                <w:bottom w:val="none" w:sz="0" w:space="0" w:color="auto"/>
                <w:right w:val="none" w:sz="0" w:space="0" w:color="auto"/>
              </w:divBdr>
              <w:divsChild>
                <w:div w:id="1855224295">
                  <w:marLeft w:val="0"/>
                  <w:marRight w:val="0"/>
                  <w:marTop w:val="0"/>
                  <w:marBottom w:val="0"/>
                  <w:divBdr>
                    <w:top w:val="none" w:sz="0" w:space="0" w:color="auto"/>
                    <w:left w:val="none" w:sz="0" w:space="0" w:color="auto"/>
                    <w:bottom w:val="none" w:sz="0" w:space="0" w:color="auto"/>
                    <w:right w:val="none" w:sz="0" w:space="0" w:color="auto"/>
                  </w:divBdr>
                  <w:divsChild>
                    <w:div w:id="436366760">
                      <w:marLeft w:val="0"/>
                      <w:marRight w:val="0"/>
                      <w:marTop w:val="0"/>
                      <w:marBottom w:val="0"/>
                      <w:divBdr>
                        <w:top w:val="none" w:sz="0" w:space="0" w:color="auto"/>
                        <w:left w:val="none" w:sz="0" w:space="0" w:color="auto"/>
                        <w:bottom w:val="none" w:sz="0" w:space="0" w:color="auto"/>
                        <w:right w:val="none" w:sz="0" w:space="0" w:color="auto"/>
                      </w:divBdr>
                      <w:divsChild>
                        <w:div w:id="385878107">
                          <w:marLeft w:val="0"/>
                          <w:marRight w:val="0"/>
                          <w:marTop w:val="0"/>
                          <w:marBottom w:val="0"/>
                          <w:divBdr>
                            <w:top w:val="none" w:sz="0" w:space="0" w:color="auto"/>
                            <w:left w:val="none" w:sz="0" w:space="0" w:color="auto"/>
                            <w:bottom w:val="none" w:sz="0" w:space="0" w:color="auto"/>
                            <w:right w:val="none" w:sz="0" w:space="0" w:color="auto"/>
                          </w:divBdr>
                          <w:divsChild>
                            <w:div w:id="2013292141">
                              <w:marLeft w:val="0"/>
                              <w:marRight w:val="0"/>
                              <w:marTop w:val="0"/>
                              <w:marBottom w:val="0"/>
                              <w:divBdr>
                                <w:top w:val="none" w:sz="0" w:space="0" w:color="auto"/>
                                <w:left w:val="none" w:sz="0" w:space="0" w:color="auto"/>
                                <w:bottom w:val="none" w:sz="0" w:space="0" w:color="auto"/>
                                <w:right w:val="none" w:sz="0" w:space="0" w:color="auto"/>
                              </w:divBdr>
                              <w:divsChild>
                                <w:div w:id="910309963">
                                  <w:marLeft w:val="0"/>
                                  <w:marRight w:val="0"/>
                                  <w:marTop w:val="240"/>
                                  <w:marBottom w:val="240"/>
                                  <w:divBdr>
                                    <w:top w:val="none" w:sz="0" w:space="0" w:color="auto"/>
                                    <w:left w:val="none" w:sz="0" w:space="0" w:color="auto"/>
                                    <w:bottom w:val="none" w:sz="0" w:space="0" w:color="auto"/>
                                    <w:right w:val="none" w:sz="0" w:space="0" w:color="auto"/>
                                  </w:divBdr>
                                  <w:divsChild>
                                    <w:div w:id="104290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929144">
      <w:bodyDiv w:val="1"/>
      <w:marLeft w:val="0"/>
      <w:marRight w:val="5"/>
      <w:marTop w:val="0"/>
      <w:marBottom w:val="600"/>
      <w:divBdr>
        <w:top w:val="none" w:sz="0" w:space="0" w:color="auto"/>
        <w:left w:val="none" w:sz="0" w:space="0" w:color="auto"/>
        <w:bottom w:val="none" w:sz="0" w:space="0" w:color="auto"/>
        <w:right w:val="none" w:sz="0" w:space="0" w:color="auto"/>
      </w:divBdr>
      <w:divsChild>
        <w:div w:id="586884728">
          <w:marLeft w:val="2265"/>
          <w:marRight w:val="0"/>
          <w:marTop w:val="450"/>
          <w:marBottom w:val="300"/>
          <w:divBdr>
            <w:top w:val="none" w:sz="0" w:space="0" w:color="auto"/>
            <w:left w:val="none" w:sz="0" w:space="0" w:color="auto"/>
            <w:bottom w:val="none" w:sz="0" w:space="0" w:color="auto"/>
            <w:right w:val="none" w:sz="0" w:space="0" w:color="auto"/>
          </w:divBdr>
          <w:divsChild>
            <w:div w:id="998270710">
              <w:marLeft w:val="0"/>
              <w:marRight w:val="75"/>
              <w:marTop w:val="75"/>
              <w:marBottom w:val="75"/>
              <w:divBdr>
                <w:top w:val="single" w:sz="12" w:space="0" w:color="CCCCCC"/>
                <w:left w:val="single" w:sz="12" w:space="0" w:color="CCCCCC"/>
                <w:bottom w:val="single" w:sz="12" w:space="0" w:color="CCCCCC"/>
                <w:right w:val="single" w:sz="12" w:space="0" w:color="CCCCCC"/>
              </w:divBdr>
            </w:div>
          </w:divsChild>
        </w:div>
      </w:divsChild>
    </w:div>
    <w:div w:id="1445153340">
      <w:bodyDiv w:val="1"/>
      <w:marLeft w:val="0"/>
      <w:marRight w:val="5"/>
      <w:marTop w:val="0"/>
      <w:marBottom w:val="600"/>
      <w:divBdr>
        <w:top w:val="none" w:sz="0" w:space="0" w:color="auto"/>
        <w:left w:val="none" w:sz="0" w:space="0" w:color="auto"/>
        <w:bottom w:val="none" w:sz="0" w:space="0" w:color="auto"/>
        <w:right w:val="none" w:sz="0" w:space="0" w:color="auto"/>
      </w:divBdr>
      <w:divsChild>
        <w:div w:id="1392074734">
          <w:marLeft w:val="2265"/>
          <w:marRight w:val="0"/>
          <w:marTop w:val="450"/>
          <w:marBottom w:val="300"/>
          <w:divBdr>
            <w:top w:val="none" w:sz="0" w:space="0" w:color="auto"/>
            <w:left w:val="none" w:sz="0" w:space="0" w:color="auto"/>
            <w:bottom w:val="none" w:sz="0" w:space="0" w:color="auto"/>
            <w:right w:val="none" w:sz="0" w:space="0" w:color="auto"/>
          </w:divBdr>
          <w:divsChild>
            <w:div w:id="1336298987">
              <w:marLeft w:val="0"/>
              <w:marRight w:val="75"/>
              <w:marTop w:val="75"/>
              <w:marBottom w:val="75"/>
              <w:divBdr>
                <w:top w:val="single" w:sz="12" w:space="0" w:color="CCCCCC"/>
                <w:left w:val="single" w:sz="12" w:space="0" w:color="CCCCCC"/>
                <w:bottom w:val="single" w:sz="12" w:space="0" w:color="CCCCCC"/>
                <w:right w:val="single" w:sz="12" w:space="0" w:color="CCCCCC"/>
              </w:divBdr>
            </w:div>
          </w:divsChild>
        </w:div>
      </w:divsChild>
    </w:div>
    <w:div w:id="167831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fbaynutrients.sfei.org/" TargetMode="External"/><Relationship Id="rId26" Type="http://schemas.openxmlformats.org/officeDocument/2006/relationships/image" Target="media/image7.png"/><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hyperlink" Target="http://www.water.ca.gov/iep/products/newsletter.cfm" TargetMode="External"/><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swrcb.ca.gov/water_issues/programs/nutrient_objectives/" TargetMode="External"/><Relationship Id="rId25" Type="http://schemas.openxmlformats.org/officeDocument/2006/relationships/image" Target="media/image6.emf"/><Relationship Id="rId33" Type="http://schemas.openxmlformats.org/officeDocument/2006/relationships/hyperlink" Target="http://www.scotland.gov.uk/Publications/2011/03/16182005/37" TargetMode="External"/><Relationship Id="rId38" Type="http://schemas.openxmlformats.org/officeDocument/2006/relationships/hyperlink" Target="http://rd.tetratech.com/epa/Documents/CA_NNE_July_Final.pdf"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2.emf"/><Relationship Id="rId37" Type="http://schemas.openxmlformats.org/officeDocument/2006/relationships/hyperlink" Target="http://www.waterboards.ca.gov/plans_policies/nutrients.shtml" TargetMode="External"/><Relationship Id="rId40" Type="http://schemas.openxmlformats.org/officeDocument/2006/relationships/footer" Target="footer7.xml"/><Relationship Id="rId45" Type="http://schemas.openxmlformats.org/officeDocument/2006/relationships/footer" Target="footer10.xml"/><Relationship Id="rId5" Type="http://schemas.microsoft.com/office/2007/relationships/stylesWithEffects" Target="stylesWithEffects.xml"/><Relationship Id="rId15" Type="http://schemas.openxmlformats.org/officeDocument/2006/relationships/hyperlink" Target="http://www.sccwrp.org" TargetMode="External"/><Relationship Id="rId23" Type="http://schemas.openxmlformats.org/officeDocument/2006/relationships/image" Target="media/image4.emf"/><Relationship Id="rId28" Type="http://schemas.openxmlformats.org/officeDocument/2006/relationships/hyperlink" Target="http://journals.plos.org/plosone/article/figure/image?size=medium&amp;id=info:doi/10.1371/journal.pone.0130053.g004" TargetMode="External"/><Relationship Id="rId36" Type="http://schemas.openxmlformats.org/officeDocument/2006/relationships/hyperlink" Target="http://www.waterboards.ca.gov/rwqcb2/basin_planning.shtml" TargetMode="External"/><Relationship Id="rId10" Type="http://schemas.openxmlformats.org/officeDocument/2006/relationships/header" Target="header1.xml"/><Relationship Id="rId19" Type="http://schemas.openxmlformats.org/officeDocument/2006/relationships/image" Target="media/image1.emf"/><Relationship Id="rId31" Type="http://schemas.openxmlformats.org/officeDocument/2006/relationships/image" Target="media/image11.emf"/><Relationship Id="rId44"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emf"/><Relationship Id="rId35" Type="http://schemas.openxmlformats.org/officeDocument/2006/relationships/hyperlink" Target="http://www.nap.edu/catalog.php?record_id=13394" TargetMode="External"/><Relationship Id="rId43"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ana.constance\Desktop\Estuar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19BC0B-8BB6-4E57-9CE0-3E944B5B4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Estuary template</Template>
  <TotalTime>12</TotalTime>
  <Pages>63</Pages>
  <Words>20305</Words>
  <Characters>117572</Characters>
  <Application>Microsoft Office Word</Application>
  <DocSecurity>0</DocSecurity>
  <Lines>3792</Lines>
  <Paragraphs>1622</Paragraphs>
  <ScaleCrop>false</ScaleCrop>
  <HeadingPairs>
    <vt:vector size="2" baseType="variant">
      <vt:variant>
        <vt:lpstr>Title</vt:lpstr>
      </vt:variant>
      <vt:variant>
        <vt:i4>1</vt:i4>
      </vt:variant>
    </vt:vector>
  </HeadingPairs>
  <TitlesOfParts>
    <vt:vector size="1" baseType="lpstr">
      <vt:lpstr>TECHNICAL APPROACH TO DEVELOP NUTRIENT NUMERIC ENDPOINTS FOR CALIFORNIA ESTUARIES</vt:lpstr>
    </vt:vector>
  </TitlesOfParts>
  <Company>Microsoft</Company>
  <LinksUpToDate>false</LinksUpToDate>
  <CharactersWithSpaces>136255</CharactersWithSpaces>
  <SharedDoc>false</SharedDoc>
  <HLinks>
    <vt:vector size="912" baseType="variant">
      <vt:variant>
        <vt:i4>4194315</vt:i4>
      </vt:variant>
      <vt:variant>
        <vt:i4>833</vt:i4>
      </vt:variant>
      <vt:variant>
        <vt:i4>0</vt:i4>
      </vt:variant>
      <vt:variant>
        <vt:i4>5</vt:i4>
      </vt:variant>
      <vt:variant>
        <vt:lpwstr/>
      </vt:variant>
      <vt:variant>
        <vt:lpwstr>_ENREF_15</vt:lpwstr>
      </vt:variant>
      <vt:variant>
        <vt:i4>4194315</vt:i4>
      </vt:variant>
      <vt:variant>
        <vt:i4>827</vt:i4>
      </vt:variant>
      <vt:variant>
        <vt:i4>0</vt:i4>
      </vt:variant>
      <vt:variant>
        <vt:i4>5</vt:i4>
      </vt:variant>
      <vt:variant>
        <vt:lpwstr/>
      </vt:variant>
      <vt:variant>
        <vt:lpwstr>_ENREF_15</vt:lpwstr>
      </vt:variant>
      <vt:variant>
        <vt:i4>4325387</vt:i4>
      </vt:variant>
      <vt:variant>
        <vt:i4>821</vt:i4>
      </vt:variant>
      <vt:variant>
        <vt:i4>0</vt:i4>
      </vt:variant>
      <vt:variant>
        <vt:i4>5</vt:i4>
      </vt:variant>
      <vt:variant>
        <vt:lpwstr/>
      </vt:variant>
      <vt:variant>
        <vt:lpwstr>_ENREF_34</vt:lpwstr>
      </vt:variant>
      <vt:variant>
        <vt:i4>4325387</vt:i4>
      </vt:variant>
      <vt:variant>
        <vt:i4>815</vt:i4>
      </vt:variant>
      <vt:variant>
        <vt:i4>0</vt:i4>
      </vt:variant>
      <vt:variant>
        <vt:i4>5</vt:i4>
      </vt:variant>
      <vt:variant>
        <vt:lpwstr/>
      </vt:variant>
      <vt:variant>
        <vt:lpwstr>_ENREF_36</vt:lpwstr>
      </vt:variant>
      <vt:variant>
        <vt:i4>4325387</vt:i4>
      </vt:variant>
      <vt:variant>
        <vt:i4>812</vt:i4>
      </vt:variant>
      <vt:variant>
        <vt:i4>0</vt:i4>
      </vt:variant>
      <vt:variant>
        <vt:i4>5</vt:i4>
      </vt:variant>
      <vt:variant>
        <vt:lpwstr/>
      </vt:variant>
      <vt:variant>
        <vt:lpwstr>_ENREF_35</vt:lpwstr>
      </vt:variant>
      <vt:variant>
        <vt:i4>4325387</vt:i4>
      </vt:variant>
      <vt:variant>
        <vt:i4>809</vt:i4>
      </vt:variant>
      <vt:variant>
        <vt:i4>0</vt:i4>
      </vt:variant>
      <vt:variant>
        <vt:i4>5</vt:i4>
      </vt:variant>
      <vt:variant>
        <vt:lpwstr/>
      </vt:variant>
      <vt:variant>
        <vt:lpwstr>_ENREF_34</vt:lpwstr>
      </vt:variant>
      <vt:variant>
        <vt:i4>4521995</vt:i4>
      </vt:variant>
      <vt:variant>
        <vt:i4>803</vt:i4>
      </vt:variant>
      <vt:variant>
        <vt:i4>0</vt:i4>
      </vt:variant>
      <vt:variant>
        <vt:i4>5</vt:i4>
      </vt:variant>
      <vt:variant>
        <vt:lpwstr/>
      </vt:variant>
      <vt:variant>
        <vt:lpwstr>_ENREF_40</vt:lpwstr>
      </vt:variant>
      <vt:variant>
        <vt:i4>4325387</vt:i4>
      </vt:variant>
      <vt:variant>
        <vt:i4>800</vt:i4>
      </vt:variant>
      <vt:variant>
        <vt:i4>0</vt:i4>
      </vt:variant>
      <vt:variant>
        <vt:i4>5</vt:i4>
      </vt:variant>
      <vt:variant>
        <vt:lpwstr/>
      </vt:variant>
      <vt:variant>
        <vt:lpwstr>_ENREF_32</vt:lpwstr>
      </vt:variant>
      <vt:variant>
        <vt:i4>4521995</vt:i4>
      </vt:variant>
      <vt:variant>
        <vt:i4>794</vt:i4>
      </vt:variant>
      <vt:variant>
        <vt:i4>0</vt:i4>
      </vt:variant>
      <vt:variant>
        <vt:i4>5</vt:i4>
      </vt:variant>
      <vt:variant>
        <vt:lpwstr/>
      </vt:variant>
      <vt:variant>
        <vt:lpwstr>_ENREF_40</vt:lpwstr>
      </vt:variant>
      <vt:variant>
        <vt:i4>4325387</vt:i4>
      </vt:variant>
      <vt:variant>
        <vt:i4>791</vt:i4>
      </vt:variant>
      <vt:variant>
        <vt:i4>0</vt:i4>
      </vt:variant>
      <vt:variant>
        <vt:i4>5</vt:i4>
      </vt:variant>
      <vt:variant>
        <vt:lpwstr/>
      </vt:variant>
      <vt:variant>
        <vt:lpwstr>_ENREF_32</vt:lpwstr>
      </vt:variant>
      <vt:variant>
        <vt:i4>4325387</vt:i4>
      </vt:variant>
      <vt:variant>
        <vt:i4>785</vt:i4>
      </vt:variant>
      <vt:variant>
        <vt:i4>0</vt:i4>
      </vt:variant>
      <vt:variant>
        <vt:i4>5</vt:i4>
      </vt:variant>
      <vt:variant>
        <vt:lpwstr/>
      </vt:variant>
      <vt:variant>
        <vt:lpwstr>_ENREF_37</vt:lpwstr>
      </vt:variant>
      <vt:variant>
        <vt:i4>4194315</vt:i4>
      </vt:variant>
      <vt:variant>
        <vt:i4>779</vt:i4>
      </vt:variant>
      <vt:variant>
        <vt:i4>0</vt:i4>
      </vt:variant>
      <vt:variant>
        <vt:i4>5</vt:i4>
      </vt:variant>
      <vt:variant>
        <vt:lpwstr/>
      </vt:variant>
      <vt:variant>
        <vt:lpwstr>_ENREF_19</vt:lpwstr>
      </vt:variant>
      <vt:variant>
        <vt:i4>4194315</vt:i4>
      </vt:variant>
      <vt:variant>
        <vt:i4>773</vt:i4>
      </vt:variant>
      <vt:variant>
        <vt:i4>0</vt:i4>
      </vt:variant>
      <vt:variant>
        <vt:i4>5</vt:i4>
      </vt:variant>
      <vt:variant>
        <vt:lpwstr/>
      </vt:variant>
      <vt:variant>
        <vt:lpwstr>_ENREF_19</vt:lpwstr>
      </vt:variant>
      <vt:variant>
        <vt:i4>4194315</vt:i4>
      </vt:variant>
      <vt:variant>
        <vt:i4>767</vt:i4>
      </vt:variant>
      <vt:variant>
        <vt:i4>0</vt:i4>
      </vt:variant>
      <vt:variant>
        <vt:i4>5</vt:i4>
      </vt:variant>
      <vt:variant>
        <vt:lpwstr/>
      </vt:variant>
      <vt:variant>
        <vt:lpwstr>_ENREF_1</vt:lpwstr>
      </vt:variant>
      <vt:variant>
        <vt:i4>4194315</vt:i4>
      </vt:variant>
      <vt:variant>
        <vt:i4>761</vt:i4>
      </vt:variant>
      <vt:variant>
        <vt:i4>0</vt:i4>
      </vt:variant>
      <vt:variant>
        <vt:i4>5</vt:i4>
      </vt:variant>
      <vt:variant>
        <vt:lpwstr/>
      </vt:variant>
      <vt:variant>
        <vt:lpwstr>_ENREF_1</vt:lpwstr>
      </vt:variant>
      <vt:variant>
        <vt:i4>4390923</vt:i4>
      </vt:variant>
      <vt:variant>
        <vt:i4>755</vt:i4>
      </vt:variant>
      <vt:variant>
        <vt:i4>0</vt:i4>
      </vt:variant>
      <vt:variant>
        <vt:i4>5</vt:i4>
      </vt:variant>
      <vt:variant>
        <vt:lpwstr/>
      </vt:variant>
      <vt:variant>
        <vt:lpwstr>_ENREF_22</vt:lpwstr>
      </vt:variant>
      <vt:variant>
        <vt:i4>4194315</vt:i4>
      </vt:variant>
      <vt:variant>
        <vt:i4>749</vt:i4>
      </vt:variant>
      <vt:variant>
        <vt:i4>0</vt:i4>
      </vt:variant>
      <vt:variant>
        <vt:i4>5</vt:i4>
      </vt:variant>
      <vt:variant>
        <vt:lpwstr/>
      </vt:variant>
      <vt:variant>
        <vt:lpwstr>_ENREF_1</vt:lpwstr>
      </vt:variant>
      <vt:variant>
        <vt:i4>4390923</vt:i4>
      </vt:variant>
      <vt:variant>
        <vt:i4>743</vt:i4>
      </vt:variant>
      <vt:variant>
        <vt:i4>0</vt:i4>
      </vt:variant>
      <vt:variant>
        <vt:i4>5</vt:i4>
      </vt:variant>
      <vt:variant>
        <vt:lpwstr/>
      </vt:variant>
      <vt:variant>
        <vt:lpwstr>_ENREF_22</vt:lpwstr>
      </vt:variant>
      <vt:variant>
        <vt:i4>4390923</vt:i4>
      </vt:variant>
      <vt:variant>
        <vt:i4>737</vt:i4>
      </vt:variant>
      <vt:variant>
        <vt:i4>0</vt:i4>
      </vt:variant>
      <vt:variant>
        <vt:i4>5</vt:i4>
      </vt:variant>
      <vt:variant>
        <vt:lpwstr/>
      </vt:variant>
      <vt:variant>
        <vt:lpwstr>_ENREF_22</vt:lpwstr>
      </vt:variant>
      <vt:variant>
        <vt:i4>4194315</vt:i4>
      </vt:variant>
      <vt:variant>
        <vt:i4>731</vt:i4>
      </vt:variant>
      <vt:variant>
        <vt:i4>0</vt:i4>
      </vt:variant>
      <vt:variant>
        <vt:i4>5</vt:i4>
      </vt:variant>
      <vt:variant>
        <vt:lpwstr/>
      </vt:variant>
      <vt:variant>
        <vt:lpwstr>_ENREF_1</vt:lpwstr>
      </vt:variant>
      <vt:variant>
        <vt:i4>4390923</vt:i4>
      </vt:variant>
      <vt:variant>
        <vt:i4>725</vt:i4>
      </vt:variant>
      <vt:variant>
        <vt:i4>0</vt:i4>
      </vt:variant>
      <vt:variant>
        <vt:i4>5</vt:i4>
      </vt:variant>
      <vt:variant>
        <vt:lpwstr/>
      </vt:variant>
      <vt:variant>
        <vt:lpwstr>_ENREF_22</vt:lpwstr>
      </vt:variant>
      <vt:variant>
        <vt:i4>4194315</vt:i4>
      </vt:variant>
      <vt:variant>
        <vt:i4>719</vt:i4>
      </vt:variant>
      <vt:variant>
        <vt:i4>0</vt:i4>
      </vt:variant>
      <vt:variant>
        <vt:i4>5</vt:i4>
      </vt:variant>
      <vt:variant>
        <vt:lpwstr/>
      </vt:variant>
      <vt:variant>
        <vt:lpwstr>_ENREF_1</vt:lpwstr>
      </vt:variant>
      <vt:variant>
        <vt:i4>4390923</vt:i4>
      </vt:variant>
      <vt:variant>
        <vt:i4>713</vt:i4>
      </vt:variant>
      <vt:variant>
        <vt:i4>0</vt:i4>
      </vt:variant>
      <vt:variant>
        <vt:i4>5</vt:i4>
      </vt:variant>
      <vt:variant>
        <vt:lpwstr/>
      </vt:variant>
      <vt:variant>
        <vt:lpwstr>_ENREF_22</vt:lpwstr>
      </vt:variant>
      <vt:variant>
        <vt:i4>4390923</vt:i4>
      </vt:variant>
      <vt:variant>
        <vt:i4>707</vt:i4>
      </vt:variant>
      <vt:variant>
        <vt:i4>0</vt:i4>
      </vt:variant>
      <vt:variant>
        <vt:i4>5</vt:i4>
      </vt:variant>
      <vt:variant>
        <vt:lpwstr/>
      </vt:variant>
      <vt:variant>
        <vt:lpwstr>_ENREF_22</vt:lpwstr>
      </vt:variant>
      <vt:variant>
        <vt:i4>4390923</vt:i4>
      </vt:variant>
      <vt:variant>
        <vt:i4>701</vt:i4>
      </vt:variant>
      <vt:variant>
        <vt:i4>0</vt:i4>
      </vt:variant>
      <vt:variant>
        <vt:i4>5</vt:i4>
      </vt:variant>
      <vt:variant>
        <vt:lpwstr/>
      </vt:variant>
      <vt:variant>
        <vt:lpwstr>_ENREF_22</vt:lpwstr>
      </vt:variant>
      <vt:variant>
        <vt:i4>5111838</vt:i4>
      </vt:variant>
      <vt:variant>
        <vt:i4>696</vt:i4>
      </vt:variant>
      <vt:variant>
        <vt:i4>0</vt:i4>
      </vt:variant>
      <vt:variant>
        <vt:i4>5</vt:i4>
      </vt:variant>
      <vt:variant>
        <vt:lpwstr>http://www.ospar.org/</vt:lpwstr>
      </vt:variant>
      <vt:variant>
        <vt:lpwstr/>
      </vt:variant>
      <vt:variant>
        <vt:i4>4784139</vt:i4>
      </vt:variant>
      <vt:variant>
        <vt:i4>692</vt:i4>
      </vt:variant>
      <vt:variant>
        <vt:i4>0</vt:i4>
      </vt:variant>
      <vt:variant>
        <vt:i4>5</vt:i4>
      </vt:variant>
      <vt:variant>
        <vt:lpwstr/>
      </vt:variant>
      <vt:variant>
        <vt:lpwstr>_ENREF_8</vt:lpwstr>
      </vt:variant>
      <vt:variant>
        <vt:i4>4194315</vt:i4>
      </vt:variant>
      <vt:variant>
        <vt:i4>686</vt:i4>
      </vt:variant>
      <vt:variant>
        <vt:i4>0</vt:i4>
      </vt:variant>
      <vt:variant>
        <vt:i4>5</vt:i4>
      </vt:variant>
      <vt:variant>
        <vt:lpwstr/>
      </vt:variant>
      <vt:variant>
        <vt:lpwstr>_ENREF_18</vt:lpwstr>
      </vt:variant>
      <vt:variant>
        <vt:i4>4194315</vt:i4>
      </vt:variant>
      <vt:variant>
        <vt:i4>683</vt:i4>
      </vt:variant>
      <vt:variant>
        <vt:i4>0</vt:i4>
      </vt:variant>
      <vt:variant>
        <vt:i4>5</vt:i4>
      </vt:variant>
      <vt:variant>
        <vt:lpwstr/>
      </vt:variant>
      <vt:variant>
        <vt:lpwstr>_ENREF_15</vt:lpwstr>
      </vt:variant>
      <vt:variant>
        <vt:i4>4718603</vt:i4>
      </vt:variant>
      <vt:variant>
        <vt:i4>680</vt:i4>
      </vt:variant>
      <vt:variant>
        <vt:i4>0</vt:i4>
      </vt:variant>
      <vt:variant>
        <vt:i4>5</vt:i4>
      </vt:variant>
      <vt:variant>
        <vt:lpwstr/>
      </vt:variant>
      <vt:variant>
        <vt:lpwstr>_ENREF_9</vt:lpwstr>
      </vt:variant>
      <vt:variant>
        <vt:i4>4784139</vt:i4>
      </vt:variant>
      <vt:variant>
        <vt:i4>677</vt:i4>
      </vt:variant>
      <vt:variant>
        <vt:i4>0</vt:i4>
      </vt:variant>
      <vt:variant>
        <vt:i4>5</vt:i4>
      </vt:variant>
      <vt:variant>
        <vt:lpwstr/>
      </vt:variant>
      <vt:variant>
        <vt:lpwstr>_ENREF_8</vt:lpwstr>
      </vt:variant>
      <vt:variant>
        <vt:i4>4194315</vt:i4>
      </vt:variant>
      <vt:variant>
        <vt:i4>669</vt:i4>
      </vt:variant>
      <vt:variant>
        <vt:i4>0</vt:i4>
      </vt:variant>
      <vt:variant>
        <vt:i4>5</vt:i4>
      </vt:variant>
      <vt:variant>
        <vt:lpwstr/>
      </vt:variant>
      <vt:variant>
        <vt:lpwstr>_ENREF_18</vt:lpwstr>
      </vt:variant>
      <vt:variant>
        <vt:i4>4718603</vt:i4>
      </vt:variant>
      <vt:variant>
        <vt:i4>666</vt:i4>
      </vt:variant>
      <vt:variant>
        <vt:i4>0</vt:i4>
      </vt:variant>
      <vt:variant>
        <vt:i4>5</vt:i4>
      </vt:variant>
      <vt:variant>
        <vt:lpwstr/>
      </vt:variant>
      <vt:variant>
        <vt:lpwstr>_ENREF_9</vt:lpwstr>
      </vt:variant>
      <vt:variant>
        <vt:i4>4194315</vt:i4>
      </vt:variant>
      <vt:variant>
        <vt:i4>658</vt:i4>
      </vt:variant>
      <vt:variant>
        <vt:i4>0</vt:i4>
      </vt:variant>
      <vt:variant>
        <vt:i4>5</vt:i4>
      </vt:variant>
      <vt:variant>
        <vt:lpwstr/>
      </vt:variant>
      <vt:variant>
        <vt:lpwstr>_ENREF_18</vt:lpwstr>
      </vt:variant>
      <vt:variant>
        <vt:i4>4194315</vt:i4>
      </vt:variant>
      <vt:variant>
        <vt:i4>655</vt:i4>
      </vt:variant>
      <vt:variant>
        <vt:i4>0</vt:i4>
      </vt:variant>
      <vt:variant>
        <vt:i4>5</vt:i4>
      </vt:variant>
      <vt:variant>
        <vt:lpwstr/>
      </vt:variant>
      <vt:variant>
        <vt:lpwstr>_ENREF_15</vt:lpwstr>
      </vt:variant>
      <vt:variant>
        <vt:i4>4718603</vt:i4>
      </vt:variant>
      <vt:variant>
        <vt:i4>652</vt:i4>
      </vt:variant>
      <vt:variant>
        <vt:i4>0</vt:i4>
      </vt:variant>
      <vt:variant>
        <vt:i4>5</vt:i4>
      </vt:variant>
      <vt:variant>
        <vt:lpwstr/>
      </vt:variant>
      <vt:variant>
        <vt:lpwstr>_ENREF_9</vt:lpwstr>
      </vt:variant>
      <vt:variant>
        <vt:i4>4784139</vt:i4>
      </vt:variant>
      <vt:variant>
        <vt:i4>649</vt:i4>
      </vt:variant>
      <vt:variant>
        <vt:i4>0</vt:i4>
      </vt:variant>
      <vt:variant>
        <vt:i4>5</vt:i4>
      </vt:variant>
      <vt:variant>
        <vt:lpwstr/>
      </vt:variant>
      <vt:variant>
        <vt:lpwstr>_ENREF_8</vt:lpwstr>
      </vt:variant>
      <vt:variant>
        <vt:i4>4718603</vt:i4>
      </vt:variant>
      <vt:variant>
        <vt:i4>641</vt:i4>
      </vt:variant>
      <vt:variant>
        <vt:i4>0</vt:i4>
      </vt:variant>
      <vt:variant>
        <vt:i4>5</vt:i4>
      </vt:variant>
      <vt:variant>
        <vt:lpwstr/>
      </vt:variant>
      <vt:variant>
        <vt:lpwstr>_ENREF_9</vt:lpwstr>
      </vt:variant>
      <vt:variant>
        <vt:i4>4784139</vt:i4>
      </vt:variant>
      <vt:variant>
        <vt:i4>638</vt:i4>
      </vt:variant>
      <vt:variant>
        <vt:i4>0</vt:i4>
      </vt:variant>
      <vt:variant>
        <vt:i4>5</vt:i4>
      </vt:variant>
      <vt:variant>
        <vt:lpwstr/>
      </vt:variant>
      <vt:variant>
        <vt:lpwstr>_ENREF_8</vt:lpwstr>
      </vt:variant>
      <vt:variant>
        <vt:i4>4194315</vt:i4>
      </vt:variant>
      <vt:variant>
        <vt:i4>632</vt:i4>
      </vt:variant>
      <vt:variant>
        <vt:i4>0</vt:i4>
      </vt:variant>
      <vt:variant>
        <vt:i4>5</vt:i4>
      </vt:variant>
      <vt:variant>
        <vt:lpwstr/>
      </vt:variant>
      <vt:variant>
        <vt:lpwstr>_ENREF_19</vt:lpwstr>
      </vt:variant>
      <vt:variant>
        <vt:i4>4325387</vt:i4>
      </vt:variant>
      <vt:variant>
        <vt:i4>626</vt:i4>
      </vt:variant>
      <vt:variant>
        <vt:i4>0</vt:i4>
      </vt:variant>
      <vt:variant>
        <vt:i4>5</vt:i4>
      </vt:variant>
      <vt:variant>
        <vt:lpwstr/>
      </vt:variant>
      <vt:variant>
        <vt:lpwstr>_ENREF_39</vt:lpwstr>
      </vt:variant>
      <vt:variant>
        <vt:i4>4390923</vt:i4>
      </vt:variant>
      <vt:variant>
        <vt:i4>623</vt:i4>
      </vt:variant>
      <vt:variant>
        <vt:i4>0</vt:i4>
      </vt:variant>
      <vt:variant>
        <vt:i4>5</vt:i4>
      </vt:variant>
      <vt:variant>
        <vt:lpwstr/>
      </vt:variant>
      <vt:variant>
        <vt:lpwstr>_ENREF_20</vt:lpwstr>
      </vt:variant>
      <vt:variant>
        <vt:i4>4194315</vt:i4>
      </vt:variant>
      <vt:variant>
        <vt:i4>617</vt:i4>
      </vt:variant>
      <vt:variant>
        <vt:i4>0</vt:i4>
      </vt:variant>
      <vt:variant>
        <vt:i4>5</vt:i4>
      </vt:variant>
      <vt:variant>
        <vt:lpwstr/>
      </vt:variant>
      <vt:variant>
        <vt:lpwstr>_ENREF_16</vt:lpwstr>
      </vt:variant>
      <vt:variant>
        <vt:i4>4194315</vt:i4>
      </vt:variant>
      <vt:variant>
        <vt:i4>611</vt:i4>
      </vt:variant>
      <vt:variant>
        <vt:i4>0</vt:i4>
      </vt:variant>
      <vt:variant>
        <vt:i4>5</vt:i4>
      </vt:variant>
      <vt:variant>
        <vt:lpwstr/>
      </vt:variant>
      <vt:variant>
        <vt:lpwstr>_ENREF_16</vt:lpwstr>
      </vt:variant>
      <vt:variant>
        <vt:i4>4194315</vt:i4>
      </vt:variant>
      <vt:variant>
        <vt:i4>605</vt:i4>
      </vt:variant>
      <vt:variant>
        <vt:i4>0</vt:i4>
      </vt:variant>
      <vt:variant>
        <vt:i4>5</vt:i4>
      </vt:variant>
      <vt:variant>
        <vt:lpwstr/>
      </vt:variant>
      <vt:variant>
        <vt:lpwstr>_ENREF_16</vt:lpwstr>
      </vt:variant>
      <vt:variant>
        <vt:i4>4194315</vt:i4>
      </vt:variant>
      <vt:variant>
        <vt:i4>599</vt:i4>
      </vt:variant>
      <vt:variant>
        <vt:i4>0</vt:i4>
      </vt:variant>
      <vt:variant>
        <vt:i4>5</vt:i4>
      </vt:variant>
      <vt:variant>
        <vt:lpwstr/>
      </vt:variant>
      <vt:variant>
        <vt:lpwstr>_ENREF_16</vt:lpwstr>
      </vt:variant>
      <vt:variant>
        <vt:i4>4194315</vt:i4>
      </vt:variant>
      <vt:variant>
        <vt:i4>593</vt:i4>
      </vt:variant>
      <vt:variant>
        <vt:i4>0</vt:i4>
      </vt:variant>
      <vt:variant>
        <vt:i4>5</vt:i4>
      </vt:variant>
      <vt:variant>
        <vt:lpwstr/>
      </vt:variant>
      <vt:variant>
        <vt:lpwstr>_ENREF_14</vt:lpwstr>
      </vt:variant>
      <vt:variant>
        <vt:i4>4521995</vt:i4>
      </vt:variant>
      <vt:variant>
        <vt:i4>587</vt:i4>
      </vt:variant>
      <vt:variant>
        <vt:i4>0</vt:i4>
      </vt:variant>
      <vt:variant>
        <vt:i4>5</vt:i4>
      </vt:variant>
      <vt:variant>
        <vt:lpwstr/>
      </vt:variant>
      <vt:variant>
        <vt:lpwstr>_ENREF_4</vt:lpwstr>
      </vt:variant>
      <vt:variant>
        <vt:i4>4390923</vt:i4>
      </vt:variant>
      <vt:variant>
        <vt:i4>581</vt:i4>
      </vt:variant>
      <vt:variant>
        <vt:i4>0</vt:i4>
      </vt:variant>
      <vt:variant>
        <vt:i4>5</vt:i4>
      </vt:variant>
      <vt:variant>
        <vt:lpwstr/>
      </vt:variant>
      <vt:variant>
        <vt:lpwstr>_ENREF_27</vt:lpwstr>
      </vt:variant>
      <vt:variant>
        <vt:i4>4390923</vt:i4>
      </vt:variant>
      <vt:variant>
        <vt:i4>575</vt:i4>
      </vt:variant>
      <vt:variant>
        <vt:i4>0</vt:i4>
      </vt:variant>
      <vt:variant>
        <vt:i4>5</vt:i4>
      </vt:variant>
      <vt:variant>
        <vt:lpwstr/>
      </vt:variant>
      <vt:variant>
        <vt:lpwstr>_ENREF_28</vt:lpwstr>
      </vt:variant>
      <vt:variant>
        <vt:i4>4194315</vt:i4>
      </vt:variant>
      <vt:variant>
        <vt:i4>572</vt:i4>
      </vt:variant>
      <vt:variant>
        <vt:i4>0</vt:i4>
      </vt:variant>
      <vt:variant>
        <vt:i4>5</vt:i4>
      </vt:variant>
      <vt:variant>
        <vt:lpwstr/>
      </vt:variant>
      <vt:variant>
        <vt:lpwstr>_ENREF_14</vt:lpwstr>
      </vt:variant>
      <vt:variant>
        <vt:i4>4194315</vt:i4>
      </vt:variant>
      <vt:variant>
        <vt:i4>564</vt:i4>
      </vt:variant>
      <vt:variant>
        <vt:i4>0</vt:i4>
      </vt:variant>
      <vt:variant>
        <vt:i4>5</vt:i4>
      </vt:variant>
      <vt:variant>
        <vt:lpwstr/>
      </vt:variant>
      <vt:variant>
        <vt:lpwstr>_ENREF_14</vt:lpwstr>
      </vt:variant>
      <vt:variant>
        <vt:i4>4194315</vt:i4>
      </vt:variant>
      <vt:variant>
        <vt:i4>558</vt:i4>
      </vt:variant>
      <vt:variant>
        <vt:i4>0</vt:i4>
      </vt:variant>
      <vt:variant>
        <vt:i4>5</vt:i4>
      </vt:variant>
      <vt:variant>
        <vt:lpwstr/>
      </vt:variant>
      <vt:variant>
        <vt:lpwstr>_ENREF_14</vt:lpwstr>
      </vt:variant>
      <vt:variant>
        <vt:i4>4194315</vt:i4>
      </vt:variant>
      <vt:variant>
        <vt:i4>552</vt:i4>
      </vt:variant>
      <vt:variant>
        <vt:i4>0</vt:i4>
      </vt:variant>
      <vt:variant>
        <vt:i4>5</vt:i4>
      </vt:variant>
      <vt:variant>
        <vt:lpwstr/>
      </vt:variant>
      <vt:variant>
        <vt:lpwstr>_ENREF_16</vt:lpwstr>
      </vt:variant>
      <vt:variant>
        <vt:i4>4194315</vt:i4>
      </vt:variant>
      <vt:variant>
        <vt:i4>546</vt:i4>
      </vt:variant>
      <vt:variant>
        <vt:i4>0</vt:i4>
      </vt:variant>
      <vt:variant>
        <vt:i4>5</vt:i4>
      </vt:variant>
      <vt:variant>
        <vt:lpwstr/>
      </vt:variant>
      <vt:variant>
        <vt:lpwstr>_ENREF_15</vt:lpwstr>
      </vt:variant>
      <vt:variant>
        <vt:i4>4194315</vt:i4>
      </vt:variant>
      <vt:variant>
        <vt:i4>540</vt:i4>
      </vt:variant>
      <vt:variant>
        <vt:i4>0</vt:i4>
      </vt:variant>
      <vt:variant>
        <vt:i4>5</vt:i4>
      </vt:variant>
      <vt:variant>
        <vt:lpwstr/>
      </vt:variant>
      <vt:variant>
        <vt:lpwstr>_ENREF_15</vt:lpwstr>
      </vt:variant>
      <vt:variant>
        <vt:i4>4194315</vt:i4>
      </vt:variant>
      <vt:variant>
        <vt:i4>528</vt:i4>
      </vt:variant>
      <vt:variant>
        <vt:i4>0</vt:i4>
      </vt:variant>
      <vt:variant>
        <vt:i4>5</vt:i4>
      </vt:variant>
      <vt:variant>
        <vt:lpwstr/>
      </vt:variant>
      <vt:variant>
        <vt:lpwstr>_ENREF_15</vt:lpwstr>
      </vt:variant>
      <vt:variant>
        <vt:i4>4194315</vt:i4>
      </vt:variant>
      <vt:variant>
        <vt:i4>522</vt:i4>
      </vt:variant>
      <vt:variant>
        <vt:i4>0</vt:i4>
      </vt:variant>
      <vt:variant>
        <vt:i4>5</vt:i4>
      </vt:variant>
      <vt:variant>
        <vt:lpwstr/>
      </vt:variant>
      <vt:variant>
        <vt:lpwstr>_ENREF_18</vt:lpwstr>
      </vt:variant>
      <vt:variant>
        <vt:i4>4194315</vt:i4>
      </vt:variant>
      <vt:variant>
        <vt:i4>519</vt:i4>
      </vt:variant>
      <vt:variant>
        <vt:i4>0</vt:i4>
      </vt:variant>
      <vt:variant>
        <vt:i4>5</vt:i4>
      </vt:variant>
      <vt:variant>
        <vt:lpwstr/>
      </vt:variant>
      <vt:variant>
        <vt:lpwstr>_ENREF_15</vt:lpwstr>
      </vt:variant>
      <vt:variant>
        <vt:i4>4194315</vt:i4>
      </vt:variant>
      <vt:variant>
        <vt:i4>511</vt:i4>
      </vt:variant>
      <vt:variant>
        <vt:i4>0</vt:i4>
      </vt:variant>
      <vt:variant>
        <vt:i4>5</vt:i4>
      </vt:variant>
      <vt:variant>
        <vt:lpwstr/>
      </vt:variant>
      <vt:variant>
        <vt:lpwstr>_ENREF_15</vt:lpwstr>
      </vt:variant>
      <vt:variant>
        <vt:i4>4325387</vt:i4>
      </vt:variant>
      <vt:variant>
        <vt:i4>505</vt:i4>
      </vt:variant>
      <vt:variant>
        <vt:i4>0</vt:i4>
      </vt:variant>
      <vt:variant>
        <vt:i4>5</vt:i4>
      </vt:variant>
      <vt:variant>
        <vt:lpwstr/>
      </vt:variant>
      <vt:variant>
        <vt:lpwstr>_ENREF_38</vt:lpwstr>
      </vt:variant>
      <vt:variant>
        <vt:i4>4194315</vt:i4>
      </vt:variant>
      <vt:variant>
        <vt:i4>499</vt:i4>
      </vt:variant>
      <vt:variant>
        <vt:i4>0</vt:i4>
      </vt:variant>
      <vt:variant>
        <vt:i4>5</vt:i4>
      </vt:variant>
      <vt:variant>
        <vt:lpwstr/>
      </vt:variant>
      <vt:variant>
        <vt:lpwstr>_ENREF_15</vt:lpwstr>
      </vt:variant>
      <vt:variant>
        <vt:i4>4194315</vt:i4>
      </vt:variant>
      <vt:variant>
        <vt:i4>493</vt:i4>
      </vt:variant>
      <vt:variant>
        <vt:i4>0</vt:i4>
      </vt:variant>
      <vt:variant>
        <vt:i4>5</vt:i4>
      </vt:variant>
      <vt:variant>
        <vt:lpwstr/>
      </vt:variant>
      <vt:variant>
        <vt:lpwstr>_ENREF_18</vt:lpwstr>
      </vt:variant>
      <vt:variant>
        <vt:i4>4194315</vt:i4>
      </vt:variant>
      <vt:variant>
        <vt:i4>490</vt:i4>
      </vt:variant>
      <vt:variant>
        <vt:i4>0</vt:i4>
      </vt:variant>
      <vt:variant>
        <vt:i4>5</vt:i4>
      </vt:variant>
      <vt:variant>
        <vt:lpwstr/>
      </vt:variant>
      <vt:variant>
        <vt:lpwstr>_ENREF_15</vt:lpwstr>
      </vt:variant>
      <vt:variant>
        <vt:i4>4718603</vt:i4>
      </vt:variant>
      <vt:variant>
        <vt:i4>487</vt:i4>
      </vt:variant>
      <vt:variant>
        <vt:i4>0</vt:i4>
      </vt:variant>
      <vt:variant>
        <vt:i4>5</vt:i4>
      </vt:variant>
      <vt:variant>
        <vt:lpwstr/>
      </vt:variant>
      <vt:variant>
        <vt:lpwstr>_ENREF_9</vt:lpwstr>
      </vt:variant>
      <vt:variant>
        <vt:i4>4653067</vt:i4>
      </vt:variant>
      <vt:variant>
        <vt:i4>484</vt:i4>
      </vt:variant>
      <vt:variant>
        <vt:i4>0</vt:i4>
      </vt:variant>
      <vt:variant>
        <vt:i4>5</vt:i4>
      </vt:variant>
      <vt:variant>
        <vt:lpwstr/>
      </vt:variant>
      <vt:variant>
        <vt:lpwstr>_ENREF_6</vt:lpwstr>
      </vt:variant>
      <vt:variant>
        <vt:i4>4194315</vt:i4>
      </vt:variant>
      <vt:variant>
        <vt:i4>481</vt:i4>
      </vt:variant>
      <vt:variant>
        <vt:i4>0</vt:i4>
      </vt:variant>
      <vt:variant>
        <vt:i4>5</vt:i4>
      </vt:variant>
      <vt:variant>
        <vt:lpwstr/>
      </vt:variant>
      <vt:variant>
        <vt:lpwstr>_ENREF_1</vt:lpwstr>
      </vt:variant>
      <vt:variant>
        <vt:i4>4521995</vt:i4>
      </vt:variant>
      <vt:variant>
        <vt:i4>473</vt:i4>
      </vt:variant>
      <vt:variant>
        <vt:i4>0</vt:i4>
      </vt:variant>
      <vt:variant>
        <vt:i4>5</vt:i4>
      </vt:variant>
      <vt:variant>
        <vt:lpwstr/>
      </vt:variant>
      <vt:variant>
        <vt:lpwstr>_ENREF_40</vt:lpwstr>
      </vt:variant>
      <vt:variant>
        <vt:i4>4194315</vt:i4>
      </vt:variant>
      <vt:variant>
        <vt:i4>470</vt:i4>
      </vt:variant>
      <vt:variant>
        <vt:i4>0</vt:i4>
      </vt:variant>
      <vt:variant>
        <vt:i4>5</vt:i4>
      </vt:variant>
      <vt:variant>
        <vt:lpwstr/>
      </vt:variant>
      <vt:variant>
        <vt:lpwstr>_ENREF_17</vt:lpwstr>
      </vt:variant>
      <vt:variant>
        <vt:i4>4194315</vt:i4>
      </vt:variant>
      <vt:variant>
        <vt:i4>467</vt:i4>
      </vt:variant>
      <vt:variant>
        <vt:i4>0</vt:i4>
      </vt:variant>
      <vt:variant>
        <vt:i4>5</vt:i4>
      </vt:variant>
      <vt:variant>
        <vt:lpwstr/>
      </vt:variant>
      <vt:variant>
        <vt:lpwstr>_ENREF_15</vt:lpwstr>
      </vt:variant>
      <vt:variant>
        <vt:i4>4784139</vt:i4>
      </vt:variant>
      <vt:variant>
        <vt:i4>464</vt:i4>
      </vt:variant>
      <vt:variant>
        <vt:i4>0</vt:i4>
      </vt:variant>
      <vt:variant>
        <vt:i4>5</vt:i4>
      </vt:variant>
      <vt:variant>
        <vt:lpwstr/>
      </vt:variant>
      <vt:variant>
        <vt:lpwstr>_ENREF_8</vt:lpwstr>
      </vt:variant>
      <vt:variant>
        <vt:i4>4194315</vt:i4>
      </vt:variant>
      <vt:variant>
        <vt:i4>461</vt:i4>
      </vt:variant>
      <vt:variant>
        <vt:i4>0</vt:i4>
      </vt:variant>
      <vt:variant>
        <vt:i4>5</vt:i4>
      </vt:variant>
      <vt:variant>
        <vt:lpwstr/>
      </vt:variant>
      <vt:variant>
        <vt:lpwstr>_ENREF_1</vt:lpwstr>
      </vt:variant>
      <vt:variant>
        <vt:i4>4194315</vt:i4>
      </vt:variant>
      <vt:variant>
        <vt:i4>453</vt:i4>
      </vt:variant>
      <vt:variant>
        <vt:i4>0</vt:i4>
      </vt:variant>
      <vt:variant>
        <vt:i4>5</vt:i4>
      </vt:variant>
      <vt:variant>
        <vt:lpwstr/>
      </vt:variant>
      <vt:variant>
        <vt:lpwstr>_ENREF_14</vt:lpwstr>
      </vt:variant>
      <vt:variant>
        <vt:i4>4390923</vt:i4>
      </vt:variant>
      <vt:variant>
        <vt:i4>447</vt:i4>
      </vt:variant>
      <vt:variant>
        <vt:i4>0</vt:i4>
      </vt:variant>
      <vt:variant>
        <vt:i4>5</vt:i4>
      </vt:variant>
      <vt:variant>
        <vt:lpwstr/>
      </vt:variant>
      <vt:variant>
        <vt:lpwstr>_ENREF_29</vt:lpwstr>
      </vt:variant>
      <vt:variant>
        <vt:i4>4390923</vt:i4>
      </vt:variant>
      <vt:variant>
        <vt:i4>441</vt:i4>
      </vt:variant>
      <vt:variant>
        <vt:i4>0</vt:i4>
      </vt:variant>
      <vt:variant>
        <vt:i4>5</vt:i4>
      </vt:variant>
      <vt:variant>
        <vt:lpwstr/>
      </vt:variant>
      <vt:variant>
        <vt:lpwstr>_ENREF_29</vt:lpwstr>
      </vt:variant>
      <vt:variant>
        <vt:i4>4194315</vt:i4>
      </vt:variant>
      <vt:variant>
        <vt:i4>438</vt:i4>
      </vt:variant>
      <vt:variant>
        <vt:i4>0</vt:i4>
      </vt:variant>
      <vt:variant>
        <vt:i4>5</vt:i4>
      </vt:variant>
      <vt:variant>
        <vt:lpwstr/>
      </vt:variant>
      <vt:variant>
        <vt:lpwstr>_ENREF_14</vt:lpwstr>
      </vt:variant>
      <vt:variant>
        <vt:i4>4194315</vt:i4>
      </vt:variant>
      <vt:variant>
        <vt:i4>435</vt:i4>
      </vt:variant>
      <vt:variant>
        <vt:i4>0</vt:i4>
      </vt:variant>
      <vt:variant>
        <vt:i4>5</vt:i4>
      </vt:variant>
      <vt:variant>
        <vt:lpwstr/>
      </vt:variant>
      <vt:variant>
        <vt:lpwstr>_ENREF_12</vt:lpwstr>
      </vt:variant>
      <vt:variant>
        <vt:i4>4194315</vt:i4>
      </vt:variant>
      <vt:variant>
        <vt:i4>427</vt:i4>
      </vt:variant>
      <vt:variant>
        <vt:i4>0</vt:i4>
      </vt:variant>
      <vt:variant>
        <vt:i4>5</vt:i4>
      </vt:variant>
      <vt:variant>
        <vt:lpwstr/>
      </vt:variant>
      <vt:variant>
        <vt:lpwstr>_ENREF_10</vt:lpwstr>
      </vt:variant>
      <vt:variant>
        <vt:i4>4325387</vt:i4>
      </vt:variant>
      <vt:variant>
        <vt:i4>421</vt:i4>
      </vt:variant>
      <vt:variant>
        <vt:i4>0</vt:i4>
      </vt:variant>
      <vt:variant>
        <vt:i4>5</vt:i4>
      </vt:variant>
      <vt:variant>
        <vt:lpwstr/>
      </vt:variant>
      <vt:variant>
        <vt:lpwstr>_ENREF_30</vt:lpwstr>
      </vt:variant>
      <vt:variant>
        <vt:i4>4390923</vt:i4>
      </vt:variant>
      <vt:variant>
        <vt:i4>418</vt:i4>
      </vt:variant>
      <vt:variant>
        <vt:i4>0</vt:i4>
      </vt:variant>
      <vt:variant>
        <vt:i4>5</vt:i4>
      </vt:variant>
      <vt:variant>
        <vt:lpwstr/>
      </vt:variant>
      <vt:variant>
        <vt:lpwstr>_ENREF_26</vt:lpwstr>
      </vt:variant>
      <vt:variant>
        <vt:i4>4390923</vt:i4>
      </vt:variant>
      <vt:variant>
        <vt:i4>415</vt:i4>
      </vt:variant>
      <vt:variant>
        <vt:i4>0</vt:i4>
      </vt:variant>
      <vt:variant>
        <vt:i4>5</vt:i4>
      </vt:variant>
      <vt:variant>
        <vt:lpwstr/>
      </vt:variant>
      <vt:variant>
        <vt:lpwstr>_ENREF_2</vt:lpwstr>
      </vt:variant>
      <vt:variant>
        <vt:i4>4194315</vt:i4>
      </vt:variant>
      <vt:variant>
        <vt:i4>407</vt:i4>
      </vt:variant>
      <vt:variant>
        <vt:i4>0</vt:i4>
      </vt:variant>
      <vt:variant>
        <vt:i4>5</vt:i4>
      </vt:variant>
      <vt:variant>
        <vt:lpwstr/>
      </vt:variant>
      <vt:variant>
        <vt:lpwstr>_ENREF_12</vt:lpwstr>
      </vt:variant>
      <vt:variant>
        <vt:i4>4194315</vt:i4>
      </vt:variant>
      <vt:variant>
        <vt:i4>404</vt:i4>
      </vt:variant>
      <vt:variant>
        <vt:i4>0</vt:i4>
      </vt:variant>
      <vt:variant>
        <vt:i4>5</vt:i4>
      </vt:variant>
      <vt:variant>
        <vt:lpwstr/>
      </vt:variant>
      <vt:variant>
        <vt:lpwstr>_ENREF_10</vt:lpwstr>
      </vt:variant>
      <vt:variant>
        <vt:i4>4325387</vt:i4>
      </vt:variant>
      <vt:variant>
        <vt:i4>396</vt:i4>
      </vt:variant>
      <vt:variant>
        <vt:i4>0</vt:i4>
      </vt:variant>
      <vt:variant>
        <vt:i4>5</vt:i4>
      </vt:variant>
      <vt:variant>
        <vt:lpwstr/>
      </vt:variant>
      <vt:variant>
        <vt:lpwstr>_ENREF_31</vt:lpwstr>
      </vt:variant>
      <vt:variant>
        <vt:i4>4390923</vt:i4>
      </vt:variant>
      <vt:variant>
        <vt:i4>393</vt:i4>
      </vt:variant>
      <vt:variant>
        <vt:i4>0</vt:i4>
      </vt:variant>
      <vt:variant>
        <vt:i4>5</vt:i4>
      </vt:variant>
      <vt:variant>
        <vt:lpwstr/>
      </vt:variant>
      <vt:variant>
        <vt:lpwstr>_ENREF_21</vt:lpwstr>
      </vt:variant>
      <vt:variant>
        <vt:i4>4194315</vt:i4>
      </vt:variant>
      <vt:variant>
        <vt:i4>390</vt:i4>
      </vt:variant>
      <vt:variant>
        <vt:i4>0</vt:i4>
      </vt:variant>
      <vt:variant>
        <vt:i4>5</vt:i4>
      </vt:variant>
      <vt:variant>
        <vt:lpwstr/>
      </vt:variant>
      <vt:variant>
        <vt:lpwstr>_ENREF_13</vt:lpwstr>
      </vt:variant>
      <vt:variant>
        <vt:i4>4587531</vt:i4>
      </vt:variant>
      <vt:variant>
        <vt:i4>387</vt:i4>
      </vt:variant>
      <vt:variant>
        <vt:i4>0</vt:i4>
      </vt:variant>
      <vt:variant>
        <vt:i4>5</vt:i4>
      </vt:variant>
      <vt:variant>
        <vt:lpwstr/>
      </vt:variant>
      <vt:variant>
        <vt:lpwstr>_ENREF_7</vt:lpwstr>
      </vt:variant>
      <vt:variant>
        <vt:i4>4390923</vt:i4>
      </vt:variant>
      <vt:variant>
        <vt:i4>379</vt:i4>
      </vt:variant>
      <vt:variant>
        <vt:i4>0</vt:i4>
      </vt:variant>
      <vt:variant>
        <vt:i4>5</vt:i4>
      </vt:variant>
      <vt:variant>
        <vt:lpwstr/>
      </vt:variant>
      <vt:variant>
        <vt:lpwstr>_ENREF_27</vt:lpwstr>
      </vt:variant>
      <vt:variant>
        <vt:i4>4784139</vt:i4>
      </vt:variant>
      <vt:variant>
        <vt:i4>373</vt:i4>
      </vt:variant>
      <vt:variant>
        <vt:i4>0</vt:i4>
      </vt:variant>
      <vt:variant>
        <vt:i4>5</vt:i4>
      </vt:variant>
      <vt:variant>
        <vt:lpwstr/>
      </vt:variant>
      <vt:variant>
        <vt:lpwstr>_ENREF_8</vt:lpwstr>
      </vt:variant>
      <vt:variant>
        <vt:i4>4390923</vt:i4>
      </vt:variant>
      <vt:variant>
        <vt:i4>367</vt:i4>
      </vt:variant>
      <vt:variant>
        <vt:i4>0</vt:i4>
      </vt:variant>
      <vt:variant>
        <vt:i4>5</vt:i4>
      </vt:variant>
      <vt:variant>
        <vt:lpwstr/>
      </vt:variant>
      <vt:variant>
        <vt:lpwstr>_ENREF_24</vt:lpwstr>
      </vt:variant>
      <vt:variant>
        <vt:i4>4325387</vt:i4>
      </vt:variant>
      <vt:variant>
        <vt:i4>364</vt:i4>
      </vt:variant>
      <vt:variant>
        <vt:i4>0</vt:i4>
      </vt:variant>
      <vt:variant>
        <vt:i4>5</vt:i4>
      </vt:variant>
      <vt:variant>
        <vt:lpwstr/>
      </vt:variant>
      <vt:variant>
        <vt:lpwstr>_ENREF_3</vt:lpwstr>
      </vt:variant>
      <vt:variant>
        <vt:i4>4456459</vt:i4>
      </vt:variant>
      <vt:variant>
        <vt:i4>358</vt:i4>
      </vt:variant>
      <vt:variant>
        <vt:i4>0</vt:i4>
      </vt:variant>
      <vt:variant>
        <vt:i4>5</vt:i4>
      </vt:variant>
      <vt:variant>
        <vt:lpwstr/>
      </vt:variant>
      <vt:variant>
        <vt:lpwstr>_ENREF_5</vt:lpwstr>
      </vt:variant>
      <vt:variant>
        <vt:i4>4325387</vt:i4>
      </vt:variant>
      <vt:variant>
        <vt:i4>352</vt:i4>
      </vt:variant>
      <vt:variant>
        <vt:i4>0</vt:i4>
      </vt:variant>
      <vt:variant>
        <vt:i4>5</vt:i4>
      </vt:variant>
      <vt:variant>
        <vt:lpwstr/>
      </vt:variant>
      <vt:variant>
        <vt:lpwstr>_ENREF_33</vt:lpwstr>
      </vt:variant>
      <vt:variant>
        <vt:i4>4390923</vt:i4>
      </vt:variant>
      <vt:variant>
        <vt:i4>346</vt:i4>
      </vt:variant>
      <vt:variant>
        <vt:i4>0</vt:i4>
      </vt:variant>
      <vt:variant>
        <vt:i4>5</vt:i4>
      </vt:variant>
      <vt:variant>
        <vt:lpwstr/>
      </vt:variant>
      <vt:variant>
        <vt:lpwstr>_ENREF_29</vt:lpwstr>
      </vt:variant>
      <vt:variant>
        <vt:i4>4194315</vt:i4>
      </vt:variant>
      <vt:variant>
        <vt:i4>343</vt:i4>
      </vt:variant>
      <vt:variant>
        <vt:i4>0</vt:i4>
      </vt:variant>
      <vt:variant>
        <vt:i4>5</vt:i4>
      </vt:variant>
      <vt:variant>
        <vt:lpwstr/>
      </vt:variant>
      <vt:variant>
        <vt:lpwstr>_ENREF_14</vt:lpwstr>
      </vt:variant>
      <vt:variant>
        <vt:i4>4194315</vt:i4>
      </vt:variant>
      <vt:variant>
        <vt:i4>340</vt:i4>
      </vt:variant>
      <vt:variant>
        <vt:i4>0</vt:i4>
      </vt:variant>
      <vt:variant>
        <vt:i4>5</vt:i4>
      </vt:variant>
      <vt:variant>
        <vt:lpwstr/>
      </vt:variant>
      <vt:variant>
        <vt:lpwstr>_ENREF_12</vt:lpwstr>
      </vt:variant>
      <vt:variant>
        <vt:i4>4784139</vt:i4>
      </vt:variant>
      <vt:variant>
        <vt:i4>332</vt:i4>
      </vt:variant>
      <vt:variant>
        <vt:i4>0</vt:i4>
      </vt:variant>
      <vt:variant>
        <vt:i4>5</vt:i4>
      </vt:variant>
      <vt:variant>
        <vt:lpwstr/>
      </vt:variant>
      <vt:variant>
        <vt:lpwstr>_ENREF_8</vt:lpwstr>
      </vt:variant>
      <vt:variant>
        <vt:i4>4784139</vt:i4>
      </vt:variant>
      <vt:variant>
        <vt:i4>326</vt:i4>
      </vt:variant>
      <vt:variant>
        <vt:i4>0</vt:i4>
      </vt:variant>
      <vt:variant>
        <vt:i4>5</vt:i4>
      </vt:variant>
      <vt:variant>
        <vt:lpwstr/>
      </vt:variant>
      <vt:variant>
        <vt:lpwstr>_ENREF_8</vt:lpwstr>
      </vt:variant>
      <vt:variant>
        <vt:i4>4194315</vt:i4>
      </vt:variant>
      <vt:variant>
        <vt:i4>320</vt:i4>
      </vt:variant>
      <vt:variant>
        <vt:i4>0</vt:i4>
      </vt:variant>
      <vt:variant>
        <vt:i4>5</vt:i4>
      </vt:variant>
      <vt:variant>
        <vt:lpwstr/>
      </vt:variant>
      <vt:variant>
        <vt:lpwstr>_ENREF_17</vt:lpwstr>
      </vt:variant>
      <vt:variant>
        <vt:i4>4194315</vt:i4>
      </vt:variant>
      <vt:variant>
        <vt:i4>314</vt:i4>
      </vt:variant>
      <vt:variant>
        <vt:i4>0</vt:i4>
      </vt:variant>
      <vt:variant>
        <vt:i4>5</vt:i4>
      </vt:variant>
      <vt:variant>
        <vt:lpwstr/>
      </vt:variant>
      <vt:variant>
        <vt:lpwstr>_ENREF_17</vt:lpwstr>
      </vt:variant>
      <vt:variant>
        <vt:i4>4456459</vt:i4>
      </vt:variant>
      <vt:variant>
        <vt:i4>308</vt:i4>
      </vt:variant>
      <vt:variant>
        <vt:i4>0</vt:i4>
      </vt:variant>
      <vt:variant>
        <vt:i4>5</vt:i4>
      </vt:variant>
      <vt:variant>
        <vt:lpwstr/>
      </vt:variant>
      <vt:variant>
        <vt:lpwstr>_ENREF_5</vt:lpwstr>
      </vt:variant>
      <vt:variant>
        <vt:i4>4194315</vt:i4>
      </vt:variant>
      <vt:variant>
        <vt:i4>302</vt:i4>
      </vt:variant>
      <vt:variant>
        <vt:i4>0</vt:i4>
      </vt:variant>
      <vt:variant>
        <vt:i4>5</vt:i4>
      </vt:variant>
      <vt:variant>
        <vt:lpwstr/>
      </vt:variant>
      <vt:variant>
        <vt:lpwstr>_ENREF_17</vt:lpwstr>
      </vt:variant>
      <vt:variant>
        <vt:i4>4784139</vt:i4>
      </vt:variant>
      <vt:variant>
        <vt:i4>299</vt:i4>
      </vt:variant>
      <vt:variant>
        <vt:i4>0</vt:i4>
      </vt:variant>
      <vt:variant>
        <vt:i4>5</vt:i4>
      </vt:variant>
      <vt:variant>
        <vt:lpwstr/>
      </vt:variant>
      <vt:variant>
        <vt:lpwstr>_ENREF_8</vt:lpwstr>
      </vt:variant>
      <vt:variant>
        <vt:i4>4390923</vt:i4>
      </vt:variant>
      <vt:variant>
        <vt:i4>291</vt:i4>
      </vt:variant>
      <vt:variant>
        <vt:i4>0</vt:i4>
      </vt:variant>
      <vt:variant>
        <vt:i4>5</vt:i4>
      </vt:variant>
      <vt:variant>
        <vt:lpwstr/>
      </vt:variant>
      <vt:variant>
        <vt:lpwstr>_ENREF_23</vt:lpwstr>
      </vt:variant>
      <vt:variant>
        <vt:i4>4390923</vt:i4>
      </vt:variant>
      <vt:variant>
        <vt:i4>285</vt:i4>
      </vt:variant>
      <vt:variant>
        <vt:i4>0</vt:i4>
      </vt:variant>
      <vt:variant>
        <vt:i4>5</vt:i4>
      </vt:variant>
      <vt:variant>
        <vt:lpwstr/>
      </vt:variant>
      <vt:variant>
        <vt:lpwstr>_ENREF_25</vt:lpwstr>
      </vt:variant>
      <vt:variant>
        <vt:i4>4194315</vt:i4>
      </vt:variant>
      <vt:variant>
        <vt:i4>282</vt:i4>
      </vt:variant>
      <vt:variant>
        <vt:i4>0</vt:i4>
      </vt:variant>
      <vt:variant>
        <vt:i4>5</vt:i4>
      </vt:variant>
      <vt:variant>
        <vt:lpwstr/>
      </vt:variant>
      <vt:variant>
        <vt:lpwstr>_ENREF_12</vt:lpwstr>
      </vt:variant>
      <vt:variant>
        <vt:i4>4194315</vt:i4>
      </vt:variant>
      <vt:variant>
        <vt:i4>279</vt:i4>
      </vt:variant>
      <vt:variant>
        <vt:i4>0</vt:i4>
      </vt:variant>
      <vt:variant>
        <vt:i4>5</vt:i4>
      </vt:variant>
      <vt:variant>
        <vt:lpwstr/>
      </vt:variant>
      <vt:variant>
        <vt:lpwstr>_ENREF_11</vt:lpwstr>
      </vt:variant>
      <vt:variant>
        <vt:i4>4194315</vt:i4>
      </vt:variant>
      <vt:variant>
        <vt:i4>271</vt:i4>
      </vt:variant>
      <vt:variant>
        <vt:i4>0</vt:i4>
      </vt:variant>
      <vt:variant>
        <vt:i4>5</vt:i4>
      </vt:variant>
      <vt:variant>
        <vt:lpwstr/>
      </vt:variant>
      <vt:variant>
        <vt:lpwstr>_ENREF_12</vt:lpwstr>
      </vt:variant>
      <vt:variant>
        <vt:i4>4194315</vt:i4>
      </vt:variant>
      <vt:variant>
        <vt:i4>268</vt:i4>
      </vt:variant>
      <vt:variant>
        <vt:i4>0</vt:i4>
      </vt:variant>
      <vt:variant>
        <vt:i4>5</vt:i4>
      </vt:variant>
      <vt:variant>
        <vt:lpwstr/>
      </vt:variant>
      <vt:variant>
        <vt:lpwstr>_ENREF_10</vt:lpwstr>
      </vt:variant>
      <vt:variant>
        <vt:i4>1507378</vt:i4>
      </vt:variant>
      <vt:variant>
        <vt:i4>257</vt:i4>
      </vt:variant>
      <vt:variant>
        <vt:i4>0</vt:i4>
      </vt:variant>
      <vt:variant>
        <vt:i4>5</vt:i4>
      </vt:variant>
      <vt:variant>
        <vt:lpwstr/>
      </vt:variant>
      <vt:variant>
        <vt:lpwstr>_Toc355005406</vt:lpwstr>
      </vt:variant>
      <vt:variant>
        <vt:i4>1507378</vt:i4>
      </vt:variant>
      <vt:variant>
        <vt:i4>251</vt:i4>
      </vt:variant>
      <vt:variant>
        <vt:i4>0</vt:i4>
      </vt:variant>
      <vt:variant>
        <vt:i4>5</vt:i4>
      </vt:variant>
      <vt:variant>
        <vt:lpwstr/>
      </vt:variant>
      <vt:variant>
        <vt:lpwstr>_Toc355005405</vt:lpwstr>
      </vt:variant>
      <vt:variant>
        <vt:i4>1507378</vt:i4>
      </vt:variant>
      <vt:variant>
        <vt:i4>245</vt:i4>
      </vt:variant>
      <vt:variant>
        <vt:i4>0</vt:i4>
      </vt:variant>
      <vt:variant>
        <vt:i4>5</vt:i4>
      </vt:variant>
      <vt:variant>
        <vt:lpwstr/>
      </vt:variant>
      <vt:variant>
        <vt:lpwstr>_Toc355005404</vt:lpwstr>
      </vt:variant>
      <vt:variant>
        <vt:i4>1507378</vt:i4>
      </vt:variant>
      <vt:variant>
        <vt:i4>239</vt:i4>
      </vt:variant>
      <vt:variant>
        <vt:i4>0</vt:i4>
      </vt:variant>
      <vt:variant>
        <vt:i4>5</vt:i4>
      </vt:variant>
      <vt:variant>
        <vt:lpwstr/>
      </vt:variant>
      <vt:variant>
        <vt:lpwstr>_Toc355005403</vt:lpwstr>
      </vt:variant>
      <vt:variant>
        <vt:i4>1507378</vt:i4>
      </vt:variant>
      <vt:variant>
        <vt:i4>233</vt:i4>
      </vt:variant>
      <vt:variant>
        <vt:i4>0</vt:i4>
      </vt:variant>
      <vt:variant>
        <vt:i4>5</vt:i4>
      </vt:variant>
      <vt:variant>
        <vt:lpwstr/>
      </vt:variant>
      <vt:variant>
        <vt:lpwstr>_Toc355005402</vt:lpwstr>
      </vt:variant>
      <vt:variant>
        <vt:i4>1507378</vt:i4>
      </vt:variant>
      <vt:variant>
        <vt:i4>227</vt:i4>
      </vt:variant>
      <vt:variant>
        <vt:i4>0</vt:i4>
      </vt:variant>
      <vt:variant>
        <vt:i4>5</vt:i4>
      </vt:variant>
      <vt:variant>
        <vt:lpwstr/>
      </vt:variant>
      <vt:variant>
        <vt:lpwstr>_Toc355005401</vt:lpwstr>
      </vt:variant>
      <vt:variant>
        <vt:i4>1507378</vt:i4>
      </vt:variant>
      <vt:variant>
        <vt:i4>221</vt:i4>
      </vt:variant>
      <vt:variant>
        <vt:i4>0</vt:i4>
      </vt:variant>
      <vt:variant>
        <vt:i4>5</vt:i4>
      </vt:variant>
      <vt:variant>
        <vt:lpwstr/>
      </vt:variant>
      <vt:variant>
        <vt:lpwstr>_Toc355005400</vt:lpwstr>
      </vt:variant>
      <vt:variant>
        <vt:i4>1966133</vt:i4>
      </vt:variant>
      <vt:variant>
        <vt:i4>215</vt:i4>
      </vt:variant>
      <vt:variant>
        <vt:i4>0</vt:i4>
      </vt:variant>
      <vt:variant>
        <vt:i4>5</vt:i4>
      </vt:variant>
      <vt:variant>
        <vt:lpwstr/>
      </vt:variant>
      <vt:variant>
        <vt:lpwstr>_Toc355005399</vt:lpwstr>
      </vt:variant>
      <vt:variant>
        <vt:i4>1966133</vt:i4>
      </vt:variant>
      <vt:variant>
        <vt:i4>209</vt:i4>
      </vt:variant>
      <vt:variant>
        <vt:i4>0</vt:i4>
      </vt:variant>
      <vt:variant>
        <vt:i4>5</vt:i4>
      </vt:variant>
      <vt:variant>
        <vt:lpwstr/>
      </vt:variant>
      <vt:variant>
        <vt:lpwstr>_Toc355005398</vt:lpwstr>
      </vt:variant>
      <vt:variant>
        <vt:i4>1966133</vt:i4>
      </vt:variant>
      <vt:variant>
        <vt:i4>203</vt:i4>
      </vt:variant>
      <vt:variant>
        <vt:i4>0</vt:i4>
      </vt:variant>
      <vt:variant>
        <vt:i4>5</vt:i4>
      </vt:variant>
      <vt:variant>
        <vt:lpwstr/>
      </vt:variant>
      <vt:variant>
        <vt:lpwstr>_Toc355005397</vt:lpwstr>
      </vt:variant>
      <vt:variant>
        <vt:i4>1966133</vt:i4>
      </vt:variant>
      <vt:variant>
        <vt:i4>197</vt:i4>
      </vt:variant>
      <vt:variant>
        <vt:i4>0</vt:i4>
      </vt:variant>
      <vt:variant>
        <vt:i4>5</vt:i4>
      </vt:variant>
      <vt:variant>
        <vt:lpwstr/>
      </vt:variant>
      <vt:variant>
        <vt:lpwstr>_Toc355005396</vt:lpwstr>
      </vt:variant>
      <vt:variant>
        <vt:i4>1966133</vt:i4>
      </vt:variant>
      <vt:variant>
        <vt:i4>191</vt:i4>
      </vt:variant>
      <vt:variant>
        <vt:i4>0</vt:i4>
      </vt:variant>
      <vt:variant>
        <vt:i4>5</vt:i4>
      </vt:variant>
      <vt:variant>
        <vt:lpwstr/>
      </vt:variant>
      <vt:variant>
        <vt:lpwstr>_Toc355005395</vt:lpwstr>
      </vt:variant>
      <vt:variant>
        <vt:i4>1966133</vt:i4>
      </vt:variant>
      <vt:variant>
        <vt:i4>185</vt:i4>
      </vt:variant>
      <vt:variant>
        <vt:i4>0</vt:i4>
      </vt:variant>
      <vt:variant>
        <vt:i4>5</vt:i4>
      </vt:variant>
      <vt:variant>
        <vt:lpwstr/>
      </vt:variant>
      <vt:variant>
        <vt:lpwstr>_Toc355005394</vt:lpwstr>
      </vt:variant>
      <vt:variant>
        <vt:i4>1966133</vt:i4>
      </vt:variant>
      <vt:variant>
        <vt:i4>179</vt:i4>
      </vt:variant>
      <vt:variant>
        <vt:i4>0</vt:i4>
      </vt:variant>
      <vt:variant>
        <vt:i4>5</vt:i4>
      </vt:variant>
      <vt:variant>
        <vt:lpwstr/>
      </vt:variant>
      <vt:variant>
        <vt:lpwstr>_Toc355005393</vt:lpwstr>
      </vt:variant>
      <vt:variant>
        <vt:i4>1966133</vt:i4>
      </vt:variant>
      <vt:variant>
        <vt:i4>173</vt:i4>
      </vt:variant>
      <vt:variant>
        <vt:i4>0</vt:i4>
      </vt:variant>
      <vt:variant>
        <vt:i4>5</vt:i4>
      </vt:variant>
      <vt:variant>
        <vt:lpwstr/>
      </vt:variant>
      <vt:variant>
        <vt:lpwstr>_Toc355005392</vt:lpwstr>
      </vt:variant>
      <vt:variant>
        <vt:i4>2031669</vt:i4>
      </vt:variant>
      <vt:variant>
        <vt:i4>164</vt:i4>
      </vt:variant>
      <vt:variant>
        <vt:i4>0</vt:i4>
      </vt:variant>
      <vt:variant>
        <vt:i4>5</vt:i4>
      </vt:variant>
      <vt:variant>
        <vt:lpwstr/>
      </vt:variant>
      <vt:variant>
        <vt:lpwstr>_Toc355005382</vt:lpwstr>
      </vt:variant>
      <vt:variant>
        <vt:i4>2031669</vt:i4>
      </vt:variant>
      <vt:variant>
        <vt:i4>158</vt:i4>
      </vt:variant>
      <vt:variant>
        <vt:i4>0</vt:i4>
      </vt:variant>
      <vt:variant>
        <vt:i4>5</vt:i4>
      </vt:variant>
      <vt:variant>
        <vt:lpwstr/>
      </vt:variant>
      <vt:variant>
        <vt:lpwstr>_Toc355005381</vt:lpwstr>
      </vt:variant>
      <vt:variant>
        <vt:i4>2031669</vt:i4>
      </vt:variant>
      <vt:variant>
        <vt:i4>152</vt:i4>
      </vt:variant>
      <vt:variant>
        <vt:i4>0</vt:i4>
      </vt:variant>
      <vt:variant>
        <vt:i4>5</vt:i4>
      </vt:variant>
      <vt:variant>
        <vt:lpwstr/>
      </vt:variant>
      <vt:variant>
        <vt:lpwstr>_Toc355005380</vt:lpwstr>
      </vt:variant>
      <vt:variant>
        <vt:i4>1048629</vt:i4>
      </vt:variant>
      <vt:variant>
        <vt:i4>146</vt:i4>
      </vt:variant>
      <vt:variant>
        <vt:i4>0</vt:i4>
      </vt:variant>
      <vt:variant>
        <vt:i4>5</vt:i4>
      </vt:variant>
      <vt:variant>
        <vt:lpwstr/>
      </vt:variant>
      <vt:variant>
        <vt:lpwstr>_Toc355005379</vt:lpwstr>
      </vt:variant>
      <vt:variant>
        <vt:i4>1114165</vt:i4>
      </vt:variant>
      <vt:variant>
        <vt:i4>137</vt:i4>
      </vt:variant>
      <vt:variant>
        <vt:i4>0</vt:i4>
      </vt:variant>
      <vt:variant>
        <vt:i4>5</vt:i4>
      </vt:variant>
      <vt:variant>
        <vt:lpwstr/>
      </vt:variant>
      <vt:variant>
        <vt:lpwstr>_Toc355005364</vt:lpwstr>
      </vt:variant>
      <vt:variant>
        <vt:i4>1114165</vt:i4>
      </vt:variant>
      <vt:variant>
        <vt:i4>131</vt:i4>
      </vt:variant>
      <vt:variant>
        <vt:i4>0</vt:i4>
      </vt:variant>
      <vt:variant>
        <vt:i4>5</vt:i4>
      </vt:variant>
      <vt:variant>
        <vt:lpwstr/>
      </vt:variant>
      <vt:variant>
        <vt:lpwstr>_Toc355005362</vt:lpwstr>
      </vt:variant>
      <vt:variant>
        <vt:i4>1114165</vt:i4>
      </vt:variant>
      <vt:variant>
        <vt:i4>125</vt:i4>
      </vt:variant>
      <vt:variant>
        <vt:i4>0</vt:i4>
      </vt:variant>
      <vt:variant>
        <vt:i4>5</vt:i4>
      </vt:variant>
      <vt:variant>
        <vt:lpwstr/>
      </vt:variant>
      <vt:variant>
        <vt:lpwstr>_Toc355005361</vt:lpwstr>
      </vt:variant>
      <vt:variant>
        <vt:i4>1114165</vt:i4>
      </vt:variant>
      <vt:variant>
        <vt:i4>119</vt:i4>
      </vt:variant>
      <vt:variant>
        <vt:i4>0</vt:i4>
      </vt:variant>
      <vt:variant>
        <vt:i4>5</vt:i4>
      </vt:variant>
      <vt:variant>
        <vt:lpwstr/>
      </vt:variant>
      <vt:variant>
        <vt:lpwstr>_Toc355005360</vt:lpwstr>
      </vt:variant>
      <vt:variant>
        <vt:i4>1507390</vt:i4>
      </vt:variant>
      <vt:variant>
        <vt:i4>116</vt:i4>
      </vt:variant>
      <vt:variant>
        <vt:i4>0</vt:i4>
      </vt:variant>
      <vt:variant>
        <vt:i4>5</vt:i4>
      </vt:variant>
      <vt:variant>
        <vt:lpwstr/>
      </vt:variant>
      <vt:variant>
        <vt:lpwstr>_Toc354999055</vt:lpwstr>
      </vt:variant>
      <vt:variant>
        <vt:i4>1179701</vt:i4>
      </vt:variant>
      <vt:variant>
        <vt:i4>110</vt:i4>
      </vt:variant>
      <vt:variant>
        <vt:i4>0</vt:i4>
      </vt:variant>
      <vt:variant>
        <vt:i4>5</vt:i4>
      </vt:variant>
      <vt:variant>
        <vt:lpwstr/>
      </vt:variant>
      <vt:variant>
        <vt:lpwstr>_Toc355005359</vt:lpwstr>
      </vt:variant>
      <vt:variant>
        <vt:i4>1179701</vt:i4>
      </vt:variant>
      <vt:variant>
        <vt:i4>104</vt:i4>
      </vt:variant>
      <vt:variant>
        <vt:i4>0</vt:i4>
      </vt:variant>
      <vt:variant>
        <vt:i4>5</vt:i4>
      </vt:variant>
      <vt:variant>
        <vt:lpwstr/>
      </vt:variant>
      <vt:variant>
        <vt:lpwstr>_Toc355005358</vt:lpwstr>
      </vt:variant>
      <vt:variant>
        <vt:i4>1179701</vt:i4>
      </vt:variant>
      <vt:variant>
        <vt:i4>98</vt:i4>
      </vt:variant>
      <vt:variant>
        <vt:i4>0</vt:i4>
      </vt:variant>
      <vt:variant>
        <vt:i4>5</vt:i4>
      </vt:variant>
      <vt:variant>
        <vt:lpwstr/>
      </vt:variant>
      <vt:variant>
        <vt:lpwstr>_Toc355005357</vt:lpwstr>
      </vt:variant>
      <vt:variant>
        <vt:i4>1179701</vt:i4>
      </vt:variant>
      <vt:variant>
        <vt:i4>92</vt:i4>
      </vt:variant>
      <vt:variant>
        <vt:i4>0</vt:i4>
      </vt:variant>
      <vt:variant>
        <vt:i4>5</vt:i4>
      </vt:variant>
      <vt:variant>
        <vt:lpwstr/>
      </vt:variant>
      <vt:variant>
        <vt:lpwstr>_Toc355005356</vt:lpwstr>
      </vt:variant>
      <vt:variant>
        <vt:i4>1179701</vt:i4>
      </vt:variant>
      <vt:variant>
        <vt:i4>86</vt:i4>
      </vt:variant>
      <vt:variant>
        <vt:i4>0</vt:i4>
      </vt:variant>
      <vt:variant>
        <vt:i4>5</vt:i4>
      </vt:variant>
      <vt:variant>
        <vt:lpwstr/>
      </vt:variant>
      <vt:variant>
        <vt:lpwstr>_Toc355005355</vt:lpwstr>
      </vt:variant>
      <vt:variant>
        <vt:i4>1179701</vt:i4>
      </vt:variant>
      <vt:variant>
        <vt:i4>80</vt:i4>
      </vt:variant>
      <vt:variant>
        <vt:i4>0</vt:i4>
      </vt:variant>
      <vt:variant>
        <vt:i4>5</vt:i4>
      </vt:variant>
      <vt:variant>
        <vt:lpwstr/>
      </vt:variant>
      <vt:variant>
        <vt:lpwstr>_Toc355005354</vt:lpwstr>
      </vt:variant>
      <vt:variant>
        <vt:i4>1179701</vt:i4>
      </vt:variant>
      <vt:variant>
        <vt:i4>74</vt:i4>
      </vt:variant>
      <vt:variant>
        <vt:i4>0</vt:i4>
      </vt:variant>
      <vt:variant>
        <vt:i4>5</vt:i4>
      </vt:variant>
      <vt:variant>
        <vt:lpwstr/>
      </vt:variant>
      <vt:variant>
        <vt:lpwstr>_Toc355005353</vt:lpwstr>
      </vt:variant>
      <vt:variant>
        <vt:i4>1179701</vt:i4>
      </vt:variant>
      <vt:variant>
        <vt:i4>68</vt:i4>
      </vt:variant>
      <vt:variant>
        <vt:i4>0</vt:i4>
      </vt:variant>
      <vt:variant>
        <vt:i4>5</vt:i4>
      </vt:variant>
      <vt:variant>
        <vt:lpwstr/>
      </vt:variant>
      <vt:variant>
        <vt:lpwstr>_Toc355005352</vt:lpwstr>
      </vt:variant>
      <vt:variant>
        <vt:i4>1179701</vt:i4>
      </vt:variant>
      <vt:variant>
        <vt:i4>62</vt:i4>
      </vt:variant>
      <vt:variant>
        <vt:i4>0</vt:i4>
      </vt:variant>
      <vt:variant>
        <vt:i4>5</vt:i4>
      </vt:variant>
      <vt:variant>
        <vt:lpwstr/>
      </vt:variant>
      <vt:variant>
        <vt:lpwstr>_Toc355005351</vt:lpwstr>
      </vt:variant>
      <vt:variant>
        <vt:i4>1179701</vt:i4>
      </vt:variant>
      <vt:variant>
        <vt:i4>56</vt:i4>
      </vt:variant>
      <vt:variant>
        <vt:i4>0</vt:i4>
      </vt:variant>
      <vt:variant>
        <vt:i4>5</vt:i4>
      </vt:variant>
      <vt:variant>
        <vt:lpwstr/>
      </vt:variant>
      <vt:variant>
        <vt:lpwstr>_Toc355005350</vt:lpwstr>
      </vt:variant>
      <vt:variant>
        <vt:i4>1245237</vt:i4>
      </vt:variant>
      <vt:variant>
        <vt:i4>50</vt:i4>
      </vt:variant>
      <vt:variant>
        <vt:i4>0</vt:i4>
      </vt:variant>
      <vt:variant>
        <vt:i4>5</vt:i4>
      </vt:variant>
      <vt:variant>
        <vt:lpwstr/>
      </vt:variant>
      <vt:variant>
        <vt:lpwstr>_Toc355005349</vt:lpwstr>
      </vt:variant>
      <vt:variant>
        <vt:i4>1245237</vt:i4>
      </vt:variant>
      <vt:variant>
        <vt:i4>44</vt:i4>
      </vt:variant>
      <vt:variant>
        <vt:i4>0</vt:i4>
      </vt:variant>
      <vt:variant>
        <vt:i4>5</vt:i4>
      </vt:variant>
      <vt:variant>
        <vt:lpwstr/>
      </vt:variant>
      <vt:variant>
        <vt:lpwstr>_Toc355005348</vt:lpwstr>
      </vt:variant>
      <vt:variant>
        <vt:i4>1245237</vt:i4>
      </vt:variant>
      <vt:variant>
        <vt:i4>38</vt:i4>
      </vt:variant>
      <vt:variant>
        <vt:i4>0</vt:i4>
      </vt:variant>
      <vt:variant>
        <vt:i4>5</vt:i4>
      </vt:variant>
      <vt:variant>
        <vt:lpwstr/>
      </vt:variant>
      <vt:variant>
        <vt:lpwstr>_Toc355005347</vt:lpwstr>
      </vt:variant>
      <vt:variant>
        <vt:i4>1245237</vt:i4>
      </vt:variant>
      <vt:variant>
        <vt:i4>32</vt:i4>
      </vt:variant>
      <vt:variant>
        <vt:i4>0</vt:i4>
      </vt:variant>
      <vt:variant>
        <vt:i4>5</vt:i4>
      </vt:variant>
      <vt:variant>
        <vt:lpwstr/>
      </vt:variant>
      <vt:variant>
        <vt:lpwstr>_Toc355005346</vt:lpwstr>
      </vt:variant>
      <vt:variant>
        <vt:i4>1245237</vt:i4>
      </vt:variant>
      <vt:variant>
        <vt:i4>26</vt:i4>
      </vt:variant>
      <vt:variant>
        <vt:i4>0</vt:i4>
      </vt:variant>
      <vt:variant>
        <vt:i4>5</vt:i4>
      </vt:variant>
      <vt:variant>
        <vt:lpwstr/>
      </vt:variant>
      <vt:variant>
        <vt:lpwstr>_Toc355005345</vt:lpwstr>
      </vt:variant>
      <vt:variant>
        <vt:i4>1245237</vt:i4>
      </vt:variant>
      <vt:variant>
        <vt:i4>20</vt:i4>
      </vt:variant>
      <vt:variant>
        <vt:i4>0</vt:i4>
      </vt:variant>
      <vt:variant>
        <vt:i4>5</vt:i4>
      </vt:variant>
      <vt:variant>
        <vt:lpwstr/>
      </vt:variant>
      <vt:variant>
        <vt:lpwstr>_Toc355005344</vt:lpwstr>
      </vt:variant>
      <vt:variant>
        <vt:i4>1245237</vt:i4>
      </vt:variant>
      <vt:variant>
        <vt:i4>14</vt:i4>
      </vt:variant>
      <vt:variant>
        <vt:i4>0</vt:i4>
      </vt:variant>
      <vt:variant>
        <vt:i4>5</vt:i4>
      </vt:variant>
      <vt:variant>
        <vt:lpwstr/>
      </vt:variant>
      <vt:variant>
        <vt:lpwstr>_Toc355005343</vt:lpwstr>
      </vt:variant>
      <vt:variant>
        <vt:i4>1245237</vt:i4>
      </vt:variant>
      <vt:variant>
        <vt:i4>8</vt:i4>
      </vt:variant>
      <vt:variant>
        <vt:i4>0</vt:i4>
      </vt:variant>
      <vt:variant>
        <vt:i4>5</vt:i4>
      </vt:variant>
      <vt:variant>
        <vt:lpwstr/>
      </vt:variant>
      <vt:variant>
        <vt:lpwstr>_Toc355005342</vt:lpwstr>
      </vt:variant>
      <vt:variant>
        <vt:i4>1245237</vt:i4>
      </vt:variant>
      <vt:variant>
        <vt:i4>2</vt:i4>
      </vt:variant>
      <vt:variant>
        <vt:i4>0</vt:i4>
      </vt:variant>
      <vt:variant>
        <vt:i4>5</vt:i4>
      </vt:variant>
      <vt:variant>
        <vt:lpwstr/>
      </vt:variant>
      <vt:variant>
        <vt:lpwstr>_Toc355005341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APPROACH TO DEVELOP NUTRIENT NUMERIC ENDPOINTS FOR CALIFORNIA ESTUARIES</dc:title>
  <dc:creator>dana.constance</dc:creator>
  <cp:lastModifiedBy>Feger, Naomi@Waterboards</cp:lastModifiedBy>
  <cp:revision>3</cp:revision>
  <cp:lastPrinted>2015-08-31T17:26:00Z</cp:lastPrinted>
  <dcterms:created xsi:type="dcterms:W3CDTF">2016-01-12T17:45:00Z</dcterms:created>
  <dcterms:modified xsi:type="dcterms:W3CDTF">2016-01-12T17:56:00Z</dcterms:modified>
</cp:coreProperties>
</file>