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A34693" w14:textId="32FE9D51" w:rsidR="007710C3" w:rsidRPr="004502A9" w:rsidRDefault="007710C3" w:rsidP="00D95588">
      <w:pPr>
        <w:spacing w:before="8"/>
        <w:contextualSpacing/>
        <w:jc w:val="center"/>
        <w:rPr>
          <w:rFonts w:eastAsia="Arial" w:cs="Arial"/>
          <w:b/>
          <w:spacing w:val="38"/>
          <w:position w:val="-1"/>
          <w:sz w:val="32"/>
          <w:szCs w:val="32"/>
        </w:rPr>
      </w:pPr>
      <w:r w:rsidRPr="004502A9">
        <w:rPr>
          <w:rFonts w:eastAsia="Arial" w:cs="Arial"/>
          <w:b/>
          <w:spacing w:val="38"/>
          <w:position w:val="-1"/>
          <w:sz w:val="32"/>
          <w:szCs w:val="32"/>
        </w:rPr>
        <w:t>STATE WATER RESOURCES CONTROL BOARD</w:t>
      </w:r>
    </w:p>
    <w:p w14:paraId="04D72EBA" w14:textId="77777777" w:rsidR="007710C3" w:rsidRPr="004502A9" w:rsidRDefault="007710C3" w:rsidP="007710C3">
      <w:pPr>
        <w:spacing w:before="8"/>
        <w:contextualSpacing/>
        <w:jc w:val="center"/>
        <w:rPr>
          <w:rFonts w:eastAsia="Arial" w:cs="Arial"/>
          <w:spacing w:val="21"/>
          <w:position w:val="-1"/>
          <w:szCs w:val="24"/>
        </w:rPr>
      </w:pPr>
      <w:r w:rsidRPr="004502A9">
        <w:rPr>
          <w:rFonts w:eastAsia="Arial" w:cs="Arial"/>
          <w:spacing w:val="38"/>
          <w:position w:val="-1"/>
          <w:szCs w:val="24"/>
        </w:rPr>
        <w:t>CALIFORNIA ENVIRONMENTAL PROTECTION AGENCY</w:t>
      </w:r>
    </w:p>
    <w:p w14:paraId="7A450601" w14:textId="31268E2F" w:rsidR="007710C3" w:rsidRPr="004502A9" w:rsidRDefault="007710C3" w:rsidP="007710C3">
      <w:pPr>
        <w:contextualSpacing/>
        <w:rPr>
          <w:rFonts w:eastAsia="Arial" w:cs="Arial"/>
          <w:spacing w:val="20"/>
          <w:sz w:val="32"/>
          <w:szCs w:val="32"/>
        </w:rPr>
      </w:pPr>
    </w:p>
    <w:p w14:paraId="45043FCF" w14:textId="5BFA24A9" w:rsidR="007710C3" w:rsidRPr="004502A9" w:rsidRDefault="005F1F83" w:rsidP="007710C3">
      <w:pPr>
        <w:contextualSpacing/>
        <w:jc w:val="center"/>
        <w:rPr>
          <w:rFonts w:eastAsia="Arial" w:cs="Arial"/>
          <w:b/>
          <w:spacing w:val="21"/>
          <w:sz w:val="40"/>
          <w:szCs w:val="40"/>
        </w:rPr>
      </w:pPr>
      <w:r w:rsidRPr="0D6EF698">
        <w:rPr>
          <w:rFonts w:eastAsia="Arial" w:cs="Arial"/>
          <w:b/>
          <w:sz w:val="36"/>
          <w:szCs w:val="36"/>
        </w:rPr>
        <w:t>DRAFT</w:t>
      </w:r>
      <w:r w:rsidR="007710C3" w:rsidRPr="0D6EF698">
        <w:rPr>
          <w:rFonts w:eastAsia="Arial" w:cs="Arial"/>
          <w:b/>
          <w:sz w:val="36"/>
          <w:szCs w:val="36"/>
        </w:rPr>
        <w:t xml:space="preserve"> </w:t>
      </w:r>
      <w:r w:rsidR="007710C3" w:rsidRPr="004502A9">
        <w:rPr>
          <w:rFonts w:eastAsia="Arial" w:cs="Arial"/>
          <w:b/>
          <w:spacing w:val="21"/>
          <w:position w:val="-1"/>
          <w:sz w:val="36"/>
          <w:szCs w:val="36"/>
        </w:rPr>
        <w:t>STAFF</w:t>
      </w:r>
      <w:r w:rsidR="007710C3" w:rsidRPr="004502A9">
        <w:rPr>
          <w:rFonts w:eastAsia="Arial" w:cs="Arial"/>
          <w:b/>
          <w:spacing w:val="41"/>
          <w:sz w:val="36"/>
          <w:szCs w:val="36"/>
        </w:rPr>
        <w:t xml:space="preserve"> </w:t>
      </w:r>
      <w:r w:rsidR="007710C3" w:rsidRPr="004502A9">
        <w:rPr>
          <w:rFonts w:eastAsia="Arial" w:cs="Arial"/>
          <w:b/>
          <w:spacing w:val="20"/>
          <w:w w:val="99"/>
          <w:sz w:val="36"/>
          <w:szCs w:val="36"/>
        </w:rPr>
        <w:t>R</w:t>
      </w:r>
      <w:r w:rsidR="007710C3" w:rsidRPr="004502A9">
        <w:rPr>
          <w:rFonts w:eastAsia="Arial" w:cs="Arial"/>
          <w:b/>
          <w:spacing w:val="21"/>
          <w:sz w:val="36"/>
          <w:szCs w:val="36"/>
        </w:rPr>
        <w:t>EPORT</w:t>
      </w:r>
    </w:p>
    <w:p w14:paraId="4F10D452" w14:textId="65E29F0F" w:rsidR="007710C3" w:rsidRPr="004502A9" w:rsidRDefault="007710C3" w:rsidP="007710C3">
      <w:pPr>
        <w:contextualSpacing/>
        <w:jc w:val="center"/>
        <w:rPr>
          <w:rFonts w:eastAsia="Arial" w:cs="Arial"/>
          <w:b/>
          <w:spacing w:val="21"/>
          <w:sz w:val="40"/>
          <w:szCs w:val="40"/>
        </w:rPr>
      </w:pPr>
    </w:p>
    <w:p w14:paraId="53AE2BC0" w14:textId="376DC0DC" w:rsidR="007710C3" w:rsidRPr="00CE7BD0" w:rsidRDefault="00C6428D" w:rsidP="00D95588">
      <w:pPr>
        <w:spacing w:before="6" w:after="0"/>
        <w:contextualSpacing/>
        <w:jc w:val="center"/>
        <w:rPr>
          <w:rFonts w:eastAsia="Arial" w:cs="Arial"/>
          <w:b/>
          <w:spacing w:val="20"/>
          <w:sz w:val="32"/>
          <w:szCs w:val="32"/>
        </w:rPr>
      </w:pPr>
      <w:r>
        <w:rPr>
          <w:rFonts w:eastAsia="Arial" w:cs="Arial"/>
          <w:b/>
          <w:spacing w:val="21"/>
          <w:sz w:val="32"/>
          <w:szCs w:val="32"/>
        </w:rPr>
        <w:t>2026</w:t>
      </w:r>
      <w:r w:rsidR="005F1F83" w:rsidRPr="00CE7BD0">
        <w:rPr>
          <w:rFonts w:eastAsia="Arial" w:cs="Arial"/>
          <w:b/>
          <w:spacing w:val="21"/>
          <w:sz w:val="32"/>
          <w:szCs w:val="32"/>
        </w:rPr>
        <w:t xml:space="preserve"> </w:t>
      </w:r>
      <w:r w:rsidR="00D17E40">
        <w:rPr>
          <w:rFonts w:eastAsia="Arial" w:cs="Arial"/>
          <w:b/>
          <w:spacing w:val="21"/>
          <w:sz w:val="32"/>
          <w:szCs w:val="32"/>
        </w:rPr>
        <w:t xml:space="preserve">CALIFORNIA </w:t>
      </w:r>
      <w:r w:rsidR="007710C3" w:rsidRPr="00CE7BD0">
        <w:rPr>
          <w:rFonts w:eastAsia="Arial" w:cs="Arial"/>
          <w:b/>
          <w:spacing w:val="21"/>
          <w:sz w:val="32"/>
          <w:szCs w:val="32"/>
        </w:rPr>
        <w:t>I</w:t>
      </w:r>
      <w:r w:rsidR="007710C3" w:rsidRPr="00CE7BD0">
        <w:rPr>
          <w:rFonts w:eastAsia="Arial" w:cs="Arial"/>
          <w:b/>
          <w:spacing w:val="20"/>
          <w:sz w:val="32"/>
          <w:szCs w:val="32"/>
        </w:rPr>
        <w:t>NTEGRATE</w:t>
      </w:r>
      <w:r w:rsidR="007710C3" w:rsidRPr="00CE7BD0">
        <w:rPr>
          <w:rFonts w:eastAsia="Arial" w:cs="Arial"/>
          <w:b/>
          <w:sz w:val="32"/>
          <w:szCs w:val="32"/>
        </w:rPr>
        <w:t>D</w:t>
      </w:r>
      <w:r w:rsidR="007710C3" w:rsidRPr="00CE7BD0">
        <w:rPr>
          <w:rFonts w:eastAsia="Arial" w:cs="Arial"/>
          <w:b/>
          <w:spacing w:val="41"/>
          <w:sz w:val="32"/>
          <w:szCs w:val="32"/>
        </w:rPr>
        <w:t xml:space="preserve"> </w:t>
      </w:r>
      <w:r w:rsidR="007710C3" w:rsidRPr="00CE7BD0">
        <w:rPr>
          <w:rFonts w:eastAsia="Arial" w:cs="Arial"/>
          <w:b/>
          <w:spacing w:val="20"/>
          <w:w w:val="99"/>
          <w:sz w:val="32"/>
          <w:szCs w:val="32"/>
        </w:rPr>
        <w:t>R</w:t>
      </w:r>
      <w:r w:rsidR="007710C3" w:rsidRPr="00CE7BD0">
        <w:rPr>
          <w:rFonts w:eastAsia="Arial" w:cs="Arial"/>
          <w:b/>
          <w:spacing w:val="20"/>
          <w:sz w:val="32"/>
          <w:szCs w:val="32"/>
        </w:rPr>
        <w:t>EPORT</w:t>
      </w:r>
      <w:r w:rsidR="00C67345" w:rsidRPr="00CE7BD0">
        <w:rPr>
          <w:rFonts w:eastAsia="Arial" w:cs="Arial"/>
          <w:b/>
          <w:spacing w:val="20"/>
          <w:sz w:val="32"/>
          <w:szCs w:val="32"/>
        </w:rPr>
        <w:t xml:space="preserve">: </w:t>
      </w:r>
    </w:p>
    <w:p w14:paraId="42C3678A" w14:textId="705AF646" w:rsidR="00875D72" w:rsidRPr="00CE7BD0" w:rsidRDefault="00C67345" w:rsidP="00D95588">
      <w:pPr>
        <w:spacing w:before="6" w:after="0"/>
        <w:contextualSpacing/>
        <w:jc w:val="center"/>
        <w:rPr>
          <w:rFonts w:eastAsia="Arial" w:cs="Arial"/>
          <w:b/>
          <w:spacing w:val="20"/>
          <w:sz w:val="32"/>
          <w:szCs w:val="32"/>
        </w:rPr>
      </w:pPr>
      <w:r w:rsidRPr="00CE7BD0">
        <w:rPr>
          <w:rFonts w:eastAsia="Arial" w:cs="Arial"/>
          <w:b/>
          <w:spacing w:val="20"/>
          <w:sz w:val="32"/>
          <w:szCs w:val="32"/>
        </w:rPr>
        <w:t>S</w:t>
      </w:r>
      <w:r w:rsidR="0035417D" w:rsidRPr="00CE7BD0">
        <w:rPr>
          <w:rFonts w:eastAsia="Arial" w:cs="Arial"/>
          <w:b/>
          <w:spacing w:val="20"/>
          <w:sz w:val="32"/>
          <w:szCs w:val="32"/>
        </w:rPr>
        <w:t>URFACE</w:t>
      </w:r>
      <w:r w:rsidRPr="00CE7BD0">
        <w:rPr>
          <w:rFonts w:eastAsia="Arial" w:cs="Arial"/>
          <w:b/>
          <w:spacing w:val="20"/>
          <w:sz w:val="32"/>
          <w:szCs w:val="32"/>
        </w:rPr>
        <w:t xml:space="preserve"> W</w:t>
      </w:r>
      <w:r w:rsidR="0035417D" w:rsidRPr="00CE7BD0">
        <w:rPr>
          <w:rFonts w:eastAsia="Arial" w:cs="Arial"/>
          <w:b/>
          <w:spacing w:val="20"/>
          <w:sz w:val="32"/>
          <w:szCs w:val="32"/>
        </w:rPr>
        <w:t>ATER</w:t>
      </w:r>
      <w:r w:rsidRPr="00CE7BD0">
        <w:rPr>
          <w:rFonts w:eastAsia="Arial" w:cs="Arial"/>
          <w:b/>
          <w:spacing w:val="20"/>
          <w:sz w:val="32"/>
          <w:szCs w:val="32"/>
        </w:rPr>
        <w:t xml:space="preserve"> Q</w:t>
      </w:r>
      <w:r w:rsidR="0035417D" w:rsidRPr="00CE7BD0">
        <w:rPr>
          <w:rFonts w:eastAsia="Arial" w:cs="Arial"/>
          <w:b/>
          <w:spacing w:val="20"/>
          <w:sz w:val="32"/>
          <w:szCs w:val="32"/>
        </w:rPr>
        <w:t>UALITY</w:t>
      </w:r>
      <w:r w:rsidRPr="00CE7BD0">
        <w:rPr>
          <w:rFonts w:eastAsia="Arial" w:cs="Arial"/>
          <w:b/>
          <w:spacing w:val="20"/>
          <w:sz w:val="32"/>
          <w:szCs w:val="32"/>
        </w:rPr>
        <w:t xml:space="preserve"> A</w:t>
      </w:r>
      <w:r w:rsidR="0035417D" w:rsidRPr="00CE7BD0">
        <w:rPr>
          <w:rFonts w:eastAsia="Arial" w:cs="Arial"/>
          <w:b/>
          <w:spacing w:val="20"/>
          <w:sz w:val="32"/>
          <w:szCs w:val="32"/>
        </w:rPr>
        <w:t>SSESSMENTS</w:t>
      </w:r>
      <w:r w:rsidRPr="00CE7BD0">
        <w:rPr>
          <w:rFonts w:eastAsia="Arial" w:cs="Arial"/>
          <w:b/>
          <w:spacing w:val="20"/>
          <w:sz w:val="32"/>
          <w:szCs w:val="32"/>
        </w:rPr>
        <w:t xml:space="preserve"> </w:t>
      </w:r>
    </w:p>
    <w:p w14:paraId="62384215" w14:textId="65D309E1" w:rsidR="00C67345" w:rsidRDefault="00875D72" w:rsidP="00D95588">
      <w:pPr>
        <w:spacing w:before="6" w:after="0"/>
        <w:contextualSpacing/>
        <w:jc w:val="center"/>
        <w:rPr>
          <w:rFonts w:eastAsia="Arial" w:cs="Arial"/>
          <w:b/>
          <w:spacing w:val="20"/>
          <w:sz w:val="40"/>
          <w:szCs w:val="40"/>
        </w:rPr>
      </w:pPr>
      <w:r>
        <w:rPr>
          <w:rFonts w:eastAsia="Arial" w:cs="Arial"/>
          <w:b/>
          <w:spacing w:val="20"/>
          <w:sz w:val="28"/>
          <w:szCs w:val="28"/>
        </w:rPr>
        <w:t>TO</w:t>
      </w:r>
      <w:r w:rsidR="00BA4E93">
        <w:rPr>
          <w:rFonts w:eastAsia="Arial" w:cs="Arial"/>
          <w:b/>
          <w:spacing w:val="20"/>
          <w:sz w:val="40"/>
          <w:szCs w:val="40"/>
        </w:rPr>
        <w:t xml:space="preserve"> </w:t>
      </w:r>
      <w:r w:rsidR="00BA4E93" w:rsidRPr="00875D72">
        <w:rPr>
          <w:rFonts w:eastAsia="Arial" w:cs="Arial"/>
          <w:b/>
          <w:spacing w:val="20"/>
          <w:sz w:val="28"/>
          <w:szCs w:val="28"/>
        </w:rPr>
        <w:t>C</w:t>
      </w:r>
      <w:r w:rsidR="0035417D">
        <w:rPr>
          <w:rFonts w:eastAsia="Arial" w:cs="Arial"/>
          <w:b/>
          <w:spacing w:val="20"/>
          <w:sz w:val="28"/>
          <w:szCs w:val="28"/>
        </w:rPr>
        <w:t>OMPLY</w:t>
      </w:r>
      <w:r w:rsidR="00BA4E93" w:rsidRPr="00875D72">
        <w:rPr>
          <w:rFonts w:eastAsia="Arial" w:cs="Arial"/>
          <w:b/>
          <w:spacing w:val="20"/>
          <w:sz w:val="28"/>
          <w:szCs w:val="28"/>
        </w:rPr>
        <w:t xml:space="preserve"> W</w:t>
      </w:r>
      <w:r w:rsidR="0035417D">
        <w:rPr>
          <w:rFonts w:eastAsia="Arial" w:cs="Arial"/>
          <w:b/>
          <w:spacing w:val="20"/>
          <w:sz w:val="28"/>
          <w:szCs w:val="28"/>
        </w:rPr>
        <w:t>ITH</w:t>
      </w:r>
    </w:p>
    <w:p w14:paraId="5BD1360C" w14:textId="3219D51D" w:rsidR="007710C3" w:rsidRPr="00CE7BD0" w:rsidRDefault="007710C3" w:rsidP="00D95588">
      <w:pPr>
        <w:spacing w:after="0"/>
        <w:contextualSpacing/>
        <w:jc w:val="center"/>
        <w:rPr>
          <w:rFonts w:eastAsia="Arial" w:cs="Arial"/>
          <w:b/>
          <w:spacing w:val="20"/>
          <w:w w:val="99"/>
          <w:sz w:val="32"/>
          <w:szCs w:val="32"/>
        </w:rPr>
      </w:pPr>
      <w:r w:rsidRPr="00CE7BD0">
        <w:rPr>
          <w:rFonts w:eastAsia="Arial" w:cs="Arial"/>
          <w:b/>
          <w:spacing w:val="20"/>
          <w:sz w:val="32"/>
          <w:szCs w:val="32"/>
        </w:rPr>
        <w:t>CLEA</w:t>
      </w:r>
      <w:r w:rsidRPr="00CE7BD0">
        <w:rPr>
          <w:rFonts w:eastAsia="Arial" w:cs="Arial"/>
          <w:b/>
          <w:sz w:val="32"/>
          <w:szCs w:val="32"/>
        </w:rPr>
        <w:t>N</w:t>
      </w:r>
      <w:r w:rsidRPr="00CE7BD0">
        <w:rPr>
          <w:rFonts w:eastAsia="Arial" w:cs="Arial"/>
          <w:b/>
          <w:spacing w:val="38"/>
          <w:sz w:val="32"/>
          <w:szCs w:val="32"/>
        </w:rPr>
        <w:t xml:space="preserve"> </w:t>
      </w:r>
      <w:r w:rsidRPr="00CE7BD0">
        <w:rPr>
          <w:rFonts w:eastAsia="Arial" w:cs="Arial"/>
          <w:b/>
          <w:spacing w:val="20"/>
          <w:sz w:val="32"/>
          <w:szCs w:val="32"/>
        </w:rPr>
        <w:t>WATE</w:t>
      </w:r>
      <w:r w:rsidRPr="00CE7BD0">
        <w:rPr>
          <w:rFonts w:eastAsia="Arial" w:cs="Arial"/>
          <w:b/>
          <w:sz w:val="32"/>
          <w:szCs w:val="32"/>
        </w:rPr>
        <w:t>R</w:t>
      </w:r>
      <w:r w:rsidRPr="00CE7BD0">
        <w:rPr>
          <w:rFonts w:eastAsia="Arial" w:cs="Arial"/>
          <w:b/>
          <w:spacing w:val="37"/>
          <w:sz w:val="32"/>
          <w:szCs w:val="32"/>
        </w:rPr>
        <w:t xml:space="preserve"> </w:t>
      </w:r>
      <w:r w:rsidRPr="00CE7BD0">
        <w:rPr>
          <w:rFonts w:eastAsia="Arial" w:cs="Arial"/>
          <w:b/>
          <w:spacing w:val="20"/>
          <w:sz w:val="32"/>
          <w:szCs w:val="32"/>
        </w:rPr>
        <w:t>ACT</w:t>
      </w:r>
      <w:r w:rsidRPr="00CE7BD0">
        <w:rPr>
          <w:rFonts w:eastAsia="Arial" w:cs="Arial"/>
          <w:b/>
          <w:sz w:val="32"/>
          <w:szCs w:val="32"/>
        </w:rPr>
        <w:t xml:space="preserve"> </w:t>
      </w:r>
      <w:r w:rsidRPr="00CE7BD0">
        <w:rPr>
          <w:rFonts w:eastAsia="Arial" w:cs="Arial"/>
          <w:b/>
          <w:spacing w:val="20"/>
          <w:sz w:val="32"/>
          <w:szCs w:val="32"/>
        </w:rPr>
        <w:t>SECTION</w:t>
      </w:r>
      <w:r w:rsidRPr="00CE7BD0">
        <w:rPr>
          <w:rFonts w:eastAsia="Arial" w:cs="Arial"/>
          <w:b/>
          <w:sz w:val="32"/>
          <w:szCs w:val="32"/>
        </w:rPr>
        <w:t>S</w:t>
      </w:r>
      <w:r w:rsidRPr="00CE7BD0">
        <w:rPr>
          <w:rFonts w:eastAsia="Arial" w:cs="Arial"/>
          <w:b/>
          <w:spacing w:val="41"/>
          <w:sz w:val="32"/>
          <w:szCs w:val="32"/>
        </w:rPr>
        <w:t xml:space="preserve"> </w:t>
      </w:r>
      <w:r w:rsidRPr="00CE7BD0">
        <w:rPr>
          <w:rFonts w:eastAsia="Arial" w:cs="Arial"/>
          <w:b/>
          <w:spacing w:val="20"/>
          <w:w w:val="99"/>
          <w:sz w:val="32"/>
          <w:szCs w:val="32"/>
        </w:rPr>
        <w:t>303(d)</w:t>
      </w:r>
      <w:r w:rsidRPr="00CE7BD0">
        <w:rPr>
          <w:rFonts w:eastAsia="Arial" w:cs="Arial"/>
          <w:b/>
          <w:spacing w:val="7"/>
          <w:sz w:val="32"/>
          <w:szCs w:val="32"/>
        </w:rPr>
        <w:t xml:space="preserve"> </w:t>
      </w:r>
      <w:r w:rsidRPr="00CE7BD0">
        <w:rPr>
          <w:rFonts w:eastAsia="Arial" w:cs="Arial"/>
          <w:b/>
          <w:spacing w:val="20"/>
          <w:sz w:val="32"/>
          <w:szCs w:val="32"/>
        </w:rPr>
        <w:t>AN</w:t>
      </w:r>
      <w:r w:rsidRPr="00CE7BD0">
        <w:rPr>
          <w:rFonts w:eastAsia="Arial" w:cs="Arial"/>
          <w:b/>
          <w:sz w:val="32"/>
          <w:szCs w:val="32"/>
        </w:rPr>
        <w:t>D</w:t>
      </w:r>
      <w:r w:rsidRPr="00CE7BD0">
        <w:rPr>
          <w:rFonts w:eastAsia="Arial" w:cs="Arial"/>
          <w:b/>
          <w:spacing w:val="41"/>
          <w:sz w:val="32"/>
          <w:szCs w:val="32"/>
        </w:rPr>
        <w:t xml:space="preserve"> </w:t>
      </w:r>
      <w:r w:rsidRPr="00CE7BD0">
        <w:rPr>
          <w:rFonts w:eastAsia="Arial" w:cs="Arial"/>
          <w:b/>
          <w:spacing w:val="20"/>
          <w:sz w:val="32"/>
          <w:szCs w:val="32"/>
        </w:rPr>
        <w:t>305(b</w:t>
      </w:r>
      <w:r w:rsidRPr="00CE7BD0">
        <w:rPr>
          <w:rFonts w:eastAsia="Arial" w:cs="Arial"/>
          <w:b/>
          <w:sz w:val="32"/>
          <w:szCs w:val="32"/>
        </w:rPr>
        <w:t>)</w:t>
      </w:r>
      <w:r w:rsidRPr="00CE7BD0">
        <w:rPr>
          <w:rFonts w:eastAsia="Arial" w:cs="Arial"/>
          <w:b/>
          <w:spacing w:val="7"/>
          <w:sz w:val="32"/>
          <w:szCs w:val="32"/>
        </w:rPr>
        <w:t xml:space="preserve"> </w:t>
      </w:r>
    </w:p>
    <w:p w14:paraId="72A204E5" w14:textId="77777777" w:rsidR="007710C3" w:rsidRPr="004502A9" w:rsidRDefault="007710C3" w:rsidP="007710C3">
      <w:pPr>
        <w:contextualSpacing/>
        <w:jc w:val="center"/>
        <w:rPr>
          <w:rFonts w:eastAsia="Arial" w:cs="Arial"/>
          <w:szCs w:val="24"/>
        </w:rPr>
      </w:pPr>
    </w:p>
    <w:p w14:paraId="19174110" w14:textId="152B2771" w:rsidR="007710C3" w:rsidRPr="00832BF0" w:rsidRDefault="007710C3" w:rsidP="00832BF0">
      <w:pPr>
        <w:spacing w:line="480" w:lineRule="auto"/>
        <w:contextualSpacing/>
        <w:jc w:val="center"/>
        <w:rPr>
          <w:rFonts w:eastAsia="Arial" w:cs="Arial"/>
          <w:i/>
          <w:position w:val="-1"/>
          <w:szCs w:val="24"/>
        </w:rPr>
      </w:pPr>
      <w:r w:rsidRPr="004502A9">
        <w:rPr>
          <w:rFonts w:cs="Arial"/>
          <w:noProof/>
        </w:rPr>
        <w:drawing>
          <wp:inline distT="0" distB="0" distL="0" distR="0" wp14:anchorId="3502C77F" wp14:editId="46AC2A5A">
            <wp:extent cx="2186940" cy="1427419"/>
            <wp:effectExtent l="0" t="0" r="3810" b="1905"/>
            <wp:docPr id="1255058492" name="Picture 1255058492" descr="Surface Water Quality Assess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186940" cy="1427419"/>
                    </a:xfrm>
                    <a:prstGeom prst="rect">
                      <a:avLst/>
                    </a:prstGeom>
                  </pic:spPr>
                </pic:pic>
              </a:graphicData>
            </a:graphic>
          </wp:inline>
        </w:drawing>
      </w:r>
    </w:p>
    <w:p w14:paraId="601EAE62" w14:textId="349F313A" w:rsidR="009963A8" w:rsidRPr="000C53EC" w:rsidRDefault="009963A8" w:rsidP="000703D0">
      <w:pPr>
        <w:spacing w:after="200"/>
        <w:jc w:val="center"/>
        <w:rPr>
          <w:rFonts w:eastAsia="Arial" w:cs="Arial"/>
          <w:b/>
          <w:color w:val="C00000"/>
          <w:sz w:val="40"/>
          <w:szCs w:val="40"/>
        </w:rPr>
      </w:pPr>
      <w:r w:rsidRPr="008879D8">
        <w:rPr>
          <w:rFonts w:eastAsia="Arial" w:cs="Arial"/>
          <w:b/>
          <w:color w:val="C00000"/>
          <w:sz w:val="40"/>
          <w:szCs w:val="40"/>
        </w:rPr>
        <w:t xml:space="preserve">January </w:t>
      </w:r>
      <w:r w:rsidR="00260770" w:rsidRPr="008879D8">
        <w:rPr>
          <w:rFonts w:eastAsia="Arial" w:cs="Arial"/>
          <w:b/>
          <w:color w:val="C00000"/>
          <w:sz w:val="40"/>
          <w:szCs w:val="40"/>
        </w:rPr>
        <w:t>30</w:t>
      </w:r>
      <w:r w:rsidRPr="008879D8">
        <w:rPr>
          <w:rFonts w:eastAsia="Arial" w:cs="Arial"/>
          <w:b/>
          <w:color w:val="C00000"/>
          <w:sz w:val="40"/>
          <w:szCs w:val="40"/>
        </w:rPr>
        <w:t xml:space="preserve">, </w:t>
      </w:r>
      <w:r w:rsidR="00C6428D" w:rsidRPr="008879D8">
        <w:rPr>
          <w:rFonts w:eastAsia="Arial" w:cs="Arial"/>
          <w:b/>
          <w:color w:val="C00000"/>
          <w:sz w:val="40"/>
          <w:szCs w:val="40"/>
        </w:rPr>
        <w:t>202</w:t>
      </w:r>
      <w:r w:rsidR="00B757B9" w:rsidRPr="008879D8">
        <w:rPr>
          <w:rFonts w:eastAsia="Arial" w:cs="Arial"/>
          <w:b/>
          <w:color w:val="C00000"/>
          <w:sz w:val="40"/>
          <w:szCs w:val="40"/>
        </w:rPr>
        <w:t>5</w:t>
      </w:r>
    </w:p>
    <w:p w14:paraId="2C27BF35" w14:textId="39491D67" w:rsidR="007710C3" w:rsidRPr="004502A9" w:rsidRDefault="007710C3" w:rsidP="007710C3">
      <w:pPr>
        <w:tabs>
          <w:tab w:val="left" w:pos="6210"/>
        </w:tabs>
        <w:spacing w:after="0"/>
        <w:jc w:val="center"/>
        <w:rPr>
          <w:rFonts w:eastAsia="Arial" w:cs="Arial"/>
          <w:b/>
          <w:bCs/>
        </w:rPr>
      </w:pPr>
      <w:r w:rsidRPr="40F040DA">
        <w:rPr>
          <w:rFonts w:eastAsia="Arial" w:cs="Arial"/>
          <w:b/>
          <w:bCs/>
        </w:rPr>
        <w:t>State of California</w:t>
      </w:r>
    </w:p>
    <w:p w14:paraId="0BDF172B" w14:textId="77777777" w:rsidR="007710C3" w:rsidRPr="004502A9" w:rsidRDefault="007710C3" w:rsidP="007710C3">
      <w:pPr>
        <w:tabs>
          <w:tab w:val="left" w:pos="6210"/>
        </w:tabs>
        <w:spacing w:after="0"/>
        <w:jc w:val="center"/>
        <w:rPr>
          <w:rFonts w:eastAsia="Arial" w:cs="Arial"/>
          <w:i/>
          <w:iCs/>
        </w:rPr>
      </w:pPr>
      <w:r w:rsidRPr="004502A9">
        <w:rPr>
          <w:rFonts w:eastAsia="Arial" w:cs="Arial"/>
        </w:rPr>
        <w:t xml:space="preserve">Gavin Newsom, </w:t>
      </w:r>
      <w:r w:rsidRPr="004502A9">
        <w:rPr>
          <w:rFonts w:eastAsia="Arial" w:cs="Arial"/>
          <w:i/>
          <w:iCs/>
        </w:rPr>
        <w:t>Governor</w:t>
      </w:r>
    </w:p>
    <w:p w14:paraId="088887F8" w14:textId="77777777" w:rsidR="007710C3" w:rsidRPr="009963A8" w:rsidRDefault="007710C3" w:rsidP="007710C3">
      <w:pPr>
        <w:tabs>
          <w:tab w:val="left" w:pos="6210"/>
        </w:tabs>
        <w:spacing w:after="0"/>
        <w:jc w:val="center"/>
        <w:rPr>
          <w:rFonts w:eastAsia="Arial" w:cs="Arial"/>
          <w:i/>
          <w:sz w:val="12"/>
          <w:szCs w:val="12"/>
        </w:rPr>
      </w:pPr>
    </w:p>
    <w:p w14:paraId="78D4E32C" w14:textId="77777777" w:rsidR="007710C3" w:rsidRPr="004502A9" w:rsidRDefault="007710C3" w:rsidP="007710C3">
      <w:pPr>
        <w:tabs>
          <w:tab w:val="left" w:pos="6210"/>
        </w:tabs>
        <w:spacing w:after="0"/>
        <w:jc w:val="center"/>
        <w:rPr>
          <w:rFonts w:eastAsia="Arial" w:cs="Arial"/>
          <w:b/>
          <w:bCs/>
        </w:rPr>
      </w:pPr>
      <w:r w:rsidRPr="004502A9">
        <w:rPr>
          <w:rFonts w:eastAsia="Arial" w:cs="Arial"/>
          <w:b/>
          <w:bCs/>
        </w:rPr>
        <w:t>California Environmental Protection Agency</w:t>
      </w:r>
    </w:p>
    <w:p w14:paraId="1A1C0406" w14:textId="62B5750F" w:rsidR="007710C3" w:rsidRPr="004502A9" w:rsidRDefault="00E30590" w:rsidP="007710C3">
      <w:pPr>
        <w:tabs>
          <w:tab w:val="left" w:pos="6210"/>
        </w:tabs>
        <w:spacing w:after="0"/>
        <w:jc w:val="center"/>
        <w:rPr>
          <w:rFonts w:eastAsia="Arial" w:cs="Arial"/>
          <w:i/>
          <w:iCs/>
        </w:rPr>
      </w:pPr>
      <w:r>
        <w:rPr>
          <w:rFonts w:eastAsia="Arial" w:cs="Arial"/>
        </w:rPr>
        <w:t>Yana Garcia</w:t>
      </w:r>
      <w:r w:rsidR="007710C3" w:rsidRPr="004502A9">
        <w:rPr>
          <w:rFonts w:eastAsia="Arial" w:cs="Arial"/>
        </w:rPr>
        <w:t xml:space="preserve">, </w:t>
      </w:r>
      <w:r w:rsidR="007710C3" w:rsidRPr="004502A9">
        <w:rPr>
          <w:rFonts w:eastAsia="Arial" w:cs="Arial"/>
          <w:i/>
          <w:iCs/>
        </w:rPr>
        <w:t>Secretary</w:t>
      </w:r>
    </w:p>
    <w:p w14:paraId="3FD32987" w14:textId="77777777" w:rsidR="007710C3" w:rsidRPr="000703D0" w:rsidRDefault="007710C3" w:rsidP="007710C3">
      <w:pPr>
        <w:tabs>
          <w:tab w:val="left" w:pos="6210"/>
        </w:tabs>
        <w:spacing w:after="0"/>
        <w:jc w:val="center"/>
        <w:rPr>
          <w:rFonts w:eastAsia="Arial" w:cs="Arial"/>
          <w:sz w:val="20"/>
        </w:rPr>
      </w:pPr>
    </w:p>
    <w:p w14:paraId="22ED0799" w14:textId="77777777" w:rsidR="007710C3" w:rsidRPr="004502A9" w:rsidRDefault="007710C3" w:rsidP="007710C3">
      <w:pPr>
        <w:tabs>
          <w:tab w:val="left" w:pos="6210"/>
        </w:tabs>
        <w:spacing w:after="0"/>
        <w:jc w:val="center"/>
        <w:rPr>
          <w:rFonts w:eastAsia="Arial" w:cs="Arial"/>
          <w:b/>
          <w:bCs/>
        </w:rPr>
      </w:pPr>
      <w:r w:rsidRPr="004502A9">
        <w:rPr>
          <w:rFonts w:eastAsia="Arial" w:cs="Arial"/>
          <w:b/>
          <w:bCs/>
        </w:rPr>
        <w:t>State Water Resources Control Board</w:t>
      </w:r>
    </w:p>
    <w:p w14:paraId="7A492D1B" w14:textId="77777777" w:rsidR="007710C3" w:rsidRPr="004502A9" w:rsidRDefault="007710C3" w:rsidP="007710C3">
      <w:pPr>
        <w:tabs>
          <w:tab w:val="left" w:pos="6210"/>
        </w:tabs>
        <w:spacing w:after="0"/>
        <w:jc w:val="center"/>
        <w:rPr>
          <w:rFonts w:eastAsia="Arial" w:cs="Arial"/>
          <w:i/>
        </w:rPr>
      </w:pPr>
      <w:r w:rsidRPr="004502A9">
        <w:rPr>
          <w:rFonts w:eastAsia="Arial" w:cs="Arial"/>
        </w:rPr>
        <w:t>E. Joaquin Esquivel</w:t>
      </w:r>
      <w:r w:rsidRPr="004502A9">
        <w:rPr>
          <w:rFonts w:eastAsia="Arial" w:cs="Arial"/>
          <w:i/>
        </w:rPr>
        <w:t>,</w:t>
      </w:r>
      <w:r w:rsidRPr="004502A9">
        <w:rPr>
          <w:rFonts w:eastAsia="Arial" w:cs="Arial"/>
          <w:i/>
          <w:spacing w:val="1"/>
        </w:rPr>
        <w:t xml:space="preserve"> </w:t>
      </w:r>
      <w:r w:rsidRPr="004502A9">
        <w:rPr>
          <w:rFonts w:eastAsia="Arial" w:cs="Arial"/>
          <w:i/>
        </w:rPr>
        <w:t>Chair</w:t>
      </w:r>
    </w:p>
    <w:p w14:paraId="64544B4F" w14:textId="77777777" w:rsidR="007710C3" w:rsidRPr="004502A9" w:rsidRDefault="007710C3" w:rsidP="007710C3">
      <w:pPr>
        <w:tabs>
          <w:tab w:val="left" w:pos="6210"/>
        </w:tabs>
        <w:spacing w:after="0"/>
        <w:jc w:val="center"/>
        <w:rPr>
          <w:rFonts w:eastAsia="Arial" w:cs="Arial"/>
          <w:i/>
          <w:szCs w:val="24"/>
        </w:rPr>
      </w:pPr>
      <w:r w:rsidRPr="004502A9">
        <w:rPr>
          <w:rFonts w:eastAsia="Arial" w:cs="Arial"/>
          <w:szCs w:val="24"/>
        </w:rPr>
        <w:t>Dorene D’Adamo</w:t>
      </w:r>
      <w:r w:rsidRPr="004502A9">
        <w:rPr>
          <w:rFonts w:eastAsia="Arial" w:cs="Arial"/>
          <w:i/>
          <w:szCs w:val="24"/>
        </w:rPr>
        <w:t>, Vice-Chair</w:t>
      </w:r>
    </w:p>
    <w:p w14:paraId="10DA0220" w14:textId="6500D85F" w:rsidR="007710C3" w:rsidRPr="004502A9" w:rsidRDefault="007710C3" w:rsidP="007710C3">
      <w:pPr>
        <w:tabs>
          <w:tab w:val="left" w:pos="6210"/>
        </w:tabs>
        <w:spacing w:after="0"/>
        <w:jc w:val="center"/>
        <w:rPr>
          <w:rFonts w:eastAsia="Arial" w:cs="Arial"/>
          <w:i/>
          <w:iCs/>
        </w:rPr>
      </w:pPr>
      <w:r w:rsidRPr="004502A9">
        <w:rPr>
          <w:rFonts w:eastAsia="Arial" w:cs="Arial"/>
        </w:rPr>
        <w:t>Nichole Morgan</w:t>
      </w:r>
      <w:r w:rsidRPr="004502A9">
        <w:rPr>
          <w:rFonts w:eastAsia="Arial" w:cs="Arial"/>
          <w:i/>
          <w:iCs/>
        </w:rPr>
        <w:t>,</w:t>
      </w:r>
      <w:r w:rsidRPr="004502A9">
        <w:rPr>
          <w:rFonts w:eastAsia="Arial" w:cs="Arial"/>
          <w:i/>
          <w:iCs/>
          <w:spacing w:val="1"/>
        </w:rPr>
        <w:t xml:space="preserve"> </w:t>
      </w:r>
      <w:r w:rsidRPr="004502A9">
        <w:rPr>
          <w:rFonts w:eastAsia="Arial" w:cs="Arial"/>
          <w:i/>
          <w:iCs/>
        </w:rPr>
        <w:t>Me</w:t>
      </w:r>
      <w:r w:rsidRPr="004502A9">
        <w:rPr>
          <w:rFonts w:eastAsia="Arial" w:cs="Arial"/>
          <w:i/>
          <w:iCs/>
          <w:spacing w:val="-2"/>
        </w:rPr>
        <w:t>m</w:t>
      </w:r>
      <w:r w:rsidRPr="004502A9">
        <w:rPr>
          <w:rFonts w:eastAsia="Arial" w:cs="Arial"/>
          <w:i/>
          <w:iCs/>
        </w:rPr>
        <w:t>ber</w:t>
      </w:r>
    </w:p>
    <w:p w14:paraId="169032BC" w14:textId="77777777" w:rsidR="007710C3" w:rsidRPr="004502A9" w:rsidRDefault="007710C3" w:rsidP="007710C3">
      <w:pPr>
        <w:tabs>
          <w:tab w:val="left" w:pos="6210"/>
        </w:tabs>
        <w:spacing w:after="0"/>
        <w:jc w:val="center"/>
        <w:rPr>
          <w:rFonts w:eastAsia="Arial" w:cs="Arial"/>
          <w:i/>
          <w:szCs w:val="24"/>
        </w:rPr>
      </w:pPr>
      <w:r w:rsidRPr="004502A9">
        <w:rPr>
          <w:rFonts w:eastAsia="Arial" w:cs="Arial"/>
          <w:szCs w:val="24"/>
        </w:rPr>
        <w:t>Sean Maguire</w:t>
      </w:r>
      <w:r w:rsidRPr="004502A9">
        <w:rPr>
          <w:rFonts w:eastAsia="Arial" w:cs="Arial"/>
          <w:i/>
          <w:szCs w:val="24"/>
        </w:rPr>
        <w:t>,</w:t>
      </w:r>
      <w:r w:rsidRPr="004502A9">
        <w:rPr>
          <w:rFonts w:eastAsia="Arial" w:cs="Arial"/>
          <w:i/>
          <w:spacing w:val="1"/>
          <w:szCs w:val="24"/>
        </w:rPr>
        <w:t xml:space="preserve"> </w:t>
      </w:r>
      <w:r w:rsidRPr="004502A9">
        <w:rPr>
          <w:rFonts w:eastAsia="Arial" w:cs="Arial"/>
          <w:i/>
          <w:szCs w:val="24"/>
        </w:rPr>
        <w:t>Me</w:t>
      </w:r>
      <w:r w:rsidRPr="004502A9">
        <w:rPr>
          <w:rFonts w:eastAsia="Arial" w:cs="Arial"/>
          <w:i/>
          <w:spacing w:val="-2"/>
          <w:szCs w:val="24"/>
        </w:rPr>
        <w:t>m</w:t>
      </w:r>
      <w:r w:rsidRPr="004502A9">
        <w:rPr>
          <w:rFonts w:eastAsia="Arial" w:cs="Arial"/>
          <w:i/>
          <w:szCs w:val="24"/>
        </w:rPr>
        <w:t>ber</w:t>
      </w:r>
    </w:p>
    <w:p w14:paraId="34F7171C" w14:textId="77777777" w:rsidR="007710C3" w:rsidRPr="004502A9" w:rsidRDefault="007710C3" w:rsidP="007710C3">
      <w:pPr>
        <w:tabs>
          <w:tab w:val="left" w:pos="6210"/>
        </w:tabs>
        <w:spacing w:after="0"/>
        <w:jc w:val="center"/>
        <w:rPr>
          <w:rFonts w:eastAsia="Arial" w:cs="Arial"/>
          <w:i/>
          <w:szCs w:val="24"/>
        </w:rPr>
      </w:pPr>
      <w:r w:rsidRPr="004502A9">
        <w:rPr>
          <w:rFonts w:eastAsia="Arial" w:cs="Arial"/>
          <w:szCs w:val="24"/>
        </w:rPr>
        <w:t>Laurel Firestone</w:t>
      </w:r>
      <w:r w:rsidRPr="004502A9">
        <w:rPr>
          <w:rFonts w:eastAsia="Arial" w:cs="Arial"/>
          <w:i/>
          <w:szCs w:val="24"/>
        </w:rPr>
        <w:t>,</w:t>
      </w:r>
      <w:r w:rsidRPr="004502A9">
        <w:rPr>
          <w:rFonts w:eastAsia="Arial" w:cs="Arial"/>
          <w:i/>
          <w:spacing w:val="1"/>
          <w:szCs w:val="24"/>
        </w:rPr>
        <w:t xml:space="preserve"> </w:t>
      </w:r>
      <w:r w:rsidRPr="004502A9">
        <w:rPr>
          <w:rFonts w:eastAsia="Arial" w:cs="Arial"/>
          <w:i/>
          <w:szCs w:val="24"/>
        </w:rPr>
        <w:t>Me</w:t>
      </w:r>
      <w:r w:rsidRPr="004502A9">
        <w:rPr>
          <w:rFonts w:eastAsia="Arial" w:cs="Arial"/>
          <w:i/>
          <w:spacing w:val="-2"/>
          <w:szCs w:val="24"/>
        </w:rPr>
        <w:t>m</w:t>
      </w:r>
      <w:r w:rsidRPr="004502A9">
        <w:rPr>
          <w:rFonts w:eastAsia="Arial" w:cs="Arial"/>
          <w:i/>
          <w:szCs w:val="24"/>
        </w:rPr>
        <w:t>ber</w:t>
      </w:r>
    </w:p>
    <w:p w14:paraId="063E6B96" w14:textId="77777777" w:rsidR="007710C3" w:rsidRPr="003037B2" w:rsidRDefault="007710C3" w:rsidP="007710C3">
      <w:pPr>
        <w:tabs>
          <w:tab w:val="left" w:pos="6210"/>
        </w:tabs>
        <w:spacing w:after="0"/>
        <w:jc w:val="center"/>
        <w:rPr>
          <w:rFonts w:eastAsia="Arial" w:cs="Arial"/>
          <w:i/>
          <w:sz w:val="20"/>
        </w:rPr>
      </w:pPr>
    </w:p>
    <w:p w14:paraId="1DC9CD2F" w14:textId="41BF40CF" w:rsidR="00D87DAF" w:rsidRDefault="00D87DAF" w:rsidP="007710C3">
      <w:pPr>
        <w:tabs>
          <w:tab w:val="left" w:pos="6210"/>
        </w:tabs>
        <w:spacing w:after="0"/>
        <w:jc w:val="center"/>
        <w:rPr>
          <w:rFonts w:eastAsia="Arial" w:cs="Arial"/>
          <w:szCs w:val="24"/>
        </w:rPr>
      </w:pPr>
      <w:r>
        <w:rPr>
          <w:rFonts w:eastAsia="Arial" w:cs="Arial"/>
          <w:szCs w:val="24"/>
        </w:rPr>
        <w:t xml:space="preserve">Eric Oppenheimer, </w:t>
      </w:r>
      <w:r w:rsidRPr="00D87DAF">
        <w:rPr>
          <w:rFonts w:eastAsia="Arial" w:cs="Arial"/>
          <w:i/>
          <w:iCs/>
          <w:szCs w:val="24"/>
        </w:rPr>
        <w:t>Executive Director</w:t>
      </w:r>
    </w:p>
    <w:p w14:paraId="7FE4E08E" w14:textId="40BE1803" w:rsidR="007710C3" w:rsidRPr="004502A9" w:rsidRDefault="00D43679" w:rsidP="007710C3">
      <w:pPr>
        <w:tabs>
          <w:tab w:val="left" w:pos="6210"/>
        </w:tabs>
        <w:spacing w:after="0"/>
        <w:jc w:val="center"/>
        <w:rPr>
          <w:rFonts w:eastAsia="Arial" w:cs="Arial"/>
          <w:i/>
          <w:szCs w:val="24"/>
        </w:rPr>
      </w:pPr>
      <w:r>
        <w:rPr>
          <w:rFonts w:eastAsia="Arial" w:cs="Arial"/>
          <w:szCs w:val="24"/>
        </w:rPr>
        <w:t>Karen Mogus</w:t>
      </w:r>
      <w:r w:rsidR="007710C3" w:rsidRPr="004502A9">
        <w:rPr>
          <w:rFonts w:eastAsia="Arial" w:cs="Arial"/>
          <w:szCs w:val="24"/>
        </w:rPr>
        <w:t>,</w:t>
      </w:r>
      <w:r w:rsidR="007710C3" w:rsidRPr="004502A9">
        <w:rPr>
          <w:rFonts w:eastAsia="Arial" w:cs="Arial"/>
          <w:i/>
          <w:szCs w:val="24"/>
        </w:rPr>
        <w:t xml:space="preserve"> Chief Deputy Director</w:t>
      </w:r>
    </w:p>
    <w:p w14:paraId="0A87B308" w14:textId="70C7904C" w:rsidR="007710C3" w:rsidRDefault="001905CF" w:rsidP="00126590">
      <w:pPr>
        <w:tabs>
          <w:tab w:val="center" w:pos="4680"/>
          <w:tab w:val="left" w:pos="6210"/>
          <w:tab w:val="left" w:pos="7455"/>
        </w:tabs>
        <w:spacing w:after="0" w:line="480" w:lineRule="auto"/>
        <w:rPr>
          <w:rFonts w:eastAsia="Arial" w:cs="Arial"/>
          <w:i/>
          <w:szCs w:val="24"/>
        </w:rPr>
      </w:pPr>
      <w:r>
        <w:rPr>
          <w:rFonts w:eastAsia="Arial" w:cs="Arial"/>
          <w:iCs/>
          <w:szCs w:val="24"/>
        </w:rPr>
        <w:tab/>
      </w:r>
      <w:r>
        <w:rPr>
          <w:rFonts w:eastAsia="Arial" w:cs="Arial"/>
          <w:i/>
          <w:szCs w:val="24"/>
        </w:rPr>
        <w:tab/>
      </w:r>
    </w:p>
    <w:p w14:paraId="73CC1C4B" w14:textId="3394D64B" w:rsidR="000D108B" w:rsidRDefault="000D108B" w:rsidP="008E4362">
      <w:pPr>
        <w:spacing w:after="160" w:line="259" w:lineRule="auto"/>
        <w:rPr>
          <w:rFonts w:eastAsia="Arial" w:cs="Arial"/>
          <w:i/>
          <w:szCs w:val="24"/>
        </w:rPr>
      </w:pPr>
    </w:p>
    <w:p w14:paraId="50016F81" w14:textId="7115F077" w:rsidR="00C93408" w:rsidRDefault="007710C3" w:rsidP="00C93408">
      <w:pPr>
        <w:spacing w:after="0" w:line="480" w:lineRule="auto"/>
        <w:jc w:val="center"/>
        <w:rPr>
          <w:rFonts w:eastAsia="Arial" w:cs="Arial"/>
          <w:sz w:val="19"/>
          <w:szCs w:val="19"/>
        </w:rPr>
      </w:pPr>
      <w:r w:rsidRPr="004502A9">
        <w:rPr>
          <w:noProof/>
        </w:rPr>
        <w:drawing>
          <wp:anchor distT="0" distB="0" distL="114300" distR="114300" simplePos="0" relativeHeight="251658240" behindDoc="0" locked="0" layoutInCell="1" allowOverlap="1" wp14:anchorId="55E1A904" wp14:editId="60F9BE13">
            <wp:simplePos x="0" y="0"/>
            <wp:positionH relativeFrom="margin">
              <wp:align>center</wp:align>
            </wp:positionH>
            <wp:positionV relativeFrom="paragraph">
              <wp:posOffset>300990</wp:posOffset>
            </wp:positionV>
            <wp:extent cx="469265" cy="448310"/>
            <wp:effectExtent l="0" t="0" r="6985" b="889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265" cy="448310"/>
                    </a:xfrm>
                    <a:prstGeom prst="rect">
                      <a:avLst/>
                    </a:prstGeom>
                    <a:noFill/>
                  </pic:spPr>
                </pic:pic>
              </a:graphicData>
            </a:graphic>
            <wp14:sizeRelH relativeFrom="page">
              <wp14:pctWidth>0</wp14:pctWidth>
            </wp14:sizeRelH>
            <wp14:sizeRelV relativeFrom="page">
              <wp14:pctHeight>0</wp14:pctHeight>
            </wp14:sizeRelV>
          </wp:anchor>
        </w:drawing>
      </w:r>
      <w:r w:rsidRPr="004502A9">
        <w:rPr>
          <w:spacing w:val="-1"/>
        </w:rPr>
        <w:t>C</w:t>
      </w:r>
      <w:r w:rsidRPr="004502A9">
        <w:t>ALI</w:t>
      </w:r>
      <w:r w:rsidRPr="004502A9">
        <w:rPr>
          <w:spacing w:val="1"/>
        </w:rPr>
        <w:t>F</w:t>
      </w:r>
      <w:r w:rsidRPr="004502A9">
        <w:t>ORNIA</w:t>
      </w:r>
      <w:r w:rsidRPr="004502A9">
        <w:rPr>
          <w:spacing w:val="-10"/>
        </w:rPr>
        <w:t xml:space="preserve"> </w:t>
      </w:r>
      <w:r w:rsidRPr="004502A9">
        <w:t>ENVIRONMENTAL</w:t>
      </w:r>
      <w:r w:rsidRPr="004502A9">
        <w:rPr>
          <w:spacing w:val="-15"/>
        </w:rPr>
        <w:t xml:space="preserve"> </w:t>
      </w:r>
      <w:r w:rsidRPr="004502A9">
        <w:t>PROTECTION</w:t>
      </w:r>
      <w:r w:rsidRPr="004502A9">
        <w:rPr>
          <w:spacing w:val="-11"/>
        </w:rPr>
        <w:t xml:space="preserve"> </w:t>
      </w:r>
      <w:r w:rsidRPr="004502A9">
        <w:t>AGENCY</w:t>
      </w:r>
      <w:bookmarkStart w:id="0" w:name="_Toc50714134"/>
    </w:p>
    <w:p w14:paraId="621F88F8" w14:textId="77777777" w:rsidR="00C93408" w:rsidRDefault="00C93408" w:rsidP="00C93408">
      <w:pPr>
        <w:spacing w:after="0" w:line="480" w:lineRule="auto"/>
        <w:jc w:val="center"/>
        <w:rPr>
          <w:rFonts w:eastAsia="Arial" w:cs="Arial"/>
          <w:sz w:val="19"/>
          <w:szCs w:val="19"/>
        </w:rPr>
      </w:pPr>
    </w:p>
    <w:p w14:paraId="20F44694" w14:textId="77777777" w:rsidR="00C93408" w:rsidRDefault="00C93408" w:rsidP="00C93408">
      <w:pPr>
        <w:spacing w:after="0" w:line="480" w:lineRule="auto"/>
        <w:jc w:val="center"/>
        <w:rPr>
          <w:rFonts w:eastAsia="Arial" w:cs="Arial"/>
          <w:sz w:val="19"/>
          <w:szCs w:val="19"/>
        </w:rPr>
      </w:pPr>
    </w:p>
    <w:p w14:paraId="60458B9D" w14:textId="77777777" w:rsidR="00C93408" w:rsidRDefault="00C93408" w:rsidP="00C93408">
      <w:pPr>
        <w:spacing w:after="0" w:line="480" w:lineRule="auto"/>
        <w:rPr>
          <w:rFonts w:eastAsia="Arial" w:cs="Arial"/>
          <w:sz w:val="19"/>
          <w:szCs w:val="19"/>
        </w:rPr>
      </w:pPr>
    </w:p>
    <w:bookmarkStart w:id="1" w:name="_Toc189048536" w:displacedByCustomXml="next"/>
    <w:sdt>
      <w:sdtPr>
        <w:rPr>
          <w:rFonts w:eastAsiaTheme="minorEastAsia" w:cs="Times New Roman"/>
          <w:b w:val="0"/>
          <w:bCs w:val="0"/>
          <w:color w:val="auto"/>
          <w:sz w:val="20"/>
          <w:szCs w:val="20"/>
        </w:rPr>
        <w:id w:val="1489907953"/>
        <w:docPartObj>
          <w:docPartGallery w:val="Table of Contents"/>
          <w:docPartUnique/>
        </w:docPartObj>
      </w:sdtPr>
      <w:sdtEndPr>
        <w:rPr>
          <w:sz w:val="24"/>
          <w:szCs w:val="24"/>
        </w:rPr>
      </w:sdtEndPr>
      <w:sdtContent>
        <w:p w14:paraId="003257F3" w14:textId="28F2BB4E" w:rsidR="007710C3" w:rsidRPr="004502A9" w:rsidRDefault="007710C3" w:rsidP="00AA78F2">
          <w:pPr>
            <w:pStyle w:val="Heading1"/>
            <w:numPr>
              <w:ilvl w:val="0"/>
              <w:numId w:val="0"/>
            </w:numPr>
          </w:pPr>
          <w:r w:rsidRPr="004502A9">
            <w:t>Table of Contents</w:t>
          </w:r>
          <w:bookmarkEnd w:id="0"/>
          <w:bookmarkEnd w:id="1"/>
        </w:p>
        <w:p w14:paraId="544047E3" w14:textId="416A241F" w:rsidR="00375328" w:rsidRDefault="007710C3">
          <w:pPr>
            <w:pStyle w:val="TOC1"/>
            <w:rPr>
              <w:rFonts w:asciiTheme="minorHAnsi" w:eastAsiaTheme="minorEastAsia" w:hAnsiTheme="minorHAnsi" w:cstheme="minorBidi"/>
              <w:noProof/>
              <w:kern w:val="2"/>
              <w:szCs w:val="24"/>
              <w14:ligatures w14:val="standardContextual"/>
            </w:rPr>
          </w:pPr>
          <w:r w:rsidRPr="004502A9">
            <w:fldChar w:fldCharType="begin"/>
          </w:r>
          <w:r w:rsidRPr="004502A9">
            <w:instrText xml:space="preserve"> TOC \o "1-3" \h \z \u </w:instrText>
          </w:r>
          <w:r w:rsidRPr="004502A9">
            <w:fldChar w:fldCharType="separate"/>
          </w:r>
          <w:hyperlink w:anchor="_Toc189048536" w:history="1">
            <w:r w:rsidR="00375328" w:rsidRPr="00AA4B7E">
              <w:rPr>
                <w:rStyle w:val="Hyperlink"/>
                <w:noProof/>
              </w:rPr>
              <w:t>Table of Contents</w:t>
            </w:r>
            <w:r w:rsidR="00375328">
              <w:rPr>
                <w:noProof/>
                <w:webHidden/>
              </w:rPr>
              <w:tab/>
            </w:r>
            <w:r w:rsidR="00375328">
              <w:rPr>
                <w:noProof/>
                <w:webHidden/>
              </w:rPr>
              <w:fldChar w:fldCharType="begin"/>
            </w:r>
            <w:r w:rsidR="00375328">
              <w:rPr>
                <w:noProof/>
                <w:webHidden/>
              </w:rPr>
              <w:instrText xml:space="preserve"> PAGEREF _Toc189048536 \h </w:instrText>
            </w:r>
            <w:r w:rsidR="00375328">
              <w:rPr>
                <w:noProof/>
                <w:webHidden/>
              </w:rPr>
            </w:r>
            <w:r w:rsidR="00375328">
              <w:rPr>
                <w:noProof/>
                <w:webHidden/>
              </w:rPr>
              <w:fldChar w:fldCharType="separate"/>
            </w:r>
            <w:r w:rsidR="00375328">
              <w:rPr>
                <w:noProof/>
                <w:webHidden/>
              </w:rPr>
              <w:t>1</w:t>
            </w:r>
            <w:r w:rsidR="00375328">
              <w:rPr>
                <w:noProof/>
                <w:webHidden/>
              </w:rPr>
              <w:fldChar w:fldCharType="end"/>
            </w:r>
          </w:hyperlink>
        </w:p>
        <w:p w14:paraId="4112B4C5" w14:textId="0211B62E" w:rsidR="00375328" w:rsidRDefault="00375328">
          <w:pPr>
            <w:pStyle w:val="TOC1"/>
            <w:rPr>
              <w:rFonts w:asciiTheme="minorHAnsi" w:eastAsiaTheme="minorEastAsia" w:hAnsiTheme="minorHAnsi" w:cstheme="minorBidi"/>
              <w:noProof/>
              <w:kern w:val="2"/>
              <w:szCs w:val="24"/>
              <w14:ligatures w14:val="standardContextual"/>
            </w:rPr>
          </w:pPr>
          <w:hyperlink w:anchor="_Toc189048537" w:history="1">
            <w:r w:rsidRPr="00AA4B7E">
              <w:rPr>
                <w:rStyle w:val="Hyperlink"/>
                <w:noProof/>
              </w:rPr>
              <w:t>Appendices</w:t>
            </w:r>
            <w:r>
              <w:rPr>
                <w:noProof/>
                <w:webHidden/>
              </w:rPr>
              <w:tab/>
            </w:r>
            <w:r>
              <w:rPr>
                <w:noProof/>
                <w:webHidden/>
              </w:rPr>
              <w:fldChar w:fldCharType="begin"/>
            </w:r>
            <w:r>
              <w:rPr>
                <w:noProof/>
                <w:webHidden/>
              </w:rPr>
              <w:instrText xml:space="preserve"> PAGEREF _Toc189048537 \h </w:instrText>
            </w:r>
            <w:r>
              <w:rPr>
                <w:noProof/>
                <w:webHidden/>
              </w:rPr>
            </w:r>
            <w:r>
              <w:rPr>
                <w:noProof/>
                <w:webHidden/>
              </w:rPr>
              <w:fldChar w:fldCharType="separate"/>
            </w:r>
            <w:r>
              <w:rPr>
                <w:noProof/>
                <w:webHidden/>
              </w:rPr>
              <w:t>5</w:t>
            </w:r>
            <w:r>
              <w:rPr>
                <w:noProof/>
                <w:webHidden/>
              </w:rPr>
              <w:fldChar w:fldCharType="end"/>
            </w:r>
          </w:hyperlink>
        </w:p>
        <w:p w14:paraId="05ADB33A" w14:textId="2D742209" w:rsidR="00375328" w:rsidRDefault="00375328">
          <w:pPr>
            <w:pStyle w:val="TOC1"/>
            <w:rPr>
              <w:rFonts w:asciiTheme="minorHAnsi" w:eastAsiaTheme="minorEastAsia" w:hAnsiTheme="minorHAnsi" w:cstheme="minorBidi"/>
              <w:noProof/>
              <w:kern w:val="2"/>
              <w:szCs w:val="24"/>
              <w14:ligatures w14:val="standardContextual"/>
            </w:rPr>
          </w:pPr>
          <w:hyperlink w:anchor="_Toc189048538" w:history="1">
            <w:r w:rsidRPr="00AA4B7E">
              <w:rPr>
                <w:rStyle w:val="Hyperlink"/>
                <w:noProof/>
              </w:rPr>
              <w:t>List of Figures and Tables</w:t>
            </w:r>
            <w:r>
              <w:rPr>
                <w:noProof/>
                <w:webHidden/>
              </w:rPr>
              <w:tab/>
            </w:r>
            <w:r>
              <w:rPr>
                <w:noProof/>
                <w:webHidden/>
              </w:rPr>
              <w:fldChar w:fldCharType="begin"/>
            </w:r>
            <w:r>
              <w:rPr>
                <w:noProof/>
                <w:webHidden/>
              </w:rPr>
              <w:instrText xml:space="preserve"> PAGEREF _Toc189048538 \h </w:instrText>
            </w:r>
            <w:r>
              <w:rPr>
                <w:noProof/>
                <w:webHidden/>
              </w:rPr>
            </w:r>
            <w:r>
              <w:rPr>
                <w:noProof/>
                <w:webHidden/>
              </w:rPr>
              <w:fldChar w:fldCharType="separate"/>
            </w:r>
            <w:r>
              <w:rPr>
                <w:noProof/>
                <w:webHidden/>
              </w:rPr>
              <w:t>6</w:t>
            </w:r>
            <w:r>
              <w:rPr>
                <w:noProof/>
                <w:webHidden/>
              </w:rPr>
              <w:fldChar w:fldCharType="end"/>
            </w:r>
          </w:hyperlink>
        </w:p>
        <w:p w14:paraId="73C15A62" w14:textId="7141B5E7" w:rsidR="00375328" w:rsidRDefault="00375328">
          <w:pPr>
            <w:pStyle w:val="TOC1"/>
            <w:rPr>
              <w:rFonts w:asciiTheme="minorHAnsi" w:eastAsiaTheme="minorEastAsia" w:hAnsiTheme="minorHAnsi" w:cstheme="minorBidi"/>
              <w:noProof/>
              <w:kern w:val="2"/>
              <w:szCs w:val="24"/>
              <w14:ligatures w14:val="standardContextual"/>
            </w:rPr>
          </w:pPr>
          <w:hyperlink w:anchor="_Toc189048539" w:history="1">
            <w:r w:rsidRPr="00AA4B7E">
              <w:rPr>
                <w:rStyle w:val="Hyperlink"/>
                <w:noProof/>
              </w:rPr>
              <w:t>List of Regulatory Acronyms, Initialisms, and Abbreviations</w:t>
            </w:r>
            <w:r>
              <w:rPr>
                <w:noProof/>
                <w:webHidden/>
              </w:rPr>
              <w:tab/>
            </w:r>
            <w:r>
              <w:rPr>
                <w:noProof/>
                <w:webHidden/>
              </w:rPr>
              <w:fldChar w:fldCharType="begin"/>
            </w:r>
            <w:r>
              <w:rPr>
                <w:noProof/>
                <w:webHidden/>
              </w:rPr>
              <w:instrText xml:space="preserve"> PAGEREF _Toc189048539 \h </w:instrText>
            </w:r>
            <w:r>
              <w:rPr>
                <w:noProof/>
                <w:webHidden/>
              </w:rPr>
            </w:r>
            <w:r>
              <w:rPr>
                <w:noProof/>
                <w:webHidden/>
              </w:rPr>
              <w:fldChar w:fldCharType="separate"/>
            </w:r>
            <w:r>
              <w:rPr>
                <w:noProof/>
                <w:webHidden/>
              </w:rPr>
              <w:t>7</w:t>
            </w:r>
            <w:r>
              <w:rPr>
                <w:noProof/>
                <w:webHidden/>
              </w:rPr>
              <w:fldChar w:fldCharType="end"/>
            </w:r>
          </w:hyperlink>
        </w:p>
        <w:p w14:paraId="5BB56925" w14:textId="2F445C43" w:rsidR="00375328" w:rsidRDefault="00375328">
          <w:pPr>
            <w:pStyle w:val="TOC1"/>
            <w:rPr>
              <w:rFonts w:asciiTheme="minorHAnsi" w:eastAsiaTheme="minorEastAsia" w:hAnsiTheme="minorHAnsi" w:cstheme="minorBidi"/>
              <w:noProof/>
              <w:kern w:val="2"/>
              <w:szCs w:val="24"/>
              <w14:ligatures w14:val="standardContextual"/>
            </w:rPr>
          </w:pPr>
          <w:hyperlink w:anchor="_Toc189048540" w:history="1">
            <w:r w:rsidRPr="00AA4B7E">
              <w:rPr>
                <w:rStyle w:val="Hyperlink"/>
                <w:noProof/>
              </w:rPr>
              <w:t>List of Scientific Acronyms, Initialisms, and Abbreviations</w:t>
            </w:r>
            <w:r>
              <w:rPr>
                <w:noProof/>
                <w:webHidden/>
              </w:rPr>
              <w:tab/>
            </w:r>
            <w:r>
              <w:rPr>
                <w:noProof/>
                <w:webHidden/>
              </w:rPr>
              <w:fldChar w:fldCharType="begin"/>
            </w:r>
            <w:r>
              <w:rPr>
                <w:noProof/>
                <w:webHidden/>
              </w:rPr>
              <w:instrText xml:space="preserve"> PAGEREF _Toc189048540 \h </w:instrText>
            </w:r>
            <w:r>
              <w:rPr>
                <w:noProof/>
                <w:webHidden/>
              </w:rPr>
            </w:r>
            <w:r>
              <w:rPr>
                <w:noProof/>
                <w:webHidden/>
              </w:rPr>
              <w:fldChar w:fldCharType="separate"/>
            </w:r>
            <w:r>
              <w:rPr>
                <w:noProof/>
                <w:webHidden/>
              </w:rPr>
              <w:t>8</w:t>
            </w:r>
            <w:r>
              <w:rPr>
                <w:noProof/>
                <w:webHidden/>
              </w:rPr>
              <w:fldChar w:fldCharType="end"/>
            </w:r>
          </w:hyperlink>
        </w:p>
        <w:p w14:paraId="598FA0E8" w14:textId="4EB2C9EA" w:rsidR="00375328" w:rsidRDefault="00375328">
          <w:pPr>
            <w:pStyle w:val="TOC1"/>
            <w:rPr>
              <w:rFonts w:asciiTheme="minorHAnsi" w:eastAsiaTheme="minorEastAsia" w:hAnsiTheme="minorHAnsi" w:cstheme="minorBidi"/>
              <w:noProof/>
              <w:kern w:val="2"/>
              <w:szCs w:val="24"/>
              <w14:ligatures w14:val="standardContextual"/>
            </w:rPr>
          </w:pPr>
          <w:hyperlink w:anchor="_Toc189048541" w:history="1">
            <w:r w:rsidRPr="00AA4B7E">
              <w:rPr>
                <w:rStyle w:val="Hyperlink"/>
                <w:noProof/>
              </w:rPr>
              <w:t>Executive Summary</w:t>
            </w:r>
            <w:r>
              <w:rPr>
                <w:noProof/>
                <w:webHidden/>
              </w:rPr>
              <w:tab/>
            </w:r>
            <w:r>
              <w:rPr>
                <w:noProof/>
                <w:webHidden/>
              </w:rPr>
              <w:fldChar w:fldCharType="begin"/>
            </w:r>
            <w:r>
              <w:rPr>
                <w:noProof/>
                <w:webHidden/>
              </w:rPr>
              <w:instrText xml:space="preserve"> PAGEREF _Toc189048541 \h </w:instrText>
            </w:r>
            <w:r>
              <w:rPr>
                <w:noProof/>
                <w:webHidden/>
              </w:rPr>
            </w:r>
            <w:r>
              <w:rPr>
                <w:noProof/>
                <w:webHidden/>
              </w:rPr>
              <w:fldChar w:fldCharType="separate"/>
            </w:r>
            <w:r>
              <w:rPr>
                <w:noProof/>
                <w:webHidden/>
              </w:rPr>
              <w:t>9</w:t>
            </w:r>
            <w:r>
              <w:rPr>
                <w:noProof/>
                <w:webHidden/>
              </w:rPr>
              <w:fldChar w:fldCharType="end"/>
            </w:r>
          </w:hyperlink>
        </w:p>
        <w:p w14:paraId="761CD6C5" w14:textId="70CB88BD" w:rsidR="00375328" w:rsidRDefault="00375328">
          <w:pPr>
            <w:pStyle w:val="TOC1"/>
            <w:rPr>
              <w:rFonts w:asciiTheme="minorHAnsi" w:eastAsiaTheme="minorEastAsia" w:hAnsiTheme="minorHAnsi" w:cstheme="minorBidi"/>
              <w:noProof/>
              <w:kern w:val="2"/>
              <w:szCs w:val="24"/>
              <w14:ligatures w14:val="standardContextual"/>
            </w:rPr>
          </w:pPr>
          <w:hyperlink w:anchor="_Toc189048542" w:history="1">
            <w:r w:rsidRPr="00AA4B7E">
              <w:rPr>
                <w:rStyle w:val="Hyperlink"/>
                <w:noProof/>
              </w:rPr>
              <w:t>1</w:t>
            </w:r>
            <w:r>
              <w:rPr>
                <w:rFonts w:asciiTheme="minorHAnsi" w:eastAsiaTheme="minorEastAsia" w:hAnsiTheme="minorHAnsi" w:cstheme="minorBidi"/>
                <w:noProof/>
                <w:kern w:val="2"/>
                <w:szCs w:val="24"/>
                <w14:ligatures w14:val="standardContextual"/>
              </w:rPr>
              <w:tab/>
            </w:r>
            <w:r w:rsidRPr="00AA4B7E">
              <w:rPr>
                <w:rStyle w:val="Hyperlink"/>
                <w:noProof/>
              </w:rPr>
              <w:t>About the California Integrated Report</w:t>
            </w:r>
            <w:r>
              <w:rPr>
                <w:noProof/>
                <w:webHidden/>
              </w:rPr>
              <w:tab/>
            </w:r>
            <w:r>
              <w:rPr>
                <w:noProof/>
                <w:webHidden/>
              </w:rPr>
              <w:fldChar w:fldCharType="begin"/>
            </w:r>
            <w:r>
              <w:rPr>
                <w:noProof/>
                <w:webHidden/>
              </w:rPr>
              <w:instrText xml:space="preserve"> PAGEREF _Toc189048542 \h </w:instrText>
            </w:r>
            <w:r>
              <w:rPr>
                <w:noProof/>
                <w:webHidden/>
              </w:rPr>
            </w:r>
            <w:r>
              <w:rPr>
                <w:noProof/>
                <w:webHidden/>
              </w:rPr>
              <w:fldChar w:fldCharType="separate"/>
            </w:r>
            <w:r>
              <w:rPr>
                <w:noProof/>
                <w:webHidden/>
              </w:rPr>
              <w:t>12</w:t>
            </w:r>
            <w:r>
              <w:rPr>
                <w:noProof/>
                <w:webHidden/>
              </w:rPr>
              <w:fldChar w:fldCharType="end"/>
            </w:r>
          </w:hyperlink>
        </w:p>
        <w:p w14:paraId="4B683263" w14:textId="05C7B3A5" w:rsidR="00375328" w:rsidRDefault="00375328">
          <w:pPr>
            <w:pStyle w:val="TOC2"/>
            <w:rPr>
              <w:rFonts w:asciiTheme="minorHAnsi" w:eastAsiaTheme="minorEastAsia" w:hAnsiTheme="minorHAnsi" w:cstheme="minorBidi"/>
              <w:noProof/>
              <w:kern w:val="2"/>
              <w:szCs w:val="24"/>
              <w14:ligatures w14:val="standardContextual"/>
            </w:rPr>
          </w:pPr>
          <w:hyperlink w:anchor="_Toc189048543" w:history="1">
            <w:r w:rsidRPr="00AA4B7E">
              <w:rPr>
                <w:rStyle w:val="Hyperlink"/>
                <w:noProof/>
              </w:rPr>
              <w:t>1.1</w:t>
            </w:r>
            <w:r>
              <w:rPr>
                <w:rFonts w:asciiTheme="minorHAnsi" w:eastAsiaTheme="minorEastAsia" w:hAnsiTheme="minorHAnsi" w:cstheme="minorBidi"/>
                <w:noProof/>
                <w:kern w:val="2"/>
                <w:szCs w:val="24"/>
                <w14:ligatures w14:val="standardContextual"/>
              </w:rPr>
              <w:tab/>
            </w:r>
            <w:r w:rsidRPr="00AA4B7E">
              <w:rPr>
                <w:rStyle w:val="Hyperlink"/>
                <w:noProof/>
              </w:rPr>
              <w:t>The 303(d) List of Impaired Waters</w:t>
            </w:r>
            <w:r>
              <w:rPr>
                <w:noProof/>
                <w:webHidden/>
              </w:rPr>
              <w:tab/>
            </w:r>
            <w:r>
              <w:rPr>
                <w:noProof/>
                <w:webHidden/>
              </w:rPr>
              <w:fldChar w:fldCharType="begin"/>
            </w:r>
            <w:r>
              <w:rPr>
                <w:noProof/>
                <w:webHidden/>
              </w:rPr>
              <w:instrText xml:space="preserve"> PAGEREF _Toc189048543 \h </w:instrText>
            </w:r>
            <w:r>
              <w:rPr>
                <w:noProof/>
                <w:webHidden/>
              </w:rPr>
            </w:r>
            <w:r>
              <w:rPr>
                <w:noProof/>
                <w:webHidden/>
              </w:rPr>
              <w:fldChar w:fldCharType="separate"/>
            </w:r>
            <w:r>
              <w:rPr>
                <w:noProof/>
                <w:webHidden/>
              </w:rPr>
              <w:t>12</w:t>
            </w:r>
            <w:r>
              <w:rPr>
                <w:noProof/>
                <w:webHidden/>
              </w:rPr>
              <w:fldChar w:fldCharType="end"/>
            </w:r>
          </w:hyperlink>
        </w:p>
        <w:p w14:paraId="7761CC50" w14:textId="3ED616BD" w:rsidR="00375328" w:rsidRDefault="00375328">
          <w:pPr>
            <w:pStyle w:val="TOC2"/>
            <w:rPr>
              <w:rFonts w:asciiTheme="minorHAnsi" w:eastAsiaTheme="minorEastAsia" w:hAnsiTheme="minorHAnsi" w:cstheme="minorBidi"/>
              <w:noProof/>
              <w:kern w:val="2"/>
              <w:szCs w:val="24"/>
              <w14:ligatures w14:val="standardContextual"/>
            </w:rPr>
          </w:pPr>
          <w:hyperlink w:anchor="_Toc189048544" w:history="1">
            <w:r w:rsidRPr="00AA4B7E">
              <w:rPr>
                <w:rStyle w:val="Hyperlink"/>
                <w:noProof/>
              </w:rPr>
              <w:t>1.2</w:t>
            </w:r>
            <w:r>
              <w:rPr>
                <w:rFonts w:asciiTheme="minorHAnsi" w:eastAsiaTheme="minorEastAsia" w:hAnsiTheme="minorHAnsi" w:cstheme="minorBidi"/>
                <w:noProof/>
                <w:kern w:val="2"/>
                <w:szCs w:val="24"/>
                <w14:ligatures w14:val="standardContextual"/>
              </w:rPr>
              <w:tab/>
            </w:r>
            <w:r w:rsidRPr="00AA4B7E">
              <w:rPr>
                <w:rStyle w:val="Hyperlink"/>
                <w:noProof/>
              </w:rPr>
              <w:t>California’s 305(b) Report Condition Categories</w:t>
            </w:r>
            <w:r>
              <w:rPr>
                <w:noProof/>
                <w:webHidden/>
              </w:rPr>
              <w:tab/>
            </w:r>
            <w:r>
              <w:rPr>
                <w:noProof/>
                <w:webHidden/>
              </w:rPr>
              <w:fldChar w:fldCharType="begin"/>
            </w:r>
            <w:r>
              <w:rPr>
                <w:noProof/>
                <w:webHidden/>
              </w:rPr>
              <w:instrText xml:space="preserve"> PAGEREF _Toc189048544 \h </w:instrText>
            </w:r>
            <w:r>
              <w:rPr>
                <w:noProof/>
                <w:webHidden/>
              </w:rPr>
            </w:r>
            <w:r>
              <w:rPr>
                <w:noProof/>
                <w:webHidden/>
              </w:rPr>
              <w:fldChar w:fldCharType="separate"/>
            </w:r>
            <w:r>
              <w:rPr>
                <w:noProof/>
                <w:webHidden/>
              </w:rPr>
              <w:t>15</w:t>
            </w:r>
            <w:r>
              <w:rPr>
                <w:noProof/>
                <w:webHidden/>
              </w:rPr>
              <w:fldChar w:fldCharType="end"/>
            </w:r>
          </w:hyperlink>
        </w:p>
        <w:p w14:paraId="7DE81CC8" w14:textId="61E76C8B" w:rsidR="00375328" w:rsidRDefault="00375328">
          <w:pPr>
            <w:pStyle w:val="TOC2"/>
            <w:rPr>
              <w:rFonts w:asciiTheme="minorHAnsi" w:eastAsiaTheme="minorEastAsia" w:hAnsiTheme="minorHAnsi" w:cstheme="minorBidi"/>
              <w:noProof/>
              <w:kern w:val="2"/>
              <w:szCs w:val="24"/>
              <w14:ligatures w14:val="standardContextual"/>
            </w:rPr>
          </w:pPr>
          <w:hyperlink w:anchor="_Toc189048545" w:history="1">
            <w:r w:rsidRPr="00AA4B7E">
              <w:rPr>
                <w:rStyle w:val="Hyperlink"/>
                <w:noProof/>
              </w:rPr>
              <w:t>1.3</w:t>
            </w:r>
            <w:r>
              <w:rPr>
                <w:rFonts w:asciiTheme="minorHAnsi" w:eastAsiaTheme="minorEastAsia" w:hAnsiTheme="minorHAnsi" w:cstheme="minorBidi"/>
                <w:noProof/>
                <w:kern w:val="2"/>
                <w:szCs w:val="24"/>
                <w14:ligatures w14:val="standardContextual"/>
              </w:rPr>
              <w:tab/>
            </w:r>
            <w:r w:rsidRPr="00AA4B7E">
              <w:rPr>
                <w:rStyle w:val="Hyperlink"/>
                <w:noProof/>
              </w:rPr>
              <w:t>The Listing Policy</w:t>
            </w:r>
            <w:r>
              <w:rPr>
                <w:noProof/>
                <w:webHidden/>
              </w:rPr>
              <w:tab/>
            </w:r>
            <w:r>
              <w:rPr>
                <w:noProof/>
                <w:webHidden/>
              </w:rPr>
              <w:fldChar w:fldCharType="begin"/>
            </w:r>
            <w:r>
              <w:rPr>
                <w:noProof/>
                <w:webHidden/>
              </w:rPr>
              <w:instrText xml:space="preserve"> PAGEREF _Toc189048545 \h </w:instrText>
            </w:r>
            <w:r>
              <w:rPr>
                <w:noProof/>
                <w:webHidden/>
              </w:rPr>
            </w:r>
            <w:r>
              <w:rPr>
                <w:noProof/>
                <w:webHidden/>
              </w:rPr>
              <w:fldChar w:fldCharType="separate"/>
            </w:r>
            <w:r>
              <w:rPr>
                <w:noProof/>
                <w:webHidden/>
              </w:rPr>
              <w:t>16</w:t>
            </w:r>
            <w:r>
              <w:rPr>
                <w:noProof/>
                <w:webHidden/>
              </w:rPr>
              <w:fldChar w:fldCharType="end"/>
            </w:r>
          </w:hyperlink>
        </w:p>
        <w:p w14:paraId="4CA53172" w14:textId="4D5AB938" w:rsidR="00375328" w:rsidRDefault="00375328">
          <w:pPr>
            <w:pStyle w:val="TOC2"/>
            <w:rPr>
              <w:rFonts w:asciiTheme="minorHAnsi" w:eastAsiaTheme="minorEastAsia" w:hAnsiTheme="minorHAnsi" w:cstheme="minorBidi"/>
              <w:noProof/>
              <w:kern w:val="2"/>
              <w:szCs w:val="24"/>
              <w14:ligatures w14:val="standardContextual"/>
            </w:rPr>
          </w:pPr>
          <w:hyperlink w:anchor="_Toc189048546" w:history="1">
            <w:r w:rsidRPr="00AA4B7E">
              <w:rPr>
                <w:rStyle w:val="Hyperlink"/>
                <w:noProof/>
              </w:rPr>
              <w:t>1.4</w:t>
            </w:r>
            <w:r>
              <w:rPr>
                <w:rFonts w:asciiTheme="minorHAnsi" w:eastAsiaTheme="minorEastAsia" w:hAnsiTheme="minorHAnsi" w:cstheme="minorBidi"/>
                <w:noProof/>
                <w:kern w:val="2"/>
                <w:szCs w:val="24"/>
                <w14:ligatures w14:val="standardContextual"/>
              </w:rPr>
              <w:tab/>
            </w:r>
            <w:r w:rsidRPr="00AA4B7E">
              <w:rPr>
                <w:rStyle w:val="Hyperlink"/>
                <w:noProof/>
              </w:rPr>
              <w:t>California Integrated Report Cycles</w:t>
            </w:r>
            <w:r>
              <w:rPr>
                <w:noProof/>
                <w:webHidden/>
              </w:rPr>
              <w:tab/>
            </w:r>
            <w:r>
              <w:rPr>
                <w:noProof/>
                <w:webHidden/>
              </w:rPr>
              <w:fldChar w:fldCharType="begin"/>
            </w:r>
            <w:r>
              <w:rPr>
                <w:noProof/>
                <w:webHidden/>
              </w:rPr>
              <w:instrText xml:space="preserve"> PAGEREF _Toc189048546 \h </w:instrText>
            </w:r>
            <w:r>
              <w:rPr>
                <w:noProof/>
                <w:webHidden/>
              </w:rPr>
            </w:r>
            <w:r>
              <w:rPr>
                <w:noProof/>
                <w:webHidden/>
              </w:rPr>
              <w:fldChar w:fldCharType="separate"/>
            </w:r>
            <w:r>
              <w:rPr>
                <w:noProof/>
                <w:webHidden/>
              </w:rPr>
              <w:t>17</w:t>
            </w:r>
            <w:r>
              <w:rPr>
                <w:noProof/>
                <w:webHidden/>
              </w:rPr>
              <w:fldChar w:fldCharType="end"/>
            </w:r>
          </w:hyperlink>
        </w:p>
        <w:p w14:paraId="7866C7F0" w14:textId="340E76CA" w:rsidR="00375328" w:rsidRDefault="00375328">
          <w:pPr>
            <w:pStyle w:val="TOC2"/>
            <w:rPr>
              <w:rFonts w:asciiTheme="minorHAnsi" w:eastAsiaTheme="minorEastAsia" w:hAnsiTheme="minorHAnsi" w:cstheme="minorBidi"/>
              <w:noProof/>
              <w:kern w:val="2"/>
              <w:szCs w:val="24"/>
              <w14:ligatures w14:val="standardContextual"/>
            </w:rPr>
          </w:pPr>
          <w:hyperlink w:anchor="_Toc189048547" w:history="1">
            <w:r w:rsidRPr="00AA4B7E">
              <w:rPr>
                <w:rStyle w:val="Hyperlink"/>
                <w:noProof/>
              </w:rPr>
              <w:t>1.5</w:t>
            </w:r>
            <w:r>
              <w:rPr>
                <w:rFonts w:asciiTheme="minorHAnsi" w:eastAsiaTheme="minorEastAsia" w:hAnsiTheme="minorHAnsi" w:cstheme="minorBidi"/>
                <w:noProof/>
                <w:kern w:val="2"/>
                <w:szCs w:val="24"/>
                <w14:ligatures w14:val="standardContextual"/>
              </w:rPr>
              <w:tab/>
            </w:r>
            <w:r w:rsidRPr="00AA4B7E">
              <w:rPr>
                <w:rStyle w:val="Hyperlink"/>
                <w:noProof/>
              </w:rPr>
              <w:t>Racial Equity</w:t>
            </w:r>
            <w:r>
              <w:rPr>
                <w:noProof/>
                <w:webHidden/>
              </w:rPr>
              <w:tab/>
            </w:r>
            <w:r>
              <w:rPr>
                <w:noProof/>
                <w:webHidden/>
              </w:rPr>
              <w:fldChar w:fldCharType="begin"/>
            </w:r>
            <w:r>
              <w:rPr>
                <w:noProof/>
                <w:webHidden/>
              </w:rPr>
              <w:instrText xml:space="preserve"> PAGEREF _Toc189048547 \h </w:instrText>
            </w:r>
            <w:r>
              <w:rPr>
                <w:noProof/>
                <w:webHidden/>
              </w:rPr>
            </w:r>
            <w:r>
              <w:rPr>
                <w:noProof/>
                <w:webHidden/>
              </w:rPr>
              <w:fldChar w:fldCharType="separate"/>
            </w:r>
            <w:r>
              <w:rPr>
                <w:noProof/>
                <w:webHidden/>
              </w:rPr>
              <w:t>18</w:t>
            </w:r>
            <w:r>
              <w:rPr>
                <w:noProof/>
                <w:webHidden/>
              </w:rPr>
              <w:fldChar w:fldCharType="end"/>
            </w:r>
          </w:hyperlink>
        </w:p>
        <w:p w14:paraId="1A11471D" w14:textId="764601A6" w:rsidR="00375328" w:rsidRDefault="00375328">
          <w:pPr>
            <w:pStyle w:val="TOC2"/>
            <w:rPr>
              <w:rFonts w:asciiTheme="minorHAnsi" w:eastAsiaTheme="minorEastAsia" w:hAnsiTheme="minorHAnsi" w:cstheme="minorBidi"/>
              <w:noProof/>
              <w:kern w:val="2"/>
              <w:szCs w:val="24"/>
              <w14:ligatures w14:val="standardContextual"/>
            </w:rPr>
          </w:pPr>
          <w:hyperlink w:anchor="_Toc189048548" w:history="1">
            <w:r w:rsidRPr="00AA4B7E">
              <w:rPr>
                <w:rStyle w:val="Hyperlink"/>
                <w:noProof/>
              </w:rPr>
              <w:t>1.6</w:t>
            </w:r>
            <w:r>
              <w:rPr>
                <w:rFonts w:asciiTheme="minorHAnsi" w:eastAsiaTheme="minorEastAsia" w:hAnsiTheme="minorHAnsi" w:cstheme="minorBidi"/>
                <w:noProof/>
                <w:kern w:val="2"/>
                <w:szCs w:val="24"/>
                <w14:ligatures w14:val="standardContextual"/>
              </w:rPr>
              <w:tab/>
            </w:r>
            <w:r w:rsidRPr="00AA4B7E">
              <w:rPr>
                <w:rStyle w:val="Hyperlink"/>
                <w:noProof/>
              </w:rPr>
              <w:t>Partnerships with California Native American Tribes</w:t>
            </w:r>
            <w:r>
              <w:rPr>
                <w:noProof/>
                <w:webHidden/>
              </w:rPr>
              <w:tab/>
            </w:r>
            <w:r>
              <w:rPr>
                <w:noProof/>
                <w:webHidden/>
              </w:rPr>
              <w:fldChar w:fldCharType="begin"/>
            </w:r>
            <w:r>
              <w:rPr>
                <w:noProof/>
                <w:webHidden/>
              </w:rPr>
              <w:instrText xml:space="preserve"> PAGEREF _Toc189048548 \h </w:instrText>
            </w:r>
            <w:r>
              <w:rPr>
                <w:noProof/>
                <w:webHidden/>
              </w:rPr>
            </w:r>
            <w:r>
              <w:rPr>
                <w:noProof/>
                <w:webHidden/>
              </w:rPr>
              <w:fldChar w:fldCharType="separate"/>
            </w:r>
            <w:r>
              <w:rPr>
                <w:noProof/>
                <w:webHidden/>
              </w:rPr>
              <w:t>19</w:t>
            </w:r>
            <w:r>
              <w:rPr>
                <w:noProof/>
                <w:webHidden/>
              </w:rPr>
              <w:fldChar w:fldCharType="end"/>
            </w:r>
          </w:hyperlink>
        </w:p>
        <w:p w14:paraId="23E1E001" w14:textId="237454E1" w:rsidR="00375328" w:rsidRDefault="00375328">
          <w:pPr>
            <w:pStyle w:val="TOC1"/>
            <w:rPr>
              <w:rFonts w:asciiTheme="minorHAnsi" w:eastAsiaTheme="minorEastAsia" w:hAnsiTheme="minorHAnsi" w:cstheme="minorBidi"/>
              <w:noProof/>
              <w:kern w:val="2"/>
              <w:szCs w:val="24"/>
              <w14:ligatures w14:val="standardContextual"/>
            </w:rPr>
          </w:pPr>
          <w:hyperlink w:anchor="_Toc189048549" w:history="1">
            <w:r w:rsidRPr="00AA4B7E">
              <w:rPr>
                <w:rStyle w:val="Hyperlink"/>
                <w:noProof/>
              </w:rPr>
              <w:t>2</w:t>
            </w:r>
            <w:r>
              <w:rPr>
                <w:rFonts w:asciiTheme="minorHAnsi" w:eastAsiaTheme="minorEastAsia" w:hAnsiTheme="minorHAnsi" w:cstheme="minorBidi"/>
                <w:noProof/>
                <w:kern w:val="2"/>
                <w:szCs w:val="24"/>
                <w14:ligatures w14:val="standardContextual"/>
              </w:rPr>
              <w:tab/>
            </w:r>
            <w:r w:rsidRPr="00AA4B7E">
              <w:rPr>
                <w:rStyle w:val="Hyperlink"/>
                <w:noProof/>
              </w:rPr>
              <w:t>California Integrated Report Development</w:t>
            </w:r>
            <w:r>
              <w:rPr>
                <w:noProof/>
                <w:webHidden/>
              </w:rPr>
              <w:tab/>
            </w:r>
            <w:r>
              <w:rPr>
                <w:noProof/>
                <w:webHidden/>
              </w:rPr>
              <w:fldChar w:fldCharType="begin"/>
            </w:r>
            <w:r>
              <w:rPr>
                <w:noProof/>
                <w:webHidden/>
              </w:rPr>
              <w:instrText xml:space="preserve"> PAGEREF _Toc189048549 \h </w:instrText>
            </w:r>
            <w:r>
              <w:rPr>
                <w:noProof/>
                <w:webHidden/>
              </w:rPr>
            </w:r>
            <w:r>
              <w:rPr>
                <w:noProof/>
                <w:webHidden/>
              </w:rPr>
              <w:fldChar w:fldCharType="separate"/>
            </w:r>
            <w:r>
              <w:rPr>
                <w:noProof/>
                <w:webHidden/>
              </w:rPr>
              <w:t>20</w:t>
            </w:r>
            <w:r>
              <w:rPr>
                <w:noProof/>
                <w:webHidden/>
              </w:rPr>
              <w:fldChar w:fldCharType="end"/>
            </w:r>
          </w:hyperlink>
        </w:p>
        <w:p w14:paraId="2B5B503F" w14:textId="6767E3DD" w:rsidR="00375328" w:rsidRDefault="00375328">
          <w:pPr>
            <w:pStyle w:val="TOC2"/>
            <w:rPr>
              <w:rFonts w:asciiTheme="minorHAnsi" w:eastAsiaTheme="minorEastAsia" w:hAnsiTheme="minorHAnsi" w:cstheme="minorBidi"/>
              <w:noProof/>
              <w:kern w:val="2"/>
              <w:szCs w:val="24"/>
              <w14:ligatures w14:val="standardContextual"/>
            </w:rPr>
          </w:pPr>
          <w:hyperlink w:anchor="_Toc189048550" w:history="1">
            <w:r w:rsidRPr="00AA4B7E">
              <w:rPr>
                <w:rStyle w:val="Hyperlink"/>
                <w:noProof/>
              </w:rPr>
              <w:t>2.1</w:t>
            </w:r>
            <w:r>
              <w:rPr>
                <w:rFonts w:asciiTheme="minorHAnsi" w:eastAsiaTheme="minorEastAsia" w:hAnsiTheme="minorHAnsi" w:cstheme="minorBidi"/>
                <w:noProof/>
                <w:kern w:val="2"/>
                <w:szCs w:val="24"/>
                <w14:ligatures w14:val="standardContextual"/>
              </w:rPr>
              <w:tab/>
            </w:r>
            <w:r w:rsidRPr="00AA4B7E">
              <w:rPr>
                <w:rStyle w:val="Hyperlink"/>
                <w:noProof/>
              </w:rPr>
              <w:t>Readily Available Data and Information</w:t>
            </w:r>
            <w:r>
              <w:rPr>
                <w:noProof/>
                <w:webHidden/>
              </w:rPr>
              <w:tab/>
            </w:r>
            <w:r>
              <w:rPr>
                <w:noProof/>
                <w:webHidden/>
              </w:rPr>
              <w:fldChar w:fldCharType="begin"/>
            </w:r>
            <w:r>
              <w:rPr>
                <w:noProof/>
                <w:webHidden/>
              </w:rPr>
              <w:instrText xml:space="preserve"> PAGEREF _Toc189048550 \h </w:instrText>
            </w:r>
            <w:r>
              <w:rPr>
                <w:noProof/>
                <w:webHidden/>
              </w:rPr>
            </w:r>
            <w:r>
              <w:rPr>
                <w:noProof/>
                <w:webHidden/>
              </w:rPr>
              <w:fldChar w:fldCharType="separate"/>
            </w:r>
            <w:r>
              <w:rPr>
                <w:noProof/>
                <w:webHidden/>
              </w:rPr>
              <w:t>20</w:t>
            </w:r>
            <w:r>
              <w:rPr>
                <w:noProof/>
                <w:webHidden/>
              </w:rPr>
              <w:fldChar w:fldCharType="end"/>
            </w:r>
          </w:hyperlink>
        </w:p>
        <w:p w14:paraId="6922381B" w14:textId="2F4850F5" w:rsidR="00375328" w:rsidRDefault="00375328">
          <w:pPr>
            <w:pStyle w:val="TOC2"/>
            <w:rPr>
              <w:rFonts w:asciiTheme="minorHAnsi" w:eastAsiaTheme="minorEastAsia" w:hAnsiTheme="minorHAnsi" w:cstheme="minorBidi"/>
              <w:noProof/>
              <w:kern w:val="2"/>
              <w:szCs w:val="24"/>
              <w14:ligatures w14:val="standardContextual"/>
            </w:rPr>
          </w:pPr>
          <w:hyperlink w:anchor="_Toc189048551" w:history="1">
            <w:r w:rsidRPr="00AA4B7E">
              <w:rPr>
                <w:rStyle w:val="Hyperlink"/>
                <w:noProof/>
              </w:rPr>
              <w:t>2.2</w:t>
            </w:r>
            <w:r>
              <w:rPr>
                <w:rFonts w:asciiTheme="minorHAnsi" w:eastAsiaTheme="minorEastAsia" w:hAnsiTheme="minorHAnsi" w:cstheme="minorBidi"/>
                <w:noProof/>
                <w:kern w:val="2"/>
                <w:szCs w:val="24"/>
                <w14:ligatures w14:val="standardContextual"/>
              </w:rPr>
              <w:tab/>
            </w:r>
            <w:r w:rsidRPr="00AA4B7E">
              <w:rPr>
                <w:rStyle w:val="Hyperlink"/>
                <w:noProof/>
              </w:rPr>
              <w:t>Data Assembly and Evaluation</w:t>
            </w:r>
            <w:r>
              <w:rPr>
                <w:noProof/>
                <w:webHidden/>
              </w:rPr>
              <w:tab/>
            </w:r>
            <w:r>
              <w:rPr>
                <w:noProof/>
                <w:webHidden/>
              </w:rPr>
              <w:fldChar w:fldCharType="begin"/>
            </w:r>
            <w:r>
              <w:rPr>
                <w:noProof/>
                <w:webHidden/>
              </w:rPr>
              <w:instrText xml:space="preserve"> PAGEREF _Toc189048551 \h </w:instrText>
            </w:r>
            <w:r>
              <w:rPr>
                <w:noProof/>
                <w:webHidden/>
              </w:rPr>
            </w:r>
            <w:r>
              <w:rPr>
                <w:noProof/>
                <w:webHidden/>
              </w:rPr>
              <w:fldChar w:fldCharType="separate"/>
            </w:r>
            <w:r>
              <w:rPr>
                <w:noProof/>
                <w:webHidden/>
              </w:rPr>
              <w:t>22</w:t>
            </w:r>
            <w:r>
              <w:rPr>
                <w:noProof/>
                <w:webHidden/>
              </w:rPr>
              <w:fldChar w:fldCharType="end"/>
            </w:r>
          </w:hyperlink>
        </w:p>
        <w:p w14:paraId="60CF5EFD" w14:textId="1D9BBD19" w:rsidR="00375328" w:rsidRDefault="00375328">
          <w:pPr>
            <w:pStyle w:val="TOC3"/>
            <w:rPr>
              <w:rFonts w:asciiTheme="minorHAnsi" w:eastAsiaTheme="minorEastAsia" w:hAnsiTheme="minorHAnsi" w:cstheme="minorBidi"/>
              <w:noProof/>
              <w:kern w:val="2"/>
              <w:szCs w:val="24"/>
              <w14:ligatures w14:val="standardContextual"/>
            </w:rPr>
          </w:pPr>
          <w:hyperlink w:anchor="_Toc189048552" w:history="1">
            <w:r w:rsidRPr="00AA4B7E">
              <w:rPr>
                <w:rStyle w:val="Hyperlink"/>
                <w:noProof/>
              </w:rPr>
              <w:t>2.2.1</w:t>
            </w:r>
            <w:r>
              <w:rPr>
                <w:rFonts w:asciiTheme="minorHAnsi" w:eastAsiaTheme="minorEastAsia" w:hAnsiTheme="minorHAnsi" w:cstheme="minorBidi"/>
                <w:noProof/>
                <w:kern w:val="2"/>
                <w:szCs w:val="24"/>
                <w14:ligatures w14:val="standardContextual"/>
              </w:rPr>
              <w:tab/>
            </w:r>
            <w:r w:rsidRPr="00AA4B7E">
              <w:rPr>
                <w:rStyle w:val="Hyperlink"/>
                <w:noProof/>
              </w:rPr>
              <w:t>Mapping</w:t>
            </w:r>
            <w:r>
              <w:rPr>
                <w:noProof/>
                <w:webHidden/>
              </w:rPr>
              <w:tab/>
            </w:r>
            <w:r>
              <w:rPr>
                <w:noProof/>
                <w:webHidden/>
              </w:rPr>
              <w:fldChar w:fldCharType="begin"/>
            </w:r>
            <w:r>
              <w:rPr>
                <w:noProof/>
                <w:webHidden/>
              </w:rPr>
              <w:instrText xml:space="preserve"> PAGEREF _Toc189048552 \h </w:instrText>
            </w:r>
            <w:r>
              <w:rPr>
                <w:noProof/>
                <w:webHidden/>
              </w:rPr>
            </w:r>
            <w:r>
              <w:rPr>
                <w:noProof/>
                <w:webHidden/>
              </w:rPr>
              <w:fldChar w:fldCharType="separate"/>
            </w:r>
            <w:r>
              <w:rPr>
                <w:noProof/>
                <w:webHidden/>
              </w:rPr>
              <w:t>23</w:t>
            </w:r>
            <w:r>
              <w:rPr>
                <w:noProof/>
                <w:webHidden/>
              </w:rPr>
              <w:fldChar w:fldCharType="end"/>
            </w:r>
          </w:hyperlink>
        </w:p>
        <w:p w14:paraId="0E7C016E" w14:textId="6CABEF50" w:rsidR="00375328" w:rsidRDefault="00375328">
          <w:pPr>
            <w:pStyle w:val="TOC3"/>
            <w:rPr>
              <w:rFonts w:asciiTheme="minorHAnsi" w:eastAsiaTheme="minorEastAsia" w:hAnsiTheme="minorHAnsi" w:cstheme="minorBidi"/>
              <w:noProof/>
              <w:kern w:val="2"/>
              <w:szCs w:val="24"/>
              <w14:ligatures w14:val="standardContextual"/>
            </w:rPr>
          </w:pPr>
          <w:hyperlink w:anchor="_Toc189048553" w:history="1">
            <w:r w:rsidRPr="00AA4B7E">
              <w:rPr>
                <w:rStyle w:val="Hyperlink"/>
                <w:noProof/>
              </w:rPr>
              <w:t>2.2.2</w:t>
            </w:r>
            <w:r>
              <w:rPr>
                <w:rFonts w:asciiTheme="minorHAnsi" w:eastAsiaTheme="minorEastAsia" w:hAnsiTheme="minorHAnsi" w:cstheme="minorBidi"/>
                <w:noProof/>
                <w:kern w:val="2"/>
                <w:szCs w:val="24"/>
                <w14:ligatures w14:val="standardContextual"/>
              </w:rPr>
              <w:tab/>
            </w:r>
            <w:r w:rsidRPr="00AA4B7E">
              <w:rPr>
                <w:rStyle w:val="Hyperlink"/>
                <w:noProof/>
              </w:rPr>
              <w:t>Data and Information Quality Review</w:t>
            </w:r>
            <w:r>
              <w:rPr>
                <w:noProof/>
                <w:webHidden/>
              </w:rPr>
              <w:tab/>
            </w:r>
            <w:r>
              <w:rPr>
                <w:noProof/>
                <w:webHidden/>
              </w:rPr>
              <w:fldChar w:fldCharType="begin"/>
            </w:r>
            <w:r>
              <w:rPr>
                <w:noProof/>
                <w:webHidden/>
              </w:rPr>
              <w:instrText xml:space="preserve"> PAGEREF _Toc189048553 \h </w:instrText>
            </w:r>
            <w:r>
              <w:rPr>
                <w:noProof/>
                <w:webHidden/>
              </w:rPr>
            </w:r>
            <w:r>
              <w:rPr>
                <w:noProof/>
                <w:webHidden/>
              </w:rPr>
              <w:fldChar w:fldCharType="separate"/>
            </w:r>
            <w:r>
              <w:rPr>
                <w:noProof/>
                <w:webHidden/>
              </w:rPr>
              <w:t>23</w:t>
            </w:r>
            <w:r>
              <w:rPr>
                <w:noProof/>
                <w:webHidden/>
              </w:rPr>
              <w:fldChar w:fldCharType="end"/>
            </w:r>
          </w:hyperlink>
        </w:p>
        <w:p w14:paraId="464F938E" w14:textId="71C935BC" w:rsidR="00375328" w:rsidRDefault="00375328">
          <w:pPr>
            <w:pStyle w:val="TOC3"/>
            <w:rPr>
              <w:rFonts w:asciiTheme="minorHAnsi" w:eastAsiaTheme="minorEastAsia" w:hAnsiTheme="minorHAnsi" w:cstheme="minorBidi"/>
              <w:noProof/>
              <w:kern w:val="2"/>
              <w:szCs w:val="24"/>
              <w14:ligatures w14:val="standardContextual"/>
            </w:rPr>
          </w:pPr>
          <w:hyperlink w:anchor="_Toc189048554" w:history="1">
            <w:r w:rsidRPr="00AA4B7E">
              <w:rPr>
                <w:rStyle w:val="Hyperlink"/>
                <w:noProof/>
              </w:rPr>
              <w:t>2.2.3</w:t>
            </w:r>
            <w:r>
              <w:rPr>
                <w:rFonts w:asciiTheme="minorHAnsi" w:eastAsiaTheme="minorEastAsia" w:hAnsiTheme="minorHAnsi" w:cstheme="minorBidi"/>
                <w:noProof/>
                <w:kern w:val="2"/>
                <w:szCs w:val="24"/>
                <w14:ligatures w14:val="standardContextual"/>
              </w:rPr>
              <w:tab/>
            </w:r>
            <w:r w:rsidRPr="00AA4B7E">
              <w:rPr>
                <w:rStyle w:val="Hyperlink"/>
                <w:noProof/>
              </w:rPr>
              <w:t>Tribal Data Considerations</w:t>
            </w:r>
            <w:r>
              <w:rPr>
                <w:noProof/>
                <w:webHidden/>
              </w:rPr>
              <w:tab/>
            </w:r>
            <w:r>
              <w:rPr>
                <w:noProof/>
                <w:webHidden/>
              </w:rPr>
              <w:fldChar w:fldCharType="begin"/>
            </w:r>
            <w:r>
              <w:rPr>
                <w:noProof/>
                <w:webHidden/>
              </w:rPr>
              <w:instrText xml:space="preserve"> PAGEREF _Toc189048554 \h </w:instrText>
            </w:r>
            <w:r>
              <w:rPr>
                <w:noProof/>
                <w:webHidden/>
              </w:rPr>
            </w:r>
            <w:r>
              <w:rPr>
                <w:noProof/>
                <w:webHidden/>
              </w:rPr>
              <w:fldChar w:fldCharType="separate"/>
            </w:r>
            <w:r>
              <w:rPr>
                <w:noProof/>
                <w:webHidden/>
              </w:rPr>
              <w:t>24</w:t>
            </w:r>
            <w:r>
              <w:rPr>
                <w:noProof/>
                <w:webHidden/>
              </w:rPr>
              <w:fldChar w:fldCharType="end"/>
            </w:r>
          </w:hyperlink>
        </w:p>
        <w:p w14:paraId="75DC8A12" w14:textId="1165FFE5" w:rsidR="00375328" w:rsidRDefault="00375328">
          <w:pPr>
            <w:pStyle w:val="TOC3"/>
            <w:rPr>
              <w:rFonts w:asciiTheme="minorHAnsi" w:eastAsiaTheme="minorEastAsia" w:hAnsiTheme="minorHAnsi" w:cstheme="minorBidi"/>
              <w:noProof/>
              <w:kern w:val="2"/>
              <w:szCs w:val="24"/>
              <w14:ligatures w14:val="standardContextual"/>
            </w:rPr>
          </w:pPr>
          <w:hyperlink w:anchor="_Toc189048555" w:history="1">
            <w:r w:rsidRPr="00AA4B7E">
              <w:rPr>
                <w:rStyle w:val="Hyperlink"/>
                <w:noProof/>
              </w:rPr>
              <w:t>2.2.4</w:t>
            </w:r>
            <w:r>
              <w:rPr>
                <w:rFonts w:asciiTheme="minorHAnsi" w:eastAsiaTheme="minorEastAsia" w:hAnsiTheme="minorHAnsi" w:cstheme="minorBidi"/>
                <w:noProof/>
                <w:kern w:val="2"/>
                <w:szCs w:val="24"/>
                <w14:ligatures w14:val="standardContextual"/>
              </w:rPr>
              <w:tab/>
            </w:r>
            <w:r w:rsidRPr="00AA4B7E">
              <w:rPr>
                <w:rStyle w:val="Hyperlink"/>
                <w:noProof/>
              </w:rPr>
              <w:t>Data Averaging &amp; Adjustments</w:t>
            </w:r>
            <w:r>
              <w:rPr>
                <w:noProof/>
                <w:webHidden/>
              </w:rPr>
              <w:tab/>
            </w:r>
            <w:r>
              <w:rPr>
                <w:noProof/>
                <w:webHidden/>
              </w:rPr>
              <w:fldChar w:fldCharType="begin"/>
            </w:r>
            <w:r>
              <w:rPr>
                <w:noProof/>
                <w:webHidden/>
              </w:rPr>
              <w:instrText xml:space="preserve"> PAGEREF _Toc189048555 \h </w:instrText>
            </w:r>
            <w:r>
              <w:rPr>
                <w:noProof/>
                <w:webHidden/>
              </w:rPr>
            </w:r>
            <w:r>
              <w:rPr>
                <w:noProof/>
                <w:webHidden/>
              </w:rPr>
              <w:fldChar w:fldCharType="separate"/>
            </w:r>
            <w:r>
              <w:rPr>
                <w:noProof/>
                <w:webHidden/>
              </w:rPr>
              <w:t>25</w:t>
            </w:r>
            <w:r>
              <w:rPr>
                <w:noProof/>
                <w:webHidden/>
              </w:rPr>
              <w:fldChar w:fldCharType="end"/>
            </w:r>
          </w:hyperlink>
        </w:p>
        <w:p w14:paraId="28A9CC6D" w14:textId="2820A88C" w:rsidR="00375328" w:rsidRDefault="00375328">
          <w:pPr>
            <w:pStyle w:val="TOC2"/>
            <w:rPr>
              <w:rFonts w:asciiTheme="minorHAnsi" w:eastAsiaTheme="minorEastAsia" w:hAnsiTheme="minorHAnsi" w:cstheme="minorBidi"/>
              <w:noProof/>
              <w:kern w:val="2"/>
              <w:szCs w:val="24"/>
              <w14:ligatures w14:val="standardContextual"/>
            </w:rPr>
          </w:pPr>
          <w:hyperlink w:anchor="_Toc189048556" w:history="1">
            <w:r w:rsidRPr="00AA4B7E">
              <w:rPr>
                <w:rStyle w:val="Hyperlink"/>
                <w:noProof/>
              </w:rPr>
              <w:t>2.3</w:t>
            </w:r>
            <w:r>
              <w:rPr>
                <w:rFonts w:asciiTheme="minorHAnsi" w:eastAsiaTheme="minorEastAsia" w:hAnsiTheme="minorHAnsi" w:cstheme="minorBidi"/>
                <w:noProof/>
                <w:kern w:val="2"/>
                <w:szCs w:val="24"/>
                <w14:ligatures w14:val="standardContextual"/>
              </w:rPr>
              <w:tab/>
            </w:r>
            <w:r w:rsidRPr="00AA4B7E">
              <w:rPr>
                <w:rStyle w:val="Hyperlink"/>
                <w:noProof/>
              </w:rPr>
              <w:t>Data Analysis to Determine Water Quality Standards Attainment &amp; Make Decisions</w:t>
            </w:r>
            <w:r>
              <w:rPr>
                <w:noProof/>
                <w:webHidden/>
              </w:rPr>
              <w:tab/>
            </w:r>
            <w:r>
              <w:rPr>
                <w:noProof/>
                <w:webHidden/>
              </w:rPr>
              <w:fldChar w:fldCharType="begin"/>
            </w:r>
            <w:r>
              <w:rPr>
                <w:noProof/>
                <w:webHidden/>
              </w:rPr>
              <w:instrText xml:space="preserve"> PAGEREF _Toc189048556 \h </w:instrText>
            </w:r>
            <w:r>
              <w:rPr>
                <w:noProof/>
                <w:webHidden/>
              </w:rPr>
            </w:r>
            <w:r>
              <w:rPr>
                <w:noProof/>
                <w:webHidden/>
              </w:rPr>
              <w:fldChar w:fldCharType="separate"/>
            </w:r>
            <w:r>
              <w:rPr>
                <w:noProof/>
                <w:webHidden/>
              </w:rPr>
              <w:t>26</w:t>
            </w:r>
            <w:r>
              <w:rPr>
                <w:noProof/>
                <w:webHidden/>
              </w:rPr>
              <w:fldChar w:fldCharType="end"/>
            </w:r>
          </w:hyperlink>
        </w:p>
        <w:p w14:paraId="15143D0E" w14:textId="3359B605" w:rsidR="00375328" w:rsidRDefault="00375328">
          <w:pPr>
            <w:pStyle w:val="TOC3"/>
            <w:rPr>
              <w:rFonts w:asciiTheme="minorHAnsi" w:eastAsiaTheme="minorEastAsia" w:hAnsiTheme="minorHAnsi" w:cstheme="minorBidi"/>
              <w:noProof/>
              <w:kern w:val="2"/>
              <w:szCs w:val="24"/>
              <w14:ligatures w14:val="standardContextual"/>
            </w:rPr>
          </w:pPr>
          <w:hyperlink w:anchor="_Toc189048557" w:history="1">
            <w:r w:rsidRPr="00AA4B7E">
              <w:rPr>
                <w:rStyle w:val="Hyperlink"/>
                <w:noProof/>
              </w:rPr>
              <w:t>2.3.1</w:t>
            </w:r>
            <w:r>
              <w:rPr>
                <w:rFonts w:asciiTheme="minorHAnsi" w:eastAsiaTheme="minorEastAsia" w:hAnsiTheme="minorHAnsi" w:cstheme="minorBidi"/>
                <w:noProof/>
                <w:kern w:val="2"/>
                <w:szCs w:val="24"/>
                <w14:ligatures w14:val="standardContextual"/>
              </w:rPr>
              <w:tab/>
            </w:r>
            <w:r w:rsidRPr="00AA4B7E">
              <w:rPr>
                <w:rStyle w:val="Hyperlink"/>
                <w:noProof/>
              </w:rPr>
              <w:t>Selecting Beneficial Uses, Water Quality Objectives, Criteria, and Evaluation Guidelines</w:t>
            </w:r>
            <w:r>
              <w:rPr>
                <w:noProof/>
                <w:webHidden/>
              </w:rPr>
              <w:tab/>
            </w:r>
            <w:r>
              <w:rPr>
                <w:noProof/>
                <w:webHidden/>
              </w:rPr>
              <w:fldChar w:fldCharType="begin"/>
            </w:r>
            <w:r>
              <w:rPr>
                <w:noProof/>
                <w:webHidden/>
              </w:rPr>
              <w:instrText xml:space="preserve"> PAGEREF _Toc189048557 \h </w:instrText>
            </w:r>
            <w:r>
              <w:rPr>
                <w:noProof/>
                <w:webHidden/>
              </w:rPr>
            </w:r>
            <w:r>
              <w:rPr>
                <w:noProof/>
                <w:webHidden/>
              </w:rPr>
              <w:fldChar w:fldCharType="separate"/>
            </w:r>
            <w:r>
              <w:rPr>
                <w:noProof/>
                <w:webHidden/>
              </w:rPr>
              <w:t>26</w:t>
            </w:r>
            <w:r>
              <w:rPr>
                <w:noProof/>
                <w:webHidden/>
              </w:rPr>
              <w:fldChar w:fldCharType="end"/>
            </w:r>
          </w:hyperlink>
        </w:p>
        <w:p w14:paraId="4476F231" w14:textId="3D2C7FAE" w:rsidR="00375328" w:rsidRDefault="00375328">
          <w:pPr>
            <w:pStyle w:val="TOC3"/>
            <w:rPr>
              <w:rFonts w:asciiTheme="minorHAnsi" w:eastAsiaTheme="minorEastAsia" w:hAnsiTheme="minorHAnsi" w:cstheme="minorBidi"/>
              <w:noProof/>
              <w:kern w:val="2"/>
              <w:szCs w:val="24"/>
              <w14:ligatures w14:val="standardContextual"/>
            </w:rPr>
          </w:pPr>
          <w:hyperlink w:anchor="_Toc189048558" w:history="1">
            <w:r w:rsidRPr="00AA4B7E">
              <w:rPr>
                <w:rStyle w:val="Hyperlink"/>
                <w:noProof/>
              </w:rPr>
              <w:t>2.3.2</w:t>
            </w:r>
            <w:r>
              <w:rPr>
                <w:rFonts w:asciiTheme="minorHAnsi" w:eastAsiaTheme="minorEastAsia" w:hAnsiTheme="minorHAnsi" w:cstheme="minorBidi"/>
                <w:noProof/>
                <w:kern w:val="2"/>
                <w:szCs w:val="24"/>
                <w14:ligatures w14:val="standardContextual"/>
              </w:rPr>
              <w:tab/>
            </w:r>
            <w:r w:rsidRPr="00AA4B7E">
              <w:rPr>
                <w:rStyle w:val="Hyperlink"/>
                <w:noProof/>
              </w:rPr>
              <w:t>Lines of Evidence</w:t>
            </w:r>
            <w:r>
              <w:rPr>
                <w:noProof/>
                <w:webHidden/>
              </w:rPr>
              <w:tab/>
            </w:r>
            <w:r>
              <w:rPr>
                <w:noProof/>
                <w:webHidden/>
              </w:rPr>
              <w:fldChar w:fldCharType="begin"/>
            </w:r>
            <w:r>
              <w:rPr>
                <w:noProof/>
                <w:webHidden/>
              </w:rPr>
              <w:instrText xml:space="preserve"> PAGEREF _Toc189048558 \h </w:instrText>
            </w:r>
            <w:r>
              <w:rPr>
                <w:noProof/>
                <w:webHidden/>
              </w:rPr>
            </w:r>
            <w:r>
              <w:rPr>
                <w:noProof/>
                <w:webHidden/>
              </w:rPr>
              <w:fldChar w:fldCharType="separate"/>
            </w:r>
            <w:r>
              <w:rPr>
                <w:noProof/>
                <w:webHidden/>
              </w:rPr>
              <w:t>30</w:t>
            </w:r>
            <w:r>
              <w:rPr>
                <w:noProof/>
                <w:webHidden/>
              </w:rPr>
              <w:fldChar w:fldCharType="end"/>
            </w:r>
          </w:hyperlink>
        </w:p>
        <w:p w14:paraId="22360CCE" w14:textId="7AE9CAA3" w:rsidR="00375328" w:rsidRDefault="00375328">
          <w:pPr>
            <w:pStyle w:val="TOC3"/>
            <w:rPr>
              <w:rFonts w:asciiTheme="minorHAnsi" w:eastAsiaTheme="minorEastAsia" w:hAnsiTheme="minorHAnsi" w:cstheme="minorBidi"/>
              <w:noProof/>
              <w:kern w:val="2"/>
              <w:szCs w:val="24"/>
              <w14:ligatures w14:val="standardContextual"/>
            </w:rPr>
          </w:pPr>
          <w:hyperlink w:anchor="_Toc189048559" w:history="1">
            <w:r w:rsidRPr="00AA4B7E">
              <w:rPr>
                <w:rStyle w:val="Hyperlink"/>
                <w:noProof/>
              </w:rPr>
              <w:t>2.3.3</w:t>
            </w:r>
            <w:r>
              <w:rPr>
                <w:rFonts w:asciiTheme="minorHAnsi" w:eastAsiaTheme="minorEastAsia" w:hAnsiTheme="minorHAnsi" w:cstheme="minorBidi"/>
                <w:noProof/>
                <w:kern w:val="2"/>
                <w:szCs w:val="24"/>
                <w14:ligatures w14:val="standardContextual"/>
              </w:rPr>
              <w:tab/>
            </w:r>
            <w:r w:rsidRPr="00AA4B7E">
              <w:rPr>
                <w:rStyle w:val="Hyperlink"/>
                <w:noProof/>
              </w:rPr>
              <w:t>CalWQA Decisions</w:t>
            </w:r>
            <w:r>
              <w:rPr>
                <w:noProof/>
                <w:webHidden/>
              </w:rPr>
              <w:tab/>
            </w:r>
            <w:r>
              <w:rPr>
                <w:noProof/>
                <w:webHidden/>
              </w:rPr>
              <w:fldChar w:fldCharType="begin"/>
            </w:r>
            <w:r>
              <w:rPr>
                <w:noProof/>
                <w:webHidden/>
              </w:rPr>
              <w:instrText xml:space="preserve"> PAGEREF _Toc189048559 \h </w:instrText>
            </w:r>
            <w:r>
              <w:rPr>
                <w:noProof/>
                <w:webHidden/>
              </w:rPr>
            </w:r>
            <w:r>
              <w:rPr>
                <w:noProof/>
                <w:webHidden/>
              </w:rPr>
              <w:fldChar w:fldCharType="separate"/>
            </w:r>
            <w:r>
              <w:rPr>
                <w:noProof/>
                <w:webHidden/>
              </w:rPr>
              <w:t>33</w:t>
            </w:r>
            <w:r>
              <w:rPr>
                <w:noProof/>
                <w:webHidden/>
              </w:rPr>
              <w:fldChar w:fldCharType="end"/>
            </w:r>
          </w:hyperlink>
        </w:p>
        <w:p w14:paraId="0E960DDC" w14:textId="08C4F628" w:rsidR="00375328" w:rsidRDefault="00375328">
          <w:pPr>
            <w:pStyle w:val="TOC3"/>
            <w:rPr>
              <w:rFonts w:asciiTheme="minorHAnsi" w:eastAsiaTheme="minorEastAsia" w:hAnsiTheme="minorHAnsi" w:cstheme="minorBidi"/>
              <w:noProof/>
              <w:kern w:val="2"/>
              <w:szCs w:val="24"/>
              <w14:ligatures w14:val="standardContextual"/>
            </w:rPr>
          </w:pPr>
          <w:hyperlink w:anchor="_Toc189048560" w:history="1">
            <w:r w:rsidRPr="00AA4B7E">
              <w:rPr>
                <w:rStyle w:val="Hyperlink"/>
                <w:noProof/>
              </w:rPr>
              <w:t>2.3.4</w:t>
            </w:r>
            <w:r>
              <w:rPr>
                <w:rFonts w:asciiTheme="minorHAnsi" w:eastAsiaTheme="minorEastAsia" w:hAnsiTheme="minorHAnsi" w:cstheme="minorBidi"/>
                <w:noProof/>
                <w:kern w:val="2"/>
                <w:szCs w:val="24"/>
                <w14:ligatures w14:val="standardContextual"/>
              </w:rPr>
              <w:tab/>
            </w:r>
            <w:r w:rsidRPr="00AA4B7E">
              <w:rPr>
                <w:rStyle w:val="Hyperlink"/>
                <w:noProof/>
              </w:rPr>
              <w:t>Binomial Test for Determining Acceptable Exceedances</w:t>
            </w:r>
            <w:r>
              <w:rPr>
                <w:noProof/>
                <w:webHidden/>
              </w:rPr>
              <w:tab/>
            </w:r>
            <w:r>
              <w:rPr>
                <w:noProof/>
                <w:webHidden/>
              </w:rPr>
              <w:fldChar w:fldCharType="begin"/>
            </w:r>
            <w:r>
              <w:rPr>
                <w:noProof/>
                <w:webHidden/>
              </w:rPr>
              <w:instrText xml:space="preserve"> PAGEREF _Toc189048560 \h </w:instrText>
            </w:r>
            <w:r>
              <w:rPr>
                <w:noProof/>
                <w:webHidden/>
              </w:rPr>
            </w:r>
            <w:r>
              <w:rPr>
                <w:noProof/>
                <w:webHidden/>
              </w:rPr>
              <w:fldChar w:fldCharType="separate"/>
            </w:r>
            <w:r>
              <w:rPr>
                <w:noProof/>
                <w:webHidden/>
              </w:rPr>
              <w:t>35</w:t>
            </w:r>
            <w:r>
              <w:rPr>
                <w:noProof/>
                <w:webHidden/>
              </w:rPr>
              <w:fldChar w:fldCharType="end"/>
            </w:r>
          </w:hyperlink>
        </w:p>
        <w:p w14:paraId="2D9E6E4A" w14:textId="6CB0173E" w:rsidR="00375328" w:rsidRDefault="00375328">
          <w:pPr>
            <w:pStyle w:val="TOC2"/>
            <w:rPr>
              <w:rFonts w:asciiTheme="minorHAnsi" w:eastAsiaTheme="minorEastAsia" w:hAnsiTheme="minorHAnsi" w:cstheme="minorBidi"/>
              <w:noProof/>
              <w:kern w:val="2"/>
              <w:szCs w:val="24"/>
              <w14:ligatures w14:val="standardContextual"/>
            </w:rPr>
          </w:pPr>
          <w:hyperlink w:anchor="_Toc189048561" w:history="1">
            <w:r w:rsidRPr="00AA4B7E">
              <w:rPr>
                <w:rStyle w:val="Hyperlink"/>
                <w:noProof/>
              </w:rPr>
              <w:t>2.4</w:t>
            </w:r>
            <w:r>
              <w:rPr>
                <w:rFonts w:asciiTheme="minorHAnsi" w:eastAsiaTheme="minorEastAsia" w:hAnsiTheme="minorHAnsi" w:cstheme="minorBidi"/>
                <w:noProof/>
                <w:kern w:val="2"/>
                <w:szCs w:val="24"/>
                <w14:ligatures w14:val="standardContextual"/>
              </w:rPr>
              <w:tab/>
            </w:r>
            <w:r w:rsidRPr="00AA4B7E">
              <w:rPr>
                <w:rStyle w:val="Hyperlink"/>
                <w:noProof/>
              </w:rPr>
              <w:t>Waterbody Fact Sheets</w:t>
            </w:r>
            <w:r>
              <w:rPr>
                <w:noProof/>
                <w:webHidden/>
              </w:rPr>
              <w:tab/>
            </w:r>
            <w:r>
              <w:rPr>
                <w:noProof/>
                <w:webHidden/>
              </w:rPr>
              <w:fldChar w:fldCharType="begin"/>
            </w:r>
            <w:r>
              <w:rPr>
                <w:noProof/>
                <w:webHidden/>
              </w:rPr>
              <w:instrText xml:space="preserve"> PAGEREF _Toc189048561 \h </w:instrText>
            </w:r>
            <w:r>
              <w:rPr>
                <w:noProof/>
                <w:webHidden/>
              </w:rPr>
            </w:r>
            <w:r>
              <w:rPr>
                <w:noProof/>
                <w:webHidden/>
              </w:rPr>
              <w:fldChar w:fldCharType="separate"/>
            </w:r>
            <w:r>
              <w:rPr>
                <w:noProof/>
                <w:webHidden/>
              </w:rPr>
              <w:t>39</w:t>
            </w:r>
            <w:r>
              <w:rPr>
                <w:noProof/>
                <w:webHidden/>
              </w:rPr>
              <w:fldChar w:fldCharType="end"/>
            </w:r>
          </w:hyperlink>
        </w:p>
        <w:p w14:paraId="31F9DDA8" w14:textId="286572B9" w:rsidR="00375328" w:rsidRDefault="00375328">
          <w:pPr>
            <w:pStyle w:val="TOC2"/>
            <w:rPr>
              <w:rFonts w:asciiTheme="minorHAnsi" w:eastAsiaTheme="minorEastAsia" w:hAnsiTheme="minorHAnsi" w:cstheme="minorBidi"/>
              <w:noProof/>
              <w:kern w:val="2"/>
              <w:szCs w:val="24"/>
              <w14:ligatures w14:val="standardContextual"/>
            </w:rPr>
          </w:pPr>
          <w:hyperlink w:anchor="_Toc189048562" w:history="1">
            <w:r w:rsidRPr="00AA4B7E">
              <w:rPr>
                <w:rStyle w:val="Hyperlink"/>
                <w:noProof/>
              </w:rPr>
              <w:t>2.5</w:t>
            </w:r>
            <w:r>
              <w:rPr>
                <w:rFonts w:asciiTheme="minorHAnsi" w:eastAsiaTheme="minorEastAsia" w:hAnsiTheme="minorHAnsi" w:cstheme="minorBidi"/>
                <w:noProof/>
                <w:kern w:val="2"/>
                <w:szCs w:val="24"/>
                <w14:ligatures w14:val="standardContextual"/>
              </w:rPr>
              <w:tab/>
            </w:r>
            <w:r w:rsidRPr="00AA4B7E">
              <w:rPr>
                <w:rStyle w:val="Hyperlink"/>
                <w:noProof/>
              </w:rPr>
              <w:t>Integrated Report Condition Categories</w:t>
            </w:r>
            <w:r>
              <w:rPr>
                <w:noProof/>
                <w:webHidden/>
              </w:rPr>
              <w:tab/>
            </w:r>
            <w:r>
              <w:rPr>
                <w:noProof/>
                <w:webHidden/>
              </w:rPr>
              <w:fldChar w:fldCharType="begin"/>
            </w:r>
            <w:r>
              <w:rPr>
                <w:noProof/>
                <w:webHidden/>
              </w:rPr>
              <w:instrText xml:space="preserve"> PAGEREF _Toc189048562 \h </w:instrText>
            </w:r>
            <w:r>
              <w:rPr>
                <w:noProof/>
                <w:webHidden/>
              </w:rPr>
            </w:r>
            <w:r>
              <w:rPr>
                <w:noProof/>
                <w:webHidden/>
              </w:rPr>
              <w:fldChar w:fldCharType="separate"/>
            </w:r>
            <w:r>
              <w:rPr>
                <w:noProof/>
                <w:webHidden/>
              </w:rPr>
              <w:t>40</w:t>
            </w:r>
            <w:r>
              <w:rPr>
                <w:noProof/>
                <w:webHidden/>
              </w:rPr>
              <w:fldChar w:fldCharType="end"/>
            </w:r>
          </w:hyperlink>
        </w:p>
        <w:p w14:paraId="59B94887" w14:textId="68FE22F2" w:rsidR="00375328" w:rsidRDefault="00375328">
          <w:pPr>
            <w:pStyle w:val="TOC2"/>
            <w:rPr>
              <w:rFonts w:asciiTheme="minorHAnsi" w:eastAsiaTheme="minorEastAsia" w:hAnsiTheme="minorHAnsi" w:cstheme="minorBidi"/>
              <w:noProof/>
              <w:kern w:val="2"/>
              <w:szCs w:val="24"/>
              <w14:ligatures w14:val="standardContextual"/>
            </w:rPr>
          </w:pPr>
          <w:hyperlink w:anchor="_Toc189048563" w:history="1">
            <w:r w:rsidRPr="00AA4B7E">
              <w:rPr>
                <w:rStyle w:val="Hyperlink"/>
                <w:noProof/>
              </w:rPr>
              <w:t>2.6</w:t>
            </w:r>
            <w:r>
              <w:rPr>
                <w:rFonts w:asciiTheme="minorHAnsi" w:eastAsiaTheme="minorEastAsia" w:hAnsiTheme="minorHAnsi" w:cstheme="minorBidi"/>
                <w:noProof/>
                <w:kern w:val="2"/>
                <w:szCs w:val="24"/>
                <w14:ligatures w14:val="standardContextual"/>
              </w:rPr>
              <w:tab/>
            </w:r>
            <w:r w:rsidRPr="00AA4B7E">
              <w:rPr>
                <w:rStyle w:val="Hyperlink"/>
                <w:noProof/>
              </w:rPr>
              <w:t>TMDLs and Other Efforts to Address Impaired Waters</w:t>
            </w:r>
            <w:r>
              <w:rPr>
                <w:noProof/>
                <w:webHidden/>
              </w:rPr>
              <w:tab/>
            </w:r>
            <w:r>
              <w:rPr>
                <w:noProof/>
                <w:webHidden/>
              </w:rPr>
              <w:fldChar w:fldCharType="begin"/>
            </w:r>
            <w:r>
              <w:rPr>
                <w:noProof/>
                <w:webHidden/>
              </w:rPr>
              <w:instrText xml:space="preserve"> PAGEREF _Toc189048563 \h </w:instrText>
            </w:r>
            <w:r>
              <w:rPr>
                <w:noProof/>
                <w:webHidden/>
              </w:rPr>
            </w:r>
            <w:r>
              <w:rPr>
                <w:noProof/>
                <w:webHidden/>
              </w:rPr>
              <w:fldChar w:fldCharType="separate"/>
            </w:r>
            <w:r>
              <w:rPr>
                <w:noProof/>
                <w:webHidden/>
              </w:rPr>
              <w:t>46</w:t>
            </w:r>
            <w:r>
              <w:rPr>
                <w:noProof/>
                <w:webHidden/>
              </w:rPr>
              <w:fldChar w:fldCharType="end"/>
            </w:r>
          </w:hyperlink>
        </w:p>
        <w:p w14:paraId="34203C5C" w14:textId="18A2BDBE" w:rsidR="00375328" w:rsidRDefault="00375328">
          <w:pPr>
            <w:pStyle w:val="TOC2"/>
            <w:rPr>
              <w:rFonts w:asciiTheme="minorHAnsi" w:eastAsiaTheme="minorEastAsia" w:hAnsiTheme="minorHAnsi" w:cstheme="minorBidi"/>
              <w:noProof/>
              <w:kern w:val="2"/>
              <w:szCs w:val="24"/>
              <w14:ligatures w14:val="standardContextual"/>
            </w:rPr>
          </w:pPr>
          <w:hyperlink w:anchor="_Toc189048564" w:history="1">
            <w:r w:rsidRPr="00AA4B7E">
              <w:rPr>
                <w:rStyle w:val="Hyperlink"/>
                <w:noProof/>
              </w:rPr>
              <w:t>2.7</w:t>
            </w:r>
            <w:r>
              <w:rPr>
                <w:rFonts w:asciiTheme="minorHAnsi" w:eastAsiaTheme="minorEastAsia" w:hAnsiTheme="minorHAnsi" w:cstheme="minorBidi"/>
                <w:noProof/>
                <w:kern w:val="2"/>
                <w:szCs w:val="24"/>
                <w14:ligatures w14:val="standardContextual"/>
              </w:rPr>
              <w:tab/>
            </w:r>
            <w:r w:rsidRPr="00AA4B7E">
              <w:rPr>
                <w:rStyle w:val="Hyperlink"/>
                <w:noProof/>
              </w:rPr>
              <w:t>Impaired Waterbody Segments &amp; TMDL Development Priority Rankings</w:t>
            </w:r>
            <w:r>
              <w:rPr>
                <w:noProof/>
                <w:webHidden/>
              </w:rPr>
              <w:tab/>
            </w:r>
            <w:r>
              <w:rPr>
                <w:noProof/>
                <w:webHidden/>
              </w:rPr>
              <w:fldChar w:fldCharType="begin"/>
            </w:r>
            <w:r>
              <w:rPr>
                <w:noProof/>
                <w:webHidden/>
              </w:rPr>
              <w:instrText xml:space="preserve"> PAGEREF _Toc189048564 \h </w:instrText>
            </w:r>
            <w:r>
              <w:rPr>
                <w:noProof/>
                <w:webHidden/>
              </w:rPr>
            </w:r>
            <w:r>
              <w:rPr>
                <w:noProof/>
                <w:webHidden/>
              </w:rPr>
              <w:fldChar w:fldCharType="separate"/>
            </w:r>
            <w:r>
              <w:rPr>
                <w:noProof/>
                <w:webHidden/>
              </w:rPr>
              <w:t>48</w:t>
            </w:r>
            <w:r>
              <w:rPr>
                <w:noProof/>
                <w:webHidden/>
              </w:rPr>
              <w:fldChar w:fldCharType="end"/>
            </w:r>
          </w:hyperlink>
        </w:p>
        <w:p w14:paraId="53B85CAE" w14:textId="06EB8354" w:rsidR="00375328" w:rsidRDefault="00375328">
          <w:pPr>
            <w:pStyle w:val="TOC1"/>
            <w:rPr>
              <w:rFonts w:asciiTheme="minorHAnsi" w:eastAsiaTheme="minorEastAsia" w:hAnsiTheme="minorHAnsi" w:cstheme="minorBidi"/>
              <w:noProof/>
              <w:kern w:val="2"/>
              <w:szCs w:val="24"/>
              <w14:ligatures w14:val="standardContextual"/>
            </w:rPr>
          </w:pPr>
          <w:hyperlink w:anchor="_Toc189048565" w:history="1">
            <w:r w:rsidRPr="00AA4B7E">
              <w:rPr>
                <w:rStyle w:val="Hyperlink"/>
                <w:noProof/>
              </w:rPr>
              <w:t>3</w:t>
            </w:r>
            <w:r>
              <w:rPr>
                <w:rFonts w:asciiTheme="minorHAnsi" w:eastAsiaTheme="minorEastAsia" w:hAnsiTheme="minorHAnsi" w:cstheme="minorBidi"/>
                <w:noProof/>
                <w:kern w:val="2"/>
                <w:szCs w:val="24"/>
                <w14:ligatures w14:val="standardContextual"/>
              </w:rPr>
              <w:tab/>
            </w:r>
            <w:r w:rsidRPr="00AA4B7E">
              <w:rPr>
                <w:rStyle w:val="Hyperlink"/>
                <w:noProof/>
              </w:rPr>
              <w:t>Pollutant Assessment Methods</w:t>
            </w:r>
            <w:r>
              <w:rPr>
                <w:noProof/>
                <w:webHidden/>
              </w:rPr>
              <w:tab/>
            </w:r>
            <w:r>
              <w:rPr>
                <w:noProof/>
                <w:webHidden/>
              </w:rPr>
              <w:fldChar w:fldCharType="begin"/>
            </w:r>
            <w:r>
              <w:rPr>
                <w:noProof/>
                <w:webHidden/>
              </w:rPr>
              <w:instrText xml:space="preserve"> PAGEREF _Toc189048565 \h </w:instrText>
            </w:r>
            <w:r>
              <w:rPr>
                <w:noProof/>
                <w:webHidden/>
              </w:rPr>
            </w:r>
            <w:r>
              <w:rPr>
                <w:noProof/>
                <w:webHidden/>
              </w:rPr>
              <w:fldChar w:fldCharType="separate"/>
            </w:r>
            <w:r>
              <w:rPr>
                <w:noProof/>
                <w:webHidden/>
              </w:rPr>
              <w:t>50</w:t>
            </w:r>
            <w:r>
              <w:rPr>
                <w:noProof/>
                <w:webHidden/>
              </w:rPr>
              <w:fldChar w:fldCharType="end"/>
            </w:r>
          </w:hyperlink>
        </w:p>
        <w:p w14:paraId="62C84F15" w14:textId="2DD38E08" w:rsidR="00375328" w:rsidRDefault="00375328">
          <w:pPr>
            <w:pStyle w:val="TOC2"/>
            <w:rPr>
              <w:rFonts w:asciiTheme="minorHAnsi" w:eastAsiaTheme="minorEastAsia" w:hAnsiTheme="minorHAnsi" w:cstheme="minorBidi"/>
              <w:noProof/>
              <w:kern w:val="2"/>
              <w:szCs w:val="24"/>
              <w14:ligatures w14:val="standardContextual"/>
            </w:rPr>
          </w:pPr>
          <w:hyperlink w:anchor="_Toc189048566" w:history="1">
            <w:r w:rsidRPr="00AA4B7E">
              <w:rPr>
                <w:rStyle w:val="Hyperlink"/>
                <w:noProof/>
              </w:rPr>
              <w:t>3.1</w:t>
            </w:r>
            <w:r>
              <w:rPr>
                <w:rFonts w:asciiTheme="minorHAnsi" w:eastAsiaTheme="minorEastAsia" w:hAnsiTheme="minorHAnsi" w:cstheme="minorBidi"/>
                <w:noProof/>
                <w:kern w:val="2"/>
                <w:szCs w:val="24"/>
                <w14:ligatures w14:val="standardContextual"/>
              </w:rPr>
              <w:tab/>
            </w:r>
            <w:r w:rsidRPr="00AA4B7E">
              <w:rPr>
                <w:rStyle w:val="Hyperlink"/>
                <w:noProof/>
              </w:rPr>
              <w:t>Aluminum - Water Matrix</w:t>
            </w:r>
            <w:r>
              <w:rPr>
                <w:noProof/>
                <w:webHidden/>
              </w:rPr>
              <w:tab/>
            </w:r>
            <w:r>
              <w:rPr>
                <w:noProof/>
                <w:webHidden/>
              </w:rPr>
              <w:fldChar w:fldCharType="begin"/>
            </w:r>
            <w:r>
              <w:rPr>
                <w:noProof/>
                <w:webHidden/>
              </w:rPr>
              <w:instrText xml:space="preserve"> PAGEREF _Toc189048566 \h </w:instrText>
            </w:r>
            <w:r>
              <w:rPr>
                <w:noProof/>
                <w:webHidden/>
              </w:rPr>
            </w:r>
            <w:r>
              <w:rPr>
                <w:noProof/>
                <w:webHidden/>
              </w:rPr>
              <w:fldChar w:fldCharType="separate"/>
            </w:r>
            <w:r>
              <w:rPr>
                <w:noProof/>
                <w:webHidden/>
              </w:rPr>
              <w:t>50</w:t>
            </w:r>
            <w:r>
              <w:rPr>
                <w:noProof/>
                <w:webHidden/>
              </w:rPr>
              <w:fldChar w:fldCharType="end"/>
            </w:r>
          </w:hyperlink>
        </w:p>
        <w:p w14:paraId="398ECA98" w14:textId="2DDDCD62" w:rsidR="00375328" w:rsidRDefault="00375328">
          <w:pPr>
            <w:pStyle w:val="TOC3"/>
            <w:rPr>
              <w:rFonts w:asciiTheme="minorHAnsi" w:eastAsiaTheme="minorEastAsia" w:hAnsiTheme="minorHAnsi" w:cstheme="minorBidi"/>
              <w:noProof/>
              <w:kern w:val="2"/>
              <w:szCs w:val="24"/>
              <w14:ligatures w14:val="standardContextual"/>
            </w:rPr>
          </w:pPr>
          <w:hyperlink w:anchor="_Toc189048567" w:history="1">
            <w:r w:rsidRPr="00AA4B7E">
              <w:rPr>
                <w:rStyle w:val="Hyperlink"/>
                <w:noProof/>
              </w:rPr>
              <w:t>3.1.1</w:t>
            </w:r>
            <w:r>
              <w:rPr>
                <w:rFonts w:asciiTheme="minorHAnsi" w:eastAsiaTheme="minorEastAsia" w:hAnsiTheme="minorHAnsi" w:cstheme="minorBidi"/>
                <w:noProof/>
                <w:kern w:val="2"/>
                <w:szCs w:val="24"/>
                <w14:ligatures w14:val="standardContextual"/>
              </w:rPr>
              <w:tab/>
            </w:r>
            <w:r w:rsidRPr="00AA4B7E">
              <w:rPr>
                <w:rStyle w:val="Hyperlink"/>
                <w:noProof/>
              </w:rPr>
              <w:t>Insufficient Total Hardness and DOC Data</w:t>
            </w:r>
            <w:r>
              <w:rPr>
                <w:noProof/>
                <w:webHidden/>
              </w:rPr>
              <w:tab/>
            </w:r>
            <w:r>
              <w:rPr>
                <w:noProof/>
                <w:webHidden/>
              </w:rPr>
              <w:fldChar w:fldCharType="begin"/>
            </w:r>
            <w:r>
              <w:rPr>
                <w:noProof/>
                <w:webHidden/>
              </w:rPr>
              <w:instrText xml:space="preserve"> PAGEREF _Toc189048567 \h </w:instrText>
            </w:r>
            <w:r>
              <w:rPr>
                <w:noProof/>
                <w:webHidden/>
              </w:rPr>
            </w:r>
            <w:r>
              <w:rPr>
                <w:noProof/>
                <w:webHidden/>
              </w:rPr>
              <w:fldChar w:fldCharType="separate"/>
            </w:r>
            <w:r>
              <w:rPr>
                <w:noProof/>
                <w:webHidden/>
              </w:rPr>
              <w:t>51</w:t>
            </w:r>
            <w:r>
              <w:rPr>
                <w:noProof/>
                <w:webHidden/>
              </w:rPr>
              <w:fldChar w:fldCharType="end"/>
            </w:r>
          </w:hyperlink>
        </w:p>
        <w:p w14:paraId="35FF0DA0" w14:textId="0304DB4A" w:rsidR="00375328" w:rsidRDefault="00375328">
          <w:pPr>
            <w:pStyle w:val="TOC3"/>
            <w:rPr>
              <w:rFonts w:asciiTheme="minorHAnsi" w:eastAsiaTheme="minorEastAsia" w:hAnsiTheme="minorHAnsi" w:cstheme="minorBidi"/>
              <w:noProof/>
              <w:kern w:val="2"/>
              <w:szCs w:val="24"/>
              <w14:ligatures w14:val="standardContextual"/>
            </w:rPr>
          </w:pPr>
          <w:hyperlink w:anchor="_Toc189048568" w:history="1">
            <w:r w:rsidRPr="00AA4B7E">
              <w:rPr>
                <w:rStyle w:val="Hyperlink"/>
                <w:noProof/>
              </w:rPr>
              <w:t>3.1.2</w:t>
            </w:r>
            <w:r>
              <w:rPr>
                <w:rFonts w:asciiTheme="minorHAnsi" w:eastAsiaTheme="minorEastAsia" w:hAnsiTheme="minorHAnsi" w:cstheme="minorBidi"/>
                <w:noProof/>
                <w:kern w:val="2"/>
                <w:szCs w:val="24"/>
                <w14:ligatures w14:val="standardContextual"/>
              </w:rPr>
              <w:tab/>
            </w:r>
            <w:r w:rsidRPr="00AA4B7E">
              <w:rPr>
                <w:rStyle w:val="Hyperlink"/>
                <w:noProof/>
              </w:rPr>
              <w:t>Insufficient pH Data</w:t>
            </w:r>
            <w:r>
              <w:rPr>
                <w:noProof/>
                <w:webHidden/>
              </w:rPr>
              <w:tab/>
            </w:r>
            <w:r>
              <w:rPr>
                <w:noProof/>
                <w:webHidden/>
              </w:rPr>
              <w:fldChar w:fldCharType="begin"/>
            </w:r>
            <w:r>
              <w:rPr>
                <w:noProof/>
                <w:webHidden/>
              </w:rPr>
              <w:instrText xml:space="preserve"> PAGEREF _Toc189048568 \h </w:instrText>
            </w:r>
            <w:r>
              <w:rPr>
                <w:noProof/>
                <w:webHidden/>
              </w:rPr>
            </w:r>
            <w:r>
              <w:rPr>
                <w:noProof/>
                <w:webHidden/>
              </w:rPr>
              <w:fldChar w:fldCharType="separate"/>
            </w:r>
            <w:r>
              <w:rPr>
                <w:noProof/>
                <w:webHidden/>
              </w:rPr>
              <w:t>52</w:t>
            </w:r>
            <w:r>
              <w:rPr>
                <w:noProof/>
                <w:webHidden/>
              </w:rPr>
              <w:fldChar w:fldCharType="end"/>
            </w:r>
          </w:hyperlink>
        </w:p>
        <w:p w14:paraId="14BA75E4" w14:textId="619B6D7F" w:rsidR="00375328" w:rsidRDefault="00375328">
          <w:pPr>
            <w:pStyle w:val="TOC3"/>
            <w:rPr>
              <w:rFonts w:asciiTheme="minorHAnsi" w:eastAsiaTheme="minorEastAsia" w:hAnsiTheme="minorHAnsi" w:cstheme="minorBidi"/>
              <w:noProof/>
              <w:kern w:val="2"/>
              <w:szCs w:val="24"/>
              <w14:ligatures w14:val="standardContextual"/>
            </w:rPr>
          </w:pPr>
          <w:hyperlink w:anchor="_Toc189048569" w:history="1">
            <w:r w:rsidRPr="00AA4B7E">
              <w:rPr>
                <w:rStyle w:val="Hyperlink"/>
                <w:noProof/>
              </w:rPr>
              <w:t>3.1.3</w:t>
            </w:r>
            <w:r>
              <w:rPr>
                <w:rFonts w:asciiTheme="minorHAnsi" w:eastAsiaTheme="minorEastAsia" w:hAnsiTheme="minorHAnsi" w:cstheme="minorBidi"/>
                <w:noProof/>
                <w:kern w:val="2"/>
                <w:szCs w:val="24"/>
                <w14:ligatures w14:val="standardContextual"/>
              </w:rPr>
              <w:tab/>
            </w:r>
            <w:r w:rsidRPr="00AA4B7E">
              <w:rPr>
                <w:rStyle w:val="Hyperlink"/>
                <w:noProof/>
              </w:rPr>
              <w:t>Use of Total Recoverable Fraction Aluminum Data</w:t>
            </w:r>
            <w:r>
              <w:rPr>
                <w:noProof/>
                <w:webHidden/>
              </w:rPr>
              <w:tab/>
            </w:r>
            <w:r>
              <w:rPr>
                <w:noProof/>
                <w:webHidden/>
              </w:rPr>
              <w:fldChar w:fldCharType="begin"/>
            </w:r>
            <w:r>
              <w:rPr>
                <w:noProof/>
                <w:webHidden/>
              </w:rPr>
              <w:instrText xml:space="preserve"> PAGEREF _Toc189048569 \h </w:instrText>
            </w:r>
            <w:r>
              <w:rPr>
                <w:noProof/>
                <w:webHidden/>
              </w:rPr>
            </w:r>
            <w:r>
              <w:rPr>
                <w:noProof/>
                <w:webHidden/>
              </w:rPr>
              <w:fldChar w:fldCharType="separate"/>
            </w:r>
            <w:r>
              <w:rPr>
                <w:noProof/>
                <w:webHidden/>
              </w:rPr>
              <w:t>53</w:t>
            </w:r>
            <w:r>
              <w:rPr>
                <w:noProof/>
                <w:webHidden/>
              </w:rPr>
              <w:fldChar w:fldCharType="end"/>
            </w:r>
          </w:hyperlink>
        </w:p>
        <w:p w14:paraId="5049593C" w14:textId="6C809950" w:rsidR="00375328" w:rsidRDefault="00375328">
          <w:pPr>
            <w:pStyle w:val="TOC3"/>
            <w:rPr>
              <w:rFonts w:asciiTheme="minorHAnsi" w:eastAsiaTheme="minorEastAsia" w:hAnsiTheme="minorHAnsi" w:cstheme="minorBidi"/>
              <w:noProof/>
              <w:kern w:val="2"/>
              <w:szCs w:val="24"/>
              <w14:ligatures w14:val="standardContextual"/>
            </w:rPr>
          </w:pPr>
          <w:hyperlink w:anchor="_Toc189048570" w:history="1">
            <w:r w:rsidRPr="00AA4B7E">
              <w:rPr>
                <w:rStyle w:val="Hyperlink"/>
                <w:noProof/>
              </w:rPr>
              <w:t>3.1.4</w:t>
            </w:r>
            <w:r>
              <w:rPr>
                <w:rFonts w:asciiTheme="minorHAnsi" w:eastAsiaTheme="minorEastAsia" w:hAnsiTheme="minorHAnsi" w:cstheme="minorBidi"/>
                <w:noProof/>
                <w:kern w:val="2"/>
                <w:szCs w:val="24"/>
                <w14:ligatures w14:val="standardContextual"/>
              </w:rPr>
              <w:tab/>
            </w:r>
            <w:r w:rsidRPr="00AA4B7E">
              <w:rPr>
                <w:rStyle w:val="Hyperlink"/>
                <w:noProof/>
              </w:rPr>
              <w:t>Aluminum Reassessment</w:t>
            </w:r>
            <w:r>
              <w:rPr>
                <w:noProof/>
                <w:webHidden/>
              </w:rPr>
              <w:tab/>
            </w:r>
            <w:r>
              <w:rPr>
                <w:noProof/>
                <w:webHidden/>
              </w:rPr>
              <w:fldChar w:fldCharType="begin"/>
            </w:r>
            <w:r>
              <w:rPr>
                <w:noProof/>
                <w:webHidden/>
              </w:rPr>
              <w:instrText xml:space="preserve"> PAGEREF _Toc189048570 \h </w:instrText>
            </w:r>
            <w:r>
              <w:rPr>
                <w:noProof/>
                <w:webHidden/>
              </w:rPr>
            </w:r>
            <w:r>
              <w:rPr>
                <w:noProof/>
                <w:webHidden/>
              </w:rPr>
              <w:fldChar w:fldCharType="separate"/>
            </w:r>
            <w:r>
              <w:rPr>
                <w:noProof/>
                <w:webHidden/>
              </w:rPr>
              <w:t>55</w:t>
            </w:r>
            <w:r>
              <w:rPr>
                <w:noProof/>
                <w:webHidden/>
              </w:rPr>
              <w:fldChar w:fldCharType="end"/>
            </w:r>
          </w:hyperlink>
        </w:p>
        <w:p w14:paraId="28F12F7C" w14:textId="1C8D9FC8" w:rsidR="00375328" w:rsidRDefault="00375328">
          <w:pPr>
            <w:pStyle w:val="TOC2"/>
            <w:rPr>
              <w:rFonts w:asciiTheme="minorHAnsi" w:eastAsiaTheme="minorEastAsia" w:hAnsiTheme="minorHAnsi" w:cstheme="minorBidi"/>
              <w:noProof/>
              <w:kern w:val="2"/>
              <w:szCs w:val="24"/>
              <w14:ligatures w14:val="standardContextual"/>
            </w:rPr>
          </w:pPr>
          <w:hyperlink w:anchor="_Toc189048571" w:history="1">
            <w:r w:rsidRPr="00AA4B7E">
              <w:rPr>
                <w:rStyle w:val="Hyperlink"/>
                <w:noProof/>
              </w:rPr>
              <w:t>3.2</w:t>
            </w:r>
            <w:r>
              <w:rPr>
                <w:rFonts w:asciiTheme="minorHAnsi" w:eastAsiaTheme="minorEastAsia" w:hAnsiTheme="minorHAnsi" w:cstheme="minorBidi"/>
                <w:noProof/>
                <w:kern w:val="2"/>
                <w:szCs w:val="24"/>
                <w14:ligatures w14:val="standardContextual"/>
              </w:rPr>
              <w:tab/>
            </w:r>
            <w:r w:rsidRPr="00AA4B7E">
              <w:rPr>
                <w:rStyle w:val="Hyperlink"/>
                <w:noProof/>
              </w:rPr>
              <w:t>CTR Hardness-Dependent Metals – Water Matrix</w:t>
            </w:r>
            <w:r>
              <w:rPr>
                <w:noProof/>
                <w:webHidden/>
              </w:rPr>
              <w:tab/>
            </w:r>
            <w:r>
              <w:rPr>
                <w:noProof/>
                <w:webHidden/>
              </w:rPr>
              <w:fldChar w:fldCharType="begin"/>
            </w:r>
            <w:r>
              <w:rPr>
                <w:noProof/>
                <w:webHidden/>
              </w:rPr>
              <w:instrText xml:space="preserve"> PAGEREF _Toc189048571 \h </w:instrText>
            </w:r>
            <w:r>
              <w:rPr>
                <w:noProof/>
                <w:webHidden/>
              </w:rPr>
            </w:r>
            <w:r>
              <w:rPr>
                <w:noProof/>
                <w:webHidden/>
              </w:rPr>
              <w:fldChar w:fldCharType="separate"/>
            </w:r>
            <w:r>
              <w:rPr>
                <w:noProof/>
                <w:webHidden/>
              </w:rPr>
              <w:t>55</w:t>
            </w:r>
            <w:r>
              <w:rPr>
                <w:noProof/>
                <w:webHidden/>
              </w:rPr>
              <w:fldChar w:fldCharType="end"/>
            </w:r>
          </w:hyperlink>
        </w:p>
        <w:p w14:paraId="47B775F9" w14:textId="1BFAF1D5" w:rsidR="00375328" w:rsidRDefault="00375328">
          <w:pPr>
            <w:pStyle w:val="TOC2"/>
            <w:rPr>
              <w:rFonts w:asciiTheme="minorHAnsi" w:eastAsiaTheme="minorEastAsia" w:hAnsiTheme="minorHAnsi" w:cstheme="minorBidi"/>
              <w:noProof/>
              <w:kern w:val="2"/>
              <w:szCs w:val="24"/>
              <w14:ligatures w14:val="standardContextual"/>
            </w:rPr>
          </w:pPr>
          <w:hyperlink w:anchor="_Toc189048572" w:history="1">
            <w:r w:rsidRPr="00AA4B7E">
              <w:rPr>
                <w:rStyle w:val="Hyperlink"/>
                <w:noProof/>
              </w:rPr>
              <w:t>3.3</w:t>
            </w:r>
            <w:r>
              <w:rPr>
                <w:rFonts w:asciiTheme="minorHAnsi" w:eastAsiaTheme="minorEastAsia" w:hAnsiTheme="minorHAnsi" w:cstheme="minorBidi"/>
                <w:noProof/>
                <w:kern w:val="2"/>
                <w:szCs w:val="24"/>
                <w14:ligatures w14:val="standardContextual"/>
              </w:rPr>
              <w:tab/>
            </w:r>
            <w:r w:rsidRPr="00AA4B7E">
              <w:rPr>
                <w:rStyle w:val="Hyperlink"/>
                <w:noProof/>
              </w:rPr>
              <w:t>Iron – Water Matrix</w:t>
            </w:r>
            <w:r>
              <w:rPr>
                <w:noProof/>
                <w:webHidden/>
              </w:rPr>
              <w:tab/>
            </w:r>
            <w:r>
              <w:rPr>
                <w:noProof/>
                <w:webHidden/>
              </w:rPr>
              <w:fldChar w:fldCharType="begin"/>
            </w:r>
            <w:r>
              <w:rPr>
                <w:noProof/>
                <w:webHidden/>
              </w:rPr>
              <w:instrText xml:space="preserve"> PAGEREF _Toc189048572 \h </w:instrText>
            </w:r>
            <w:r>
              <w:rPr>
                <w:noProof/>
                <w:webHidden/>
              </w:rPr>
            </w:r>
            <w:r>
              <w:rPr>
                <w:noProof/>
                <w:webHidden/>
              </w:rPr>
              <w:fldChar w:fldCharType="separate"/>
            </w:r>
            <w:r>
              <w:rPr>
                <w:noProof/>
                <w:webHidden/>
              </w:rPr>
              <w:t>56</w:t>
            </w:r>
            <w:r>
              <w:rPr>
                <w:noProof/>
                <w:webHidden/>
              </w:rPr>
              <w:fldChar w:fldCharType="end"/>
            </w:r>
          </w:hyperlink>
        </w:p>
        <w:p w14:paraId="6435A7B3" w14:textId="679300EB" w:rsidR="00375328" w:rsidRDefault="00375328">
          <w:pPr>
            <w:pStyle w:val="TOC2"/>
            <w:rPr>
              <w:rFonts w:asciiTheme="minorHAnsi" w:eastAsiaTheme="minorEastAsia" w:hAnsiTheme="minorHAnsi" w:cstheme="minorBidi"/>
              <w:noProof/>
              <w:kern w:val="2"/>
              <w:szCs w:val="24"/>
              <w14:ligatures w14:val="standardContextual"/>
            </w:rPr>
          </w:pPr>
          <w:hyperlink w:anchor="_Toc189048573" w:history="1">
            <w:r w:rsidRPr="00AA4B7E">
              <w:rPr>
                <w:rStyle w:val="Hyperlink"/>
                <w:noProof/>
              </w:rPr>
              <w:t>3.4</w:t>
            </w:r>
            <w:r>
              <w:rPr>
                <w:rFonts w:asciiTheme="minorHAnsi" w:eastAsiaTheme="minorEastAsia" w:hAnsiTheme="minorHAnsi" w:cstheme="minorBidi"/>
                <w:noProof/>
                <w:kern w:val="2"/>
                <w:szCs w:val="24"/>
                <w14:ligatures w14:val="standardContextual"/>
              </w:rPr>
              <w:tab/>
            </w:r>
            <w:r w:rsidRPr="00AA4B7E">
              <w:rPr>
                <w:rStyle w:val="Hyperlink"/>
                <w:noProof/>
              </w:rPr>
              <w:t>Mercury – Fish Tissue Matrix</w:t>
            </w:r>
            <w:r>
              <w:rPr>
                <w:noProof/>
                <w:webHidden/>
              </w:rPr>
              <w:tab/>
            </w:r>
            <w:r>
              <w:rPr>
                <w:noProof/>
                <w:webHidden/>
              </w:rPr>
              <w:fldChar w:fldCharType="begin"/>
            </w:r>
            <w:r>
              <w:rPr>
                <w:noProof/>
                <w:webHidden/>
              </w:rPr>
              <w:instrText xml:space="preserve"> PAGEREF _Toc189048573 \h </w:instrText>
            </w:r>
            <w:r>
              <w:rPr>
                <w:noProof/>
                <w:webHidden/>
              </w:rPr>
            </w:r>
            <w:r>
              <w:rPr>
                <w:noProof/>
                <w:webHidden/>
              </w:rPr>
              <w:fldChar w:fldCharType="separate"/>
            </w:r>
            <w:r>
              <w:rPr>
                <w:noProof/>
                <w:webHidden/>
              </w:rPr>
              <w:t>57</w:t>
            </w:r>
            <w:r>
              <w:rPr>
                <w:noProof/>
                <w:webHidden/>
              </w:rPr>
              <w:fldChar w:fldCharType="end"/>
            </w:r>
          </w:hyperlink>
        </w:p>
        <w:p w14:paraId="796F5A7C" w14:textId="78117FB2" w:rsidR="00375328" w:rsidRDefault="00375328">
          <w:pPr>
            <w:pStyle w:val="TOC2"/>
            <w:rPr>
              <w:rFonts w:asciiTheme="minorHAnsi" w:eastAsiaTheme="minorEastAsia" w:hAnsiTheme="minorHAnsi" w:cstheme="minorBidi"/>
              <w:noProof/>
              <w:kern w:val="2"/>
              <w:szCs w:val="24"/>
              <w14:ligatures w14:val="standardContextual"/>
            </w:rPr>
          </w:pPr>
          <w:hyperlink w:anchor="_Toc189048574" w:history="1">
            <w:r w:rsidRPr="00AA4B7E">
              <w:rPr>
                <w:rStyle w:val="Hyperlink"/>
                <w:noProof/>
              </w:rPr>
              <w:t>3.5</w:t>
            </w:r>
            <w:r>
              <w:rPr>
                <w:rFonts w:asciiTheme="minorHAnsi" w:eastAsiaTheme="minorEastAsia" w:hAnsiTheme="minorHAnsi" w:cstheme="minorBidi"/>
                <w:noProof/>
                <w:kern w:val="2"/>
                <w:szCs w:val="24"/>
                <w14:ligatures w14:val="standardContextual"/>
              </w:rPr>
              <w:tab/>
            </w:r>
            <w:r w:rsidRPr="00AA4B7E">
              <w:rPr>
                <w:rStyle w:val="Hyperlink"/>
                <w:noProof/>
              </w:rPr>
              <w:t>Pesticides, Organic Chemicals, and Non-hardness Dependent Metals – Water Matrix</w:t>
            </w:r>
            <w:r>
              <w:rPr>
                <w:noProof/>
                <w:webHidden/>
              </w:rPr>
              <w:tab/>
            </w:r>
            <w:r>
              <w:rPr>
                <w:noProof/>
                <w:webHidden/>
              </w:rPr>
              <w:fldChar w:fldCharType="begin"/>
            </w:r>
            <w:r>
              <w:rPr>
                <w:noProof/>
                <w:webHidden/>
              </w:rPr>
              <w:instrText xml:space="preserve"> PAGEREF _Toc189048574 \h </w:instrText>
            </w:r>
            <w:r>
              <w:rPr>
                <w:noProof/>
                <w:webHidden/>
              </w:rPr>
            </w:r>
            <w:r>
              <w:rPr>
                <w:noProof/>
                <w:webHidden/>
              </w:rPr>
              <w:fldChar w:fldCharType="separate"/>
            </w:r>
            <w:r>
              <w:rPr>
                <w:noProof/>
                <w:webHidden/>
              </w:rPr>
              <w:t>59</w:t>
            </w:r>
            <w:r>
              <w:rPr>
                <w:noProof/>
                <w:webHidden/>
              </w:rPr>
              <w:fldChar w:fldCharType="end"/>
            </w:r>
          </w:hyperlink>
        </w:p>
        <w:p w14:paraId="3FEF4CCB" w14:textId="51817A1C" w:rsidR="00375328" w:rsidRDefault="00375328">
          <w:pPr>
            <w:pStyle w:val="TOC3"/>
            <w:rPr>
              <w:rFonts w:asciiTheme="minorHAnsi" w:eastAsiaTheme="minorEastAsia" w:hAnsiTheme="minorHAnsi" w:cstheme="minorBidi"/>
              <w:noProof/>
              <w:kern w:val="2"/>
              <w:szCs w:val="24"/>
              <w14:ligatures w14:val="standardContextual"/>
            </w:rPr>
          </w:pPr>
          <w:hyperlink w:anchor="_Toc189048575" w:history="1">
            <w:r w:rsidRPr="00AA4B7E">
              <w:rPr>
                <w:rStyle w:val="Hyperlink"/>
                <w:noProof/>
              </w:rPr>
              <w:t>3.5.1</w:t>
            </w:r>
            <w:r>
              <w:rPr>
                <w:rFonts w:asciiTheme="minorHAnsi" w:eastAsiaTheme="minorEastAsia" w:hAnsiTheme="minorHAnsi" w:cstheme="minorBidi"/>
                <w:noProof/>
                <w:kern w:val="2"/>
                <w:szCs w:val="24"/>
                <w14:ligatures w14:val="standardContextual"/>
              </w:rPr>
              <w:tab/>
            </w:r>
            <w:r w:rsidRPr="00AA4B7E">
              <w:rPr>
                <w:rStyle w:val="Hyperlink"/>
                <w:noProof/>
              </w:rPr>
              <w:t>Pesticides and Other Organic Chemicals</w:t>
            </w:r>
            <w:r>
              <w:rPr>
                <w:noProof/>
                <w:webHidden/>
              </w:rPr>
              <w:tab/>
            </w:r>
            <w:r>
              <w:rPr>
                <w:noProof/>
                <w:webHidden/>
              </w:rPr>
              <w:fldChar w:fldCharType="begin"/>
            </w:r>
            <w:r>
              <w:rPr>
                <w:noProof/>
                <w:webHidden/>
              </w:rPr>
              <w:instrText xml:space="preserve"> PAGEREF _Toc189048575 \h </w:instrText>
            </w:r>
            <w:r>
              <w:rPr>
                <w:noProof/>
                <w:webHidden/>
              </w:rPr>
            </w:r>
            <w:r>
              <w:rPr>
                <w:noProof/>
                <w:webHidden/>
              </w:rPr>
              <w:fldChar w:fldCharType="separate"/>
            </w:r>
            <w:r>
              <w:rPr>
                <w:noProof/>
                <w:webHidden/>
              </w:rPr>
              <w:t>59</w:t>
            </w:r>
            <w:r>
              <w:rPr>
                <w:noProof/>
                <w:webHidden/>
              </w:rPr>
              <w:fldChar w:fldCharType="end"/>
            </w:r>
          </w:hyperlink>
        </w:p>
        <w:p w14:paraId="5A61EA6D" w14:textId="6EB43981" w:rsidR="00375328" w:rsidRDefault="00375328">
          <w:pPr>
            <w:pStyle w:val="TOC3"/>
            <w:rPr>
              <w:rFonts w:asciiTheme="minorHAnsi" w:eastAsiaTheme="minorEastAsia" w:hAnsiTheme="minorHAnsi" w:cstheme="minorBidi"/>
              <w:noProof/>
              <w:kern w:val="2"/>
              <w:szCs w:val="24"/>
              <w14:ligatures w14:val="standardContextual"/>
            </w:rPr>
          </w:pPr>
          <w:hyperlink w:anchor="_Toc189048576" w:history="1">
            <w:r w:rsidRPr="00AA4B7E">
              <w:rPr>
                <w:rStyle w:val="Hyperlink"/>
                <w:noProof/>
              </w:rPr>
              <w:t>3.5.2</w:t>
            </w:r>
            <w:r>
              <w:rPr>
                <w:rFonts w:asciiTheme="minorHAnsi" w:eastAsiaTheme="minorEastAsia" w:hAnsiTheme="minorHAnsi" w:cstheme="minorBidi"/>
                <w:noProof/>
                <w:kern w:val="2"/>
                <w:szCs w:val="24"/>
                <w14:ligatures w14:val="standardContextual"/>
              </w:rPr>
              <w:tab/>
            </w:r>
            <w:r w:rsidRPr="00AA4B7E">
              <w:rPr>
                <w:rStyle w:val="Hyperlink"/>
                <w:noProof/>
              </w:rPr>
              <w:t>Pesticide Reassessments - USEPA Aquatic Life Benchmarks</w:t>
            </w:r>
            <w:r>
              <w:rPr>
                <w:noProof/>
                <w:webHidden/>
              </w:rPr>
              <w:tab/>
            </w:r>
            <w:r>
              <w:rPr>
                <w:noProof/>
                <w:webHidden/>
              </w:rPr>
              <w:fldChar w:fldCharType="begin"/>
            </w:r>
            <w:r>
              <w:rPr>
                <w:noProof/>
                <w:webHidden/>
              </w:rPr>
              <w:instrText xml:space="preserve"> PAGEREF _Toc189048576 \h </w:instrText>
            </w:r>
            <w:r>
              <w:rPr>
                <w:noProof/>
                <w:webHidden/>
              </w:rPr>
            </w:r>
            <w:r>
              <w:rPr>
                <w:noProof/>
                <w:webHidden/>
              </w:rPr>
              <w:fldChar w:fldCharType="separate"/>
            </w:r>
            <w:r>
              <w:rPr>
                <w:noProof/>
                <w:webHidden/>
              </w:rPr>
              <w:t>61</w:t>
            </w:r>
            <w:r>
              <w:rPr>
                <w:noProof/>
                <w:webHidden/>
              </w:rPr>
              <w:fldChar w:fldCharType="end"/>
            </w:r>
          </w:hyperlink>
        </w:p>
        <w:p w14:paraId="796B39E7" w14:textId="39ADA64E" w:rsidR="00375328" w:rsidRDefault="00375328">
          <w:pPr>
            <w:pStyle w:val="TOC3"/>
            <w:rPr>
              <w:rFonts w:asciiTheme="minorHAnsi" w:eastAsiaTheme="minorEastAsia" w:hAnsiTheme="minorHAnsi" w:cstheme="minorBidi"/>
              <w:noProof/>
              <w:kern w:val="2"/>
              <w:szCs w:val="24"/>
              <w14:ligatures w14:val="standardContextual"/>
            </w:rPr>
          </w:pPr>
          <w:hyperlink w:anchor="_Toc189048577" w:history="1">
            <w:r w:rsidRPr="00AA4B7E">
              <w:rPr>
                <w:rStyle w:val="Hyperlink"/>
                <w:noProof/>
              </w:rPr>
              <w:t>3.5.3</w:t>
            </w:r>
            <w:r>
              <w:rPr>
                <w:rFonts w:asciiTheme="minorHAnsi" w:eastAsiaTheme="minorEastAsia" w:hAnsiTheme="minorHAnsi" w:cstheme="minorBidi"/>
                <w:noProof/>
                <w:kern w:val="2"/>
                <w:szCs w:val="24"/>
                <w14:ligatures w14:val="standardContextual"/>
              </w:rPr>
              <w:tab/>
            </w:r>
            <w:r w:rsidRPr="00AA4B7E">
              <w:rPr>
                <w:rStyle w:val="Hyperlink"/>
                <w:noProof/>
              </w:rPr>
              <w:t>Non-hardness Dependent Metals</w:t>
            </w:r>
            <w:r>
              <w:rPr>
                <w:noProof/>
                <w:webHidden/>
              </w:rPr>
              <w:tab/>
            </w:r>
            <w:r>
              <w:rPr>
                <w:noProof/>
                <w:webHidden/>
              </w:rPr>
              <w:fldChar w:fldCharType="begin"/>
            </w:r>
            <w:r>
              <w:rPr>
                <w:noProof/>
                <w:webHidden/>
              </w:rPr>
              <w:instrText xml:space="preserve"> PAGEREF _Toc189048577 \h </w:instrText>
            </w:r>
            <w:r>
              <w:rPr>
                <w:noProof/>
                <w:webHidden/>
              </w:rPr>
            </w:r>
            <w:r>
              <w:rPr>
                <w:noProof/>
                <w:webHidden/>
              </w:rPr>
              <w:fldChar w:fldCharType="separate"/>
            </w:r>
            <w:r>
              <w:rPr>
                <w:noProof/>
                <w:webHidden/>
              </w:rPr>
              <w:t>62</w:t>
            </w:r>
            <w:r>
              <w:rPr>
                <w:noProof/>
                <w:webHidden/>
              </w:rPr>
              <w:fldChar w:fldCharType="end"/>
            </w:r>
          </w:hyperlink>
        </w:p>
        <w:p w14:paraId="219938BF" w14:textId="4E8546FE" w:rsidR="00375328" w:rsidRDefault="00375328">
          <w:pPr>
            <w:pStyle w:val="TOC2"/>
            <w:rPr>
              <w:rFonts w:asciiTheme="minorHAnsi" w:eastAsiaTheme="minorEastAsia" w:hAnsiTheme="minorHAnsi" w:cstheme="minorBidi"/>
              <w:noProof/>
              <w:kern w:val="2"/>
              <w:szCs w:val="24"/>
              <w14:ligatures w14:val="standardContextual"/>
            </w:rPr>
          </w:pPr>
          <w:hyperlink w:anchor="_Toc189048578" w:history="1">
            <w:r w:rsidRPr="00AA4B7E">
              <w:rPr>
                <w:rStyle w:val="Hyperlink"/>
                <w:noProof/>
              </w:rPr>
              <w:t>3.6</w:t>
            </w:r>
            <w:r>
              <w:rPr>
                <w:rFonts w:asciiTheme="minorHAnsi" w:eastAsiaTheme="minorEastAsia" w:hAnsiTheme="minorHAnsi" w:cstheme="minorBidi"/>
                <w:noProof/>
                <w:kern w:val="2"/>
                <w:szCs w:val="24"/>
                <w14:ligatures w14:val="standardContextual"/>
              </w:rPr>
              <w:tab/>
            </w:r>
            <w:r w:rsidRPr="00AA4B7E">
              <w:rPr>
                <w:rStyle w:val="Hyperlink"/>
                <w:noProof/>
              </w:rPr>
              <w:t>Pesticides, Organic Chemicals, and Metals – Sediment Matrix</w:t>
            </w:r>
            <w:r>
              <w:rPr>
                <w:noProof/>
                <w:webHidden/>
              </w:rPr>
              <w:tab/>
            </w:r>
            <w:r>
              <w:rPr>
                <w:noProof/>
                <w:webHidden/>
              </w:rPr>
              <w:fldChar w:fldCharType="begin"/>
            </w:r>
            <w:r>
              <w:rPr>
                <w:noProof/>
                <w:webHidden/>
              </w:rPr>
              <w:instrText xml:space="preserve"> PAGEREF _Toc189048578 \h </w:instrText>
            </w:r>
            <w:r>
              <w:rPr>
                <w:noProof/>
                <w:webHidden/>
              </w:rPr>
            </w:r>
            <w:r>
              <w:rPr>
                <w:noProof/>
                <w:webHidden/>
              </w:rPr>
              <w:fldChar w:fldCharType="separate"/>
            </w:r>
            <w:r>
              <w:rPr>
                <w:noProof/>
                <w:webHidden/>
              </w:rPr>
              <w:t>63</w:t>
            </w:r>
            <w:r>
              <w:rPr>
                <w:noProof/>
                <w:webHidden/>
              </w:rPr>
              <w:fldChar w:fldCharType="end"/>
            </w:r>
          </w:hyperlink>
        </w:p>
        <w:p w14:paraId="0E22CB89" w14:textId="792C8664" w:rsidR="00375328" w:rsidRDefault="00375328">
          <w:pPr>
            <w:pStyle w:val="TOC3"/>
            <w:rPr>
              <w:rFonts w:asciiTheme="minorHAnsi" w:eastAsiaTheme="minorEastAsia" w:hAnsiTheme="minorHAnsi" w:cstheme="minorBidi"/>
              <w:noProof/>
              <w:kern w:val="2"/>
              <w:szCs w:val="24"/>
              <w14:ligatures w14:val="standardContextual"/>
            </w:rPr>
          </w:pPr>
          <w:hyperlink w:anchor="_Toc189048579" w:history="1">
            <w:r w:rsidRPr="00AA4B7E">
              <w:rPr>
                <w:rStyle w:val="Hyperlink"/>
                <w:noProof/>
              </w:rPr>
              <w:t>3.6.1</w:t>
            </w:r>
            <w:r>
              <w:rPr>
                <w:rFonts w:asciiTheme="minorHAnsi" w:eastAsiaTheme="minorEastAsia" w:hAnsiTheme="minorHAnsi" w:cstheme="minorBidi"/>
                <w:noProof/>
                <w:kern w:val="2"/>
                <w:szCs w:val="24"/>
                <w14:ligatures w14:val="standardContextual"/>
              </w:rPr>
              <w:tab/>
            </w:r>
            <w:r w:rsidRPr="00AA4B7E">
              <w:rPr>
                <w:rStyle w:val="Hyperlink"/>
                <w:noProof/>
              </w:rPr>
              <w:t>Pesticides and Organic Chemicals – Organic Carbon Normalization and Toxic Units</w:t>
            </w:r>
            <w:r>
              <w:rPr>
                <w:noProof/>
                <w:webHidden/>
              </w:rPr>
              <w:tab/>
            </w:r>
            <w:r>
              <w:rPr>
                <w:noProof/>
                <w:webHidden/>
              </w:rPr>
              <w:fldChar w:fldCharType="begin"/>
            </w:r>
            <w:r>
              <w:rPr>
                <w:noProof/>
                <w:webHidden/>
              </w:rPr>
              <w:instrText xml:space="preserve"> PAGEREF _Toc189048579 \h </w:instrText>
            </w:r>
            <w:r>
              <w:rPr>
                <w:noProof/>
                <w:webHidden/>
              </w:rPr>
            </w:r>
            <w:r>
              <w:rPr>
                <w:noProof/>
                <w:webHidden/>
              </w:rPr>
              <w:fldChar w:fldCharType="separate"/>
            </w:r>
            <w:r>
              <w:rPr>
                <w:noProof/>
                <w:webHidden/>
              </w:rPr>
              <w:t>63</w:t>
            </w:r>
            <w:r>
              <w:rPr>
                <w:noProof/>
                <w:webHidden/>
              </w:rPr>
              <w:fldChar w:fldCharType="end"/>
            </w:r>
          </w:hyperlink>
        </w:p>
        <w:p w14:paraId="67E6F992" w14:textId="37A1A55A" w:rsidR="00375328" w:rsidRDefault="00375328">
          <w:pPr>
            <w:pStyle w:val="TOC3"/>
            <w:rPr>
              <w:rFonts w:asciiTheme="minorHAnsi" w:eastAsiaTheme="minorEastAsia" w:hAnsiTheme="minorHAnsi" w:cstheme="minorBidi"/>
              <w:noProof/>
              <w:kern w:val="2"/>
              <w:szCs w:val="24"/>
              <w14:ligatures w14:val="standardContextual"/>
            </w:rPr>
          </w:pPr>
          <w:hyperlink w:anchor="_Toc189048580" w:history="1">
            <w:r w:rsidRPr="00AA4B7E">
              <w:rPr>
                <w:rStyle w:val="Hyperlink"/>
                <w:noProof/>
              </w:rPr>
              <w:t>3.6.2</w:t>
            </w:r>
            <w:r>
              <w:rPr>
                <w:rFonts w:asciiTheme="minorHAnsi" w:eastAsiaTheme="minorEastAsia" w:hAnsiTheme="minorHAnsi" w:cstheme="minorBidi"/>
                <w:noProof/>
                <w:kern w:val="2"/>
                <w:szCs w:val="24"/>
                <w14:ligatures w14:val="standardContextual"/>
              </w:rPr>
              <w:tab/>
            </w:r>
            <w:r w:rsidRPr="00AA4B7E">
              <w:rPr>
                <w:rStyle w:val="Hyperlink"/>
                <w:noProof/>
              </w:rPr>
              <w:t>Metals</w:t>
            </w:r>
            <w:r>
              <w:rPr>
                <w:noProof/>
                <w:webHidden/>
              </w:rPr>
              <w:tab/>
            </w:r>
            <w:r>
              <w:rPr>
                <w:noProof/>
                <w:webHidden/>
              </w:rPr>
              <w:fldChar w:fldCharType="begin"/>
            </w:r>
            <w:r>
              <w:rPr>
                <w:noProof/>
                <w:webHidden/>
              </w:rPr>
              <w:instrText xml:space="preserve"> PAGEREF _Toc189048580 \h </w:instrText>
            </w:r>
            <w:r>
              <w:rPr>
                <w:noProof/>
                <w:webHidden/>
              </w:rPr>
            </w:r>
            <w:r>
              <w:rPr>
                <w:noProof/>
                <w:webHidden/>
              </w:rPr>
              <w:fldChar w:fldCharType="separate"/>
            </w:r>
            <w:r>
              <w:rPr>
                <w:noProof/>
                <w:webHidden/>
              </w:rPr>
              <w:t>64</w:t>
            </w:r>
            <w:r>
              <w:rPr>
                <w:noProof/>
                <w:webHidden/>
              </w:rPr>
              <w:fldChar w:fldCharType="end"/>
            </w:r>
          </w:hyperlink>
        </w:p>
        <w:p w14:paraId="230135B9" w14:textId="5A8249E5" w:rsidR="00375328" w:rsidRDefault="00375328">
          <w:pPr>
            <w:pStyle w:val="TOC2"/>
            <w:rPr>
              <w:rFonts w:asciiTheme="minorHAnsi" w:eastAsiaTheme="minorEastAsia" w:hAnsiTheme="minorHAnsi" w:cstheme="minorBidi"/>
              <w:noProof/>
              <w:kern w:val="2"/>
              <w:szCs w:val="24"/>
              <w14:ligatures w14:val="standardContextual"/>
            </w:rPr>
          </w:pPr>
          <w:hyperlink w:anchor="_Toc189048581" w:history="1">
            <w:r w:rsidRPr="00AA4B7E">
              <w:rPr>
                <w:rStyle w:val="Hyperlink"/>
                <w:noProof/>
              </w:rPr>
              <w:t>3.7</w:t>
            </w:r>
            <w:r>
              <w:rPr>
                <w:rFonts w:asciiTheme="minorHAnsi" w:eastAsiaTheme="minorEastAsia" w:hAnsiTheme="minorHAnsi" w:cstheme="minorBidi"/>
                <w:noProof/>
                <w:kern w:val="2"/>
                <w:szCs w:val="24"/>
                <w14:ligatures w14:val="standardContextual"/>
              </w:rPr>
              <w:tab/>
            </w:r>
            <w:r w:rsidRPr="00AA4B7E">
              <w:rPr>
                <w:rStyle w:val="Hyperlink"/>
                <w:noProof/>
              </w:rPr>
              <w:t>Pesticides, Organic Chemicals, and Metals – Tissue Matrix</w:t>
            </w:r>
            <w:r>
              <w:rPr>
                <w:noProof/>
                <w:webHidden/>
              </w:rPr>
              <w:tab/>
            </w:r>
            <w:r>
              <w:rPr>
                <w:noProof/>
                <w:webHidden/>
              </w:rPr>
              <w:fldChar w:fldCharType="begin"/>
            </w:r>
            <w:r>
              <w:rPr>
                <w:noProof/>
                <w:webHidden/>
              </w:rPr>
              <w:instrText xml:space="preserve"> PAGEREF _Toc189048581 \h </w:instrText>
            </w:r>
            <w:r>
              <w:rPr>
                <w:noProof/>
                <w:webHidden/>
              </w:rPr>
            </w:r>
            <w:r>
              <w:rPr>
                <w:noProof/>
                <w:webHidden/>
              </w:rPr>
              <w:fldChar w:fldCharType="separate"/>
            </w:r>
            <w:r>
              <w:rPr>
                <w:noProof/>
                <w:webHidden/>
              </w:rPr>
              <w:t>64</w:t>
            </w:r>
            <w:r>
              <w:rPr>
                <w:noProof/>
                <w:webHidden/>
              </w:rPr>
              <w:fldChar w:fldCharType="end"/>
            </w:r>
          </w:hyperlink>
        </w:p>
        <w:p w14:paraId="0076D254" w14:textId="484C3B5B" w:rsidR="00375328" w:rsidRDefault="00375328">
          <w:pPr>
            <w:pStyle w:val="TOC3"/>
            <w:rPr>
              <w:rFonts w:asciiTheme="minorHAnsi" w:eastAsiaTheme="minorEastAsia" w:hAnsiTheme="minorHAnsi" w:cstheme="minorBidi"/>
              <w:noProof/>
              <w:kern w:val="2"/>
              <w:szCs w:val="24"/>
              <w14:ligatures w14:val="standardContextual"/>
            </w:rPr>
          </w:pPr>
          <w:hyperlink w:anchor="_Toc189048582" w:history="1">
            <w:r w:rsidRPr="00AA4B7E">
              <w:rPr>
                <w:rStyle w:val="Hyperlink"/>
                <w:noProof/>
              </w:rPr>
              <w:t>3.7.1</w:t>
            </w:r>
            <w:r>
              <w:rPr>
                <w:rFonts w:asciiTheme="minorHAnsi" w:eastAsiaTheme="minorEastAsia" w:hAnsiTheme="minorHAnsi" w:cstheme="minorBidi"/>
                <w:noProof/>
                <w:kern w:val="2"/>
                <w:szCs w:val="24"/>
                <w14:ligatures w14:val="standardContextual"/>
              </w:rPr>
              <w:tab/>
            </w:r>
            <w:r w:rsidRPr="00AA4B7E">
              <w:rPr>
                <w:rStyle w:val="Hyperlink"/>
                <w:noProof/>
              </w:rPr>
              <w:t>Polycyclic Aromatic Hydrocarbons (“PAHs”)</w:t>
            </w:r>
            <w:r>
              <w:rPr>
                <w:noProof/>
                <w:webHidden/>
              </w:rPr>
              <w:tab/>
            </w:r>
            <w:r>
              <w:rPr>
                <w:noProof/>
                <w:webHidden/>
              </w:rPr>
              <w:fldChar w:fldCharType="begin"/>
            </w:r>
            <w:r>
              <w:rPr>
                <w:noProof/>
                <w:webHidden/>
              </w:rPr>
              <w:instrText xml:space="preserve"> PAGEREF _Toc189048582 \h </w:instrText>
            </w:r>
            <w:r>
              <w:rPr>
                <w:noProof/>
                <w:webHidden/>
              </w:rPr>
            </w:r>
            <w:r>
              <w:rPr>
                <w:noProof/>
                <w:webHidden/>
              </w:rPr>
              <w:fldChar w:fldCharType="separate"/>
            </w:r>
            <w:r>
              <w:rPr>
                <w:noProof/>
                <w:webHidden/>
              </w:rPr>
              <w:t>66</w:t>
            </w:r>
            <w:r>
              <w:rPr>
                <w:noProof/>
                <w:webHidden/>
              </w:rPr>
              <w:fldChar w:fldCharType="end"/>
            </w:r>
          </w:hyperlink>
        </w:p>
        <w:p w14:paraId="696F8501" w14:textId="0380EE5C" w:rsidR="00375328" w:rsidRDefault="00375328">
          <w:pPr>
            <w:pStyle w:val="TOC2"/>
            <w:rPr>
              <w:rFonts w:asciiTheme="minorHAnsi" w:eastAsiaTheme="minorEastAsia" w:hAnsiTheme="minorHAnsi" w:cstheme="minorBidi"/>
              <w:noProof/>
              <w:kern w:val="2"/>
              <w:szCs w:val="24"/>
              <w14:ligatures w14:val="standardContextual"/>
            </w:rPr>
          </w:pPr>
          <w:hyperlink w:anchor="_Toc189048583" w:history="1">
            <w:r w:rsidRPr="00AA4B7E">
              <w:rPr>
                <w:rStyle w:val="Hyperlink"/>
                <w:noProof/>
              </w:rPr>
              <w:t>3.8</w:t>
            </w:r>
            <w:r>
              <w:rPr>
                <w:rFonts w:asciiTheme="minorHAnsi" w:eastAsiaTheme="minorEastAsia" w:hAnsiTheme="minorHAnsi" w:cstheme="minorBidi"/>
                <w:noProof/>
                <w:kern w:val="2"/>
                <w:szCs w:val="24"/>
                <w14:ligatures w14:val="standardContextual"/>
              </w:rPr>
              <w:tab/>
            </w:r>
            <w:r w:rsidRPr="00AA4B7E">
              <w:rPr>
                <w:rStyle w:val="Hyperlink"/>
                <w:noProof/>
              </w:rPr>
              <w:t>Aquatic Toxicity</w:t>
            </w:r>
            <w:r>
              <w:rPr>
                <w:noProof/>
                <w:webHidden/>
              </w:rPr>
              <w:tab/>
            </w:r>
            <w:r>
              <w:rPr>
                <w:noProof/>
                <w:webHidden/>
              </w:rPr>
              <w:fldChar w:fldCharType="begin"/>
            </w:r>
            <w:r>
              <w:rPr>
                <w:noProof/>
                <w:webHidden/>
              </w:rPr>
              <w:instrText xml:space="preserve"> PAGEREF _Toc189048583 \h </w:instrText>
            </w:r>
            <w:r>
              <w:rPr>
                <w:noProof/>
                <w:webHidden/>
              </w:rPr>
            </w:r>
            <w:r>
              <w:rPr>
                <w:noProof/>
                <w:webHidden/>
              </w:rPr>
              <w:fldChar w:fldCharType="separate"/>
            </w:r>
            <w:r>
              <w:rPr>
                <w:noProof/>
                <w:webHidden/>
              </w:rPr>
              <w:t>66</w:t>
            </w:r>
            <w:r>
              <w:rPr>
                <w:noProof/>
                <w:webHidden/>
              </w:rPr>
              <w:fldChar w:fldCharType="end"/>
            </w:r>
          </w:hyperlink>
        </w:p>
        <w:p w14:paraId="764E62CF" w14:textId="3164CBA6" w:rsidR="00375328" w:rsidRDefault="00375328">
          <w:pPr>
            <w:pStyle w:val="TOC3"/>
            <w:rPr>
              <w:rFonts w:asciiTheme="minorHAnsi" w:eastAsiaTheme="minorEastAsia" w:hAnsiTheme="minorHAnsi" w:cstheme="minorBidi"/>
              <w:noProof/>
              <w:kern w:val="2"/>
              <w:szCs w:val="24"/>
              <w14:ligatures w14:val="standardContextual"/>
            </w:rPr>
          </w:pPr>
          <w:hyperlink w:anchor="_Toc189048584" w:history="1">
            <w:r w:rsidRPr="00AA4B7E">
              <w:rPr>
                <w:rStyle w:val="Hyperlink"/>
                <w:noProof/>
              </w:rPr>
              <w:t>3.8.1</w:t>
            </w:r>
            <w:r>
              <w:rPr>
                <w:rFonts w:asciiTheme="minorHAnsi" w:eastAsiaTheme="minorEastAsia" w:hAnsiTheme="minorHAnsi" w:cstheme="minorBidi"/>
                <w:noProof/>
                <w:kern w:val="2"/>
                <w:szCs w:val="24"/>
                <w14:ligatures w14:val="standardContextual"/>
              </w:rPr>
              <w:tab/>
            </w:r>
            <w:r w:rsidRPr="00AA4B7E">
              <w:rPr>
                <w:rStyle w:val="Hyperlink"/>
                <w:noProof/>
              </w:rPr>
              <w:t>Toxicity Assessment Methods</w:t>
            </w:r>
            <w:r>
              <w:rPr>
                <w:noProof/>
                <w:webHidden/>
              </w:rPr>
              <w:tab/>
            </w:r>
            <w:r>
              <w:rPr>
                <w:noProof/>
                <w:webHidden/>
              </w:rPr>
              <w:fldChar w:fldCharType="begin"/>
            </w:r>
            <w:r>
              <w:rPr>
                <w:noProof/>
                <w:webHidden/>
              </w:rPr>
              <w:instrText xml:space="preserve"> PAGEREF _Toc189048584 \h </w:instrText>
            </w:r>
            <w:r>
              <w:rPr>
                <w:noProof/>
                <w:webHidden/>
              </w:rPr>
            </w:r>
            <w:r>
              <w:rPr>
                <w:noProof/>
                <w:webHidden/>
              </w:rPr>
              <w:fldChar w:fldCharType="separate"/>
            </w:r>
            <w:r>
              <w:rPr>
                <w:noProof/>
                <w:webHidden/>
              </w:rPr>
              <w:t>66</w:t>
            </w:r>
            <w:r>
              <w:rPr>
                <w:noProof/>
                <w:webHidden/>
              </w:rPr>
              <w:fldChar w:fldCharType="end"/>
            </w:r>
          </w:hyperlink>
        </w:p>
        <w:p w14:paraId="383196A3" w14:textId="49E881CF" w:rsidR="00375328" w:rsidRDefault="00375328">
          <w:pPr>
            <w:pStyle w:val="TOC2"/>
            <w:rPr>
              <w:rFonts w:asciiTheme="minorHAnsi" w:eastAsiaTheme="minorEastAsia" w:hAnsiTheme="minorHAnsi" w:cstheme="minorBidi"/>
              <w:noProof/>
              <w:kern w:val="2"/>
              <w:szCs w:val="24"/>
              <w14:ligatures w14:val="standardContextual"/>
            </w:rPr>
          </w:pPr>
          <w:hyperlink w:anchor="_Toc189048585" w:history="1">
            <w:r w:rsidRPr="00AA4B7E">
              <w:rPr>
                <w:rStyle w:val="Hyperlink"/>
                <w:noProof/>
              </w:rPr>
              <w:t>3.9</w:t>
            </w:r>
            <w:r>
              <w:rPr>
                <w:rFonts w:asciiTheme="minorHAnsi" w:eastAsiaTheme="minorEastAsia" w:hAnsiTheme="minorHAnsi" w:cstheme="minorBidi"/>
                <w:noProof/>
                <w:kern w:val="2"/>
                <w:szCs w:val="24"/>
                <w14:ligatures w14:val="standardContextual"/>
              </w:rPr>
              <w:tab/>
            </w:r>
            <w:r w:rsidRPr="00AA4B7E">
              <w:rPr>
                <w:rStyle w:val="Hyperlink"/>
                <w:noProof/>
              </w:rPr>
              <w:t>Biological Assessments and Benthic Community Effects</w:t>
            </w:r>
            <w:r>
              <w:rPr>
                <w:noProof/>
                <w:webHidden/>
              </w:rPr>
              <w:tab/>
            </w:r>
            <w:r>
              <w:rPr>
                <w:noProof/>
                <w:webHidden/>
              </w:rPr>
              <w:fldChar w:fldCharType="begin"/>
            </w:r>
            <w:r>
              <w:rPr>
                <w:noProof/>
                <w:webHidden/>
              </w:rPr>
              <w:instrText xml:space="preserve"> PAGEREF _Toc189048585 \h </w:instrText>
            </w:r>
            <w:r>
              <w:rPr>
                <w:noProof/>
                <w:webHidden/>
              </w:rPr>
            </w:r>
            <w:r>
              <w:rPr>
                <w:noProof/>
                <w:webHidden/>
              </w:rPr>
              <w:fldChar w:fldCharType="separate"/>
            </w:r>
            <w:r>
              <w:rPr>
                <w:noProof/>
                <w:webHidden/>
              </w:rPr>
              <w:t>70</w:t>
            </w:r>
            <w:r>
              <w:rPr>
                <w:noProof/>
                <w:webHidden/>
              </w:rPr>
              <w:fldChar w:fldCharType="end"/>
            </w:r>
          </w:hyperlink>
        </w:p>
        <w:p w14:paraId="616CB35E" w14:textId="6D7E9F9F" w:rsidR="00375328" w:rsidRDefault="00375328">
          <w:pPr>
            <w:pStyle w:val="TOC3"/>
            <w:rPr>
              <w:rFonts w:asciiTheme="minorHAnsi" w:eastAsiaTheme="minorEastAsia" w:hAnsiTheme="minorHAnsi" w:cstheme="minorBidi"/>
              <w:noProof/>
              <w:kern w:val="2"/>
              <w:szCs w:val="24"/>
              <w14:ligatures w14:val="standardContextual"/>
            </w:rPr>
          </w:pPr>
          <w:hyperlink w:anchor="_Toc189048586" w:history="1">
            <w:r w:rsidRPr="00AA4B7E">
              <w:rPr>
                <w:rStyle w:val="Hyperlink"/>
                <w:noProof/>
              </w:rPr>
              <w:t>3.9.1</w:t>
            </w:r>
            <w:r>
              <w:rPr>
                <w:rFonts w:asciiTheme="minorHAnsi" w:eastAsiaTheme="minorEastAsia" w:hAnsiTheme="minorHAnsi" w:cstheme="minorBidi"/>
                <w:noProof/>
                <w:kern w:val="2"/>
                <w:szCs w:val="24"/>
                <w14:ligatures w14:val="standardContextual"/>
              </w:rPr>
              <w:tab/>
            </w:r>
            <w:r w:rsidRPr="00AA4B7E">
              <w:rPr>
                <w:rStyle w:val="Hyperlink"/>
                <w:noProof/>
              </w:rPr>
              <w:t>Use of CSCI Scores</w:t>
            </w:r>
            <w:r>
              <w:rPr>
                <w:noProof/>
                <w:webHidden/>
              </w:rPr>
              <w:tab/>
            </w:r>
            <w:r>
              <w:rPr>
                <w:noProof/>
                <w:webHidden/>
              </w:rPr>
              <w:fldChar w:fldCharType="begin"/>
            </w:r>
            <w:r>
              <w:rPr>
                <w:noProof/>
                <w:webHidden/>
              </w:rPr>
              <w:instrText xml:space="preserve"> PAGEREF _Toc189048586 \h </w:instrText>
            </w:r>
            <w:r>
              <w:rPr>
                <w:noProof/>
                <w:webHidden/>
              </w:rPr>
            </w:r>
            <w:r>
              <w:rPr>
                <w:noProof/>
                <w:webHidden/>
              </w:rPr>
              <w:fldChar w:fldCharType="separate"/>
            </w:r>
            <w:r>
              <w:rPr>
                <w:noProof/>
                <w:webHidden/>
              </w:rPr>
              <w:t>71</w:t>
            </w:r>
            <w:r>
              <w:rPr>
                <w:noProof/>
                <w:webHidden/>
              </w:rPr>
              <w:fldChar w:fldCharType="end"/>
            </w:r>
          </w:hyperlink>
        </w:p>
        <w:p w14:paraId="222A1A48" w14:textId="08DB9279" w:rsidR="00375328" w:rsidRDefault="00375328">
          <w:pPr>
            <w:pStyle w:val="TOC3"/>
            <w:rPr>
              <w:rFonts w:asciiTheme="minorHAnsi" w:eastAsiaTheme="minorEastAsia" w:hAnsiTheme="minorHAnsi" w:cstheme="minorBidi"/>
              <w:noProof/>
              <w:kern w:val="2"/>
              <w:szCs w:val="24"/>
              <w14:ligatures w14:val="standardContextual"/>
            </w:rPr>
          </w:pPr>
          <w:hyperlink w:anchor="_Toc189048587" w:history="1">
            <w:r w:rsidRPr="00AA4B7E">
              <w:rPr>
                <w:rStyle w:val="Hyperlink"/>
                <w:noProof/>
              </w:rPr>
              <w:t>3.9.2</w:t>
            </w:r>
            <w:r>
              <w:rPr>
                <w:rFonts w:asciiTheme="minorHAnsi" w:eastAsiaTheme="minorEastAsia" w:hAnsiTheme="minorHAnsi" w:cstheme="minorBidi"/>
                <w:noProof/>
                <w:kern w:val="2"/>
                <w:szCs w:val="24"/>
                <w14:ligatures w14:val="standardContextual"/>
              </w:rPr>
              <w:tab/>
            </w:r>
            <w:r w:rsidRPr="00AA4B7E">
              <w:rPr>
                <w:rStyle w:val="Hyperlink"/>
                <w:noProof/>
              </w:rPr>
              <w:t>Selection of the 0.79 Evaluation Guideline</w:t>
            </w:r>
            <w:r>
              <w:rPr>
                <w:noProof/>
                <w:webHidden/>
              </w:rPr>
              <w:tab/>
            </w:r>
            <w:r>
              <w:rPr>
                <w:noProof/>
                <w:webHidden/>
              </w:rPr>
              <w:fldChar w:fldCharType="begin"/>
            </w:r>
            <w:r>
              <w:rPr>
                <w:noProof/>
                <w:webHidden/>
              </w:rPr>
              <w:instrText xml:space="preserve"> PAGEREF _Toc189048587 \h </w:instrText>
            </w:r>
            <w:r>
              <w:rPr>
                <w:noProof/>
                <w:webHidden/>
              </w:rPr>
            </w:r>
            <w:r>
              <w:rPr>
                <w:noProof/>
                <w:webHidden/>
              </w:rPr>
              <w:fldChar w:fldCharType="separate"/>
            </w:r>
            <w:r>
              <w:rPr>
                <w:noProof/>
                <w:webHidden/>
              </w:rPr>
              <w:t>73</w:t>
            </w:r>
            <w:r>
              <w:rPr>
                <w:noProof/>
                <w:webHidden/>
              </w:rPr>
              <w:fldChar w:fldCharType="end"/>
            </w:r>
          </w:hyperlink>
        </w:p>
        <w:p w14:paraId="443EFCAB" w14:textId="574723E8" w:rsidR="00375328" w:rsidRDefault="00375328">
          <w:pPr>
            <w:pStyle w:val="TOC3"/>
            <w:rPr>
              <w:rFonts w:asciiTheme="minorHAnsi" w:eastAsiaTheme="minorEastAsia" w:hAnsiTheme="minorHAnsi" w:cstheme="minorBidi"/>
              <w:noProof/>
              <w:kern w:val="2"/>
              <w:szCs w:val="24"/>
              <w14:ligatures w14:val="standardContextual"/>
            </w:rPr>
          </w:pPr>
          <w:hyperlink w:anchor="_Toc189048588" w:history="1">
            <w:r w:rsidRPr="00AA4B7E">
              <w:rPr>
                <w:rStyle w:val="Hyperlink"/>
                <w:noProof/>
              </w:rPr>
              <w:t>3.9.3</w:t>
            </w:r>
            <w:r>
              <w:rPr>
                <w:rFonts w:asciiTheme="minorHAnsi" w:eastAsiaTheme="minorEastAsia" w:hAnsiTheme="minorHAnsi" w:cstheme="minorBidi"/>
                <w:noProof/>
                <w:kern w:val="2"/>
                <w:szCs w:val="24"/>
                <w14:ligatures w14:val="standardContextual"/>
              </w:rPr>
              <w:tab/>
            </w:r>
            <w:r w:rsidRPr="00AA4B7E">
              <w:rPr>
                <w:rStyle w:val="Hyperlink"/>
                <w:noProof/>
              </w:rPr>
              <w:t>Assessment Approach</w:t>
            </w:r>
            <w:r>
              <w:rPr>
                <w:noProof/>
                <w:webHidden/>
              </w:rPr>
              <w:tab/>
            </w:r>
            <w:r>
              <w:rPr>
                <w:noProof/>
                <w:webHidden/>
              </w:rPr>
              <w:fldChar w:fldCharType="begin"/>
            </w:r>
            <w:r>
              <w:rPr>
                <w:noProof/>
                <w:webHidden/>
              </w:rPr>
              <w:instrText xml:space="preserve"> PAGEREF _Toc189048588 \h </w:instrText>
            </w:r>
            <w:r>
              <w:rPr>
                <w:noProof/>
                <w:webHidden/>
              </w:rPr>
            </w:r>
            <w:r>
              <w:rPr>
                <w:noProof/>
                <w:webHidden/>
              </w:rPr>
              <w:fldChar w:fldCharType="separate"/>
            </w:r>
            <w:r>
              <w:rPr>
                <w:noProof/>
                <w:webHidden/>
              </w:rPr>
              <w:t>74</w:t>
            </w:r>
            <w:r>
              <w:rPr>
                <w:noProof/>
                <w:webHidden/>
              </w:rPr>
              <w:fldChar w:fldCharType="end"/>
            </w:r>
          </w:hyperlink>
        </w:p>
        <w:p w14:paraId="3F701505" w14:textId="55C39FFE" w:rsidR="00375328" w:rsidRDefault="00375328">
          <w:pPr>
            <w:pStyle w:val="TOC2"/>
            <w:rPr>
              <w:rFonts w:asciiTheme="minorHAnsi" w:eastAsiaTheme="minorEastAsia" w:hAnsiTheme="minorHAnsi" w:cstheme="minorBidi"/>
              <w:noProof/>
              <w:kern w:val="2"/>
              <w:szCs w:val="24"/>
              <w14:ligatures w14:val="standardContextual"/>
            </w:rPr>
          </w:pPr>
          <w:hyperlink w:anchor="_Toc189048589" w:history="1">
            <w:r w:rsidRPr="00AA4B7E">
              <w:rPr>
                <w:rStyle w:val="Hyperlink"/>
                <w:noProof/>
              </w:rPr>
              <w:t>3.10</w:t>
            </w:r>
            <w:r>
              <w:rPr>
                <w:rFonts w:asciiTheme="minorHAnsi" w:eastAsiaTheme="minorEastAsia" w:hAnsiTheme="minorHAnsi" w:cstheme="minorBidi"/>
                <w:noProof/>
                <w:kern w:val="2"/>
                <w:szCs w:val="24"/>
                <w14:ligatures w14:val="standardContextual"/>
              </w:rPr>
              <w:tab/>
            </w:r>
            <w:r w:rsidRPr="00AA4B7E">
              <w:rPr>
                <w:rStyle w:val="Hyperlink"/>
                <w:noProof/>
              </w:rPr>
              <w:t>Bacteria and REC-1 Beneficial Use</w:t>
            </w:r>
            <w:r>
              <w:rPr>
                <w:noProof/>
                <w:webHidden/>
              </w:rPr>
              <w:tab/>
            </w:r>
            <w:r>
              <w:rPr>
                <w:noProof/>
                <w:webHidden/>
              </w:rPr>
              <w:fldChar w:fldCharType="begin"/>
            </w:r>
            <w:r>
              <w:rPr>
                <w:noProof/>
                <w:webHidden/>
              </w:rPr>
              <w:instrText xml:space="preserve"> PAGEREF _Toc189048589 \h </w:instrText>
            </w:r>
            <w:r>
              <w:rPr>
                <w:noProof/>
                <w:webHidden/>
              </w:rPr>
            </w:r>
            <w:r>
              <w:rPr>
                <w:noProof/>
                <w:webHidden/>
              </w:rPr>
              <w:fldChar w:fldCharType="separate"/>
            </w:r>
            <w:r>
              <w:rPr>
                <w:noProof/>
                <w:webHidden/>
              </w:rPr>
              <w:t>76</w:t>
            </w:r>
            <w:r>
              <w:rPr>
                <w:noProof/>
                <w:webHidden/>
              </w:rPr>
              <w:fldChar w:fldCharType="end"/>
            </w:r>
          </w:hyperlink>
        </w:p>
        <w:p w14:paraId="49E3460B" w14:textId="51405281" w:rsidR="00375328" w:rsidRDefault="00375328">
          <w:pPr>
            <w:pStyle w:val="TOC2"/>
            <w:rPr>
              <w:rFonts w:asciiTheme="minorHAnsi" w:eastAsiaTheme="minorEastAsia" w:hAnsiTheme="minorHAnsi" w:cstheme="minorBidi"/>
              <w:noProof/>
              <w:kern w:val="2"/>
              <w:szCs w:val="24"/>
              <w14:ligatures w14:val="standardContextual"/>
            </w:rPr>
          </w:pPr>
          <w:hyperlink w:anchor="_Toc189048590" w:history="1">
            <w:r w:rsidRPr="00AA4B7E">
              <w:rPr>
                <w:rStyle w:val="Hyperlink"/>
                <w:noProof/>
              </w:rPr>
              <w:t>3.11</w:t>
            </w:r>
            <w:r>
              <w:rPr>
                <w:rFonts w:asciiTheme="minorHAnsi" w:eastAsiaTheme="minorEastAsia" w:hAnsiTheme="minorHAnsi" w:cstheme="minorBidi"/>
                <w:noProof/>
                <w:kern w:val="2"/>
                <w:szCs w:val="24"/>
                <w14:ligatures w14:val="standardContextual"/>
              </w:rPr>
              <w:tab/>
            </w:r>
            <w:r w:rsidRPr="00AA4B7E">
              <w:rPr>
                <w:rStyle w:val="Hyperlink"/>
                <w:noProof/>
              </w:rPr>
              <w:t>Bacteria and SHELL Beneficial Use</w:t>
            </w:r>
            <w:r>
              <w:rPr>
                <w:noProof/>
                <w:webHidden/>
              </w:rPr>
              <w:tab/>
            </w:r>
            <w:r>
              <w:rPr>
                <w:noProof/>
                <w:webHidden/>
              </w:rPr>
              <w:fldChar w:fldCharType="begin"/>
            </w:r>
            <w:r>
              <w:rPr>
                <w:noProof/>
                <w:webHidden/>
              </w:rPr>
              <w:instrText xml:space="preserve"> PAGEREF _Toc189048590 \h </w:instrText>
            </w:r>
            <w:r>
              <w:rPr>
                <w:noProof/>
                <w:webHidden/>
              </w:rPr>
            </w:r>
            <w:r>
              <w:rPr>
                <w:noProof/>
                <w:webHidden/>
              </w:rPr>
              <w:fldChar w:fldCharType="separate"/>
            </w:r>
            <w:r>
              <w:rPr>
                <w:noProof/>
                <w:webHidden/>
              </w:rPr>
              <w:t>79</w:t>
            </w:r>
            <w:r>
              <w:rPr>
                <w:noProof/>
                <w:webHidden/>
              </w:rPr>
              <w:fldChar w:fldCharType="end"/>
            </w:r>
          </w:hyperlink>
        </w:p>
        <w:p w14:paraId="2F02FD0C" w14:textId="2332CD75" w:rsidR="00375328" w:rsidRDefault="00375328">
          <w:pPr>
            <w:pStyle w:val="TOC2"/>
            <w:rPr>
              <w:rFonts w:asciiTheme="minorHAnsi" w:eastAsiaTheme="minorEastAsia" w:hAnsiTheme="minorHAnsi" w:cstheme="minorBidi"/>
              <w:noProof/>
              <w:kern w:val="2"/>
              <w:szCs w:val="24"/>
              <w14:ligatures w14:val="standardContextual"/>
            </w:rPr>
          </w:pPr>
          <w:hyperlink w:anchor="_Toc189048591" w:history="1">
            <w:r w:rsidRPr="00AA4B7E">
              <w:rPr>
                <w:rStyle w:val="Hyperlink"/>
                <w:noProof/>
              </w:rPr>
              <w:t>3.12</w:t>
            </w:r>
            <w:r>
              <w:rPr>
                <w:rFonts w:asciiTheme="minorHAnsi" w:eastAsiaTheme="minorEastAsia" w:hAnsiTheme="minorHAnsi" w:cstheme="minorBidi"/>
                <w:noProof/>
                <w:kern w:val="2"/>
                <w:szCs w:val="24"/>
                <w14:ligatures w14:val="standardContextual"/>
              </w:rPr>
              <w:tab/>
            </w:r>
            <w:r w:rsidRPr="00AA4B7E">
              <w:rPr>
                <w:rStyle w:val="Hyperlink"/>
                <w:noProof/>
              </w:rPr>
              <w:t>Cyanotoxins</w:t>
            </w:r>
            <w:r>
              <w:rPr>
                <w:noProof/>
                <w:webHidden/>
              </w:rPr>
              <w:tab/>
            </w:r>
            <w:r>
              <w:rPr>
                <w:noProof/>
                <w:webHidden/>
              </w:rPr>
              <w:fldChar w:fldCharType="begin"/>
            </w:r>
            <w:r>
              <w:rPr>
                <w:noProof/>
                <w:webHidden/>
              </w:rPr>
              <w:instrText xml:space="preserve"> PAGEREF _Toc189048591 \h </w:instrText>
            </w:r>
            <w:r>
              <w:rPr>
                <w:noProof/>
                <w:webHidden/>
              </w:rPr>
            </w:r>
            <w:r>
              <w:rPr>
                <w:noProof/>
                <w:webHidden/>
              </w:rPr>
              <w:fldChar w:fldCharType="separate"/>
            </w:r>
            <w:r>
              <w:rPr>
                <w:noProof/>
                <w:webHidden/>
              </w:rPr>
              <w:t>80</w:t>
            </w:r>
            <w:r>
              <w:rPr>
                <w:noProof/>
                <w:webHidden/>
              </w:rPr>
              <w:fldChar w:fldCharType="end"/>
            </w:r>
          </w:hyperlink>
        </w:p>
        <w:p w14:paraId="20B2822A" w14:textId="7AA84C3B" w:rsidR="00375328" w:rsidRDefault="00375328">
          <w:pPr>
            <w:pStyle w:val="TOC2"/>
            <w:rPr>
              <w:rFonts w:asciiTheme="minorHAnsi" w:eastAsiaTheme="minorEastAsia" w:hAnsiTheme="minorHAnsi" w:cstheme="minorBidi"/>
              <w:noProof/>
              <w:kern w:val="2"/>
              <w:szCs w:val="24"/>
              <w14:ligatures w14:val="standardContextual"/>
            </w:rPr>
          </w:pPr>
          <w:hyperlink w:anchor="_Toc189048592" w:history="1">
            <w:r w:rsidRPr="00AA4B7E">
              <w:rPr>
                <w:rStyle w:val="Hyperlink"/>
                <w:noProof/>
              </w:rPr>
              <w:t>3.13</w:t>
            </w:r>
            <w:r>
              <w:rPr>
                <w:rFonts w:asciiTheme="minorHAnsi" w:eastAsiaTheme="minorEastAsia" w:hAnsiTheme="minorHAnsi" w:cstheme="minorBidi"/>
                <w:noProof/>
                <w:kern w:val="2"/>
                <w:szCs w:val="24"/>
                <w14:ligatures w14:val="standardContextual"/>
              </w:rPr>
              <w:tab/>
            </w:r>
            <w:r w:rsidRPr="00AA4B7E">
              <w:rPr>
                <w:rStyle w:val="Hyperlink"/>
                <w:noProof/>
              </w:rPr>
              <w:t>Sediment Quality Objectives</w:t>
            </w:r>
            <w:r>
              <w:rPr>
                <w:noProof/>
                <w:webHidden/>
              </w:rPr>
              <w:tab/>
            </w:r>
            <w:r>
              <w:rPr>
                <w:noProof/>
                <w:webHidden/>
              </w:rPr>
              <w:fldChar w:fldCharType="begin"/>
            </w:r>
            <w:r>
              <w:rPr>
                <w:noProof/>
                <w:webHidden/>
              </w:rPr>
              <w:instrText xml:space="preserve"> PAGEREF _Toc189048592 \h </w:instrText>
            </w:r>
            <w:r>
              <w:rPr>
                <w:noProof/>
                <w:webHidden/>
              </w:rPr>
            </w:r>
            <w:r>
              <w:rPr>
                <w:noProof/>
                <w:webHidden/>
              </w:rPr>
              <w:fldChar w:fldCharType="separate"/>
            </w:r>
            <w:r>
              <w:rPr>
                <w:noProof/>
                <w:webHidden/>
              </w:rPr>
              <w:t>82</w:t>
            </w:r>
            <w:r>
              <w:rPr>
                <w:noProof/>
                <w:webHidden/>
              </w:rPr>
              <w:fldChar w:fldCharType="end"/>
            </w:r>
          </w:hyperlink>
        </w:p>
        <w:p w14:paraId="7B383FB3" w14:textId="30B5ED66" w:rsidR="00375328" w:rsidRDefault="00375328">
          <w:pPr>
            <w:pStyle w:val="TOC2"/>
            <w:rPr>
              <w:rFonts w:asciiTheme="minorHAnsi" w:eastAsiaTheme="minorEastAsia" w:hAnsiTheme="minorHAnsi" w:cstheme="minorBidi"/>
              <w:noProof/>
              <w:kern w:val="2"/>
              <w:szCs w:val="24"/>
              <w14:ligatures w14:val="standardContextual"/>
            </w:rPr>
          </w:pPr>
          <w:hyperlink w:anchor="_Toc189048593" w:history="1">
            <w:r w:rsidRPr="00AA4B7E">
              <w:rPr>
                <w:rStyle w:val="Hyperlink"/>
                <w:noProof/>
              </w:rPr>
              <w:t>3.14</w:t>
            </w:r>
            <w:r>
              <w:rPr>
                <w:rFonts w:asciiTheme="minorHAnsi" w:eastAsiaTheme="minorEastAsia" w:hAnsiTheme="minorHAnsi" w:cstheme="minorBidi"/>
                <w:noProof/>
                <w:kern w:val="2"/>
                <w:szCs w:val="24"/>
                <w14:ligatures w14:val="standardContextual"/>
              </w:rPr>
              <w:tab/>
            </w:r>
            <w:r w:rsidRPr="00AA4B7E">
              <w:rPr>
                <w:rStyle w:val="Hyperlink"/>
                <w:noProof/>
              </w:rPr>
              <w:t>Assessing Fish Tissue Data for Waters Not Designated with the Commercial and Sport Fishing Beneficial Use</w:t>
            </w:r>
            <w:r>
              <w:rPr>
                <w:noProof/>
                <w:webHidden/>
              </w:rPr>
              <w:tab/>
            </w:r>
            <w:r>
              <w:rPr>
                <w:noProof/>
                <w:webHidden/>
              </w:rPr>
              <w:fldChar w:fldCharType="begin"/>
            </w:r>
            <w:r>
              <w:rPr>
                <w:noProof/>
                <w:webHidden/>
              </w:rPr>
              <w:instrText xml:space="preserve"> PAGEREF _Toc189048593 \h </w:instrText>
            </w:r>
            <w:r>
              <w:rPr>
                <w:noProof/>
                <w:webHidden/>
              </w:rPr>
            </w:r>
            <w:r>
              <w:rPr>
                <w:noProof/>
                <w:webHidden/>
              </w:rPr>
              <w:fldChar w:fldCharType="separate"/>
            </w:r>
            <w:r>
              <w:rPr>
                <w:noProof/>
                <w:webHidden/>
              </w:rPr>
              <w:t>83</w:t>
            </w:r>
            <w:r>
              <w:rPr>
                <w:noProof/>
                <w:webHidden/>
              </w:rPr>
              <w:fldChar w:fldCharType="end"/>
            </w:r>
          </w:hyperlink>
        </w:p>
        <w:p w14:paraId="37F0A9F1" w14:textId="5C3E8D6C" w:rsidR="00375328" w:rsidRDefault="00375328">
          <w:pPr>
            <w:pStyle w:val="TOC3"/>
            <w:rPr>
              <w:rFonts w:asciiTheme="minorHAnsi" w:eastAsiaTheme="minorEastAsia" w:hAnsiTheme="minorHAnsi" w:cstheme="minorBidi"/>
              <w:noProof/>
              <w:kern w:val="2"/>
              <w:szCs w:val="24"/>
              <w14:ligatures w14:val="standardContextual"/>
            </w:rPr>
          </w:pPr>
          <w:hyperlink w:anchor="_Toc189048594" w:history="1">
            <w:r w:rsidRPr="00AA4B7E">
              <w:rPr>
                <w:rStyle w:val="Hyperlink"/>
                <w:noProof/>
              </w:rPr>
              <w:t>3.14.1</w:t>
            </w:r>
            <w:r>
              <w:rPr>
                <w:rFonts w:asciiTheme="minorHAnsi" w:eastAsiaTheme="minorEastAsia" w:hAnsiTheme="minorHAnsi" w:cstheme="minorBidi"/>
                <w:noProof/>
                <w:kern w:val="2"/>
                <w:szCs w:val="24"/>
                <w14:ligatures w14:val="standardContextual"/>
              </w:rPr>
              <w:tab/>
            </w:r>
            <w:r w:rsidRPr="00AA4B7E">
              <w:rPr>
                <w:rStyle w:val="Hyperlink"/>
                <w:noProof/>
              </w:rPr>
              <w:t>Assessment Methodology</w:t>
            </w:r>
            <w:r>
              <w:rPr>
                <w:noProof/>
                <w:webHidden/>
              </w:rPr>
              <w:tab/>
            </w:r>
            <w:r>
              <w:rPr>
                <w:noProof/>
                <w:webHidden/>
              </w:rPr>
              <w:fldChar w:fldCharType="begin"/>
            </w:r>
            <w:r>
              <w:rPr>
                <w:noProof/>
                <w:webHidden/>
              </w:rPr>
              <w:instrText xml:space="preserve"> PAGEREF _Toc189048594 \h </w:instrText>
            </w:r>
            <w:r>
              <w:rPr>
                <w:noProof/>
                <w:webHidden/>
              </w:rPr>
            </w:r>
            <w:r>
              <w:rPr>
                <w:noProof/>
                <w:webHidden/>
              </w:rPr>
              <w:fldChar w:fldCharType="separate"/>
            </w:r>
            <w:r>
              <w:rPr>
                <w:noProof/>
                <w:webHidden/>
              </w:rPr>
              <w:t>83</w:t>
            </w:r>
            <w:r>
              <w:rPr>
                <w:noProof/>
                <w:webHidden/>
              </w:rPr>
              <w:fldChar w:fldCharType="end"/>
            </w:r>
          </w:hyperlink>
        </w:p>
        <w:p w14:paraId="26B45C64" w14:textId="138023CB" w:rsidR="00375328" w:rsidRDefault="00375328">
          <w:pPr>
            <w:pStyle w:val="TOC3"/>
            <w:rPr>
              <w:rFonts w:asciiTheme="minorHAnsi" w:eastAsiaTheme="minorEastAsia" w:hAnsiTheme="minorHAnsi" w:cstheme="minorBidi"/>
              <w:noProof/>
              <w:kern w:val="2"/>
              <w:szCs w:val="24"/>
              <w14:ligatures w14:val="standardContextual"/>
            </w:rPr>
          </w:pPr>
          <w:hyperlink w:anchor="_Toc189048595" w:history="1">
            <w:r w:rsidRPr="00AA4B7E">
              <w:rPr>
                <w:rStyle w:val="Hyperlink"/>
                <w:noProof/>
              </w:rPr>
              <w:t>3.14.2</w:t>
            </w:r>
            <w:r>
              <w:rPr>
                <w:rFonts w:asciiTheme="minorHAnsi" w:eastAsiaTheme="minorEastAsia" w:hAnsiTheme="minorHAnsi" w:cstheme="minorBidi"/>
                <w:noProof/>
                <w:kern w:val="2"/>
                <w:szCs w:val="24"/>
                <w14:ligatures w14:val="standardContextual"/>
              </w:rPr>
              <w:tab/>
            </w:r>
            <w:r w:rsidRPr="00AA4B7E">
              <w:rPr>
                <w:rStyle w:val="Hyperlink"/>
                <w:noProof/>
              </w:rPr>
              <w:t>Removal of Water Matrix LOEs</w:t>
            </w:r>
            <w:r>
              <w:rPr>
                <w:noProof/>
                <w:webHidden/>
              </w:rPr>
              <w:tab/>
            </w:r>
            <w:r>
              <w:rPr>
                <w:noProof/>
                <w:webHidden/>
              </w:rPr>
              <w:fldChar w:fldCharType="begin"/>
            </w:r>
            <w:r>
              <w:rPr>
                <w:noProof/>
                <w:webHidden/>
              </w:rPr>
              <w:instrText xml:space="preserve"> PAGEREF _Toc189048595 \h </w:instrText>
            </w:r>
            <w:r>
              <w:rPr>
                <w:noProof/>
                <w:webHidden/>
              </w:rPr>
            </w:r>
            <w:r>
              <w:rPr>
                <w:noProof/>
                <w:webHidden/>
              </w:rPr>
              <w:fldChar w:fldCharType="separate"/>
            </w:r>
            <w:r>
              <w:rPr>
                <w:noProof/>
                <w:webHidden/>
              </w:rPr>
              <w:t>85</w:t>
            </w:r>
            <w:r>
              <w:rPr>
                <w:noProof/>
                <w:webHidden/>
              </w:rPr>
              <w:fldChar w:fldCharType="end"/>
            </w:r>
          </w:hyperlink>
        </w:p>
        <w:p w14:paraId="704939FF" w14:textId="27321DE7" w:rsidR="00375328" w:rsidRDefault="00375328">
          <w:pPr>
            <w:pStyle w:val="TOC3"/>
            <w:rPr>
              <w:rFonts w:asciiTheme="minorHAnsi" w:eastAsiaTheme="minorEastAsia" w:hAnsiTheme="minorHAnsi" w:cstheme="minorBidi"/>
              <w:noProof/>
              <w:kern w:val="2"/>
              <w:szCs w:val="24"/>
              <w14:ligatures w14:val="standardContextual"/>
            </w:rPr>
          </w:pPr>
          <w:hyperlink w:anchor="_Toc189048596" w:history="1">
            <w:r w:rsidRPr="00AA4B7E">
              <w:rPr>
                <w:rStyle w:val="Hyperlink"/>
                <w:noProof/>
              </w:rPr>
              <w:t>3.14.3</w:t>
            </w:r>
            <w:r>
              <w:rPr>
                <w:rFonts w:asciiTheme="minorHAnsi" w:eastAsiaTheme="minorEastAsia" w:hAnsiTheme="minorHAnsi" w:cstheme="minorBidi"/>
                <w:noProof/>
                <w:kern w:val="2"/>
                <w:szCs w:val="24"/>
                <w14:ligatures w14:val="standardContextual"/>
              </w:rPr>
              <w:tab/>
            </w:r>
            <w:r w:rsidRPr="00AA4B7E">
              <w:rPr>
                <w:rStyle w:val="Hyperlink"/>
                <w:noProof/>
              </w:rPr>
              <w:t>Addressing Impairments and COMM Designations</w:t>
            </w:r>
            <w:r>
              <w:rPr>
                <w:noProof/>
                <w:webHidden/>
              </w:rPr>
              <w:tab/>
            </w:r>
            <w:r>
              <w:rPr>
                <w:noProof/>
                <w:webHidden/>
              </w:rPr>
              <w:fldChar w:fldCharType="begin"/>
            </w:r>
            <w:r>
              <w:rPr>
                <w:noProof/>
                <w:webHidden/>
              </w:rPr>
              <w:instrText xml:space="preserve"> PAGEREF _Toc189048596 \h </w:instrText>
            </w:r>
            <w:r>
              <w:rPr>
                <w:noProof/>
                <w:webHidden/>
              </w:rPr>
            </w:r>
            <w:r>
              <w:rPr>
                <w:noProof/>
                <w:webHidden/>
              </w:rPr>
              <w:fldChar w:fldCharType="separate"/>
            </w:r>
            <w:r>
              <w:rPr>
                <w:noProof/>
                <w:webHidden/>
              </w:rPr>
              <w:t>86</w:t>
            </w:r>
            <w:r>
              <w:rPr>
                <w:noProof/>
                <w:webHidden/>
              </w:rPr>
              <w:fldChar w:fldCharType="end"/>
            </w:r>
          </w:hyperlink>
        </w:p>
        <w:p w14:paraId="4442EB64" w14:textId="59052075" w:rsidR="00375328" w:rsidRDefault="00375328">
          <w:pPr>
            <w:pStyle w:val="TOC1"/>
            <w:rPr>
              <w:rFonts w:asciiTheme="minorHAnsi" w:eastAsiaTheme="minorEastAsia" w:hAnsiTheme="minorHAnsi" w:cstheme="minorBidi"/>
              <w:noProof/>
              <w:kern w:val="2"/>
              <w:szCs w:val="24"/>
              <w14:ligatures w14:val="standardContextual"/>
            </w:rPr>
          </w:pPr>
          <w:hyperlink w:anchor="_Toc189048597" w:history="1">
            <w:r w:rsidRPr="00AA4B7E">
              <w:rPr>
                <w:rStyle w:val="Hyperlink"/>
                <w:noProof/>
              </w:rPr>
              <w:t>4</w:t>
            </w:r>
            <w:r>
              <w:rPr>
                <w:rFonts w:asciiTheme="minorHAnsi" w:eastAsiaTheme="minorEastAsia" w:hAnsiTheme="minorHAnsi" w:cstheme="minorBidi"/>
                <w:noProof/>
                <w:kern w:val="2"/>
                <w:szCs w:val="24"/>
                <w14:ligatures w14:val="standardContextual"/>
              </w:rPr>
              <w:tab/>
            </w:r>
            <w:r w:rsidRPr="00AA4B7E">
              <w:rPr>
                <w:rStyle w:val="Hyperlink"/>
                <w:noProof/>
              </w:rPr>
              <w:t>Previous Cycle Assessment Error Remedies</w:t>
            </w:r>
            <w:r>
              <w:rPr>
                <w:noProof/>
                <w:webHidden/>
              </w:rPr>
              <w:tab/>
            </w:r>
            <w:r>
              <w:rPr>
                <w:noProof/>
                <w:webHidden/>
              </w:rPr>
              <w:fldChar w:fldCharType="begin"/>
            </w:r>
            <w:r>
              <w:rPr>
                <w:noProof/>
                <w:webHidden/>
              </w:rPr>
              <w:instrText xml:space="preserve"> PAGEREF _Toc189048597 \h </w:instrText>
            </w:r>
            <w:r>
              <w:rPr>
                <w:noProof/>
                <w:webHidden/>
              </w:rPr>
            </w:r>
            <w:r>
              <w:rPr>
                <w:noProof/>
                <w:webHidden/>
              </w:rPr>
              <w:fldChar w:fldCharType="separate"/>
            </w:r>
            <w:r>
              <w:rPr>
                <w:noProof/>
                <w:webHidden/>
              </w:rPr>
              <w:t>86</w:t>
            </w:r>
            <w:r>
              <w:rPr>
                <w:noProof/>
                <w:webHidden/>
              </w:rPr>
              <w:fldChar w:fldCharType="end"/>
            </w:r>
          </w:hyperlink>
        </w:p>
        <w:p w14:paraId="564D29A1" w14:textId="0177573C" w:rsidR="00375328" w:rsidRDefault="00375328">
          <w:pPr>
            <w:pStyle w:val="TOC2"/>
            <w:rPr>
              <w:rFonts w:asciiTheme="minorHAnsi" w:eastAsiaTheme="minorEastAsia" w:hAnsiTheme="minorHAnsi" w:cstheme="minorBidi"/>
              <w:noProof/>
              <w:kern w:val="2"/>
              <w:szCs w:val="24"/>
              <w14:ligatures w14:val="standardContextual"/>
            </w:rPr>
          </w:pPr>
          <w:hyperlink w:anchor="_Toc189048598" w:history="1">
            <w:r w:rsidRPr="00AA4B7E">
              <w:rPr>
                <w:rStyle w:val="Hyperlink"/>
                <w:noProof/>
              </w:rPr>
              <w:t>4.1</w:t>
            </w:r>
            <w:r>
              <w:rPr>
                <w:rFonts w:asciiTheme="minorHAnsi" w:eastAsiaTheme="minorEastAsia" w:hAnsiTheme="minorHAnsi" w:cstheme="minorBidi"/>
                <w:noProof/>
                <w:kern w:val="2"/>
                <w:szCs w:val="24"/>
                <w14:ligatures w14:val="standardContextual"/>
              </w:rPr>
              <w:tab/>
            </w:r>
            <w:r w:rsidRPr="00AA4B7E">
              <w:rPr>
                <w:rStyle w:val="Hyperlink"/>
                <w:noProof/>
              </w:rPr>
              <w:t>Data Entry Discrepancy in the 2024 California Integrated Report</w:t>
            </w:r>
            <w:r>
              <w:rPr>
                <w:noProof/>
                <w:webHidden/>
              </w:rPr>
              <w:tab/>
            </w:r>
            <w:r>
              <w:rPr>
                <w:noProof/>
                <w:webHidden/>
              </w:rPr>
              <w:fldChar w:fldCharType="begin"/>
            </w:r>
            <w:r>
              <w:rPr>
                <w:noProof/>
                <w:webHidden/>
              </w:rPr>
              <w:instrText xml:space="preserve"> PAGEREF _Toc189048598 \h </w:instrText>
            </w:r>
            <w:r>
              <w:rPr>
                <w:noProof/>
                <w:webHidden/>
              </w:rPr>
            </w:r>
            <w:r>
              <w:rPr>
                <w:noProof/>
                <w:webHidden/>
              </w:rPr>
              <w:fldChar w:fldCharType="separate"/>
            </w:r>
            <w:r>
              <w:rPr>
                <w:noProof/>
                <w:webHidden/>
              </w:rPr>
              <w:t>86</w:t>
            </w:r>
            <w:r>
              <w:rPr>
                <w:noProof/>
                <w:webHidden/>
              </w:rPr>
              <w:fldChar w:fldCharType="end"/>
            </w:r>
          </w:hyperlink>
        </w:p>
        <w:p w14:paraId="6942D835" w14:textId="7A3D9C80" w:rsidR="00375328" w:rsidRDefault="00375328">
          <w:pPr>
            <w:pStyle w:val="TOC2"/>
            <w:rPr>
              <w:rFonts w:asciiTheme="minorHAnsi" w:eastAsiaTheme="minorEastAsia" w:hAnsiTheme="minorHAnsi" w:cstheme="minorBidi"/>
              <w:noProof/>
              <w:kern w:val="2"/>
              <w:szCs w:val="24"/>
              <w14:ligatures w14:val="standardContextual"/>
            </w:rPr>
          </w:pPr>
          <w:hyperlink w:anchor="_Toc189048599" w:history="1">
            <w:r w:rsidRPr="00AA4B7E">
              <w:rPr>
                <w:rStyle w:val="Hyperlink"/>
                <w:noProof/>
              </w:rPr>
              <w:t>4.2</w:t>
            </w:r>
            <w:r>
              <w:rPr>
                <w:rFonts w:asciiTheme="minorHAnsi" w:eastAsiaTheme="minorEastAsia" w:hAnsiTheme="minorHAnsi" w:cstheme="minorBidi"/>
                <w:noProof/>
                <w:kern w:val="2"/>
                <w:szCs w:val="24"/>
                <w14:ligatures w14:val="standardContextual"/>
              </w:rPr>
              <w:tab/>
            </w:r>
            <w:r w:rsidRPr="00AA4B7E">
              <w:rPr>
                <w:rStyle w:val="Hyperlink"/>
                <w:noProof/>
              </w:rPr>
              <w:t>Controllable Factors Water Quality Objectives</w:t>
            </w:r>
            <w:r>
              <w:rPr>
                <w:noProof/>
                <w:webHidden/>
              </w:rPr>
              <w:tab/>
            </w:r>
            <w:r>
              <w:rPr>
                <w:noProof/>
                <w:webHidden/>
              </w:rPr>
              <w:fldChar w:fldCharType="begin"/>
            </w:r>
            <w:r>
              <w:rPr>
                <w:noProof/>
                <w:webHidden/>
              </w:rPr>
              <w:instrText xml:space="preserve"> PAGEREF _Toc189048599 \h </w:instrText>
            </w:r>
            <w:r>
              <w:rPr>
                <w:noProof/>
                <w:webHidden/>
              </w:rPr>
            </w:r>
            <w:r>
              <w:rPr>
                <w:noProof/>
                <w:webHidden/>
              </w:rPr>
              <w:fldChar w:fldCharType="separate"/>
            </w:r>
            <w:r>
              <w:rPr>
                <w:noProof/>
                <w:webHidden/>
              </w:rPr>
              <w:t>87</w:t>
            </w:r>
            <w:r>
              <w:rPr>
                <w:noProof/>
                <w:webHidden/>
              </w:rPr>
              <w:fldChar w:fldCharType="end"/>
            </w:r>
          </w:hyperlink>
        </w:p>
        <w:p w14:paraId="446D5779" w14:textId="4CC8C89A" w:rsidR="00375328" w:rsidRDefault="00375328">
          <w:pPr>
            <w:pStyle w:val="TOC2"/>
            <w:rPr>
              <w:rFonts w:asciiTheme="minorHAnsi" w:eastAsiaTheme="minorEastAsia" w:hAnsiTheme="minorHAnsi" w:cstheme="minorBidi"/>
              <w:noProof/>
              <w:kern w:val="2"/>
              <w:szCs w:val="24"/>
              <w14:ligatures w14:val="standardContextual"/>
            </w:rPr>
          </w:pPr>
          <w:hyperlink w:anchor="_Toc189048600" w:history="1">
            <w:r w:rsidRPr="00AA4B7E">
              <w:rPr>
                <w:rStyle w:val="Hyperlink"/>
                <w:noProof/>
              </w:rPr>
              <w:t>4.3</w:t>
            </w:r>
            <w:r>
              <w:rPr>
                <w:rFonts w:asciiTheme="minorHAnsi" w:eastAsiaTheme="minorEastAsia" w:hAnsiTheme="minorHAnsi" w:cstheme="minorBidi"/>
                <w:noProof/>
                <w:kern w:val="2"/>
                <w:szCs w:val="24"/>
                <w14:ligatures w14:val="standardContextual"/>
              </w:rPr>
              <w:tab/>
            </w:r>
            <w:r w:rsidRPr="00AA4B7E">
              <w:rPr>
                <w:rStyle w:val="Hyperlink"/>
                <w:noProof/>
              </w:rPr>
              <w:t>Pyrethroids in Sediment Organic Carbon Normalization Error</w:t>
            </w:r>
            <w:r>
              <w:rPr>
                <w:noProof/>
                <w:webHidden/>
              </w:rPr>
              <w:tab/>
            </w:r>
            <w:r>
              <w:rPr>
                <w:noProof/>
                <w:webHidden/>
              </w:rPr>
              <w:fldChar w:fldCharType="begin"/>
            </w:r>
            <w:r>
              <w:rPr>
                <w:noProof/>
                <w:webHidden/>
              </w:rPr>
              <w:instrText xml:space="preserve"> PAGEREF _Toc189048600 \h </w:instrText>
            </w:r>
            <w:r>
              <w:rPr>
                <w:noProof/>
                <w:webHidden/>
              </w:rPr>
            </w:r>
            <w:r>
              <w:rPr>
                <w:noProof/>
                <w:webHidden/>
              </w:rPr>
              <w:fldChar w:fldCharType="separate"/>
            </w:r>
            <w:r>
              <w:rPr>
                <w:noProof/>
                <w:webHidden/>
              </w:rPr>
              <w:t>88</w:t>
            </w:r>
            <w:r>
              <w:rPr>
                <w:noProof/>
                <w:webHidden/>
              </w:rPr>
              <w:fldChar w:fldCharType="end"/>
            </w:r>
          </w:hyperlink>
        </w:p>
        <w:p w14:paraId="31C19E37" w14:textId="0030730C" w:rsidR="00375328" w:rsidRDefault="00375328">
          <w:pPr>
            <w:pStyle w:val="TOC2"/>
            <w:rPr>
              <w:rFonts w:asciiTheme="minorHAnsi" w:eastAsiaTheme="minorEastAsia" w:hAnsiTheme="minorHAnsi" w:cstheme="minorBidi"/>
              <w:noProof/>
              <w:kern w:val="2"/>
              <w:szCs w:val="24"/>
              <w14:ligatures w14:val="standardContextual"/>
            </w:rPr>
          </w:pPr>
          <w:hyperlink w:anchor="_Toc189048601" w:history="1">
            <w:r w:rsidRPr="00AA4B7E">
              <w:rPr>
                <w:rStyle w:val="Hyperlink"/>
                <w:noProof/>
              </w:rPr>
              <w:t>4.4</w:t>
            </w:r>
            <w:r>
              <w:rPr>
                <w:rFonts w:asciiTheme="minorHAnsi" w:eastAsiaTheme="minorEastAsia" w:hAnsiTheme="minorHAnsi" w:cstheme="minorBidi"/>
                <w:noProof/>
                <w:kern w:val="2"/>
                <w:szCs w:val="24"/>
                <w14:ligatures w14:val="standardContextual"/>
              </w:rPr>
              <w:tab/>
            </w:r>
            <w:r w:rsidRPr="00AA4B7E">
              <w:rPr>
                <w:rStyle w:val="Hyperlink"/>
                <w:noProof/>
              </w:rPr>
              <w:t>Interpretation of Listing Policy Section 6.1.4 for QAPP Requirements</w:t>
            </w:r>
            <w:r>
              <w:rPr>
                <w:noProof/>
                <w:webHidden/>
              </w:rPr>
              <w:tab/>
            </w:r>
            <w:r>
              <w:rPr>
                <w:noProof/>
                <w:webHidden/>
              </w:rPr>
              <w:fldChar w:fldCharType="begin"/>
            </w:r>
            <w:r>
              <w:rPr>
                <w:noProof/>
                <w:webHidden/>
              </w:rPr>
              <w:instrText xml:space="preserve"> PAGEREF _Toc189048601 \h </w:instrText>
            </w:r>
            <w:r>
              <w:rPr>
                <w:noProof/>
                <w:webHidden/>
              </w:rPr>
            </w:r>
            <w:r>
              <w:rPr>
                <w:noProof/>
                <w:webHidden/>
              </w:rPr>
              <w:fldChar w:fldCharType="separate"/>
            </w:r>
            <w:r>
              <w:rPr>
                <w:noProof/>
                <w:webHidden/>
              </w:rPr>
              <w:t>89</w:t>
            </w:r>
            <w:r>
              <w:rPr>
                <w:noProof/>
                <w:webHidden/>
              </w:rPr>
              <w:fldChar w:fldCharType="end"/>
            </w:r>
          </w:hyperlink>
        </w:p>
        <w:p w14:paraId="6BDF74FA" w14:textId="111009F4" w:rsidR="00375328" w:rsidRDefault="00375328">
          <w:pPr>
            <w:pStyle w:val="TOC2"/>
            <w:rPr>
              <w:rFonts w:asciiTheme="minorHAnsi" w:eastAsiaTheme="minorEastAsia" w:hAnsiTheme="minorHAnsi" w:cstheme="minorBidi"/>
              <w:noProof/>
              <w:kern w:val="2"/>
              <w:szCs w:val="24"/>
              <w14:ligatures w14:val="standardContextual"/>
            </w:rPr>
          </w:pPr>
          <w:hyperlink w:anchor="_Toc189048602" w:history="1">
            <w:r w:rsidRPr="00AA4B7E">
              <w:rPr>
                <w:rStyle w:val="Hyperlink"/>
                <w:noProof/>
              </w:rPr>
              <w:t>4.5</w:t>
            </w:r>
            <w:r>
              <w:rPr>
                <w:rFonts w:asciiTheme="minorHAnsi" w:eastAsiaTheme="minorEastAsia" w:hAnsiTheme="minorHAnsi" w:cstheme="minorBidi"/>
                <w:noProof/>
                <w:kern w:val="2"/>
                <w:szCs w:val="24"/>
                <w14:ligatures w14:val="standardContextual"/>
              </w:rPr>
              <w:tab/>
            </w:r>
            <w:r w:rsidRPr="00AA4B7E">
              <w:rPr>
                <w:rStyle w:val="Hyperlink"/>
                <w:noProof/>
              </w:rPr>
              <w:t>Mapping Corrections in the Central Coast Region</w:t>
            </w:r>
            <w:r>
              <w:rPr>
                <w:noProof/>
                <w:webHidden/>
              </w:rPr>
              <w:tab/>
            </w:r>
            <w:r>
              <w:rPr>
                <w:noProof/>
                <w:webHidden/>
              </w:rPr>
              <w:fldChar w:fldCharType="begin"/>
            </w:r>
            <w:r>
              <w:rPr>
                <w:noProof/>
                <w:webHidden/>
              </w:rPr>
              <w:instrText xml:space="preserve"> PAGEREF _Toc189048602 \h </w:instrText>
            </w:r>
            <w:r>
              <w:rPr>
                <w:noProof/>
                <w:webHidden/>
              </w:rPr>
            </w:r>
            <w:r>
              <w:rPr>
                <w:noProof/>
                <w:webHidden/>
              </w:rPr>
              <w:fldChar w:fldCharType="separate"/>
            </w:r>
            <w:r>
              <w:rPr>
                <w:noProof/>
                <w:webHidden/>
              </w:rPr>
              <w:t>91</w:t>
            </w:r>
            <w:r>
              <w:rPr>
                <w:noProof/>
                <w:webHidden/>
              </w:rPr>
              <w:fldChar w:fldCharType="end"/>
            </w:r>
          </w:hyperlink>
        </w:p>
        <w:p w14:paraId="76978238" w14:textId="700572BC" w:rsidR="00375328" w:rsidRDefault="00375328">
          <w:pPr>
            <w:pStyle w:val="TOC3"/>
            <w:rPr>
              <w:rFonts w:asciiTheme="minorHAnsi" w:eastAsiaTheme="minorEastAsia" w:hAnsiTheme="minorHAnsi" w:cstheme="minorBidi"/>
              <w:noProof/>
              <w:kern w:val="2"/>
              <w:szCs w:val="24"/>
              <w14:ligatures w14:val="standardContextual"/>
            </w:rPr>
          </w:pPr>
          <w:hyperlink w:anchor="_Toc189048603" w:history="1">
            <w:r w:rsidRPr="00AA4B7E">
              <w:rPr>
                <w:rStyle w:val="Hyperlink"/>
                <w:noProof/>
              </w:rPr>
              <w:t>4.5.1</w:t>
            </w:r>
            <w:r>
              <w:rPr>
                <w:rFonts w:asciiTheme="minorHAnsi" w:eastAsiaTheme="minorEastAsia" w:hAnsiTheme="minorHAnsi" w:cstheme="minorBidi"/>
                <w:noProof/>
                <w:kern w:val="2"/>
                <w:szCs w:val="24"/>
                <w14:ligatures w14:val="standardContextual"/>
              </w:rPr>
              <w:tab/>
            </w:r>
            <w:r w:rsidRPr="00AA4B7E">
              <w:rPr>
                <w:rStyle w:val="Hyperlink"/>
                <w:noProof/>
              </w:rPr>
              <w:t>Mapping Changes</w:t>
            </w:r>
            <w:r>
              <w:rPr>
                <w:noProof/>
                <w:webHidden/>
              </w:rPr>
              <w:tab/>
            </w:r>
            <w:r>
              <w:rPr>
                <w:noProof/>
                <w:webHidden/>
              </w:rPr>
              <w:fldChar w:fldCharType="begin"/>
            </w:r>
            <w:r>
              <w:rPr>
                <w:noProof/>
                <w:webHidden/>
              </w:rPr>
              <w:instrText xml:space="preserve"> PAGEREF _Toc189048603 \h </w:instrText>
            </w:r>
            <w:r>
              <w:rPr>
                <w:noProof/>
                <w:webHidden/>
              </w:rPr>
            </w:r>
            <w:r>
              <w:rPr>
                <w:noProof/>
                <w:webHidden/>
              </w:rPr>
              <w:fldChar w:fldCharType="separate"/>
            </w:r>
            <w:r>
              <w:rPr>
                <w:noProof/>
                <w:webHidden/>
              </w:rPr>
              <w:t>91</w:t>
            </w:r>
            <w:r>
              <w:rPr>
                <w:noProof/>
                <w:webHidden/>
              </w:rPr>
              <w:fldChar w:fldCharType="end"/>
            </w:r>
          </w:hyperlink>
        </w:p>
        <w:p w14:paraId="2D6B91A9" w14:textId="695656E0" w:rsidR="00375328" w:rsidRDefault="00375328">
          <w:pPr>
            <w:pStyle w:val="TOC3"/>
            <w:rPr>
              <w:rFonts w:asciiTheme="minorHAnsi" w:eastAsiaTheme="minorEastAsia" w:hAnsiTheme="minorHAnsi" w:cstheme="minorBidi"/>
              <w:noProof/>
              <w:kern w:val="2"/>
              <w:szCs w:val="24"/>
              <w14:ligatures w14:val="standardContextual"/>
            </w:rPr>
          </w:pPr>
          <w:hyperlink w:anchor="_Toc189048604" w:history="1">
            <w:r w:rsidRPr="00AA4B7E">
              <w:rPr>
                <w:rStyle w:val="Hyperlink"/>
                <w:noProof/>
              </w:rPr>
              <w:t>4.5.2</w:t>
            </w:r>
            <w:r>
              <w:rPr>
                <w:rFonts w:asciiTheme="minorHAnsi" w:eastAsiaTheme="minorEastAsia" w:hAnsiTheme="minorHAnsi" w:cstheme="minorBidi"/>
                <w:noProof/>
                <w:kern w:val="2"/>
                <w:szCs w:val="24"/>
                <w14:ligatures w14:val="standardContextual"/>
              </w:rPr>
              <w:tab/>
            </w:r>
            <w:r w:rsidRPr="00AA4B7E">
              <w:rPr>
                <w:rStyle w:val="Hyperlink"/>
                <w:noProof/>
              </w:rPr>
              <w:t>Beneficial Use Corrections</w:t>
            </w:r>
            <w:r>
              <w:rPr>
                <w:noProof/>
                <w:webHidden/>
              </w:rPr>
              <w:tab/>
            </w:r>
            <w:r>
              <w:rPr>
                <w:noProof/>
                <w:webHidden/>
              </w:rPr>
              <w:fldChar w:fldCharType="begin"/>
            </w:r>
            <w:r>
              <w:rPr>
                <w:noProof/>
                <w:webHidden/>
              </w:rPr>
              <w:instrText xml:space="preserve"> PAGEREF _Toc189048604 \h </w:instrText>
            </w:r>
            <w:r>
              <w:rPr>
                <w:noProof/>
                <w:webHidden/>
              </w:rPr>
            </w:r>
            <w:r>
              <w:rPr>
                <w:noProof/>
                <w:webHidden/>
              </w:rPr>
              <w:fldChar w:fldCharType="separate"/>
            </w:r>
            <w:r>
              <w:rPr>
                <w:noProof/>
                <w:webHidden/>
              </w:rPr>
              <w:t>91</w:t>
            </w:r>
            <w:r>
              <w:rPr>
                <w:noProof/>
                <w:webHidden/>
              </w:rPr>
              <w:fldChar w:fldCharType="end"/>
            </w:r>
          </w:hyperlink>
        </w:p>
        <w:p w14:paraId="12BFC8DA" w14:textId="144CA499" w:rsidR="00375328" w:rsidRDefault="00375328">
          <w:pPr>
            <w:pStyle w:val="TOC3"/>
            <w:rPr>
              <w:rFonts w:asciiTheme="minorHAnsi" w:eastAsiaTheme="minorEastAsia" w:hAnsiTheme="minorHAnsi" w:cstheme="minorBidi"/>
              <w:noProof/>
              <w:kern w:val="2"/>
              <w:szCs w:val="24"/>
              <w14:ligatures w14:val="standardContextual"/>
            </w:rPr>
          </w:pPr>
          <w:hyperlink w:anchor="_Toc189048605" w:history="1">
            <w:r w:rsidRPr="00AA4B7E">
              <w:rPr>
                <w:rStyle w:val="Hyperlink"/>
                <w:noProof/>
              </w:rPr>
              <w:t>4.5.3</w:t>
            </w:r>
            <w:r>
              <w:rPr>
                <w:rFonts w:asciiTheme="minorHAnsi" w:eastAsiaTheme="minorEastAsia" w:hAnsiTheme="minorHAnsi" w:cstheme="minorBidi"/>
                <w:noProof/>
                <w:kern w:val="2"/>
                <w:szCs w:val="24"/>
                <w14:ligatures w14:val="standardContextual"/>
              </w:rPr>
              <w:tab/>
            </w:r>
            <w:r w:rsidRPr="00AA4B7E">
              <w:rPr>
                <w:rStyle w:val="Hyperlink"/>
                <w:noProof/>
              </w:rPr>
              <w:t>Station Association Correction</w:t>
            </w:r>
            <w:r>
              <w:rPr>
                <w:noProof/>
                <w:webHidden/>
              </w:rPr>
              <w:tab/>
            </w:r>
            <w:r>
              <w:rPr>
                <w:noProof/>
                <w:webHidden/>
              </w:rPr>
              <w:fldChar w:fldCharType="begin"/>
            </w:r>
            <w:r>
              <w:rPr>
                <w:noProof/>
                <w:webHidden/>
              </w:rPr>
              <w:instrText xml:space="preserve"> PAGEREF _Toc189048605 \h </w:instrText>
            </w:r>
            <w:r>
              <w:rPr>
                <w:noProof/>
                <w:webHidden/>
              </w:rPr>
            </w:r>
            <w:r>
              <w:rPr>
                <w:noProof/>
                <w:webHidden/>
              </w:rPr>
              <w:fldChar w:fldCharType="separate"/>
            </w:r>
            <w:r>
              <w:rPr>
                <w:noProof/>
                <w:webHidden/>
              </w:rPr>
              <w:t>91</w:t>
            </w:r>
            <w:r>
              <w:rPr>
                <w:noProof/>
                <w:webHidden/>
              </w:rPr>
              <w:fldChar w:fldCharType="end"/>
            </w:r>
          </w:hyperlink>
        </w:p>
        <w:p w14:paraId="62891F78" w14:textId="5722F029" w:rsidR="00375328" w:rsidRDefault="00375328">
          <w:pPr>
            <w:pStyle w:val="TOC1"/>
            <w:rPr>
              <w:rFonts w:asciiTheme="minorHAnsi" w:eastAsiaTheme="minorEastAsia" w:hAnsiTheme="minorHAnsi" w:cstheme="minorBidi"/>
              <w:noProof/>
              <w:kern w:val="2"/>
              <w:szCs w:val="24"/>
              <w14:ligatures w14:val="standardContextual"/>
            </w:rPr>
          </w:pPr>
          <w:hyperlink w:anchor="_Toc189048606" w:history="1">
            <w:r w:rsidRPr="00AA4B7E">
              <w:rPr>
                <w:rStyle w:val="Hyperlink"/>
                <w:noProof/>
              </w:rPr>
              <w:t>5</w:t>
            </w:r>
            <w:r>
              <w:rPr>
                <w:rFonts w:asciiTheme="minorHAnsi" w:eastAsiaTheme="minorEastAsia" w:hAnsiTheme="minorHAnsi" w:cstheme="minorBidi"/>
                <w:noProof/>
                <w:kern w:val="2"/>
                <w:szCs w:val="24"/>
                <w14:ligatures w14:val="standardContextual"/>
              </w:rPr>
              <w:tab/>
            </w:r>
            <w:r w:rsidRPr="00AA4B7E">
              <w:rPr>
                <w:rStyle w:val="Hyperlink"/>
                <w:noProof/>
              </w:rPr>
              <w:t>North Coast Regional Water Board</w:t>
            </w:r>
            <w:r>
              <w:rPr>
                <w:noProof/>
                <w:webHidden/>
              </w:rPr>
              <w:tab/>
            </w:r>
            <w:r>
              <w:rPr>
                <w:noProof/>
                <w:webHidden/>
              </w:rPr>
              <w:fldChar w:fldCharType="begin"/>
            </w:r>
            <w:r>
              <w:rPr>
                <w:noProof/>
                <w:webHidden/>
              </w:rPr>
              <w:instrText xml:space="preserve"> PAGEREF _Toc189048606 \h </w:instrText>
            </w:r>
            <w:r>
              <w:rPr>
                <w:noProof/>
                <w:webHidden/>
              </w:rPr>
            </w:r>
            <w:r>
              <w:rPr>
                <w:noProof/>
                <w:webHidden/>
              </w:rPr>
              <w:fldChar w:fldCharType="separate"/>
            </w:r>
            <w:r>
              <w:rPr>
                <w:noProof/>
                <w:webHidden/>
              </w:rPr>
              <w:t>93</w:t>
            </w:r>
            <w:r>
              <w:rPr>
                <w:noProof/>
                <w:webHidden/>
              </w:rPr>
              <w:fldChar w:fldCharType="end"/>
            </w:r>
          </w:hyperlink>
        </w:p>
        <w:p w14:paraId="41893B59" w14:textId="3D07A302" w:rsidR="00375328" w:rsidRDefault="00375328">
          <w:pPr>
            <w:pStyle w:val="TOC2"/>
            <w:rPr>
              <w:rFonts w:asciiTheme="minorHAnsi" w:eastAsiaTheme="minorEastAsia" w:hAnsiTheme="minorHAnsi" w:cstheme="minorBidi"/>
              <w:noProof/>
              <w:kern w:val="2"/>
              <w:szCs w:val="24"/>
              <w14:ligatures w14:val="standardContextual"/>
            </w:rPr>
          </w:pPr>
          <w:hyperlink w:anchor="_Toc189048607" w:history="1">
            <w:r w:rsidRPr="00AA4B7E">
              <w:rPr>
                <w:rStyle w:val="Hyperlink"/>
                <w:noProof/>
              </w:rPr>
              <w:t>5.1</w:t>
            </w:r>
            <w:r>
              <w:rPr>
                <w:rFonts w:asciiTheme="minorHAnsi" w:eastAsiaTheme="minorEastAsia" w:hAnsiTheme="minorHAnsi" w:cstheme="minorBidi"/>
                <w:noProof/>
                <w:kern w:val="2"/>
                <w:szCs w:val="24"/>
                <w14:ligatures w14:val="standardContextual"/>
              </w:rPr>
              <w:tab/>
            </w:r>
            <w:r w:rsidRPr="00AA4B7E">
              <w:rPr>
                <w:rStyle w:val="Hyperlink"/>
                <w:noProof/>
              </w:rPr>
              <w:t>Mapping of Ocean Waterbody Segments</w:t>
            </w:r>
            <w:r>
              <w:rPr>
                <w:noProof/>
                <w:webHidden/>
              </w:rPr>
              <w:tab/>
            </w:r>
            <w:r>
              <w:rPr>
                <w:noProof/>
                <w:webHidden/>
              </w:rPr>
              <w:fldChar w:fldCharType="begin"/>
            </w:r>
            <w:r>
              <w:rPr>
                <w:noProof/>
                <w:webHidden/>
              </w:rPr>
              <w:instrText xml:space="preserve"> PAGEREF _Toc189048607 \h </w:instrText>
            </w:r>
            <w:r>
              <w:rPr>
                <w:noProof/>
                <w:webHidden/>
              </w:rPr>
            </w:r>
            <w:r>
              <w:rPr>
                <w:noProof/>
                <w:webHidden/>
              </w:rPr>
              <w:fldChar w:fldCharType="separate"/>
            </w:r>
            <w:r>
              <w:rPr>
                <w:noProof/>
                <w:webHidden/>
              </w:rPr>
              <w:t>93</w:t>
            </w:r>
            <w:r>
              <w:rPr>
                <w:noProof/>
                <w:webHidden/>
              </w:rPr>
              <w:fldChar w:fldCharType="end"/>
            </w:r>
          </w:hyperlink>
        </w:p>
        <w:p w14:paraId="48B6AFBB" w14:textId="29F02DC7" w:rsidR="00375328" w:rsidRDefault="00375328">
          <w:pPr>
            <w:pStyle w:val="TOC2"/>
            <w:rPr>
              <w:rFonts w:asciiTheme="minorHAnsi" w:eastAsiaTheme="minorEastAsia" w:hAnsiTheme="minorHAnsi" w:cstheme="minorBidi"/>
              <w:noProof/>
              <w:kern w:val="2"/>
              <w:szCs w:val="24"/>
              <w14:ligatures w14:val="standardContextual"/>
            </w:rPr>
          </w:pPr>
          <w:hyperlink w:anchor="_Toc189048608" w:history="1">
            <w:r w:rsidRPr="00AA4B7E">
              <w:rPr>
                <w:rStyle w:val="Hyperlink"/>
                <w:noProof/>
              </w:rPr>
              <w:t>5.2</w:t>
            </w:r>
            <w:r>
              <w:rPr>
                <w:rFonts w:asciiTheme="minorHAnsi" w:eastAsiaTheme="minorEastAsia" w:hAnsiTheme="minorHAnsi" w:cstheme="minorBidi"/>
                <w:noProof/>
                <w:kern w:val="2"/>
                <w:szCs w:val="24"/>
                <w14:ligatures w14:val="standardContextual"/>
              </w:rPr>
              <w:tab/>
            </w:r>
            <w:r w:rsidRPr="00AA4B7E">
              <w:rPr>
                <w:rStyle w:val="Hyperlink"/>
                <w:noProof/>
              </w:rPr>
              <w:t>Ocean Acidification Assessments</w:t>
            </w:r>
            <w:r>
              <w:rPr>
                <w:noProof/>
                <w:webHidden/>
              </w:rPr>
              <w:tab/>
            </w:r>
            <w:r>
              <w:rPr>
                <w:noProof/>
                <w:webHidden/>
              </w:rPr>
              <w:fldChar w:fldCharType="begin"/>
            </w:r>
            <w:r>
              <w:rPr>
                <w:noProof/>
                <w:webHidden/>
              </w:rPr>
              <w:instrText xml:space="preserve"> PAGEREF _Toc189048608 \h </w:instrText>
            </w:r>
            <w:r>
              <w:rPr>
                <w:noProof/>
                <w:webHidden/>
              </w:rPr>
            </w:r>
            <w:r>
              <w:rPr>
                <w:noProof/>
                <w:webHidden/>
              </w:rPr>
              <w:fldChar w:fldCharType="separate"/>
            </w:r>
            <w:r>
              <w:rPr>
                <w:noProof/>
                <w:webHidden/>
              </w:rPr>
              <w:t>95</w:t>
            </w:r>
            <w:r>
              <w:rPr>
                <w:noProof/>
                <w:webHidden/>
              </w:rPr>
              <w:fldChar w:fldCharType="end"/>
            </w:r>
          </w:hyperlink>
        </w:p>
        <w:p w14:paraId="23807014" w14:textId="478292E4" w:rsidR="00375328" w:rsidRDefault="00375328">
          <w:pPr>
            <w:pStyle w:val="TOC3"/>
            <w:rPr>
              <w:rFonts w:asciiTheme="minorHAnsi" w:eastAsiaTheme="minorEastAsia" w:hAnsiTheme="minorHAnsi" w:cstheme="minorBidi"/>
              <w:noProof/>
              <w:kern w:val="2"/>
              <w:szCs w:val="24"/>
              <w14:ligatures w14:val="standardContextual"/>
            </w:rPr>
          </w:pPr>
          <w:hyperlink w:anchor="_Toc189048609" w:history="1">
            <w:r w:rsidRPr="00AA4B7E">
              <w:rPr>
                <w:rStyle w:val="Hyperlink"/>
                <w:noProof/>
              </w:rPr>
              <w:t>5.2.1</w:t>
            </w:r>
            <w:r>
              <w:rPr>
                <w:rFonts w:asciiTheme="minorHAnsi" w:eastAsiaTheme="minorEastAsia" w:hAnsiTheme="minorHAnsi" w:cstheme="minorBidi"/>
                <w:noProof/>
                <w:kern w:val="2"/>
                <w:szCs w:val="24"/>
                <w14:ligatures w14:val="standardContextual"/>
              </w:rPr>
              <w:tab/>
            </w:r>
            <w:r w:rsidRPr="00AA4B7E">
              <w:rPr>
                <w:rStyle w:val="Hyperlink"/>
                <w:noProof/>
              </w:rPr>
              <w:t>Evaluation Guideline</w:t>
            </w:r>
            <w:r>
              <w:rPr>
                <w:noProof/>
                <w:webHidden/>
              </w:rPr>
              <w:tab/>
            </w:r>
            <w:r>
              <w:rPr>
                <w:noProof/>
                <w:webHidden/>
              </w:rPr>
              <w:fldChar w:fldCharType="begin"/>
            </w:r>
            <w:r>
              <w:rPr>
                <w:noProof/>
                <w:webHidden/>
              </w:rPr>
              <w:instrText xml:space="preserve"> PAGEREF _Toc189048609 \h </w:instrText>
            </w:r>
            <w:r>
              <w:rPr>
                <w:noProof/>
                <w:webHidden/>
              </w:rPr>
            </w:r>
            <w:r>
              <w:rPr>
                <w:noProof/>
                <w:webHidden/>
              </w:rPr>
              <w:fldChar w:fldCharType="separate"/>
            </w:r>
            <w:r>
              <w:rPr>
                <w:noProof/>
                <w:webHidden/>
              </w:rPr>
              <w:t>95</w:t>
            </w:r>
            <w:r>
              <w:rPr>
                <w:noProof/>
                <w:webHidden/>
              </w:rPr>
              <w:fldChar w:fldCharType="end"/>
            </w:r>
          </w:hyperlink>
        </w:p>
        <w:p w14:paraId="11586C43" w14:textId="5E9DB7C2" w:rsidR="00375328" w:rsidRDefault="00375328">
          <w:pPr>
            <w:pStyle w:val="TOC3"/>
            <w:rPr>
              <w:rFonts w:asciiTheme="minorHAnsi" w:eastAsiaTheme="minorEastAsia" w:hAnsiTheme="minorHAnsi" w:cstheme="minorBidi"/>
              <w:noProof/>
              <w:kern w:val="2"/>
              <w:szCs w:val="24"/>
              <w14:ligatures w14:val="standardContextual"/>
            </w:rPr>
          </w:pPr>
          <w:hyperlink w:anchor="_Toc189048610" w:history="1">
            <w:r w:rsidRPr="00AA4B7E">
              <w:rPr>
                <w:rStyle w:val="Hyperlink"/>
                <w:noProof/>
              </w:rPr>
              <w:t>5.2.2</w:t>
            </w:r>
            <w:r>
              <w:rPr>
                <w:rFonts w:asciiTheme="minorHAnsi" w:eastAsiaTheme="minorEastAsia" w:hAnsiTheme="minorHAnsi" w:cstheme="minorBidi"/>
                <w:noProof/>
                <w:kern w:val="2"/>
                <w:szCs w:val="24"/>
                <w14:ligatures w14:val="standardContextual"/>
              </w:rPr>
              <w:tab/>
            </w:r>
            <w:r w:rsidRPr="00AA4B7E">
              <w:rPr>
                <w:rStyle w:val="Hyperlink"/>
                <w:noProof/>
              </w:rPr>
              <w:t>Data Assessed</w:t>
            </w:r>
            <w:r>
              <w:rPr>
                <w:noProof/>
                <w:webHidden/>
              </w:rPr>
              <w:tab/>
            </w:r>
            <w:r>
              <w:rPr>
                <w:noProof/>
                <w:webHidden/>
              </w:rPr>
              <w:fldChar w:fldCharType="begin"/>
            </w:r>
            <w:r>
              <w:rPr>
                <w:noProof/>
                <w:webHidden/>
              </w:rPr>
              <w:instrText xml:space="preserve"> PAGEREF _Toc189048610 \h </w:instrText>
            </w:r>
            <w:r>
              <w:rPr>
                <w:noProof/>
                <w:webHidden/>
              </w:rPr>
            </w:r>
            <w:r>
              <w:rPr>
                <w:noProof/>
                <w:webHidden/>
              </w:rPr>
              <w:fldChar w:fldCharType="separate"/>
            </w:r>
            <w:r>
              <w:rPr>
                <w:noProof/>
                <w:webHidden/>
              </w:rPr>
              <w:t>96</w:t>
            </w:r>
            <w:r>
              <w:rPr>
                <w:noProof/>
                <w:webHidden/>
              </w:rPr>
              <w:fldChar w:fldCharType="end"/>
            </w:r>
          </w:hyperlink>
        </w:p>
        <w:p w14:paraId="083DF446" w14:textId="340F42E3" w:rsidR="00375328" w:rsidRDefault="00375328">
          <w:pPr>
            <w:pStyle w:val="TOC3"/>
            <w:rPr>
              <w:rFonts w:asciiTheme="minorHAnsi" w:eastAsiaTheme="minorEastAsia" w:hAnsiTheme="minorHAnsi" w:cstheme="minorBidi"/>
              <w:noProof/>
              <w:kern w:val="2"/>
              <w:szCs w:val="24"/>
              <w14:ligatures w14:val="standardContextual"/>
            </w:rPr>
          </w:pPr>
          <w:hyperlink w:anchor="_Toc189048611" w:history="1">
            <w:r w:rsidRPr="00AA4B7E">
              <w:rPr>
                <w:rStyle w:val="Hyperlink"/>
                <w:noProof/>
              </w:rPr>
              <w:t>5.2.3</w:t>
            </w:r>
            <w:r>
              <w:rPr>
                <w:rFonts w:asciiTheme="minorHAnsi" w:eastAsiaTheme="minorEastAsia" w:hAnsiTheme="minorHAnsi" w:cstheme="minorBidi"/>
                <w:noProof/>
                <w:kern w:val="2"/>
                <w:szCs w:val="24"/>
                <w14:ligatures w14:val="standardContextual"/>
              </w:rPr>
              <w:tab/>
            </w:r>
            <w:r w:rsidRPr="00AA4B7E">
              <w:rPr>
                <w:rStyle w:val="Hyperlink"/>
                <w:noProof/>
              </w:rPr>
              <w:t>Data Gaps and Future Assessments</w:t>
            </w:r>
            <w:r>
              <w:rPr>
                <w:noProof/>
                <w:webHidden/>
              </w:rPr>
              <w:tab/>
            </w:r>
            <w:r>
              <w:rPr>
                <w:noProof/>
                <w:webHidden/>
              </w:rPr>
              <w:fldChar w:fldCharType="begin"/>
            </w:r>
            <w:r>
              <w:rPr>
                <w:noProof/>
                <w:webHidden/>
              </w:rPr>
              <w:instrText xml:space="preserve"> PAGEREF _Toc189048611 \h </w:instrText>
            </w:r>
            <w:r>
              <w:rPr>
                <w:noProof/>
                <w:webHidden/>
              </w:rPr>
            </w:r>
            <w:r>
              <w:rPr>
                <w:noProof/>
                <w:webHidden/>
              </w:rPr>
              <w:fldChar w:fldCharType="separate"/>
            </w:r>
            <w:r>
              <w:rPr>
                <w:noProof/>
                <w:webHidden/>
              </w:rPr>
              <w:t>97</w:t>
            </w:r>
            <w:r>
              <w:rPr>
                <w:noProof/>
                <w:webHidden/>
              </w:rPr>
              <w:fldChar w:fldCharType="end"/>
            </w:r>
          </w:hyperlink>
        </w:p>
        <w:p w14:paraId="4BD0E22B" w14:textId="0D9BA8FE" w:rsidR="00375328" w:rsidRDefault="00375328">
          <w:pPr>
            <w:pStyle w:val="TOC2"/>
            <w:rPr>
              <w:rFonts w:asciiTheme="minorHAnsi" w:eastAsiaTheme="minorEastAsia" w:hAnsiTheme="minorHAnsi" w:cstheme="minorBidi"/>
              <w:noProof/>
              <w:kern w:val="2"/>
              <w:szCs w:val="24"/>
              <w14:ligatures w14:val="standardContextual"/>
            </w:rPr>
          </w:pPr>
          <w:hyperlink w:anchor="_Toc189048612" w:history="1">
            <w:r w:rsidRPr="00AA4B7E">
              <w:rPr>
                <w:rStyle w:val="Hyperlink"/>
                <w:noProof/>
              </w:rPr>
              <w:t>5.3</w:t>
            </w:r>
            <w:r>
              <w:rPr>
                <w:rFonts w:asciiTheme="minorHAnsi" w:eastAsiaTheme="minorEastAsia" w:hAnsiTheme="minorHAnsi" w:cstheme="minorBidi"/>
                <w:noProof/>
                <w:kern w:val="2"/>
                <w:szCs w:val="24"/>
                <w14:ligatures w14:val="standardContextual"/>
              </w:rPr>
              <w:tab/>
            </w:r>
            <w:r w:rsidRPr="00AA4B7E">
              <w:rPr>
                <w:rStyle w:val="Hyperlink"/>
                <w:noProof/>
              </w:rPr>
              <w:t>Russian River Bacteria Data Reassessment</w:t>
            </w:r>
            <w:r>
              <w:rPr>
                <w:noProof/>
                <w:webHidden/>
              </w:rPr>
              <w:tab/>
            </w:r>
            <w:r>
              <w:rPr>
                <w:noProof/>
                <w:webHidden/>
              </w:rPr>
              <w:fldChar w:fldCharType="begin"/>
            </w:r>
            <w:r>
              <w:rPr>
                <w:noProof/>
                <w:webHidden/>
              </w:rPr>
              <w:instrText xml:space="preserve"> PAGEREF _Toc189048612 \h </w:instrText>
            </w:r>
            <w:r>
              <w:rPr>
                <w:noProof/>
                <w:webHidden/>
              </w:rPr>
            </w:r>
            <w:r>
              <w:rPr>
                <w:noProof/>
                <w:webHidden/>
              </w:rPr>
              <w:fldChar w:fldCharType="separate"/>
            </w:r>
            <w:r>
              <w:rPr>
                <w:noProof/>
                <w:webHidden/>
              </w:rPr>
              <w:t>97</w:t>
            </w:r>
            <w:r>
              <w:rPr>
                <w:noProof/>
                <w:webHidden/>
              </w:rPr>
              <w:fldChar w:fldCharType="end"/>
            </w:r>
          </w:hyperlink>
        </w:p>
        <w:p w14:paraId="27816310" w14:textId="5BF065F6" w:rsidR="00375328" w:rsidRDefault="00375328">
          <w:pPr>
            <w:pStyle w:val="TOC2"/>
            <w:rPr>
              <w:rFonts w:asciiTheme="minorHAnsi" w:eastAsiaTheme="minorEastAsia" w:hAnsiTheme="minorHAnsi" w:cstheme="minorBidi"/>
              <w:noProof/>
              <w:kern w:val="2"/>
              <w:szCs w:val="24"/>
              <w14:ligatures w14:val="standardContextual"/>
            </w:rPr>
          </w:pPr>
          <w:hyperlink w:anchor="_Toc189048613" w:history="1">
            <w:r w:rsidRPr="00AA4B7E">
              <w:rPr>
                <w:rStyle w:val="Hyperlink"/>
                <w:noProof/>
              </w:rPr>
              <w:t>5.4</w:t>
            </w:r>
            <w:r>
              <w:rPr>
                <w:rFonts w:asciiTheme="minorHAnsi" w:eastAsiaTheme="minorEastAsia" w:hAnsiTheme="minorHAnsi" w:cstheme="minorBidi"/>
                <w:noProof/>
                <w:kern w:val="2"/>
                <w:szCs w:val="24"/>
                <w14:ligatures w14:val="standardContextual"/>
              </w:rPr>
              <w:tab/>
            </w:r>
            <w:r w:rsidRPr="00AA4B7E">
              <w:rPr>
                <w:rStyle w:val="Hyperlink"/>
                <w:noProof/>
              </w:rPr>
              <w:t>Smith River Hydrologic Unit, Elk River Watershed Update</w:t>
            </w:r>
            <w:r>
              <w:rPr>
                <w:noProof/>
                <w:webHidden/>
              </w:rPr>
              <w:tab/>
            </w:r>
            <w:r>
              <w:rPr>
                <w:noProof/>
                <w:webHidden/>
              </w:rPr>
              <w:fldChar w:fldCharType="begin"/>
            </w:r>
            <w:r>
              <w:rPr>
                <w:noProof/>
                <w:webHidden/>
              </w:rPr>
              <w:instrText xml:space="preserve"> PAGEREF _Toc189048613 \h </w:instrText>
            </w:r>
            <w:r>
              <w:rPr>
                <w:noProof/>
                <w:webHidden/>
              </w:rPr>
            </w:r>
            <w:r>
              <w:rPr>
                <w:noProof/>
                <w:webHidden/>
              </w:rPr>
              <w:fldChar w:fldCharType="separate"/>
            </w:r>
            <w:r>
              <w:rPr>
                <w:noProof/>
                <w:webHidden/>
              </w:rPr>
              <w:t>100</w:t>
            </w:r>
            <w:r>
              <w:rPr>
                <w:noProof/>
                <w:webHidden/>
              </w:rPr>
              <w:fldChar w:fldCharType="end"/>
            </w:r>
          </w:hyperlink>
        </w:p>
        <w:p w14:paraId="29C235AE" w14:textId="377D42E1" w:rsidR="00375328" w:rsidRDefault="00375328">
          <w:pPr>
            <w:pStyle w:val="TOC2"/>
            <w:rPr>
              <w:rFonts w:asciiTheme="minorHAnsi" w:eastAsiaTheme="minorEastAsia" w:hAnsiTheme="minorHAnsi" w:cstheme="minorBidi"/>
              <w:noProof/>
              <w:kern w:val="2"/>
              <w:szCs w:val="24"/>
              <w14:ligatures w14:val="standardContextual"/>
            </w:rPr>
          </w:pPr>
          <w:hyperlink w:anchor="_Toc189048614" w:history="1">
            <w:r w:rsidRPr="00AA4B7E">
              <w:rPr>
                <w:rStyle w:val="Hyperlink"/>
                <w:noProof/>
              </w:rPr>
              <w:t>5.5</w:t>
            </w:r>
            <w:r>
              <w:rPr>
                <w:rFonts w:asciiTheme="minorHAnsi" w:eastAsiaTheme="minorEastAsia" w:hAnsiTheme="minorHAnsi" w:cstheme="minorBidi"/>
                <w:noProof/>
                <w:kern w:val="2"/>
                <w:szCs w:val="24"/>
                <w14:ligatures w14:val="standardContextual"/>
              </w:rPr>
              <w:tab/>
            </w:r>
            <w:r w:rsidRPr="00AA4B7E">
              <w:rPr>
                <w:rStyle w:val="Hyperlink"/>
                <w:noProof/>
              </w:rPr>
              <w:t>Klamath River Dam Removal Update</w:t>
            </w:r>
            <w:r>
              <w:rPr>
                <w:noProof/>
                <w:webHidden/>
              </w:rPr>
              <w:tab/>
            </w:r>
            <w:r>
              <w:rPr>
                <w:noProof/>
                <w:webHidden/>
              </w:rPr>
              <w:fldChar w:fldCharType="begin"/>
            </w:r>
            <w:r>
              <w:rPr>
                <w:noProof/>
                <w:webHidden/>
              </w:rPr>
              <w:instrText xml:space="preserve"> PAGEREF _Toc189048614 \h </w:instrText>
            </w:r>
            <w:r>
              <w:rPr>
                <w:noProof/>
                <w:webHidden/>
              </w:rPr>
            </w:r>
            <w:r>
              <w:rPr>
                <w:noProof/>
                <w:webHidden/>
              </w:rPr>
              <w:fldChar w:fldCharType="separate"/>
            </w:r>
            <w:r>
              <w:rPr>
                <w:noProof/>
                <w:webHidden/>
              </w:rPr>
              <w:t>101</w:t>
            </w:r>
            <w:r>
              <w:rPr>
                <w:noProof/>
                <w:webHidden/>
              </w:rPr>
              <w:fldChar w:fldCharType="end"/>
            </w:r>
          </w:hyperlink>
        </w:p>
        <w:p w14:paraId="1A921806" w14:textId="3077FBE6" w:rsidR="00375328" w:rsidRDefault="00375328">
          <w:pPr>
            <w:pStyle w:val="TOC2"/>
            <w:rPr>
              <w:rFonts w:asciiTheme="minorHAnsi" w:eastAsiaTheme="minorEastAsia" w:hAnsiTheme="minorHAnsi" w:cstheme="minorBidi"/>
              <w:noProof/>
              <w:kern w:val="2"/>
              <w:szCs w:val="24"/>
              <w14:ligatures w14:val="standardContextual"/>
            </w:rPr>
          </w:pPr>
          <w:hyperlink w:anchor="_Toc189048615" w:history="1">
            <w:r w:rsidRPr="00AA4B7E">
              <w:rPr>
                <w:rStyle w:val="Hyperlink"/>
                <w:noProof/>
              </w:rPr>
              <w:t>5.6</w:t>
            </w:r>
            <w:r>
              <w:rPr>
                <w:rFonts w:asciiTheme="minorHAnsi" w:eastAsiaTheme="minorEastAsia" w:hAnsiTheme="minorHAnsi" w:cstheme="minorBidi"/>
                <w:noProof/>
                <w:kern w:val="2"/>
                <w:szCs w:val="24"/>
                <w14:ligatures w14:val="standardContextual"/>
              </w:rPr>
              <w:tab/>
            </w:r>
            <w:r w:rsidRPr="00AA4B7E">
              <w:rPr>
                <w:rStyle w:val="Hyperlink"/>
                <w:noProof/>
              </w:rPr>
              <w:t>North Coast Ocean Beaches Trash Assessment</w:t>
            </w:r>
            <w:r>
              <w:rPr>
                <w:noProof/>
                <w:webHidden/>
              </w:rPr>
              <w:tab/>
            </w:r>
            <w:r>
              <w:rPr>
                <w:noProof/>
                <w:webHidden/>
              </w:rPr>
              <w:fldChar w:fldCharType="begin"/>
            </w:r>
            <w:r>
              <w:rPr>
                <w:noProof/>
                <w:webHidden/>
              </w:rPr>
              <w:instrText xml:space="preserve"> PAGEREF _Toc189048615 \h </w:instrText>
            </w:r>
            <w:r>
              <w:rPr>
                <w:noProof/>
                <w:webHidden/>
              </w:rPr>
            </w:r>
            <w:r>
              <w:rPr>
                <w:noProof/>
                <w:webHidden/>
              </w:rPr>
              <w:fldChar w:fldCharType="separate"/>
            </w:r>
            <w:r>
              <w:rPr>
                <w:noProof/>
                <w:webHidden/>
              </w:rPr>
              <w:t>103</w:t>
            </w:r>
            <w:r>
              <w:rPr>
                <w:noProof/>
                <w:webHidden/>
              </w:rPr>
              <w:fldChar w:fldCharType="end"/>
            </w:r>
          </w:hyperlink>
        </w:p>
        <w:p w14:paraId="71B0606A" w14:textId="22B84346" w:rsidR="00375328" w:rsidRDefault="00375328">
          <w:pPr>
            <w:pStyle w:val="TOC2"/>
            <w:rPr>
              <w:rFonts w:asciiTheme="minorHAnsi" w:eastAsiaTheme="minorEastAsia" w:hAnsiTheme="minorHAnsi" w:cstheme="minorBidi"/>
              <w:noProof/>
              <w:kern w:val="2"/>
              <w:szCs w:val="24"/>
              <w14:ligatures w14:val="standardContextual"/>
            </w:rPr>
          </w:pPr>
          <w:hyperlink w:anchor="_Toc189048616" w:history="1">
            <w:r w:rsidRPr="00AA4B7E">
              <w:rPr>
                <w:rStyle w:val="Hyperlink"/>
                <w:noProof/>
              </w:rPr>
              <w:t>5.7</w:t>
            </w:r>
            <w:r>
              <w:rPr>
                <w:rFonts w:asciiTheme="minorHAnsi" w:eastAsiaTheme="minorEastAsia" w:hAnsiTheme="minorHAnsi" w:cstheme="minorBidi"/>
                <w:noProof/>
                <w:kern w:val="2"/>
                <w:szCs w:val="24"/>
                <w14:ligatures w14:val="standardContextual"/>
              </w:rPr>
              <w:tab/>
            </w:r>
            <w:r w:rsidRPr="00AA4B7E">
              <w:rPr>
                <w:rStyle w:val="Hyperlink"/>
                <w:noProof/>
              </w:rPr>
              <w:t>North Coast Region 303(d) “List” and “Delist” Decisions</w:t>
            </w:r>
            <w:r>
              <w:rPr>
                <w:noProof/>
                <w:webHidden/>
              </w:rPr>
              <w:tab/>
            </w:r>
            <w:r>
              <w:rPr>
                <w:noProof/>
                <w:webHidden/>
              </w:rPr>
              <w:fldChar w:fldCharType="begin"/>
            </w:r>
            <w:r>
              <w:rPr>
                <w:noProof/>
                <w:webHidden/>
              </w:rPr>
              <w:instrText xml:space="preserve"> PAGEREF _Toc189048616 \h </w:instrText>
            </w:r>
            <w:r>
              <w:rPr>
                <w:noProof/>
                <w:webHidden/>
              </w:rPr>
            </w:r>
            <w:r>
              <w:rPr>
                <w:noProof/>
                <w:webHidden/>
              </w:rPr>
              <w:fldChar w:fldCharType="separate"/>
            </w:r>
            <w:r>
              <w:rPr>
                <w:noProof/>
                <w:webHidden/>
              </w:rPr>
              <w:t>104</w:t>
            </w:r>
            <w:r>
              <w:rPr>
                <w:noProof/>
                <w:webHidden/>
              </w:rPr>
              <w:fldChar w:fldCharType="end"/>
            </w:r>
          </w:hyperlink>
        </w:p>
        <w:p w14:paraId="166FB23B" w14:textId="23D01B75" w:rsidR="00375328" w:rsidRDefault="00375328">
          <w:pPr>
            <w:pStyle w:val="TOC2"/>
            <w:rPr>
              <w:rFonts w:asciiTheme="minorHAnsi" w:eastAsiaTheme="minorEastAsia" w:hAnsiTheme="minorHAnsi" w:cstheme="minorBidi"/>
              <w:noProof/>
              <w:kern w:val="2"/>
              <w:szCs w:val="24"/>
              <w14:ligatures w14:val="standardContextual"/>
            </w:rPr>
          </w:pPr>
          <w:hyperlink w:anchor="_Toc189048617" w:history="1">
            <w:r w:rsidRPr="00AA4B7E">
              <w:rPr>
                <w:rStyle w:val="Hyperlink"/>
                <w:noProof/>
              </w:rPr>
              <w:t>5.8</w:t>
            </w:r>
            <w:r>
              <w:rPr>
                <w:rFonts w:asciiTheme="minorHAnsi" w:eastAsiaTheme="minorEastAsia" w:hAnsiTheme="minorHAnsi" w:cstheme="minorBidi"/>
                <w:noProof/>
                <w:kern w:val="2"/>
                <w:szCs w:val="24"/>
                <w14:ligatures w14:val="standardContextual"/>
              </w:rPr>
              <w:tab/>
            </w:r>
            <w:r w:rsidRPr="00AA4B7E">
              <w:rPr>
                <w:rStyle w:val="Hyperlink"/>
                <w:noProof/>
              </w:rPr>
              <w:t>North Coast Region Prioritization of TMDLs and Other Efforts to Address Impaired Waters</w:t>
            </w:r>
            <w:r>
              <w:rPr>
                <w:noProof/>
                <w:webHidden/>
              </w:rPr>
              <w:tab/>
            </w:r>
            <w:r>
              <w:rPr>
                <w:noProof/>
                <w:webHidden/>
              </w:rPr>
              <w:fldChar w:fldCharType="begin"/>
            </w:r>
            <w:r>
              <w:rPr>
                <w:noProof/>
                <w:webHidden/>
              </w:rPr>
              <w:instrText xml:space="preserve"> PAGEREF _Toc189048617 \h </w:instrText>
            </w:r>
            <w:r>
              <w:rPr>
                <w:noProof/>
                <w:webHidden/>
              </w:rPr>
            </w:r>
            <w:r>
              <w:rPr>
                <w:noProof/>
                <w:webHidden/>
              </w:rPr>
              <w:fldChar w:fldCharType="separate"/>
            </w:r>
            <w:r>
              <w:rPr>
                <w:noProof/>
                <w:webHidden/>
              </w:rPr>
              <w:t>105</w:t>
            </w:r>
            <w:r>
              <w:rPr>
                <w:noProof/>
                <w:webHidden/>
              </w:rPr>
              <w:fldChar w:fldCharType="end"/>
            </w:r>
          </w:hyperlink>
        </w:p>
        <w:p w14:paraId="56152E51" w14:textId="0ECD3508" w:rsidR="00375328" w:rsidRDefault="00375328">
          <w:pPr>
            <w:pStyle w:val="TOC3"/>
            <w:rPr>
              <w:rFonts w:asciiTheme="minorHAnsi" w:eastAsiaTheme="minorEastAsia" w:hAnsiTheme="minorHAnsi" w:cstheme="minorBidi"/>
              <w:noProof/>
              <w:kern w:val="2"/>
              <w:szCs w:val="24"/>
              <w14:ligatures w14:val="standardContextual"/>
            </w:rPr>
          </w:pPr>
          <w:hyperlink w:anchor="_Toc189048618" w:history="1">
            <w:r w:rsidRPr="00AA4B7E">
              <w:rPr>
                <w:rStyle w:val="Hyperlink"/>
                <w:noProof/>
              </w:rPr>
              <w:t>5.8.1</w:t>
            </w:r>
            <w:r>
              <w:rPr>
                <w:rFonts w:asciiTheme="minorHAnsi" w:eastAsiaTheme="minorEastAsia" w:hAnsiTheme="minorHAnsi" w:cstheme="minorBidi"/>
                <w:noProof/>
                <w:kern w:val="2"/>
                <w:szCs w:val="24"/>
                <w14:ligatures w14:val="standardContextual"/>
              </w:rPr>
              <w:tab/>
            </w:r>
            <w:r w:rsidRPr="00AA4B7E">
              <w:rPr>
                <w:rStyle w:val="Hyperlink"/>
                <w:noProof/>
              </w:rPr>
              <w:t>Impairments Expected to Be Addressed by 4b Demonstrations</w:t>
            </w:r>
            <w:r>
              <w:rPr>
                <w:noProof/>
                <w:webHidden/>
              </w:rPr>
              <w:tab/>
            </w:r>
            <w:r>
              <w:rPr>
                <w:noProof/>
                <w:webHidden/>
              </w:rPr>
              <w:fldChar w:fldCharType="begin"/>
            </w:r>
            <w:r>
              <w:rPr>
                <w:noProof/>
                <w:webHidden/>
              </w:rPr>
              <w:instrText xml:space="preserve"> PAGEREF _Toc189048618 \h </w:instrText>
            </w:r>
            <w:r>
              <w:rPr>
                <w:noProof/>
                <w:webHidden/>
              </w:rPr>
            </w:r>
            <w:r>
              <w:rPr>
                <w:noProof/>
                <w:webHidden/>
              </w:rPr>
              <w:fldChar w:fldCharType="separate"/>
            </w:r>
            <w:r>
              <w:rPr>
                <w:noProof/>
                <w:webHidden/>
              </w:rPr>
              <w:t>106</w:t>
            </w:r>
            <w:r>
              <w:rPr>
                <w:noProof/>
                <w:webHidden/>
              </w:rPr>
              <w:fldChar w:fldCharType="end"/>
            </w:r>
          </w:hyperlink>
        </w:p>
        <w:p w14:paraId="059EABB3" w14:textId="4E7934AA" w:rsidR="00375328" w:rsidRDefault="00375328">
          <w:pPr>
            <w:pStyle w:val="TOC1"/>
            <w:rPr>
              <w:rFonts w:asciiTheme="minorHAnsi" w:eastAsiaTheme="minorEastAsia" w:hAnsiTheme="minorHAnsi" w:cstheme="minorBidi"/>
              <w:noProof/>
              <w:kern w:val="2"/>
              <w:szCs w:val="24"/>
              <w14:ligatures w14:val="standardContextual"/>
            </w:rPr>
          </w:pPr>
          <w:hyperlink w:anchor="_Toc189048619" w:history="1">
            <w:r w:rsidRPr="00AA4B7E">
              <w:rPr>
                <w:rStyle w:val="Hyperlink"/>
                <w:noProof/>
              </w:rPr>
              <w:t>6</w:t>
            </w:r>
            <w:r>
              <w:rPr>
                <w:rFonts w:asciiTheme="minorHAnsi" w:eastAsiaTheme="minorEastAsia" w:hAnsiTheme="minorHAnsi" w:cstheme="minorBidi"/>
                <w:noProof/>
                <w:kern w:val="2"/>
                <w:szCs w:val="24"/>
                <w14:ligatures w14:val="standardContextual"/>
              </w:rPr>
              <w:tab/>
            </w:r>
            <w:r w:rsidRPr="00AA4B7E">
              <w:rPr>
                <w:rStyle w:val="Hyperlink"/>
                <w:noProof/>
              </w:rPr>
              <w:t>Central Valley Regional Water Board</w:t>
            </w:r>
            <w:r>
              <w:rPr>
                <w:noProof/>
                <w:webHidden/>
              </w:rPr>
              <w:tab/>
            </w:r>
            <w:r>
              <w:rPr>
                <w:noProof/>
                <w:webHidden/>
              </w:rPr>
              <w:fldChar w:fldCharType="begin"/>
            </w:r>
            <w:r>
              <w:rPr>
                <w:noProof/>
                <w:webHidden/>
              </w:rPr>
              <w:instrText xml:space="preserve"> PAGEREF _Toc189048619 \h </w:instrText>
            </w:r>
            <w:r>
              <w:rPr>
                <w:noProof/>
                <w:webHidden/>
              </w:rPr>
            </w:r>
            <w:r>
              <w:rPr>
                <w:noProof/>
                <w:webHidden/>
              </w:rPr>
              <w:fldChar w:fldCharType="separate"/>
            </w:r>
            <w:r>
              <w:rPr>
                <w:noProof/>
                <w:webHidden/>
              </w:rPr>
              <w:t>106</w:t>
            </w:r>
            <w:r>
              <w:rPr>
                <w:noProof/>
                <w:webHidden/>
              </w:rPr>
              <w:fldChar w:fldCharType="end"/>
            </w:r>
          </w:hyperlink>
        </w:p>
        <w:p w14:paraId="332DB670" w14:textId="0536540E" w:rsidR="00375328" w:rsidRDefault="00375328">
          <w:pPr>
            <w:pStyle w:val="TOC2"/>
            <w:rPr>
              <w:rFonts w:asciiTheme="minorHAnsi" w:eastAsiaTheme="minorEastAsia" w:hAnsiTheme="minorHAnsi" w:cstheme="minorBidi"/>
              <w:noProof/>
              <w:kern w:val="2"/>
              <w:szCs w:val="24"/>
              <w14:ligatures w14:val="standardContextual"/>
            </w:rPr>
          </w:pPr>
          <w:hyperlink w:anchor="_Toc189048620" w:history="1">
            <w:r w:rsidRPr="00AA4B7E">
              <w:rPr>
                <w:rStyle w:val="Hyperlink"/>
                <w:noProof/>
              </w:rPr>
              <w:t>6.1</w:t>
            </w:r>
            <w:r>
              <w:rPr>
                <w:rFonts w:asciiTheme="minorHAnsi" w:eastAsiaTheme="minorEastAsia" w:hAnsiTheme="minorHAnsi" w:cstheme="minorBidi"/>
                <w:noProof/>
                <w:kern w:val="2"/>
                <w:szCs w:val="24"/>
                <w14:ligatures w14:val="standardContextual"/>
              </w:rPr>
              <w:tab/>
            </w:r>
            <w:r w:rsidRPr="00AA4B7E">
              <w:rPr>
                <w:rStyle w:val="Hyperlink"/>
                <w:noProof/>
              </w:rPr>
              <w:t>Delta Remapping</w:t>
            </w:r>
            <w:r>
              <w:rPr>
                <w:noProof/>
                <w:webHidden/>
              </w:rPr>
              <w:tab/>
            </w:r>
            <w:r>
              <w:rPr>
                <w:noProof/>
                <w:webHidden/>
              </w:rPr>
              <w:fldChar w:fldCharType="begin"/>
            </w:r>
            <w:r>
              <w:rPr>
                <w:noProof/>
                <w:webHidden/>
              </w:rPr>
              <w:instrText xml:space="preserve"> PAGEREF _Toc189048620 \h </w:instrText>
            </w:r>
            <w:r>
              <w:rPr>
                <w:noProof/>
                <w:webHidden/>
              </w:rPr>
            </w:r>
            <w:r>
              <w:rPr>
                <w:noProof/>
                <w:webHidden/>
              </w:rPr>
              <w:fldChar w:fldCharType="separate"/>
            </w:r>
            <w:r>
              <w:rPr>
                <w:noProof/>
                <w:webHidden/>
              </w:rPr>
              <w:t>107</w:t>
            </w:r>
            <w:r>
              <w:rPr>
                <w:noProof/>
                <w:webHidden/>
              </w:rPr>
              <w:fldChar w:fldCharType="end"/>
            </w:r>
          </w:hyperlink>
        </w:p>
        <w:p w14:paraId="7BBCBA4E" w14:textId="1B18D820" w:rsidR="00375328" w:rsidRDefault="00375328">
          <w:pPr>
            <w:pStyle w:val="TOC2"/>
            <w:rPr>
              <w:rFonts w:asciiTheme="minorHAnsi" w:eastAsiaTheme="minorEastAsia" w:hAnsiTheme="minorHAnsi" w:cstheme="minorBidi"/>
              <w:noProof/>
              <w:kern w:val="2"/>
              <w:szCs w:val="24"/>
              <w14:ligatures w14:val="standardContextual"/>
            </w:rPr>
          </w:pPr>
          <w:hyperlink w:anchor="_Toc189048621" w:history="1">
            <w:r w:rsidRPr="00AA4B7E">
              <w:rPr>
                <w:rStyle w:val="Hyperlink"/>
                <w:noProof/>
              </w:rPr>
              <w:t>6.2</w:t>
            </w:r>
            <w:r>
              <w:rPr>
                <w:rFonts w:asciiTheme="minorHAnsi" w:eastAsiaTheme="minorEastAsia" w:hAnsiTheme="minorHAnsi" w:cstheme="minorBidi"/>
                <w:noProof/>
                <w:kern w:val="2"/>
                <w:szCs w:val="24"/>
                <w14:ligatures w14:val="standardContextual"/>
              </w:rPr>
              <w:tab/>
            </w:r>
            <w:r w:rsidRPr="00AA4B7E">
              <w:rPr>
                <w:rStyle w:val="Hyperlink"/>
                <w:noProof/>
              </w:rPr>
              <w:t>Orestimba Creek Remapping</w:t>
            </w:r>
            <w:r>
              <w:rPr>
                <w:noProof/>
                <w:webHidden/>
              </w:rPr>
              <w:tab/>
            </w:r>
            <w:r>
              <w:rPr>
                <w:noProof/>
                <w:webHidden/>
              </w:rPr>
              <w:fldChar w:fldCharType="begin"/>
            </w:r>
            <w:r>
              <w:rPr>
                <w:noProof/>
                <w:webHidden/>
              </w:rPr>
              <w:instrText xml:space="preserve"> PAGEREF _Toc189048621 \h </w:instrText>
            </w:r>
            <w:r>
              <w:rPr>
                <w:noProof/>
                <w:webHidden/>
              </w:rPr>
            </w:r>
            <w:r>
              <w:rPr>
                <w:noProof/>
                <w:webHidden/>
              </w:rPr>
              <w:fldChar w:fldCharType="separate"/>
            </w:r>
            <w:r>
              <w:rPr>
                <w:noProof/>
                <w:webHidden/>
              </w:rPr>
              <w:t>107</w:t>
            </w:r>
            <w:r>
              <w:rPr>
                <w:noProof/>
                <w:webHidden/>
              </w:rPr>
              <w:fldChar w:fldCharType="end"/>
            </w:r>
          </w:hyperlink>
        </w:p>
        <w:p w14:paraId="12443774" w14:textId="06734C57" w:rsidR="00375328" w:rsidRDefault="00375328">
          <w:pPr>
            <w:pStyle w:val="TOC2"/>
            <w:rPr>
              <w:rFonts w:asciiTheme="minorHAnsi" w:eastAsiaTheme="minorEastAsia" w:hAnsiTheme="minorHAnsi" w:cstheme="minorBidi"/>
              <w:noProof/>
              <w:kern w:val="2"/>
              <w:szCs w:val="24"/>
              <w14:ligatures w14:val="standardContextual"/>
            </w:rPr>
          </w:pPr>
          <w:hyperlink w:anchor="_Toc189048622" w:history="1">
            <w:r w:rsidRPr="00AA4B7E">
              <w:rPr>
                <w:rStyle w:val="Hyperlink"/>
                <w:noProof/>
              </w:rPr>
              <w:t>6.3</w:t>
            </w:r>
            <w:r>
              <w:rPr>
                <w:rFonts w:asciiTheme="minorHAnsi" w:eastAsiaTheme="minorEastAsia" w:hAnsiTheme="minorHAnsi" w:cstheme="minorBidi"/>
                <w:noProof/>
                <w:kern w:val="2"/>
                <w:szCs w:val="24"/>
                <w14:ligatures w14:val="standardContextual"/>
              </w:rPr>
              <w:tab/>
            </w:r>
            <w:r w:rsidRPr="00AA4B7E">
              <w:rPr>
                <w:rStyle w:val="Hyperlink"/>
                <w:noProof/>
              </w:rPr>
              <w:t>Modified and Constructed Waters</w:t>
            </w:r>
            <w:r>
              <w:rPr>
                <w:noProof/>
                <w:webHidden/>
              </w:rPr>
              <w:tab/>
            </w:r>
            <w:r>
              <w:rPr>
                <w:noProof/>
                <w:webHidden/>
              </w:rPr>
              <w:fldChar w:fldCharType="begin"/>
            </w:r>
            <w:r>
              <w:rPr>
                <w:noProof/>
                <w:webHidden/>
              </w:rPr>
              <w:instrText xml:space="preserve"> PAGEREF _Toc189048622 \h </w:instrText>
            </w:r>
            <w:r>
              <w:rPr>
                <w:noProof/>
                <w:webHidden/>
              </w:rPr>
            </w:r>
            <w:r>
              <w:rPr>
                <w:noProof/>
                <w:webHidden/>
              </w:rPr>
              <w:fldChar w:fldCharType="separate"/>
            </w:r>
            <w:r>
              <w:rPr>
                <w:noProof/>
                <w:webHidden/>
              </w:rPr>
              <w:t>108</w:t>
            </w:r>
            <w:r>
              <w:rPr>
                <w:noProof/>
                <w:webHidden/>
              </w:rPr>
              <w:fldChar w:fldCharType="end"/>
            </w:r>
          </w:hyperlink>
        </w:p>
        <w:p w14:paraId="5E100D05" w14:textId="4175E93A" w:rsidR="00375328" w:rsidRDefault="00375328">
          <w:pPr>
            <w:pStyle w:val="TOC2"/>
            <w:rPr>
              <w:rFonts w:asciiTheme="minorHAnsi" w:eastAsiaTheme="minorEastAsia" w:hAnsiTheme="minorHAnsi" w:cstheme="minorBidi"/>
              <w:noProof/>
              <w:kern w:val="2"/>
              <w:szCs w:val="24"/>
              <w14:ligatures w14:val="standardContextual"/>
            </w:rPr>
          </w:pPr>
          <w:hyperlink w:anchor="_Toc189048623" w:history="1">
            <w:r w:rsidRPr="00AA4B7E">
              <w:rPr>
                <w:rStyle w:val="Hyperlink"/>
                <w:noProof/>
              </w:rPr>
              <w:t>6.4</w:t>
            </w:r>
            <w:r>
              <w:rPr>
                <w:rFonts w:asciiTheme="minorHAnsi" w:eastAsiaTheme="minorEastAsia" w:hAnsiTheme="minorHAnsi" w:cstheme="minorBidi"/>
                <w:noProof/>
                <w:kern w:val="2"/>
                <w:szCs w:val="24"/>
                <w14:ligatures w14:val="standardContextual"/>
              </w:rPr>
              <w:tab/>
            </w:r>
            <w:r w:rsidRPr="00AA4B7E">
              <w:rPr>
                <w:rStyle w:val="Hyperlink"/>
                <w:noProof/>
              </w:rPr>
              <w:t>Central Valley Region Data Reassessments</w:t>
            </w:r>
            <w:r>
              <w:rPr>
                <w:noProof/>
                <w:webHidden/>
              </w:rPr>
              <w:tab/>
            </w:r>
            <w:r>
              <w:rPr>
                <w:noProof/>
                <w:webHidden/>
              </w:rPr>
              <w:fldChar w:fldCharType="begin"/>
            </w:r>
            <w:r>
              <w:rPr>
                <w:noProof/>
                <w:webHidden/>
              </w:rPr>
              <w:instrText xml:space="preserve"> PAGEREF _Toc189048623 \h </w:instrText>
            </w:r>
            <w:r>
              <w:rPr>
                <w:noProof/>
                <w:webHidden/>
              </w:rPr>
            </w:r>
            <w:r>
              <w:rPr>
                <w:noProof/>
                <w:webHidden/>
              </w:rPr>
              <w:fldChar w:fldCharType="separate"/>
            </w:r>
            <w:r>
              <w:rPr>
                <w:noProof/>
                <w:webHidden/>
              </w:rPr>
              <w:t>108</w:t>
            </w:r>
            <w:r>
              <w:rPr>
                <w:noProof/>
                <w:webHidden/>
              </w:rPr>
              <w:fldChar w:fldCharType="end"/>
            </w:r>
          </w:hyperlink>
        </w:p>
        <w:p w14:paraId="28D05548" w14:textId="63AADC0F" w:rsidR="00375328" w:rsidRDefault="00375328">
          <w:pPr>
            <w:pStyle w:val="TOC3"/>
            <w:rPr>
              <w:rFonts w:asciiTheme="minorHAnsi" w:eastAsiaTheme="minorEastAsia" w:hAnsiTheme="minorHAnsi" w:cstheme="minorBidi"/>
              <w:noProof/>
              <w:kern w:val="2"/>
              <w:szCs w:val="24"/>
              <w14:ligatures w14:val="standardContextual"/>
            </w:rPr>
          </w:pPr>
          <w:hyperlink w:anchor="_Toc189048624" w:history="1">
            <w:r w:rsidRPr="00AA4B7E">
              <w:rPr>
                <w:rStyle w:val="Hyperlink"/>
                <w:noProof/>
              </w:rPr>
              <w:t>6.4.1</w:t>
            </w:r>
            <w:r>
              <w:rPr>
                <w:rFonts w:asciiTheme="minorHAnsi" w:eastAsiaTheme="minorEastAsia" w:hAnsiTheme="minorHAnsi" w:cstheme="minorBidi"/>
                <w:noProof/>
                <w:kern w:val="2"/>
                <w:szCs w:val="24"/>
                <w14:ligatures w14:val="standardContextual"/>
              </w:rPr>
              <w:tab/>
            </w:r>
            <w:r w:rsidRPr="00AA4B7E">
              <w:rPr>
                <w:rStyle w:val="Hyperlink"/>
                <w:noProof/>
              </w:rPr>
              <w:t>Chloride Objectives</w:t>
            </w:r>
            <w:r>
              <w:rPr>
                <w:noProof/>
                <w:webHidden/>
              </w:rPr>
              <w:tab/>
            </w:r>
            <w:r>
              <w:rPr>
                <w:noProof/>
                <w:webHidden/>
              </w:rPr>
              <w:fldChar w:fldCharType="begin"/>
            </w:r>
            <w:r>
              <w:rPr>
                <w:noProof/>
                <w:webHidden/>
              </w:rPr>
              <w:instrText xml:space="preserve"> PAGEREF _Toc189048624 \h </w:instrText>
            </w:r>
            <w:r>
              <w:rPr>
                <w:noProof/>
                <w:webHidden/>
              </w:rPr>
            </w:r>
            <w:r>
              <w:rPr>
                <w:noProof/>
                <w:webHidden/>
              </w:rPr>
              <w:fldChar w:fldCharType="separate"/>
            </w:r>
            <w:r>
              <w:rPr>
                <w:noProof/>
                <w:webHidden/>
              </w:rPr>
              <w:t>109</w:t>
            </w:r>
            <w:r>
              <w:rPr>
                <w:noProof/>
                <w:webHidden/>
              </w:rPr>
              <w:fldChar w:fldCharType="end"/>
            </w:r>
          </w:hyperlink>
        </w:p>
        <w:p w14:paraId="5B64642D" w14:textId="560B9014" w:rsidR="00375328" w:rsidRDefault="00375328">
          <w:pPr>
            <w:pStyle w:val="TOC3"/>
            <w:rPr>
              <w:rFonts w:asciiTheme="minorHAnsi" w:eastAsiaTheme="minorEastAsia" w:hAnsiTheme="minorHAnsi" w:cstheme="minorBidi"/>
              <w:noProof/>
              <w:kern w:val="2"/>
              <w:szCs w:val="24"/>
              <w14:ligatures w14:val="standardContextual"/>
            </w:rPr>
          </w:pPr>
          <w:hyperlink w:anchor="_Toc189048625" w:history="1">
            <w:r w:rsidRPr="00AA4B7E">
              <w:rPr>
                <w:rStyle w:val="Hyperlink"/>
                <w:noProof/>
              </w:rPr>
              <w:t>6.4.2</w:t>
            </w:r>
            <w:r>
              <w:rPr>
                <w:rFonts w:asciiTheme="minorHAnsi" w:eastAsiaTheme="minorEastAsia" w:hAnsiTheme="minorHAnsi" w:cstheme="minorBidi"/>
                <w:noProof/>
                <w:kern w:val="2"/>
                <w:szCs w:val="24"/>
                <w14:ligatures w14:val="standardContextual"/>
              </w:rPr>
              <w:tab/>
            </w:r>
            <w:r w:rsidRPr="00AA4B7E">
              <w:rPr>
                <w:rStyle w:val="Hyperlink"/>
                <w:noProof/>
              </w:rPr>
              <w:t>Westside San Joaquin Coalition Pesticide Data Reassessments</w:t>
            </w:r>
            <w:r>
              <w:rPr>
                <w:noProof/>
                <w:webHidden/>
              </w:rPr>
              <w:tab/>
            </w:r>
            <w:r>
              <w:rPr>
                <w:noProof/>
                <w:webHidden/>
              </w:rPr>
              <w:fldChar w:fldCharType="begin"/>
            </w:r>
            <w:r>
              <w:rPr>
                <w:noProof/>
                <w:webHidden/>
              </w:rPr>
              <w:instrText xml:space="preserve"> PAGEREF _Toc189048625 \h </w:instrText>
            </w:r>
            <w:r>
              <w:rPr>
                <w:noProof/>
                <w:webHidden/>
              </w:rPr>
            </w:r>
            <w:r>
              <w:rPr>
                <w:noProof/>
                <w:webHidden/>
              </w:rPr>
              <w:fldChar w:fldCharType="separate"/>
            </w:r>
            <w:r>
              <w:rPr>
                <w:noProof/>
                <w:webHidden/>
              </w:rPr>
              <w:t>109</w:t>
            </w:r>
            <w:r>
              <w:rPr>
                <w:noProof/>
                <w:webHidden/>
              </w:rPr>
              <w:fldChar w:fldCharType="end"/>
            </w:r>
          </w:hyperlink>
        </w:p>
        <w:p w14:paraId="3563F4F4" w14:textId="01793783" w:rsidR="00375328" w:rsidRDefault="00375328">
          <w:pPr>
            <w:pStyle w:val="TOC3"/>
            <w:rPr>
              <w:rFonts w:asciiTheme="minorHAnsi" w:eastAsiaTheme="minorEastAsia" w:hAnsiTheme="minorHAnsi" w:cstheme="minorBidi"/>
              <w:noProof/>
              <w:kern w:val="2"/>
              <w:szCs w:val="24"/>
              <w14:ligatures w14:val="standardContextual"/>
            </w:rPr>
          </w:pPr>
          <w:hyperlink w:anchor="_Toc189048626" w:history="1">
            <w:r w:rsidRPr="00AA4B7E">
              <w:rPr>
                <w:rStyle w:val="Hyperlink"/>
                <w:noProof/>
              </w:rPr>
              <w:t>6.4.3</w:t>
            </w:r>
            <w:r>
              <w:rPr>
                <w:rFonts w:asciiTheme="minorHAnsi" w:eastAsiaTheme="minorEastAsia" w:hAnsiTheme="minorHAnsi" w:cstheme="minorBidi"/>
                <w:noProof/>
                <w:kern w:val="2"/>
                <w:szCs w:val="24"/>
                <w14:ligatures w14:val="standardContextual"/>
              </w:rPr>
              <w:tab/>
            </w:r>
            <w:r w:rsidRPr="00AA4B7E">
              <w:rPr>
                <w:rStyle w:val="Hyperlink"/>
                <w:noProof/>
              </w:rPr>
              <w:t>Assessment of Salinity in the Lower San Joaquin River According to New Water Quality Objectives</w:t>
            </w:r>
            <w:r>
              <w:rPr>
                <w:noProof/>
                <w:webHidden/>
              </w:rPr>
              <w:tab/>
            </w:r>
            <w:r>
              <w:rPr>
                <w:noProof/>
                <w:webHidden/>
              </w:rPr>
              <w:fldChar w:fldCharType="begin"/>
            </w:r>
            <w:r>
              <w:rPr>
                <w:noProof/>
                <w:webHidden/>
              </w:rPr>
              <w:instrText xml:space="preserve"> PAGEREF _Toc189048626 \h </w:instrText>
            </w:r>
            <w:r>
              <w:rPr>
                <w:noProof/>
                <w:webHidden/>
              </w:rPr>
            </w:r>
            <w:r>
              <w:rPr>
                <w:noProof/>
                <w:webHidden/>
              </w:rPr>
              <w:fldChar w:fldCharType="separate"/>
            </w:r>
            <w:r>
              <w:rPr>
                <w:noProof/>
                <w:webHidden/>
              </w:rPr>
              <w:t>110</w:t>
            </w:r>
            <w:r>
              <w:rPr>
                <w:noProof/>
                <w:webHidden/>
              </w:rPr>
              <w:fldChar w:fldCharType="end"/>
            </w:r>
          </w:hyperlink>
        </w:p>
        <w:p w14:paraId="56B90FFA" w14:textId="0225D8CC" w:rsidR="00375328" w:rsidRDefault="00375328">
          <w:pPr>
            <w:pStyle w:val="TOC3"/>
            <w:rPr>
              <w:rFonts w:asciiTheme="minorHAnsi" w:eastAsiaTheme="minorEastAsia" w:hAnsiTheme="minorHAnsi" w:cstheme="minorBidi"/>
              <w:noProof/>
              <w:kern w:val="2"/>
              <w:szCs w:val="24"/>
              <w14:ligatures w14:val="standardContextual"/>
            </w:rPr>
          </w:pPr>
          <w:hyperlink w:anchor="_Toc189048627" w:history="1">
            <w:r w:rsidRPr="00AA4B7E">
              <w:rPr>
                <w:rStyle w:val="Hyperlink"/>
                <w:noProof/>
              </w:rPr>
              <w:t>6.4.4</w:t>
            </w:r>
            <w:r>
              <w:rPr>
                <w:rFonts w:asciiTheme="minorHAnsi" w:eastAsiaTheme="minorEastAsia" w:hAnsiTheme="minorHAnsi" w:cstheme="minorBidi"/>
                <w:noProof/>
                <w:kern w:val="2"/>
                <w:szCs w:val="24"/>
                <w14:ligatures w14:val="standardContextual"/>
              </w:rPr>
              <w:tab/>
            </w:r>
            <w:r w:rsidRPr="00AA4B7E">
              <w:rPr>
                <w:rStyle w:val="Hyperlink"/>
                <w:noProof/>
              </w:rPr>
              <w:t>Reassessment of Secondary Maximum Contaminant Levels</w:t>
            </w:r>
            <w:r>
              <w:rPr>
                <w:noProof/>
                <w:webHidden/>
              </w:rPr>
              <w:tab/>
            </w:r>
            <w:r>
              <w:rPr>
                <w:noProof/>
                <w:webHidden/>
              </w:rPr>
              <w:fldChar w:fldCharType="begin"/>
            </w:r>
            <w:r>
              <w:rPr>
                <w:noProof/>
                <w:webHidden/>
              </w:rPr>
              <w:instrText xml:space="preserve"> PAGEREF _Toc189048627 \h </w:instrText>
            </w:r>
            <w:r>
              <w:rPr>
                <w:noProof/>
                <w:webHidden/>
              </w:rPr>
            </w:r>
            <w:r>
              <w:rPr>
                <w:noProof/>
                <w:webHidden/>
              </w:rPr>
              <w:fldChar w:fldCharType="separate"/>
            </w:r>
            <w:r>
              <w:rPr>
                <w:noProof/>
                <w:webHidden/>
              </w:rPr>
              <w:t>110</w:t>
            </w:r>
            <w:r>
              <w:rPr>
                <w:noProof/>
                <w:webHidden/>
              </w:rPr>
              <w:fldChar w:fldCharType="end"/>
            </w:r>
          </w:hyperlink>
        </w:p>
        <w:p w14:paraId="14A6D3C6" w14:textId="51063A5B" w:rsidR="00375328" w:rsidRDefault="00375328">
          <w:pPr>
            <w:pStyle w:val="TOC2"/>
            <w:rPr>
              <w:rFonts w:asciiTheme="minorHAnsi" w:eastAsiaTheme="minorEastAsia" w:hAnsiTheme="minorHAnsi" w:cstheme="minorBidi"/>
              <w:noProof/>
              <w:kern w:val="2"/>
              <w:szCs w:val="24"/>
              <w14:ligatures w14:val="standardContextual"/>
            </w:rPr>
          </w:pPr>
          <w:hyperlink w:anchor="_Toc189048628" w:history="1">
            <w:r w:rsidRPr="00AA4B7E">
              <w:rPr>
                <w:rStyle w:val="Hyperlink"/>
                <w:noProof/>
              </w:rPr>
              <w:t>6.5</w:t>
            </w:r>
            <w:r>
              <w:rPr>
                <w:rFonts w:asciiTheme="minorHAnsi" w:eastAsiaTheme="minorEastAsia" w:hAnsiTheme="minorHAnsi" w:cstheme="minorBidi"/>
                <w:noProof/>
                <w:kern w:val="2"/>
                <w:szCs w:val="24"/>
                <w14:ligatures w14:val="standardContextual"/>
              </w:rPr>
              <w:tab/>
            </w:r>
            <w:r w:rsidRPr="00AA4B7E">
              <w:rPr>
                <w:rStyle w:val="Hyperlink"/>
                <w:noProof/>
              </w:rPr>
              <w:t>Central Valley Region 303(d) “List” and “Delist” Decisions</w:t>
            </w:r>
            <w:r>
              <w:rPr>
                <w:noProof/>
                <w:webHidden/>
              </w:rPr>
              <w:tab/>
            </w:r>
            <w:r>
              <w:rPr>
                <w:noProof/>
                <w:webHidden/>
              </w:rPr>
              <w:fldChar w:fldCharType="begin"/>
            </w:r>
            <w:r>
              <w:rPr>
                <w:noProof/>
                <w:webHidden/>
              </w:rPr>
              <w:instrText xml:space="preserve"> PAGEREF _Toc189048628 \h </w:instrText>
            </w:r>
            <w:r>
              <w:rPr>
                <w:noProof/>
                <w:webHidden/>
              </w:rPr>
            </w:r>
            <w:r>
              <w:rPr>
                <w:noProof/>
                <w:webHidden/>
              </w:rPr>
              <w:fldChar w:fldCharType="separate"/>
            </w:r>
            <w:r>
              <w:rPr>
                <w:noProof/>
                <w:webHidden/>
              </w:rPr>
              <w:t>112</w:t>
            </w:r>
            <w:r>
              <w:rPr>
                <w:noProof/>
                <w:webHidden/>
              </w:rPr>
              <w:fldChar w:fldCharType="end"/>
            </w:r>
          </w:hyperlink>
        </w:p>
        <w:p w14:paraId="5F170042" w14:textId="625D9168" w:rsidR="00375328" w:rsidRDefault="00375328">
          <w:pPr>
            <w:pStyle w:val="TOC2"/>
            <w:rPr>
              <w:rFonts w:asciiTheme="minorHAnsi" w:eastAsiaTheme="minorEastAsia" w:hAnsiTheme="minorHAnsi" w:cstheme="minorBidi"/>
              <w:noProof/>
              <w:kern w:val="2"/>
              <w:szCs w:val="24"/>
              <w14:ligatures w14:val="standardContextual"/>
            </w:rPr>
          </w:pPr>
          <w:hyperlink w:anchor="_Toc189048629" w:history="1">
            <w:r w:rsidRPr="00AA4B7E">
              <w:rPr>
                <w:rStyle w:val="Hyperlink"/>
                <w:noProof/>
              </w:rPr>
              <w:t>6.6</w:t>
            </w:r>
            <w:r>
              <w:rPr>
                <w:rFonts w:asciiTheme="minorHAnsi" w:eastAsiaTheme="minorEastAsia" w:hAnsiTheme="minorHAnsi" w:cstheme="minorBidi"/>
                <w:noProof/>
                <w:kern w:val="2"/>
                <w:szCs w:val="24"/>
                <w14:ligatures w14:val="standardContextual"/>
              </w:rPr>
              <w:tab/>
            </w:r>
            <w:r w:rsidRPr="00AA4B7E">
              <w:rPr>
                <w:rStyle w:val="Hyperlink"/>
                <w:noProof/>
              </w:rPr>
              <w:t>Central Valley Prioritization of TMDLs and Other Efforts to Address Impaired Waters</w:t>
            </w:r>
            <w:r>
              <w:rPr>
                <w:noProof/>
                <w:webHidden/>
              </w:rPr>
              <w:tab/>
            </w:r>
            <w:r>
              <w:rPr>
                <w:noProof/>
                <w:webHidden/>
              </w:rPr>
              <w:fldChar w:fldCharType="begin"/>
            </w:r>
            <w:r>
              <w:rPr>
                <w:noProof/>
                <w:webHidden/>
              </w:rPr>
              <w:instrText xml:space="preserve"> PAGEREF _Toc189048629 \h </w:instrText>
            </w:r>
            <w:r>
              <w:rPr>
                <w:noProof/>
                <w:webHidden/>
              </w:rPr>
            </w:r>
            <w:r>
              <w:rPr>
                <w:noProof/>
                <w:webHidden/>
              </w:rPr>
              <w:fldChar w:fldCharType="separate"/>
            </w:r>
            <w:r>
              <w:rPr>
                <w:noProof/>
                <w:webHidden/>
              </w:rPr>
              <w:t>114</w:t>
            </w:r>
            <w:r>
              <w:rPr>
                <w:noProof/>
                <w:webHidden/>
              </w:rPr>
              <w:fldChar w:fldCharType="end"/>
            </w:r>
          </w:hyperlink>
        </w:p>
        <w:p w14:paraId="1071E010" w14:textId="52A431F5" w:rsidR="00375328" w:rsidRDefault="00375328">
          <w:pPr>
            <w:pStyle w:val="TOC1"/>
            <w:rPr>
              <w:rFonts w:asciiTheme="minorHAnsi" w:eastAsiaTheme="minorEastAsia" w:hAnsiTheme="minorHAnsi" w:cstheme="minorBidi"/>
              <w:noProof/>
              <w:kern w:val="2"/>
              <w:szCs w:val="24"/>
              <w14:ligatures w14:val="standardContextual"/>
            </w:rPr>
          </w:pPr>
          <w:hyperlink w:anchor="_Toc189048630" w:history="1">
            <w:r w:rsidRPr="00AA4B7E">
              <w:rPr>
                <w:rStyle w:val="Hyperlink"/>
                <w:noProof/>
              </w:rPr>
              <w:t>7</w:t>
            </w:r>
            <w:r>
              <w:rPr>
                <w:rFonts w:asciiTheme="minorHAnsi" w:eastAsiaTheme="minorEastAsia" w:hAnsiTheme="minorHAnsi" w:cstheme="minorBidi"/>
                <w:noProof/>
                <w:kern w:val="2"/>
                <w:szCs w:val="24"/>
                <w14:ligatures w14:val="standardContextual"/>
              </w:rPr>
              <w:tab/>
            </w:r>
            <w:r w:rsidRPr="00AA4B7E">
              <w:rPr>
                <w:rStyle w:val="Hyperlink"/>
                <w:noProof/>
              </w:rPr>
              <w:t>Lahontan Regional Water Board</w:t>
            </w:r>
            <w:r>
              <w:rPr>
                <w:noProof/>
                <w:webHidden/>
              </w:rPr>
              <w:tab/>
            </w:r>
            <w:r>
              <w:rPr>
                <w:noProof/>
                <w:webHidden/>
              </w:rPr>
              <w:fldChar w:fldCharType="begin"/>
            </w:r>
            <w:r>
              <w:rPr>
                <w:noProof/>
                <w:webHidden/>
              </w:rPr>
              <w:instrText xml:space="preserve"> PAGEREF _Toc189048630 \h </w:instrText>
            </w:r>
            <w:r>
              <w:rPr>
                <w:noProof/>
                <w:webHidden/>
              </w:rPr>
            </w:r>
            <w:r>
              <w:rPr>
                <w:noProof/>
                <w:webHidden/>
              </w:rPr>
              <w:fldChar w:fldCharType="separate"/>
            </w:r>
            <w:r>
              <w:rPr>
                <w:noProof/>
                <w:webHidden/>
              </w:rPr>
              <w:t>115</w:t>
            </w:r>
            <w:r>
              <w:rPr>
                <w:noProof/>
                <w:webHidden/>
              </w:rPr>
              <w:fldChar w:fldCharType="end"/>
            </w:r>
          </w:hyperlink>
        </w:p>
        <w:p w14:paraId="7BAD717E" w14:textId="6CBBF499" w:rsidR="00375328" w:rsidRDefault="00375328">
          <w:pPr>
            <w:pStyle w:val="TOC2"/>
            <w:rPr>
              <w:rFonts w:asciiTheme="minorHAnsi" w:eastAsiaTheme="minorEastAsia" w:hAnsiTheme="minorHAnsi" w:cstheme="minorBidi"/>
              <w:noProof/>
              <w:kern w:val="2"/>
              <w:szCs w:val="24"/>
              <w14:ligatures w14:val="standardContextual"/>
            </w:rPr>
          </w:pPr>
          <w:hyperlink w:anchor="_Toc189048631" w:history="1">
            <w:r w:rsidRPr="00AA4B7E">
              <w:rPr>
                <w:rStyle w:val="Hyperlink"/>
                <w:noProof/>
              </w:rPr>
              <w:t>7.1</w:t>
            </w:r>
            <w:r>
              <w:rPr>
                <w:rFonts w:asciiTheme="minorHAnsi" w:eastAsiaTheme="minorEastAsia" w:hAnsiTheme="minorHAnsi" w:cstheme="minorBidi"/>
                <w:noProof/>
                <w:kern w:val="2"/>
                <w:szCs w:val="24"/>
                <w14:ligatures w14:val="standardContextual"/>
              </w:rPr>
              <w:tab/>
            </w:r>
            <w:r w:rsidRPr="00AA4B7E">
              <w:rPr>
                <w:rStyle w:val="Hyperlink"/>
                <w:noProof/>
              </w:rPr>
              <w:t>Indicator Bacteria Assessments Using Revised Bacteria Objectives</w:t>
            </w:r>
            <w:r>
              <w:rPr>
                <w:noProof/>
                <w:webHidden/>
              </w:rPr>
              <w:tab/>
            </w:r>
            <w:r>
              <w:rPr>
                <w:noProof/>
                <w:webHidden/>
              </w:rPr>
              <w:fldChar w:fldCharType="begin"/>
            </w:r>
            <w:r>
              <w:rPr>
                <w:noProof/>
                <w:webHidden/>
              </w:rPr>
              <w:instrText xml:space="preserve"> PAGEREF _Toc189048631 \h </w:instrText>
            </w:r>
            <w:r>
              <w:rPr>
                <w:noProof/>
                <w:webHidden/>
              </w:rPr>
            </w:r>
            <w:r>
              <w:rPr>
                <w:noProof/>
                <w:webHidden/>
              </w:rPr>
              <w:fldChar w:fldCharType="separate"/>
            </w:r>
            <w:r>
              <w:rPr>
                <w:noProof/>
                <w:webHidden/>
              </w:rPr>
              <w:t>115</w:t>
            </w:r>
            <w:r>
              <w:rPr>
                <w:noProof/>
                <w:webHidden/>
              </w:rPr>
              <w:fldChar w:fldCharType="end"/>
            </w:r>
          </w:hyperlink>
        </w:p>
        <w:p w14:paraId="47E7EB01" w14:textId="442FF2A5" w:rsidR="00375328" w:rsidRDefault="00375328">
          <w:pPr>
            <w:pStyle w:val="TOC2"/>
            <w:rPr>
              <w:rFonts w:asciiTheme="minorHAnsi" w:eastAsiaTheme="minorEastAsia" w:hAnsiTheme="minorHAnsi" w:cstheme="minorBidi"/>
              <w:noProof/>
              <w:kern w:val="2"/>
              <w:szCs w:val="24"/>
              <w14:ligatures w14:val="standardContextual"/>
            </w:rPr>
          </w:pPr>
          <w:hyperlink w:anchor="_Toc189048632" w:history="1">
            <w:r w:rsidRPr="00AA4B7E">
              <w:rPr>
                <w:rStyle w:val="Hyperlink"/>
                <w:noProof/>
              </w:rPr>
              <w:t>7.2</w:t>
            </w:r>
            <w:r>
              <w:rPr>
                <w:rFonts w:asciiTheme="minorHAnsi" w:eastAsiaTheme="minorEastAsia" w:hAnsiTheme="minorHAnsi" w:cstheme="minorBidi"/>
                <w:noProof/>
                <w:kern w:val="2"/>
                <w:szCs w:val="24"/>
                <w14:ligatures w14:val="standardContextual"/>
              </w:rPr>
              <w:tab/>
            </w:r>
            <w:r w:rsidRPr="00AA4B7E">
              <w:rPr>
                <w:rStyle w:val="Hyperlink"/>
                <w:noProof/>
              </w:rPr>
              <w:t>Dissolved Oxygen Using Percent Saturation</w:t>
            </w:r>
            <w:r>
              <w:rPr>
                <w:noProof/>
                <w:webHidden/>
              </w:rPr>
              <w:tab/>
            </w:r>
            <w:r>
              <w:rPr>
                <w:noProof/>
                <w:webHidden/>
              </w:rPr>
              <w:fldChar w:fldCharType="begin"/>
            </w:r>
            <w:r>
              <w:rPr>
                <w:noProof/>
                <w:webHidden/>
              </w:rPr>
              <w:instrText xml:space="preserve"> PAGEREF _Toc189048632 \h </w:instrText>
            </w:r>
            <w:r>
              <w:rPr>
                <w:noProof/>
                <w:webHidden/>
              </w:rPr>
            </w:r>
            <w:r>
              <w:rPr>
                <w:noProof/>
                <w:webHidden/>
              </w:rPr>
              <w:fldChar w:fldCharType="separate"/>
            </w:r>
            <w:r>
              <w:rPr>
                <w:noProof/>
                <w:webHidden/>
              </w:rPr>
              <w:t>116</w:t>
            </w:r>
            <w:r>
              <w:rPr>
                <w:noProof/>
                <w:webHidden/>
              </w:rPr>
              <w:fldChar w:fldCharType="end"/>
            </w:r>
          </w:hyperlink>
        </w:p>
        <w:p w14:paraId="272F6580" w14:textId="6C6676EE" w:rsidR="00375328" w:rsidRDefault="00375328">
          <w:pPr>
            <w:pStyle w:val="TOC2"/>
            <w:rPr>
              <w:rFonts w:asciiTheme="minorHAnsi" w:eastAsiaTheme="minorEastAsia" w:hAnsiTheme="minorHAnsi" w:cstheme="minorBidi"/>
              <w:noProof/>
              <w:kern w:val="2"/>
              <w:szCs w:val="24"/>
              <w14:ligatures w14:val="standardContextual"/>
            </w:rPr>
          </w:pPr>
          <w:hyperlink w:anchor="_Toc189048633" w:history="1">
            <w:r w:rsidRPr="00AA4B7E">
              <w:rPr>
                <w:rStyle w:val="Hyperlink"/>
                <w:noProof/>
              </w:rPr>
              <w:t>7.3</w:t>
            </w:r>
            <w:r>
              <w:rPr>
                <w:rFonts w:asciiTheme="minorHAnsi" w:eastAsiaTheme="minorEastAsia" w:hAnsiTheme="minorHAnsi" w:cstheme="minorBidi"/>
                <w:noProof/>
                <w:kern w:val="2"/>
                <w:szCs w:val="24"/>
                <w14:ligatures w14:val="standardContextual"/>
              </w:rPr>
              <w:tab/>
            </w:r>
            <w:r w:rsidRPr="00AA4B7E">
              <w:rPr>
                <w:rStyle w:val="Hyperlink"/>
                <w:noProof/>
              </w:rPr>
              <w:t>90</w:t>
            </w:r>
            <w:r w:rsidRPr="00AA4B7E">
              <w:rPr>
                <w:rStyle w:val="Hyperlink"/>
                <w:noProof/>
                <w:vertAlign w:val="superscript"/>
              </w:rPr>
              <w:t>th</w:t>
            </w:r>
            <w:r w:rsidRPr="00AA4B7E">
              <w:rPr>
                <w:rStyle w:val="Hyperlink"/>
                <w:noProof/>
              </w:rPr>
              <w:t xml:space="preserve"> Percentile Site Specific Objectives</w:t>
            </w:r>
            <w:r>
              <w:rPr>
                <w:noProof/>
                <w:webHidden/>
              </w:rPr>
              <w:tab/>
            </w:r>
            <w:r>
              <w:rPr>
                <w:noProof/>
                <w:webHidden/>
              </w:rPr>
              <w:fldChar w:fldCharType="begin"/>
            </w:r>
            <w:r>
              <w:rPr>
                <w:noProof/>
                <w:webHidden/>
              </w:rPr>
              <w:instrText xml:space="preserve"> PAGEREF _Toc189048633 \h </w:instrText>
            </w:r>
            <w:r>
              <w:rPr>
                <w:noProof/>
                <w:webHidden/>
              </w:rPr>
            </w:r>
            <w:r>
              <w:rPr>
                <w:noProof/>
                <w:webHidden/>
              </w:rPr>
              <w:fldChar w:fldCharType="separate"/>
            </w:r>
            <w:r>
              <w:rPr>
                <w:noProof/>
                <w:webHidden/>
              </w:rPr>
              <w:t>116</w:t>
            </w:r>
            <w:r>
              <w:rPr>
                <w:noProof/>
                <w:webHidden/>
              </w:rPr>
              <w:fldChar w:fldCharType="end"/>
            </w:r>
          </w:hyperlink>
        </w:p>
        <w:p w14:paraId="605594B3" w14:textId="0D004732" w:rsidR="00375328" w:rsidRDefault="00375328">
          <w:pPr>
            <w:pStyle w:val="TOC2"/>
            <w:rPr>
              <w:rFonts w:asciiTheme="minorHAnsi" w:eastAsiaTheme="minorEastAsia" w:hAnsiTheme="minorHAnsi" w:cstheme="minorBidi"/>
              <w:noProof/>
              <w:kern w:val="2"/>
              <w:szCs w:val="24"/>
              <w14:ligatures w14:val="standardContextual"/>
            </w:rPr>
          </w:pPr>
          <w:hyperlink w:anchor="_Toc189048634" w:history="1">
            <w:r w:rsidRPr="00AA4B7E">
              <w:rPr>
                <w:rStyle w:val="Hyperlink"/>
                <w:noProof/>
              </w:rPr>
              <w:t>7.4</w:t>
            </w:r>
            <w:r>
              <w:rPr>
                <w:rFonts w:asciiTheme="minorHAnsi" w:eastAsiaTheme="minorEastAsia" w:hAnsiTheme="minorHAnsi" w:cstheme="minorBidi"/>
                <w:noProof/>
                <w:kern w:val="2"/>
                <w:szCs w:val="24"/>
                <w14:ligatures w14:val="standardContextual"/>
              </w:rPr>
              <w:tab/>
            </w:r>
            <w:r w:rsidRPr="00AA4B7E">
              <w:rPr>
                <w:rStyle w:val="Hyperlink"/>
                <w:noProof/>
              </w:rPr>
              <w:t>Haiwee Reservoir Copper</w:t>
            </w:r>
            <w:r>
              <w:rPr>
                <w:noProof/>
                <w:webHidden/>
              </w:rPr>
              <w:tab/>
            </w:r>
            <w:r>
              <w:rPr>
                <w:noProof/>
                <w:webHidden/>
              </w:rPr>
              <w:fldChar w:fldCharType="begin"/>
            </w:r>
            <w:r>
              <w:rPr>
                <w:noProof/>
                <w:webHidden/>
              </w:rPr>
              <w:instrText xml:space="preserve"> PAGEREF _Toc189048634 \h </w:instrText>
            </w:r>
            <w:r>
              <w:rPr>
                <w:noProof/>
                <w:webHidden/>
              </w:rPr>
            </w:r>
            <w:r>
              <w:rPr>
                <w:noProof/>
                <w:webHidden/>
              </w:rPr>
              <w:fldChar w:fldCharType="separate"/>
            </w:r>
            <w:r>
              <w:rPr>
                <w:noProof/>
                <w:webHidden/>
              </w:rPr>
              <w:t>116</w:t>
            </w:r>
            <w:r>
              <w:rPr>
                <w:noProof/>
                <w:webHidden/>
              </w:rPr>
              <w:fldChar w:fldCharType="end"/>
            </w:r>
          </w:hyperlink>
        </w:p>
        <w:p w14:paraId="4E366F84" w14:textId="68E263F6" w:rsidR="00375328" w:rsidRDefault="00375328">
          <w:pPr>
            <w:pStyle w:val="TOC2"/>
            <w:rPr>
              <w:rFonts w:asciiTheme="minorHAnsi" w:eastAsiaTheme="minorEastAsia" w:hAnsiTheme="minorHAnsi" w:cstheme="minorBidi"/>
              <w:noProof/>
              <w:kern w:val="2"/>
              <w:szCs w:val="24"/>
              <w14:ligatures w14:val="standardContextual"/>
            </w:rPr>
          </w:pPr>
          <w:hyperlink w:anchor="_Toc189048635" w:history="1">
            <w:r w:rsidRPr="00AA4B7E">
              <w:rPr>
                <w:rStyle w:val="Hyperlink"/>
                <w:noProof/>
              </w:rPr>
              <w:t>7.5</w:t>
            </w:r>
            <w:r>
              <w:rPr>
                <w:rFonts w:asciiTheme="minorHAnsi" w:eastAsiaTheme="minorEastAsia" w:hAnsiTheme="minorHAnsi" w:cstheme="minorBidi"/>
                <w:noProof/>
                <w:kern w:val="2"/>
                <w:szCs w:val="24"/>
                <w14:ligatures w14:val="standardContextual"/>
              </w:rPr>
              <w:tab/>
            </w:r>
            <w:r w:rsidRPr="00AA4B7E">
              <w:rPr>
                <w:rStyle w:val="Hyperlink"/>
                <w:noProof/>
              </w:rPr>
              <w:t>Crowley Lake Mercury</w:t>
            </w:r>
            <w:r>
              <w:rPr>
                <w:noProof/>
                <w:webHidden/>
              </w:rPr>
              <w:tab/>
            </w:r>
            <w:r>
              <w:rPr>
                <w:noProof/>
                <w:webHidden/>
              </w:rPr>
              <w:fldChar w:fldCharType="begin"/>
            </w:r>
            <w:r>
              <w:rPr>
                <w:noProof/>
                <w:webHidden/>
              </w:rPr>
              <w:instrText xml:space="preserve"> PAGEREF _Toc189048635 \h </w:instrText>
            </w:r>
            <w:r>
              <w:rPr>
                <w:noProof/>
                <w:webHidden/>
              </w:rPr>
            </w:r>
            <w:r>
              <w:rPr>
                <w:noProof/>
                <w:webHidden/>
              </w:rPr>
              <w:fldChar w:fldCharType="separate"/>
            </w:r>
            <w:r>
              <w:rPr>
                <w:noProof/>
                <w:webHidden/>
              </w:rPr>
              <w:t>116</w:t>
            </w:r>
            <w:r>
              <w:rPr>
                <w:noProof/>
                <w:webHidden/>
              </w:rPr>
              <w:fldChar w:fldCharType="end"/>
            </w:r>
          </w:hyperlink>
        </w:p>
        <w:p w14:paraId="196108A7" w14:textId="21B9C805" w:rsidR="00375328" w:rsidRDefault="00375328">
          <w:pPr>
            <w:pStyle w:val="TOC2"/>
            <w:rPr>
              <w:rFonts w:asciiTheme="minorHAnsi" w:eastAsiaTheme="minorEastAsia" w:hAnsiTheme="minorHAnsi" w:cstheme="minorBidi"/>
              <w:noProof/>
              <w:kern w:val="2"/>
              <w:szCs w:val="24"/>
              <w14:ligatures w14:val="standardContextual"/>
            </w:rPr>
          </w:pPr>
          <w:hyperlink w:anchor="_Toc189048636" w:history="1">
            <w:r w:rsidRPr="00AA4B7E">
              <w:rPr>
                <w:rStyle w:val="Hyperlink"/>
                <w:noProof/>
              </w:rPr>
              <w:t>7.6</w:t>
            </w:r>
            <w:r>
              <w:rPr>
                <w:rFonts w:asciiTheme="minorHAnsi" w:eastAsiaTheme="minorEastAsia" w:hAnsiTheme="minorHAnsi" w:cstheme="minorBidi"/>
                <w:noProof/>
                <w:kern w:val="2"/>
                <w:szCs w:val="24"/>
                <w14:ligatures w14:val="standardContextual"/>
              </w:rPr>
              <w:tab/>
            </w:r>
            <w:r w:rsidRPr="00AA4B7E">
              <w:rPr>
                <w:rStyle w:val="Hyperlink"/>
                <w:noProof/>
              </w:rPr>
              <w:t>Tahoe Keys Sailing Lagoon</w:t>
            </w:r>
            <w:r>
              <w:rPr>
                <w:noProof/>
                <w:webHidden/>
              </w:rPr>
              <w:tab/>
            </w:r>
            <w:r>
              <w:rPr>
                <w:noProof/>
                <w:webHidden/>
              </w:rPr>
              <w:fldChar w:fldCharType="begin"/>
            </w:r>
            <w:r>
              <w:rPr>
                <w:noProof/>
                <w:webHidden/>
              </w:rPr>
              <w:instrText xml:space="preserve"> PAGEREF _Toc189048636 \h </w:instrText>
            </w:r>
            <w:r>
              <w:rPr>
                <w:noProof/>
                <w:webHidden/>
              </w:rPr>
            </w:r>
            <w:r>
              <w:rPr>
                <w:noProof/>
                <w:webHidden/>
              </w:rPr>
              <w:fldChar w:fldCharType="separate"/>
            </w:r>
            <w:r>
              <w:rPr>
                <w:noProof/>
                <w:webHidden/>
              </w:rPr>
              <w:t>117</w:t>
            </w:r>
            <w:r>
              <w:rPr>
                <w:noProof/>
                <w:webHidden/>
              </w:rPr>
              <w:fldChar w:fldCharType="end"/>
            </w:r>
          </w:hyperlink>
        </w:p>
        <w:p w14:paraId="3A959F26" w14:textId="3DB3814C" w:rsidR="00375328" w:rsidRDefault="00375328">
          <w:pPr>
            <w:pStyle w:val="TOC2"/>
            <w:rPr>
              <w:rFonts w:asciiTheme="minorHAnsi" w:eastAsiaTheme="minorEastAsia" w:hAnsiTheme="minorHAnsi" w:cstheme="minorBidi"/>
              <w:noProof/>
              <w:kern w:val="2"/>
              <w:szCs w:val="24"/>
              <w14:ligatures w14:val="standardContextual"/>
            </w:rPr>
          </w:pPr>
          <w:hyperlink w:anchor="_Toc189048637" w:history="1">
            <w:r w:rsidRPr="00AA4B7E">
              <w:rPr>
                <w:rStyle w:val="Hyperlink"/>
                <w:noProof/>
              </w:rPr>
              <w:t>7.7</w:t>
            </w:r>
            <w:r>
              <w:rPr>
                <w:rFonts w:asciiTheme="minorHAnsi" w:eastAsiaTheme="minorEastAsia" w:hAnsiTheme="minorHAnsi" w:cstheme="minorBidi"/>
                <w:noProof/>
                <w:kern w:val="2"/>
                <w:szCs w:val="24"/>
                <w14:ligatures w14:val="standardContextual"/>
              </w:rPr>
              <w:tab/>
            </w:r>
            <w:r w:rsidRPr="00AA4B7E">
              <w:rPr>
                <w:rStyle w:val="Hyperlink"/>
                <w:noProof/>
              </w:rPr>
              <w:t>Lahontan Regional Water Board 303(d) “List” and “Delist” Decisions</w:t>
            </w:r>
            <w:r>
              <w:rPr>
                <w:noProof/>
                <w:webHidden/>
              </w:rPr>
              <w:tab/>
            </w:r>
            <w:r>
              <w:rPr>
                <w:noProof/>
                <w:webHidden/>
              </w:rPr>
              <w:fldChar w:fldCharType="begin"/>
            </w:r>
            <w:r>
              <w:rPr>
                <w:noProof/>
                <w:webHidden/>
              </w:rPr>
              <w:instrText xml:space="preserve"> PAGEREF _Toc189048637 \h </w:instrText>
            </w:r>
            <w:r>
              <w:rPr>
                <w:noProof/>
                <w:webHidden/>
              </w:rPr>
            </w:r>
            <w:r>
              <w:rPr>
                <w:noProof/>
                <w:webHidden/>
              </w:rPr>
              <w:fldChar w:fldCharType="separate"/>
            </w:r>
            <w:r>
              <w:rPr>
                <w:noProof/>
                <w:webHidden/>
              </w:rPr>
              <w:t>117</w:t>
            </w:r>
            <w:r>
              <w:rPr>
                <w:noProof/>
                <w:webHidden/>
              </w:rPr>
              <w:fldChar w:fldCharType="end"/>
            </w:r>
          </w:hyperlink>
        </w:p>
        <w:p w14:paraId="19073C4A" w14:textId="14A318C7" w:rsidR="00375328" w:rsidRDefault="00375328">
          <w:pPr>
            <w:pStyle w:val="TOC2"/>
            <w:rPr>
              <w:rFonts w:asciiTheme="minorHAnsi" w:eastAsiaTheme="minorEastAsia" w:hAnsiTheme="minorHAnsi" w:cstheme="minorBidi"/>
              <w:noProof/>
              <w:kern w:val="2"/>
              <w:szCs w:val="24"/>
              <w14:ligatures w14:val="standardContextual"/>
            </w:rPr>
          </w:pPr>
          <w:hyperlink w:anchor="_Toc189048638" w:history="1">
            <w:r w:rsidRPr="00AA4B7E">
              <w:rPr>
                <w:rStyle w:val="Hyperlink"/>
                <w:noProof/>
              </w:rPr>
              <w:t>7.8</w:t>
            </w:r>
            <w:r>
              <w:rPr>
                <w:rFonts w:asciiTheme="minorHAnsi" w:eastAsiaTheme="minorEastAsia" w:hAnsiTheme="minorHAnsi" w:cstheme="minorBidi"/>
                <w:noProof/>
                <w:kern w:val="2"/>
                <w:szCs w:val="24"/>
                <w14:ligatures w14:val="standardContextual"/>
              </w:rPr>
              <w:tab/>
            </w:r>
            <w:r w:rsidRPr="00AA4B7E">
              <w:rPr>
                <w:rStyle w:val="Hyperlink"/>
                <w:noProof/>
              </w:rPr>
              <w:t>Lahontan Prioritization of TMDLs and Other Efforts to Address Impaired Waters</w:t>
            </w:r>
            <w:r>
              <w:rPr>
                <w:noProof/>
                <w:webHidden/>
              </w:rPr>
              <w:tab/>
            </w:r>
            <w:r>
              <w:rPr>
                <w:noProof/>
                <w:webHidden/>
              </w:rPr>
              <w:fldChar w:fldCharType="begin"/>
            </w:r>
            <w:r>
              <w:rPr>
                <w:noProof/>
                <w:webHidden/>
              </w:rPr>
              <w:instrText xml:space="preserve"> PAGEREF _Toc189048638 \h </w:instrText>
            </w:r>
            <w:r>
              <w:rPr>
                <w:noProof/>
                <w:webHidden/>
              </w:rPr>
            </w:r>
            <w:r>
              <w:rPr>
                <w:noProof/>
                <w:webHidden/>
              </w:rPr>
              <w:fldChar w:fldCharType="separate"/>
            </w:r>
            <w:r>
              <w:rPr>
                <w:noProof/>
                <w:webHidden/>
              </w:rPr>
              <w:t>119</w:t>
            </w:r>
            <w:r>
              <w:rPr>
                <w:noProof/>
                <w:webHidden/>
              </w:rPr>
              <w:fldChar w:fldCharType="end"/>
            </w:r>
          </w:hyperlink>
        </w:p>
        <w:p w14:paraId="45A0A14C" w14:textId="2CAF8B8C" w:rsidR="00375328" w:rsidRDefault="00375328">
          <w:pPr>
            <w:pStyle w:val="TOC3"/>
            <w:rPr>
              <w:rFonts w:asciiTheme="minorHAnsi" w:eastAsiaTheme="minorEastAsia" w:hAnsiTheme="minorHAnsi" w:cstheme="minorBidi"/>
              <w:noProof/>
              <w:kern w:val="2"/>
              <w:szCs w:val="24"/>
              <w14:ligatures w14:val="standardContextual"/>
            </w:rPr>
          </w:pPr>
          <w:hyperlink w:anchor="_Toc189048639" w:history="1">
            <w:r w:rsidRPr="00AA4B7E">
              <w:rPr>
                <w:rStyle w:val="Hyperlink"/>
                <w:noProof/>
              </w:rPr>
              <w:t>7.8.1</w:t>
            </w:r>
            <w:r>
              <w:rPr>
                <w:rFonts w:asciiTheme="minorHAnsi" w:eastAsiaTheme="minorEastAsia" w:hAnsiTheme="minorHAnsi" w:cstheme="minorBidi"/>
                <w:noProof/>
                <w:kern w:val="2"/>
                <w:szCs w:val="24"/>
                <w14:ligatures w14:val="standardContextual"/>
              </w:rPr>
              <w:tab/>
            </w:r>
            <w:r w:rsidRPr="00AA4B7E">
              <w:rPr>
                <w:rStyle w:val="Hyperlink"/>
                <w:noProof/>
              </w:rPr>
              <w:t>Impairments Being Addressed by 5r Determinations</w:t>
            </w:r>
            <w:r>
              <w:rPr>
                <w:noProof/>
                <w:webHidden/>
              </w:rPr>
              <w:tab/>
            </w:r>
            <w:r>
              <w:rPr>
                <w:noProof/>
                <w:webHidden/>
              </w:rPr>
              <w:fldChar w:fldCharType="begin"/>
            </w:r>
            <w:r>
              <w:rPr>
                <w:noProof/>
                <w:webHidden/>
              </w:rPr>
              <w:instrText xml:space="preserve"> PAGEREF _Toc189048639 \h </w:instrText>
            </w:r>
            <w:r>
              <w:rPr>
                <w:noProof/>
                <w:webHidden/>
              </w:rPr>
            </w:r>
            <w:r>
              <w:rPr>
                <w:noProof/>
                <w:webHidden/>
              </w:rPr>
              <w:fldChar w:fldCharType="separate"/>
            </w:r>
            <w:r>
              <w:rPr>
                <w:noProof/>
                <w:webHidden/>
              </w:rPr>
              <w:t>120</w:t>
            </w:r>
            <w:r>
              <w:rPr>
                <w:noProof/>
                <w:webHidden/>
              </w:rPr>
              <w:fldChar w:fldCharType="end"/>
            </w:r>
          </w:hyperlink>
        </w:p>
        <w:p w14:paraId="3E58C636" w14:textId="7B285C5B" w:rsidR="00375328" w:rsidRDefault="00375328">
          <w:pPr>
            <w:pStyle w:val="TOC3"/>
            <w:rPr>
              <w:rFonts w:asciiTheme="minorHAnsi" w:eastAsiaTheme="minorEastAsia" w:hAnsiTheme="minorHAnsi" w:cstheme="minorBidi"/>
              <w:noProof/>
              <w:kern w:val="2"/>
              <w:szCs w:val="24"/>
              <w14:ligatures w14:val="standardContextual"/>
            </w:rPr>
          </w:pPr>
          <w:hyperlink w:anchor="_Toc189048640" w:history="1">
            <w:r w:rsidRPr="00AA4B7E">
              <w:rPr>
                <w:rStyle w:val="Hyperlink"/>
                <w:noProof/>
              </w:rPr>
              <w:t>7.8.2</w:t>
            </w:r>
            <w:r>
              <w:rPr>
                <w:rFonts w:asciiTheme="minorHAnsi" w:eastAsiaTheme="minorEastAsia" w:hAnsiTheme="minorHAnsi" w:cstheme="minorBidi"/>
                <w:noProof/>
                <w:kern w:val="2"/>
                <w:szCs w:val="24"/>
                <w14:ligatures w14:val="standardContextual"/>
              </w:rPr>
              <w:tab/>
            </w:r>
            <w:r w:rsidRPr="00AA4B7E">
              <w:rPr>
                <w:rStyle w:val="Hyperlink"/>
                <w:noProof/>
              </w:rPr>
              <w:t>Waterbodies and/or Pollutants Not Prioritized for TMDL Development</w:t>
            </w:r>
            <w:r>
              <w:rPr>
                <w:noProof/>
                <w:webHidden/>
              </w:rPr>
              <w:tab/>
            </w:r>
            <w:r>
              <w:rPr>
                <w:noProof/>
                <w:webHidden/>
              </w:rPr>
              <w:fldChar w:fldCharType="begin"/>
            </w:r>
            <w:r>
              <w:rPr>
                <w:noProof/>
                <w:webHidden/>
              </w:rPr>
              <w:instrText xml:space="preserve"> PAGEREF _Toc189048640 \h </w:instrText>
            </w:r>
            <w:r>
              <w:rPr>
                <w:noProof/>
                <w:webHidden/>
              </w:rPr>
            </w:r>
            <w:r>
              <w:rPr>
                <w:noProof/>
                <w:webHidden/>
              </w:rPr>
              <w:fldChar w:fldCharType="separate"/>
            </w:r>
            <w:r>
              <w:rPr>
                <w:noProof/>
                <w:webHidden/>
              </w:rPr>
              <w:t>120</w:t>
            </w:r>
            <w:r>
              <w:rPr>
                <w:noProof/>
                <w:webHidden/>
              </w:rPr>
              <w:fldChar w:fldCharType="end"/>
            </w:r>
          </w:hyperlink>
        </w:p>
        <w:p w14:paraId="6EB8EB24" w14:textId="0496CF12" w:rsidR="00375328" w:rsidRDefault="00375328">
          <w:pPr>
            <w:pStyle w:val="TOC1"/>
            <w:rPr>
              <w:rFonts w:asciiTheme="minorHAnsi" w:eastAsiaTheme="minorEastAsia" w:hAnsiTheme="minorHAnsi" w:cstheme="minorBidi"/>
              <w:noProof/>
              <w:kern w:val="2"/>
              <w:szCs w:val="24"/>
              <w14:ligatures w14:val="standardContextual"/>
            </w:rPr>
          </w:pPr>
          <w:hyperlink w:anchor="_Toc189048641" w:history="1">
            <w:r w:rsidRPr="00AA4B7E">
              <w:rPr>
                <w:rStyle w:val="Hyperlink"/>
                <w:noProof/>
              </w:rPr>
              <w:t>8</w:t>
            </w:r>
            <w:r>
              <w:rPr>
                <w:rFonts w:asciiTheme="minorHAnsi" w:eastAsiaTheme="minorEastAsia" w:hAnsiTheme="minorHAnsi" w:cstheme="minorBidi"/>
                <w:noProof/>
                <w:kern w:val="2"/>
                <w:szCs w:val="24"/>
                <w14:ligatures w14:val="standardContextual"/>
              </w:rPr>
              <w:tab/>
            </w:r>
            <w:r w:rsidRPr="00AA4B7E">
              <w:rPr>
                <w:rStyle w:val="Hyperlink"/>
                <w:noProof/>
              </w:rPr>
              <w:t>Colorado River Basin Regional Water Board</w:t>
            </w:r>
            <w:r>
              <w:rPr>
                <w:noProof/>
                <w:webHidden/>
              </w:rPr>
              <w:tab/>
            </w:r>
            <w:r>
              <w:rPr>
                <w:noProof/>
                <w:webHidden/>
              </w:rPr>
              <w:fldChar w:fldCharType="begin"/>
            </w:r>
            <w:r>
              <w:rPr>
                <w:noProof/>
                <w:webHidden/>
              </w:rPr>
              <w:instrText xml:space="preserve"> PAGEREF _Toc189048641 \h </w:instrText>
            </w:r>
            <w:r>
              <w:rPr>
                <w:noProof/>
                <w:webHidden/>
              </w:rPr>
            </w:r>
            <w:r>
              <w:rPr>
                <w:noProof/>
                <w:webHidden/>
              </w:rPr>
              <w:fldChar w:fldCharType="separate"/>
            </w:r>
            <w:r>
              <w:rPr>
                <w:noProof/>
                <w:webHidden/>
              </w:rPr>
              <w:t>121</w:t>
            </w:r>
            <w:r>
              <w:rPr>
                <w:noProof/>
                <w:webHidden/>
              </w:rPr>
              <w:fldChar w:fldCharType="end"/>
            </w:r>
          </w:hyperlink>
        </w:p>
        <w:p w14:paraId="4721C900" w14:textId="06313E96" w:rsidR="00375328" w:rsidRDefault="00375328">
          <w:pPr>
            <w:pStyle w:val="TOC2"/>
            <w:rPr>
              <w:rFonts w:asciiTheme="minorHAnsi" w:eastAsiaTheme="minorEastAsia" w:hAnsiTheme="minorHAnsi" w:cstheme="minorBidi"/>
              <w:noProof/>
              <w:kern w:val="2"/>
              <w:szCs w:val="24"/>
              <w14:ligatures w14:val="standardContextual"/>
            </w:rPr>
          </w:pPr>
          <w:hyperlink w:anchor="_Toc189048642" w:history="1">
            <w:r w:rsidRPr="00AA4B7E">
              <w:rPr>
                <w:rStyle w:val="Hyperlink"/>
                <w:noProof/>
              </w:rPr>
              <w:t>8.1</w:t>
            </w:r>
            <w:r>
              <w:rPr>
                <w:rFonts w:asciiTheme="minorHAnsi" w:eastAsiaTheme="minorEastAsia" w:hAnsiTheme="minorHAnsi" w:cstheme="minorBidi"/>
                <w:noProof/>
                <w:kern w:val="2"/>
                <w:szCs w:val="24"/>
                <w14:ligatures w14:val="standardContextual"/>
              </w:rPr>
              <w:tab/>
            </w:r>
            <w:r w:rsidRPr="00AA4B7E">
              <w:rPr>
                <w:rStyle w:val="Hyperlink"/>
                <w:noProof/>
              </w:rPr>
              <w:t>Category 3 Placements Due to Controllable Factors Objectives</w:t>
            </w:r>
            <w:r>
              <w:rPr>
                <w:noProof/>
                <w:webHidden/>
              </w:rPr>
              <w:tab/>
            </w:r>
            <w:r>
              <w:rPr>
                <w:noProof/>
                <w:webHidden/>
              </w:rPr>
              <w:fldChar w:fldCharType="begin"/>
            </w:r>
            <w:r>
              <w:rPr>
                <w:noProof/>
                <w:webHidden/>
              </w:rPr>
              <w:instrText xml:space="preserve"> PAGEREF _Toc189048642 \h </w:instrText>
            </w:r>
            <w:r>
              <w:rPr>
                <w:noProof/>
                <w:webHidden/>
              </w:rPr>
            </w:r>
            <w:r>
              <w:rPr>
                <w:noProof/>
                <w:webHidden/>
              </w:rPr>
              <w:fldChar w:fldCharType="separate"/>
            </w:r>
            <w:r>
              <w:rPr>
                <w:noProof/>
                <w:webHidden/>
              </w:rPr>
              <w:t>121</w:t>
            </w:r>
            <w:r>
              <w:rPr>
                <w:noProof/>
                <w:webHidden/>
              </w:rPr>
              <w:fldChar w:fldCharType="end"/>
            </w:r>
          </w:hyperlink>
        </w:p>
        <w:p w14:paraId="7628E7D4" w14:textId="6EE50D5B" w:rsidR="00375328" w:rsidRDefault="00375328">
          <w:pPr>
            <w:pStyle w:val="TOC2"/>
            <w:rPr>
              <w:rFonts w:asciiTheme="minorHAnsi" w:eastAsiaTheme="minorEastAsia" w:hAnsiTheme="minorHAnsi" w:cstheme="minorBidi"/>
              <w:noProof/>
              <w:kern w:val="2"/>
              <w:szCs w:val="24"/>
              <w14:ligatures w14:val="standardContextual"/>
            </w:rPr>
          </w:pPr>
          <w:hyperlink w:anchor="_Toc189048643" w:history="1">
            <w:r w:rsidRPr="00AA4B7E">
              <w:rPr>
                <w:rStyle w:val="Hyperlink"/>
                <w:noProof/>
              </w:rPr>
              <w:t>8.2</w:t>
            </w:r>
            <w:r>
              <w:rPr>
                <w:rFonts w:asciiTheme="minorHAnsi" w:eastAsiaTheme="minorEastAsia" w:hAnsiTheme="minorHAnsi" w:cstheme="minorBidi"/>
                <w:noProof/>
                <w:kern w:val="2"/>
                <w:szCs w:val="24"/>
                <w14:ligatures w14:val="standardContextual"/>
              </w:rPr>
              <w:tab/>
            </w:r>
            <w:r w:rsidRPr="00AA4B7E">
              <w:rPr>
                <w:rStyle w:val="Hyperlink"/>
                <w:noProof/>
              </w:rPr>
              <w:t>Colorado River Basin Regional Water Board 303(d) “List” and “Delist” Decisions</w:t>
            </w:r>
            <w:r>
              <w:rPr>
                <w:noProof/>
                <w:webHidden/>
              </w:rPr>
              <w:tab/>
            </w:r>
            <w:r>
              <w:rPr>
                <w:noProof/>
                <w:webHidden/>
              </w:rPr>
              <w:fldChar w:fldCharType="begin"/>
            </w:r>
            <w:r>
              <w:rPr>
                <w:noProof/>
                <w:webHidden/>
              </w:rPr>
              <w:instrText xml:space="preserve"> PAGEREF _Toc189048643 \h </w:instrText>
            </w:r>
            <w:r>
              <w:rPr>
                <w:noProof/>
                <w:webHidden/>
              </w:rPr>
            </w:r>
            <w:r>
              <w:rPr>
                <w:noProof/>
                <w:webHidden/>
              </w:rPr>
              <w:fldChar w:fldCharType="separate"/>
            </w:r>
            <w:r>
              <w:rPr>
                <w:noProof/>
                <w:webHidden/>
              </w:rPr>
              <w:t>121</w:t>
            </w:r>
            <w:r>
              <w:rPr>
                <w:noProof/>
                <w:webHidden/>
              </w:rPr>
              <w:fldChar w:fldCharType="end"/>
            </w:r>
          </w:hyperlink>
        </w:p>
        <w:p w14:paraId="1A52A043" w14:textId="61A5BD1F" w:rsidR="00375328" w:rsidRDefault="00375328">
          <w:pPr>
            <w:pStyle w:val="TOC2"/>
            <w:rPr>
              <w:rFonts w:asciiTheme="minorHAnsi" w:eastAsiaTheme="minorEastAsia" w:hAnsiTheme="minorHAnsi" w:cstheme="minorBidi"/>
              <w:noProof/>
              <w:kern w:val="2"/>
              <w:szCs w:val="24"/>
              <w14:ligatures w14:val="standardContextual"/>
            </w:rPr>
          </w:pPr>
          <w:hyperlink w:anchor="_Toc189048644" w:history="1">
            <w:r w:rsidRPr="00AA4B7E">
              <w:rPr>
                <w:rStyle w:val="Hyperlink"/>
                <w:noProof/>
              </w:rPr>
              <w:t>8.3</w:t>
            </w:r>
            <w:r>
              <w:rPr>
                <w:rFonts w:asciiTheme="minorHAnsi" w:eastAsiaTheme="minorEastAsia" w:hAnsiTheme="minorHAnsi" w:cstheme="minorBidi"/>
                <w:noProof/>
                <w:kern w:val="2"/>
                <w:szCs w:val="24"/>
                <w14:ligatures w14:val="standardContextual"/>
              </w:rPr>
              <w:tab/>
            </w:r>
            <w:r w:rsidRPr="00AA4B7E">
              <w:rPr>
                <w:rStyle w:val="Hyperlink"/>
                <w:noProof/>
              </w:rPr>
              <w:t>Colorado River Basin Prioritization of TMDLs and Other Efforts to Address Impaired Waters</w:t>
            </w:r>
            <w:r>
              <w:rPr>
                <w:noProof/>
                <w:webHidden/>
              </w:rPr>
              <w:tab/>
            </w:r>
            <w:r>
              <w:rPr>
                <w:noProof/>
                <w:webHidden/>
              </w:rPr>
              <w:fldChar w:fldCharType="begin"/>
            </w:r>
            <w:r>
              <w:rPr>
                <w:noProof/>
                <w:webHidden/>
              </w:rPr>
              <w:instrText xml:space="preserve"> PAGEREF _Toc189048644 \h </w:instrText>
            </w:r>
            <w:r>
              <w:rPr>
                <w:noProof/>
                <w:webHidden/>
              </w:rPr>
            </w:r>
            <w:r>
              <w:rPr>
                <w:noProof/>
                <w:webHidden/>
              </w:rPr>
              <w:fldChar w:fldCharType="separate"/>
            </w:r>
            <w:r>
              <w:rPr>
                <w:noProof/>
                <w:webHidden/>
              </w:rPr>
              <w:t>123</w:t>
            </w:r>
            <w:r>
              <w:rPr>
                <w:noProof/>
                <w:webHidden/>
              </w:rPr>
              <w:fldChar w:fldCharType="end"/>
            </w:r>
          </w:hyperlink>
        </w:p>
        <w:p w14:paraId="6EDAE1B6" w14:textId="7A1DC22D" w:rsidR="00375328" w:rsidRDefault="00375328">
          <w:pPr>
            <w:pStyle w:val="TOC1"/>
            <w:rPr>
              <w:rFonts w:asciiTheme="minorHAnsi" w:eastAsiaTheme="minorEastAsia" w:hAnsiTheme="minorHAnsi" w:cstheme="minorBidi"/>
              <w:noProof/>
              <w:kern w:val="2"/>
              <w:szCs w:val="24"/>
              <w14:ligatures w14:val="standardContextual"/>
            </w:rPr>
          </w:pPr>
          <w:hyperlink w:anchor="_Toc189048645" w:history="1">
            <w:r w:rsidRPr="00AA4B7E">
              <w:rPr>
                <w:rStyle w:val="Hyperlink"/>
                <w:noProof/>
              </w:rPr>
              <w:t>9</w:t>
            </w:r>
            <w:r>
              <w:rPr>
                <w:rFonts w:asciiTheme="minorHAnsi" w:eastAsiaTheme="minorEastAsia" w:hAnsiTheme="minorHAnsi" w:cstheme="minorBidi"/>
                <w:noProof/>
                <w:kern w:val="2"/>
                <w:szCs w:val="24"/>
                <w14:ligatures w14:val="standardContextual"/>
              </w:rPr>
              <w:tab/>
            </w:r>
            <w:r w:rsidRPr="00AA4B7E">
              <w:rPr>
                <w:rStyle w:val="Hyperlink"/>
                <w:noProof/>
              </w:rPr>
              <w:t>San Diego Regional Water Board</w:t>
            </w:r>
            <w:r>
              <w:rPr>
                <w:noProof/>
                <w:webHidden/>
              </w:rPr>
              <w:tab/>
            </w:r>
            <w:r>
              <w:rPr>
                <w:noProof/>
                <w:webHidden/>
              </w:rPr>
              <w:fldChar w:fldCharType="begin"/>
            </w:r>
            <w:r>
              <w:rPr>
                <w:noProof/>
                <w:webHidden/>
              </w:rPr>
              <w:instrText xml:space="preserve"> PAGEREF _Toc189048645 \h </w:instrText>
            </w:r>
            <w:r>
              <w:rPr>
                <w:noProof/>
                <w:webHidden/>
              </w:rPr>
            </w:r>
            <w:r>
              <w:rPr>
                <w:noProof/>
                <w:webHidden/>
              </w:rPr>
              <w:fldChar w:fldCharType="separate"/>
            </w:r>
            <w:r>
              <w:rPr>
                <w:noProof/>
                <w:webHidden/>
              </w:rPr>
              <w:t>123</w:t>
            </w:r>
            <w:r>
              <w:rPr>
                <w:noProof/>
                <w:webHidden/>
              </w:rPr>
              <w:fldChar w:fldCharType="end"/>
            </w:r>
          </w:hyperlink>
        </w:p>
        <w:p w14:paraId="5E11E5DF" w14:textId="7D8371E5" w:rsidR="00375328" w:rsidRDefault="00375328">
          <w:pPr>
            <w:pStyle w:val="TOC2"/>
            <w:rPr>
              <w:rFonts w:asciiTheme="minorHAnsi" w:eastAsiaTheme="minorEastAsia" w:hAnsiTheme="minorHAnsi" w:cstheme="minorBidi"/>
              <w:noProof/>
              <w:kern w:val="2"/>
              <w:szCs w:val="24"/>
              <w14:ligatures w14:val="standardContextual"/>
            </w:rPr>
          </w:pPr>
          <w:hyperlink w:anchor="_Toc189048646" w:history="1">
            <w:r w:rsidRPr="00AA4B7E">
              <w:rPr>
                <w:rStyle w:val="Hyperlink"/>
                <w:noProof/>
              </w:rPr>
              <w:t>9.1</w:t>
            </w:r>
            <w:r>
              <w:rPr>
                <w:rFonts w:asciiTheme="minorHAnsi" w:eastAsiaTheme="minorEastAsia" w:hAnsiTheme="minorHAnsi" w:cstheme="minorBidi"/>
                <w:noProof/>
                <w:kern w:val="2"/>
                <w:szCs w:val="24"/>
                <w14:ligatures w14:val="standardContextual"/>
              </w:rPr>
              <w:tab/>
            </w:r>
            <w:r w:rsidRPr="00AA4B7E">
              <w:rPr>
                <w:rStyle w:val="Hyperlink"/>
                <w:noProof/>
              </w:rPr>
              <w:t>Selenium Reassessments</w:t>
            </w:r>
            <w:r>
              <w:rPr>
                <w:noProof/>
                <w:webHidden/>
              </w:rPr>
              <w:tab/>
            </w:r>
            <w:r>
              <w:rPr>
                <w:noProof/>
                <w:webHidden/>
              </w:rPr>
              <w:fldChar w:fldCharType="begin"/>
            </w:r>
            <w:r>
              <w:rPr>
                <w:noProof/>
                <w:webHidden/>
              </w:rPr>
              <w:instrText xml:space="preserve"> PAGEREF _Toc189048646 \h </w:instrText>
            </w:r>
            <w:r>
              <w:rPr>
                <w:noProof/>
                <w:webHidden/>
              </w:rPr>
            </w:r>
            <w:r>
              <w:rPr>
                <w:noProof/>
                <w:webHidden/>
              </w:rPr>
              <w:fldChar w:fldCharType="separate"/>
            </w:r>
            <w:r>
              <w:rPr>
                <w:noProof/>
                <w:webHidden/>
              </w:rPr>
              <w:t>124</w:t>
            </w:r>
            <w:r>
              <w:rPr>
                <w:noProof/>
                <w:webHidden/>
              </w:rPr>
              <w:fldChar w:fldCharType="end"/>
            </w:r>
          </w:hyperlink>
        </w:p>
        <w:p w14:paraId="6FAC856F" w14:textId="277A246A" w:rsidR="00375328" w:rsidRDefault="00375328">
          <w:pPr>
            <w:pStyle w:val="TOC2"/>
            <w:rPr>
              <w:rFonts w:asciiTheme="minorHAnsi" w:eastAsiaTheme="minorEastAsia" w:hAnsiTheme="minorHAnsi" w:cstheme="minorBidi"/>
              <w:noProof/>
              <w:kern w:val="2"/>
              <w:szCs w:val="24"/>
              <w14:ligatures w14:val="standardContextual"/>
            </w:rPr>
          </w:pPr>
          <w:hyperlink w:anchor="_Toc189048647" w:history="1">
            <w:r w:rsidRPr="00AA4B7E">
              <w:rPr>
                <w:rStyle w:val="Hyperlink"/>
                <w:noProof/>
              </w:rPr>
              <w:t>9.2</w:t>
            </w:r>
            <w:r>
              <w:rPr>
                <w:rFonts w:asciiTheme="minorHAnsi" w:eastAsiaTheme="minorEastAsia" w:hAnsiTheme="minorHAnsi" w:cstheme="minorBidi"/>
                <w:noProof/>
                <w:kern w:val="2"/>
                <w:szCs w:val="24"/>
                <w14:ligatures w14:val="standardContextual"/>
              </w:rPr>
              <w:tab/>
            </w:r>
            <w:r w:rsidRPr="00AA4B7E">
              <w:rPr>
                <w:rStyle w:val="Hyperlink"/>
                <w:noProof/>
              </w:rPr>
              <w:t>Mapping Adjustments</w:t>
            </w:r>
            <w:r>
              <w:rPr>
                <w:noProof/>
                <w:webHidden/>
              </w:rPr>
              <w:tab/>
            </w:r>
            <w:r>
              <w:rPr>
                <w:noProof/>
                <w:webHidden/>
              </w:rPr>
              <w:fldChar w:fldCharType="begin"/>
            </w:r>
            <w:r>
              <w:rPr>
                <w:noProof/>
                <w:webHidden/>
              </w:rPr>
              <w:instrText xml:space="preserve"> PAGEREF _Toc189048647 \h </w:instrText>
            </w:r>
            <w:r>
              <w:rPr>
                <w:noProof/>
                <w:webHidden/>
              </w:rPr>
            </w:r>
            <w:r>
              <w:rPr>
                <w:noProof/>
                <w:webHidden/>
              </w:rPr>
              <w:fldChar w:fldCharType="separate"/>
            </w:r>
            <w:r>
              <w:rPr>
                <w:noProof/>
                <w:webHidden/>
              </w:rPr>
              <w:t>124</w:t>
            </w:r>
            <w:r>
              <w:rPr>
                <w:noProof/>
                <w:webHidden/>
              </w:rPr>
              <w:fldChar w:fldCharType="end"/>
            </w:r>
          </w:hyperlink>
        </w:p>
        <w:p w14:paraId="4887E2F8" w14:textId="6C30B995" w:rsidR="00375328" w:rsidRDefault="00375328">
          <w:pPr>
            <w:pStyle w:val="TOC2"/>
            <w:rPr>
              <w:rFonts w:asciiTheme="minorHAnsi" w:eastAsiaTheme="minorEastAsia" w:hAnsiTheme="minorHAnsi" w:cstheme="minorBidi"/>
              <w:noProof/>
              <w:kern w:val="2"/>
              <w:szCs w:val="24"/>
              <w14:ligatures w14:val="standardContextual"/>
            </w:rPr>
          </w:pPr>
          <w:hyperlink w:anchor="_Toc189048648" w:history="1">
            <w:r w:rsidRPr="00AA4B7E">
              <w:rPr>
                <w:rStyle w:val="Hyperlink"/>
                <w:noProof/>
              </w:rPr>
              <w:t>9.3</w:t>
            </w:r>
            <w:r>
              <w:rPr>
                <w:rFonts w:asciiTheme="minorHAnsi" w:eastAsiaTheme="minorEastAsia" w:hAnsiTheme="minorHAnsi" w:cstheme="minorBidi"/>
                <w:noProof/>
                <w:kern w:val="2"/>
                <w:szCs w:val="24"/>
                <w14:ligatures w14:val="standardContextual"/>
              </w:rPr>
              <w:tab/>
            </w:r>
            <w:r w:rsidRPr="00AA4B7E">
              <w:rPr>
                <w:rStyle w:val="Hyperlink"/>
                <w:noProof/>
              </w:rPr>
              <w:t>Decision Updates</w:t>
            </w:r>
            <w:r>
              <w:rPr>
                <w:noProof/>
                <w:webHidden/>
              </w:rPr>
              <w:tab/>
            </w:r>
            <w:r>
              <w:rPr>
                <w:noProof/>
                <w:webHidden/>
              </w:rPr>
              <w:fldChar w:fldCharType="begin"/>
            </w:r>
            <w:r>
              <w:rPr>
                <w:noProof/>
                <w:webHidden/>
              </w:rPr>
              <w:instrText xml:space="preserve"> PAGEREF _Toc189048648 \h </w:instrText>
            </w:r>
            <w:r>
              <w:rPr>
                <w:noProof/>
                <w:webHidden/>
              </w:rPr>
            </w:r>
            <w:r>
              <w:rPr>
                <w:noProof/>
                <w:webHidden/>
              </w:rPr>
              <w:fldChar w:fldCharType="separate"/>
            </w:r>
            <w:r>
              <w:rPr>
                <w:noProof/>
                <w:webHidden/>
              </w:rPr>
              <w:t>124</w:t>
            </w:r>
            <w:r>
              <w:rPr>
                <w:noProof/>
                <w:webHidden/>
              </w:rPr>
              <w:fldChar w:fldCharType="end"/>
            </w:r>
          </w:hyperlink>
        </w:p>
        <w:p w14:paraId="201B1073" w14:textId="20C28584" w:rsidR="00375328" w:rsidRDefault="00375328">
          <w:pPr>
            <w:pStyle w:val="TOC2"/>
            <w:rPr>
              <w:rFonts w:asciiTheme="minorHAnsi" w:eastAsiaTheme="minorEastAsia" w:hAnsiTheme="minorHAnsi" w:cstheme="minorBidi"/>
              <w:noProof/>
              <w:kern w:val="2"/>
              <w:szCs w:val="24"/>
              <w14:ligatures w14:val="standardContextual"/>
            </w:rPr>
          </w:pPr>
          <w:hyperlink w:anchor="_Toc189048649" w:history="1">
            <w:r w:rsidRPr="00AA4B7E">
              <w:rPr>
                <w:rStyle w:val="Hyperlink"/>
                <w:noProof/>
              </w:rPr>
              <w:t>9.4</w:t>
            </w:r>
            <w:r>
              <w:rPr>
                <w:rFonts w:asciiTheme="minorHAnsi" w:eastAsiaTheme="minorEastAsia" w:hAnsiTheme="minorHAnsi" w:cstheme="minorBidi"/>
                <w:noProof/>
                <w:kern w:val="2"/>
                <w:szCs w:val="24"/>
                <w14:ligatures w14:val="standardContextual"/>
              </w:rPr>
              <w:tab/>
            </w:r>
            <w:r w:rsidRPr="00AA4B7E">
              <w:rPr>
                <w:rStyle w:val="Hyperlink"/>
                <w:noProof/>
              </w:rPr>
              <w:t>San Diego Regional Water Board 303(d) “List” and “Delist” Decisions</w:t>
            </w:r>
            <w:r>
              <w:rPr>
                <w:noProof/>
                <w:webHidden/>
              </w:rPr>
              <w:tab/>
            </w:r>
            <w:r>
              <w:rPr>
                <w:noProof/>
                <w:webHidden/>
              </w:rPr>
              <w:fldChar w:fldCharType="begin"/>
            </w:r>
            <w:r>
              <w:rPr>
                <w:noProof/>
                <w:webHidden/>
              </w:rPr>
              <w:instrText xml:space="preserve"> PAGEREF _Toc189048649 \h </w:instrText>
            </w:r>
            <w:r>
              <w:rPr>
                <w:noProof/>
                <w:webHidden/>
              </w:rPr>
            </w:r>
            <w:r>
              <w:rPr>
                <w:noProof/>
                <w:webHidden/>
              </w:rPr>
              <w:fldChar w:fldCharType="separate"/>
            </w:r>
            <w:r>
              <w:rPr>
                <w:noProof/>
                <w:webHidden/>
              </w:rPr>
              <w:t>125</w:t>
            </w:r>
            <w:r>
              <w:rPr>
                <w:noProof/>
                <w:webHidden/>
              </w:rPr>
              <w:fldChar w:fldCharType="end"/>
            </w:r>
          </w:hyperlink>
        </w:p>
        <w:p w14:paraId="4952C2C6" w14:textId="73AFFD15" w:rsidR="00375328" w:rsidRDefault="00375328">
          <w:pPr>
            <w:pStyle w:val="TOC1"/>
            <w:rPr>
              <w:rFonts w:asciiTheme="minorHAnsi" w:eastAsiaTheme="minorEastAsia" w:hAnsiTheme="minorHAnsi" w:cstheme="minorBidi"/>
              <w:noProof/>
              <w:kern w:val="2"/>
              <w:szCs w:val="24"/>
              <w14:ligatures w14:val="standardContextual"/>
            </w:rPr>
          </w:pPr>
          <w:hyperlink w:anchor="_Toc189048650" w:history="1">
            <w:r w:rsidRPr="00AA4B7E">
              <w:rPr>
                <w:rStyle w:val="Hyperlink"/>
                <w:noProof/>
              </w:rPr>
              <w:t>10</w:t>
            </w:r>
            <w:r>
              <w:rPr>
                <w:rFonts w:asciiTheme="minorHAnsi" w:eastAsiaTheme="minorEastAsia" w:hAnsiTheme="minorHAnsi" w:cstheme="minorBidi"/>
                <w:noProof/>
                <w:kern w:val="2"/>
                <w:szCs w:val="24"/>
                <w14:ligatures w14:val="standardContextual"/>
              </w:rPr>
              <w:tab/>
            </w:r>
            <w:r w:rsidRPr="00AA4B7E">
              <w:rPr>
                <w:rStyle w:val="Hyperlink"/>
                <w:noProof/>
              </w:rPr>
              <w:t>California’s 2026 303(d) List</w:t>
            </w:r>
            <w:r>
              <w:rPr>
                <w:noProof/>
                <w:webHidden/>
              </w:rPr>
              <w:tab/>
            </w:r>
            <w:r>
              <w:rPr>
                <w:noProof/>
                <w:webHidden/>
              </w:rPr>
              <w:fldChar w:fldCharType="begin"/>
            </w:r>
            <w:r>
              <w:rPr>
                <w:noProof/>
                <w:webHidden/>
              </w:rPr>
              <w:instrText xml:space="preserve"> PAGEREF _Toc189048650 \h </w:instrText>
            </w:r>
            <w:r>
              <w:rPr>
                <w:noProof/>
                <w:webHidden/>
              </w:rPr>
            </w:r>
            <w:r>
              <w:rPr>
                <w:noProof/>
                <w:webHidden/>
              </w:rPr>
              <w:fldChar w:fldCharType="separate"/>
            </w:r>
            <w:r>
              <w:rPr>
                <w:noProof/>
                <w:webHidden/>
              </w:rPr>
              <w:t>126</w:t>
            </w:r>
            <w:r>
              <w:rPr>
                <w:noProof/>
                <w:webHidden/>
              </w:rPr>
              <w:fldChar w:fldCharType="end"/>
            </w:r>
          </w:hyperlink>
        </w:p>
        <w:p w14:paraId="07070C36" w14:textId="3F19AD07" w:rsidR="00375328" w:rsidRDefault="00375328">
          <w:pPr>
            <w:pStyle w:val="TOC1"/>
            <w:rPr>
              <w:rFonts w:asciiTheme="minorHAnsi" w:eastAsiaTheme="minorEastAsia" w:hAnsiTheme="minorHAnsi" w:cstheme="minorBidi"/>
              <w:noProof/>
              <w:kern w:val="2"/>
              <w:szCs w:val="24"/>
              <w14:ligatures w14:val="standardContextual"/>
            </w:rPr>
          </w:pPr>
          <w:hyperlink w:anchor="_Toc189048651" w:history="1">
            <w:r w:rsidRPr="00AA4B7E">
              <w:rPr>
                <w:rStyle w:val="Hyperlink"/>
                <w:noProof/>
              </w:rPr>
              <w:t>11</w:t>
            </w:r>
            <w:r>
              <w:rPr>
                <w:rFonts w:asciiTheme="minorHAnsi" w:eastAsiaTheme="minorEastAsia" w:hAnsiTheme="minorHAnsi" w:cstheme="minorBidi"/>
                <w:noProof/>
                <w:kern w:val="2"/>
                <w:szCs w:val="24"/>
                <w14:ligatures w14:val="standardContextual"/>
              </w:rPr>
              <w:tab/>
            </w:r>
            <w:r w:rsidRPr="00AA4B7E">
              <w:rPr>
                <w:rStyle w:val="Hyperlink"/>
                <w:noProof/>
              </w:rPr>
              <w:t>California’s 305(b) Integrated Report Condition Categories</w:t>
            </w:r>
            <w:r>
              <w:rPr>
                <w:noProof/>
                <w:webHidden/>
              </w:rPr>
              <w:tab/>
            </w:r>
            <w:r>
              <w:rPr>
                <w:noProof/>
                <w:webHidden/>
              </w:rPr>
              <w:fldChar w:fldCharType="begin"/>
            </w:r>
            <w:r>
              <w:rPr>
                <w:noProof/>
                <w:webHidden/>
              </w:rPr>
              <w:instrText xml:space="preserve"> PAGEREF _Toc189048651 \h </w:instrText>
            </w:r>
            <w:r>
              <w:rPr>
                <w:noProof/>
                <w:webHidden/>
              </w:rPr>
            </w:r>
            <w:r>
              <w:rPr>
                <w:noProof/>
                <w:webHidden/>
              </w:rPr>
              <w:fldChar w:fldCharType="separate"/>
            </w:r>
            <w:r>
              <w:rPr>
                <w:noProof/>
                <w:webHidden/>
              </w:rPr>
              <w:t>127</w:t>
            </w:r>
            <w:r>
              <w:rPr>
                <w:noProof/>
                <w:webHidden/>
              </w:rPr>
              <w:fldChar w:fldCharType="end"/>
            </w:r>
          </w:hyperlink>
        </w:p>
        <w:p w14:paraId="346C24C5" w14:textId="40D9F0A9" w:rsidR="00375328" w:rsidRDefault="00375328">
          <w:pPr>
            <w:pStyle w:val="TOC1"/>
            <w:rPr>
              <w:rFonts w:asciiTheme="minorHAnsi" w:eastAsiaTheme="minorEastAsia" w:hAnsiTheme="minorHAnsi" w:cstheme="minorBidi"/>
              <w:noProof/>
              <w:kern w:val="2"/>
              <w:szCs w:val="24"/>
              <w14:ligatures w14:val="standardContextual"/>
            </w:rPr>
          </w:pPr>
          <w:hyperlink w:anchor="_Toc189048652" w:history="1">
            <w:r w:rsidRPr="00AA4B7E">
              <w:rPr>
                <w:rStyle w:val="Hyperlink"/>
                <w:noProof/>
              </w:rPr>
              <w:t>12</w:t>
            </w:r>
            <w:r>
              <w:rPr>
                <w:rFonts w:asciiTheme="minorHAnsi" w:eastAsiaTheme="minorEastAsia" w:hAnsiTheme="minorHAnsi" w:cstheme="minorBidi"/>
                <w:noProof/>
                <w:kern w:val="2"/>
                <w:szCs w:val="24"/>
                <w14:ligatures w14:val="standardContextual"/>
              </w:rPr>
              <w:tab/>
            </w:r>
            <w:r w:rsidRPr="00AA4B7E">
              <w:rPr>
                <w:rStyle w:val="Hyperlink"/>
                <w:noProof/>
              </w:rPr>
              <w:t>References</w:t>
            </w:r>
            <w:r>
              <w:rPr>
                <w:noProof/>
                <w:webHidden/>
              </w:rPr>
              <w:tab/>
            </w:r>
            <w:r>
              <w:rPr>
                <w:noProof/>
                <w:webHidden/>
              </w:rPr>
              <w:fldChar w:fldCharType="begin"/>
            </w:r>
            <w:r>
              <w:rPr>
                <w:noProof/>
                <w:webHidden/>
              </w:rPr>
              <w:instrText xml:space="preserve"> PAGEREF _Toc189048652 \h </w:instrText>
            </w:r>
            <w:r>
              <w:rPr>
                <w:noProof/>
                <w:webHidden/>
              </w:rPr>
            </w:r>
            <w:r>
              <w:rPr>
                <w:noProof/>
                <w:webHidden/>
              </w:rPr>
              <w:fldChar w:fldCharType="separate"/>
            </w:r>
            <w:r>
              <w:rPr>
                <w:noProof/>
                <w:webHidden/>
              </w:rPr>
              <w:t>130</w:t>
            </w:r>
            <w:r>
              <w:rPr>
                <w:noProof/>
                <w:webHidden/>
              </w:rPr>
              <w:fldChar w:fldCharType="end"/>
            </w:r>
          </w:hyperlink>
        </w:p>
        <w:p w14:paraId="4803FC69" w14:textId="33CB7967" w:rsidR="007710C3" w:rsidRPr="004502A9" w:rsidRDefault="007710C3" w:rsidP="007710C3">
          <w:pPr>
            <w:spacing w:after="0" w:line="440" w:lineRule="exact"/>
            <w:jc w:val="center"/>
            <w:rPr>
              <w:rFonts w:eastAsia="Arial" w:cs="Arial"/>
              <w:b/>
              <w:bCs/>
              <w:sz w:val="22"/>
              <w:szCs w:val="22"/>
            </w:rPr>
          </w:pPr>
          <w:r w:rsidRPr="004502A9">
            <w:rPr>
              <w:rFonts w:cs="Arial"/>
              <w:b/>
              <w:bCs/>
              <w:noProof/>
            </w:rPr>
            <w:fldChar w:fldCharType="end"/>
          </w:r>
        </w:p>
      </w:sdtContent>
    </w:sdt>
    <w:p w14:paraId="5BF714DF" w14:textId="418D4939" w:rsidR="007710C3" w:rsidRPr="004502A9" w:rsidRDefault="007710C3" w:rsidP="007710C3">
      <w:pPr>
        <w:spacing w:after="160" w:line="259" w:lineRule="auto"/>
        <w:rPr>
          <w:rFonts w:eastAsia="Arial" w:cs="Arial"/>
          <w:b/>
          <w:bCs/>
          <w:color w:val="365F91"/>
          <w:sz w:val="32"/>
          <w:szCs w:val="32"/>
          <w:u w:color="000000"/>
        </w:rPr>
      </w:pPr>
      <w:bookmarkStart w:id="2" w:name="_Toc50714136"/>
      <w:bookmarkStart w:id="3" w:name="_Toc35339578"/>
      <w:r w:rsidRPr="004502A9">
        <w:rPr>
          <w:rFonts w:cs="Arial"/>
        </w:rPr>
        <w:br w:type="page"/>
      </w:r>
    </w:p>
    <w:p w14:paraId="30E888DA" w14:textId="67D7BACB" w:rsidR="007710C3" w:rsidRPr="004502A9" w:rsidRDefault="007710C3" w:rsidP="00FA5716">
      <w:pPr>
        <w:pStyle w:val="Heading1"/>
        <w:numPr>
          <w:ilvl w:val="0"/>
          <w:numId w:val="0"/>
        </w:numPr>
        <w:spacing w:before="240"/>
      </w:pPr>
      <w:bookmarkStart w:id="4" w:name="_Toc189048537"/>
      <w:r w:rsidRPr="004502A9">
        <w:t>Appendices</w:t>
      </w:r>
      <w:bookmarkEnd w:id="2"/>
      <w:bookmarkEnd w:id="3"/>
      <w:bookmarkEnd w:id="4"/>
    </w:p>
    <w:p w14:paraId="63D6E4DE" w14:textId="4B44E00D" w:rsidR="007710C3" w:rsidRPr="004502A9" w:rsidRDefault="007710C3" w:rsidP="007710C3">
      <w:pPr>
        <w:spacing w:after="60"/>
        <w:ind w:left="1440" w:hanging="1440"/>
        <w:rPr>
          <w:rFonts w:cs="Arial"/>
        </w:rPr>
      </w:pPr>
      <w:r w:rsidRPr="004502A9">
        <w:rPr>
          <w:rFonts w:cs="Arial"/>
        </w:rPr>
        <w:t xml:space="preserve">Appendix A: </w:t>
      </w:r>
      <w:r w:rsidR="00C6428D">
        <w:rPr>
          <w:rFonts w:eastAsia="Arial" w:cs="Arial"/>
        </w:rPr>
        <w:t>2026</w:t>
      </w:r>
      <w:r w:rsidRPr="004502A9">
        <w:rPr>
          <w:rFonts w:eastAsia="Arial" w:cs="Arial"/>
        </w:rPr>
        <w:t xml:space="preserve"> </w:t>
      </w:r>
      <w:r w:rsidRPr="004502A9">
        <w:rPr>
          <w:rFonts w:cs="Arial"/>
        </w:rPr>
        <w:t>303(d) List of Impaired Waters</w:t>
      </w:r>
    </w:p>
    <w:p w14:paraId="4616F20A" w14:textId="6CE71D0D" w:rsidR="007710C3" w:rsidRPr="004502A9" w:rsidRDefault="007710C3" w:rsidP="007710C3">
      <w:pPr>
        <w:spacing w:after="60"/>
        <w:ind w:left="1440" w:hanging="1440"/>
        <w:rPr>
          <w:rFonts w:cs="Arial"/>
          <w:szCs w:val="24"/>
        </w:rPr>
      </w:pPr>
      <w:r w:rsidRPr="004502A9">
        <w:rPr>
          <w:rFonts w:cs="Arial"/>
          <w:szCs w:val="24"/>
        </w:rPr>
        <w:t>Appendix B: Statewide Waterbody Fact Sheets</w:t>
      </w:r>
    </w:p>
    <w:p w14:paraId="795037DB" w14:textId="77777777" w:rsidR="007710C3" w:rsidRPr="004502A9" w:rsidRDefault="007710C3" w:rsidP="004746AC">
      <w:pPr>
        <w:spacing w:after="60"/>
        <w:ind w:left="2160" w:hanging="1440"/>
        <w:rPr>
          <w:rFonts w:cs="Arial"/>
        </w:rPr>
      </w:pPr>
      <w:r w:rsidRPr="004746AC">
        <w:rPr>
          <w:rFonts w:cs="Arial"/>
          <w:szCs w:val="24"/>
        </w:rPr>
        <w:t>Appendix</w:t>
      </w:r>
      <w:r w:rsidRPr="6FFCF5FB">
        <w:rPr>
          <w:rFonts w:cs="Arial"/>
        </w:rPr>
        <w:t xml:space="preserve"> B1: Statewide Waterbody Fact Sheets – Excel Version </w:t>
      </w:r>
    </w:p>
    <w:p w14:paraId="157BBEAD" w14:textId="67CB99EC" w:rsidR="007710C3" w:rsidRPr="004502A9" w:rsidRDefault="007710C3" w:rsidP="007710C3">
      <w:pPr>
        <w:spacing w:after="60"/>
        <w:ind w:left="1440" w:hanging="1440"/>
        <w:rPr>
          <w:rFonts w:cs="Arial"/>
          <w:szCs w:val="24"/>
        </w:rPr>
      </w:pPr>
      <w:r w:rsidRPr="004502A9">
        <w:rPr>
          <w:rFonts w:cs="Arial"/>
          <w:szCs w:val="24"/>
        </w:rPr>
        <w:t xml:space="preserve">Appendix C: </w:t>
      </w:r>
      <w:r w:rsidR="00617D56">
        <w:rPr>
          <w:rFonts w:cs="Arial"/>
          <w:szCs w:val="24"/>
        </w:rPr>
        <w:t xml:space="preserve">State Water Board’s </w:t>
      </w:r>
      <w:r w:rsidRPr="004502A9">
        <w:rPr>
          <w:rFonts w:cs="Arial"/>
          <w:szCs w:val="24"/>
        </w:rPr>
        <w:t>Integrated Report Condition Category Reports</w:t>
      </w:r>
    </w:p>
    <w:p w14:paraId="474EBEE6" w14:textId="1A6FEBC4" w:rsidR="007710C3" w:rsidRPr="004502A9" w:rsidRDefault="007710C3" w:rsidP="007710C3">
      <w:pPr>
        <w:spacing w:after="60"/>
        <w:ind w:left="2160" w:hanging="1440"/>
        <w:rPr>
          <w:rFonts w:cs="Arial"/>
          <w:szCs w:val="24"/>
        </w:rPr>
      </w:pPr>
      <w:r w:rsidRPr="004502A9">
        <w:rPr>
          <w:rFonts w:cs="Arial"/>
          <w:szCs w:val="24"/>
        </w:rPr>
        <w:t>Appendix C1: Category 1 Waterbody Segments</w:t>
      </w:r>
    </w:p>
    <w:p w14:paraId="32FE6568" w14:textId="70EFA111" w:rsidR="007710C3" w:rsidRPr="004502A9" w:rsidRDefault="007710C3" w:rsidP="007710C3">
      <w:pPr>
        <w:spacing w:after="60"/>
        <w:ind w:left="2160" w:hanging="1440"/>
        <w:rPr>
          <w:rFonts w:cs="Arial"/>
          <w:szCs w:val="24"/>
        </w:rPr>
      </w:pPr>
      <w:r w:rsidRPr="004502A9">
        <w:rPr>
          <w:rFonts w:cs="Arial"/>
          <w:szCs w:val="24"/>
        </w:rPr>
        <w:t>Appendix C2: Category 2 Waterbody Segments</w:t>
      </w:r>
    </w:p>
    <w:p w14:paraId="6485172D" w14:textId="777B1BDE" w:rsidR="007710C3" w:rsidRPr="004502A9" w:rsidRDefault="007710C3" w:rsidP="007710C3">
      <w:pPr>
        <w:spacing w:after="60"/>
        <w:ind w:left="2160" w:hanging="1440"/>
        <w:rPr>
          <w:rFonts w:cs="Arial"/>
          <w:szCs w:val="24"/>
        </w:rPr>
      </w:pPr>
      <w:r w:rsidRPr="004502A9">
        <w:rPr>
          <w:rFonts w:cs="Arial"/>
          <w:szCs w:val="24"/>
        </w:rPr>
        <w:t>Appendix C3: Category 3 Waterbody Segments</w:t>
      </w:r>
    </w:p>
    <w:p w14:paraId="60D715BA" w14:textId="305527D3" w:rsidR="007710C3" w:rsidRPr="004502A9" w:rsidRDefault="007710C3" w:rsidP="007710C3">
      <w:pPr>
        <w:spacing w:after="60"/>
        <w:ind w:left="2160" w:hanging="1440"/>
        <w:rPr>
          <w:rFonts w:cs="Arial"/>
          <w:szCs w:val="24"/>
        </w:rPr>
      </w:pPr>
      <w:r w:rsidRPr="004502A9">
        <w:rPr>
          <w:rFonts w:cs="Arial"/>
          <w:szCs w:val="24"/>
        </w:rPr>
        <w:t>Appendix C4a: Category 4a Waterbody Segments</w:t>
      </w:r>
    </w:p>
    <w:p w14:paraId="36696E7E" w14:textId="7A3FF2AA" w:rsidR="007710C3" w:rsidRPr="004502A9" w:rsidRDefault="007710C3" w:rsidP="007710C3">
      <w:pPr>
        <w:spacing w:after="60"/>
        <w:ind w:left="2160" w:hanging="1440"/>
        <w:rPr>
          <w:rFonts w:cs="Arial"/>
          <w:szCs w:val="24"/>
        </w:rPr>
      </w:pPr>
      <w:r w:rsidRPr="004502A9">
        <w:rPr>
          <w:rFonts w:cs="Arial"/>
          <w:szCs w:val="24"/>
        </w:rPr>
        <w:t>Appendix C4b: Category 4b Waterbody Segments</w:t>
      </w:r>
    </w:p>
    <w:p w14:paraId="05C09D29" w14:textId="6A886E26" w:rsidR="007710C3" w:rsidRPr="004502A9" w:rsidRDefault="007710C3" w:rsidP="007710C3">
      <w:pPr>
        <w:spacing w:after="60"/>
        <w:ind w:left="2160" w:hanging="1440"/>
        <w:rPr>
          <w:rFonts w:cs="Arial"/>
          <w:szCs w:val="24"/>
        </w:rPr>
      </w:pPr>
      <w:r w:rsidRPr="004502A9">
        <w:rPr>
          <w:rFonts w:cs="Arial"/>
          <w:szCs w:val="24"/>
        </w:rPr>
        <w:t>Appendix C4c: Category 4c Waterbody Segments</w:t>
      </w:r>
    </w:p>
    <w:p w14:paraId="4959E903" w14:textId="24FA7B89" w:rsidR="007710C3" w:rsidRPr="004502A9" w:rsidRDefault="007710C3" w:rsidP="007710C3">
      <w:pPr>
        <w:spacing w:after="60"/>
        <w:ind w:left="2160" w:hanging="1440"/>
        <w:rPr>
          <w:rFonts w:cs="Arial"/>
          <w:szCs w:val="24"/>
        </w:rPr>
      </w:pPr>
      <w:r w:rsidRPr="004502A9">
        <w:rPr>
          <w:rFonts w:cs="Arial"/>
          <w:szCs w:val="24"/>
        </w:rPr>
        <w:t xml:space="preserve">Appendix C5: Category 5 Waterbody Segments </w:t>
      </w:r>
    </w:p>
    <w:p w14:paraId="6C8E5FE4" w14:textId="5CBDB981" w:rsidR="00141675" w:rsidRDefault="00141675" w:rsidP="007710C3">
      <w:pPr>
        <w:spacing w:after="60"/>
        <w:ind w:left="1440" w:hanging="1440"/>
        <w:rPr>
          <w:rFonts w:cs="Arial"/>
          <w:szCs w:val="24"/>
        </w:rPr>
      </w:pPr>
      <w:r>
        <w:rPr>
          <w:rFonts w:cs="Arial"/>
          <w:szCs w:val="24"/>
        </w:rPr>
        <w:t xml:space="preserve">Appendix D: </w:t>
      </w:r>
      <w:r w:rsidR="00457B30">
        <w:rPr>
          <w:rFonts w:cs="Arial"/>
          <w:szCs w:val="24"/>
        </w:rPr>
        <w:t xml:space="preserve">Map and </w:t>
      </w:r>
      <w:r w:rsidR="009F0A88">
        <w:rPr>
          <w:rFonts w:cs="Arial"/>
          <w:szCs w:val="24"/>
        </w:rPr>
        <w:t xml:space="preserve">Visualization Tool for the </w:t>
      </w:r>
      <w:r w:rsidR="00C6428D">
        <w:rPr>
          <w:rFonts w:cs="Arial"/>
          <w:szCs w:val="24"/>
        </w:rPr>
        <w:t>2026</w:t>
      </w:r>
      <w:r w:rsidR="009F0A88">
        <w:rPr>
          <w:rFonts w:cs="Arial"/>
          <w:szCs w:val="24"/>
        </w:rPr>
        <w:t xml:space="preserve"> </w:t>
      </w:r>
      <w:r w:rsidR="00D17E40">
        <w:rPr>
          <w:rFonts w:cs="Arial"/>
          <w:szCs w:val="24"/>
        </w:rPr>
        <w:t xml:space="preserve">California </w:t>
      </w:r>
      <w:r w:rsidR="009F0A88">
        <w:rPr>
          <w:rFonts w:cs="Arial"/>
          <w:szCs w:val="24"/>
        </w:rPr>
        <w:t xml:space="preserve">Integrated Report </w:t>
      </w:r>
    </w:p>
    <w:p w14:paraId="194CFDFF" w14:textId="048E55D7" w:rsidR="007710C3" w:rsidRPr="004502A9" w:rsidRDefault="007710C3" w:rsidP="007710C3">
      <w:pPr>
        <w:spacing w:after="60"/>
        <w:ind w:left="1440" w:hanging="1440"/>
        <w:rPr>
          <w:rFonts w:cs="Arial"/>
          <w:szCs w:val="24"/>
        </w:rPr>
      </w:pPr>
      <w:r w:rsidRPr="004502A9">
        <w:rPr>
          <w:rFonts w:cs="Arial"/>
          <w:szCs w:val="24"/>
        </w:rPr>
        <w:t xml:space="preserve">Appendix </w:t>
      </w:r>
      <w:r w:rsidR="00141675">
        <w:rPr>
          <w:rFonts w:cs="Arial"/>
          <w:szCs w:val="24"/>
        </w:rPr>
        <w:t>E</w:t>
      </w:r>
      <w:r w:rsidRPr="004502A9">
        <w:rPr>
          <w:rFonts w:cs="Arial"/>
          <w:szCs w:val="24"/>
        </w:rPr>
        <w:t>:</w:t>
      </w:r>
      <w:r w:rsidR="00B40362">
        <w:rPr>
          <w:rFonts w:cs="Arial"/>
          <w:szCs w:val="24"/>
        </w:rPr>
        <w:t xml:space="preserve"> </w:t>
      </w:r>
      <w:r w:rsidRPr="004502A9">
        <w:rPr>
          <w:rFonts w:cs="Arial"/>
          <w:szCs w:val="24"/>
        </w:rPr>
        <w:t>TMDLs</w:t>
      </w:r>
      <w:r w:rsidR="003E44BB">
        <w:rPr>
          <w:rFonts w:cs="Arial"/>
          <w:szCs w:val="24"/>
        </w:rPr>
        <w:t xml:space="preserve"> Adopted by Regional Water Boards since January 2009</w:t>
      </w:r>
    </w:p>
    <w:p w14:paraId="39B8D450" w14:textId="1C4257F1" w:rsidR="007710C3" w:rsidRPr="004502A9" w:rsidRDefault="007710C3" w:rsidP="007710C3">
      <w:pPr>
        <w:spacing w:after="60"/>
        <w:ind w:left="1440" w:hanging="1440"/>
        <w:rPr>
          <w:rFonts w:cs="Arial"/>
        </w:rPr>
      </w:pPr>
      <w:r w:rsidRPr="004502A9">
        <w:rPr>
          <w:rFonts w:cs="Arial"/>
        </w:rPr>
        <w:t xml:space="preserve">Appendix </w:t>
      </w:r>
      <w:r w:rsidR="00141675">
        <w:rPr>
          <w:rFonts w:cs="Arial"/>
        </w:rPr>
        <w:t>F</w:t>
      </w:r>
      <w:r w:rsidRPr="004502A9">
        <w:rPr>
          <w:rFonts w:cs="Arial"/>
        </w:rPr>
        <w:t xml:space="preserve">: Generalized Flow Chart for Fish Tissue Mercury Assessments for the </w:t>
      </w:r>
      <w:r w:rsidR="00D17E40">
        <w:rPr>
          <w:rFonts w:eastAsia="Arial" w:cs="Arial"/>
        </w:rPr>
        <w:t xml:space="preserve">California </w:t>
      </w:r>
      <w:r w:rsidRPr="004502A9">
        <w:rPr>
          <w:rFonts w:cs="Arial"/>
        </w:rPr>
        <w:t xml:space="preserve">Integrated Report </w:t>
      </w:r>
    </w:p>
    <w:p w14:paraId="02B5CF24" w14:textId="2F0E5966" w:rsidR="007710C3" w:rsidRPr="004502A9" w:rsidRDefault="007710C3" w:rsidP="007710C3">
      <w:pPr>
        <w:spacing w:after="60"/>
        <w:ind w:left="1440" w:hanging="1440"/>
        <w:rPr>
          <w:rFonts w:cs="Arial"/>
          <w:szCs w:val="24"/>
        </w:rPr>
      </w:pPr>
      <w:r w:rsidRPr="004502A9">
        <w:rPr>
          <w:rFonts w:cs="Arial"/>
          <w:szCs w:val="24"/>
        </w:rPr>
        <w:t xml:space="preserve">Appendix </w:t>
      </w:r>
      <w:r w:rsidR="00141675">
        <w:rPr>
          <w:rFonts w:cs="Arial"/>
          <w:szCs w:val="24"/>
        </w:rPr>
        <w:t>G</w:t>
      </w:r>
      <w:r w:rsidRPr="004502A9">
        <w:rPr>
          <w:rFonts w:cs="Arial"/>
          <w:szCs w:val="24"/>
        </w:rPr>
        <w:t>:</w:t>
      </w:r>
      <w:r w:rsidR="00B40362">
        <w:rPr>
          <w:rFonts w:cs="Arial"/>
          <w:szCs w:val="24"/>
        </w:rPr>
        <w:t xml:space="preserve"> </w:t>
      </w:r>
      <w:r w:rsidRPr="004502A9">
        <w:rPr>
          <w:rFonts w:cs="Arial"/>
          <w:szCs w:val="24"/>
        </w:rPr>
        <w:t>Miscellaneous Mapping Changes Report</w:t>
      </w:r>
    </w:p>
    <w:p w14:paraId="13D855E6" w14:textId="4DA29FE8" w:rsidR="007710C3" w:rsidRPr="004502A9" w:rsidRDefault="007710C3" w:rsidP="007710C3">
      <w:pPr>
        <w:spacing w:after="60"/>
        <w:ind w:left="1440" w:hanging="1440"/>
        <w:rPr>
          <w:rFonts w:cs="Arial"/>
          <w:szCs w:val="24"/>
        </w:rPr>
      </w:pPr>
      <w:r w:rsidRPr="004502A9">
        <w:rPr>
          <w:rFonts w:cs="Arial"/>
          <w:szCs w:val="24"/>
        </w:rPr>
        <w:t xml:space="preserve">Appendix </w:t>
      </w:r>
      <w:r w:rsidR="00141675">
        <w:rPr>
          <w:rFonts w:cs="Arial"/>
          <w:szCs w:val="24"/>
        </w:rPr>
        <w:t>H</w:t>
      </w:r>
      <w:r w:rsidRPr="004502A9">
        <w:rPr>
          <w:rFonts w:cs="Arial"/>
          <w:szCs w:val="24"/>
        </w:rPr>
        <w:t>: Reference Reports</w:t>
      </w:r>
    </w:p>
    <w:p w14:paraId="6D640669" w14:textId="304006D1" w:rsidR="007710C3" w:rsidRPr="004502A9" w:rsidRDefault="007710C3" w:rsidP="007710C3">
      <w:pPr>
        <w:spacing w:after="60"/>
        <w:ind w:left="2160" w:hanging="1440"/>
        <w:rPr>
          <w:rFonts w:cs="Arial"/>
          <w:szCs w:val="24"/>
        </w:rPr>
      </w:pPr>
      <w:r w:rsidRPr="004502A9">
        <w:rPr>
          <w:rFonts w:cs="Arial"/>
          <w:szCs w:val="24"/>
        </w:rPr>
        <w:t xml:space="preserve">Appendix </w:t>
      </w:r>
      <w:r w:rsidR="00141675">
        <w:rPr>
          <w:rFonts w:cs="Arial"/>
          <w:szCs w:val="24"/>
        </w:rPr>
        <w:t>H</w:t>
      </w:r>
      <w:r w:rsidRPr="004502A9">
        <w:rPr>
          <w:rFonts w:cs="Arial"/>
          <w:szCs w:val="24"/>
        </w:rPr>
        <w:t>1: Region 1 Reference Report</w:t>
      </w:r>
    </w:p>
    <w:p w14:paraId="3156E148" w14:textId="27679B9B" w:rsidR="007710C3" w:rsidRPr="004502A9" w:rsidRDefault="007710C3" w:rsidP="007710C3">
      <w:pPr>
        <w:spacing w:after="60"/>
        <w:ind w:left="2160" w:hanging="1440"/>
        <w:rPr>
          <w:rFonts w:cs="Arial"/>
          <w:szCs w:val="24"/>
        </w:rPr>
      </w:pPr>
      <w:r w:rsidRPr="004502A9">
        <w:rPr>
          <w:rFonts w:cs="Arial"/>
          <w:szCs w:val="24"/>
        </w:rPr>
        <w:t xml:space="preserve">Appendix </w:t>
      </w:r>
      <w:r w:rsidR="00141675">
        <w:rPr>
          <w:rFonts w:cs="Arial"/>
          <w:szCs w:val="24"/>
        </w:rPr>
        <w:t>H</w:t>
      </w:r>
      <w:r w:rsidRPr="004502A9">
        <w:rPr>
          <w:rFonts w:cs="Arial"/>
          <w:szCs w:val="24"/>
        </w:rPr>
        <w:t>2: Region 2 Reference Report</w:t>
      </w:r>
    </w:p>
    <w:p w14:paraId="6D0D59CD" w14:textId="5F617A5D" w:rsidR="007710C3" w:rsidRPr="004502A9" w:rsidRDefault="007710C3" w:rsidP="007710C3">
      <w:pPr>
        <w:spacing w:after="60"/>
        <w:ind w:left="2160" w:hanging="1440"/>
        <w:rPr>
          <w:rFonts w:cs="Arial"/>
          <w:szCs w:val="24"/>
        </w:rPr>
      </w:pPr>
      <w:r w:rsidRPr="004502A9">
        <w:rPr>
          <w:rFonts w:cs="Arial"/>
          <w:szCs w:val="24"/>
        </w:rPr>
        <w:t xml:space="preserve">Appendix </w:t>
      </w:r>
      <w:r w:rsidR="00141675">
        <w:rPr>
          <w:rFonts w:cs="Arial"/>
          <w:szCs w:val="24"/>
        </w:rPr>
        <w:t>H</w:t>
      </w:r>
      <w:r w:rsidRPr="004502A9">
        <w:rPr>
          <w:rFonts w:cs="Arial"/>
          <w:szCs w:val="24"/>
        </w:rPr>
        <w:t>3: Region 3 Reference Report</w:t>
      </w:r>
    </w:p>
    <w:p w14:paraId="343AF4BA" w14:textId="4EA1172D" w:rsidR="007710C3" w:rsidRPr="004502A9" w:rsidRDefault="007710C3" w:rsidP="007710C3">
      <w:pPr>
        <w:spacing w:after="60"/>
        <w:ind w:left="2160" w:hanging="1440"/>
        <w:rPr>
          <w:rFonts w:cs="Arial"/>
          <w:szCs w:val="24"/>
        </w:rPr>
      </w:pPr>
      <w:r w:rsidRPr="004502A9">
        <w:rPr>
          <w:rFonts w:cs="Arial"/>
          <w:szCs w:val="24"/>
        </w:rPr>
        <w:t xml:space="preserve">Appendix </w:t>
      </w:r>
      <w:r w:rsidR="00141675">
        <w:rPr>
          <w:rFonts w:cs="Arial"/>
          <w:szCs w:val="24"/>
        </w:rPr>
        <w:t>H</w:t>
      </w:r>
      <w:r w:rsidRPr="004502A9">
        <w:rPr>
          <w:rFonts w:cs="Arial"/>
          <w:szCs w:val="24"/>
        </w:rPr>
        <w:t>4: Region 4 Reference Report</w:t>
      </w:r>
    </w:p>
    <w:p w14:paraId="54CB42BC" w14:textId="2D1B8B67" w:rsidR="007710C3" w:rsidRPr="004502A9" w:rsidRDefault="007710C3" w:rsidP="007710C3">
      <w:pPr>
        <w:spacing w:after="60"/>
        <w:ind w:left="2160" w:hanging="1440"/>
        <w:rPr>
          <w:rFonts w:cs="Arial"/>
          <w:szCs w:val="24"/>
        </w:rPr>
      </w:pPr>
      <w:r w:rsidRPr="004502A9">
        <w:rPr>
          <w:rFonts w:cs="Arial"/>
          <w:szCs w:val="24"/>
        </w:rPr>
        <w:t xml:space="preserve">Appendix </w:t>
      </w:r>
      <w:r w:rsidR="00141675">
        <w:rPr>
          <w:rFonts w:cs="Arial"/>
          <w:szCs w:val="24"/>
        </w:rPr>
        <w:t>H</w:t>
      </w:r>
      <w:r w:rsidRPr="004502A9">
        <w:rPr>
          <w:rFonts w:cs="Arial"/>
          <w:szCs w:val="24"/>
        </w:rPr>
        <w:t>5: Region 5 Reference Report</w:t>
      </w:r>
    </w:p>
    <w:p w14:paraId="14CC04DC" w14:textId="1CCE5983" w:rsidR="007710C3" w:rsidRPr="004502A9" w:rsidRDefault="007710C3" w:rsidP="007710C3">
      <w:pPr>
        <w:spacing w:after="60"/>
        <w:ind w:left="2160" w:hanging="1440"/>
        <w:rPr>
          <w:rFonts w:cs="Arial"/>
          <w:szCs w:val="24"/>
        </w:rPr>
      </w:pPr>
      <w:r w:rsidRPr="004502A9">
        <w:rPr>
          <w:rFonts w:cs="Arial"/>
          <w:szCs w:val="24"/>
        </w:rPr>
        <w:t xml:space="preserve">Appendix </w:t>
      </w:r>
      <w:r w:rsidR="00141675">
        <w:rPr>
          <w:rFonts w:cs="Arial"/>
          <w:szCs w:val="24"/>
        </w:rPr>
        <w:t>H</w:t>
      </w:r>
      <w:r w:rsidRPr="004502A9">
        <w:rPr>
          <w:rFonts w:cs="Arial"/>
          <w:szCs w:val="24"/>
        </w:rPr>
        <w:t>6: Region 6 Reference Report</w:t>
      </w:r>
    </w:p>
    <w:p w14:paraId="71E3283D" w14:textId="224FBB61" w:rsidR="007710C3" w:rsidRPr="004502A9" w:rsidRDefault="007710C3" w:rsidP="007710C3">
      <w:pPr>
        <w:spacing w:after="60"/>
        <w:ind w:left="2160" w:hanging="1440"/>
        <w:rPr>
          <w:rFonts w:cs="Arial"/>
          <w:szCs w:val="24"/>
        </w:rPr>
      </w:pPr>
      <w:r w:rsidRPr="004502A9">
        <w:rPr>
          <w:rFonts w:cs="Arial"/>
          <w:szCs w:val="24"/>
        </w:rPr>
        <w:t xml:space="preserve">Appendix </w:t>
      </w:r>
      <w:r w:rsidR="00141675">
        <w:rPr>
          <w:rFonts w:cs="Arial"/>
          <w:szCs w:val="24"/>
        </w:rPr>
        <w:t>H</w:t>
      </w:r>
      <w:r w:rsidRPr="004502A9">
        <w:rPr>
          <w:rFonts w:cs="Arial"/>
          <w:szCs w:val="24"/>
        </w:rPr>
        <w:t xml:space="preserve">7: Region 7 Reference Report </w:t>
      </w:r>
    </w:p>
    <w:p w14:paraId="328B8E78" w14:textId="559D2F1C" w:rsidR="007710C3" w:rsidRPr="004502A9" w:rsidRDefault="007710C3" w:rsidP="007710C3">
      <w:pPr>
        <w:spacing w:after="60"/>
        <w:ind w:left="2160" w:hanging="1440"/>
        <w:rPr>
          <w:rFonts w:cs="Arial"/>
          <w:szCs w:val="24"/>
        </w:rPr>
      </w:pPr>
      <w:r w:rsidRPr="004502A9">
        <w:rPr>
          <w:rFonts w:cs="Arial"/>
          <w:szCs w:val="24"/>
        </w:rPr>
        <w:t xml:space="preserve">Appendix </w:t>
      </w:r>
      <w:r w:rsidR="00141675">
        <w:rPr>
          <w:rFonts w:cs="Arial"/>
          <w:szCs w:val="24"/>
        </w:rPr>
        <w:t>H</w:t>
      </w:r>
      <w:r w:rsidRPr="004502A9">
        <w:rPr>
          <w:rFonts w:cs="Arial"/>
          <w:szCs w:val="24"/>
        </w:rPr>
        <w:t>8: Region 8 Reference Report</w:t>
      </w:r>
    </w:p>
    <w:p w14:paraId="2EE5510F" w14:textId="516D965C" w:rsidR="007710C3" w:rsidRPr="004502A9" w:rsidRDefault="007710C3" w:rsidP="007710C3">
      <w:pPr>
        <w:spacing w:after="60"/>
        <w:ind w:left="2160" w:hanging="1440"/>
        <w:rPr>
          <w:rFonts w:cs="Arial"/>
          <w:szCs w:val="24"/>
        </w:rPr>
      </w:pPr>
      <w:r w:rsidRPr="004502A9">
        <w:rPr>
          <w:rFonts w:cs="Arial"/>
          <w:szCs w:val="24"/>
        </w:rPr>
        <w:t xml:space="preserve">Appendix </w:t>
      </w:r>
      <w:r w:rsidR="00141675">
        <w:rPr>
          <w:rFonts w:cs="Arial"/>
          <w:szCs w:val="24"/>
        </w:rPr>
        <w:t>H</w:t>
      </w:r>
      <w:r w:rsidRPr="004502A9">
        <w:rPr>
          <w:rFonts w:cs="Arial"/>
          <w:szCs w:val="24"/>
        </w:rPr>
        <w:t>9: Region 9 Reference Report</w:t>
      </w:r>
    </w:p>
    <w:p w14:paraId="118BD5AC" w14:textId="77777777" w:rsidR="00813BE3" w:rsidRDefault="007710C3" w:rsidP="00813BE3">
      <w:pPr>
        <w:spacing w:after="60"/>
        <w:ind w:left="1440" w:hanging="720"/>
        <w:rPr>
          <w:rFonts w:cs="Arial"/>
          <w:szCs w:val="24"/>
        </w:rPr>
      </w:pPr>
      <w:r w:rsidRPr="004502A9">
        <w:rPr>
          <w:rFonts w:cs="Arial"/>
          <w:szCs w:val="24"/>
        </w:rPr>
        <w:t xml:space="preserve">Appendix </w:t>
      </w:r>
      <w:r w:rsidR="00141675">
        <w:rPr>
          <w:rFonts w:cs="Arial"/>
          <w:szCs w:val="24"/>
        </w:rPr>
        <w:t>H</w:t>
      </w:r>
      <w:r w:rsidRPr="004502A9">
        <w:rPr>
          <w:rFonts w:cs="Arial"/>
          <w:szCs w:val="24"/>
        </w:rPr>
        <w:t>10: Statewide Reference Report</w:t>
      </w:r>
    </w:p>
    <w:p w14:paraId="2FA77FB8" w14:textId="3E912B51" w:rsidR="007710C3" w:rsidRDefault="007710C3" w:rsidP="003858A6">
      <w:pPr>
        <w:spacing w:after="60"/>
        <w:ind w:left="1440" w:hanging="1440"/>
        <w:rPr>
          <w:rFonts w:cs="Arial"/>
        </w:rPr>
      </w:pPr>
      <w:r w:rsidRPr="004502A9">
        <w:rPr>
          <w:rFonts w:cs="Arial"/>
        </w:rPr>
        <w:t xml:space="preserve">Appendix </w:t>
      </w:r>
      <w:r w:rsidR="00E80883">
        <w:rPr>
          <w:rFonts w:cs="Arial"/>
        </w:rPr>
        <w:t>I</w:t>
      </w:r>
      <w:r w:rsidRPr="004502A9">
        <w:rPr>
          <w:rFonts w:cs="Arial"/>
        </w:rPr>
        <w:t>:</w:t>
      </w:r>
      <w:r w:rsidR="00113445">
        <w:rPr>
          <w:rFonts w:cs="Arial"/>
        </w:rPr>
        <w:t xml:space="preserve"> </w:t>
      </w:r>
      <w:r w:rsidR="00C6428D">
        <w:rPr>
          <w:rFonts w:eastAsia="Arial" w:cs="Arial"/>
        </w:rPr>
        <w:t>2026</w:t>
      </w:r>
      <w:r w:rsidR="0035105E">
        <w:rPr>
          <w:rFonts w:eastAsia="Arial" w:cs="Arial"/>
        </w:rPr>
        <w:t xml:space="preserve"> 303(d) List of New Waterbody-pollutant Combination</w:t>
      </w:r>
      <w:r w:rsidR="00417481">
        <w:rPr>
          <w:rFonts w:eastAsia="Arial" w:cs="Arial"/>
        </w:rPr>
        <w:t xml:space="preserve"> Listing and Delistings </w:t>
      </w:r>
    </w:p>
    <w:p w14:paraId="47CEFF35" w14:textId="455C50F5" w:rsidR="000E4383" w:rsidRPr="004502A9" w:rsidRDefault="000E4383" w:rsidP="003858A6">
      <w:pPr>
        <w:spacing w:after="60"/>
        <w:ind w:left="1440" w:hanging="1440"/>
        <w:rPr>
          <w:rFonts w:cs="Arial"/>
        </w:rPr>
      </w:pPr>
      <w:r>
        <w:rPr>
          <w:rFonts w:cs="Arial"/>
        </w:rPr>
        <w:t xml:space="preserve">Appendix </w:t>
      </w:r>
      <w:r w:rsidR="00E80883">
        <w:rPr>
          <w:rFonts w:cs="Arial"/>
        </w:rPr>
        <w:t>J</w:t>
      </w:r>
      <w:r>
        <w:rPr>
          <w:rFonts w:cs="Arial"/>
        </w:rPr>
        <w:t xml:space="preserve">: </w:t>
      </w:r>
      <w:r w:rsidR="00BA45D7" w:rsidRPr="004502A9">
        <w:rPr>
          <w:rFonts w:cs="Arial"/>
        </w:rPr>
        <w:t>List of Retired Lines of Evidence</w:t>
      </w:r>
    </w:p>
    <w:p w14:paraId="7B24E88D" w14:textId="5EAEDB94" w:rsidR="00E756C6" w:rsidRDefault="007710C3" w:rsidP="007710C3">
      <w:pPr>
        <w:spacing w:after="60"/>
        <w:ind w:left="1440" w:hanging="1440"/>
        <w:rPr>
          <w:rFonts w:cs="Arial"/>
        </w:rPr>
      </w:pPr>
      <w:r w:rsidRPr="004502A9">
        <w:rPr>
          <w:rFonts w:cs="Arial"/>
        </w:rPr>
        <w:t xml:space="preserve">Appendix </w:t>
      </w:r>
      <w:r w:rsidR="00B27139">
        <w:rPr>
          <w:rFonts w:cs="Arial"/>
        </w:rPr>
        <w:t>K</w:t>
      </w:r>
      <w:r w:rsidRPr="004502A9">
        <w:rPr>
          <w:rFonts w:cs="Arial"/>
        </w:rPr>
        <w:t>:</w:t>
      </w:r>
      <w:r w:rsidR="00113445">
        <w:rPr>
          <w:rFonts w:cs="Arial"/>
        </w:rPr>
        <w:t xml:space="preserve"> </w:t>
      </w:r>
      <w:r w:rsidR="00BA45D7">
        <w:rPr>
          <w:rFonts w:cs="Arial"/>
        </w:rPr>
        <w:t>List of Summing</w:t>
      </w:r>
      <w:r w:rsidR="00BD6071">
        <w:rPr>
          <w:rFonts w:cs="Arial"/>
        </w:rPr>
        <w:t xml:space="preserve"> Pollutants</w:t>
      </w:r>
    </w:p>
    <w:p w14:paraId="47DB7994" w14:textId="3101F741" w:rsidR="007710C3" w:rsidRDefault="00E756C6" w:rsidP="007710C3">
      <w:pPr>
        <w:spacing w:after="60"/>
        <w:ind w:left="1440" w:hanging="1440"/>
        <w:rPr>
          <w:rFonts w:cs="Arial"/>
        </w:rPr>
      </w:pPr>
      <w:r>
        <w:rPr>
          <w:rFonts w:cs="Arial"/>
        </w:rPr>
        <w:t xml:space="preserve">Appendix </w:t>
      </w:r>
      <w:r w:rsidR="00E80883">
        <w:rPr>
          <w:rFonts w:cs="Arial"/>
        </w:rPr>
        <w:t>L</w:t>
      </w:r>
      <w:r>
        <w:rPr>
          <w:rFonts w:cs="Arial"/>
        </w:rPr>
        <w:t xml:space="preserve">: </w:t>
      </w:r>
      <w:r w:rsidR="00B40362" w:rsidRPr="00B40362">
        <w:rPr>
          <w:rFonts w:cs="Arial"/>
        </w:rPr>
        <w:t>California’s Prioritization Framework for Plans to Restore Impaired Waterbodies</w:t>
      </w:r>
    </w:p>
    <w:p w14:paraId="6D66C974" w14:textId="6DAB51AE" w:rsidR="00C837E3" w:rsidRDefault="0043468C" w:rsidP="00CC5010">
      <w:pPr>
        <w:spacing w:after="60"/>
        <w:ind w:left="1440" w:hanging="1440"/>
      </w:pPr>
      <w:r>
        <w:rPr>
          <w:rStyle w:val="cf01"/>
          <w:rFonts w:ascii="Arial" w:hAnsi="Arial" w:cs="Arial"/>
          <w:sz w:val="24"/>
          <w:szCs w:val="24"/>
        </w:rPr>
        <w:t>Appendix</w:t>
      </w:r>
      <w:r w:rsidR="00C57DDF">
        <w:rPr>
          <w:rStyle w:val="cf01"/>
          <w:rFonts w:ascii="Arial" w:hAnsi="Arial" w:cs="Arial"/>
          <w:sz w:val="24"/>
          <w:szCs w:val="24"/>
        </w:rPr>
        <w:t xml:space="preserve"> </w:t>
      </w:r>
      <w:r w:rsidR="00E80883">
        <w:rPr>
          <w:rStyle w:val="cf01"/>
          <w:rFonts w:ascii="Arial" w:hAnsi="Arial" w:cs="Arial"/>
          <w:sz w:val="24"/>
          <w:szCs w:val="24"/>
        </w:rPr>
        <w:t>M</w:t>
      </w:r>
      <w:r w:rsidR="00C57DDF">
        <w:rPr>
          <w:rStyle w:val="cf01"/>
          <w:rFonts w:ascii="Arial" w:hAnsi="Arial" w:cs="Arial"/>
          <w:sz w:val="24"/>
          <w:szCs w:val="24"/>
        </w:rPr>
        <w:t xml:space="preserve">: </w:t>
      </w:r>
      <w:r w:rsidR="00175678">
        <w:t xml:space="preserve">List of </w:t>
      </w:r>
      <w:r w:rsidR="00A95225">
        <w:t xml:space="preserve">Modified and </w:t>
      </w:r>
      <w:r w:rsidR="00175678">
        <w:t>Constructed Waters in the Central Valley Region</w:t>
      </w:r>
      <w:r w:rsidR="00A73977">
        <w:t xml:space="preserve"> </w:t>
      </w:r>
    </w:p>
    <w:p w14:paraId="4B15E798" w14:textId="5B9C5DC0" w:rsidR="00B448DE" w:rsidRDefault="00B448DE" w:rsidP="00CC5010">
      <w:pPr>
        <w:spacing w:after="60"/>
        <w:ind w:left="1440" w:hanging="1440"/>
      </w:pPr>
      <w:r>
        <w:t xml:space="preserve">Appendix N: 2026 </w:t>
      </w:r>
      <w:r w:rsidR="00660322">
        <w:t xml:space="preserve">California Integrated Report Data </w:t>
      </w:r>
      <w:r w:rsidR="00B90B1D">
        <w:t xml:space="preserve">Evaluated </w:t>
      </w:r>
    </w:p>
    <w:p w14:paraId="3A270E26" w14:textId="579E1609" w:rsidR="00510DAA" w:rsidRPr="008E336E" w:rsidRDefault="00510DAA" w:rsidP="00CC5010">
      <w:pPr>
        <w:spacing w:after="60"/>
        <w:ind w:left="1440" w:hanging="1440"/>
        <w:rPr>
          <w:rStyle w:val="cf01"/>
          <w:rFonts w:ascii="Arial" w:hAnsi="Arial" w:cs="Arial"/>
          <w:sz w:val="24"/>
          <w:szCs w:val="24"/>
        </w:rPr>
      </w:pPr>
      <w:r>
        <w:t xml:space="preserve">Appendix O: </w:t>
      </w:r>
      <w:r w:rsidR="003960C9" w:rsidRPr="003960C9">
        <w:t>2026 California Integrated Report Water Quality Objectives, Criteria, and Evaluation Guidelines</w:t>
      </w:r>
    </w:p>
    <w:p w14:paraId="7BD0C5E0" w14:textId="09D17A31" w:rsidR="007710C3" w:rsidRPr="004502A9" w:rsidRDefault="007710C3" w:rsidP="00FA5716">
      <w:pPr>
        <w:pStyle w:val="Heading1"/>
        <w:numPr>
          <w:ilvl w:val="0"/>
          <w:numId w:val="0"/>
        </w:numPr>
        <w:spacing w:before="240"/>
      </w:pPr>
      <w:bookmarkStart w:id="5" w:name="_Toc2265927"/>
      <w:bookmarkStart w:id="6" w:name="_Toc19788806"/>
      <w:bookmarkStart w:id="7" w:name="_Toc35339579"/>
      <w:bookmarkStart w:id="8" w:name="_Toc50714137"/>
      <w:bookmarkStart w:id="9" w:name="_Toc189048538"/>
      <w:r w:rsidRPr="004502A9">
        <w:t>List of Figures and Tables</w:t>
      </w:r>
      <w:bookmarkEnd w:id="5"/>
      <w:bookmarkEnd w:id="6"/>
      <w:bookmarkEnd w:id="7"/>
      <w:bookmarkEnd w:id="8"/>
      <w:bookmarkEnd w:id="9"/>
    </w:p>
    <w:p w14:paraId="13440FEC" w14:textId="3B05A72E" w:rsidR="007710C3" w:rsidRPr="004502A9" w:rsidRDefault="007710C3" w:rsidP="008A3C2C">
      <w:pPr>
        <w:spacing w:after="60"/>
        <w:rPr>
          <w:rFonts w:cs="Arial"/>
          <w:b/>
          <w:bCs/>
          <w:color w:val="4472C4" w:themeColor="accent1"/>
        </w:rPr>
      </w:pPr>
      <w:r w:rsidRPr="004502A9">
        <w:rPr>
          <w:rFonts w:cs="Arial"/>
          <w:b/>
          <w:bCs/>
          <w:color w:val="4472C4" w:themeColor="accent1"/>
        </w:rPr>
        <w:t>Figures</w:t>
      </w:r>
      <w:r w:rsidR="00D52FEF">
        <w:rPr>
          <w:rFonts w:cs="Arial"/>
          <w:b/>
          <w:bCs/>
          <w:color w:val="4472C4" w:themeColor="accent1"/>
        </w:rPr>
        <w:t xml:space="preserve"> </w:t>
      </w:r>
    </w:p>
    <w:p w14:paraId="23E7B3F0" w14:textId="77777777" w:rsidR="00F9550E" w:rsidRDefault="007710C3" w:rsidP="00F9550E">
      <w:pPr>
        <w:pStyle w:val="TableofFigures"/>
        <w:tabs>
          <w:tab w:val="right" w:leader="dot" w:pos="9350"/>
        </w:tabs>
        <w:contextualSpacing/>
        <w:rPr>
          <w:rFonts w:cs="Arial"/>
          <w:b/>
          <w:bCs/>
        </w:rPr>
      </w:pPr>
      <w:r w:rsidRPr="004502A9">
        <w:rPr>
          <w:rFonts w:cs="Arial"/>
          <w:b/>
          <w:bCs/>
        </w:rPr>
        <w:t xml:space="preserve">Figure </w:t>
      </w:r>
      <w:r w:rsidR="00A766DF">
        <w:rPr>
          <w:rFonts w:cs="Arial"/>
          <w:b/>
          <w:bCs/>
        </w:rPr>
        <w:t>2</w:t>
      </w:r>
      <w:r w:rsidRPr="004502A9">
        <w:rPr>
          <w:rFonts w:cs="Arial"/>
          <w:b/>
          <w:bCs/>
        </w:rPr>
        <w:t>-1:</w:t>
      </w:r>
      <w:r w:rsidRPr="004502A9">
        <w:rPr>
          <w:rFonts w:cs="Arial"/>
        </w:rPr>
        <w:t xml:space="preserve"> </w:t>
      </w:r>
      <w:r w:rsidR="00F9550E">
        <w:rPr>
          <w:rFonts w:cs="Arial"/>
        </w:rPr>
        <w:t>E</w:t>
      </w:r>
      <w:r w:rsidR="00F9550E" w:rsidRPr="004502A9">
        <w:rPr>
          <w:rFonts w:cs="Arial"/>
        </w:rPr>
        <w:t xml:space="preserve">xample of </w:t>
      </w:r>
      <w:r w:rsidR="00F9550E">
        <w:rPr>
          <w:rFonts w:cs="Arial"/>
        </w:rPr>
        <w:t>Aggregation of Lines of Evidence</w:t>
      </w:r>
      <w:r w:rsidR="00F9550E" w:rsidRPr="004502A9">
        <w:rPr>
          <w:rFonts w:cs="Arial"/>
        </w:rPr>
        <w:t xml:space="preserve"> into </w:t>
      </w:r>
      <w:r w:rsidR="00F9550E">
        <w:rPr>
          <w:rFonts w:eastAsia="Arial" w:cs="Arial"/>
        </w:rPr>
        <w:t xml:space="preserve">CalWQA </w:t>
      </w:r>
      <w:r w:rsidR="00F9550E" w:rsidRPr="004502A9">
        <w:rPr>
          <w:rFonts w:cs="Arial"/>
        </w:rPr>
        <w:t>Decisions</w:t>
      </w:r>
      <w:r w:rsidR="00F9550E">
        <w:rPr>
          <w:rFonts w:cs="Arial"/>
        </w:rPr>
        <w:t xml:space="preserve"> and Use Support Ratings</w:t>
      </w:r>
      <w:r w:rsidR="00F9550E" w:rsidRPr="004502A9">
        <w:rPr>
          <w:rFonts w:cs="Arial"/>
          <w:b/>
          <w:bCs/>
        </w:rPr>
        <w:t xml:space="preserve"> </w:t>
      </w:r>
    </w:p>
    <w:p w14:paraId="31CFB80B" w14:textId="782D2C03" w:rsidR="007710C3" w:rsidRPr="004502A9" w:rsidRDefault="007710C3" w:rsidP="00F9550E">
      <w:pPr>
        <w:pStyle w:val="TableofFigures"/>
        <w:tabs>
          <w:tab w:val="right" w:leader="dot" w:pos="9350"/>
        </w:tabs>
        <w:contextualSpacing/>
        <w:rPr>
          <w:rFonts w:cs="Arial"/>
        </w:rPr>
      </w:pPr>
      <w:r w:rsidRPr="004502A9">
        <w:rPr>
          <w:rFonts w:cs="Arial"/>
          <w:b/>
          <w:bCs/>
        </w:rPr>
        <w:t>Figure 2-</w:t>
      </w:r>
      <w:r w:rsidR="00EC61F5">
        <w:rPr>
          <w:rFonts w:cs="Arial"/>
          <w:b/>
          <w:bCs/>
        </w:rPr>
        <w:t>2</w:t>
      </w:r>
      <w:r w:rsidRPr="004502A9">
        <w:rPr>
          <w:rFonts w:cs="Arial"/>
          <w:b/>
          <w:bCs/>
        </w:rPr>
        <w:t>:</w:t>
      </w:r>
      <w:r w:rsidRPr="004502A9">
        <w:rPr>
          <w:rFonts w:cs="Arial"/>
        </w:rPr>
        <w:t xml:space="preserve"> </w:t>
      </w:r>
      <w:r w:rsidR="00321AE6" w:rsidRPr="004502A9">
        <w:rPr>
          <w:rFonts w:cs="Arial"/>
        </w:rPr>
        <w:t>Waterbody Fact</w:t>
      </w:r>
      <w:r w:rsidR="002C479D">
        <w:rPr>
          <w:rFonts w:cs="Arial"/>
        </w:rPr>
        <w:t xml:space="preserve"> S</w:t>
      </w:r>
      <w:r w:rsidR="00321AE6" w:rsidRPr="004502A9">
        <w:rPr>
          <w:rFonts w:cs="Arial"/>
        </w:rPr>
        <w:t>heet – Information Summary</w:t>
      </w:r>
    </w:p>
    <w:p w14:paraId="2AB4F0D2" w14:textId="40E4D159" w:rsidR="00811F85" w:rsidRPr="004502A9" w:rsidDel="00707194" w:rsidRDefault="00811F85" w:rsidP="00811F85">
      <w:pPr>
        <w:pStyle w:val="TableofFigures"/>
        <w:tabs>
          <w:tab w:val="left" w:pos="1350"/>
          <w:tab w:val="right" w:leader="dot" w:pos="9350"/>
        </w:tabs>
        <w:ind w:left="1260" w:hanging="1260"/>
        <w:contextualSpacing/>
        <w:rPr>
          <w:rFonts w:cs="Arial"/>
        </w:rPr>
      </w:pPr>
      <w:r w:rsidRPr="004502A9">
        <w:rPr>
          <w:rFonts w:cs="Arial"/>
          <w:b/>
          <w:bCs/>
        </w:rPr>
        <w:t>Figure 2-</w:t>
      </w:r>
      <w:r w:rsidR="00EC61F5">
        <w:rPr>
          <w:rFonts w:cs="Arial"/>
          <w:b/>
          <w:bCs/>
        </w:rPr>
        <w:t>3</w:t>
      </w:r>
      <w:r w:rsidRPr="004502A9">
        <w:rPr>
          <w:rFonts w:cs="Arial"/>
          <w:b/>
          <w:bCs/>
        </w:rPr>
        <w:t>:</w:t>
      </w:r>
      <w:r w:rsidRPr="004502A9">
        <w:rPr>
          <w:rFonts w:cs="Arial"/>
        </w:rPr>
        <w:t xml:space="preserve"> </w:t>
      </w:r>
      <w:r w:rsidR="00453AEC">
        <w:t xml:space="preserve">Comparison of </w:t>
      </w:r>
      <w:r w:rsidR="00313C98">
        <w:t>USEPA</w:t>
      </w:r>
      <w:r w:rsidR="00D17E40">
        <w:t>’</w:t>
      </w:r>
      <w:r w:rsidR="00453AEC">
        <w:t xml:space="preserve">s and </w:t>
      </w:r>
      <w:r w:rsidR="00453AEC">
        <w:rPr>
          <w:rFonts w:cs="Arial"/>
        </w:rPr>
        <w:t xml:space="preserve">California’s </w:t>
      </w:r>
      <w:r w:rsidR="00453AEC">
        <w:t>305(b) Integrated Report Condition Categories</w:t>
      </w:r>
    </w:p>
    <w:p w14:paraId="70109DFE" w14:textId="77777777" w:rsidR="008A3625" w:rsidRDefault="007710C3" w:rsidP="008A3625">
      <w:pPr>
        <w:pStyle w:val="TableofFigures"/>
        <w:tabs>
          <w:tab w:val="right" w:leader="dot" w:pos="9350"/>
        </w:tabs>
        <w:contextualSpacing/>
        <w:rPr>
          <w:rFonts w:cs="Arial"/>
        </w:rPr>
      </w:pPr>
      <w:r w:rsidRPr="004502A9">
        <w:rPr>
          <w:rFonts w:cs="Arial"/>
          <w:b/>
          <w:bCs/>
        </w:rPr>
        <w:t>Figure 2-</w:t>
      </w:r>
      <w:r w:rsidR="00EC61F5">
        <w:rPr>
          <w:rFonts w:cs="Arial"/>
          <w:b/>
          <w:bCs/>
        </w:rPr>
        <w:t>4</w:t>
      </w:r>
      <w:r w:rsidRPr="004502A9">
        <w:rPr>
          <w:rFonts w:cs="Arial"/>
          <w:b/>
          <w:bCs/>
        </w:rPr>
        <w:t>:</w:t>
      </w:r>
      <w:r w:rsidRPr="004502A9">
        <w:rPr>
          <w:rFonts w:cs="Arial"/>
        </w:rPr>
        <w:t xml:space="preserve"> </w:t>
      </w:r>
      <w:r w:rsidR="009A574A" w:rsidRPr="004502A9">
        <w:rPr>
          <w:rFonts w:cs="Arial"/>
        </w:rPr>
        <w:t xml:space="preserve">Examples of Integrated </w:t>
      </w:r>
      <w:r w:rsidR="00114077">
        <w:rPr>
          <w:rFonts w:cs="Arial"/>
        </w:rPr>
        <w:t>R</w:t>
      </w:r>
      <w:r w:rsidR="009A574A" w:rsidRPr="004502A9">
        <w:rPr>
          <w:rFonts w:cs="Arial"/>
        </w:rPr>
        <w:t>eport Condition Category Determination</w:t>
      </w:r>
    </w:p>
    <w:p w14:paraId="7BC458CE" w14:textId="2AE984A7" w:rsidR="00763958" w:rsidRDefault="008A3625" w:rsidP="00763958">
      <w:pPr>
        <w:pStyle w:val="TableofFigures"/>
        <w:tabs>
          <w:tab w:val="right" w:leader="dot" w:pos="9350"/>
        </w:tabs>
        <w:contextualSpacing/>
        <w:rPr>
          <w:rFonts w:cs="Arial"/>
          <w:szCs w:val="24"/>
        </w:rPr>
      </w:pPr>
      <w:r w:rsidRPr="008A3625">
        <w:rPr>
          <w:b/>
          <w:bCs/>
        </w:rPr>
        <w:t xml:space="preserve">Figure </w:t>
      </w:r>
      <w:r w:rsidR="001F3F9D">
        <w:rPr>
          <w:b/>
          <w:bCs/>
        </w:rPr>
        <w:t>5</w:t>
      </w:r>
      <w:r w:rsidRPr="008A3625">
        <w:rPr>
          <w:b/>
          <w:bCs/>
        </w:rPr>
        <w:noBreakHyphen/>
        <w:t>1:</w:t>
      </w:r>
      <w:r w:rsidRPr="008119FB">
        <w:rPr>
          <w:rFonts w:cs="Arial"/>
          <w:szCs w:val="24"/>
        </w:rPr>
        <w:t xml:space="preserve"> </w:t>
      </w:r>
      <w:r w:rsidR="00FB32BB">
        <w:rPr>
          <w:rFonts w:cs="Arial"/>
          <w:szCs w:val="24"/>
        </w:rPr>
        <w:t>Smith River Hydrologic Unit, Elk Creek Watershed Sampling Stations</w:t>
      </w:r>
    </w:p>
    <w:p w14:paraId="04263D5C" w14:textId="75990768" w:rsidR="00763958" w:rsidRPr="00763958" w:rsidRDefault="00763958" w:rsidP="001235B2">
      <w:pPr>
        <w:pStyle w:val="TableofFigures"/>
        <w:tabs>
          <w:tab w:val="right" w:leader="dot" w:pos="9350"/>
        </w:tabs>
        <w:rPr>
          <w:rFonts w:cs="Arial"/>
          <w:szCs w:val="24"/>
        </w:rPr>
      </w:pPr>
      <w:r w:rsidRPr="00763958">
        <w:rPr>
          <w:b/>
          <w:bCs/>
        </w:rPr>
        <w:t xml:space="preserve">Figure </w:t>
      </w:r>
      <w:r w:rsidR="001F3F9D">
        <w:rPr>
          <w:b/>
          <w:bCs/>
        </w:rPr>
        <w:t>5</w:t>
      </w:r>
      <w:r w:rsidRPr="00763958">
        <w:rPr>
          <w:b/>
          <w:bCs/>
        </w:rPr>
        <w:noBreakHyphen/>
      </w:r>
      <w:r w:rsidRPr="00763958">
        <w:rPr>
          <w:b/>
          <w:bCs/>
        </w:rPr>
        <w:fldChar w:fldCharType="begin"/>
      </w:r>
      <w:r w:rsidRPr="00763958">
        <w:rPr>
          <w:b/>
          <w:bCs/>
        </w:rPr>
        <w:instrText xml:space="preserve"> SEQ Figure \* ARABIC \s 1 </w:instrText>
      </w:r>
      <w:r w:rsidRPr="00763958">
        <w:rPr>
          <w:b/>
          <w:bCs/>
        </w:rPr>
        <w:fldChar w:fldCharType="separate"/>
      </w:r>
      <w:r w:rsidR="00903867">
        <w:rPr>
          <w:b/>
          <w:bCs/>
          <w:noProof/>
        </w:rPr>
        <w:t>1</w:t>
      </w:r>
      <w:r w:rsidRPr="00763958">
        <w:rPr>
          <w:b/>
          <w:bCs/>
        </w:rPr>
        <w:fldChar w:fldCharType="end"/>
      </w:r>
      <w:r w:rsidRPr="00763958">
        <w:rPr>
          <w:b/>
          <w:bCs/>
        </w:rPr>
        <w:t>:</w:t>
      </w:r>
      <w:r w:rsidRPr="00E12549">
        <w:t xml:space="preserve"> </w:t>
      </w:r>
      <w:r w:rsidRPr="00E12549">
        <w:rPr>
          <w:szCs w:val="24"/>
        </w:rPr>
        <w:t xml:space="preserve">Map of </w:t>
      </w:r>
      <w:r>
        <w:rPr>
          <w:szCs w:val="24"/>
        </w:rPr>
        <w:t>R</w:t>
      </w:r>
      <w:r w:rsidRPr="00E12549">
        <w:rPr>
          <w:szCs w:val="24"/>
        </w:rPr>
        <w:t xml:space="preserve">emoved </w:t>
      </w:r>
      <w:r>
        <w:rPr>
          <w:szCs w:val="24"/>
        </w:rPr>
        <w:t>D</w:t>
      </w:r>
      <w:r w:rsidRPr="00E12549">
        <w:rPr>
          <w:szCs w:val="24"/>
        </w:rPr>
        <w:t xml:space="preserve">ams on the </w:t>
      </w:r>
      <w:r>
        <w:rPr>
          <w:szCs w:val="24"/>
        </w:rPr>
        <w:t>M</w:t>
      </w:r>
      <w:r w:rsidRPr="00E12549">
        <w:rPr>
          <w:szCs w:val="24"/>
        </w:rPr>
        <w:t>ainstem Klamath River</w:t>
      </w:r>
    </w:p>
    <w:p w14:paraId="2A14480E" w14:textId="58415E34" w:rsidR="007710C3" w:rsidRPr="004502A9" w:rsidRDefault="007710C3" w:rsidP="001F3F9D">
      <w:pPr>
        <w:pStyle w:val="TableofFigures"/>
        <w:tabs>
          <w:tab w:val="right" w:leader="dot" w:pos="9350"/>
        </w:tabs>
        <w:spacing w:before="240"/>
        <w:contextualSpacing/>
        <w:rPr>
          <w:rFonts w:cs="Arial"/>
          <w:b/>
          <w:bCs/>
          <w:color w:val="4472C4" w:themeColor="accent1"/>
          <w:szCs w:val="24"/>
        </w:rPr>
      </w:pPr>
      <w:r w:rsidRPr="004502A9">
        <w:rPr>
          <w:rFonts w:cs="Arial"/>
          <w:b/>
          <w:bCs/>
          <w:color w:val="4472C4" w:themeColor="accent1"/>
          <w:szCs w:val="24"/>
        </w:rPr>
        <w:t>T</w:t>
      </w:r>
      <w:bookmarkStart w:id="10" w:name="_Hlk50720329"/>
      <w:r w:rsidRPr="004502A9">
        <w:rPr>
          <w:rFonts w:cs="Arial"/>
          <w:b/>
          <w:bCs/>
          <w:color w:val="4472C4" w:themeColor="accent1"/>
          <w:szCs w:val="24"/>
        </w:rPr>
        <w:t>abl</w:t>
      </w:r>
      <w:bookmarkEnd w:id="10"/>
      <w:r w:rsidRPr="004502A9">
        <w:rPr>
          <w:rFonts w:cs="Arial"/>
          <w:b/>
          <w:bCs/>
          <w:color w:val="4472C4" w:themeColor="accent1"/>
          <w:szCs w:val="24"/>
        </w:rPr>
        <w:t>es</w:t>
      </w:r>
    </w:p>
    <w:p w14:paraId="0546B8E5" w14:textId="13269FA3" w:rsidR="008F3CED" w:rsidRDefault="008F3CED" w:rsidP="0039147C">
      <w:pPr>
        <w:pStyle w:val="TableofFigures"/>
        <w:tabs>
          <w:tab w:val="right" w:leader="dot" w:pos="9350"/>
        </w:tabs>
        <w:spacing w:after="0"/>
        <w:rPr>
          <w:rFonts w:cs="Arial"/>
          <w:noProof/>
        </w:rPr>
      </w:pPr>
      <w:r>
        <w:rPr>
          <w:rFonts w:cs="Arial"/>
          <w:b/>
          <w:bCs/>
          <w:color w:val="4472C4" w:themeColor="accent1"/>
          <w:szCs w:val="24"/>
        </w:rPr>
        <w:fldChar w:fldCharType="begin"/>
      </w:r>
      <w:r>
        <w:rPr>
          <w:rFonts w:cs="Arial"/>
          <w:b/>
          <w:bCs/>
          <w:color w:val="4472C4" w:themeColor="accent1"/>
          <w:szCs w:val="24"/>
        </w:rPr>
        <w:instrText xml:space="preserve"> TOC \n \c "Table" </w:instrText>
      </w:r>
      <w:r>
        <w:rPr>
          <w:rFonts w:cs="Arial"/>
          <w:b/>
          <w:bCs/>
          <w:color w:val="4472C4" w:themeColor="accent1"/>
          <w:szCs w:val="24"/>
        </w:rPr>
        <w:fldChar w:fldCharType="separate"/>
      </w:r>
      <w:r w:rsidRPr="00A14A0D">
        <w:rPr>
          <w:rFonts w:cs="Arial"/>
          <w:b/>
          <w:bCs/>
        </w:rPr>
        <w:t>Table 2</w:t>
      </w:r>
      <w:r w:rsidRPr="00A14A0D">
        <w:rPr>
          <w:rFonts w:cs="Arial"/>
          <w:b/>
          <w:bCs/>
        </w:rPr>
        <w:noBreakHyphen/>
        <w:t>1</w:t>
      </w:r>
      <w:r w:rsidRPr="002C4721">
        <w:rPr>
          <w:rFonts w:cs="Arial"/>
          <w:noProof/>
        </w:rPr>
        <w:t>: Summary of Beneficial Uses and Common Definitions</w:t>
      </w:r>
    </w:p>
    <w:p w14:paraId="470617EF" w14:textId="77777777" w:rsidR="00F475C8" w:rsidRDefault="004F4C22" w:rsidP="002C0D4A">
      <w:pPr>
        <w:spacing w:after="0"/>
      </w:pPr>
      <w:r w:rsidRPr="00F475C8">
        <w:rPr>
          <w:b/>
          <w:bCs/>
        </w:rPr>
        <w:t>Table 2-2:</w:t>
      </w:r>
      <w:r w:rsidR="00827584">
        <w:t xml:space="preserve"> Bi</w:t>
      </w:r>
      <w:r w:rsidR="00B4755B">
        <w:t xml:space="preserve">nomial </w:t>
      </w:r>
      <w:r w:rsidR="004B2269">
        <w:t>Test</w:t>
      </w:r>
      <w:r w:rsidR="009D7131">
        <w:t xml:space="preserve"> Criteria</w:t>
      </w:r>
      <w:r w:rsidR="00F475C8">
        <w:t xml:space="preserve"> used to Determine Placement on 303(d) List</w:t>
      </w:r>
    </w:p>
    <w:p w14:paraId="0F1E3F17" w14:textId="77777777" w:rsidR="0049484D" w:rsidRDefault="00BB6B4E" w:rsidP="002C0D4A">
      <w:pPr>
        <w:spacing w:after="0"/>
      </w:pPr>
      <w:r w:rsidRPr="002C0D4A">
        <w:rPr>
          <w:b/>
          <w:bCs/>
        </w:rPr>
        <w:t>Table 2-3</w:t>
      </w:r>
      <w:r w:rsidR="002C0D4A" w:rsidRPr="002C0D4A">
        <w:rPr>
          <w:b/>
          <w:bCs/>
        </w:rPr>
        <w:t>:</w:t>
      </w:r>
      <w:r w:rsidR="002C0D4A">
        <w:rPr>
          <w:b/>
          <w:bCs/>
        </w:rPr>
        <w:t xml:space="preserve"> </w:t>
      </w:r>
      <w:r w:rsidR="002C0D4A">
        <w:t>Binomial Test</w:t>
      </w:r>
      <w:r w:rsidR="00D673D7">
        <w:t xml:space="preserve"> Criteria used to Determine </w:t>
      </w:r>
      <w:r w:rsidR="00FB61B8">
        <w:t>Removal from 303(d) List</w:t>
      </w:r>
    </w:p>
    <w:p w14:paraId="58F3FEC7" w14:textId="3C4D22BB" w:rsidR="006A4E51" w:rsidRPr="002C0D4A" w:rsidRDefault="0049484D" w:rsidP="002C0D4A">
      <w:pPr>
        <w:spacing w:after="0"/>
      </w:pPr>
      <w:r w:rsidRPr="0049484D">
        <w:rPr>
          <w:b/>
          <w:bCs/>
        </w:rPr>
        <w:t>Table 2-4:</w:t>
      </w:r>
      <w:r w:rsidRPr="0049484D">
        <w:t xml:space="preserve"> Prioritization Factors from the California’s Prioritization Framework for Plans to Restore Impaired Waterbodies Factors for TMDL Prioritization</w:t>
      </w:r>
      <w:r w:rsidR="00FB61B8">
        <w:t xml:space="preserve"> </w:t>
      </w:r>
    </w:p>
    <w:p w14:paraId="052FD22E" w14:textId="7F503609" w:rsidR="008F3CED" w:rsidRDefault="008F3CED" w:rsidP="0039147C">
      <w:pPr>
        <w:pStyle w:val="TableofFigures"/>
        <w:tabs>
          <w:tab w:val="right" w:leader="dot" w:pos="9350"/>
        </w:tabs>
        <w:spacing w:after="0"/>
        <w:rPr>
          <w:rFonts w:asciiTheme="minorHAnsi" w:eastAsiaTheme="minorEastAsia" w:hAnsiTheme="minorHAnsi" w:cstheme="minorBidi"/>
          <w:noProof/>
          <w:sz w:val="22"/>
          <w:szCs w:val="22"/>
        </w:rPr>
      </w:pPr>
      <w:r w:rsidRPr="00A14A0D">
        <w:rPr>
          <w:b/>
          <w:bCs/>
        </w:rPr>
        <w:t>Table 3</w:t>
      </w:r>
      <w:r w:rsidRPr="00A14A0D">
        <w:rPr>
          <w:b/>
          <w:bCs/>
        </w:rPr>
        <w:noBreakHyphen/>
        <w:t>1</w:t>
      </w:r>
      <w:r>
        <w:rPr>
          <w:noProof/>
        </w:rPr>
        <w:t xml:space="preserve">: </w:t>
      </w:r>
      <w:r w:rsidR="004351FE">
        <w:rPr>
          <w:noProof/>
        </w:rPr>
        <w:t xml:space="preserve">Total Hardness, DOC, and pH Default Values for each Level III Ecoregion </w:t>
      </w:r>
    </w:p>
    <w:p w14:paraId="169EEFE7" w14:textId="0A545C36" w:rsidR="008F3CED" w:rsidRDefault="008F3CED" w:rsidP="000869AD">
      <w:pPr>
        <w:pStyle w:val="TableofFigures"/>
        <w:tabs>
          <w:tab w:val="right" w:leader="dot" w:pos="9350"/>
        </w:tabs>
        <w:spacing w:after="0"/>
        <w:rPr>
          <w:rFonts w:asciiTheme="minorHAnsi" w:eastAsiaTheme="minorEastAsia" w:hAnsiTheme="minorHAnsi" w:cstheme="minorBidi"/>
          <w:noProof/>
          <w:sz w:val="22"/>
          <w:szCs w:val="22"/>
        </w:rPr>
      </w:pPr>
      <w:r w:rsidRPr="00A14A0D">
        <w:rPr>
          <w:b/>
          <w:bCs/>
        </w:rPr>
        <w:t>Table 3</w:t>
      </w:r>
      <w:r w:rsidRPr="00A14A0D">
        <w:rPr>
          <w:b/>
          <w:bCs/>
        </w:rPr>
        <w:noBreakHyphen/>
        <w:t>2</w:t>
      </w:r>
      <w:r>
        <w:rPr>
          <w:noProof/>
        </w:rPr>
        <w:t xml:space="preserve">: </w:t>
      </w:r>
      <w:r w:rsidR="003169EE">
        <w:rPr>
          <w:noProof/>
        </w:rPr>
        <w:t>Mercury Water Quality Objectives By Category, Beneficial Uses, and Fish Size</w:t>
      </w:r>
    </w:p>
    <w:p w14:paraId="67A29339" w14:textId="5EF2C0C3" w:rsidR="00AC4EBC" w:rsidRDefault="00F11727" w:rsidP="00AC4EBC">
      <w:pPr>
        <w:pStyle w:val="TableofFigures"/>
        <w:tabs>
          <w:tab w:val="right" w:leader="dot" w:pos="9350"/>
        </w:tabs>
        <w:spacing w:after="0"/>
        <w:rPr>
          <w:b/>
          <w:bCs/>
        </w:rPr>
      </w:pPr>
      <w:r w:rsidRPr="00A70120">
        <w:rPr>
          <w:b/>
          <w:bCs/>
        </w:rPr>
        <w:t xml:space="preserve">Table </w:t>
      </w:r>
      <w:r w:rsidR="00A70120" w:rsidRPr="00A70120">
        <w:rPr>
          <w:b/>
          <w:bCs/>
        </w:rPr>
        <w:t>3-</w:t>
      </w:r>
      <w:r w:rsidR="00C439B7">
        <w:rPr>
          <w:b/>
          <w:bCs/>
        </w:rPr>
        <w:t>3</w:t>
      </w:r>
      <w:r w:rsidR="00A70120">
        <w:t>: Summary Statistics of Numbers of LOEs, Number of Decisions, and Number of “Delist, and “List” Decisions After Pesticide Reassessments</w:t>
      </w:r>
      <w:r w:rsidR="00AC4EBC" w:rsidRPr="00AC4EBC">
        <w:rPr>
          <w:b/>
          <w:bCs/>
        </w:rPr>
        <w:t xml:space="preserve"> </w:t>
      </w:r>
    </w:p>
    <w:p w14:paraId="0FD76B5B" w14:textId="21D9EB68" w:rsidR="00F11727" w:rsidRDefault="00AC4EBC" w:rsidP="00AC4EBC">
      <w:pPr>
        <w:pStyle w:val="TableofFigures"/>
        <w:tabs>
          <w:tab w:val="right" w:leader="dot" w:pos="9350"/>
        </w:tabs>
        <w:spacing w:after="0"/>
        <w:rPr>
          <w:noProof/>
        </w:rPr>
      </w:pPr>
      <w:r w:rsidRPr="00A14A0D">
        <w:rPr>
          <w:b/>
          <w:bCs/>
        </w:rPr>
        <w:t>Table 3</w:t>
      </w:r>
      <w:r w:rsidRPr="00A14A0D">
        <w:rPr>
          <w:b/>
          <w:bCs/>
        </w:rPr>
        <w:noBreakHyphen/>
      </w:r>
      <w:r w:rsidR="00C439B7">
        <w:rPr>
          <w:b/>
          <w:bCs/>
        </w:rPr>
        <w:t>4</w:t>
      </w:r>
      <w:r>
        <w:rPr>
          <w:noProof/>
        </w:rPr>
        <w:t>: Aquatic Toxicity Significant Effect Categories</w:t>
      </w:r>
    </w:p>
    <w:p w14:paraId="350ECD3E" w14:textId="39CFABEA" w:rsidR="00AC4EBC" w:rsidRPr="00AC4EBC" w:rsidRDefault="00AC4EBC" w:rsidP="00AC4EBC">
      <w:pPr>
        <w:pStyle w:val="TableofFigures"/>
        <w:tabs>
          <w:tab w:val="right" w:leader="dot" w:pos="9350"/>
        </w:tabs>
        <w:spacing w:after="0"/>
      </w:pPr>
      <w:r w:rsidRPr="00A14A0D">
        <w:rPr>
          <w:b/>
          <w:bCs/>
        </w:rPr>
        <w:t>Table 3</w:t>
      </w:r>
      <w:r w:rsidRPr="00A14A0D">
        <w:rPr>
          <w:b/>
          <w:bCs/>
        </w:rPr>
        <w:noBreakHyphen/>
      </w:r>
      <w:r w:rsidR="00C439B7">
        <w:rPr>
          <w:b/>
          <w:bCs/>
        </w:rPr>
        <w:t>5</w:t>
      </w:r>
      <w:r>
        <w:rPr>
          <w:noProof/>
        </w:rPr>
        <w:t xml:space="preserve">: </w:t>
      </w:r>
      <w:r w:rsidRPr="00DD59F9">
        <w:t>Toxicity Test Methods, Regulatory Management Decision (RMD), β Error, and α Error</w:t>
      </w:r>
    </w:p>
    <w:p w14:paraId="711A7BA4" w14:textId="4FB1DE87" w:rsidR="008F3CED" w:rsidRDefault="008F3CED" w:rsidP="00A70120">
      <w:pPr>
        <w:pStyle w:val="TableofFigures"/>
        <w:tabs>
          <w:tab w:val="right" w:leader="dot" w:pos="9350"/>
        </w:tabs>
        <w:spacing w:after="0"/>
        <w:rPr>
          <w:rFonts w:asciiTheme="minorHAnsi" w:eastAsiaTheme="minorEastAsia" w:hAnsiTheme="minorHAnsi" w:cstheme="minorBidi"/>
          <w:noProof/>
          <w:sz w:val="22"/>
          <w:szCs w:val="22"/>
        </w:rPr>
      </w:pPr>
      <w:r w:rsidRPr="00A14A0D">
        <w:rPr>
          <w:b/>
          <w:bCs/>
        </w:rPr>
        <w:t>Table 3</w:t>
      </w:r>
      <w:r w:rsidRPr="00A14A0D">
        <w:rPr>
          <w:b/>
          <w:bCs/>
        </w:rPr>
        <w:noBreakHyphen/>
      </w:r>
      <w:r w:rsidR="00B65C33">
        <w:rPr>
          <w:b/>
          <w:bCs/>
        </w:rPr>
        <w:t>6</w:t>
      </w:r>
      <w:r>
        <w:rPr>
          <w:noProof/>
        </w:rPr>
        <w:t xml:space="preserve">: </w:t>
      </w:r>
      <w:r w:rsidR="004D478E">
        <w:rPr>
          <w:noProof/>
        </w:rPr>
        <w:t>CSCI Score Ranges and Biological Conditions</w:t>
      </w:r>
    </w:p>
    <w:p w14:paraId="20063C7D" w14:textId="66FCE7A6" w:rsidR="008F3CED" w:rsidRDefault="008F3CED" w:rsidP="0039147C">
      <w:pPr>
        <w:pStyle w:val="TableofFigures"/>
        <w:tabs>
          <w:tab w:val="right" w:leader="dot" w:pos="9350"/>
        </w:tabs>
        <w:spacing w:after="0"/>
        <w:rPr>
          <w:rFonts w:asciiTheme="minorHAnsi" w:eastAsiaTheme="minorEastAsia" w:hAnsiTheme="minorHAnsi" w:cstheme="minorBidi"/>
          <w:noProof/>
          <w:sz w:val="22"/>
          <w:szCs w:val="22"/>
        </w:rPr>
      </w:pPr>
      <w:r w:rsidRPr="00A14A0D">
        <w:rPr>
          <w:b/>
          <w:bCs/>
        </w:rPr>
        <w:t>Table 3</w:t>
      </w:r>
      <w:r w:rsidRPr="00A14A0D">
        <w:rPr>
          <w:b/>
          <w:bCs/>
        </w:rPr>
        <w:noBreakHyphen/>
      </w:r>
      <w:r w:rsidR="00B65C33">
        <w:rPr>
          <w:b/>
          <w:bCs/>
        </w:rPr>
        <w:t>7</w:t>
      </w:r>
      <w:r>
        <w:rPr>
          <w:noProof/>
        </w:rPr>
        <w:t xml:space="preserve">: </w:t>
      </w:r>
      <w:r w:rsidR="003D210E" w:rsidRPr="003D210E">
        <w:rPr>
          <w:noProof/>
        </w:rPr>
        <w:t>Summary of Water Quality Objectives Used for Bacteria and REC-1</w:t>
      </w:r>
    </w:p>
    <w:p w14:paraId="2A4B4F45" w14:textId="7F28BAF8" w:rsidR="008F3CED" w:rsidRDefault="008F3CED" w:rsidP="0039147C">
      <w:pPr>
        <w:pStyle w:val="TableofFigures"/>
        <w:tabs>
          <w:tab w:val="right" w:leader="dot" w:pos="9350"/>
        </w:tabs>
        <w:spacing w:after="0"/>
        <w:rPr>
          <w:rFonts w:asciiTheme="minorHAnsi" w:eastAsiaTheme="minorEastAsia" w:hAnsiTheme="minorHAnsi" w:cstheme="minorBidi"/>
          <w:noProof/>
          <w:sz w:val="22"/>
          <w:szCs w:val="22"/>
        </w:rPr>
      </w:pPr>
      <w:r w:rsidRPr="00A14A0D">
        <w:rPr>
          <w:b/>
          <w:bCs/>
        </w:rPr>
        <w:t>Table 3</w:t>
      </w:r>
      <w:r w:rsidRPr="00A14A0D">
        <w:rPr>
          <w:b/>
          <w:bCs/>
        </w:rPr>
        <w:noBreakHyphen/>
      </w:r>
      <w:r w:rsidR="00B65C33">
        <w:rPr>
          <w:b/>
          <w:bCs/>
        </w:rPr>
        <w:t>8</w:t>
      </w:r>
      <w:r>
        <w:rPr>
          <w:noProof/>
        </w:rPr>
        <w:t xml:space="preserve">: </w:t>
      </w:r>
      <w:r w:rsidR="004070C5">
        <w:rPr>
          <w:noProof/>
        </w:rPr>
        <w:t>Summary of Evaluation Guidelines used for Cyanotoxins</w:t>
      </w:r>
    </w:p>
    <w:p w14:paraId="1E8CE25E" w14:textId="1D5DBB69" w:rsidR="008F3CED" w:rsidRDefault="008F3CED" w:rsidP="0039147C">
      <w:pPr>
        <w:pStyle w:val="TableofFigures"/>
        <w:tabs>
          <w:tab w:val="right" w:leader="dot" w:pos="9350"/>
        </w:tabs>
        <w:spacing w:after="0"/>
        <w:rPr>
          <w:rFonts w:asciiTheme="minorHAnsi" w:eastAsiaTheme="minorEastAsia" w:hAnsiTheme="minorHAnsi" w:cstheme="minorBidi"/>
          <w:noProof/>
          <w:sz w:val="22"/>
          <w:szCs w:val="22"/>
        </w:rPr>
      </w:pPr>
      <w:r w:rsidRPr="00A14A0D">
        <w:rPr>
          <w:b/>
          <w:bCs/>
        </w:rPr>
        <w:t>Table 3</w:t>
      </w:r>
      <w:r w:rsidRPr="00A14A0D">
        <w:rPr>
          <w:b/>
          <w:bCs/>
        </w:rPr>
        <w:noBreakHyphen/>
      </w:r>
      <w:r w:rsidR="00B65C33">
        <w:rPr>
          <w:b/>
          <w:bCs/>
        </w:rPr>
        <w:t>9</w:t>
      </w:r>
      <w:r>
        <w:rPr>
          <w:noProof/>
        </w:rPr>
        <w:t xml:space="preserve">: </w:t>
      </w:r>
      <w:r w:rsidR="004A5B58">
        <w:rPr>
          <w:noProof/>
        </w:rPr>
        <w:t xml:space="preserve">Number of </w:t>
      </w:r>
      <w:r w:rsidR="004A5B58">
        <w:rPr>
          <w:rStyle w:val="normaltextrun"/>
          <w:rFonts w:cs="Arial"/>
          <w:color w:val="000000"/>
          <w:shd w:val="clear" w:color="auto" w:fill="FFFFFF"/>
        </w:rPr>
        <w:t>CalWQA</w:t>
      </w:r>
      <w:r w:rsidR="004A5B58">
        <w:rPr>
          <w:noProof/>
        </w:rPr>
        <w:t xml:space="preserve"> Decisions Fixed Affected By Pyrethroid Pesticide Miscalculated Organic Carbon Normalization</w:t>
      </w:r>
    </w:p>
    <w:p w14:paraId="1DD4F130" w14:textId="7E20165C" w:rsidR="008F3CED" w:rsidRDefault="008F3CED" w:rsidP="0039147C">
      <w:pPr>
        <w:pStyle w:val="TableofFigures"/>
        <w:tabs>
          <w:tab w:val="right" w:leader="dot" w:pos="9350"/>
        </w:tabs>
        <w:spacing w:after="0"/>
        <w:rPr>
          <w:noProof/>
        </w:rPr>
      </w:pPr>
      <w:r w:rsidRPr="00A14A0D">
        <w:rPr>
          <w:b/>
          <w:bCs/>
        </w:rPr>
        <w:t>Table 4</w:t>
      </w:r>
      <w:r w:rsidRPr="00A14A0D">
        <w:rPr>
          <w:b/>
          <w:bCs/>
        </w:rPr>
        <w:noBreakHyphen/>
        <w:t>1</w:t>
      </w:r>
      <w:r>
        <w:rPr>
          <w:noProof/>
        </w:rPr>
        <w:t xml:space="preserve">: </w:t>
      </w:r>
      <w:r w:rsidR="003D210E" w:rsidRPr="003D210E">
        <w:rPr>
          <w:noProof/>
        </w:rPr>
        <w:t xml:space="preserve">Nine Waterbody-Pollutant Combinations with A Data Entry Discrepancy in </w:t>
      </w:r>
    </w:p>
    <w:p w14:paraId="31B8AE36" w14:textId="61F7E52F" w:rsidR="00473AD4" w:rsidRPr="00473AD4" w:rsidRDefault="00473AD4" w:rsidP="00473AD4">
      <w:pPr>
        <w:spacing w:after="0"/>
      </w:pPr>
      <w:r w:rsidRPr="00473AD4">
        <w:rPr>
          <w:b/>
          <w:bCs/>
        </w:rPr>
        <w:t>Table 4-2</w:t>
      </w:r>
      <w:r w:rsidRPr="00473AD4">
        <w:t>: Number of CalWQA Decisions Affected by Pyrethroid Pesticide Miscalculated Organic Carbon Normalization Error</w:t>
      </w:r>
    </w:p>
    <w:p w14:paraId="646CE7D6" w14:textId="204F6248" w:rsidR="00F7287D" w:rsidRPr="001235B2" w:rsidRDefault="00143C63" w:rsidP="00F7287D">
      <w:pPr>
        <w:spacing w:after="0"/>
      </w:pPr>
      <w:r w:rsidRPr="00143C63">
        <w:rPr>
          <w:b/>
          <w:bCs/>
        </w:rPr>
        <w:t>Table 4-</w:t>
      </w:r>
      <w:r w:rsidR="00473AD4">
        <w:rPr>
          <w:b/>
          <w:bCs/>
        </w:rPr>
        <w:t>3</w:t>
      </w:r>
      <w:r w:rsidRPr="00143C63">
        <w:t>: Mapping Corrections Resulting in a Decision Change</w:t>
      </w:r>
    </w:p>
    <w:p w14:paraId="607A1241" w14:textId="3F5FDEED" w:rsidR="007362ED" w:rsidRDefault="008F3CED" w:rsidP="0039147C">
      <w:pPr>
        <w:pStyle w:val="TableofFigures"/>
        <w:tabs>
          <w:tab w:val="right" w:leader="dot" w:pos="9350"/>
        </w:tabs>
        <w:spacing w:after="0"/>
        <w:rPr>
          <w:noProof/>
        </w:rPr>
      </w:pPr>
      <w:r w:rsidRPr="00A14A0D">
        <w:rPr>
          <w:b/>
          <w:bCs/>
        </w:rPr>
        <w:t xml:space="preserve">Table </w:t>
      </w:r>
      <w:r w:rsidR="001235B2">
        <w:rPr>
          <w:b/>
          <w:bCs/>
        </w:rPr>
        <w:t>5</w:t>
      </w:r>
      <w:r w:rsidRPr="00A14A0D">
        <w:rPr>
          <w:b/>
          <w:bCs/>
        </w:rPr>
        <w:noBreakHyphen/>
        <w:t>1</w:t>
      </w:r>
      <w:r>
        <w:rPr>
          <w:noProof/>
        </w:rPr>
        <w:t>:</w:t>
      </w:r>
      <w:r w:rsidR="002A01CA">
        <w:rPr>
          <w:noProof/>
        </w:rPr>
        <w:t xml:space="preserve"> </w:t>
      </w:r>
      <w:r w:rsidR="00B5190E">
        <w:t>Newly Mapped Ocean Waterbody Segments in the North Coast Region</w:t>
      </w:r>
      <w:r w:rsidR="00B5190E" w:rsidRPr="00DD59F9" w:rsidDel="00B5190E">
        <w:rPr>
          <w:noProof/>
        </w:rPr>
        <w:t xml:space="preserve"> </w:t>
      </w:r>
      <w:r w:rsidRPr="00A14A0D">
        <w:rPr>
          <w:b/>
          <w:bCs/>
        </w:rPr>
        <w:t xml:space="preserve">Table </w:t>
      </w:r>
      <w:r w:rsidR="001235B2">
        <w:rPr>
          <w:b/>
          <w:bCs/>
        </w:rPr>
        <w:t>5</w:t>
      </w:r>
      <w:r w:rsidRPr="00A14A0D">
        <w:rPr>
          <w:b/>
          <w:bCs/>
        </w:rPr>
        <w:noBreakHyphen/>
        <w:t>2</w:t>
      </w:r>
      <w:r w:rsidR="00FB75A5">
        <w:rPr>
          <w:noProof/>
        </w:rPr>
        <w:t xml:space="preserve">: </w:t>
      </w:r>
      <w:r w:rsidR="009C6EE5" w:rsidRPr="00285CE4">
        <w:t xml:space="preserve">Russian River </w:t>
      </w:r>
      <w:r w:rsidR="00F40BC7">
        <w:t>Hydrologic Unit</w:t>
      </w:r>
      <w:r w:rsidR="009C6EE5">
        <w:t xml:space="preserve"> Reassessment</w:t>
      </w:r>
      <w:r w:rsidR="00FB32BB">
        <w:t xml:space="preserve"> and Segment Extent Changes</w:t>
      </w:r>
    </w:p>
    <w:p w14:paraId="59A97E32" w14:textId="5443254A" w:rsidR="008F3CED" w:rsidRDefault="00F83392" w:rsidP="0039147C">
      <w:pPr>
        <w:pStyle w:val="TableofFigures"/>
        <w:tabs>
          <w:tab w:val="right" w:leader="dot" w:pos="9350"/>
        </w:tabs>
        <w:spacing w:after="0"/>
        <w:rPr>
          <w:rFonts w:asciiTheme="minorHAnsi" w:eastAsiaTheme="minorEastAsia" w:hAnsiTheme="minorHAnsi" w:cstheme="minorBidi"/>
          <w:noProof/>
          <w:sz w:val="22"/>
          <w:szCs w:val="22"/>
        </w:rPr>
      </w:pPr>
      <w:r w:rsidRPr="00A14A0D">
        <w:rPr>
          <w:b/>
          <w:bCs/>
        </w:rPr>
        <w:t xml:space="preserve">Table </w:t>
      </w:r>
      <w:r w:rsidR="001235B2">
        <w:rPr>
          <w:b/>
          <w:bCs/>
        </w:rPr>
        <w:t>5</w:t>
      </w:r>
      <w:r w:rsidRPr="00A14A0D">
        <w:rPr>
          <w:b/>
          <w:bCs/>
        </w:rPr>
        <w:noBreakHyphen/>
      </w:r>
      <w:r>
        <w:rPr>
          <w:b/>
          <w:bCs/>
        </w:rPr>
        <w:t>3</w:t>
      </w:r>
      <w:r>
        <w:rPr>
          <w:noProof/>
        </w:rPr>
        <w:t xml:space="preserve">: </w:t>
      </w:r>
      <w:r w:rsidR="00F40BC7">
        <w:t xml:space="preserve">Klamath River Hydrologic Unit </w:t>
      </w:r>
      <w:r w:rsidR="00F40BC7" w:rsidRPr="00300CF1">
        <w:t>Decisions</w:t>
      </w:r>
      <w:r w:rsidR="00F40BC7" w:rsidRPr="00E12549">
        <w:t xml:space="preserve"> with </w:t>
      </w:r>
      <w:r w:rsidR="00F40BC7">
        <w:t>N</w:t>
      </w:r>
      <w:r w:rsidR="00F40BC7" w:rsidRPr="00E12549">
        <w:t xml:space="preserve">ew </w:t>
      </w:r>
      <w:r w:rsidR="00F40BC7">
        <w:t>P</w:t>
      </w:r>
      <w:r w:rsidR="00F40BC7" w:rsidRPr="00E12549">
        <w:t xml:space="preserve">ollutant </w:t>
      </w:r>
      <w:r w:rsidR="00F40BC7">
        <w:t>N</w:t>
      </w:r>
      <w:r w:rsidR="00F40BC7" w:rsidRPr="00E12549">
        <w:t>ames</w:t>
      </w:r>
    </w:p>
    <w:p w14:paraId="565B1ED4" w14:textId="5963A6C5" w:rsidR="008F3CED" w:rsidRDefault="008F3CED" w:rsidP="0039147C">
      <w:pPr>
        <w:pStyle w:val="TableofFigures"/>
        <w:tabs>
          <w:tab w:val="right" w:leader="dot" w:pos="9350"/>
        </w:tabs>
        <w:spacing w:after="0"/>
      </w:pPr>
      <w:r w:rsidRPr="00A14A0D">
        <w:rPr>
          <w:b/>
          <w:bCs/>
        </w:rPr>
        <w:t xml:space="preserve">Table </w:t>
      </w:r>
      <w:r w:rsidR="001235B2">
        <w:rPr>
          <w:b/>
          <w:bCs/>
        </w:rPr>
        <w:t>5</w:t>
      </w:r>
      <w:r w:rsidRPr="00A14A0D">
        <w:rPr>
          <w:b/>
          <w:bCs/>
        </w:rPr>
        <w:noBreakHyphen/>
      </w:r>
      <w:r w:rsidR="00F83392">
        <w:rPr>
          <w:b/>
          <w:bCs/>
        </w:rPr>
        <w:t>4</w:t>
      </w:r>
      <w:r w:rsidR="00FB75A5">
        <w:rPr>
          <w:noProof/>
        </w:rPr>
        <w:t xml:space="preserve">: </w:t>
      </w:r>
      <w:r w:rsidR="00B14D6A" w:rsidRPr="00617CE4">
        <w:t xml:space="preserve">Summary of </w:t>
      </w:r>
      <w:r w:rsidR="00B14D6A">
        <w:t>North Coast</w:t>
      </w:r>
      <w:r w:rsidR="00B14D6A" w:rsidRPr="00617CE4">
        <w:t xml:space="preserve"> </w:t>
      </w:r>
      <w:r w:rsidR="00B14D6A">
        <w:t>Region</w:t>
      </w:r>
      <w:r w:rsidR="00DA7E47">
        <w:t>al Water Board</w:t>
      </w:r>
      <w:r w:rsidR="00B14D6A">
        <w:t xml:space="preserve"> </w:t>
      </w:r>
      <w:r w:rsidR="00B14D6A" w:rsidRPr="00617CE4">
        <w:t>Waterbody</w:t>
      </w:r>
      <w:r w:rsidR="00D04DFF">
        <w:t>-</w:t>
      </w:r>
      <w:r w:rsidR="00B14D6A" w:rsidRPr="00617CE4">
        <w:t xml:space="preserve">Pollutant Combination </w:t>
      </w:r>
      <w:r w:rsidR="0051163F">
        <w:t>"</w:t>
      </w:r>
      <w:r w:rsidR="00B14D6A" w:rsidRPr="00617CE4">
        <w:t>List</w:t>
      </w:r>
      <w:r w:rsidR="0051163F">
        <w:t>"</w:t>
      </w:r>
      <w:r w:rsidR="00B14D6A" w:rsidRPr="00617CE4">
        <w:t xml:space="preserve"> </w:t>
      </w:r>
      <w:r w:rsidR="00345F68">
        <w:t>Decisions</w:t>
      </w:r>
      <w:r w:rsidR="00345F68" w:rsidRPr="00617CE4">
        <w:t xml:space="preserve"> </w:t>
      </w:r>
      <w:r w:rsidR="00B14D6A" w:rsidRPr="00617CE4">
        <w:t>by Pollutant Category</w:t>
      </w:r>
    </w:p>
    <w:p w14:paraId="32C37617" w14:textId="6134E01F" w:rsidR="00345F68" w:rsidRDefault="00345F68" w:rsidP="00345F68">
      <w:pPr>
        <w:spacing w:after="0"/>
      </w:pPr>
      <w:r w:rsidRPr="00345F68">
        <w:rPr>
          <w:b/>
          <w:bCs/>
        </w:rPr>
        <w:t xml:space="preserve">Table </w:t>
      </w:r>
      <w:r w:rsidR="001235B2">
        <w:rPr>
          <w:b/>
          <w:bCs/>
        </w:rPr>
        <w:t>5</w:t>
      </w:r>
      <w:r w:rsidRPr="00345F68">
        <w:rPr>
          <w:b/>
          <w:bCs/>
        </w:rPr>
        <w:t>-5</w:t>
      </w:r>
      <w:r w:rsidRPr="00345F68">
        <w:t>: Summary of North Coast Region</w:t>
      </w:r>
      <w:r w:rsidR="00502B93">
        <w:t>al Water Board</w:t>
      </w:r>
      <w:r w:rsidRPr="00345F68">
        <w:t xml:space="preserve"> Waterbody-Pollutant Combination </w:t>
      </w:r>
      <w:r w:rsidR="00C30D91">
        <w:t>"</w:t>
      </w:r>
      <w:r w:rsidRPr="00345F68">
        <w:t>Delist</w:t>
      </w:r>
      <w:r w:rsidR="00C30D91">
        <w:t>"</w:t>
      </w:r>
      <w:r w:rsidRPr="00345F68">
        <w:t xml:space="preserve"> Decisions by Pollutant Category</w:t>
      </w:r>
    </w:p>
    <w:p w14:paraId="1EE2FE16" w14:textId="05ED3154" w:rsidR="00345F68" w:rsidRDefault="00345F68" w:rsidP="00345F68">
      <w:pPr>
        <w:spacing w:after="0"/>
      </w:pPr>
      <w:r w:rsidRPr="00345F68">
        <w:rPr>
          <w:b/>
          <w:bCs/>
        </w:rPr>
        <w:t xml:space="preserve">Table </w:t>
      </w:r>
      <w:r w:rsidR="001235B2">
        <w:rPr>
          <w:b/>
          <w:bCs/>
        </w:rPr>
        <w:t>5</w:t>
      </w:r>
      <w:r w:rsidRPr="00345F68">
        <w:rPr>
          <w:b/>
          <w:bCs/>
        </w:rPr>
        <w:t>-6</w:t>
      </w:r>
      <w:r>
        <w:t xml:space="preserve">: </w:t>
      </w:r>
      <w:r w:rsidRPr="00345F68">
        <w:t xml:space="preserve">North Coast </w:t>
      </w:r>
      <w:r w:rsidR="00DA0245">
        <w:t xml:space="preserve">Regional Water Board </w:t>
      </w:r>
      <w:r w:rsidR="00DA0245" w:rsidRPr="00345F68">
        <w:t xml:space="preserve">High Priority </w:t>
      </w:r>
      <w:r w:rsidRPr="00345F68">
        <w:t>TMDLs</w:t>
      </w:r>
    </w:p>
    <w:p w14:paraId="6A0F5114" w14:textId="05CF34E6" w:rsidR="00C876E5" w:rsidRDefault="00C876E5" w:rsidP="00345F68">
      <w:pPr>
        <w:spacing w:after="0"/>
      </w:pPr>
      <w:r w:rsidRPr="00556350">
        <w:rPr>
          <w:b/>
          <w:bCs/>
        </w:rPr>
        <w:t xml:space="preserve">Table </w:t>
      </w:r>
      <w:r w:rsidR="001235B2">
        <w:rPr>
          <w:b/>
          <w:bCs/>
        </w:rPr>
        <w:t>6</w:t>
      </w:r>
      <w:r w:rsidRPr="00556350">
        <w:rPr>
          <w:b/>
          <w:bCs/>
        </w:rPr>
        <w:t>-1</w:t>
      </w:r>
      <w:r>
        <w:t>:</w:t>
      </w:r>
      <w:r w:rsidR="00556350">
        <w:t xml:space="preserve"> </w:t>
      </w:r>
      <w:r w:rsidR="00556350" w:rsidRPr="00D52FEF">
        <w:t>Secondary Maximum Contaminant Levels 'Consumer Acceptance Contaminant Level Ranges</w:t>
      </w:r>
      <w:r w:rsidR="00751155">
        <w:t>'</w:t>
      </w:r>
      <w:r w:rsidR="00E93887" w:rsidRPr="00E93887">
        <w:t xml:space="preserve"> </w:t>
      </w:r>
      <w:r w:rsidR="00E93887">
        <w:t>(</w:t>
      </w:r>
      <w:r w:rsidR="00E93887" w:rsidRPr="00D52FEF">
        <w:t>Title 22, California Code of Regulations; Table 64449 B</w:t>
      </w:r>
      <w:r w:rsidR="00E93887">
        <w:t>)</w:t>
      </w:r>
    </w:p>
    <w:p w14:paraId="545EA98B" w14:textId="52E55DB6" w:rsidR="00C876E5" w:rsidRDefault="00C876E5" w:rsidP="00345F68">
      <w:pPr>
        <w:spacing w:after="0"/>
      </w:pPr>
      <w:r w:rsidRPr="00556350">
        <w:rPr>
          <w:b/>
          <w:bCs/>
        </w:rPr>
        <w:t xml:space="preserve">Table </w:t>
      </w:r>
      <w:r w:rsidR="001235B2">
        <w:rPr>
          <w:b/>
          <w:bCs/>
        </w:rPr>
        <w:t>6</w:t>
      </w:r>
      <w:r w:rsidRPr="00556350">
        <w:rPr>
          <w:b/>
          <w:bCs/>
        </w:rPr>
        <w:t>-2</w:t>
      </w:r>
      <w:r>
        <w:t>:</w:t>
      </w:r>
      <w:r w:rsidR="00556350">
        <w:t xml:space="preserve"> </w:t>
      </w:r>
      <w:r w:rsidR="00556350" w:rsidRPr="00556350">
        <w:t>Summary of Central Valley Region</w:t>
      </w:r>
      <w:r w:rsidR="00DA41AF">
        <w:t>al Water Board</w:t>
      </w:r>
      <w:r w:rsidR="00556350" w:rsidRPr="00556350">
        <w:t xml:space="preserve"> Waterbody-Pollutant Combination </w:t>
      </w:r>
      <w:r w:rsidR="00DA41AF">
        <w:t>"</w:t>
      </w:r>
      <w:r w:rsidR="00556350" w:rsidRPr="00556350">
        <w:t>List</w:t>
      </w:r>
      <w:r w:rsidR="00DA41AF">
        <w:t>"</w:t>
      </w:r>
      <w:r w:rsidR="00556350" w:rsidRPr="00556350">
        <w:t xml:space="preserve"> </w:t>
      </w:r>
      <w:r w:rsidR="00556350">
        <w:t>Decisions</w:t>
      </w:r>
      <w:r w:rsidR="00556350" w:rsidRPr="00556350">
        <w:t xml:space="preserve"> by Pollutant Category</w:t>
      </w:r>
      <w:r w:rsidR="00556350">
        <w:t xml:space="preserve"> </w:t>
      </w:r>
    </w:p>
    <w:p w14:paraId="62F5439C" w14:textId="3F092F0D" w:rsidR="00556350" w:rsidRPr="00345F68" w:rsidRDefault="00556350" w:rsidP="00345F68">
      <w:pPr>
        <w:spacing w:after="0"/>
      </w:pPr>
      <w:r w:rsidRPr="00556350">
        <w:rPr>
          <w:b/>
          <w:bCs/>
        </w:rPr>
        <w:t xml:space="preserve">Table </w:t>
      </w:r>
      <w:r w:rsidR="001235B2">
        <w:rPr>
          <w:b/>
          <w:bCs/>
        </w:rPr>
        <w:t>6</w:t>
      </w:r>
      <w:r w:rsidRPr="00556350">
        <w:rPr>
          <w:b/>
          <w:bCs/>
        </w:rPr>
        <w:t>-3</w:t>
      </w:r>
      <w:r>
        <w:t xml:space="preserve">: </w:t>
      </w:r>
      <w:r w:rsidRPr="00556350">
        <w:t>Summary of Central Valley Region</w:t>
      </w:r>
      <w:r w:rsidR="00502B93">
        <w:t>al Water Board</w:t>
      </w:r>
      <w:r w:rsidRPr="00556350">
        <w:t xml:space="preserve"> Waterbody-Pollutant Combination </w:t>
      </w:r>
      <w:r w:rsidR="00502B93">
        <w:t>"</w:t>
      </w:r>
      <w:r w:rsidRPr="00556350">
        <w:t>Delist</w:t>
      </w:r>
      <w:r w:rsidR="00502B93">
        <w:t>"</w:t>
      </w:r>
      <w:r w:rsidRPr="00556350">
        <w:t xml:space="preserve"> Decisions by Pollutant Category</w:t>
      </w:r>
    </w:p>
    <w:p w14:paraId="6B538113" w14:textId="7909A51A" w:rsidR="008F3CED" w:rsidRDefault="008F3CED" w:rsidP="0039147C">
      <w:pPr>
        <w:pStyle w:val="TableofFigures"/>
        <w:tabs>
          <w:tab w:val="right" w:leader="dot" w:pos="9350"/>
        </w:tabs>
        <w:spacing w:after="0"/>
        <w:rPr>
          <w:rFonts w:asciiTheme="minorHAnsi" w:eastAsiaTheme="minorEastAsia" w:hAnsiTheme="minorHAnsi" w:cstheme="minorBidi"/>
          <w:noProof/>
          <w:sz w:val="22"/>
          <w:szCs w:val="22"/>
        </w:rPr>
      </w:pPr>
      <w:r w:rsidRPr="00A14A0D">
        <w:rPr>
          <w:b/>
          <w:bCs/>
        </w:rPr>
        <w:t xml:space="preserve">Table </w:t>
      </w:r>
      <w:r w:rsidR="001235B2">
        <w:rPr>
          <w:b/>
          <w:bCs/>
        </w:rPr>
        <w:t>7</w:t>
      </w:r>
      <w:r w:rsidRPr="00A14A0D">
        <w:rPr>
          <w:b/>
          <w:bCs/>
        </w:rPr>
        <w:noBreakHyphen/>
        <w:t>1</w:t>
      </w:r>
      <w:r w:rsidR="00FB75A5">
        <w:rPr>
          <w:noProof/>
        </w:rPr>
        <w:t xml:space="preserve">: </w:t>
      </w:r>
      <w:r w:rsidR="00EE138F" w:rsidRPr="00EE138F">
        <w:rPr>
          <w:noProof/>
        </w:rPr>
        <w:t>Summary of Lahontan Region</w:t>
      </w:r>
      <w:r w:rsidR="002067CF">
        <w:rPr>
          <w:noProof/>
        </w:rPr>
        <w:t>al Water Board</w:t>
      </w:r>
      <w:r w:rsidR="00EE138F" w:rsidRPr="00EE138F">
        <w:rPr>
          <w:noProof/>
        </w:rPr>
        <w:t xml:space="preserve"> Waterbody-Pollutant Combination </w:t>
      </w:r>
      <w:r w:rsidR="00ED354A">
        <w:rPr>
          <w:noProof/>
        </w:rPr>
        <w:t>"</w:t>
      </w:r>
      <w:r w:rsidR="00EE138F" w:rsidRPr="00EE138F">
        <w:rPr>
          <w:noProof/>
        </w:rPr>
        <w:t>List</w:t>
      </w:r>
      <w:r w:rsidR="00ED354A">
        <w:rPr>
          <w:noProof/>
        </w:rPr>
        <w:t>"</w:t>
      </w:r>
      <w:r w:rsidR="00EE138F" w:rsidRPr="00EE138F">
        <w:rPr>
          <w:noProof/>
        </w:rPr>
        <w:t xml:space="preserve"> Decisions by Pollutant Category</w:t>
      </w:r>
    </w:p>
    <w:p w14:paraId="7D8B940C" w14:textId="33517F92" w:rsidR="008F3CED" w:rsidRDefault="008F3CED" w:rsidP="0039147C">
      <w:pPr>
        <w:pStyle w:val="TableofFigures"/>
        <w:tabs>
          <w:tab w:val="right" w:leader="dot" w:pos="9350"/>
        </w:tabs>
        <w:spacing w:after="0"/>
        <w:rPr>
          <w:rFonts w:asciiTheme="minorHAnsi" w:eastAsiaTheme="minorEastAsia" w:hAnsiTheme="minorHAnsi" w:cstheme="minorBidi"/>
          <w:noProof/>
          <w:sz w:val="22"/>
          <w:szCs w:val="22"/>
        </w:rPr>
      </w:pPr>
      <w:r w:rsidRPr="00A14A0D">
        <w:rPr>
          <w:b/>
          <w:bCs/>
        </w:rPr>
        <w:t xml:space="preserve">Table </w:t>
      </w:r>
      <w:r w:rsidR="001235B2">
        <w:rPr>
          <w:b/>
          <w:bCs/>
        </w:rPr>
        <w:t>7</w:t>
      </w:r>
      <w:r w:rsidRPr="00A14A0D">
        <w:rPr>
          <w:b/>
          <w:bCs/>
        </w:rPr>
        <w:noBreakHyphen/>
        <w:t>2</w:t>
      </w:r>
      <w:r w:rsidR="00025E88" w:rsidRPr="00025E88">
        <w:rPr>
          <w:noProof/>
        </w:rPr>
        <w:t>: Summary of Lahontan Region</w:t>
      </w:r>
      <w:r w:rsidR="00ED354A">
        <w:rPr>
          <w:noProof/>
        </w:rPr>
        <w:t>al Water Board</w:t>
      </w:r>
      <w:r w:rsidR="00025E88" w:rsidRPr="00025E88">
        <w:rPr>
          <w:noProof/>
        </w:rPr>
        <w:t xml:space="preserve"> Waterbody-Pollutant Combination </w:t>
      </w:r>
      <w:r w:rsidR="00ED354A">
        <w:rPr>
          <w:noProof/>
        </w:rPr>
        <w:t>"</w:t>
      </w:r>
      <w:r w:rsidR="00025E88" w:rsidRPr="00025E88">
        <w:rPr>
          <w:noProof/>
        </w:rPr>
        <w:t>Delist</w:t>
      </w:r>
      <w:r w:rsidR="00ED354A">
        <w:rPr>
          <w:noProof/>
        </w:rPr>
        <w:t>"</w:t>
      </w:r>
      <w:r w:rsidR="00025E88" w:rsidRPr="00025E88">
        <w:rPr>
          <w:noProof/>
        </w:rPr>
        <w:t xml:space="preserve"> Decisions by Pollutant Category</w:t>
      </w:r>
    </w:p>
    <w:p w14:paraId="2B1EC7A6" w14:textId="55810567" w:rsidR="008F3CED" w:rsidRDefault="008F3CED" w:rsidP="0039147C">
      <w:pPr>
        <w:pStyle w:val="TableofFigures"/>
        <w:tabs>
          <w:tab w:val="right" w:leader="dot" w:pos="9350"/>
        </w:tabs>
        <w:spacing w:after="0"/>
        <w:rPr>
          <w:rFonts w:asciiTheme="minorHAnsi" w:eastAsiaTheme="minorEastAsia" w:hAnsiTheme="minorHAnsi" w:cstheme="minorBidi"/>
          <w:noProof/>
          <w:sz w:val="22"/>
          <w:szCs w:val="22"/>
        </w:rPr>
      </w:pPr>
      <w:r w:rsidRPr="00A14A0D">
        <w:rPr>
          <w:b/>
          <w:bCs/>
        </w:rPr>
        <w:t xml:space="preserve">Table </w:t>
      </w:r>
      <w:r w:rsidR="001235B2">
        <w:rPr>
          <w:b/>
          <w:bCs/>
        </w:rPr>
        <w:t>8</w:t>
      </w:r>
      <w:r w:rsidRPr="00A14A0D">
        <w:rPr>
          <w:b/>
          <w:bCs/>
        </w:rPr>
        <w:noBreakHyphen/>
        <w:t>1</w:t>
      </w:r>
      <w:r w:rsidR="00FB75A5">
        <w:rPr>
          <w:noProof/>
        </w:rPr>
        <w:t xml:space="preserve">: </w:t>
      </w:r>
      <w:r w:rsidR="00025E88" w:rsidRPr="00025E88">
        <w:rPr>
          <w:noProof/>
        </w:rPr>
        <w:t>Summary of Colorado River Basin Region</w:t>
      </w:r>
      <w:r w:rsidR="00ED354A">
        <w:rPr>
          <w:noProof/>
        </w:rPr>
        <w:t>al Water Board</w:t>
      </w:r>
      <w:r w:rsidR="00025E88" w:rsidRPr="00025E88">
        <w:rPr>
          <w:noProof/>
        </w:rPr>
        <w:t xml:space="preserve"> Waterbody-Pollutant Combination </w:t>
      </w:r>
      <w:r w:rsidR="00ED354A">
        <w:rPr>
          <w:noProof/>
        </w:rPr>
        <w:t>"</w:t>
      </w:r>
      <w:r w:rsidR="00025E88" w:rsidRPr="00025E88">
        <w:rPr>
          <w:noProof/>
        </w:rPr>
        <w:t>List</w:t>
      </w:r>
      <w:r w:rsidR="00ED354A">
        <w:rPr>
          <w:noProof/>
        </w:rPr>
        <w:t>"</w:t>
      </w:r>
      <w:r w:rsidR="00025E88" w:rsidRPr="00025E88">
        <w:rPr>
          <w:noProof/>
        </w:rPr>
        <w:t xml:space="preserve"> Decisions by Pollutant Category</w:t>
      </w:r>
    </w:p>
    <w:p w14:paraId="7A9D76B8" w14:textId="479E0BB7" w:rsidR="000D02DB" w:rsidRPr="000D02DB" w:rsidRDefault="008F3CED" w:rsidP="000D02DB">
      <w:pPr>
        <w:pStyle w:val="TableofFigures"/>
        <w:tabs>
          <w:tab w:val="right" w:leader="dot" w:pos="9350"/>
        </w:tabs>
        <w:spacing w:after="0"/>
        <w:rPr>
          <w:noProof/>
        </w:rPr>
      </w:pPr>
      <w:r w:rsidRPr="00A14A0D">
        <w:rPr>
          <w:b/>
          <w:bCs/>
        </w:rPr>
        <w:t xml:space="preserve">Table </w:t>
      </w:r>
      <w:r w:rsidR="001235B2">
        <w:rPr>
          <w:b/>
          <w:bCs/>
        </w:rPr>
        <w:t>8</w:t>
      </w:r>
      <w:r w:rsidRPr="00A14A0D">
        <w:rPr>
          <w:b/>
          <w:bCs/>
        </w:rPr>
        <w:noBreakHyphen/>
        <w:t>2</w:t>
      </w:r>
      <w:r w:rsidR="00FB75A5">
        <w:rPr>
          <w:noProof/>
        </w:rPr>
        <w:t xml:space="preserve">: </w:t>
      </w:r>
      <w:r w:rsidR="00025E88" w:rsidRPr="00025E88">
        <w:rPr>
          <w:noProof/>
        </w:rPr>
        <w:t>Summary Colorado River Basin Region</w:t>
      </w:r>
      <w:r w:rsidR="00ED354A">
        <w:rPr>
          <w:noProof/>
        </w:rPr>
        <w:t>al Water Board</w:t>
      </w:r>
      <w:r w:rsidR="00025E88" w:rsidRPr="00025E88">
        <w:rPr>
          <w:noProof/>
        </w:rPr>
        <w:t xml:space="preserve"> Waterbody-Pollutant Combination </w:t>
      </w:r>
      <w:r w:rsidR="00FD75F9">
        <w:rPr>
          <w:noProof/>
        </w:rPr>
        <w:t>"</w:t>
      </w:r>
      <w:r w:rsidR="00025E88" w:rsidRPr="00025E88">
        <w:rPr>
          <w:noProof/>
        </w:rPr>
        <w:t>Delist</w:t>
      </w:r>
      <w:r w:rsidR="00FD75F9">
        <w:rPr>
          <w:noProof/>
        </w:rPr>
        <w:t>"</w:t>
      </w:r>
      <w:r w:rsidR="00025E88" w:rsidRPr="00025E88">
        <w:rPr>
          <w:noProof/>
        </w:rPr>
        <w:t xml:space="preserve"> Decisions by Pollutant Category</w:t>
      </w:r>
    </w:p>
    <w:p w14:paraId="6A2F1838" w14:textId="1017FAB1" w:rsidR="0088272F" w:rsidRDefault="0088272F" w:rsidP="0088272F">
      <w:pPr>
        <w:spacing w:after="0"/>
      </w:pPr>
      <w:r w:rsidRPr="007A2E7A">
        <w:rPr>
          <w:b/>
          <w:bCs/>
        </w:rPr>
        <w:t xml:space="preserve">Table </w:t>
      </w:r>
      <w:r w:rsidR="001235B2">
        <w:rPr>
          <w:b/>
          <w:bCs/>
        </w:rPr>
        <w:t>8</w:t>
      </w:r>
      <w:r w:rsidR="007A2E7A" w:rsidRPr="007A2E7A">
        <w:rPr>
          <w:b/>
          <w:bCs/>
        </w:rPr>
        <w:t>-</w:t>
      </w:r>
      <w:r w:rsidR="000D02DB">
        <w:rPr>
          <w:b/>
          <w:bCs/>
        </w:rPr>
        <w:t>3</w:t>
      </w:r>
      <w:r w:rsidR="00FB75A5">
        <w:t xml:space="preserve">: </w:t>
      </w:r>
      <w:r w:rsidR="000D02DB" w:rsidRPr="000D02DB">
        <w:t xml:space="preserve">Colorado River Basin </w:t>
      </w:r>
      <w:r w:rsidR="00FD75F9">
        <w:t xml:space="preserve">Regional Water Board </w:t>
      </w:r>
      <w:r w:rsidR="000D02DB" w:rsidRPr="000D02DB">
        <w:t>High Priority TMDLs</w:t>
      </w:r>
    </w:p>
    <w:p w14:paraId="4C61EC2A" w14:textId="44EF0E36" w:rsidR="00106B95" w:rsidRDefault="00DE1C86" w:rsidP="009D01F7">
      <w:pPr>
        <w:spacing w:after="0"/>
      </w:pPr>
      <w:r w:rsidRPr="00106B95">
        <w:rPr>
          <w:b/>
          <w:bCs/>
        </w:rPr>
        <w:t xml:space="preserve">Table </w:t>
      </w:r>
      <w:r w:rsidR="001235B2">
        <w:rPr>
          <w:b/>
          <w:bCs/>
        </w:rPr>
        <w:t>9</w:t>
      </w:r>
      <w:r w:rsidR="00106B95" w:rsidRPr="00106B95">
        <w:rPr>
          <w:b/>
          <w:bCs/>
        </w:rPr>
        <w:t>-1</w:t>
      </w:r>
      <w:r w:rsidR="00106B95">
        <w:t xml:space="preserve">: </w:t>
      </w:r>
      <w:r w:rsidR="00C27E8B" w:rsidRPr="00106B95">
        <w:t>Summary of San Diego Region</w:t>
      </w:r>
      <w:r w:rsidR="00C27E8B">
        <w:t>al Water Board</w:t>
      </w:r>
      <w:r w:rsidR="00C27E8B" w:rsidRPr="00106B95">
        <w:t xml:space="preserve"> Waterbody-Pollutant Combination </w:t>
      </w:r>
      <w:r w:rsidR="00C27E8B">
        <w:t>"L</w:t>
      </w:r>
      <w:r w:rsidR="00C27E8B" w:rsidRPr="00106B95">
        <w:t>ist</w:t>
      </w:r>
      <w:r w:rsidR="00C27E8B">
        <w:t>"</w:t>
      </w:r>
      <w:r w:rsidR="00C27E8B" w:rsidRPr="00106B95">
        <w:t xml:space="preserve"> Decisions by Pollutant Category</w:t>
      </w:r>
    </w:p>
    <w:p w14:paraId="3D4C2909" w14:textId="7E3F76A8" w:rsidR="00C27E8B" w:rsidRPr="0088272F" w:rsidRDefault="00C27E8B" w:rsidP="009D01F7">
      <w:pPr>
        <w:spacing w:after="0"/>
      </w:pPr>
      <w:r w:rsidRPr="00106B95">
        <w:rPr>
          <w:b/>
          <w:bCs/>
        </w:rPr>
        <w:t xml:space="preserve">Table </w:t>
      </w:r>
      <w:r>
        <w:rPr>
          <w:b/>
          <w:bCs/>
        </w:rPr>
        <w:t>9</w:t>
      </w:r>
      <w:r w:rsidRPr="00106B95">
        <w:rPr>
          <w:b/>
          <w:bCs/>
        </w:rPr>
        <w:t>-</w:t>
      </w:r>
      <w:r>
        <w:rPr>
          <w:b/>
          <w:bCs/>
        </w:rPr>
        <w:t>2</w:t>
      </w:r>
      <w:r>
        <w:t>:</w:t>
      </w:r>
      <w:r w:rsidRPr="00C27E8B">
        <w:t xml:space="preserve"> </w:t>
      </w:r>
      <w:r w:rsidRPr="00106B95">
        <w:t>Summary of San Diego Region</w:t>
      </w:r>
      <w:r>
        <w:t>al Water Board</w:t>
      </w:r>
      <w:r w:rsidRPr="00106B95">
        <w:t xml:space="preserve"> Waterbody-Pollutant Combination </w:t>
      </w:r>
      <w:r>
        <w:t>"</w:t>
      </w:r>
      <w:r w:rsidRPr="00106B95">
        <w:t>Delist</w:t>
      </w:r>
      <w:r>
        <w:t>"</w:t>
      </w:r>
      <w:r w:rsidRPr="00106B95">
        <w:t xml:space="preserve"> Decisions by Pollutant Category</w:t>
      </w:r>
    </w:p>
    <w:p w14:paraId="5AD4878F" w14:textId="3573B137" w:rsidR="008F3CED" w:rsidRDefault="008F3CED" w:rsidP="0039147C">
      <w:pPr>
        <w:pStyle w:val="TableofFigures"/>
        <w:tabs>
          <w:tab w:val="right" w:leader="dot" w:pos="9350"/>
        </w:tabs>
        <w:spacing w:after="0"/>
        <w:rPr>
          <w:rFonts w:asciiTheme="minorHAnsi" w:eastAsiaTheme="minorEastAsia" w:hAnsiTheme="minorHAnsi" w:cstheme="minorBidi"/>
          <w:noProof/>
          <w:sz w:val="22"/>
          <w:szCs w:val="22"/>
        </w:rPr>
      </w:pPr>
      <w:r w:rsidRPr="00A14A0D">
        <w:rPr>
          <w:b/>
          <w:bCs/>
        </w:rPr>
        <w:t>Table 1</w:t>
      </w:r>
      <w:r w:rsidR="001235B2">
        <w:rPr>
          <w:b/>
          <w:bCs/>
        </w:rPr>
        <w:t>0</w:t>
      </w:r>
      <w:r w:rsidRPr="00A14A0D">
        <w:rPr>
          <w:b/>
          <w:bCs/>
        </w:rPr>
        <w:noBreakHyphen/>
        <w:t>1</w:t>
      </w:r>
      <w:r w:rsidR="00FB75A5">
        <w:rPr>
          <w:noProof/>
        </w:rPr>
        <w:t xml:space="preserve">: </w:t>
      </w:r>
      <w:r w:rsidR="006149E7" w:rsidRPr="006149E7">
        <w:rPr>
          <w:noProof/>
        </w:rPr>
        <w:t>New “List” and “Delist” Decisions for the 303(d) List Portion of the 2026 California Integrated Report</w:t>
      </w:r>
    </w:p>
    <w:p w14:paraId="3D9B1820" w14:textId="0152DA07" w:rsidR="004B75FD" w:rsidRPr="006F5F5A" w:rsidRDefault="004B75FD" w:rsidP="0039147C">
      <w:pPr>
        <w:pStyle w:val="TableofFigures"/>
        <w:tabs>
          <w:tab w:val="right" w:leader="dot" w:pos="9350"/>
        </w:tabs>
        <w:spacing w:after="0"/>
      </w:pPr>
      <w:r w:rsidRPr="00A14A0D">
        <w:rPr>
          <w:b/>
          <w:bCs/>
        </w:rPr>
        <w:t>Table 1</w:t>
      </w:r>
      <w:r w:rsidR="001235B2">
        <w:rPr>
          <w:b/>
          <w:bCs/>
        </w:rPr>
        <w:t>1</w:t>
      </w:r>
      <w:r w:rsidRPr="00A14A0D">
        <w:rPr>
          <w:b/>
          <w:bCs/>
        </w:rPr>
        <w:noBreakHyphen/>
      </w:r>
      <w:r>
        <w:rPr>
          <w:b/>
          <w:bCs/>
        </w:rPr>
        <w:t>1:</w:t>
      </w:r>
      <w:r w:rsidR="006F5F5A">
        <w:t xml:space="preserve"> </w:t>
      </w:r>
      <w:r w:rsidR="007E33DB" w:rsidRPr="007E33DB">
        <w:t>Count of Waterbodies in California’s 305(b) Integrated Report Condition Categories – Streams, Rivers, and Coastal Beaches</w:t>
      </w:r>
    </w:p>
    <w:p w14:paraId="26615D0E" w14:textId="32F233F7" w:rsidR="008F3CED" w:rsidRDefault="008F3CED" w:rsidP="0039147C">
      <w:pPr>
        <w:pStyle w:val="TableofFigures"/>
        <w:tabs>
          <w:tab w:val="right" w:leader="dot" w:pos="9350"/>
        </w:tabs>
        <w:spacing w:after="0"/>
        <w:rPr>
          <w:rFonts w:asciiTheme="minorHAnsi" w:eastAsiaTheme="minorEastAsia" w:hAnsiTheme="minorHAnsi" w:cstheme="minorBidi"/>
          <w:noProof/>
          <w:sz w:val="22"/>
          <w:szCs w:val="22"/>
        </w:rPr>
      </w:pPr>
      <w:r w:rsidRPr="00A14A0D">
        <w:rPr>
          <w:b/>
          <w:bCs/>
        </w:rPr>
        <w:t>Table 1</w:t>
      </w:r>
      <w:r w:rsidR="00C40EE2">
        <w:rPr>
          <w:b/>
          <w:bCs/>
        </w:rPr>
        <w:t>1</w:t>
      </w:r>
      <w:r w:rsidRPr="00A14A0D">
        <w:rPr>
          <w:b/>
          <w:bCs/>
        </w:rPr>
        <w:noBreakHyphen/>
        <w:t>2</w:t>
      </w:r>
      <w:r w:rsidR="00FB75A5">
        <w:rPr>
          <w:noProof/>
        </w:rPr>
        <w:t xml:space="preserve">: </w:t>
      </w:r>
      <w:r>
        <w:rPr>
          <w:noProof/>
        </w:rPr>
        <w:t xml:space="preserve">Count of Waterbodies in </w:t>
      </w:r>
      <w:r w:rsidR="00017589">
        <w:rPr>
          <w:noProof/>
        </w:rPr>
        <w:t xml:space="preserve">California's </w:t>
      </w:r>
      <w:r>
        <w:rPr>
          <w:noProof/>
        </w:rPr>
        <w:t>305(b) Integrated Report Condition Categories – Lakes, Reservoirs, Enclosed Bays, Estuaries, and Ocean Waters</w:t>
      </w:r>
    </w:p>
    <w:p w14:paraId="6F1AC40B" w14:textId="6A92C709" w:rsidR="007710C3" w:rsidRPr="004502A9" w:rsidRDefault="008F3CED" w:rsidP="00A61E2C">
      <w:pPr>
        <w:pStyle w:val="Heading1"/>
        <w:numPr>
          <w:ilvl w:val="0"/>
          <w:numId w:val="0"/>
        </w:numPr>
        <w:spacing w:before="240"/>
      </w:pPr>
      <w:r>
        <w:rPr>
          <w:b w:val="0"/>
          <w:bCs w:val="0"/>
          <w:color w:val="4472C4" w:themeColor="accent1"/>
          <w:szCs w:val="24"/>
        </w:rPr>
        <w:fldChar w:fldCharType="end"/>
      </w:r>
      <w:bookmarkStart w:id="11" w:name="_Toc35339580"/>
      <w:bookmarkStart w:id="12" w:name="_Toc50714138"/>
      <w:bookmarkStart w:id="13" w:name="_Toc189048539"/>
      <w:r w:rsidR="007710C3" w:rsidRPr="004502A9">
        <w:t>List of Regulatory Acronyms</w:t>
      </w:r>
      <w:r w:rsidR="00345FF2">
        <w:t>, Initialisms,</w:t>
      </w:r>
      <w:r w:rsidR="007710C3" w:rsidRPr="004502A9">
        <w:t xml:space="preserve"> and Abbreviations</w:t>
      </w:r>
      <w:bookmarkEnd w:id="11"/>
      <w:bookmarkEnd w:id="12"/>
      <w:bookmarkEnd w:id="13"/>
    </w:p>
    <w:p w14:paraId="0154D5B6" w14:textId="363FDCC3" w:rsidR="008241E4" w:rsidRDefault="008241E4" w:rsidP="007710C3">
      <w:pPr>
        <w:tabs>
          <w:tab w:val="left" w:pos="2880"/>
        </w:tabs>
        <w:spacing w:after="0"/>
        <w:ind w:left="2880" w:hanging="2880"/>
        <w:rPr>
          <w:rFonts w:eastAsia="Arial" w:cs="Arial"/>
          <w:szCs w:val="24"/>
        </w:rPr>
      </w:pPr>
      <w:r>
        <w:rPr>
          <w:rFonts w:eastAsia="Arial" w:cs="Arial"/>
          <w:szCs w:val="24"/>
        </w:rPr>
        <w:t>ARP:</w:t>
      </w:r>
      <w:r>
        <w:rPr>
          <w:rFonts w:eastAsia="Arial" w:cs="Arial"/>
          <w:szCs w:val="24"/>
        </w:rPr>
        <w:tab/>
      </w:r>
      <w:r w:rsidR="00C035E3">
        <w:rPr>
          <w:rFonts w:eastAsia="Arial" w:cs="Arial"/>
          <w:szCs w:val="24"/>
        </w:rPr>
        <w:t>Advance</w:t>
      </w:r>
      <w:r w:rsidR="00A0256E">
        <w:rPr>
          <w:rFonts w:eastAsia="Arial" w:cs="Arial"/>
          <w:szCs w:val="24"/>
        </w:rPr>
        <w:t xml:space="preserve"> Restoration </w:t>
      </w:r>
      <w:r>
        <w:rPr>
          <w:rFonts w:eastAsia="Arial" w:cs="Arial"/>
          <w:szCs w:val="24"/>
        </w:rPr>
        <w:t>Plan</w:t>
      </w:r>
    </w:p>
    <w:p w14:paraId="73EF96CA" w14:textId="25DBEE61" w:rsidR="00A3732A" w:rsidRDefault="00A3732A" w:rsidP="007710C3">
      <w:pPr>
        <w:tabs>
          <w:tab w:val="left" w:pos="2880"/>
        </w:tabs>
        <w:spacing w:after="0"/>
        <w:ind w:left="2880" w:hanging="2880"/>
        <w:rPr>
          <w:rFonts w:cs="Arial"/>
          <w:u w:color="000000"/>
        </w:rPr>
      </w:pPr>
      <w:r>
        <w:rPr>
          <w:rFonts w:eastAsia="Arial" w:cs="Arial"/>
          <w:szCs w:val="24"/>
        </w:rPr>
        <w:t>ATTAINS:</w:t>
      </w:r>
      <w:r>
        <w:rPr>
          <w:rFonts w:eastAsia="Arial" w:cs="Arial"/>
          <w:szCs w:val="24"/>
        </w:rPr>
        <w:tab/>
        <w:t>Assessment, Total Maximum Daily Load Tracking and Implementation System</w:t>
      </w:r>
    </w:p>
    <w:p w14:paraId="70DFDA6C" w14:textId="0BEF3C79"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Basin Plan: </w:t>
      </w:r>
      <w:r w:rsidRPr="004502A9">
        <w:rPr>
          <w:rFonts w:cs="Arial"/>
          <w:u w:color="000000"/>
        </w:rPr>
        <w:tab/>
        <w:t>Regional Water Quality Control Plan</w:t>
      </w:r>
    </w:p>
    <w:p w14:paraId="0F81FADC"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CalWQA: </w:t>
      </w:r>
      <w:r w:rsidRPr="004502A9">
        <w:rPr>
          <w:rFonts w:cs="Arial"/>
          <w:u w:color="000000"/>
        </w:rPr>
        <w:tab/>
        <w:t>California Water Quality Assessment (Database)</w:t>
      </w:r>
    </w:p>
    <w:p w14:paraId="2DF6B1C4" w14:textId="77777777" w:rsidR="007710C3" w:rsidRPr="004502A9" w:rsidRDefault="007710C3" w:rsidP="007710C3">
      <w:pPr>
        <w:tabs>
          <w:tab w:val="left" w:pos="2880"/>
        </w:tabs>
        <w:spacing w:after="0"/>
        <w:ind w:left="2880" w:hanging="2880"/>
        <w:rPr>
          <w:rFonts w:cs="Arial"/>
        </w:rPr>
      </w:pPr>
      <w:r w:rsidRPr="004502A9">
        <w:rPr>
          <w:rFonts w:cs="Arial"/>
        </w:rPr>
        <w:t>CDPR:</w:t>
      </w:r>
      <w:r w:rsidRPr="004502A9">
        <w:rPr>
          <w:rFonts w:cs="Arial"/>
        </w:rPr>
        <w:tab/>
        <w:t>California Department of Pesticide Regulation</w:t>
      </w:r>
    </w:p>
    <w:p w14:paraId="71398CAE" w14:textId="7FC12D48" w:rsidR="00700977" w:rsidRDefault="00700977" w:rsidP="007710C3">
      <w:pPr>
        <w:tabs>
          <w:tab w:val="left" w:pos="2880"/>
        </w:tabs>
        <w:spacing w:after="0"/>
        <w:ind w:left="2880" w:hanging="2880"/>
        <w:rPr>
          <w:rFonts w:cs="Arial"/>
        </w:rPr>
      </w:pPr>
      <w:r>
        <w:rPr>
          <w:rFonts w:cs="Arial"/>
        </w:rPr>
        <w:t>CEDEN</w:t>
      </w:r>
      <w:r w:rsidR="00F6280E">
        <w:rPr>
          <w:rFonts w:cs="Arial"/>
        </w:rPr>
        <w:t>:</w:t>
      </w:r>
      <w:r>
        <w:rPr>
          <w:rFonts w:cs="Arial"/>
        </w:rPr>
        <w:tab/>
        <w:t>California Environmental Data</w:t>
      </w:r>
      <w:r w:rsidR="00F6280E">
        <w:rPr>
          <w:rFonts w:cs="Arial"/>
        </w:rPr>
        <w:t xml:space="preserve"> Exchange Network</w:t>
      </w:r>
    </w:p>
    <w:p w14:paraId="6C0E6F69" w14:textId="1FB155E9" w:rsidR="007710C3" w:rsidRPr="004502A9" w:rsidRDefault="007710C3" w:rsidP="007710C3">
      <w:pPr>
        <w:tabs>
          <w:tab w:val="left" w:pos="2880"/>
        </w:tabs>
        <w:spacing w:after="0"/>
        <w:ind w:left="2880" w:hanging="2880"/>
        <w:rPr>
          <w:rFonts w:cs="Arial"/>
        </w:rPr>
      </w:pPr>
      <w:r w:rsidRPr="004502A9">
        <w:rPr>
          <w:rFonts w:cs="Arial"/>
        </w:rPr>
        <w:t xml:space="preserve">CFR: </w:t>
      </w:r>
      <w:r w:rsidRPr="004502A9">
        <w:rPr>
          <w:rFonts w:cs="Arial"/>
        </w:rPr>
        <w:tab/>
        <w:t>Code of Federal Regulations</w:t>
      </w:r>
    </w:p>
    <w:p w14:paraId="6D8E80EE" w14:textId="54DD4120" w:rsidR="00BA7292" w:rsidRPr="004502A9" w:rsidRDefault="00BA7292" w:rsidP="007710C3">
      <w:pPr>
        <w:tabs>
          <w:tab w:val="left" w:pos="2880"/>
        </w:tabs>
        <w:spacing w:after="0"/>
        <w:ind w:left="2880" w:hanging="2880"/>
        <w:rPr>
          <w:rFonts w:cs="Arial"/>
        </w:rPr>
      </w:pPr>
      <w:r>
        <w:rPr>
          <w:rFonts w:cs="Arial"/>
        </w:rPr>
        <w:t>CTR:</w:t>
      </w:r>
      <w:r>
        <w:rPr>
          <w:rFonts w:cs="Arial"/>
        </w:rPr>
        <w:tab/>
        <w:t>California Toxics Rule</w:t>
      </w:r>
    </w:p>
    <w:p w14:paraId="027E5F70" w14:textId="73C64901" w:rsidR="000E5073" w:rsidRPr="004502A9" w:rsidRDefault="000E5073" w:rsidP="007710C3">
      <w:pPr>
        <w:tabs>
          <w:tab w:val="left" w:pos="2880"/>
        </w:tabs>
        <w:spacing w:after="0"/>
        <w:ind w:left="2880" w:hanging="2880"/>
        <w:rPr>
          <w:rFonts w:cs="Arial"/>
        </w:rPr>
      </w:pPr>
      <w:r>
        <w:rPr>
          <w:rFonts w:cs="Arial"/>
        </w:rPr>
        <w:t>CI</w:t>
      </w:r>
      <w:r w:rsidR="006C218B">
        <w:rPr>
          <w:rFonts w:cs="Arial"/>
        </w:rPr>
        <w:t>WQS:</w:t>
      </w:r>
      <w:r w:rsidR="006C218B">
        <w:rPr>
          <w:rFonts w:cs="Arial"/>
        </w:rPr>
        <w:tab/>
        <w:t>California Integrated Water Quality System</w:t>
      </w:r>
    </w:p>
    <w:p w14:paraId="0855FF89"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CSCI:</w:t>
      </w:r>
      <w:r w:rsidRPr="004502A9">
        <w:rPr>
          <w:rFonts w:cs="Arial"/>
          <w:u w:color="000000"/>
        </w:rPr>
        <w:tab/>
        <w:t>California Stream Condition Index</w:t>
      </w:r>
    </w:p>
    <w:p w14:paraId="2D4024BF"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CWA: </w:t>
      </w:r>
      <w:r w:rsidRPr="004502A9">
        <w:rPr>
          <w:rFonts w:cs="Arial"/>
          <w:u w:color="000000"/>
        </w:rPr>
        <w:tab/>
        <w:t>Clean Water Act</w:t>
      </w:r>
    </w:p>
    <w:p w14:paraId="5A9D4ED3"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ILRP:</w:t>
      </w:r>
      <w:r w:rsidRPr="004502A9">
        <w:rPr>
          <w:rFonts w:cs="Arial"/>
          <w:u w:color="000000"/>
        </w:rPr>
        <w:tab/>
        <w:t>Irrigated Lands Regulatory Program</w:t>
      </w:r>
    </w:p>
    <w:p w14:paraId="12643CD0" w14:textId="0C60AF08" w:rsidR="00B720C3" w:rsidRPr="004502A9" w:rsidRDefault="00B720C3" w:rsidP="007710C3">
      <w:pPr>
        <w:tabs>
          <w:tab w:val="left" w:pos="2880"/>
        </w:tabs>
        <w:spacing w:after="0"/>
        <w:ind w:left="2880" w:hanging="2880"/>
        <w:rPr>
          <w:rFonts w:cs="Arial"/>
          <w:u w:color="000000"/>
        </w:rPr>
      </w:pPr>
      <w:r>
        <w:rPr>
          <w:rFonts w:cs="Arial"/>
          <w:u w:color="000000"/>
        </w:rPr>
        <w:t>Impaired Waters Policy</w:t>
      </w:r>
      <w:r w:rsidR="00C960EC">
        <w:rPr>
          <w:rFonts w:cs="Arial"/>
          <w:u w:color="000000"/>
        </w:rPr>
        <w:t>:</w:t>
      </w:r>
      <w:r>
        <w:rPr>
          <w:rFonts w:cs="Arial"/>
          <w:u w:color="000000"/>
        </w:rPr>
        <w:tab/>
      </w:r>
      <w:r w:rsidRPr="00B720C3">
        <w:rPr>
          <w:rFonts w:cs="Arial"/>
          <w:u w:color="000000"/>
        </w:rPr>
        <w:t>Water Quality Control Policy for Addressing Impaired Waters: Regulatory Structure and Options</w:t>
      </w:r>
    </w:p>
    <w:p w14:paraId="10998DA5" w14:textId="192B581C" w:rsidR="007710C3" w:rsidRPr="004502A9" w:rsidRDefault="007710C3" w:rsidP="007710C3">
      <w:pPr>
        <w:tabs>
          <w:tab w:val="left" w:pos="2880"/>
        </w:tabs>
        <w:spacing w:after="0"/>
        <w:ind w:left="2880" w:hanging="2880"/>
        <w:rPr>
          <w:rFonts w:cs="Arial"/>
          <w:u w:color="000000"/>
        </w:rPr>
      </w:pPr>
      <w:r w:rsidRPr="004502A9">
        <w:rPr>
          <w:rFonts w:cs="Arial"/>
          <w:u w:color="000000"/>
        </w:rPr>
        <w:t>ISWEBE Plan:</w:t>
      </w:r>
      <w:r w:rsidRPr="004502A9">
        <w:rPr>
          <w:rFonts w:cs="Arial"/>
          <w:u w:color="000000"/>
        </w:rPr>
        <w:tab/>
      </w:r>
      <w:r w:rsidR="007C44AA">
        <w:rPr>
          <w:rFonts w:cs="Arial"/>
          <w:u w:color="000000"/>
        </w:rPr>
        <w:t>Inland Surface Waters, Enclosed Bays, and Estuaries Plan; mo</w:t>
      </w:r>
      <w:r w:rsidR="008D0294">
        <w:rPr>
          <w:rFonts w:cs="Arial"/>
          <w:u w:color="000000"/>
        </w:rPr>
        <w:t>re</w:t>
      </w:r>
      <w:r w:rsidR="007C44AA">
        <w:rPr>
          <w:rFonts w:cs="Arial"/>
          <w:u w:color="000000"/>
        </w:rPr>
        <w:t xml:space="preserve"> specifically the w</w:t>
      </w:r>
      <w:r w:rsidRPr="004502A9">
        <w:rPr>
          <w:rFonts w:cs="Arial"/>
          <w:u w:color="000000"/>
        </w:rPr>
        <w:t xml:space="preserve">ater </w:t>
      </w:r>
      <w:r w:rsidR="007C44AA">
        <w:rPr>
          <w:rFonts w:cs="Arial"/>
          <w:u w:color="000000"/>
        </w:rPr>
        <w:t>q</w:t>
      </w:r>
      <w:r w:rsidRPr="004502A9">
        <w:rPr>
          <w:rFonts w:cs="Arial"/>
          <w:u w:color="000000"/>
        </w:rPr>
        <w:t xml:space="preserve">uality </w:t>
      </w:r>
      <w:r w:rsidR="007C44AA">
        <w:rPr>
          <w:rFonts w:cs="Arial"/>
          <w:u w:color="000000"/>
        </w:rPr>
        <w:t>c</w:t>
      </w:r>
      <w:r w:rsidRPr="004502A9">
        <w:rPr>
          <w:rFonts w:cs="Arial"/>
          <w:u w:color="000000"/>
        </w:rPr>
        <w:t xml:space="preserve">ontrol </w:t>
      </w:r>
      <w:r w:rsidR="007C44AA">
        <w:rPr>
          <w:rFonts w:cs="Arial"/>
          <w:u w:color="000000"/>
        </w:rPr>
        <w:t>p</w:t>
      </w:r>
      <w:r w:rsidRPr="004502A9">
        <w:rPr>
          <w:rFonts w:cs="Arial"/>
          <w:u w:color="000000"/>
        </w:rPr>
        <w:t>lan</w:t>
      </w:r>
      <w:r w:rsidR="008D0294">
        <w:rPr>
          <w:rFonts w:cs="Arial"/>
          <w:u w:color="000000"/>
        </w:rPr>
        <w:t xml:space="preserve"> components</w:t>
      </w:r>
      <w:r w:rsidRPr="004502A9">
        <w:rPr>
          <w:rFonts w:cs="Arial"/>
          <w:u w:color="000000"/>
        </w:rPr>
        <w:t xml:space="preserve"> previously adopted by the State Water Board for future incorporation into the Water Quality Control Plan for Inland Surface Waters, Enclosed Bays, and Estuaries of California</w:t>
      </w:r>
    </w:p>
    <w:p w14:paraId="6DDBA24B"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Listing Policy:</w:t>
      </w:r>
      <w:r w:rsidRPr="004502A9">
        <w:rPr>
          <w:rFonts w:cs="Arial"/>
          <w:u w:color="000000"/>
        </w:rPr>
        <w:tab/>
        <w:t>Water Quality Control Policy for Developing California’s Section 303(d) List</w:t>
      </w:r>
    </w:p>
    <w:p w14:paraId="1DEE0FA9"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LOE: </w:t>
      </w:r>
      <w:r w:rsidRPr="004502A9">
        <w:rPr>
          <w:rFonts w:cs="Arial"/>
          <w:u w:color="000000"/>
        </w:rPr>
        <w:tab/>
        <w:t>Line of Evidence</w:t>
      </w:r>
    </w:p>
    <w:p w14:paraId="5F09324D" w14:textId="00AE615D" w:rsidR="0098292C" w:rsidRDefault="0098292C" w:rsidP="007710C3">
      <w:pPr>
        <w:tabs>
          <w:tab w:val="left" w:pos="2880"/>
        </w:tabs>
        <w:spacing w:after="0"/>
        <w:ind w:left="2880" w:hanging="2880"/>
        <w:rPr>
          <w:rFonts w:cs="Arial"/>
          <w:u w:color="000000"/>
        </w:rPr>
      </w:pPr>
      <w:r>
        <w:rPr>
          <w:rFonts w:cs="Arial"/>
          <w:u w:color="000000"/>
        </w:rPr>
        <w:t>MS4</w:t>
      </w:r>
      <w:r w:rsidR="000044E2">
        <w:rPr>
          <w:rFonts w:cs="Arial"/>
          <w:u w:color="000000"/>
        </w:rPr>
        <w:t>:</w:t>
      </w:r>
      <w:r w:rsidR="002B68C1">
        <w:rPr>
          <w:rFonts w:cs="Arial"/>
          <w:u w:color="000000"/>
        </w:rPr>
        <w:tab/>
      </w:r>
      <w:r w:rsidR="00E97A41">
        <w:rPr>
          <w:rFonts w:cs="Arial"/>
          <w:u w:color="000000"/>
        </w:rPr>
        <w:t>Municipal Separate Storm Sewer</w:t>
      </w:r>
      <w:r w:rsidR="00C20312">
        <w:rPr>
          <w:rFonts w:cs="Arial"/>
          <w:u w:color="000000"/>
        </w:rPr>
        <w:t xml:space="preserve"> Systems</w:t>
      </w:r>
    </w:p>
    <w:p w14:paraId="2C3FC792" w14:textId="0CD71585"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NOAA: </w:t>
      </w:r>
      <w:r w:rsidRPr="004502A9">
        <w:rPr>
          <w:rFonts w:cs="Arial"/>
          <w:u w:color="000000"/>
        </w:rPr>
        <w:tab/>
        <w:t>National Oceanic and Atmospheric Administration</w:t>
      </w:r>
    </w:p>
    <w:p w14:paraId="3C719E10" w14:textId="79FE7DF2" w:rsidR="005E4E23" w:rsidRPr="004502A9" w:rsidRDefault="005E4E23" w:rsidP="007710C3">
      <w:pPr>
        <w:tabs>
          <w:tab w:val="left" w:pos="2880"/>
        </w:tabs>
        <w:spacing w:after="0"/>
        <w:ind w:left="2880" w:hanging="2880"/>
        <w:rPr>
          <w:rFonts w:cs="Arial"/>
          <w:u w:color="000000"/>
        </w:rPr>
      </w:pPr>
      <w:r>
        <w:rPr>
          <w:rFonts w:cs="Arial"/>
          <w:u w:color="000000"/>
        </w:rPr>
        <w:t xml:space="preserve">Ocean Plan: </w:t>
      </w:r>
      <w:r>
        <w:rPr>
          <w:rFonts w:cs="Arial"/>
          <w:u w:color="000000"/>
        </w:rPr>
        <w:tab/>
      </w:r>
      <w:r w:rsidRPr="004502A9">
        <w:rPr>
          <w:rFonts w:cs="Arial"/>
        </w:rPr>
        <w:t>Water Quality Control Plan for Ocean Waters of California</w:t>
      </w:r>
    </w:p>
    <w:p w14:paraId="68EB16FD"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OEHHA: </w:t>
      </w:r>
      <w:r w:rsidRPr="004502A9">
        <w:rPr>
          <w:rFonts w:cs="Arial"/>
          <w:u w:color="000000"/>
        </w:rPr>
        <w:tab/>
        <w:t>California Office of Environmental Health Hazard Assessment</w:t>
      </w:r>
    </w:p>
    <w:p w14:paraId="2A50DFFC"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QAPP: </w:t>
      </w:r>
      <w:r w:rsidRPr="004502A9">
        <w:rPr>
          <w:rFonts w:cs="Arial"/>
          <w:u w:color="000000"/>
        </w:rPr>
        <w:tab/>
        <w:t>Quality Assurance Project Plan</w:t>
      </w:r>
    </w:p>
    <w:p w14:paraId="7BAD8928"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QC: </w:t>
      </w:r>
      <w:r w:rsidRPr="004502A9">
        <w:rPr>
          <w:rFonts w:cs="Arial"/>
          <w:u w:color="000000"/>
        </w:rPr>
        <w:tab/>
        <w:t>Quality Control</w:t>
      </w:r>
    </w:p>
    <w:p w14:paraId="30295780"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Regional Water Board: </w:t>
      </w:r>
      <w:r w:rsidRPr="004502A9">
        <w:rPr>
          <w:rFonts w:cs="Arial"/>
          <w:u w:color="000000"/>
        </w:rPr>
        <w:tab/>
        <w:t>Regional Water Quality Control Board</w:t>
      </w:r>
    </w:p>
    <w:p w14:paraId="7FB6A5E8" w14:textId="55423912" w:rsidR="00D33A69" w:rsidRPr="004502A9" w:rsidRDefault="00D33A69" w:rsidP="007710C3">
      <w:pPr>
        <w:tabs>
          <w:tab w:val="left" w:pos="2880"/>
        </w:tabs>
        <w:spacing w:after="0"/>
        <w:ind w:left="2880" w:hanging="2880"/>
        <w:rPr>
          <w:rFonts w:cs="Arial"/>
          <w:u w:color="000000"/>
        </w:rPr>
      </w:pPr>
      <w:r>
        <w:rPr>
          <w:rFonts w:cs="Arial"/>
          <w:u w:color="000000"/>
        </w:rPr>
        <w:t>SCCWRP:</w:t>
      </w:r>
      <w:r>
        <w:rPr>
          <w:rFonts w:cs="Arial"/>
          <w:u w:color="000000"/>
        </w:rPr>
        <w:tab/>
        <w:t>Southern California Coastal Water Research Project</w:t>
      </w:r>
    </w:p>
    <w:p w14:paraId="3D0E96AD"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SFEI: </w:t>
      </w:r>
      <w:r w:rsidRPr="004502A9">
        <w:rPr>
          <w:rFonts w:cs="Arial"/>
          <w:u w:color="000000"/>
        </w:rPr>
        <w:tab/>
        <w:t>San Francisco Estuary Institute</w:t>
      </w:r>
    </w:p>
    <w:p w14:paraId="3B317C5E"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SSO:</w:t>
      </w:r>
      <w:r w:rsidRPr="004502A9">
        <w:rPr>
          <w:rFonts w:cs="Arial"/>
          <w:u w:color="000000"/>
        </w:rPr>
        <w:tab/>
        <w:t>Site-specific Objective</w:t>
      </w:r>
    </w:p>
    <w:p w14:paraId="747CE582"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State Water Board: </w:t>
      </w:r>
      <w:r w:rsidRPr="004502A9">
        <w:rPr>
          <w:rFonts w:cs="Arial"/>
          <w:u w:color="000000"/>
        </w:rPr>
        <w:tab/>
        <w:t>State Water Resources Control Board</w:t>
      </w:r>
    </w:p>
    <w:p w14:paraId="4A3F1878"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SWAMP: </w:t>
      </w:r>
      <w:r w:rsidRPr="004502A9">
        <w:rPr>
          <w:rFonts w:cs="Arial"/>
          <w:u w:color="000000"/>
        </w:rPr>
        <w:tab/>
        <w:t>Surface Water Ambient Monitoring Program</w:t>
      </w:r>
    </w:p>
    <w:p w14:paraId="63B6F51F" w14:textId="31C88B46"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TMDL: </w:t>
      </w:r>
      <w:r w:rsidRPr="004502A9">
        <w:rPr>
          <w:rFonts w:cs="Arial"/>
          <w:u w:color="000000"/>
        </w:rPr>
        <w:tab/>
        <w:t>Total Maximum Daily Load</w:t>
      </w:r>
    </w:p>
    <w:p w14:paraId="7378C44B" w14:textId="67214D50" w:rsidR="007710C3" w:rsidRPr="004502A9" w:rsidRDefault="00313C98" w:rsidP="007710C3">
      <w:pPr>
        <w:tabs>
          <w:tab w:val="left" w:pos="2880"/>
        </w:tabs>
        <w:spacing w:after="0"/>
        <w:ind w:left="2880" w:hanging="2880"/>
        <w:rPr>
          <w:rFonts w:cs="Arial"/>
          <w:u w:color="000000"/>
        </w:rPr>
      </w:pPr>
      <w:r>
        <w:rPr>
          <w:rFonts w:cs="Arial"/>
          <w:u w:color="000000"/>
        </w:rPr>
        <w:t>USEPA</w:t>
      </w:r>
      <w:r w:rsidR="007710C3" w:rsidRPr="004502A9">
        <w:rPr>
          <w:rFonts w:cs="Arial"/>
          <w:u w:color="000000"/>
        </w:rPr>
        <w:t xml:space="preserve">: </w:t>
      </w:r>
      <w:r w:rsidR="007710C3" w:rsidRPr="004502A9">
        <w:rPr>
          <w:rFonts w:cs="Arial"/>
          <w:u w:color="000000"/>
        </w:rPr>
        <w:tab/>
        <w:t>United States Environmental Protection Agency</w:t>
      </w:r>
    </w:p>
    <w:p w14:paraId="7B0F7830" w14:textId="3BB0F4B3" w:rsidR="007710C3" w:rsidRDefault="007710C3" w:rsidP="007710C3">
      <w:pPr>
        <w:tabs>
          <w:tab w:val="left" w:pos="2880"/>
        </w:tabs>
        <w:spacing w:after="0"/>
        <w:ind w:left="2880" w:hanging="2880"/>
        <w:rPr>
          <w:rFonts w:cs="Arial"/>
          <w:u w:color="000000"/>
        </w:rPr>
      </w:pPr>
      <w:r w:rsidRPr="004502A9">
        <w:rPr>
          <w:rFonts w:cs="Arial"/>
          <w:u w:color="000000"/>
        </w:rPr>
        <w:t xml:space="preserve">USGS: </w:t>
      </w:r>
      <w:r w:rsidRPr="004502A9">
        <w:rPr>
          <w:rFonts w:cs="Arial"/>
          <w:u w:color="000000"/>
        </w:rPr>
        <w:tab/>
        <w:t>United States Geological Survey</w:t>
      </w:r>
    </w:p>
    <w:p w14:paraId="6B600881" w14:textId="35995C14" w:rsidR="00E013C1" w:rsidRPr="004502A9" w:rsidRDefault="00E013C1" w:rsidP="007710C3">
      <w:pPr>
        <w:tabs>
          <w:tab w:val="left" w:pos="2880"/>
        </w:tabs>
        <w:spacing w:after="0"/>
        <w:ind w:left="2880" w:hanging="2880"/>
        <w:rPr>
          <w:rFonts w:cs="Arial"/>
          <w:u w:color="000000"/>
        </w:rPr>
      </w:pPr>
      <w:r>
        <w:rPr>
          <w:rFonts w:cs="Arial"/>
          <w:u w:color="000000"/>
        </w:rPr>
        <w:t>WOTUS:</w:t>
      </w:r>
      <w:r>
        <w:rPr>
          <w:rFonts w:cs="Arial"/>
          <w:u w:color="000000"/>
        </w:rPr>
        <w:tab/>
        <w:t>Waters of the U</w:t>
      </w:r>
      <w:r w:rsidR="00FD2100">
        <w:rPr>
          <w:rFonts w:cs="Arial"/>
          <w:u w:color="000000"/>
        </w:rPr>
        <w:t xml:space="preserve">nited </w:t>
      </w:r>
      <w:r>
        <w:rPr>
          <w:rFonts w:cs="Arial"/>
          <w:u w:color="000000"/>
        </w:rPr>
        <w:t>S</w:t>
      </w:r>
      <w:r w:rsidR="00FD2100">
        <w:rPr>
          <w:rFonts w:cs="Arial"/>
          <w:u w:color="000000"/>
        </w:rPr>
        <w:t>tates</w:t>
      </w:r>
    </w:p>
    <w:p w14:paraId="23BBBF31" w14:textId="7DA122BC" w:rsidR="00F6280E" w:rsidRPr="004502A9" w:rsidRDefault="00F6280E" w:rsidP="007710C3">
      <w:pPr>
        <w:tabs>
          <w:tab w:val="left" w:pos="2880"/>
        </w:tabs>
        <w:spacing w:after="0"/>
        <w:ind w:left="2880" w:hanging="2880"/>
        <w:rPr>
          <w:rFonts w:cs="Arial"/>
          <w:u w:color="000000"/>
        </w:rPr>
      </w:pPr>
      <w:r>
        <w:rPr>
          <w:rFonts w:cs="Arial"/>
          <w:u w:color="000000"/>
        </w:rPr>
        <w:t>WQX:</w:t>
      </w:r>
      <w:r>
        <w:rPr>
          <w:rFonts w:cs="Arial"/>
          <w:u w:color="000000"/>
        </w:rPr>
        <w:tab/>
        <w:t>Water Quality Exchange</w:t>
      </w:r>
    </w:p>
    <w:p w14:paraId="68C71FDB" w14:textId="77777777" w:rsidR="00F54A0D" w:rsidRPr="00F54A0D" w:rsidRDefault="00A23560" w:rsidP="00F54A0D">
      <w:pPr>
        <w:tabs>
          <w:tab w:val="left" w:pos="2880"/>
        </w:tabs>
        <w:spacing w:after="0"/>
      </w:pPr>
      <w:r>
        <w:rPr>
          <w:rFonts w:cs="Arial"/>
          <w:u w:color="000000"/>
        </w:rPr>
        <w:t>ELAP:</w:t>
      </w:r>
      <w:r w:rsidR="00F54A0D">
        <w:rPr>
          <w:rFonts w:cs="Arial"/>
          <w:u w:color="000000"/>
        </w:rPr>
        <w:tab/>
      </w:r>
      <w:r w:rsidR="00F54A0D" w:rsidRPr="00F54A0D">
        <w:t>Environmental Laboratory Accreditation Program</w:t>
      </w:r>
    </w:p>
    <w:p w14:paraId="38A4E89E" w14:textId="2F50E34F" w:rsidR="000B1B5C" w:rsidRPr="00F54A0D" w:rsidRDefault="000B1B5C" w:rsidP="00F54A0D">
      <w:pPr>
        <w:tabs>
          <w:tab w:val="left" w:pos="2880"/>
        </w:tabs>
        <w:spacing w:after="0"/>
      </w:pPr>
      <w:r>
        <w:t>WBID:</w:t>
      </w:r>
      <w:r>
        <w:tab/>
        <w:t>Water</w:t>
      </w:r>
      <w:r w:rsidR="009419E0">
        <w:t xml:space="preserve"> Body Identification</w:t>
      </w:r>
      <w:r w:rsidR="00F861A5">
        <w:t xml:space="preserve"> Number</w:t>
      </w:r>
    </w:p>
    <w:p w14:paraId="73E02BA2" w14:textId="3A1E0759" w:rsidR="00A23560" w:rsidRPr="004502A9" w:rsidRDefault="00A23560" w:rsidP="007710C3">
      <w:pPr>
        <w:tabs>
          <w:tab w:val="left" w:pos="2880"/>
        </w:tabs>
        <w:spacing w:after="0"/>
        <w:ind w:left="2880" w:hanging="2880"/>
        <w:rPr>
          <w:rFonts w:cs="Arial"/>
          <w:u w:color="000000"/>
        </w:rPr>
      </w:pPr>
    </w:p>
    <w:p w14:paraId="4493A3E3" w14:textId="3131B0E5" w:rsidR="007710C3" w:rsidRPr="004502A9" w:rsidRDefault="007710C3" w:rsidP="00FA5716">
      <w:pPr>
        <w:pStyle w:val="Heading1"/>
        <w:numPr>
          <w:ilvl w:val="0"/>
          <w:numId w:val="0"/>
        </w:numPr>
      </w:pPr>
      <w:bookmarkStart w:id="14" w:name="_Toc35339581"/>
      <w:bookmarkStart w:id="15" w:name="_Toc50714139"/>
      <w:bookmarkStart w:id="16" w:name="_Toc189048540"/>
      <w:r w:rsidRPr="004502A9">
        <w:t>List of Scientific Acronyms</w:t>
      </w:r>
      <w:r w:rsidR="00AE70ED">
        <w:t>,</w:t>
      </w:r>
      <w:r w:rsidR="00AE70ED" w:rsidRPr="00AE70ED">
        <w:t xml:space="preserve"> </w:t>
      </w:r>
      <w:r w:rsidR="00AE70ED">
        <w:t>Initialisms,</w:t>
      </w:r>
      <w:r w:rsidRPr="004502A9">
        <w:t xml:space="preserve"> and Abbreviations</w:t>
      </w:r>
      <w:bookmarkEnd w:id="14"/>
      <w:bookmarkEnd w:id="15"/>
      <w:bookmarkEnd w:id="16"/>
    </w:p>
    <w:p w14:paraId="6F031D9E"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7DADM:</w:t>
      </w:r>
      <w:r w:rsidRPr="004502A9">
        <w:rPr>
          <w:rFonts w:cs="Arial"/>
          <w:u w:color="000000"/>
        </w:rPr>
        <w:tab/>
        <w:t>7-day Average of Daily Maximum Temperature</w:t>
      </w:r>
    </w:p>
    <w:p w14:paraId="0F453C81" w14:textId="77777777" w:rsidR="007710C3" w:rsidRPr="004502A9" w:rsidRDefault="007710C3" w:rsidP="007710C3">
      <w:pPr>
        <w:tabs>
          <w:tab w:val="left" w:pos="2880"/>
        </w:tabs>
        <w:spacing w:after="0"/>
        <w:ind w:left="2880" w:hanging="2880"/>
        <w:rPr>
          <w:rFonts w:cs="Arial"/>
        </w:rPr>
      </w:pPr>
      <w:r w:rsidRPr="004502A9">
        <w:rPr>
          <w:rFonts w:cs="Arial"/>
        </w:rPr>
        <w:t>CFU:</w:t>
      </w:r>
      <w:r w:rsidRPr="004502A9">
        <w:rPr>
          <w:rFonts w:cs="Arial"/>
        </w:rPr>
        <w:tab/>
        <w:t>Colony Forming Units</w:t>
      </w:r>
    </w:p>
    <w:p w14:paraId="428E0D69" w14:textId="605C8EEF" w:rsidR="00F95075" w:rsidRDefault="00F95075" w:rsidP="007710C3">
      <w:pPr>
        <w:tabs>
          <w:tab w:val="left" w:pos="2880"/>
        </w:tabs>
        <w:spacing w:after="0"/>
        <w:ind w:left="2880" w:hanging="2880"/>
        <w:rPr>
          <w:rFonts w:cs="Arial"/>
          <w:u w:color="000000"/>
        </w:rPr>
      </w:pPr>
      <w:r>
        <w:rPr>
          <w:rFonts w:cs="Arial"/>
          <w:u w:color="000000"/>
        </w:rPr>
        <w:t xml:space="preserve">CSCI: </w:t>
      </w:r>
      <w:r w:rsidR="002F3E85">
        <w:rPr>
          <w:rFonts w:cs="Arial"/>
          <w:u w:color="000000"/>
        </w:rPr>
        <w:tab/>
        <w:t xml:space="preserve">California Stream Condition Index </w:t>
      </w:r>
    </w:p>
    <w:p w14:paraId="206A187B" w14:textId="1236274A"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DDT: </w:t>
      </w:r>
      <w:r w:rsidRPr="004502A9">
        <w:rPr>
          <w:rFonts w:cs="Arial"/>
          <w:u w:color="000000"/>
        </w:rPr>
        <w:tab/>
        <w:t>Dichlorodiphenyltrichloroethane</w:t>
      </w:r>
    </w:p>
    <w:p w14:paraId="2139F656" w14:textId="74CA5FA7" w:rsidR="007710C3" w:rsidRPr="004502A9" w:rsidRDefault="007710C3" w:rsidP="007710C3">
      <w:pPr>
        <w:tabs>
          <w:tab w:val="left" w:pos="2880"/>
        </w:tabs>
        <w:spacing w:after="0"/>
        <w:ind w:left="2880" w:hanging="2880"/>
        <w:rPr>
          <w:rFonts w:cs="Arial"/>
          <w:u w:color="000000"/>
        </w:rPr>
      </w:pPr>
      <w:r w:rsidRPr="004502A9">
        <w:rPr>
          <w:rFonts w:cs="Arial"/>
          <w:u w:color="000000"/>
        </w:rPr>
        <w:t>DO</w:t>
      </w:r>
      <w:r w:rsidR="0093427E">
        <w:rPr>
          <w:rFonts w:cs="Arial"/>
          <w:u w:color="000000"/>
        </w:rPr>
        <w:t>C</w:t>
      </w:r>
      <w:r w:rsidRPr="004502A9">
        <w:rPr>
          <w:rFonts w:cs="Arial"/>
          <w:u w:color="000000"/>
        </w:rPr>
        <w:t xml:space="preserve">: </w:t>
      </w:r>
      <w:r w:rsidRPr="004502A9">
        <w:rPr>
          <w:rFonts w:cs="Arial"/>
          <w:u w:color="000000"/>
        </w:rPr>
        <w:tab/>
        <w:t xml:space="preserve">Dissolved </w:t>
      </w:r>
      <w:r w:rsidR="0093427E">
        <w:rPr>
          <w:rFonts w:cs="Arial"/>
          <w:u w:color="000000"/>
        </w:rPr>
        <w:t xml:space="preserve">Organic Carbon </w:t>
      </w:r>
    </w:p>
    <w:p w14:paraId="75323BE9" w14:textId="0A872D50" w:rsidR="007710C3" w:rsidRPr="004502A9" w:rsidRDefault="007710C3" w:rsidP="007710C3">
      <w:pPr>
        <w:tabs>
          <w:tab w:val="left" w:pos="2880"/>
        </w:tabs>
        <w:spacing w:after="0"/>
        <w:ind w:left="2880" w:hanging="2880"/>
        <w:rPr>
          <w:rFonts w:cs="Arial"/>
          <w:u w:color="000000"/>
        </w:rPr>
      </w:pPr>
      <w:r w:rsidRPr="004502A9">
        <w:rPr>
          <w:rFonts w:cs="Arial"/>
          <w:u w:color="000000"/>
        </w:rPr>
        <w:t>Geomean:</w:t>
      </w:r>
      <w:r w:rsidRPr="004502A9">
        <w:rPr>
          <w:rFonts w:cs="Arial"/>
          <w:u w:color="000000"/>
        </w:rPr>
        <w:tab/>
      </w:r>
      <w:r w:rsidR="00A67945">
        <w:rPr>
          <w:rFonts w:cs="Arial"/>
          <w:u w:color="000000"/>
        </w:rPr>
        <w:t>G</w:t>
      </w:r>
      <w:r w:rsidRPr="004502A9">
        <w:rPr>
          <w:rFonts w:cs="Arial"/>
          <w:u w:color="000000"/>
        </w:rPr>
        <w:t xml:space="preserve">eometric </w:t>
      </w:r>
      <w:r w:rsidR="00A67945">
        <w:rPr>
          <w:rFonts w:cs="Arial"/>
          <w:u w:color="000000"/>
        </w:rPr>
        <w:t>M</w:t>
      </w:r>
      <w:r w:rsidRPr="004502A9">
        <w:rPr>
          <w:rFonts w:cs="Arial"/>
          <w:u w:color="000000"/>
        </w:rPr>
        <w:t>ean</w:t>
      </w:r>
    </w:p>
    <w:p w14:paraId="3581E07A"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HSA: </w:t>
      </w:r>
      <w:r w:rsidRPr="004502A9">
        <w:rPr>
          <w:rFonts w:cs="Arial"/>
          <w:u w:color="000000"/>
        </w:rPr>
        <w:tab/>
        <w:t>Hydrologic Sub Area</w:t>
      </w:r>
    </w:p>
    <w:p w14:paraId="11D625DC" w14:textId="067F430A" w:rsidR="007710C3" w:rsidRPr="004502A9" w:rsidRDefault="007710C3" w:rsidP="007710C3">
      <w:pPr>
        <w:tabs>
          <w:tab w:val="left" w:pos="2880"/>
        </w:tabs>
        <w:spacing w:after="0"/>
        <w:ind w:left="2880" w:hanging="2880"/>
        <w:rPr>
          <w:rFonts w:cs="Arial"/>
        </w:rPr>
      </w:pPr>
      <w:r w:rsidRPr="13057258">
        <w:rPr>
          <w:rFonts w:cs="Arial"/>
        </w:rPr>
        <w:t>IBI:</w:t>
      </w:r>
      <w:r>
        <w:tab/>
      </w:r>
      <w:r w:rsidRPr="13057258">
        <w:rPr>
          <w:rFonts w:cs="Arial"/>
        </w:rPr>
        <w:t>Index of Biological Integrity</w:t>
      </w:r>
    </w:p>
    <w:p w14:paraId="54ACA69E" w14:textId="0091B4C5" w:rsidR="3ADA1E56" w:rsidRDefault="3ADA1E56" w:rsidP="13057258">
      <w:pPr>
        <w:tabs>
          <w:tab w:val="left" w:pos="2880"/>
        </w:tabs>
        <w:spacing w:after="0"/>
        <w:ind w:left="2880" w:hanging="2880"/>
        <w:rPr>
          <w:rFonts w:cs="Arial"/>
        </w:rPr>
      </w:pPr>
      <w:r w:rsidRPr="276D5C23">
        <w:rPr>
          <w:rFonts w:cs="Arial"/>
        </w:rPr>
        <w:t>LC50</w:t>
      </w:r>
      <w:r w:rsidR="007D60E1">
        <w:rPr>
          <w:rFonts w:cs="Arial"/>
        </w:rPr>
        <w:t>:</w:t>
      </w:r>
      <w:r>
        <w:tab/>
      </w:r>
      <w:r w:rsidRPr="276D5C23">
        <w:rPr>
          <w:rFonts w:cs="Arial"/>
        </w:rPr>
        <w:t>Lethal Concentration 50</w:t>
      </w:r>
    </w:p>
    <w:p w14:paraId="5E241E8E"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mg/L: </w:t>
      </w:r>
      <w:r w:rsidRPr="004502A9">
        <w:rPr>
          <w:rFonts w:cs="Arial"/>
          <w:u w:color="000000"/>
        </w:rPr>
        <w:tab/>
        <w:t>Milligrams per Liter (parts per million)</w:t>
      </w:r>
    </w:p>
    <w:p w14:paraId="41A9425D"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 xml:space="preserve">PCB: </w:t>
      </w:r>
      <w:r w:rsidRPr="004502A9">
        <w:rPr>
          <w:rFonts w:cs="Arial"/>
          <w:u w:color="000000"/>
        </w:rPr>
        <w:tab/>
        <w:t>Polychlorinated Biphenyl</w:t>
      </w:r>
    </w:p>
    <w:p w14:paraId="53C5BD64"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SSM:</w:t>
      </w:r>
      <w:r w:rsidRPr="004502A9">
        <w:rPr>
          <w:rFonts w:cs="Arial"/>
          <w:u w:color="000000"/>
        </w:rPr>
        <w:tab/>
        <w:t>Single Sample Maximum</w:t>
      </w:r>
    </w:p>
    <w:p w14:paraId="63FF84A3" w14:textId="77777777" w:rsidR="007710C3" w:rsidRPr="004502A9" w:rsidRDefault="007710C3" w:rsidP="007710C3">
      <w:pPr>
        <w:tabs>
          <w:tab w:val="left" w:pos="2880"/>
        </w:tabs>
        <w:spacing w:after="0"/>
        <w:ind w:left="2880" w:hanging="2880"/>
        <w:rPr>
          <w:rFonts w:cs="Arial"/>
          <w:u w:color="000000"/>
        </w:rPr>
      </w:pPr>
      <w:r w:rsidRPr="004502A9">
        <w:rPr>
          <w:rFonts w:cs="Arial"/>
          <w:u w:color="000000"/>
        </w:rPr>
        <w:t>STV:</w:t>
      </w:r>
      <w:r w:rsidRPr="004502A9">
        <w:rPr>
          <w:rFonts w:cs="Arial"/>
          <w:u w:color="000000"/>
        </w:rPr>
        <w:tab/>
        <w:t>Statistical Threshold Value</w:t>
      </w:r>
    </w:p>
    <w:p w14:paraId="461F1031" w14:textId="77777777" w:rsidR="007710C3" w:rsidRPr="004502A9" w:rsidRDefault="007710C3" w:rsidP="007710C3">
      <w:pPr>
        <w:spacing w:after="160" w:line="259" w:lineRule="auto"/>
        <w:rPr>
          <w:rFonts w:cs="Arial"/>
          <w:u w:color="000000"/>
        </w:rPr>
      </w:pPr>
      <w:r w:rsidRPr="004502A9">
        <w:rPr>
          <w:rFonts w:cs="Arial"/>
          <w:u w:color="000000"/>
        </w:rPr>
        <w:br w:type="page"/>
      </w:r>
    </w:p>
    <w:p w14:paraId="30BCF7C0" w14:textId="52614326" w:rsidR="007710C3" w:rsidRPr="004502A9" w:rsidRDefault="007710C3" w:rsidP="00FA5716">
      <w:pPr>
        <w:pStyle w:val="Heading1"/>
        <w:numPr>
          <w:ilvl w:val="0"/>
          <w:numId w:val="0"/>
        </w:numPr>
      </w:pPr>
      <w:bookmarkStart w:id="17" w:name="_Toc35339582"/>
      <w:bookmarkStart w:id="18" w:name="_Toc189048541"/>
      <w:r w:rsidRPr="004502A9">
        <w:t>Executive Summary</w:t>
      </w:r>
      <w:bookmarkStart w:id="19" w:name="_Toc19788808"/>
      <w:bookmarkEnd w:id="17"/>
      <w:bookmarkEnd w:id="18"/>
    </w:p>
    <w:p w14:paraId="5C795352" w14:textId="3716D43D" w:rsidR="007710C3" w:rsidRPr="004502A9" w:rsidRDefault="007710C3" w:rsidP="007710C3">
      <w:pPr>
        <w:rPr>
          <w:rFonts w:eastAsia="Arial" w:cs="Arial"/>
        </w:rPr>
      </w:pPr>
      <w:r w:rsidRPr="004502A9">
        <w:rPr>
          <w:rFonts w:eastAsia="Arial" w:cs="Arial"/>
        </w:rPr>
        <w:t xml:space="preserve">The goal of the </w:t>
      </w:r>
      <w:bookmarkStart w:id="20" w:name="_Hlk122353207"/>
      <w:r w:rsidRPr="004502A9">
        <w:rPr>
          <w:rFonts w:eastAsia="Arial" w:cs="Arial"/>
        </w:rPr>
        <w:t>Clean Water Act (“CWA”) is "to restore and maintain the chemical, physical, and biological integrity of the Nation's waters</w:t>
      </w:r>
      <w:r w:rsidR="00FB75A5">
        <w:rPr>
          <w:rFonts w:eastAsia="Arial" w:cs="Arial"/>
        </w:rPr>
        <w:t>.”</w:t>
      </w:r>
      <w:r w:rsidRPr="004502A9">
        <w:rPr>
          <w:rFonts w:eastAsia="Arial" w:cs="Arial"/>
        </w:rPr>
        <w:t xml:space="preserve"> (33 U.S.C § 1251(a).) </w:t>
      </w:r>
      <w:bookmarkEnd w:id="20"/>
      <w:r w:rsidRPr="004502A9">
        <w:rPr>
          <w:rFonts w:eastAsia="Arial" w:cs="Arial"/>
        </w:rPr>
        <w:t xml:space="preserve">Pursuant to Clean Water Act </w:t>
      </w:r>
      <w:r w:rsidR="006A6CB4">
        <w:rPr>
          <w:rFonts w:eastAsia="Arial" w:cs="Arial"/>
        </w:rPr>
        <w:t>s</w:t>
      </w:r>
      <w:r w:rsidRPr="004502A9">
        <w:rPr>
          <w:rFonts w:eastAsia="Arial" w:cs="Arial"/>
        </w:rPr>
        <w:t>ections 303(d) and 305(b) (33 U.S.C. §§ 1313(d), 1315(b)), each state is required to report to the U</w:t>
      </w:r>
      <w:r w:rsidR="001C038B">
        <w:rPr>
          <w:rFonts w:eastAsia="Arial" w:cs="Arial"/>
        </w:rPr>
        <w:t xml:space="preserve">nited </w:t>
      </w:r>
      <w:r w:rsidRPr="004502A9">
        <w:rPr>
          <w:rFonts w:eastAsia="Arial" w:cs="Arial"/>
        </w:rPr>
        <w:t>S</w:t>
      </w:r>
      <w:r w:rsidR="001C038B">
        <w:rPr>
          <w:rFonts w:eastAsia="Arial" w:cs="Arial"/>
        </w:rPr>
        <w:t>tates</w:t>
      </w:r>
      <w:r w:rsidRPr="004502A9">
        <w:rPr>
          <w:rFonts w:eastAsia="Arial" w:cs="Arial"/>
        </w:rPr>
        <w:t xml:space="preserve"> Environmental Protection Agency (“</w:t>
      </w:r>
      <w:r w:rsidR="00313C98">
        <w:rPr>
          <w:rFonts w:eastAsia="Arial" w:cs="Arial"/>
        </w:rPr>
        <w:t>USEPA</w:t>
      </w:r>
      <w:r w:rsidRPr="004502A9">
        <w:rPr>
          <w:rFonts w:eastAsia="Arial" w:cs="Arial"/>
        </w:rPr>
        <w:t xml:space="preserve">”) on the overall quality of the waters within its boundaries. The </w:t>
      </w:r>
      <w:r w:rsidR="00313C98">
        <w:rPr>
          <w:rFonts w:eastAsia="Arial" w:cs="Arial"/>
        </w:rPr>
        <w:t>USEPA</w:t>
      </w:r>
      <w:r w:rsidRPr="004502A9">
        <w:rPr>
          <w:rFonts w:eastAsia="Arial" w:cs="Arial"/>
        </w:rPr>
        <w:t xml:space="preserve"> then compiles these reports into their “National Water Quality Inventory Report” to Congress. </w:t>
      </w:r>
      <w:r w:rsidR="0065275A" w:rsidRPr="007A166E">
        <w:rPr>
          <w:rFonts w:cs="Arial"/>
          <w:szCs w:val="24"/>
        </w:rPr>
        <w:t>(33 U.S.C. § 1315(b)(2).)</w:t>
      </w:r>
    </w:p>
    <w:p w14:paraId="1AB5FFEF" w14:textId="74D197C2" w:rsidR="00A87BA0" w:rsidRDefault="005334A8">
      <w:pPr>
        <w:autoSpaceDE w:val="0"/>
        <w:autoSpaceDN w:val="0"/>
        <w:adjustRightInd w:val="0"/>
        <w:spacing w:after="0"/>
        <w:rPr>
          <w:rFonts w:eastAsia="Arial" w:cs="Arial"/>
        </w:rPr>
      </w:pPr>
      <w:r>
        <w:rPr>
          <w:rFonts w:eastAsia="Arial" w:cs="Arial"/>
        </w:rPr>
        <w:t>C</w:t>
      </w:r>
      <w:r w:rsidR="007710C3" w:rsidRPr="004502A9">
        <w:rPr>
          <w:rFonts w:eastAsia="Arial" w:cs="Arial"/>
        </w:rPr>
        <w:t xml:space="preserve">WA </w:t>
      </w:r>
      <w:r w:rsidR="006A6CB4">
        <w:rPr>
          <w:rFonts w:eastAsia="Arial" w:cs="Arial"/>
        </w:rPr>
        <w:t>s</w:t>
      </w:r>
      <w:r w:rsidR="007710C3" w:rsidRPr="004502A9">
        <w:rPr>
          <w:rFonts w:eastAsia="Arial" w:cs="Arial"/>
        </w:rPr>
        <w:t>ection 303(d</w:t>
      </w:r>
      <w:r w:rsidR="007710C3" w:rsidRPr="00F567AE">
        <w:rPr>
          <w:rFonts w:eastAsia="Arial" w:cs="Arial"/>
        </w:rPr>
        <w:t>)</w:t>
      </w:r>
      <w:r w:rsidR="00F567AE" w:rsidRPr="00F567AE">
        <w:rPr>
          <w:rFonts w:eastAsia="Arial" w:cs="Arial"/>
        </w:rPr>
        <w:t xml:space="preserve"> requires</w:t>
      </w:r>
      <w:r w:rsidR="007710C3" w:rsidRPr="004502A9">
        <w:rPr>
          <w:rFonts w:eastAsia="Arial" w:cs="Arial"/>
        </w:rPr>
        <w:t xml:space="preserve"> states to review, </w:t>
      </w:r>
      <w:r w:rsidR="59A5E07E" w:rsidRPr="004502A9">
        <w:rPr>
          <w:rFonts w:eastAsia="Arial" w:cs="Arial"/>
        </w:rPr>
        <w:t>revise</w:t>
      </w:r>
      <w:r w:rsidR="007710C3" w:rsidRPr="004502A9">
        <w:rPr>
          <w:rFonts w:eastAsia="Arial" w:cs="Arial"/>
        </w:rPr>
        <w:t xml:space="preserve"> as necessary, and submit to </w:t>
      </w:r>
      <w:r w:rsidR="00313C98">
        <w:rPr>
          <w:rFonts w:eastAsia="Arial" w:cs="Arial"/>
        </w:rPr>
        <w:t>USEPA</w:t>
      </w:r>
      <w:r w:rsidR="007710C3" w:rsidRPr="004502A9">
        <w:rPr>
          <w:rFonts w:eastAsia="Arial" w:cs="Arial"/>
        </w:rPr>
        <w:t xml:space="preserve"> a list </w:t>
      </w:r>
      <w:r w:rsidR="142BC331" w:rsidRPr="004502A9">
        <w:rPr>
          <w:rFonts w:eastAsia="Arial" w:cs="Arial"/>
        </w:rPr>
        <w:t>of</w:t>
      </w:r>
      <w:r w:rsidR="007710C3" w:rsidRPr="004502A9">
        <w:rPr>
          <w:rFonts w:eastAsia="Arial" w:cs="Arial"/>
        </w:rPr>
        <w:t xml:space="preserve"> water</w:t>
      </w:r>
      <w:r w:rsidR="1B3010E4" w:rsidRPr="004502A9">
        <w:rPr>
          <w:rFonts w:eastAsia="Arial" w:cs="Arial"/>
        </w:rPr>
        <w:t>s</w:t>
      </w:r>
      <w:r w:rsidR="007710C3" w:rsidRPr="004502A9">
        <w:rPr>
          <w:rFonts w:eastAsia="Arial" w:cs="Arial"/>
        </w:rPr>
        <w:t xml:space="preserve"> not meeting water quality standards </w:t>
      </w:r>
      <w:r w:rsidR="006277C8" w:rsidRPr="00F567AE">
        <w:rPr>
          <w:rFonts w:eastAsia="Arial" w:cs="Arial"/>
        </w:rPr>
        <w:t>or not expected to meet</w:t>
      </w:r>
      <w:r w:rsidR="006277C8">
        <w:rPr>
          <w:rFonts w:eastAsia="Arial" w:cs="Arial"/>
        </w:rPr>
        <w:t xml:space="preserve"> water quality standards</w:t>
      </w:r>
      <w:r w:rsidR="006A6CB4">
        <w:rPr>
          <w:rFonts w:eastAsia="Arial" w:cs="Arial"/>
        </w:rPr>
        <w:t xml:space="preserve"> </w:t>
      </w:r>
      <w:r w:rsidR="4A39C35B" w:rsidRPr="004502A9">
        <w:rPr>
          <w:rFonts w:eastAsia="Arial" w:cs="Arial"/>
        </w:rPr>
        <w:t>(</w:t>
      </w:r>
      <w:r w:rsidR="74D121F5" w:rsidRPr="004502A9">
        <w:rPr>
          <w:rFonts w:eastAsia="Arial" w:cs="Arial"/>
        </w:rPr>
        <w:t>i.e</w:t>
      </w:r>
      <w:r w:rsidR="00D30096">
        <w:rPr>
          <w:rFonts w:eastAsia="Arial" w:cs="Arial"/>
        </w:rPr>
        <w:t>.</w:t>
      </w:r>
      <w:r w:rsidR="6F5AA052" w:rsidRPr="672F664C">
        <w:rPr>
          <w:rFonts w:eastAsia="Arial" w:cs="Arial"/>
        </w:rPr>
        <w:t>,</w:t>
      </w:r>
      <w:r w:rsidR="74D121F5" w:rsidRPr="004502A9">
        <w:rPr>
          <w:rFonts w:eastAsia="Arial" w:cs="Arial"/>
        </w:rPr>
        <w:t xml:space="preserve"> </w:t>
      </w:r>
      <w:r w:rsidR="4A39C35B" w:rsidRPr="004502A9">
        <w:rPr>
          <w:rFonts w:eastAsia="Arial" w:cs="Arial"/>
        </w:rPr>
        <w:t xml:space="preserve">impaired </w:t>
      </w:r>
      <w:r w:rsidR="004B3AF0">
        <w:rPr>
          <w:rFonts w:eastAsia="Arial" w:cs="Arial"/>
        </w:rPr>
        <w:t>or threatened</w:t>
      </w:r>
      <w:r w:rsidR="4A39C35B" w:rsidRPr="004502A9">
        <w:rPr>
          <w:rFonts w:eastAsia="Arial" w:cs="Arial"/>
        </w:rPr>
        <w:t xml:space="preserve"> waters)</w:t>
      </w:r>
      <w:r w:rsidR="007710C3" w:rsidRPr="004502A9">
        <w:rPr>
          <w:rFonts w:eastAsia="Arial" w:cs="Arial"/>
        </w:rPr>
        <w:t xml:space="preserve"> and </w:t>
      </w:r>
      <w:r w:rsidR="77F787E0" w:rsidRPr="004502A9">
        <w:rPr>
          <w:rFonts w:eastAsia="Arial" w:cs="Arial"/>
        </w:rPr>
        <w:t>to</w:t>
      </w:r>
      <w:r w:rsidR="007710C3" w:rsidRPr="004502A9">
        <w:rPr>
          <w:rFonts w:eastAsia="Arial" w:cs="Arial"/>
        </w:rPr>
        <w:t xml:space="preserve"> </w:t>
      </w:r>
      <w:r w:rsidR="3C6E6DCC" w:rsidRPr="004502A9">
        <w:rPr>
          <w:rFonts w:eastAsia="Arial" w:cs="Arial"/>
        </w:rPr>
        <w:t>identify</w:t>
      </w:r>
      <w:r w:rsidR="007710C3" w:rsidRPr="004502A9">
        <w:rPr>
          <w:rFonts w:eastAsia="Arial" w:cs="Arial"/>
        </w:rPr>
        <w:t xml:space="preserve"> the water quality parameter</w:t>
      </w:r>
      <w:r w:rsidR="73C3A028" w:rsidRPr="004502A9">
        <w:rPr>
          <w:rFonts w:eastAsia="Arial" w:cs="Arial"/>
        </w:rPr>
        <w:t>(s)</w:t>
      </w:r>
      <w:r w:rsidR="007710C3" w:rsidRPr="004502A9">
        <w:rPr>
          <w:rFonts w:eastAsia="Arial" w:cs="Arial"/>
        </w:rPr>
        <w:t xml:space="preserve"> (i.e., pollutant</w:t>
      </w:r>
      <w:r w:rsidR="4A5DB41F" w:rsidRPr="004502A9">
        <w:rPr>
          <w:rFonts w:eastAsia="Arial" w:cs="Arial"/>
        </w:rPr>
        <w:t>(s)</w:t>
      </w:r>
      <w:r w:rsidR="007710C3" w:rsidRPr="004502A9">
        <w:rPr>
          <w:rFonts w:eastAsia="Arial" w:cs="Arial"/>
        </w:rPr>
        <w:t>)</w:t>
      </w:r>
      <w:r w:rsidR="00040D96">
        <w:rPr>
          <w:rFonts w:eastAsia="Arial" w:cs="Arial"/>
        </w:rPr>
        <w:t xml:space="preserve"> causing or suspected to be causing the </w:t>
      </w:r>
      <w:r w:rsidR="001909D2">
        <w:rPr>
          <w:rFonts w:eastAsia="Arial" w:cs="Arial"/>
        </w:rPr>
        <w:t>exceedance</w:t>
      </w:r>
      <w:r w:rsidR="00525AF7">
        <w:rPr>
          <w:rFonts w:eastAsia="Arial" w:cs="Arial"/>
        </w:rPr>
        <w:t xml:space="preserve"> of the water quality standard</w:t>
      </w:r>
      <w:r w:rsidR="00BA5DF0">
        <w:rPr>
          <w:rFonts w:eastAsia="Arial" w:cs="Arial"/>
        </w:rPr>
        <w:t xml:space="preserve">. </w:t>
      </w:r>
      <w:r w:rsidR="006277C8">
        <w:rPr>
          <w:rFonts w:eastAsia="Arial" w:cs="Arial"/>
        </w:rPr>
        <w:t xml:space="preserve">(40 C.F.R. </w:t>
      </w:r>
      <w:r w:rsidR="000B63FF">
        <w:rPr>
          <w:rFonts w:eastAsia="Arial" w:cs="Arial"/>
        </w:rPr>
        <w:t>§</w:t>
      </w:r>
      <w:r w:rsidR="006277C8">
        <w:rPr>
          <w:rFonts w:eastAsia="Arial" w:cs="Arial"/>
        </w:rPr>
        <w:t>§ 130.2</w:t>
      </w:r>
      <w:r w:rsidR="004B3AF0">
        <w:rPr>
          <w:rFonts w:eastAsia="Arial" w:cs="Arial"/>
        </w:rPr>
        <w:t>(j)</w:t>
      </w:r>
      <w:r w:rsidR="000B63FF">
        <w:rPr>
          <w:rFonts w:eastAsia="Arial" w:cs="Arial"/>
        </w:rPr>
        <w:t>, 130.7(b)(</w:t>
      </w:r>
      <w:r w:rsidR="00B554D2">
        <w:rPr>
          <w:rFonts w:eastAsia="Arial" w:cs="Arial"/>
        </w:rPr>
        <w:t>4</w:t>
      </w:r>
      <w:r w:rsidR="000B63FF">
        <w:rPr>
          <w:rFonts w:eastAsia="Arial" w:cs="Arial"/>
        </w:rPr>
        <w:t>)</w:t>
      </w:r>
      <w:r w:rsidR="004B3AF0">
        <w:rPr>
          <w:rFonts w:eastAsia="Arial" w:cs="Arial"/>
        </w:rPr>
        <w:t xml:space="preserve">.) </w:t>
      </w:r>
      <w:r w:rsidR="00BA5DF0">
        <w:rPr>
          <w:rFonts w:eastAsia="Arial" w:cs="Arial"/>
        </w:rPr>
        <w:t xml:space="preserve">This </w:t>
      </w:r>
      <w:r w:rsidR="001341CB">
        <w:rPr>
          <w:rFonts w:eastAsia="Arial" w:cs="Arial"/>
        </w:rPr>
        <w:t xml:space="preserve">list of impaired </w:t>
      </w:r>
      <w:r w:rsidR="00F8672A">
        <w:rPr>
          <w:rFonts w:eastAsia="Arial" w:cs="Arial"/>
        </w:rPr>
        <w:t xml:space="preserve">or threatened </w:t>
      </w:r>
      <w:r w:rsidR="001341CB">
        <w:rPr>
          <w:rFonts w:eastAsia="Arial" w:cs="Arial"/>
        </w:rPr>
        <w:t xml:space="preserve">waters </w:t>
      </w:r>
      <w:r w:rsidR="00BA5DF0">
        <w:rPr>
          <w:rFonts w:eastAsia="Arial" w:cs="Arial"/>
        </w:rPr>
        <w:t xml:space="preserve">is </w:t>
      </w:r>
      <w:r w:rsidR="007710C3" w:rsidRPr="004502A9" w:rsidDel="00E34AC4">
        <w:rPr>
          <w:rFonts w:eastAsia="Arial" w:cs="Arial"/>
        </w:rPr>
        <w:t>referred to as</w:t>
      </w:r>
      <w:r w:rsidR="007710C3" w:rsidRPr="004502A9">
        <w:rPr>
          <w:rFonts w:eastAsia="Arial" w:cs="Arial"/>
        </w:rPr>
        <w:t xml:space="preserve"> the “303(d) </w:t>
      </w:r>
      <w:r w:rsidR="009628D8">
        <w:rPr>
          <w:rFonts w:eastAsia="Arial" w:cs="Arial"/>
        </w:rPr>
        <w:t>l</w:t>
      </w:r>
      <w:r w:rsidR="007710C3" w:rsidRPr="004502A9">
        <w:rPr>
          <w:rFonts w:eastAsia="Arial" w:cs="Arial"/>
        </w:rPr>
        <w:t>ist</w:t>
      </w:r>
      <w:r w:rsidR="00B869E3">
        <w:rPr>
          <w:rFonts w:eastAsia="Arial" w:cs="Arial"/>
        </w:rPr>
        <w:t>.</w:t>
      </w:r>
      <w:r w:rsidR="007710C3" w:rsidRPr="004502A9">
        <w:rPr>
          <w:rFonts w:eastAsia="Arial" w:cs="Arial"/>
        </w:rPr>
        <w:t>” States are required to include a priority ranking of such waters</w:t>
      </w:r>
      <w:r w:rsidR="00FC0AD7">
        <w:rPr>
          <w:rFonts w:eastAsia="Arial" w:cs="Arial"/>
        </w:rPr>
        <w:t xml:space="preserve"> for the development of total maximum daily loads</w:t>
      </w:r>
      <w:r w:rsidR="007710C3" w:rsidRPr="004502A9">
        <w:rPr>
          <w:rFonts w:eastAsia="Arial" w:cs="Arial"/>
        </w:rPr>
        <w:t xml:space="preserve">, </w:t>
      </w:r>
      <w:r w:rsidR="00B744EE" w:rsidRPr="004502A9">
        <w:rPr>
          <w:rFonts w:eastAsia="Arial" w:cs="Arial"/>
        </w:rPr>
        <w:t xml:space="preserve">accounting for </w:t>
      </w:r>
      <w:r w:rsidR="007710C3" w:rsidRPr="004502A9">
        <w:rPr>
          <w:rFonts w:eastAsia="Arial" w:cs="Arial"/>
        </w:rPr>
        <w:t xml:space="preserve">the severity of the pollution and the uses to be made of such waters. </w:t>
      </w:r>
      <w:r w:rsidR="00230064">
        <w:rPr>
          <w:rFonts w:eastAsia="Arial" w:cs="Arial"/>
        </w:rPr>
        <w:t xml:space="preserve">(40 C.F.R. § 130.7(b)(4).) </w:t>
      </w:r>
      <w:r w:rsidR="00F767DD">
        <w:rPr>
          <w:rFonts w:eastAsia="Arial" w:cs="Arial"/>
        </w:rPr>
        <w:t xml:space="preserve">However, </w:t>
      </w:r>
      <w:r w:rsidR="00F767DD" w:rsidRPr="000E6166">
        <w:t xml:space="preserve">alternative pollution control requirements </w:t>
      </w:r>
      <w:r w:rsidR="00F767DD">
        <w:t>implemented by another regulatory program</w:t>
      </w:r>
      <w:r w:rsidR="00F767DD" w:rsidRPr="000E6166">
        <w:t xml:space="preserve"> may obviate the need for a TMDL</w:t>
      </w:r>
      <w:r w:rsidR="00FE08D7">
        <w:t>.</w:t>
      </w:r>
    </w:p>
    <w:p w14:paraId="49F9090A" w14:textId="27B7EFEE" w:rsidR="007710C3" w:rsidRDefault="007710C3" w:rsidP="00A87BA0">
      <w:pPr>
        <w:autoSpaceDE w:val="0"/>
        <w:autoSpaceDN w:val="0"/>
        <w:adjustRightInd w:val="0"/>
        <w:spacing w:before="240" w:after="0"/>
        <w:rPr>
          <w:rFonts w:cs="Arial"/>
          <w:szCs w:val="24"/>
        </w:rPr>
      </w:pPr>
      <w:r w:rsidRPr="004502A9">
        <w:rPr>
          <w:rFonts w:eastAsia="Arial" w:cs="Arial"/>
        </w:rPr>
        <w:t xml:space="preserve">Under CWA </w:t>
      </w:r>
      <w:r w:rsidR="00AF2AE0">
        <w:rPr>
          <w:rFonts w:eastAsia="Arial" w:cs="Arial"/>
        </w:rPr>
        <w:t>s</w:t>
      </w:r>
      <w:r w:rsidRPr="004502A9">
        <w:rPr>
          <w:rFonts w:eastAsia="Arial" w:cs="Arial"/>
        </w:rPr>
        <w:t xml:space="preserve">ection 305(b), each state is required to </w:t>
      </w:r>
      <w:r w:rsidR="007940EC">
        <w:rPr>
          <w:rFonts w:eastAsia="Arial" w:cs="Arial"/>
        </w:rPr>
        <w:t>submit an informational</w:t>
      </w:r>
      <w:r w:rsidRPr="004502A9">
        <w:rPr>
          <w:rFonts w:eastAsia="Arial" w:cs="Arial"/>
        </w:rPr>
        <w:t xml:space="preserve"> report to the </w:t>
      </w:r>
      <w:r w:rsidR="00313C98">
        <w:rPr>
          <w:rFonts w:eastAsia="Arial" w:cs="Arial"/>
        </w:rPr>
        <w:t>USEPA</w:t>
      </w:r>
      <w:r w:rsidRPr="004502A9">
        <w:rPr>
          <w:rFonts w:eastAsia="Arial" w:cs="Arial"/>
        </w:rPr>
        <w:t xml:space="preserve"> on the water quality conditions of its surface waters</w:t>
      </w:r>
      <w:r w:rsidR="00BA5DF0">
        <w:rPr>
          <w:rFonts w:eastAsia="Arial" w:cs="Arial"/>
        </w:rPr>
        <w:t xml:space="preserve">, which </w:t>
      </w:r>
      <w:r w:rsidR="001968E8">
        <w:rPr>
          <w:rFonts w:eastAsia="Arial" w:cs="Arial"/>
        </w:rPr>
        <w:t>is</w:t>
      </w:r>
      <w:r w:rsidRPr="004502A9" w:rsidDel="001968E8">
        <w:rPr>
          <w:rFonts w:eastAsia="Arial" w:cs="Arial"/>
        </w:rPr>
        <w:t xml:space="preserve"> </w:t>
      </w:r>
      <w:r w:rsidRPr="004502A9">
        <w:rPr>
          <w:rFonts w:eastAsia="Arial" w:cs="Arial"/>
        </w:rPr>
        <w:t>referred to as the “305(b) report</w:t>
      </w:r>
      <w:r w:rsidR="00C20EEF">
        <w:rPr>
          <w:rFonts w:eastAsia="Arial" w:cs="Arial"/>
        </w:rPr>
        <w:t>.</w:t>
      </w:r>
      <w:r w:rsidRPr="004502A9">
        <w:rPr>
          <w:rFonts w:eastAsia="Arial" w:cs="Arial"/>
        </w:rPr>
        <w:t xml:space="preserve">” States are required to submit their 303(d) </w:t>
      </w:r>
      <w:r w:rsidR="00E04423">
        <w:rPr>
          <w:rFonts w:eastAsia="Arial" w:cs="Arial"/>
        </w:rPr>
        <w:t>l</w:t>
      </w:r>
      <w:r w:rsidRPr="004502A9">
        <w:rPr>
          <w:rFonts w:eastAsia="Arial" w:cs="Arial"/>
        </w:rPr>
        <w:t>ists and 305(b) reports every two years (</w:t>
      </w:r>
      <w:r w:rsidR="007940EC">
        <w:rPr>
          <w:rFonts w:eastAsia="Arial" w:cs="Arial"/>
        </w:rPr>
        <w:t>commonly referred to as the</w:t>
      </w:r>
      <w:r w:rsidRPr="004502A9">
        <w:rPr>
          <w:rFonts w:eastAsia="Arial" w:cs="Arial"/>
        </w:rPr>
        <w:t xml:space="preserve"> “listing cycle”). (40 C.F.R. § 130.7(d).)</w:t>
      </w:r>
      <w:r w:rsidR="00845755">
        <w:rPr>
          <w:rFonts w:eastAsia="Arial" w:cs="Arial"/>
        </w:rPr>
        <w:t xml:space="preserve"> </w:t>
      </w:r>
      <w:r w:rsidR="00845755" w:rsidRPr="00F03076">
        <w:rPr>
          <w:rFonts w:cs="Arial"/>
          <w:szCs w:val="24"/>
        </w:rPr>
        <w:t>In California, the State Water Board satisfies its 303(d) listing and 305(b) reporting obligations by compiling both in a single document called the “California Integrated Report.”</w:t>
      </w:r>
    </w:p>
    <w:p w14:paraId="4752C750" w14:textId="660985D2" w:rsidR="001968E8" w:rsidRDefault="001968E8" w:rsidP="00A87BA0">
      <w:pPr>
        <w:spacing w:before="240"/>
        <w:rPr>
          <w:rStyle w:val="normaltextrun"/>
          <w:rFonts w:cs="Arial"/>
          <w:color w:val="000000"/>
          <w:shd w:val="clear" w:color="auto" w:fill="FFFFFF"/>
        </w:rPr>
      </w:pPr>
      <w:r w:rsidRPr="004502A9">
        <w:rPr>
          <w:rFonts w:eastAsia="Arial" w:cs="Arial"/>
        </w:rPr>
        <w:t>The</w:t>
      </w:r>
      <w:r>
        <w:rPr>
          <w:rFonts w:eastAsia="Arial" w:cs="Arial"/>
        </w:rPr>
        <w:t xml:space="preserve"> </w:t>
      </w:r>
      <w:hyperlink r:id="rId13" w:history="1">
        <w:r w:rsidRPr="006000DE">
          <w:rPr>
            <w:rStyle w:val="Hyperlink"/>
            <w:rFonts w:cs="Arial"/>
            <w:shd w:val="clear" w:color="auto" w:fill="FFFFFF"/>
          </w:rPr>
          <w:t>Water Quality Control Policy for Developing California’s Clean Water Act Section 303(d) List</w:t>
        </w:r>
      </w:hyperlink>
      <w:r>
        <w:rPr>
          <w:rStyle w:val="normaltextrun"/>
          <w:rFonts w:cs="Arial"/>
          <w:color w:val="000000"/>
          <w:shd w:val="clear" w:color="auto" w:fill="FFFFFF"/>
        </w:rPr>
        <w:t xml:space="preserve"> </w:t>
      </w:r>
      <w:r w:rsidR="00253123">
        <w:t>(</w:t>
      </w:r>
      <w:hyperlink r:id="rId14" w:history="1">
        <w:r w:rsidR="00253123" w:rsidRPr="0052271D">
          <w:rPr>
            <w:rStyle w:val="Hyperlink"/>
          </w:rPr>
          <w:t>https://www.waterboards.ca.gov/board_decisions/adopted_orders/resolutions/2015/020315_8_amendment_clean_version.pdf</w:t>
        </w:r>
      </w:hyperlink>
      <w:r w:rsidR="00253123">
        <w:rPr>
          <w:rStyle w:val="normaltextrun"/>
          <w:rFonts w:cs="Arial"/>
          <w:color w:val="000000"/>
          <w:shd w:val="clear" w:color="auto" w:fill="FFFFFF"/>
        </w:rPr>
        <w:t xml:space="preserve">) </w:t>
      </w:r>
      <w:r>
        <w:rPr>
          <w:rStyle w:val="normaltextrun"/>
          <w:rFonts w:cs="Arial"/>
          <w:color w:val="000000"/>
          <w:shd w:val="clear" w:color="auto" w:fill="FFFFFF"/>
        </w:rPr>
        <w:t>(“Listing Policy”)</w:t>
      </w:r>
      <w:r w:rsidR="00355130">
        <w:t xml:space="preserve"> describes the methods and the process the State Water Board </w:t>
      </w:r>
      <w:r w:rsidR="008D6667">
        <w:t xml:space="preserve">is required to </w:t>
      </w:r>
      <w:r w:rsidR="00355130">
        <w:t>use to develop and adopt the 303(d) list</w:t>
      </w:r>
      <w:r w:rsidR="0062435F">
        <w:t>.</w:t>
      </w:r>
      <w:r w:rsidR="00274A0F">
        <w:t xml:space="preserve"> </w:t>
      </w:r>
    </w:p>
    <w:p w14:paraId="7C58C90B" w14:textId="4652BC69" w:rsidR="00BF15BC" w:rsidRPr="004502A9" w:rsidRDefault="00C921C8" w:rsidP="007710C3">
      <w:pPr>
        <w:rPr>
          <w:rFonts w:eastAsia="Arial" w:cs="Arial"/>
        </w:rPr>
      </w:pPr>
      <w:r>
        <w:rPr>
          <w:rStyle w:val="normaltextrun"/>
          <w:rFonts w:cs="Arial"/>
          <w:color w:val="000000"/>
          <w:shd w:val="clear" w:color="auto" w:fill="FFFFFF"/>
        </w:rPr>
        <w:t>E</w:t>
      </w:r>
      <w:r w:rsidR="00BF15BC" w:rsidRPr="000D4E58">
        <w:rPr>
          <w:rStyle w:val="normaltextrun"/>
          <w:rFonts w:cs="Arial"/>
          <w:color w:val="000000"/>
          <w:shd w:val="clear" w:color="auto" w:fill="FFFFFF"/>
        </w:rPr>
        <w:t xml:space="preserve">ach </w:t>
      </w:r>
      <w:r w:rsidR="00E240DF">
        <w:rPr>
          <w:rStyle w:val="normaltextrun"/>
          <w:rFonts w:cs="Arial"/>
          <w:color w:val="000000"/>
          <w:shd w:val="clear" w:color="auto" w:fill="FFFFFF"/>
        </w:rPr>
        <w:t>i</w:t>
      </w:r>
      <w:r w:rsidR="00BF15BC" w:rsidRPr="000D4E58">
        <w:rPr>
          <w:rStyle w:val="normaltextrun"/>
          <w:rFonts w:cs="Arial"/>
          <w:color w:val="000000"/>
          <w:shd w:val="clear" w:color="auto" w:fill="FFFFFF"/>
        </w:rPr>
        <w:t xml:space="preserve">ntegrated </w:t>
      </w:r>
      <w:r w:rsidR="00E240DF">
        <w:rPr>
          <w:rStyle w:val="normaltextrun"/>
          <w:rFonts w:cs="Arial"/>
          <w:color w:val="000000"/>
          <w:shd w:val="clear" w:color="auto" w:fill="FFFFFF"/>
        </w:rPr>
        <w:t>r</w:t>
      </w:r>
      <w:r w:rsidR="00BF15BC" w:rsidRPr="000D4E58">
        <w:rPr>
          <w:rStyle w:val="normaltextrun"/>
          <w:rFonts w:cs="Arial"/>
          <w:color w:val="000000"/>
          <w:shd w:val="clear" w:color="auto" w:fill="FFFFFF"/>
        </w:rPr>
        <w:t xml:space="preserve">eport consists primarily of assessments from three Regional Water Quality Control Boards </w:t>
      </w:r>
      <w:r w:rsidR="00FD6CD6">
        <w:rPr>
          <w:rStyle w:val="normaltextrun"/>
          <w:rFonts w:cs="Arial"/>
          <w:color w:val="000000"/>
          <w:shd w:val="clear" w:color="auto" w:fill="FFFFFF"/>
        </w:rPr>
        <w:t xml:space="preserve">(“Regional Water Boards”) </w:t>
      </w:r>
      <w:r w:rsidR="00BF15BC" w:rsidRPr="000D4E58">
        <w:rPr>
          <w:rStyle w:val="normaltextrun"/>
          <w:rFonts w:cs="Arial"/>
          <w:color w:val="000000"/>
          <w:shd w:val="clear" w:color="auto" w:fill="FFFFFF"/>
        </w:rPr>
        <w:t xml:space="preserve">that are </w:t>
      </w:r>
      <w:r w:rsidR="002B37A7">
        <w:rPr>
          <w:rStyle w:val="normaltextrun"/>
          <w:rFonts w:cs="Arial"/>
          <w:color w:val="000000"/>
          <w:shd w:val="clear" w:color="auto" w:fill="FFFFFF"/>
        </w:rPr>
        <w:t xml:space="preserve">characterized as being </w:t>
      </w:r>
      <w:r w:rsidR="00BF15BC" w:rsidRPr="000D4E58">
        <w:rPr>
          <w:rStyle w:val="normaltextrun"/>
          <w:rFonts w:cs="Arial"/>
          <w:color w:val="000000"/>
          <w:shd w:val="clear" w:color="auto" w:fill="FFFFFF"/>
        </w:rPr>
        <w:t xml:space="preserve">"on-cycle" by a </w:t>
      </w:r>
      <w:r w:rsidR="00862854">
        <w:rPr>
          <w:rStyle w:val="normaltextrun"/>
          <w:rFonts w:cs="Arial"/>
          <w:color w:val="000000"/>
          <w:shd w:val="clear" w:color="auto" w:fill="FFFFFF"/>
        </w:rPr>
        <w:t>n</w:t>
      </w:r>
      <w:r w:rsidR="00862854" w:rsidRPr="000D4E58">
        <w:rPr>
          <w:rStyle w:val="normaltextrun"/>
          <w:rFonts w:cs="Arial"/>
          <w:color w:val="000000"/>
          <w:shd w:val="clear" w:color="auto" w:fill="FFFFFF"/>
        </w:rPr>
        <w:t>otice</w:t>
      </w:r>
      <w:r w:rsidR="00BF15BC" w:rsidRPr="000D4E58">
        <w:rPr>
          <w:rStyle w:val="normaltextrun"/>
          <w:rFonts w:cs="Arial"/>
          <w:color w:val="000000"/>
          <w:shd w:val="clear" w:color="auto" w:fill="FFFFFF"/>
        </w:rPr>
        <w:t xml:space="preserve"> of </w:t>
      </w:r>
      <w:r w:rsidR="00862854">
        <w:rPr>
          <w:rStyle w:val="normaltextrun"/>
          <w:rFonts w:cs="Arial"/>
          <w:color w:val="000000"/>
          <w:shd w:val="clear" w:color="auto" w:fill="FFFFFF"/>
        </w:rPr>
        <w:t>public s</w:t>
      </w:r>
      <w:r w:rsidR="00862854" w:rsidRPr="000D4E58">
        <w:rPr>
          <w:rStyle w:val="normaltextrun"/>
          <w:rFonts w:cs="Arial"/>
          <w:color w:val="000000"/>
          <w:shd w:val="clear" w:color="auto" w:fill="FFFFFF"/>
        </w:rPr>
        <w:t>olicitation</w:t>
      </w:r>
      <w:r w:rsidR="00F90725">
        <w:rPr>
          <w:rStyle w:val="normaltextrun"/>
          <w:rFonts w:cs="Arial"/>
          <w:color w:val="000000"/>
          <w:shd w:val="clear" w:color="auto" w:fill="FFFFFF"/>
        </w:rPr>
        <w:t xml:space="preserve"> of </w:t>
      </w:r>
      <w:r w:rsidR="00862854">
        <w:rPr>
          <w:rStyle w:val="normaltextrun"/>
          <w:rFonts w:cs="Arial"/>
          <w:color w:val="000000"/>
          <w:shd w:val="clear" w:color="auto" w:fill="FFFFFF"/>
        </w:rPr>
        <w:t>water quality data</w:t>
      </w:r>
      <w:r w:rsidR="00BF15BC" w:rsidRPr="000D4E58">
        <w:rPr>
          <w:rStyle w:val="normaltextrun"/>
          <w:rFonts w:cs="Arial"/>
          <w:color w:val="000000"/>
          <w:shd w:val="clear" w:color="auto" w:fill="FFFFFF"/>
        </w:rPr>
        <w:t>. The other six Regional Water Boards are "off-cycle"</w:t>
      </w:r>
      <w:r w:rsidR="00645935">
        <w:rPr>
          <w:rStyle w:val="normaltextrun"/>
          <w:rFonts w:cs="Arial"/>
          <w:color w:val="000000"/>
          <w:shd w:val="clear" w:color="auto" w:fill="FFFFFF"/>
        </w:rPr>
        <w:t>; however, they</w:t>
      </w:r>
      <w:r w:rsidR="00BF15BC" w:rsidRPr="000D4E58">
        <w:rPr>
          <w:rStyle w:val="normaltextrun"/>
          <w:rFonts w:cs="Arial"/>
          <w:color w:val="000000"/>
          <w:shd w:val="clear" w:color="auto" w:fill="FFFFFF"/>
        </w:rPr>
        <w:t xml:space="preserve"> may assess high-priority data</w:t>
      </w:r>
      <w:r w:rsidR="00233F61">
        <w:rPr>
          <w:rStyle w:val="normaltextrun"/>
          <w:rFonts w:cs="Arial"/>
          <w:color w:val="000000"/>
          <w:shd w:val="clear" w:color="auto" w:fill="FFFFFF"/>
        </w:rPr>
        <w:t>,</w:t>
      </w:r>
      <w:r w:rsidR="00BF15BC" w:rsidRPr="000D4E58">
        <w:rPr>
          <w:rStyle w:val="normaltextrun"/>
          <w:rFonts w:cs="Arial"/>
          <w:color w:val="000000"/>
          <w:shd w:val="clear" w:color="auto" w:fill="FFFFFF"/>
        </w:rPr>
        <w:t xml:space="preserve"> </w:t>
      </w:r>
      <w:r w:rsidR="00920579">
        <w:rPr>
          <w:rStyle w:val="normaltextrun"/>
          <w:rFonts w:cs="Arial"/>
          <w:color w:val="000000"/>
          <w:shd w:val="clear" w:color="auto" w:fill="FFFFFF"/>
        </w:rPr>
        <w:t>and</w:t>
      </w:r>
      <w:r w:rsidR="00BF15BC" w:rsidRPr="000D4E58">
        <w:rPr>
          <w:rStyle w:val="normaltextrun"/>
          <w:rFonts w:cs="Arial"/>
          <w:color w:val="000000"/>
          <w:shd w:val="clear" w:color="auto" w:fill="FFFFFF"/>
        </w:rPr>
        <w:t xml:space="preserve"> </w:t>
      </w:r>
      <w:r w:rsidR="00F64049">
        <w:rPr>
          <w:rStyle w:val="normaltextrun"/>
          <w:rFonts w:cs="Arial"/>
          <w:color w:val="000000"/>
          <w:shd w:val="clear" w:color="auto" w:fill="FFFFFF"/>
        </w:rPr>
        <w:t>propose</w:t>
      </w:r>
      <w:r w:rsidR="00BF15BC" w:rsidRPr="000D4E58">
        <w:rPr>
          <w:rStyle w:val="normaltextrun"/>
          <w:rFonts w:cs="Arial"/>
          <w:color w:val="000000"/>
          <w:shd w:val="clear" w:color="auto" w:fill="FFFFFF"/>
        </w:rPr>
        <w:t xml:space="preserve"> changes to the 305(b) </w:t>
      </w:r>
      <w:r w:rsidR="00411805">
        <w:rPr>
          <w:rStyle w:val="normaltextrun"/>
          <w:rFonts w:cs="Arial"/>
          <w:color w:val="000000"/>
          <w:shd w:val="clear" w:color="auto" w:fill="FFFFFF"/>
        </w:rPr>
        <w:t>report</w:t>
      </w:r>
      <w:r w:rsidR="00920579">
        <w:rPr>
          <w:rStyle w:val="normaltextrun"/>
          <w:rFonts w:cs="Arial"/>
          <w:color w:val="000000"/>
          <w:shd w:val="clear" w:color="auto" w:fill="FFFFFF"/>
        </w:rPr>
        <w:t>, as appropriate</w:t>
      </w:r>
      <w:r w:rsidR="00BF15BC" w:rsidRPr="000D4E58">
        <w:rPr>
          <w:rStyle w:val="normaltextrun"/>
          <w:rFonts w:cs="Arial"/>
          <w:color w:val="000000"/>
          <w:shd w:val="clear" w:color="auto" w:fill="FFFFFF"/>
        </w:rPr>
        <w:t xml:space="preserve">. </w:t>
      </w:r>
      <w:r w:rsidR="00AD2D9C">
        <w:rPr>
          <w:rStyle w:val="normaltextrun"/>
          <w:rFonts w:cs="Arial"/>
          <w:color w:val="000000"/>
          <w:shd w:val="clear" w:color="auto" w:fill="FFFFFF"/>
        </w:rPr>
        <w:t xml:space="preserve">Every two years, </w:t>
      </w:r>
      <w:r w:rsidR="007A3D43">
        <w:rPr>
          <w:rStyle w:val="normaltextrun"/>
          <w:rFonts w:cs="Arial"/>
          <w:color w:val="000000"/>
          <w:shd w:val="clear" w:color="auto" w:fill="FFFFFF"/>
        </w:rPr>
        <w:t>waterbod</w:t>
      </w:r>
      <w:r w:rsidR="000559F1">
        <w:rPr>
          <w:rStyle w:val="normaltextrun"/>
          <w:rFonts w:cs="Arial"/>
          <w:color w:val="000000"/>
          <w:shd w:val="clear" w:color="auto" w:fill="FFFFFF"/>
        </w:rPr>
        <w:t>y segments</w:t>
      </w:r>
      <w:r w:rsidR="007A3D43">
        <w:rPr>
          <w:rStyle w:val="normaltextrun"/>
          <w:rFonts w:cs="Arial"/>
          <w:color w:val="000000"/>
          <w:shd w:val="clear" w:color="auto" w:fill="FFFFFF"/>
        </w:rPr>
        <w:t xml:space="preserve"> within the boundaries of</w:t>
      </w:r>
      <w:r w:rsidR="00FA41D2">
        <w:rPr>
          <w:rStyle w:val="normaltextrun"/>
          <w:rFonts w:cs="Arial"/>
          <w:color w:val="000000"/>
          <w:shd w:val="clear" w:color="auto" w:fill="FFFFFF"/>
        </w:rPr>
        <w:t xml:space="preserve"> the </w:t>
      </w:r>
      <w:r w:rsidR="00BF15BC" w:rsidRPr="000D4E58">
        <w:rPr>
          <w:rStyle w:val="normaltextrun"/>
          <w:rFonts w:cs="Arial"/>
          <w:color w:val="000000"/>
          <w:shd w:val="clear" w:color="auto" w:fill="FFFFFF"/>
        </w:rPr>
        <w:t xml:space="preserve">Regional Water Boards </w:t>
      </w:r>
      <w:r w:rsidR="00FA41D2">
        <w:rPr>
          <w:rStyle w:val="normaltextrun"/>
          <w:rFonts w:cs="Arial"/>
          <w:color w:val="000000"/>
          <w:shd w:val="clear" w:color="auto" w:fill="FFFFFF"/>
        </w:rPr>
        <w:t xml:space="preserve">characterized as “on-cycle” </w:t>
      </w:r>
      <w:r w:rsidR="009D4A51">
        <w:rPr>
          <w:rStyle w:val="normaltextrun"/>
          <w:rFonts w:cs="Arial"/>
          <w:color w:val="000000"/>
          <w:shd w:val="clear" w:color="auto" w:fill="FFFFFF"/>
        </w:rPr>
        <w:t xml:space="preserve">are </w:t>
      </w:r>
      <w:r w:rsidR="00BF15BC" w:rsidRPr="000D4E58">
        <w:rPr>
          <w:rStyle w:val="normaltextrun"/>
          <w:rFonts w:cs="Arial"/>
          <w:color w:val="000000"/>
          <w:shd w:val="clear" w:color="auto" w:fill="FFFFFF"/>
        </w:rPr>
        <w:t>rotate</w:t>
      </w:r>
      <w:r w:rsidR="009D4A51">
        <w:rPr>
          <w:rStyle w:val="normaltextrun"/>
          <w:rFonts w:cs="Arial"/>
          <w:color w:val="000000"/>
          <w:shd w:val="clear" w:color="auto" w:fill="FFFFFF"/>
        </w:rPr>
        <w:t>d</w:t>
      </w:r>
      <w:r w:rsidR="00F86285">
        <w:rPr>
          <w:rStyle w:val="normaltextrun"/>
          <w:rFonts w:cs="Arial"/>
          <w:color w:val="000000"/>
          <w:shd w:val="clear" w:color="auto" w:fill="FFFFFF"/>
        </w:rPr>
        <w:t>,</w:t>
      </w:r>
      <w:r w:rsidR="00BF15BC" w:rsidRPr="000D4E58">
        <w:rPr>
          <w:rStyle w:val="normaltextrun"/>
          <w:rFonts w:cs="Arial"/>
          <w:color w:val="000000"/>
          <w:shd w:val="clear" w:color="auto" w:fill="FFFFFF"/>
        </w:rPr>
        <w:t xml:space="preserve"> and </w:t>
      </w:r>
      <w:r w:rsidR="00B87E22">
        <w:rPr>
          <w:rStyle w:val="normaltextrun"/>
          <w:rFonts w:cs="Arial"/>
          <w:color w:val="000000"/>
          <w:shd w:val="clear" w:color="auto" w:fill="FFFFFF"/>
        </w:rPr>
        <w:t>data for water</w:t>
      </w:r>
      <w:r w:rsidR="00D62CFA">
        <w:rPr>
          <w:rStyle w:val="normaltextrun"/>
          <w:rFonts w:cs="Arial"/>
          <w:color w:val="000000"/>
          <w:shd w:val="clear" w:color="auto" w:fill="FFFFFF"/>
        </w:rPr>
        <w:t>body segment</w:t>
      </w:r>
      <w:r w:rsidR="00B87E22">
        <w:rPr>
          <w:rStyle w:val="normaltextrun"/>
          <w:rFonts w:cs="Arial"/>
          <w:color w:val="000000"/>
          <w:shd w:val="clear" w:color="auto" w:fill="FFFFFF"/>
        </w:rPr>
        <w:t xml:space="preserve">s within </w:t>
      </w:r>
      <w:r w:rsidR="00455280">
        <w:rPr>
          <w:rStyle w:val="normaltextrun"/>
          <w:rFonts w:cs="Arial"/>
          <w:color w:val="000000"/>
          <w:shd w:val="clear" w:color="auto" w:fill="FFFFFF"/>
        </w:rPr>
        <w:t>each</w:t>
      </w:r>
      <w:r w:rsidR="00BF15BC" w:rsidRPr="000D4E58" w:rsidDel="00455280">
        <w:rPr>
          <w:rStyle w:val="normaltextrun"/>
          <w:rFonts w:cs="Arial"/>
          <w:color w:val="000000"/>
          <w:shd w:val="clear" w:color="auto" w:fill="FFFFFF"/>
        </w:rPr>
        <w:t xml:space="preserve"> </w:t>
      </w:r>
      <w:r w:rsidR="00455280">
        <w:rPr>
          <w:rStyle w:val="normaltextrun"/>
          <w:rFonts w:cs="Arial"/>
          <w:color w:val="000000"/>
          <w:shd w:val="clear" w:color="auto" w:fill="FFFFFF"/>
        </w:rPr>
        <w:t>R</w:t>
      </w:r>
      <w:r w:rsidR="00455280" w:rsidRPr="000D4E58">
        <w:rPr>
          <w:rStyle w:val="normaltextrun"/>
          <w:rFonts w:cs="Arial"/>
          <w:color w:val="000000"/>
          <w:shd w:val="clear" w:color="auto" w:fill="FFFFFF"/>
        </w:rPr>
        <w:t>egion</w:t>
      </w:r>
      <w:r w:rsidR="00455280">
        <w:rPr>
          <w:rStyle w:val="normaltextrun"/>
          <w:rFonts w:cs="Arial"/>
          <w:color w:val="000000"/>
          <w:shd w:val="clear" w:color="auto" w:fill="FFFFFF"/>
        </w:rPr>
        <w:t>al Water Board</w:t>
      </w:r>
      <w:r w:rsidR="00455280" w:rsidRPr="000D4E58">
        <w:rPr>
          <w:rStyle w:val="normaltextrun"/>
          <w:rFonts w:cs="Arial"/>
          <w:color w:val="000000"/>
          <w:shd w:val="clear" w:color="auto" w:fill="FFFFFF"/>
        </w:rPr>
        <w:t xml:space="preserve"> </w:t>
      </w:r>
      <w:r w:rsidR="00463BF1">
        <w:rPr>
          <w:rStyle w:val="normaltextrun"/>
          <w:rFonts w:cs="Arial"/>
          <w:color w:val="000000"/>
          <w:shd w:val="clear" w:color="auto" w:fill="FFFFFF"/>
        </w:rPr>
        <w:t>are</w:t>
      </w:r>
      <w:r w:rsidR="00BF15BC" w:rsidRPr="000D4E58">
        <w:rPr>
          <w:rStyle w:val="normaltextrun"/>
          <w:rFonts w:cs="Arial"/>
          <w:color w:val="000000"/>
          <w:shd w:val="clear" w:color="auto" w:fill="FFFFFF"/>
        </w:rPr>
        <w:t xml:space="preserve"> fully assessed once every six years.</w:t>
      </w:r>
      <w:r w:rsidR="00AD2D9C">
        <w:rPr>
          <w:rStyle w:val="normaltextrun"/>
          <w:rFonts w:cs="Arial"/>
          <w:color w:val="000000"/>
          <w:shd w:val="clear" w:color="auto" w:fill="FFFFFF"/>
        </w:rPr>
        <w:t xml:space="preserve"> </w:t>
      </w:r>
    </w:p>
    <w:p w14:paraId="3BCDA822" w14:textId="2404538B" w:rsidR="00C47244" w:rsidRPr="00D24CC2" w:rsidRDefault="00C47244" w:rsidP="00C47244">
      <w:pPr>
        <w:rPr>
          <w:rFonts w:eastAsia="Arial" w:cs="Arial"/>
        </w:rPr>
      </w:pPr>
      <w:r w:rsidRPr="004502A9">
        <w:rPr>
          <w:rFonts w:eastAsia="Arial" w:cs="Arial"/>
        </w:rPr>
        <w:t xml:space="preserve">For the </w:t>
      </w:r>
      <w:r>
        <w:rPr>
          <w:rFonts w:eastAsia="Arial" w:cs="Arial"/>
        </w:rPr>
        <w:t>2026</w:t>
      </w:r>
      <w:r w:rsidRPr="004502A9">
        <w:rPr>
          <w:rFonts w:eastAsia="Arial" w:cs="Arial"/>
        </w:rPr>
        <w:t xml:space="preserve"> </w:t>
      </w:r>
      <w:r>
        <w:rPr>
          <w:rFonts w:eastAsia="Arial" w:cs="Arial"/>
        </w:rPr>
        <w:t>California Integrated Report</w:t>
      </w:r>
      <w:r w:rsidRPr="004502A9">
        <w:rPr>
          <w:rFonts w:eastAsia="Arial" w:cs="Arial"/>
        </w:rPr>
        <w:t xml:space="preserve">, </w:t>
      </w:r>
      <w:r>
        <w:rPr>
          <w:rFonts w:eastAsia="Arial" w:cs="Arial"/>
        </w:rPr>
        <w:t xml:space="preserve">the </w:t>
      </w:r>
      <w:r>
        <w:rPr>
          <w:rFonts w:cs="Arial"/>
        </w:rPr>
        <w:t>North Coast,</w:t>
      </w:r>
      <w:r w:rsidRPr="00C675CD">
        <w:rPr>
          <w:rFonts w:cs="Arial"/>
        </w:rPr>
        <w:t xml:space="preserve"> </w:t>
      </w:r>
      <w:r>
        <w:rPr>
          <w:rFonts w:cs="Arial"/>
        </w:rPr>
        <w:t xml:space="preserve">Lahontan, and Colorado River Basin </w:t>
      </w:r>
      <w:r w:rsidRPr="004502A9">
        <w:rPr>
          <w:rFonts w:eastAsia="Arial" w:cs="Arial"/>
        </w:rPr>
        <w:t>Regional Water Boards</w:t>
      </w:r>
      <w:r>
        <w:rPr>
          <w:rFonts w:eastAsia="Arial" w:cs="Arial"/>
        </w:rPr>
        <w:t xml:space="preserve"> </w:t>
      </w:r>
      <w:r w:rsidRPr="004502A9">
        <w:rPr>
          <w:rFonts w:eastAsia="Arial" w:cs="Arial"/>
        </w:rPr>
        <w:t>are “on</w:t>
      </w:r>
      <w:r>
        <w:rPr>
          <w:rFonts w:eastAsia="Arial" w:cs="Arial"/>
        </w:rPr>
        <w:t>-</w:t>
      </w:r>
      <w:r w:rsidRPr="004502A9">
        <w:rPr>
          <w:rFonts w:eastAsia="Arial" w:cs="Arial"/>
        </w:rPr>
        <w:t xml:space="preserve">cycle.” All readily available data and information </w:t>
      </w:r>
      <w:r>
        <w:rPr>
          <w:rFonts w:eastAsia="Arial" w:cs="Arial"/>
        </w:rPr>
        <w:t xml:space="preserve">for </w:t>
      </w:r>
      <w:r w:rsidR="00A31B80">
        <w:rPr>
          <w:rFonts w:eastAsia="Arial" w:cs="Arial"/>
        </w:rPr>
        <w:t xml:space="preserve">surface waters within </w:t>
      </w:r>
      <w:r w:rsidR="00981D7D">
        <w:rPr>
          <w:rFonts w:eastAsia="Arial" w:cs="Arial"/>
        </w:rPr>
        <w:t>the boundaries of</w:t>
      </w:r>
      <w:r>
        <w:rPr>
          <w:rFonts w:eastAsia="Arial" w:cs="Arial"/>
        </w:rPr>
        <w:t xml:space="preserve"> these Regional Water Boards received prior to the data solicitation cut-off date of October 21, 2022,</w:t>
      </w:r>
      <w:r w:rsidRPr="004502A9">
        <w:rPr>
          <w:rFonts w:eastAsia="Arial" w:cs="Arial"/>
        </w:rPr>
        <w:t xml:space="preserve"> were considered.</w:t>
      </w:r>
      <w:r>
        <w:rPr>
          <w:rFonts w:eastAsia="Arial" w:cs="Arial"/>
        </w:rPr>
        <w:t xml:space="preserve"> In addition</w:t>
      </w:r>
      <w:r w:rsidRPr="004502A9">
        <w:rPr>
          <w:rFonts w:cs="Arial"/>
        </w:rPr>
        <w:t>, all readily available data and information from waterbod</w:t>
      </w:r>
      <w:r>
        <w:rPr>
          <w:rFonts w:cs="Arial"/>
        </w:rPr>
        <w:t>y segments</w:t>
      </w:r>
      <w:r w:rsidRPr="004502A9">
        <w:rPr>
          <w:rFonts w:cs="Arial"/>
        </w:rPr>
        <w:t xml:space="preserve"> </w:t>
      </w:r>
      <w:r>
        <w:rPr>
          <w:rFonts w:cs="Arial"/>
        </w:rPr>
        <w:t xml:space="preserve">within the San Joaquin River sub-area of the Central Valley Regional Water Board were considered for “off-cycle” assessments. The San Joaquin River sub-area is defined as </w:t>
      </w:r>
      <w:r>
        <w:t xml:space="preserve">the </w:t>
      </w:r>
      <w:r>
        <w:rPr>
          <w:rFonts w:cs="Arial"/>
        </w:rPr>
        <w:t>San Joaquin</w:t>
      </w:r>
      <w:r>
        <w:t xml:space="preserve"> River watershed and includes the mainstem of the San Joaquin River upstream of the legal boundary of the Sacramento-San Joaquin Delta and all surface waters tributary to the mainstem.</w:t>
      </w:r>
      <w:r>
        <w:rPr>
          <w:rFonts w:eastAsia="Arial" w:cs="Arial"/>
        </w:rPr>
        <w:t xml:space="preserve"> </w:t>
      </w:r>
      <w:r>
        <w:rPr>
          <w:rFonts w:cs="Arial"/>
        </w:rPr>
        <w:t>Finally</w:t>
      </w:r>
      <w:r w:rsidRPr="004502A9">
        <w:rPr>
          <w:rFonts w:cs="Arial"/>
        </w:rPr>
        <w:t xml:space="preserve">, </w:t>
      </w:r>
      <w:r>
        <w:rPr>
          <w:rFonts w:cs="Arial"/>
        </w:rPr>
        <w:t xml:space="preserve">some </w:t>
      </w:r>
      <w:r>
        <w:rPr>
          <w:rFonts w:eastAsia="Arial" w:cs="Arial"/>
        </w:rPr>
        <w:t>data and information from</w:t>
      </w:r>
      <w:r w:rsidRPr="004502A9">
        <w:rPr>
          <w:rFonts w:eastAsia="Arial" w:cs="Arial"/>
        </w:rPr>
        <w:t xml:space="preserve"> </w:t>
      </w:r>
      <w:r>
        <w:rPr>
          <w:rFonts w:cs="Arial"/>
        </w:rPr>
        <w:t xml:space="preserve">several waterbody segments within </w:t>
      </w:r>
      <w:r w:rsidRPr="004502A9">
        <w:rPr>
          <w:rFonts w:cs="Arial"/>
        </w:rPr>
        <w:t xml:space="preserve">the </w:t>
      </w:r>
      <w:r>
        <w:rPr>
          <w:rFonts w:cs="Arial"/>
        </w:rPr>
        <w:t xml:space="preserve">Central Coast and </w:t>
      </w:r>
      <w:r w:rsidRPr="004502A9">
        <w:rPr>
          <w:rFonts w:cs="Arial"/>
        </w:rPr>
        <w:t>San Diego Regional Water</w:t>
      </w:r>
      <w:r>
        <w:rPr>
          <w:rFonts w:cs="Arial"/>
        </w:rPr>
        <w:t xml:space="preserve"> </w:t>
      </w:r>
      <w:r w:rsidRPr="004502A9">
        <w:rPr>
          <w:rFonts w:cs="Arial"/>
        </w:rPr>
        <w:t>Board were considered as “off</w:t>
      </w:r>
      <w:r>
        <w:rPr>
          <w:rFonts w:cs="Arial"/>
        </w:rPr>
        <w:t>-</w:t>
      </w:r>
      <w:r w:rsidRPr="004502A9">
        <w:rPr>
          <w:rFonts w:cs="Arial"/>
        </w:rPr>
        <w:t>cycle” assessments</w:t>
      </w:r>
      <w:r>
        <w:rPr>
          <w:rFonts w:cs="Arial"/>
        </w:rPr>
        <w:t xml:space="preserve">. </w:t>
      </w:r>
    </w:p>
    <w:p w14:paraId="4CFE4757" w14:textId="3AF8312B" w:rsidR="003D2E34" w:rsidRPr="00476EE7" w:rsidRDefault="00B65F30" w:rsidP="003D2E34">
      <w:r w:rsidRPr="004502A9">
        <w:rPr>
          <w:rStyle w:val="normaltextrun"/>
          <w:rFonts w:cs="Arial"/>
          <w:color w:val="000000"/>
          <w:shd w:val="clear" w:color="auto" w:fill="FFFFFF"/>
        </w:rPr>
        <w:t>The</w:t>
      </w:r>
      <w:r w:rsidR="00283393">
        <w:rPr>
          <w:rStyle w:val="normaltextrun"/>
          <w:rFonts w:cs="Arial"/>
          <w:color w:val="000000"/>
          <w:shd w:val="clear" w:color="auto" w:fill="FFFFFF"/>
        </w:rPr>
        <w:t xml:space="preserve"> </w:t>
      </w:r>
      <w:r w:rsidRPr="004502A9">
        <w:rPr>
          <w:rStyle w:val="normaltextrun"/>
          <w:rFonts w:cs="Arial"/>
          <w:color w:val="000000"/>
          <w:shd w:val="clear" w:color="auto" w:fill="FFFFFF"/>
        </w:rPr>
        <w:t>State Water Board is administering</w:t>
      </w:r>
      <w:r w:rsidR="00283393">
        <w:rPr>
          <w:rStyle w:val="normaltextrun"/>
          <w:rFonts w:cs="Arial"/>
          <w:color w:val="000000"/>
          <w:shd w:val="clear" w:color="auto" w:fill="FFFFFF"/>
        </w:rPr>
        <w:t xml:space="preserve"> </w:t>
      </w:r>
      <w:r w:rsidRPr="004502A9">
        <w:rPr>
          <w:rStyle w:val="normaltextrun"/>
          <w:rFonts w:cs="Arial"/>
          <w:color w:val="000000"/>
          <w:shd w:val="clear" w:color="auto" w:fill="FFFFFF"/>
        </w:rPr>
        <w:t>the</w:t>
      </w:r>
      <w:r w:rsidR="00283393">
        <w:rPr>
          <w:rStyle w:val="normaltextrun"/>
          <w:rFonts w:cs="Arial"/>
          <w:color w:val="000000"/>
          <w:shd w:val="clear" w:color="auto" w:fill="FFFFFF"/>
        </w:rPr>
        <w:t xml:space="preserve"> </w:t>
      </w:r>
      <w:r w:rsidRPr="004502A9">
        <w:rPr>
          <w:rStyle w:val="normaltextrun"/>
          <w:rFonts w:cs="Arial"/>
          <w:color w:val="000000"/>
          <w:shd w:val="clear" w:color="auto" w:fill="FFFFFF"/>
        </w:rPr>
        <w:t>listing process</w:t>
      </w:r>
      <w:r w:rsidR="00283393">
        <w:rPr>
          <w:rStyle w:val="normaltextrun"/>
          <w:rFonts w:cs="Arial"/>
          <w:color w:val="000000"/>
          <w:shd w:val="clear" w:color="auto" w:fill="FFFFFF"/>
        </w:rPr>
        <w:t xml:space="preserve"> </w:t>
      </w:r>
      <w:r w:rsidRPr="004502A9">
        <w:rPr>
          <w:rStyle w:val="normaltextrun"/>
          <w:rFonts w:cs="Arial"/>
          <w:color w:val="000000"/>
          <w:shd w:val="clear" w:color="auto" w:fill="FFFFFF"/>
        </w:rPr>
        <w:t>for</w:t>
      </w:r>
      <w:r w:rsidR="00283393">
        <w:rPr>
          <w:rStyle w:val="normaltextrun"/>
          <w:rFonts w:cs="Arial"/>
          <w:color w:val="000000"/>
          <w:shd w:val="clear" w:color="auto" w:fill="FFFFFF"/>
        </w:rPr>
        <w:t xml:space="preserve"> </w:t>
      </w:r>
      <w:r w:rsidRPr="004502A9">
        <w:rPr>
          <w:rStyle w:val="normaltextrun"/>
          <w:rFonts w:cs="Arial"/>
          <w:color w:val="000000"/>
          <w:shd w:val="clear" w:color="auto" w:fill="FFFFFF"/>
        </w:rPr>
        <w:t>all waters</w:t>
      </w:r>
      <w:r w:rsidR="00283393">
        <w:rPr>
          <w:rStyle w:val="normaltextrun"/>
          <w:rFonts w:cs="Arial"/>
          <w:color w:val="000000"/>
          <w:shd w:val="clear" w:color="auto" w:fill="FFFFFF"/>
        </w:rPr>
        <w:t xml:space="preserve"> </w:t>
      </w:r>
      <w:r w:rsidRPr="004502A9">
        <w:rPr>
          <w:rStyle w:val="normaltextrun"/>
          <w:rFonts w:cs="Arial"/>
          <w:color w:val="000000"/>
          <w:shd w:val="clear" w:color="auto" w:fill="FFFFFF"/>
        </w:rPr>
        <w:t xml:space="preserve">assessed </w:t>
      </w:r>
      <w:r w:rsidR="005D28DD">
        <w:rPr>
          <w:rStyle w:val="normaltextrun"/>
          <w:rFonts w:cs="Arial"/>
          <w:color w:val="000000"/>
          <w:shd w:val="clear" w:color="auto" w:fill="FFFFFF"/>
        </w:rPr>
        <w:t xml:space="preserve">for the </w:t>
      </w:r>
      <w:r w:rsidR="00C6428D">
        <w:rPr>
          <w:rStyle w:val="normaltextrun"/>
          <w:rFonts w:cs="Arial"/>
          <w:color w:val="000000"/>
          <w:shd w:val="clear" w:color="auto" w:fill="FFFFFF"/>
        </w:rPr>
        <w:t>2026</w:t>
      </w:r>
      <w:r w:rsidR="005D28DD">
        <w:rPr>
          <w:rStyle w:val="normaltextrun"/>
          <w:rFonts w:cs="Arial"/>
          <w:color w:val="000000"/>
          <w:shd w:val="clear" w:color="auto" w:fill="FFFFFF"/>
        </w:rPr>
        <w:t xml:space="preserve"> California Integrated Report</w:t>
      </w:r>
      <w:r w:rsidRPr="004502A9">
        <w:rPr>
          <w:rStyle w:val="normaltextrun"/>
          <w:rFonts w:cs="Arial"/>
          <w:color w:val="000000"/>
          <w:shd w:val="clear" w:color="auto" w:fill="FFFFFF"/>
        </w:rPr>
        <w:t>,</w:t>
      </w:r>
      <w:r w:rsidR="00283393">
        <w:rPr>
          <w:rStyle w:val="normaltextrun"/>
          <w:rFonts w:cs="Arial"/>
          <w:color w:val="000000"/>
          <w:shd w:val="clear" w:color="auto" w:fill="FFFFFF"/>
        </w:rPr>
        <w:t xml:space="preserve"> </w:t>
      </w:r>
      <w:r w:rsidRPr="004502A9">
        <w:rPr>
          <w:rStyle w:val="normaltextrun"/>
          <w:rFonts w:cs="Arial"/>
          <w:color w:val="000000"/>
          <w:shd w:val="clear" w:color="auto" w:fill="FFFFFF"/>
        </w:rPr>
        <w:t xml:space="preserve">in accordance with </w:t>
      </w:r>
      <w:r w:rsidR="00171881">
        <w:rPr>
          <w:rStyle w:val="normaltextrun"/>
          <w:rFonts w:cs="Arial"/>
          <w:color w:val="000000"/>
          <w:shd w:val="clear" w:color="auto" w:fill="FFFFFF"/>
        </w:rPr>
        <w:t>s</w:t>
      </w:r>
      <w:r w:rsidRPr="004502A9">
        <w:rPr>
          <w:rStyle w:val="normaltextrun"/>
          <w:rFonts w:cs="Arial"/>
          <w:color w:val="000000"/>
          <w:shd w:val="clear" w:color="auto" w:fill="FFFFFF"/>
        </w:rPr>
        <w:t xml:space="preserve">ection 6.2 of the </w:t>
      </w:r>
      <w:r w:rsidR="006E557D">
        <w:rPr>
          <w:rStyle w:val="normaltextrun"/>
          <w:rFonts w:cs="Arial"/>
          <w:color w:val="000000"/>
          <w:shd w:val="clear" w:color="auto" w:fill="FFFFFF"/>
        </w:rPr>
        <w:t>Listing</w:t>
      </w:r>
      <w:r w:rsidRPr="004502A9">
        <w:rPr>
          <w:rStyle w:val="normaltextrun"/>
          <w:rFonts w:cs="Arial"/>
          <w:color w:val="000000"/>
          <w:shd w:val="clear" w:color="auto" w:fill="FFFFFF"/>
        </w:rPr>
        <w:t xml:space="preserve"> Policy</w:t>
      </w:r>
      <w:r w:rsidR="005530D9">
        <w:rPr>
          <w:rStyle w:val="normaltextrun"/>
          <w:rFonts w:cs="Arial"/>
          <w:color w:val="000000"/>
          <w:shd w:val="clear" w:color="auto" w:fill="FFFFFF"/>
        </w:rPr>
        <w:t>.</w:t>
      </w:r>
      <w:r w:rsidRPr="004502A9">
        <w:rPr>
          <w:rStyle w:val="normaltextrun"/>
          <w:rFonts w:cs="Arial"/>
          <w:color w:val="000000"/>
          <w:shd w:val="clear" w:color="auto" w:fill="FFFFFF"/>
        </w:rPr>
        <w:t xml:space="preserve"> </w:t>
      </w:r>
      <w:r w:rsidR="00F66EA2">
        <w:rPr>
          <w:rStyle w:val="normaltextrun"/>
          <w:rFonts w:cs="Arial"/>
          <w:color w:val="000000"/>
          <w:shd w:val="clear" w:color="auto" w:fill="FFFFFF"/>
        </w:rPr>
        <w:t>T</w:t>
      </w:r>
      <w:r w:rsidR="003D2E34">
        <w:t xml:space="preserve">he State Water Board </w:t>
      </w:r>
      <w:r w:rsidR="00C26E37">
        <w:t>closely</w:t>
      </w:r>
      <w:r w:rsidR="003D2E34" w:rsidDel="00C26E37">
        <w:t xml:space="preserve"> </w:t>
      </w:r>
      <w:r w:rsidR="00C26E37">
        <w:t xml:space="preserve">coordinates </w:t>
      </w:r>
      <w:r w:rsidR="003D2E34">
        <w:t>with the</w:t>
      </w:r>
      <w:r w:rsidR="003D2E34" w:rsidDel="00C26E37">
        <w:t xml:space="preserve"> </w:t>
      </w:r>
      <w:r w:rsidR="003D2E34">
        <w:t xml:space="preserve">Regional Water Boards to review data, make water quality impairment decisions, and develop public documents. </w:t>
      </w:r>
      <w:r w:rsidR="003D2E34" w:rsidRPr="001C5831">
        <w:t>The</w:t>
      </w:r>
      <w:r w:rsidR="003D2E34">
        <w:t xml:space="preserve"> State Water Board sets statewide water quality standards, plans, and policies. The nine Regional Water Boards are semi-autonomous and may set regional standards more stringent than the statewide standards or site-specific standards unique to a waterbody</w:t>
      </w:r>
      <w:r w:rsidR="009B14BB">
        <w:t xml:space="preserve"> segment</w:t>
      </w:r>
      <w:r w:rsidR="003D2E34">
        <w:t xml:space="preserve">. </w:t>
      </w:r>
      <w:r w:rsidR="00C0451E">
        <w:t>The Regional Water Board</w:t>
      </w:r>
      <w:r w:rsidR="00876A21">
        <w:t>s</w:t>
      </w:r>
      <w:r w:rsidR="00C0451E">
        <w:t xml:space="preserve"> also develop TMDLs and often are the primary </w:t>
      </w:r>
      <w:r w:rsidR="00D31E38">
        <w:t xml:space="preserve">permitting authority to </w:t>
      </w:r>
      <w:r w:rsidR="00536F2A">
        <w:t xml:space="preserve">control pollutants and restore </w:t>
      </w:r>
      <w:r w:rsidR="00C0451E">
        <w:t xml:space="preserve">impaired waters. </w:t>
      </w:r>
    </w:p>
    <w:p w14:paraId="24786890" w14:textId="26C547EA" w:rsidR="00556A36" w:rsidRPr="004502A9" w:rsidRDefault="00B65F30" w:rsidP="00B65F30">
      <w:pPr>
        <w:rPr>
          <w:rStyle w:val="normaltextrun"/>
          <w:rFonts w:cs="Arial"/>
          <w:color w:val="000000"/>
          <w:shd w:val="clear" w:color="auto" w:fill="FFFFFF"/>
        </w:rPr>
      </w:pPr>
      <w:r w:rsidRPr="004502A9">
        <w:rPr>
          <w:rStyle w:val="normaltextrun"/>
          <w:rFonts w:cs="Arial"/>
          <w:color w:val="000000"/>
          <w:shd w:val="clear" w:color="auto" w:fill="FFFFFF"/>
        </w:rPr>
        <w:t xml:space="preserve">Upon </w:t>
      </w:r>
      <w:r w:rsidR="007C6F15" w:rsidRPr="004502A9">
        <w:rPr>
          <w:rStyle w:val="normaltextrun"/>
          <w:rFonts w:cs="Arial"/>
          <w:color w:val="000000"/>
          <w:shd w:val="clear" w:color="auto" w:fill="FFFFFF"/>
        </w:rPr>
        <w:t xml:space="preserve">State Water Board </w:t>
      </w:r>
      <w:r w:rsidRPr="004502A9">
        <w:rPr>
          <w:rStyle w:val="normaltextrun"/>
          <w:rFonts w:cs="Arial"/>
          <w:color w:val="000000"/>
          <w:shd w:val="clear" w:color="auto" w:fill="FFFFFF"/>
        </w:rPr>
        <w:t xml:space="preserve">approval of the </w:t>
      </w:r>
      <w:bookmarkStart w:id="21" w:name="_Int_Cyh9TpIp"/>
      <w:r w:rsidRPr="004502A9">
        <w:rPr>
          <w:rStyle w:val="normaltextrun"/>
          <w:rFonts w:cs="Arial"/>
          <w:color w:val="000000"/>
          <w:shd w:val="clear" w:color="auto" w:fill="FFFFFF"/>
        </w:rPr>
        <w:t xml:space="preserve">303(d) </w:t>
      </w:r>
      <w:r w:rsidR="005316CB">
        <w:rPr>
          <w:rStyle w:val="normaltextrun"/>
          <w:rFonts w:cs="Arial"/>
          <w:color w:val="000000"/>
          <w:shd w:val="clear" w:color="auto" w:fill="FFFFFF"/>
        </w:rPr>
        <w:t>l</w:t>
      </w:r>
      <w:r w:rsidRPr="004502A9">
        <w:rPr>
          <w:rStyle w:val="normaltextrun"/>
          <w:rFonts w:cs="Arial"/>
          <w:color w:val="000000"/>
          <w:shd w:val="clear" w:color="auto" w:fill="FFFFFF"/>
        </w:rPr>
        <w:t>ist</w:t>
      </w:r>
      <w:bookmarkEnd w:id="21"/>
      <w:r w:rsidRPr="004502A9">
        <w:rPr>
          <w:rStyle w:val="normaltextrun"/>
          <w:rFonts w:cs="Arial"/>
          <w:color w:val="000000"/>
          <w:shd w:val="clear" w:color="auto" w:fill="FFFFFF"/>
        </w:rPr>
        <w:t xml:space="preserve"> portion of the </w:t>
      </w:r>
      <w:r w:rsidR="00C6428D">
        <w:rPr>
          <w:rFonts w:eastAsia="Arial" w:cs="Arial"/>
        </w:rPr>
        <w:t>2026</w:t>
      </w:r>
      <w:r w:rsidRPr="004502A9">
        <w:rPr>
          <w:rFonts w:eastAsia="Arial" w:cs="Arial"/>
        </w:rPr>
        <w:t xml:space="preserve"> </w:t>
      </w:r>
      <w:r w:rsidR="00D17E40">
        <w:rPr>
          <w:rFonts w:eastAsia="Arial" w:cs="Arial"/>
        </w:rPr>
        <w:t>California</w:t>
      </w:r>
      <w:r w:rsidRPr="004502A9">
        <w:rPr>
          <w:rFonts w:eastAsia="Arial" w:cs="Arial"/>
        </w:rPr>
        <w:t xml:space="preserve"> </w:t>
      </w:r>
      <w:r w:rsidRPr="004502A9">
        <w:rPr>
          <w:rStyle w:val="normaltextrun"/>
          <w:rFonts w:cs="Arial"/>
          <w:color w:val="000000"/>
          <w:shd w:val="clear" w:color="auto" w:fill="FFFFFF"/>
        </w:rPr>
        <w:t xml:space="preserve">Integrated Report, the </w:t>
      </w:r>
      <w:r w:rsidR="00733FE5">
        <w:rPr>
          <w:rStyle w:val="normaltextrun"/>
          <w:rFonts w:cs="Arial"/>
          <w:color w:val="000000"/>
          <w:shd w:val="clear" w:color="auto" w:fill="FFFFFF"/>
        </w:rPr>
        <w:t xml:space="preserve">California </w:t>
      </w:r>
      <w:r w:rsidRPr="004502A9">
        <w:rPr>
          <w:rStyle w:val="normaltextrun"/>
          <w:rFonts w:cs="Arial"/>
          <w:color w:val="000000"/>
          <w:shd w:val="clear" w:color="auto" w:fill="FFFFFF"/>
        </w:rPr>
        <w:t xml:space="preserve">Integrated Report is submitted to </w:t>
      </w:r>
      <w:r w:rsidR="00313C98">
        <w:rPr>
          <w:rStyle w:val="normaltextrun"/>
          <w:rFonts w:cs="Arial"/>
          <w:color w:val="000000"/>
          <w:shd w:val="clear" w:color="auto" w:fill="FFFFFF"/>
        </w:rPr>
        <w:t>USEPA</w:t>
      </w:r>
      <w:r w:rsidR="005C3D65">
        <w:rPr>
          <w:rStyle w:val="normaltextrun"/>
          <w:rFonts w:cs="Arial"/>
          <w:color w:val="000000"/>
          <w:shd w:val="clear" w:color="auto" w:fill="FFFFFF"/>
        </w:rPr>
        <w:t xml:space="preserve"> for</w:t>
      </w:r>
      <w:r w:rsidR="006B2B18">
        <w:rPr>
          <w:rStyle w:val="normaltextrun"/>
          <w:rFonts w:cs="Arial"/>
          <w:color w:val="000000"/>
          <w:shd w:val="clear" w:color="auto" w:fill="FFFFFF"/>
        </w:rPr>
        <w:t xml:space="preserve"> independent review</w:t>
      </w:r>
      <w:r w:rsidR="00A22C56">
        <w:rPr>
          <w:rStyle w:val="normaltextrun"/>
          <w:rFonts w:cs="Arial"/>
          <w:color w:val="000000"/>
          <w:shd w:val="clear" w:color="auto" w:fill="FFFFFF"/>
        </w:rPr>
        <w:t>.</w:t>
      </w:r>
      <w:r w:rsidRPr="004502A9">
        <w:rPr>
          <w:rStyle w:val="normaltextrun"/>
          <w:rFonts w:cs="Arial"/>
          <w:color w:val="000000"/>
          <w:shd w:val="clear" w:color="auto" w:fill="FFFFFF"/>
        </w:rPr>
        <w:t xml:space="preserve"> </w:t>
      </w:r>
      <w:r w:rsidR="00A22C56">
        <w:rPr>
          <w:rStyle w:val="normaltextrun"/>
          <w:rFonts w:cs="Arial"/>
          <w:color w:val="000000"/>
          <w:shd w:val="clear" w:color="auto" w:fill="FFFFFF"/>
        </w:rPr>
        <w:t>USEPA</w:t>
      </w:r>
      <w:r w:rsidR="00533832">
        <w:rPr>
          <w:rStyle w:val="normaltextrun"/>
          <w:rFonts w:cs="Arial"/>
          <w:color w:val="000000"/>
          <w:shd w:val="clear" w:color="auto" w:fill="FFFFFF"/>
        </w:rPr>
        <w:t>’s</w:t>
      </w:r>
      <w:r w:rsidRPr="004502A9">
        <w:rPr>
          <w:rStyle w:val="normaltextrun"/>
          <w:rFonts w:cs="Arial"/>
          <w:color w:val="000000"/>
          <w:shd w:val="clear" w:color="auto" w:fill="FFFFFF"/>
        </w:rPr>
        <w:t xml:space="preserve"> </w:t>
      </w:r>
      <w:r w:rsidR="00A22C56">
        <w:rPr>
          <w:rStyle w:val="normaltextrun"/>
          <w:rFonts w:cs="Arial"/>
          <w:color w:val="000000"/>
          <w:shd w:val="clear" w:color="auto" w:fill="FFFFFF"/>
        </w:rPr>
        <w:t>review</w:t>
      </w:r>
      <w:r w:rsidRPr="004502A9">
        <w:rPr>
          <w:rStyle w:val="normaltextrun"/>
          <w:rFonts w:cs="Arial"/>
          <w:color w:val="000000"/>
          <w:shd w:val="clear" w:color="auto" w:fill="FFFFFF"/>
        </w:rPr>
        <w:t xml:space="preserve"> may </w:t>
      </w:r>
      <w:r w:rsidR="005C3D65">
        <w:rPr>
          <w:rStyle w:val="normaltextrun"/>
          <w:rFonts w:cs="Arial"/>
          <w:color w:val="000000"/>
          <w:shd w:val="clear" w:color="auto" w:fill="FFFFFF"/>
        </w:rPr>
        <w:t>include making</w:t>
      </w:r>
      <w:r w:rsidRPr="004502A9">
        <w:rPr>
          <w:rStyle w:val="normaltextrun"/>
          <w:rFonts w:cs="Arial"/>
          <w:color w:val="000000"/>
          <w:shd w:val="clear" w:color="auto" w:fill="FFFFFF"/>
        </w:rPr>
        <w:t xml:space="preserve"> changes to the 303(d) </w:t>
      </w:r>
      <w:r w:rsidR="005316CB">
        <w:rPr>
          <w:rStyle w:val="normaltextrun"/>
          <w:rFonts w:cs="Arial"/>
          <w:color w:val="000000"/>
          <w:shd w:val="clear" w:color="auto" w:fill="FFFFFF"/>
        </w:rPr>
        <w:t>l</w:t>
      </w:r>
      <w:r w:rsidRPr="004502A9">
        <w:rPr>
          <w:rStyle w:val="normaltextrun"/>
          <w:rFonts w:cs="Arial"/>
          <w:color w:val="000000"/>
          <w:shd w:val="clear" w:color="auto" w:fill="FFFFFF"/>
        </w:rPr>
        <w:t xml:space="preserve">ist before it approves </w:t>
      </w:r>
      <w:r w:rsidR="003E5121">
        <w:rPr>
          <w:rStyle w:val="normaltextrun"/>
          <w:rFonts w:cs="Arial"/>
          <w:color w:val="000000"/>
          <w:shd w:val="clear" w:color="auto" w:fill="FFFFFF"/>
        </w:rPr>
        <w:t xml:space="preserve">and establishes </w:t>
      </w:r>
      <w:r w:rsidRPr="004502A9">
        <w:rPr>
          <w:rStyle w:val="normaltextrun"/>
          <w:rFonts w:cs="Arial"/>
          <w:color w:val="000000"/>
          <w:shd w:val="clear" w:color="auto" w:fill="FFFFFF"/>
        </w:rPr>
        <w:t xml:space="preserve">the final 303(d) </w:t>
      </w:r>
      <w:r w:rsidR="008807F3">
        <w:rPr>
          <w:rStyle w:val="normaltextrun"/>
          <w:rFonts w:cs="Arial"/>
          <w:color w:val="000000"/>
          <w:shd w:val="clear" w:color="auto" w:fill="FFFFFF"/>
        </w:rPr>
        <w:t>l</w:t>
      </w:r>
      <w:r w:rsidRPr="004502A9">
        <w:rPr>
          <w:rStyle w:val="normaltextrun"/>
          <w:rFonts w:cs="Arial"/>
          <w:color w:val="000000"/>
          <w:shd w:val="clear" w:color="auto" w:fill="FFFFFF"/>
        </w:rPr>
        <w:t xml:space="preserve">ist for California. </w:t>
      </w:r>
      <w:r w:rsidR="0074217F" w:rsidRPr="1EA2032A">
        <w:rPr>
          <w:rFonts w:cs="Arial"/>
        </w:rPr>
        <w:t xml:space="preserve">(33 U.S.C. § 1313 (d)(2).) </w:t>
      </w:r>
      <w:r w:rsidR="00293429" w:rsidRPr="1EA2032A">
        <w:rPr>
          <w:rFonts w:cs="Arial"/>
        </w:rPr>
        <w:t xml:space="preserve">Unlike the 303(d) </w:t>
      </w:r>
      <w:r w:rsidR="006F5095" w:rsidRPr="1EA2032A">
        <w:rPr>
          <w:rFonts w:cs="Arial"/>
        </w:rPr>
        <w:t>l</w:t>
      </w:r>
      <w:r w:rsidR="00293429" w:rsidRPr="1EA2032A">
        <w:rPr>
          <w:rFonts w:cs="Arial"/>
        </w:rPr>
        <w:t xml:space="preserve">ist, </w:t>
      </w:r>
      <w:r w:rsidR="00293429">
        <w:rPr>
          <w:rStyle w:val="normaltextrun"/>
          <w:rFonts w:cs="Arial"/>
          <w:color w:val="000000"/>
          <w:shd w:val="clear" w:color="auto" w:fill="FFFFFF"/>
        </w:rPr>
        <w:t>n</w:t>
      </w:r>
      <w:r w:rsidR="0027274B">
        <w:rPr>
          <w:rStyle w:val="normaltextrun"/>
          <w:rFonts w:cs="Arial"/>
          <w:color w:val="000000"/>
          <w:shd w:val="clear" w:color="auto" w:fill="FFFFFF"/>
        </w:rPr>
        <w:t xml:space="preserve">either the State Water Board nor the </w:t>
      </w:r>
      <w:r w:rsidR="00313C98">
        <w:rPr>
          <w:rStyle w:val="normaltextrun"/>
          <w:rFonts w:cs="Arial"/>
          <w:color w:val="000000"/>
          <w:shd w:val="clear" w:color="auto" w:fill="FFFFFF"/>
        </w:rPr>
        <w:t>USEPA</w:t>
      </w:r>
      <w:r w:rsidR="001372E9">
        <w:rPr>
          <w:rStyle w:val="normaltextrun"/>
          <w:rFonts w:cs="Arial"/>
          <w:color w:val="000000"/>
          <w:shd w:val="clear" w:color="auto" w:fill="FFFFFF"/>
        </w:rPr>
        <w:t xml:space="preserve"> takes formal approval action on the 305(b) report</w:t>
      </w:r>
      <w:r w:rsidR="00E34D66">
        <w:rPr>
          <w:rStyle w:val="normaltextrun"/>
          <w:rFonts w:cs="Arial"/>
          <w:color w:val="000000"/>
          <w:shd w:val="clear" w:color="auto" w:fill="FFFFFF"/>
        </w:rPr>
        <w:t>.</w:t>
      </w:r>
      <w:r w:rsidR="00556A36" w:rsidRPr="1EA2032A">
        <w:rPr>
          <w:rFonts w:cs="Arial"/>
        </w:rPr>
        <w:t xml:space="preserve"> </w:t>
      </w:r>
    </w:p>
    <w:p w14:paraId="131E5D07" w14:textId="267FECC1" w:rsidR="007710C3" w:rsidRPr="004502A9" w:rsidRDefault="007710C3" w:rsidP="007710C3">
      <w:pPr>
        <w:rPr>
          <w:rFonts w:eastAsia="Arial" w:cs="Arial"/>
        </w:rPr>
      </w:pPr>
      <w:r w:rsidRPr="004502A9">
        <w:rPr>
          <w:rFonts w:eastAsia="Arial" w:cs="Arial"/>
        </w:rPr>
        <w:t xml:space="preserve">The </w:t>
      </w:r>
      <w:r w:rsidR="00C6428D">
        <w:rPr>
          <w:rFonts w:eastAsia="Arial" w:cs="Arial"/>
        </w:rPr>
        <w:t>2026</w:t>
      </w:r>
      <w:r w:rsidRPr="004502A9">
        <w:rPr>
          <w:rFonts w:eastAsia="Arial" w:cs="Arial"/>
        </w:rPr>
        <w:t xml:space="preserve"> </w:t>
      </w:r>
      <w:r w:rsidR="003B2DEC">
        <w:rPr>
          <w:rFonts w:eastAsia="Arial" w:cs="Arial"/>
        </w:rPr>
        <w:t>California</w:t>
      </w:r>
      <w:r w:rsidRPr="004502A9">
        <w:rPr>
          <w:rFonts w:eastAsia="Arial" w:cs="Arial"/>
        </w:rPr>
        <w:t xml:space="preserve"> Integrated Report revises the </w:t>
      </w:r>
      <w:r w:rsidR="00FE004B">
        <w:rPr>
          <w:rFonts w:eastAsia="Arial" w:cs="Arial"/>
        </w:rPr>
        <w:t>2024</w:t>
      </w:r>
      <w:r w:rsidRPr="004502A9">
        <w:rPr>
          <w:rFonts w:eastAsia="Arial" w:cs="Arial"/>
        </w:rPr>
        <w:t xml:space="preserve"> </w:t>
      </w:r>
      <w:r w:rsidR="009C53CF">
        <w:rPr>
          <w:rFonts w:eastAsia="Arial" w:cs="Arial"/>
        </w:rPr>
        <w:t xml:space="preserve">California </w:t>
      </w:r>
      <w:r w:rsidRPr="004502A9">
        <w:rPr>
          <w:rFonts w:eastAsia="Arial" w:cs="Arial"/>
        </w:rPr>
        <w:t xml:space="preserve">Integrated Report. The revisions are based on data and information collected from surface </w:t>
      </w:r>
      <w:r w:rsidR="00023098">
        <w:rPr>
          <w:rFonts w:eastAsia="Arial" w:cs="Arial"/>
        </w:rPr>
        <w:t>waters</w:t>
      </w:r>
      <w:r w:rsidRPr="004502A9">
        <w:rPr>
          <w:rFonts w:eastAsia="Arial" w:cs="Arial"/>
        </w:rPr>
        <w:t xml:space="preserve"> (</w:t>
      </w:r>
      <w:r w:rsidR="003E5121">
        <w:rPr>
          <w:rFonts w:eastAsia="Arial" w:cs="Arial"/>
        </w:rPr>
        <w:t xml:space="preserve">e.g., </w:t>
      </w:r>
      <w:r w:rsidRPr="004502A9">
        <w:rPr>
          <w:rFonts w:eastAsia="Arial" w:cs="Arial"/>
        </w:rPr>
        <w:t xml:space="preserve">rivers, streams, lakes, bays, estuaries, enclosed lagoons, and coastal waters) located in the aforementioned regions. The revisions include changes to the 303(d) </w:t>
      </w:r>
      <w:r w:rsidR="006F5095">
        <w:rPr>
          <w:rFonts w:eastAsia="Arial" w:cs="Arial"/>
        </w:rPr>
        <w:t>l</w:t>
      </w:r>
      <w:r w:rsidRPr="004502A9" w:rsidDel="006E3554">
        <w:rPr>
          <w:rFonts w:eastAsia="Arial" w:cs="Arial"/>
        </w:rPr>
        <w:t>ist</w:t>
      </w:r>
      <w:r w:rsidRPr="004502A9">
        <w:rPr>
          <w:rFonts w:eastAsia="Arial" w:cs="Arial"/>
        </w:rPr>
        <w:t xml:space="preserve"> and</w:t>
      </w:r>
      <w:r w:rsidR="00AE29D2">
        <w:rPr>
          <w:rFonts w:eastAsia="Arial" w:cs="Arial"/>
        </w:rPr>
        <w:t xml:space="preserve"> the</w:t>
      </w:r>
      <w:r w:rsidRPr="004502A9">
        <w:rPr>
          <w:rFonts w:eastAsia="Arial" w:cs="Arial"/>
        </w:rPr>
        <w:t xml:space="preserve"> 305(b)</w:t>
      </w:r>
      <w:r w:rsidR="006F5D35">
        <w:rPr>
          <w:rFonts w:eastAsia="Arial" w:cs="Arial"/>
        </w:rPr>
        <w:t xml:space="preserve"> report and</w:t>
      </w:r>
      <w:r w:rsidRPr="004502A9">
        <w:rPr>
          <w:rFonts w:eastAsia="Arial" w:cs="Arial"/>
        </w:rPr>
        <w:t xml:space="preserve"> describe the extent to which surface waters in California are supporting beneficial uses.  </w:t>
      </w:r>
    </w:p>
    <w:p w14:paraId="0EE381C1" w14:textId="6B20A253" w:rsidR="007710C3" w:rsidRPr="004502A9" w:rsidRDefault="007710C3" w:rsidP="007710C3">
      <w:pPr>
        <w:rPr>
          <w:rFonts w:eastAsia="Arial" w:cs="Arial"/>
        </w:rPr>
      </w:pPr>
      <w:r w:rsidRPr="004502A9">
        <w:rPr>
          <w:rFonts w:eastAsia="Arial" w:cs="Arial"/>
        </w:rPr>
        <w:t xml:space="preserve">This staff report </w:t>
      </w:r>
      <w:r w:rsidR="00FE4E18">
        <w:rPr>
          <w:rFonts w:eastAsia="Arial" w:cs="Arial"/>
        </w:rPr>
        <w:t>describes</w:t>
      </w:r>
      <w:r w:rsidRPr="004502A9">
        <w:rPr>
          <w:rFonts w:eastAsia="Arial" w:cs="Arial"/>
        </w:rPr>
        <w:t xml:space="preserve"> the methods used to compile</w:t>
      </w:r>
      <w:r w:rsidR="00791622">
        <w:rPr>
          <w:rFonts w:eastAsia="Arial" w:cs="Arial"/>
        </w:rPr>
        <w:t>, evaluate</w:t>
      </w:r>
      <w:r w:rsidR="009F041F">
        <w:rPr>
          <w:rFonts w:eastAsia="Arial" w:cs="Arial"/>
        </w:rPr>
        <w:t>,</w:t>
      </w:r>
      <w:r w:rsidRPr="004502A9">
        <w:rPr>
          <w:rFonts w:eastAsia="Arial" w:cs="Arial"/>
        </w:rPr>
        <w:t xml:space="preserve"> and assess data</w:t>
      </w:r>
      <w:r w:rsidR="000711BF">
        <w:rPr>
          <w:rFonts w:eastAsia="Arial" w:cs="Arial"/>
        </w:rPr>
        <w:t xml:space="preserve"> and information</w:t>
      </w:r>
      <w:r w:rsidR="00055CCE">
        <w:rPr>
          <w:rFonts w:eastAsia="Arial" w:cs="Arial"/>
        </w:rPr>
        <w:t xml:space="preserve"> for the 2026 Integrated Report and summarizes the results</w:t>
      </w:r>
      <w:r w:rsidRPr="004502A9" w:rsidDel="004F502F">
        <w:rPr>
          <w:rFonts w:eastAsia="Arial" w:cs="Arial"/>
        </w:rPr>
        <w:t>.</w:t>
      </w:r>
      <w:r w:rsidRPr="004502A9">
        <w:rPr>
          <w:rFonts w:eastAsia="Arial" w:cs="Arial"/>
        </w:rPr>
        <w:t xml:space="preserve"> Surface water data </w:t>
      </w:r>
      <w:r w:rsidR="333E01DF" w:rsidRPr="6BFEE5F8">
        <w:rPr>
          <w:rFonts w:eastAsia="Arial" w:cs="Arial"/>
        </w:rPr>
        <w:t>and information</w:t>
      </w:r>
      <w:r w:rsidRPr="004502A9">
        <w:rPr>
          <w:rFonts w:eastAsia="Arial" w:cs="Arial"/>
        </w:rPr>
        <w:t xml:space="preserve"> were downloaded from the California Environmental Data Exchange Network (“CEDEN”)</w:t>
      </w:r>
      <w:r w:rsidR="00E57558">
        <w:rPr>
          <w:rFonts w:eastAsia="Arial" w:cs="Arial"/>
        </w:rPr>
        <w:t>,</w:t>
      </w:r>
      <w:r w:rsidRPr="004502A9">
        <w:rPr>
          <w:rFonts w:eastAsia="Arial" w:cs="Arial"/>
        </w:rPr>
        <w:t xml:space="preserve"> </w:t>
      </w:r>
      <w:r w:rsidR="0007342E">
        <w:rPr>
          <w:rFonts w:eastAsia="Arial" w:cs="Arial"/>
        </w:rPr>
        <w:t xml:space="preserve">the </w:t>
      </w:r>
      <w:r w:rsidR="0071002A">
        <w:rPr>
          <w:rFonts w:eastAsia="Arial" w:cs="Arial"/>
        </w:rPr>
        <w:t xml:space="preserve">California Integrated Water Quality System </w:t>
      </w:r>
      <w:r w:rsidR="00F84E2A">
        <w:rPr>
          <w:rFonts w:eastAsia="Arial" w:cs="Arial"/>
        </w:rPr>
        <w:t>(“CIWQS”)</w:t>
      </w:r>
      <w:r w:rsidR="0071002A">
        <w:rPr>
          <w:rFonts w:eastAsia="Arial" w:cs="Arial"/>
        </w:rPr>
        <w:t>,</w:t>
      </w:r>
      <w:r w:rsidR="00F84E2A">
        <w:rPr>
          <w:rFonts w:eastAsia="Arial" w:cs="Arial"/>
        </w:rPr>
        <w:t xml:space="preserve"> </w:t>
      </w:r>
      <w:r w:rsidR="0007342E">
        <w:rPr>
          <w:rFonts w:eastAsia="Arial" w:cs="Arial"/>
        </w:rPr>
        <w:t xml:space="preserve">the </w:t>
      </w:r>
      <w:r w:rsidRPr="004502A9">
        <w:rPr>
          <w:rFonts w:eastAsia="Arial" w:cs="Arial"/>
        </w:rPr>
        <w:t>National Water Quality Monitoring Portal</w:t>
      </w:r>
      <w:r w:rsidR="0095408A">
        <w:rPr>
          <w:rFonts w:eastAsia="Arial" w:cs="Arial"/>
        </w:rPr>
        <w:t xml:space="preserve"> (“WQP”)</w:t>
      </w:r>
      <w:r w:rsidR="6039F187" w:rsidRPr="3AB5DEA1">
        <w:rPr>
          <w:rFonts w:eastAsia="Arial" w:cs="Arial"/>
        </w:rPr>
        <w:t xml:space="preserve">, and the </w:t>
      </w:r>
      <w:r w:rsidR="00205965">
        <w:rPr>
          <w:rFonts w:eastAsia="Arial" w:cs="Arial"/>
        </w:rPr>
        <w:t xml:space="preserve">California </w:t>
      </w:r>
      <w:r w:rsidR="6039F187" w:rsidRPr="3AB5DEA1">
        <w:rPr>
          <w:rFonts w:eastAsia="Arial" w:cs="Arial"/>
        </w:rPr>
        <w:t>Integrated Report Upload Portal</w:t>
      </w:r>
      <w:r w:rsidRPr="3AB5DEA1">
        <w:rPr>
          <w:rFonts w:eastAsia="Arial" w:cs="Arial"/>
        </w:rPr>
        <w:t xml:space="preserve">. </w:t>
      </w:r>
      <w:r w:rsidRPr="004502A9">
        <w:rPr>
          <w:rFonts w:eastAsia="Arial" w:cs="Arial"/>
        </w:rPr>
        <w:t>Data sources include the Water Boards’ Surface Water Ambient Monitoring Program (“SWAMP</w:t>
      </w:r>
      <w:r w:rsidRPr="6F2E675E">
        <w:rPr>
          <w:rFonts w:eastAsia="Arial" w:cs="Arial"/>
        </w:rPr>
        <w:t>”)</w:t>
      </w:r>
      <w:r w:rsidR="3CBCC2F4" w:rsidRPr="6F2E675E">
        <w:rPr>
          <w:rFonts w:eastAsia="Arial" w:cs="Arial"/>
        </w:rPr>
        <w:t xml:space="preserve">, Irrigated Lands Regulatory </w:t>
      </w:r>
      <w:r w:rsidR="3CBCC2F4" w:rsidRPr="3AB5DEA1">
        <w:rPr>
          <w:rFonts w:eastAsia="Arial" w:cs="Arial"/>
        </w:rPr>
        <w:t>Programs</w:t>
      </w:r>
      <w:r w:rsidR="00C46DCD">
        <w:rPr>
          <w:rFonts w:eastAsia="Arial" w:cs="Arial"/>
        </w:rPr>
        <w:t xml:space="preserve"> (“ILRP”)</w:t>
      </w:r>
      <w:r w:rsidR="3CBCC2F4" w:rsidRPr="3AB5DEA1">
        <w:rPr>
          <w:rFonts w:eastAsia="Arial" w:cs="Arial"/>
        </w:rPr>
        <w:t>,</w:t>
      </w:r>
      <w:r w:rsidRPr="004502A9">
        <w:rPr>
          <w:rFonts w:eastAsia="Arial" w:cs="Arial"/>
        </w:rPr>
        <w:t xml:space="preserve"> and other monitoring programs; other state agencies such as the </w:t>
      </w:r>
      <w:r w:rsidR="00CA4E93">
        <w:rPr>
          <w:rFonts w:eastAsia="Arial" w:cs="Arial"/>
        </w:rPr>
        <w:t xml:space="preserve">California </w:t>
      </w:r>
      <w:r w:rsidRPr="004502A9">
        <w:rPr>
          <w:rFonts w:eastAsia="Arial" w:cs="Arial"/>
        </w:rPr>
        <w:t xml:space="preserve">Department of Fish and Wildlife and the </w:t>
      </w:r>
      <w:r w:rsidR="00CA4E93">
        <w:rPr>
          <w:rFonts w:eastAsia="Arial" w:cs="Arial"/>
        </w:rPr>
        <w:t xml:space="preserve">California </w:t>
      </w:r>
      <w:r w:rsidRPr="004502A9">
        <w:rPr>
          <w:rFonts w:eastAsia="Arial" w:cs="Arial"/>
        </w:rPr>
        <w:t xml:space="preserve">Department of Pesticide Regulation; federal agencies such as the U.S. Geological Service </w:t>
      </w:r>
      <w:r w:rsidR="00B23AF2">
        <w:rPr>
          <w:rFonts w:eastAsia="Arial" w:cs="Arial"/>
        </w:rPr>
        <w:t>(“USGS”)</w:t>
      </w:r>
      <w:r w:rsidRPr="004502A9">
        <w:rPr>
          <w:rFonts w:eastAsia="Arial" w:cs="Arial"/>
        </w:rPr>
        <w:t xml:space="preserve"> and </w:t>
      </w:r>
      <w:r w:rsidR="00313C98">
        <w:rPr>
          <w:rFonts w:eastAsia="Arial" w:cs="Arial"/>
        </w:rPr>
        <w:t>USEPA</w:t>
      </w:r>
      <w:r w:rsidRPr="004502A9">
        <w:rPr>
          <w:rFonts w:eastAsia="Arial" w:cs="Arial"/>
        </w:rPr>
        <w:t xml:space="preserve">; </w:t>
      </w:r>
      <w:r w:rsidR="00D367F9">
        <w:rPr>
          <w:rFonts w:eastAsia="Arial" w:cs="Arial"/>
        </w:rPr>
        <w:t xml:space="preserve">California Native American </w:t>
      </w:r>
      <w:r w:rsidRPr="004502A9">
        <w:rPr>
          <w:rFonts w:eastAsia="Arial" w:cs="Arial"/>
        </w:rPr>
        <w:t xml:space="preserve">Tribes; and local watershed groups. </w:t>
      </w:r>
    </w:p>
    <w:p w14:paraId="48F58308" w14:textId="5F53E4CB" w:rsidR="007710C3" w:rsidRPr="00DD36DF" w:rsidRDefault="007710C3" w:rsidP="007710C3">
      <w:pPr>
        <w:rPr>
          <w:rFonts w:cs="Arial"/>
        </w:rPr>
      </w:pPr>
      <w:r w:rsidRPr="004502A9">
        <w:rPr>
          <w:rFonts w:eastAsia="Arial" w:cs="Arial"/>
        </w:rPr>
        <w:t>Based on assessments of these data</w:t>
      </w:r>
      <w:r w:rsidR="00DB17F7">
        <w:rPr>
          <w:rFonts w:eastAsia="Arial" w:cs="Arial"/>
        </w:rPr>
        <w:t xml:space="preserve"> and information</w:t>
      </w:r>
      <w:r w:rsidRPr="004502A9">
        <w:rPr>
          <w:rFonts w:eastAsia="Arial" w:cs="Arial"/>
        </w:rPr>
        <w:t xml:space="preserve">, </w:t>
      </w:r>
      <w:r w:rsidR="00115FDE">
        <w:rPr>
          <w:rFonts w:eastAsia="Arial" w:cs="Arial"/>
        </w:rPr>
        <w:t>there are</w:t>
      </w:r>
      <w:r w:rsidRPr="004502A9">
        <w:rPr>
          <w:rFonts w:eastAsia="Arial" w:cs="Arial"/>
        </w:rPr>
        <w:t xml:space="preserve"> </w:t>
      </w:r>
      <w:r w:rsidR="00106813">
        <w:rPr>
          <w:rFonts w:cs="Arial"/>
        </w:rPr>
        <w:t>426</w:t>
      </w:r>
      <w:r w:rsidR="00106813" w:rsidRPr="004502A9">
        <w:rPr>
          <w:rFonts w:eastAsia="Arial" w:cs="Arial"/>
        </w:rPr>
        <w:t xml:space="preserve"> </w:t>
      </w:r>
      <w:r w:rsidRPr="004502A9">
        <w:rPr>
          <w:rFonts w:eastAsia="Arial" w:cs="Arial"/>
        </w:rPr>
        <w:t xml:space="preserve">new </w:t>
      </w:r>
      <w:r w:rsidR="00F23983">
        <w:rPr>
          <w:rFonts w:eastAsia="Arial" w:cs="Arial"/>
        </w:rPr>
        <w:t>“List” Decisions</w:t>
      </w:r>
      <w:r w:rsidRPr="004502A9">
        <w:rPr>
          <w:rFonts w:eastAsia="Arial" w:cs="Arial"/>
        </w:rPr>
        <w:t xml:space="preserve"> and </w:t>
      </w:r>
      <w:r w:rsidR="003F6632">
        <w:rPr>
          <w:rFonts w:cs="Arial"/>
        </w:rPr>
        <w:t>13</w:t>
      </w:r>
      <w:r w:rsidR="00106813">
        <w:rPr>
          <w:rFonts w:cs="Arial"/>
        </w:rPr>
        <w:t>6</w:t>
      </w:r>
      <w:r w:rsidR="003F6632">
        <w:rPr>
          <w:rFonts w:cs="Arial"/>
        </w:rPr>
        <w:t xml:space="preserve"> </w:t>
      </w:r>
      <w:r w:rsidRPr="004502A9">
        <w:rPr>
          <w:rFonts w:eastAsia="Arial" w:cs="Arial"/>
        </w:rPr>
        <w:t xml:space="preserve">new </w:t>
      </w:r>
      <w:r w:rsidR="00F23983">
        <w:rPr>
          <w:rFonts w:eastAsia="Arial" w:cs="Arial"/>
        </w:rPr>
        <w:t>“Delist” Decisions</w:t>
      </w:r>
      <w:r w:rsidRPr="004502A9">
        <w:rPr>
          <w:rFonts w:eastAsia="Arial" w:cs="Arial"/>
        </w:rPr>
        <w:t xml:space="preserve">. A summary of new </w:t>
      </w:r>
      <w:r w:rsidR="0084339C">
        <w:rPr>
          <w:rFonts w:eastAsia="Arial" w:cs="Arial"/>
        </w:rPr>
        <w:t>“List” Decisions</w:t>
      </w:r>
      <w:r w:rsidR="0084339C" w:rsidRPr="004502A9">
        <w:rPr>
          <w:rFonts w:eastAsia="Arial" w:cs="Arial"/>
        </w:rPr>
        <w:t xml:space="preserve"> </w:t>
      </w:r>
      <w:r w:rsidR="0084339C">
        <w:rPr>
          <w:rFonts w:eastAsia="Arial" w:cs="Arial"/>
        </w:rPr>
        <w:t xml:space="preserve">are </w:t>
      </w:r>
      <w:r w:rsidRPr="004502A9">
        <w:rPr>
          <w:rFonts w:eastAsia="Arial" w:cs="Arial"/>
        </w:rPr>
        <w:t xml:space="preserve">outlined in the table, below. The complete </w:t>
      </w:r>
      <w:r w:rsidR="00C6428D">
        <w:rPr>
          <w:rFonts w:eastAsia="Arial" w:cs="Arial"/>
        </w:rPr>
        <w:t>2026</w:t>
      </w:r>
      <w:r w:rsidRPr="004502A9">
        <w:rPr>
          <w:rFonts w:eastAsia="Arial" w:cs="Arial"/>
        </w:rPr>
        <w:t xml:space="preserve"> 303(d) </w:t>
      </w:r>
      <w:r w:rsidR="00942030">
        <w:rPr>
          <w:rFonts w:eastAsia="Arial" w:cs="Arial"/>
        </w:rPr>
        <w:t>L</w:t>
      </w:r>
      <w:r w:rsidRPr="004502A9">
        <w:rPr>
          <w:rFonts w:eastAsia="Arial" w:cs="Arial"/>
        </w:rPr>
        <w:t xml:space="preserve">ist of </w:t>
      </w:r>
      <w:r w:rsidR="00B704D0">
        <w:rPr>
          <w:rFonts w:eastAsia="Arial" w:cs="Arial"/>
        </w:rPr>
        <w:t>I</w:t>
      </w:r>
      <w:r w:rsidRPr="004502A9">
        <w:rPr>
          <w:rFonts w:eastAsia="Arial" w:cs="Arial"/>
        </w:rPr>
        <w:t xml:space="preserve">mpaired </w:t>
      </w:r>
      <w:r w:rsidR="00B704D0">
        <w:rPr>
          <w:rFonts w:eastAsia="Arial" w:cs="Arial"/>
        </w:rPr>
        <w:t>W</w:t>
      </w:r>
      <w:r w:rsidRPr="004502A9">
        <w:rPr>
          <w:rFonts w:eastAsia="Arial" w:cs="Arial"/>
        </w:rPr>
        <w:t>aters is found in Appendix A</w:t>
      </w:r>
      <w:r w:rsidR="009766F9">
        <w:rPr>
          <w:rFonts w:eastAsia="Arial" w:cs="Arial"/>
        </w:rPr>
        <w:t xml:space="preserve">: </w:t>
      </w:r>
      <w:r w:rsidR="00C6428D">
        <w:rPr>
          <w:rFonts w:eastAsia="Arial" w:cs="Arial"/>
        </w:rPr>
        <w:t>2026</w:t>
      </w:r>
      <w:r w:rsidR="00772208">
        <w:rPr>
          <w:rFonts w:eastAsia="Arial" w:cs="Arial"/>
        </w:rPr>
        <w:t xml:space="preserve"> 303(d) List of Impaired Waters</w:t>
      </w:r>
      <w:r w:rsidRPr="004502A9">
        <w:rPr>
          <w:rFonts w:eastAsia="Arial" w:cs="Arial"/>
        </w:rPr>
        <w:t xml:space="preserve">. The </w:t>
      </w:r>
      <w:r w:rsidR="00285177">
        <w:rPr>
          <w:rFonts w:eastAsia="Arial" w:cs="Arial"/>
        </w:rPr>
        <w:t>specific water</w:t>
      </w:r>
      <w:r w:rsidR="00AD32BF">
        <w:rPr>
          <w:rFonts w:eastAsia="Arial" w:cs="Arial"/>
        </w:rPr>
        <w:t>body-pollutant combination</w:t>
      </w:r>
      <w:r w:rsidRPr="004502A9">
        <w:rPr>
          <w:rFonts w:eastAsia="Arial" w:cs="Arial"/>
        </w:rPr>
        <w:t xml:space="preserve"> assessments are described in </w:t>
      </w:r>
      <w:r w:rsidR="000D35FB" w:rsidRPr="004502A9">
        <w:rPr>
          <w:rFonts w:eastAsia="Arial" w:cs="Arial"/>
        </w:rPr>
        <w:t>Appendix B</w:t>
      </w:r>
      <w:r w:rsidR="000D35FB">
        <w:rPr>
          <w:rFonts w:eastAsia="Arial" w:cs="Arial"/>
        </w:rPr>
        <w:t>:</w:t>
      </w:r>
      <w:r w:rsidR="000D35FB" w:rsidRPr="004502A9">
        <w:rPr>
          <w:rFonts w:eastAsia="Arial" w:cs="Arial"/>
        </w:rPr>
        <w:t xml:space="preserve"> </w:t>
      </w:r>
      <w:r w:rsidR="000D35FB">
        <w:rPr>
          <w:rFonts w:eastAsia="Arial" w:cs="Arial"/>
        </w:rPr>
        <w:t xml:space="preserve">Statewide </w:t>
      </w:r>
      <w:r w:rsidRPr="004502A9">
        <w:rPr>
          <w:rFonts w:eastAsia="Arial" w:cs="Arial"/>
        </w:rPr>
        <w:t xml:space="preserve">Waterbody Fact Sheets. </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Recommendations for the 303(d) List Portion of the 2024 California Integrated Report and the 303(d) List"/>
        <w:tblDescription w:val="This table shows totals of listings on the 2020-2022 303(d) list, the number of new listings and delistings for the 2024 303(d) list, and the total number of listings for 2024 303(d) list.  It shows the totals and new listings and delistings for each region in each row, and shows the grand total statewide in the last row."/>
      </w:tblPr>
      <w:tblGrid>
        <w:gridCol w:w="2515"/>
        <w:gridCol w:w="1979"/>
        <w:gridCol w:w="1351"/>
        <w:gridCol w:w="1440"/>
        <w:gridCol w:w="1979"/>
      </w:tblGrid>
      <w:tr w:rsidR="007710C3" w:rsidRPr="004502A9" w14:paraId="3D8E0A35" w14:textId="77777777" w:rsidTr="00BB253B">
        <w:trPr>
          <w:trHeight w:val="899"/>
        </w:trPr>
        <w:tc>
          <w:tcPr>
            <w:tcW w:w="1357" w:type="pct"/>
            <w:shd w:val="clear" w:color="auto" w:fill="DEEAF6" w:themeFill="accent5" w:themeFillTint="33"/>
            <w:vAlign w:val="center"/>
          </w:tcPr>
          <w:p w14:paraId="0DB0B369" w14:textId="52A418FA" w:rsidR="007710C3" w:rsidRPr="00BB253B" w:rsidRDefault="007710C3" w:rsidP="0012031D">
            <w:pPr>
              <w:autoSpaceDE w:val="0"/>
              <w:autoSpaceDN w:val="0"/>
              <w:adjustRightInd w:val="0"/>
              <w:spacing w:after="0"/>
              <w:jc w:val="center"/>
              <w:rPr>
                <w:rFonts w:cs="Arial"/>
                <w:b/>
                <w:bCs/>
                <w:szCs w:val="24"/>
              </w:rPr>
            </w:pPr>
            <w:r w:rsidRPr="00BB253B">
              <w:rPr>
                <w:rFonts w:cs="Arial"/>
                <w:b/>
                <w:bCs/>
                <w:szCs w:val="24"/>
              </w:rPr>
              <w:t>Region</w:t>
            </w:r>
          </w:p>
        </w:tc>
        <w:tc>
          <w:tcPr>
            <w:tcW w:w="1068" w:type="pct"/>
            <w:shd w:val="clear" w:color="auto" w:fill="DEEAF6" w:themeFill="accent5" w:themeFillTint="33"/>
            <w:vAlign w:val="center"/>
          </w:tcPr>
          <w:p w14:paraId="4EDF6D07" w14:textId="3AE5F1D4" w:rsidR="007710C3" w:rsidRPr="00BB253B" w:rsidRDefault="00DB0CCB" w:rsidP="0012031D">
            <w:pPr>
              <w:autoSpaceDE w:val="0"/>
              <w:autoSpaceDN w:val="0"/>
              <w:adjustRightInd w:val="0"/>
              <w:spacing w:after="0"/>
              <w:jc w:val="center"/>
              <w:rPr>
                <w:rFonts w:cs="Arial"/>
                <w:b/>
                <w:bCs/>
                <w:szCs w:val="24"/>
              </w:rPr>
            </w:pPr>
            <w:r>
              <w:rPr>
                <w:rFonts w:cs="Arial"/>
                <w:b/>
                <w:bCs/>
                <w:szCs w:val="24"/>
              </w:rPr>
              <w:t>2024</w:t>
            </w:r>
          </w:p>
          <w:p w14:paraId="6C6693FC" w14:textId="379B625C" w:rsidR="007710C3" w:rsidRPr="00BB253B" w:rsidRDefault="007710C3" w:rsidP="0012031D">
            <w:pPr>
              <w:autoSpaceDE w:val="0"/>
              <w:autoSpaceDN w:val="0"/>
              <w:adjustRightInd w:val="0"/>
              <w:spacing w:after="0"/>
              <w:jc w:val="center"/>
              <w:rPr>
                <w:rFonts w:cs="Arial"/>
                <w:b/>
                <w:bCs/>
                <w:szCs w:val="24"/>
              </w:rPr>
            </w:pPr>
            <w:r w:rsidRPr="00BB253B">
              <w:rPr>
                <w:rFonts w:cs="Arial"/>
                <w:b/>
                <w:bCs/>
                <w:szCs w:val="24"/>
              </w:rPr>
              <w:t>303(d) Listings</w:t>
            </w:r>
          </w:p>
        </w:tc>
        <w:tc>
          <w:tcPr>
            <w:tcW w:w="729" w:type="pct"/>
            <w:shd w:val="clear" w:color="auto" w:fill="DEEAF6" w:themeFill="accent5" w:themeFillTint="33"/>
            <w:vAlign w:val="center"/>
          </w:tcPr>
          <w:p w14:paraId="364820B6" w14:textId="77777777" w:rsidR="007710C3" w:rsidRPr="00BB253B" w:rsidRDefault="007710C3" w:rsidP="0012031D">
            <w:pPr>
              <w:autoSpaceDE w:val="0"/>
              <w:autoSpaceDN w:val="0"/>
              <w:adjustRightInd w:val="0"/>
              <w:spacing w:after="0"/>
              <w:jc w:val="center"/>
              <w:rPr>
                <w:rFonts w:cs="Arial"/>
                <w:b/>
                <w:bCs/>
                <w:szCs w:val="24"/>
              </w:rPr>
            </w:pPr>
            <w:r w:rsidRPr="00BB253B">
              <w:rPr>
                <w:rFonts w:cs="Arial"/>
                <w:b/>
                <w:bCs/>
                <w:szCs w:val="24"/>
              </w:rPr>
              <w:t>New Listings</w:t>
            </w:r>
          </w:p>
        </w:tc>
        <w:tc>
          <w:tcPr>
            <w:tcW w:w="777" w:type="pct"/>
            <w:shd w:val="clear" w:color="auto" w:fill="DEEAF6" w:themeFill="accent5" w:themeFillTint="33"/>
            <w:vAlign w:val="center"/>
          </w:tcPr>
          <w:p w14:paraId="081BAAD5" w14:textId="77777777" w:rsidR="007710C3" w:rsidRPr="00BB253B" w:rsidRDefault="007710C3" w:rsidP="0012031D">
            <w:pPr>
              <w:autoSpaceDE w:val="0"/>
              <w:autoSpaceDN w:val="0"/>
              <w:adjustRightInd w:val="0"/>
              <w:spacing w:after="0"/>
              <w:jc w:val="center"/>
              <w:rPr>
                <w:rFonts w:cs="Arial"/>
                <w:b/>
                <w:bCs/>
                <w:szCs w:val="24"/>
              </w:rPr>
            </w:pPr>
            <w:r w:rsidRPr="00BB253B">
              <w:rPr>
                <w:rFonts w:cs="Arial"/>
                <w:b/>
                <w:bCs/>
                <w:szCs w:val="24"/>
              </w:rPr>
              <w:t>New Delistings</w:t>
            </w:r>
          </w:p>
        </w:tc>
        <w:tc>
          <w:tcPr>
            <w:tcW w:w="1068" w:type="pct"/>
            <w:shd w:val="clear" w:color="auto" w:fill="DEEAF6" w:themeFill="accent5" w:themeFillTint="33"/>
            <w:vAlign w:val="center"/>
          </w:tcPr>
          <w:p w14:paraId="28755026" w14:textId="3A4868B7" w:rsidR="007710C3" w:rsidRPr="00BB253B" w:rsidRDefault="00C6428D" w:rsidP="0012031D">
            <w:pPr>
              <w:autoSpaceDE w:val="0"/>
              <w:autoSpaceDN w:val="0"/>
              <w:adjustRightInd w:val="0"/>
              <w:spacing w:after="0"/>
              <w:jc w:val="center"/>
              <w:rPr>
                <w:rFonts w:eastAsia="Arial" w:cs="Arial"/>
                <w:b/>
                <w:bCs/>
              </w:rPr>
            </w:pPr>
            <w:r>
              <w:rPr>
                <w:rFonts w:eastAsia="Arial" w:cs="Arial"/>
                <w:b/>
                <w:bCs/>
              </w:rPr>
              <w:t>2026</w:t>
            </w:r>
          </w:p>
          <w:p w14:paraId="37908012" w14:textId="44398CFA" w:rsidR="007710C3" w:rsidRPr="00BB253B" w:rsidRDefault="007710C3" w:rsidP="0012031D">
            <w:pPr>
              <w:autoSpaceDE w:val="0"/>
              <w:autoSpaceDN w:val="0"/>
              <w:adjustRightInd w:val="0"/>
              <w:spacing w:after="0"/>
              <w:jc w:val="center"/>
              <w:rPr>
                <w:rFonts w:cs="Arial"/>
                <w:b/>
                <w:bCs/>
                <w:szCs w:val="24"/>
              </w:rPr>
            </w:pPr>
            <w:r w:rsidRPr="00BB253B">
              <w:rPr>
                <w:rFonts w:cs="Arial"/>
                <w:b/>
                <w:bCs/>
                <w:szCs w:val="24"/>
              </w:rPr>
              <w:t>303(d) Listings</w:t>
            </w:r>
          </w:p>
        </w:tc>
      </w:tr>
      <w:tr w:rsidR="007710C3" w:rsidRPr="004502A9" w14:paraId="61CC493D" w14:textId="77777777" w:rsidTr="00933BF7">
        <w:trPr>
          <w:trHeight w:val="575"/>
        </w:trPr>
        <w:tc>
          <w:tcPr>
            <w:tcW w:w="1357" w:type="pct"/>
            <w:vAlign w:val="center"/>
          </w:tcPr>
          <w:p w14:paraId="0D2A5AAA" w14:textId="77777777" w:rsidR="007710C3" w:rsidRPr="004502A9" w:rsidRDefault="007710C3" w:rsidP="00933BF7">
            <w:pPr>
              <w:autoSpaceDE w:val="0"/>
              <w:autoSpaceDN w:val="0"/>
              <w:adjustRightInd w:val="0"/>
              <w:spacing w:after="0"/>
              <w:jc w:val="center"/>
              <w:rPr>
                <w:rFonts w:cs="Arial"/>
              </w:rPr>
            </w:pPr>
            <w:r w:rsidRPr="004502A9">
              <w:rPr>
                <w:rFonts w:cs="Arial"/>
              </w:rPr>
              <w:t>North Coast</w:t>
            </w:r>
          </w:p>
        </w:tc>
        <w:tc>
          <w:tcPr>
            <w:tcW w:w="1068" w:type="pct"/>
            <w:vAlign w:val="center"/>
          </w:tcPr>
          <w:p w14:paraId="2CE4E335" w14:textId="3CFFBEC4" w:rsidR="007710C3" w:rsidRPr="004502A9" w:rsidRDefault="00BB02E6" w:rsidP="00933BF7">
            <w:pPr>
              <w:autoSpaceDE w:val="0"/>
              <w:autoSpaceDN w:val="0"/>
              <w:adjustRightInd w:val="0"/>
              <w:spacing w:after="0"/>
              <w:jc w:val="center"/>
              <w:rPr>
                <w:rFonts w:cs="Arial"/>
                <w:szCs w:val="24"/>
              </w:rPr>
            </w:pPr>
            <w:r>
              <w:rPr>
                <w:rFonts w:cs="Arial"/>
                <w:szCs w:val="24"/>
              </w:rPr>
              <w:t>217</w:t>
            </w:r>
          </w:p>
        </w:tc>
        <w:tc>
          <w:tcPr>
            <w:tcW w:w="729" w:type="pct"/>
            <w:vAlign w:val="center"/>
          </w:tcPr>
          <w:p w14:paraId="63ED2B9D" w14:textId="45FBDA03" w:rsidR="007710C3" w:rsidRPr="004502A9" w:rsidRDefault="00433F0A" w:rsidP="00933BF7">
            <w:pPr>
              <w:autoSpaceDE w:val="0"/>
              <w:autoSpaceDN w:val="0"/>
              <w:adjustRightInd w:val="0"/>
              <w:spacing w:after="0"/>
              <w:jc w:val="center"/>
              <w:rPr>
                <w:rFonts w:cs="Arial"/>
                <w:szCs w:val="24"/>
              </w:rPr>
            </w:pPr>
            <w:r>
              <w:rPr>
                <w:rFonts w:cs="Arial"/>
                <w:szCs w:val="24"/>
              </w:rPr>
              <w:t>77</w:t>
            </w:r>
          </w:p>
        </w:tc>
        <w:tc>
          <w:tcPr>
            <w:tcW w:w="777" w:type="pct"/>
            <w:vAlign w:val="center"/>
          </w:tcPr>
          <w:p w14:paraId="1CAF0B31" w14:textId="521D0664" w:rsidR="007710C3" w:rsidRPr="004502A9" w:rsidRDefault="007A1FA7" w:rsidP="00933BF7">
            <w:pPr>
              <w:autoSpaceDE w:val="0"/>
              <w:autoSpaceDN w:val="0"/>
              <w:adjustRightInd w:val="0"/>
              <w:spacing w:after="0"/>
              <w:jc w:val="center"/>
              <w:rPr>
                <w:rFonts w:cs="Arial"/>
                <w:szCs w:val="24"/>
              </w:rPr>
            </w:pPr>
            <w:r>
              <w:rPr>
                <w:rFonts w:cs="Arial"/>
                <w:szCs w:val="24"/>
              </w:rPr>
              <w:t>13</w:t>
            </w:r>
          </w:p>
        </w:tc>
        <w:tc>
          <w:tcPr>
            <w:tcW w:w="1068" w:type="pct"/>
            <w:vAlign w:val="center"/>
          </w:tcPr>
          <w:p w14:paraId="024D1286" w14:textId="13B1122A" w:rsidR="007710C3" w:rsidRPr="004502A9" w:rsidRDefault="00934E67" w:rsidP="00933BF7">
            <w:pPr>
              <w:autoSpaceDE w:val="0"/>
              <w:autoSpaceDN w:val="0"/>
              <w:adjustRightInd w:val="0"/>
              <w:spacing w:after="0"/>
              <w:jc w:val="center"/>
              <w:rPr>
                <w:rFonts w:cs="Arial"/>
                <w:szCs w:val="24"/>
              </w:rPr>
            </w:pPr>
            <w:r>
              <w:rPr>
                <w:rFonts w:cs="Arial"/>
                <w:szCs w:val="24"/>
              </w:rPr>
              <w:t>281</w:t>
            </w:r>
          </w:p>
        </w:tc>
      </w:tr>
      <w:tr w:rsidR="007710C3" w:rsidRPr="004502A9" w14:paraId="09D8D256" w14:textId="77777777" w:rsidTr="006172FB">
        <w:trPr>
          <w:trHeight w:val="746"/>
        </w:trPr>
        <w:tc>
          <w:tcPr>
            <w:tcW w:w="1357" w:type="pct"/>
            <w:vAlign w:val="center"/>
          </w:tcPr>
          <w:p w14:paraId="75228998" w14:textId="77777777" w:rsidR="007710C3" w:rsidRPr="004502A9" w:rsidRDefault="007710C3" w:rsidP="00933BF7">
            <w:pPr>
              <w:autoSpaceDE w:val="0"/>
              <w:autoSpaceDN w:val="0"/>
              <w:adjustRightInd w:val="0"/>
              <w:spacing w:after="0"/>
              <w:jc w:val="center"/>
              <w:rPr>
                <w:rFonts w:cs="Arial"/>
                <w:szCs w:val="24"/>
              </w:rPr>
            </w:pPr>
            <w:r w:rsidRPr="004502A9">
              <w:rPr>
                <w:rFonts w:cs="Arial"/>
                <w:szCs w:val="24"/>
              </w:rPr>
              <w:t>San Francisco Bay</w:t>
            </w:r>
          </w:p>
        </w:tc>
        <w:tc>
          <w:tcPr>
            <w:tcW w:w="1068" w:type="pct"/>
            <w:vAlign w:val="center"/>
          </w:tcPr>
          <w:p w14:paraId="4905744B" w14:textId="1939E750" w:rsidR="007710C3" w:rsidRPr="004502A9" w:rsidRDefault="00BB02E6" w:rsidP="00933BF7">
            <w:pPr>
              <w:autoSpaceDE w:val="0"/>
              <w:autoSpaceDN w:val="0"/>
              <w:adjustRightInd w:val="0"/>
              <w:spacing w:after="0"/>
              <w:jc w:val="center"/>
              <w:rPr>
                <w:rFonts w:cs="Arial"/>
                <w:szCs w:val="24"/>
              </w:rPr>
            </w:pPr>
            <w:r>
              <w:rPr>
                <w:rFonts w:cs="Arial"/>
                <w:szCs w:val="24"/>
              </w:rPr>
              <w:t>476</w:t>
            </w:r>
          </w:p>
        </w:tc>
        <w:tc>
          <w:tcPr>
            <w:tcW w:w="729" w:type="pct"/>
            <w:vAlign w:val="center"/>
          </w:tcPr>
          <w:p w14:paraId="714B469F" w14:textId="09D0289C" w:rsidR="007710C3" w:rsidRPr="004502A9" w:rsidRDefault="007A1FA7" w:rsidP="00933BF7">
            <w:pPr>
              <w:autoSpaceDE w:val="0"/>
              <w:autoSpaceDN w:val="0"/>
              <w:adjustRightInd w:val="0"/>
              <w:spacing w:after="0"/>
              <w:jc w:val="center"/>
              <w:rPr>
                <w:rFonts w:cs="Arial"/>
                <w:szCs w:val="24"/>
              </w:rPr>
            </w:pPr>
            <w:r>
              <w:rPr>
                <w:rFonts w:cs="Arial"/>
                <w:szCs w:val="24"/>
              </w:rPr>
              <w:t>0</w:t>
            </w:r>
          </w:p>
        </w:tc>
        <w:tc>
          <w:tcPr>
            <w:tcW w:w="777" w:type="pct"/>
            <w:vAlign w:val="center"/>
          </w:tcPr>
          <w:p w14:paraId="6FE138BF" w14:textId="11B2A61E" w:rsidR="007710C3" w:rsidRPr="004502A9" w:rsidRDefault="007A1FA7" w:rsidP="00933BF7">
            <w:pPr>
              <w:autoSpaceDE w:val="0"/>
              <w:autoSpaceDN w:val="0"/>
              <w:adjustRightInd w:val="0"/>
              <w:spacing w:after="0"/>
              <w:jc w:val="center"/>
              <w:rPr>
                <w:rFonts w:cs="Arial"/>
                <w:szCs w:val="24"/>
              </w:rPr>
            </w:pPr>
            <w:r>
              <w:rPr>
                <w:rFonts w:cs="Arial"/>
                <w:szCs w:val="24"/>
              </w:rPr>
              <w:t>0</w:t>
            </w:r>
          </w:p>
        </w:tc>
        <w:tc>
          <w:tcPr>
            <w:tcW w:w="1068" w:type="pct"/>
            <w:vAlign w:val="center"/>
          </w:tcPr>
          <w:p w14:paraId="2E4AE250" w14:textId="324A4E3C" w:rsidR="007710C3" w:rsidRPr="004502A9" w:rsidRDefault="001247C2" w:rsidP="00933BF7">
            <w:pPr>
              <w:autoSpaceDE w:val="0"/>
              <w:autoSpaceDN w:val="0"/>
              <w:adjustRightInd w:val="0"/>
              <w:spacing w:after="0"/>
              <w:jc w:val="center"/>
              <w:rPr>
                <w:rFonts w:cs="Arial"/>
                <w:szCs w:val="24"/>
              </w:rPr>
            </w:pPr>
            <w:r>
              <w:rPr>
                <w:rFonts w:cs="Arial"/>
                <w:szCs w:val="24"/>
              </w:rPr>
              <w:t>476</w:t>
            </w:r>
          </w:p>
        </w:tc>
      </w:tr>
      <w:tr w:rsidR="007710C3" w:rsidRPr="004502A9" w14:paraId="78AEFFC8" w14:textId="77777777" w:rsidTr="00933BF7">
        <w:trPr>
          <w:trHeight w:val="620"/>
        </w:trPr>
        <w:tc>
          <w:tcPr>
            <w:tcW w:w="1357" w:type="pct"/>
            <w:vAlign w:val="center"/>
          </w:tcPr>
          <w:p w14:paraId="5E09D45A" w14:textId="27D76322" w:rsidR="007710C3" w:rsidRPr="004502A9" w:rsidRDefault="007710C3" w:rsidP="00933BF7">
            <w:pPr>
              <w:autoSpaceDE w:val="0"/>
              <w:autoSpaceDN w:val="0"/>
              <w:adjustRightInd w:val="0"/>
              <w:spacing w:after="0"/>
              <w:jc w:val="center"/>
              <w:rPr>
                <w:rFonts w:cs="Arial"/>
                <w:szCs w:val="24"/>
              </w:rPr>
            </w:pPr>
            <w:r w:rsidRPr="004502A9">
              <w:rPr>
                <w:rFonts w:cs="Arial"/>
                <w:szCs w:val="24"/>
              </w:rPr>
              <w:t>Central Coast</w:t>
            </w:r>
          </w:p>
        </w:tc>
        <w:tc>
          <w:tcPr>
            <w:tcW w:w="1068" w:type="pct"/>
            <w:vAlign w:val="center"/>
          </w:tcPr>
          <w:p w14:paraId="3A2479DB" w14:textId="7ACBC9B0" w:rsidR="007710C3" w:rsidRPr="004502A9" w:rsidRDefault="00BB02E6" w:rsidP="00933BF7">
            <w:pPr>
              <w:spacing w:after="0"/>
              <w:jc w:val="center"/>
              <w:rPr>
                <w:rFonts w:cs="Arial"/>
                <w:szCs w:val="24"/>
              </w:rPr>
            </w:pPr>
            <w:r>
              <w:rPr>
                <w:rFonts w:cs="Arial"/>
                <w:szCs w:val="24"/>
              </w:rPr>
              <w:t>1,200</w:t>
            </w:r>
          </w:p>
        </w:tc>
        <w:tc>
          <w:tcPr>
            <w:tcW w:w="729" w:type="pct"/>
            <w:vAlign w:val="center"/>
          </w:tcPr>
          <w:p w14:paraId="24639563" w14:textId="78B64478" w:rsidR="007710C3" w:rsidRPr="004502A9" w:rsidRDefault="00182C96" w:rsidP="00933BF7">
            <w:pPr>
              <w:autoSpaceDE w:val="0"/>
              <w:autoSpaceDN w:val="0"/>
              <w:adjustRightInd w:val="0"/>
              <w:spacing w:after="0"/>
              <w:jc w:val="center"/>
              <w:rPr>
                <w:rFonts w:cs="Arial"/>
              </w:rPr>
            </w:pPr>
            <w:r>
              <w:rPr>
                <w:rFonts w:cs="Arial"/>
              </w:rPr>
              <w:t>1</w:t>
            </w:r>
          </w:p>
        </w:tc>
        <w:tc>
          <w:tcPr>
            <w:tcW w:w="777" w:type="pct"/>
            <w:vAlign w:val="center"/>
          </w:tcPr>
          <w:p w14:paraId="1B66ADBD" w14:textId="20DFFB3F" w:rsidR="007710C3" w:rsidRPr="004502A9" w:rsidRDefault="0074646E" w:rsidP="00933BF7">
            <w:pPr>
              <w:autoSpaceDE w:val="0"/>
              <w:autoSpaceDN w:val="0"/>
              <w:adjustRightInd w:val="0"/>
              <w:spacing w:after="0"/>
              <w:jc w:val="center"/>
              <w:rPr>
                <w:rFonts w:cs="Arial"/>
                <w:szCs w:val="24"/>
              </w:rPr>
            </w:pPr>
            <w:r>
              <w:rPr>
                <w:rFonts w:cs="Arial"/>
                <w:szCs w:val="24"/>
              </w:rPr>
              <w:t>6</w:t>
            </w:r>
          </w:p>
        </w:tc>
        <w:tc>
          <w:tcPr>
            <w:tcW w:w="1068" w:type="pct"/>
            <w:vAlign w:val="center"/>
          </w:tcPr>
          <w:p w14:paraId="4D23FD08" w14:textId="0B1286A4" w:rsidR="007710C3" w:rsidRPr="004502A9" w:rsidRDefault="001247C2" w:rsidP="00933BF7">
            <w:pPr>
              <w:autoSpaceDE w:val="0"/>
              <w:autoSpaceDN w:val="0"/>
              <w:adjustRightInd w:val="0"/>
              <w:spacing w:after="0"/>
              <w:jc w:val="center"/>
              <w:rPr>
                <w:rFonts w:cs="Arial"/>
              </w:rPr>
            </w:pPr>
            <w:r>
              <w:rPr>
                <w:rFonts w:cs="Arial"/>
              </w:rPr>
              <w:t>1</w:t>
            </w:r>
            <w:r w:rsidR="00E16B9E">
              <w:rPr>
                <w:rFonts w:cs="Arial"/>
              </w:rPr>
              <w:t>,</w:t>
            </w:r>
            <w:r w:rsidR="00931ED0">
              <w:rPr>
                <w:rFonts w:cs="Arial"/>
              </w:rPr>
              <w:t>19</w:t>
            </w:r>
            <w:r w:rsidR="002416BC">
              <w:rPr>
                <w:rFonts w:cs="Arial"/>
              </w:rPr>
              <w:t>5</w:t>
            </w:r>
          </w:p>
        </w:tc>
      </w:tr>
      <w:tr w:rsidR="007710C3" w:rsidRPr="004502A9" w14:paraId="6CF81CCC" w14:textId="77777777" w:rsidTr="00933BF7">
        <w:trPr>
          <w:trHeight w:val="620"/>
        </w:trPr>
        <w:tc>
          <w:tcPr>
            <w:tcW w:w="1357" w:type="pct"/>
            <w:vAlign w:val="center"/>
          </w:tcPr>
          <w:p w14:paraId="6C97A0BA" w14:textId="0D02E48C" w:rsidR="007710C3" w:rsidRPr="004502A9" w:rsidRDefault="007710C3" w:rsidP="00933BF7">
            <w:pPr>
              <w:autoSpaceDE w:val="0"/>
              <w:autoSpaceDN w:val="0"/>
              <w:adjustRightInd w:val="0"/>
              <w:spacing w:after="0"/>
              <w:jc w:val="center"/>
              <w:rPr>
                <w:rFonts w:cs="Arial"/>
                <w:szCs w:val="24"/>
              </w:rPr>
            </w:pPr>
            <w:r w:rsidRPr="004502A9">
              <w:rPr>
                <w:rFonts w:cs="Arial"/>
                <w:szCs w:val="24"/>
              </w:rPr>
              <w:t>Los Angeles</w:t>
            </w:r>
          </w:p>
        </w:tc>
        <w:tc>
          <w:tcPr>
            <w:tcW w:w="1068" w:type="pct"/>
            <w:vAlign w:val="center"/>
          </w:tcPr>
          <w:p w14:paraId="0FFDF031" w14:textId="575955E0" w:rsidR="007710C3" w:rsidRPr="004502A9" w:rsidRDefault="00BB02E6" w:rsidP="00933BF7">
            <w:pPr>
              <w:autoSpaceDE w:val="0"/>
              <w:autoSpaceDN w:val="0"/>
              <w:adjustRightInd w:val="0"/>
              <w:spacing w:after="0"/>
              <w:jc w:val="center"/>
              <w:rPr>
                <w:rFonts w:cs="Arial"/>
                <w:szCs w:val="24"/>
              </w:rPr>
            </w:pPr>
            <w:r>
              <w:rPr>
                <w:rFonts w:cs="Arial"/>
                <w:szCs w:val="24"/>
              </w:rPr>
              <w:t>1,215</w:t>
            </w:r>
          </w:p>
        </w:tc>
        <w:tc>
          <w:tcPr>
            <w:tcW w:w="729" w:type="pct"/>
            <w:vAlign w:val="center"/>
          </w:tcPr>
          <w:p w14:paraId="1BF43B94" w14:textId="22297CBE" w:rsidR="007710C3" w:rsidRPr="004502A9" w:rsidRDefault="00EF2036" w:rsidP="00933BF7">
            <w:pPr>
              <w:autoSpaceDE w:val="0"/>
              <w:autoSpaceDN w:val="0"/>
              <w:adjustRightInd w:val="0"/>
              <w:spacing w:after="0"/>
              <w:jc w:val="center"/>
              <w:rPr>
                <w:rFonts w:cs="Arial"/>
                <w:szCs w:val="24"/>
              </w:rPr>
            </w:pPr>
            <w:r>
              <w:rPr>
                <w:rFonts w:cs="Arial"/>
                <w:szCs w:val="24"/>
              </w:rPr>
              <w:t>0</w:t>
            </w:r>
          </w:p>
        </w:tc>
        <w:tc>
          <w:tcPr>
            <w:tcW w:w="777" w:type="pct"/>
            <w:vAlign w:val="center"/>
          </w:tcPr>
          <w:p w14:paraId="039E63F4" w14:textId="7E01F426" w:rsidR="007710C3" w:rsidRPr="004502A9" w:rsidRDefault="00743C5D" w:rsidP="00933BF7">
            <w:pPr>
              <w:autoSpaceDE w:val="0"/>
              <w:autoSpaceDN w:val="0"/>
              <w:adjustRightInd w:val="0"/>
              <w:spacing w:after="0"/>
              <w:jc w:val="center"/>
              <w:rPr>
                <w:rFonts w:cs="Arial"/>
                <w:szCs w:val="24"/>
              </w:rPr>
            </w:pPr>
            <w:r>
              <w:rPr>
                <w:rFonts w:cs="Arial"/>
                <w:szCs w:val="24"/>
              </w:rPr>
              <w:t>0</w:t>
            </w:r>
          </w:p>
        </w:tc>
        <w:tc>
          <w:tcPr>
            <w:tcW w:w="1068" w:type="pct"/>
            <w:vAlign w:val="center"/>
          </w:tcPr>
          <w:p w14:paraId="6E6D2A2E" w14:textId="168285A5" w:rsidR="007710C3" w:rsidRPr="004502A9" w:rsidRDefault="00E16B9E" w:rsidP="00933BF7">
            <w:pPr>
              <w:autoSpaceDE w:val="0"/>
              <w:autoSpaceDN w:val="0"/>
              <w:adjustRightInd w:val="0"/>
              <w:spacing w:after="0"/>
              <w:jc w:val="center"/>
              <w:rPr>
                <w:rFonts w:cs="Arial"/>
                <w:szCs w:val="24"/>
              </w:rPr>
            </w:pPr>
            <w:r>
              <w:rPr>
                <w:rFonts w:cs="Arial"/>
                <w:szCs w:val="24"/>
              </w:rPr>
              <w:t>1,</w:t>
            </w:r>
            <w:r w:rsidR="00EF2036">
              <w:rPr>
                <w:rFonts w:cs="Arial"/>
                <w:szCs w:val="24"/>
              </w:rPr>
              <w:t>215</w:t>
            </w:r>
          </w:p>
        </w:tc>
      </w:tr>
      <w:tr w:rsidR="007710C3" w:rsidRPr="004502A9" w14:paraId="3DEE779D" w14:textId="77777777" w:rsidTr="00933BF7">
        <w:trPr>
          <w:trHeight w:val="620"/>
        </w:trPr>
        <w:tc>
          <w:tcPr>
            <w:tcW w:w="1357" w:type="pct"/>
            <w:vAlign w:val="center"/>
          </w:tcPr>
          <w:p w14:paraId="0575A224" w14:textId="4306967E" w:rsidR="007710C3" w:rsidRPr="004502A9" w:rsidRDefault="007710C3" w:rsidP="00933BF7">
            <w:pPr>
              <w:autoSpaceDE w:val="0"/>
              <w:autoSpaceDN w:val="0"/>
              <w:adjustRightInd w:val="0"/>
              <w:spacing w:after="0"/>
              <w:jc w:val="center"/>
              <w:rPr>
                <w:rFonts w:cs="Arial"/>
                <w:szCs w:val="24"/>
              </w:rPr>
            </w:pPr>
            <w:r w:rsidRPr="004502A9">
              <w:rPr>
                <w:rFonts w:cs="Arial"/>
                <w:szCs w:val="24"/>
              </w:rPr>
              <w:t>Central Valley</w:t>
            </w:r>
          </w:p>
        </w:tc>
        <w:tc>
          <w:tcPr>
            <w:tcW w:w="1068" w:type="pct"/>
            <w:vAlign w:val="center"/>
          </w:tcPr>
          <w:p w14:paraId="0CDA0570" w14:textId="2C87787C" w:rsidR="007710C3" w:rsidRPr="004502A9" w:rsidRDefault="00BB02E6" w:rsidP="00933BF7">
            <w:pPr>
              <w:autoSpaceDE w:val="0"/>
              <w:autoSpaceDN w:val="0"/>
              <w:adjustRightInd w:val="0"/>
              <w:spacing w:after="0"/>
              <w:jc w:val="center"/>
              <w:rPr>
                <w:rFonts w:cs="Arial"/>
                <w:szCs w:val="24"/>
              </w:rPr>
            </w:pPr>
            <w:r>
              <w:rPr>
                <w:rFonts w:cs="Arial"/>
                <w:szCs w:val="24"/>
              </w:rPr>
              <w:t>1,246</w:t>
            </w:r>
          </w:p>
        </w:tc>
        <w:tc>
          <w:tcPr>
            <w:tcW w:w="729" w:type="pct"/>
            <w:vAlign w:val="center"/>
          </w:tcPr>
          <w:p w14:paraId="230F62AB" w14:textId="60C3E997" w:rsidR="007710C3" w:rsidRPr="004502A9" w:rsidRDefault="000325A5" w:rsidP="00933BF7">
            <w:pPr>
              <w:autoSpaceDE w:val="0"/>
              <w:autoSpaceDN w:val="0"/>
              <w:adjustRightInd w:val="0"/>
              <w:spacing w:after="0"/>
              <w:jc w:val="center"/>
              <w:rPr>
                <w:rFonts w:cs="Arial"/>
                <w:szCs w:val="24"/>
              </w:rPr>
            </w:pPr>
            <w:r>
              <w:rPr>
                <w:rFonts w:cs="Arial"/>
                <w:szCs w:val="24"/>
              </w:rPr>
              <w:t>14</w:t>
            </w:r>
            <w:r w:rsidR="00CA7F67">
              <w:rPr>
                <w:rFonts w:cs="Arial"/>
                <w:szCs w:val="24"/>
              </w:rPr>
              <w:t>9</w:t>
            </w:r>
          </w:p>
        </w:tc>
        <w:tc>
          <w:tcPr>
            <w:tcW w:w="777" w:type="pct"/>
            <w:vAlign w:val="center"/>
          </w:tcPr>
          <w:p w14:paraId="204910D1" w14:textId="56E51F8B" w:rsidR="007710C3" w:rsidRPr="004502A9" w:rsidRDefault="00401644" w:rsidP="00933BF7">
            <w:pPr>
              <w:autoSpaceDE w:val="0"/>
              <w:autoSpaceDN w:val="0"/>
              <w:adjustRightInd w:val="0"/>
              <w:spacing w:after="0"/>
              <w:jc w:val="center"/>
              <w:rPr>
                <w:rFonts w:cs="Arial"/>
                <w:szCs w:val="24"/>
              </w:rPr>
            </w:pPr>
            <w:r>
              <w:rPr>
                <w:rFonts w:cs="Arial"/>
                <w:szCs w:val="24"/>
              </w:rPr>
              <w:t>7</w:t>
            </w:r>
            <w:r w:rsidR="00A502A2">
              <w:rPr>
                <w:rFonts w:cs="Arial"/>
                <w:szCs w:val="24"/>
              </w:rPr>
              <w:t>5</w:t>
            </w:r>
          </w:p>
        </w:tc>
        <w:tc>
          <w:tcPr>
            <w:tcW w:w="1068" w:type="pct"/>
            <w:vAlign w:val="center"/>
          </w:tcPr>
          <w:p w14:paraId="2E16DB79" w14:textId="2EF80199" w:rsidR="007710C3" w:rsidRPr="004502A9" w:rsidRDefault="00446E5B" w:rsidP="00933BF7">
            <w:pPr>
              <w:autoSpaceDE w:val="0"/>
              <w:autoSpaceDN w:val="0"/>
              <w:adjustRightInd w:val="0"/>
              <w:spacing w:after="0"/>
              <w:jc w:val="center"/>
              <w:rPr>
                <w:rFonts w:cs="Arial"/>
                <w:szCs w:val="24"/>
              </w:rPr>
            </w:pPr>
            <w:r>
              <w:rPr>
                <w:rFonts w:cs="Arial"/>
                <w:szCs w:val="24"/>
              </w:rPr>
              <w:t>1,</w:t>
            </w:r>
            <w:r w:rsidR="002C19FD">
              <w:rPr>
                <w:rFonts w:cs="Arial"/>
                <w:szCs w:val="24"/>
              </w:rPr>
              <w:t>320</w:t>
            </w:r>
          </w:p>
        </w:tc>
      </w:tr>
      <w:tr w:rsidR="007710C3" w:rsidRPr="004502A9" w14:paraId="083577E7" w14:textId="77777777" w:rsidTr="00933BF7">
        <w:trPr>
          <w:trHeight w:val="620"/>
        </w:trPr>
        <w:tc>
          <w:tcPr>
            <w:tcW w:w="1357" w:type="pct"/>
            <w:vAlign w:val="center"/>
          </w:tcPr>
          <w:p w14:paraId="006FA6E5" w14:textId="6EC82C1F" w:rsidR="007710C3" w:rsidRPr="004502A9" w:rsidRDefault="007710C3" w:rsidP="00933BF7">
            <w:pPr>
              <w:autoSpaceDE w:val="0"/>
              <w:autoSpaceDN w:val="0"/>
              <w:adjustRightInd w:val="0"/>
              <w:spacing w:after="0"/>
              <w:jc w:val="center"/>
              <w:rPr>
                <w:rFonts w:cs="Arial"/>
                <w:szCs w:val="24"/>
              </w:rPr>
            </w:pPr>
            <w:r w:rsidRPr="004502A9">
              <w:rPr>
                <w:rFonts w:cs="Arial"/>
                <w:szCs w:val="24"/>
              </w:rPr>
              <w:t>Lahontan</w:t>
            </w:r>
          </w:p>
        </w:tc>
        <w:tc>
          <w:tcPr>
            <w:tcW w:w="1068" w:type="pct"/>
            <w:vAlign w:val="center"/>
          </w:tcPr>
          <w:p w14:paraId="56623F09" w14:textId="0F55DB3C" w:rsidR="007710C3" w:rsidRPr="004502A9" w:rsidRDefault="00BB02E6" w:rsidP="00933BF7">
            <w:pPr>
              <w:autoSpaceDE w:val="0"/>
              <w:autoSpaceDN w:val="0"/>
              <w:adjustRightInd w:val="0"/>
              <w:spacing w:after="0"/>
              <w:jc w:val="center"/>
              <w:rPr>
                <w:rFonts w:cs="Arial"/>
                <w:szCs w:val="24"/>
              </w:rPr>
            </w:pPr>
            <w:r>
              <w:rPr>
                <w:rFonts w:cs="Arial"/>
                <w:szCs w:val="24"/>
              </w:rPr>
              <w:t>256</w:t>
            </w:r>
          </w:p>
        </w:tc>
        <w:tc>
          <w:tcPr>
            <w:tcW w:w="729" w:type="pct"/>
            <w:vAlign w:val="center"/>
          </w:tcPr>
          <w:p w14:paraId="12191DAE" w14:textId="7B6205D9" w:rsidR="007710C3" w:rsidRPr="004502A9" w:rsidRDefault="00015BC7" w:rsidP="00933BF7">
            <w:pPr>
              <w:autoSpaceDE w:val="0"/>
              <w:autoSpaceDN w:val="0"/>
              <w:adjustRightInd w:val="0"/>
              <w:spacing w:after="0"/>
              <w:jc w:val="center"/>
              <w:rPr>
                <w:rFonts w:cs="Arial"/>
                <w:szCs w:val="24"/>
              </w:rPr>
            </w:pPr>
            <w:r>
              <w:rPr>
                <w:rFonts w:cs="Arial"/>
                <w:szCs w:val="24"/>
              </w:rPr>
              <w:t>1</w:t>
            </w:r>
            <w:r w:rsidR="00A5396C">
              <w:rPr>
                <w:rFonts w:cs="Arial"/>
                <w:szCs w:val="24"/>
              </w:rPr>
              <w:t>51</w:t>
            </w:r>
          </w:p>
        </w:tc>
        <w:tc>
          <w:tcPr>
            <w:tcW w:w="777" w:type="pct"/>
            <w:vAlign w:val="center"/>
          </w:tcPr>
          <w:p w14:paraId="6894603E" w14:textId="3DB8C4FB" w:rsidR="007710C3" w:rsidRPr="004502A9" w:rsidRDefault="00BB6E1B" w:rsidP="00933BF7">
            <w:pPr>
              <w:autoSpaceDE w:val="0"/>
              <w:autoSpaceDN w:val="0"/>
              <w:adjustRightInd w:val="0"/>
              <w:spacing w:after="0"/>
              <w:jc w:val="center"/>
              <w:rPr>
                <w:rFonts w:cs="Arial"/>
                <w:szCs w:val="24"/>
              </w:rPr>
            </w:pPr>
            <w:r>
              <w:rPr>
                <w:rFonts w:cs="Arial"/>
                <w:szCs w:val="24"/>
              </w:rPr>
              <w:t>35</w:t>
            </w:r>
          </w:p>
        </w:tc>
        <w:tc>
          <w:tcPr>
            <w:tcW w:w="1068" w:type="pct"/>
            <w:vAlign w:val="center"/>
          </w:tcPr>
          <w:p w14:paraId="1F3D2808" w14:textId="33221E6E" w:rsidR="007710C3" w:rsidRPr="004502A9" w:rsidRDefault="003F6632" w:rsidP="00933BF7">
            <w:pPr>
              <w:autoSpaceDE w:val="0"/>
              <w:autoSpaceDN w:val="0"/>
              <w:adjustRightInd w:val="0"/>
              <w:spacing w:after="0"/>
              <w:jc w:val="center"/>
              <w:rPr>
                <w:rFonts w:cs="Arial"/>
                <w:szCs w:val="24"/>
              </w:rPr>
            </w:pPr>
            <w:r>
              <w:rPr>
                <w:rFonts w:cs="Arial"/>
                <w:szCs w:val="24"/>
              </w:rPr>
              <w:t>3</w:t>
            </w:r>
            <w:r w:rsidR="00A4182B">
              <w:rPr>
                <w:rFonts w:cs="Arial"/>
                <w:szCs w:val="24"/>
              </w:rPr>
              <w:t>72</w:t>
            </w:r>
          </w:p>
        </w:tc>
      </w:tr>
      <w:tr w:rsidR="007710C3" w:rsidRPr="004502A9" w14:paraId="62F5832C" w14:textId="77777777" w:rsidTr="00933BF7">
        <w:trPr>
          <w:trHeight w:val="720"/>
        </w:trPr>
        <w:tc>
          <w:tcPr>
            <w:tcW w:w="1357" w:type="pct"/>
            <w:vAlign w:val="center"/>
          </w:tcPr>
          <w:p w14:paraId="064586DA" w14:textId="77777777" w:rsidR="007710C3" w:rsidRPr="004502A9" w:rsidRDefault="007710C3" w:rsidP="00933BF7">
            <w:pPr>
              <w:autoSpaceDE w:val="0"/>
              <w:autoSpaceDN w:val="0"/>
              <w:adjustRightInd w:val="0"/>
              <w:spacing w:after="0"/>
              <w:jc w:val="center"/>
              <w:rPr>
                <w:rFonts w:cs="Arial"/>
                <w:szCs w:val="24"/>
              </w:rPr>
            </w:pPr>
            <w:r w:rsidRPr="004502A9">
              <w:rPr>
                <w:rFonts w:cs="Arial"/>
                <w:szCs w:val="24"/>
              </w:rPr>
              <w:t>Colorado River Basin</w:t>
            </w:r>
          </w:p>
        </w:tc>
        <w:tc>
          <w:tcPr>
            <w:tcW w:w="1068" w:type="pct"/>
            <w:vAlign w:val="center"/>
          </w:tcPr>
          <w:p w14:paraId="345319EF" w14:textId="161B207C" w:rsidR="007710C3" w:rsidRPr="004502A9" w:rsidRDefault="00BB02E6" w:rsidP="00933BF7">
            <w:pPr>
              <w:autoSpaceDE w:val="0"/>
              <w:autoSpaceDN w:val="0"/>
              <w:adjustRightInd w:val="0"/>
              <w:spacing w:after="0"/>
              <w:jc w:val="center"/>
              <w:rPr>
                <w:rFonts w:cs="Arial"/>
                <w:szCs w:val="24"/>
              </w:rPr>
            </w:pPr>
            <w:r>
              <w:rPr>
                <w:rFonts w:cs="Arial"/>
                <w:szCs w:val="24"/>
              </w:rPr>
              <w:t>110</w:t>
            </w:r>
          </w:p>
        </w:tc>
        <w:tc>
          <w:tcPr>
            <w:tcW w:w="729" w:type="pct"/>
            <w:vAlign w:val="center"/>
          </w:tcPr>
          <w:p w14:paraId="7316BD43" w14:textId="3D2E3803" w:rsidR="007710C3" w:rsidRPr="004502A9" w:rsidRDefault="007C27AE" w:rsidP="00933BF7">
            <w:pPr>
              <w:autoSpaceDE w:val="0"/>
              <w:autoSpaceDN w:val="0"/>
              <w:adjustRightInd w:val="0"/>
              <w:spacing w:after="0"/>
              <w:jc w:val="center"/>
              <w:rPr>
                <w:rFonts w:cs="Arial"/>
              </w:rPr>
            </w:pPr>
            <w:r>
              <w:rPr>
                <w:rFonts w:cs="Arial"/>
              </w:rPr>
              <w:t>47</w:t>
            </w:r>
          </w:p>
        </w:tc>
        <w:tc>
          <w:tcPr>
            <w:tcW w:w="777" w:type="pct"/>
            <w:vAlign w:val="center"/>
          </w:tcPr>
          <w:p w14:paraId="4A67B291" w14:textId="60EA8E85" w:rsidR="007710C3" w:rsidRPr="004502A9" w:rsidRDefault="00EC66DF" w:rsidP="00933BF7">
            <w:pPr>
              <w:autoSpaceDE w:val="0"/>
              <w:autoSpaceDN w:val="0"/>
              <w:adjustRightInd w:val="0"/>
              <w:spacing w:after="0"/>
              <w:jc w:val="center"/>
              <w:rPr>
                <w:rFonts w:cs="Arial"/>
                <w:szCs w:val="24"/>
              </w:rPr>
            </w:pPr>
            <w:r>
              <w:rPr>
                <w:rFonts w:cs="Arial"/>
                <w:szCs w:val="24"/>
              </w:rPr>
              <w:t>5</w:t>
            </w:r>
          </w:p>
        </w:tc>
        <w:tc>
          <w:tcPr>
            <w:tcW w:w="1068" w:type="pct"/>
            <w:vAlign w:val="center"/>
          </w:tcPr>
          <w:p w14:paraId="073A4F01" w14:textId="3CFED5DE" w:rsidR="007710C3" w:rsidRPr="004502A9" w:rsidRDefault="006A5748" w:rsidP="00933BF7">
            <w:pPr>
              <w:autoSpaceDE w:val="0"/>
              <w:autoSpaceDN w:val="0"/>
              <w:adjustRightInd w:val="0"/>
              <w:spacing w:after="0"/>
              <w:jc w:val="center"/>
              <w:rPr>
                <w:rFonts w:cs="Arial"/>
              </w:rPr>
            </w:pPr>
            <w:r>
              <w:rPr>
                <w:rFonts w:cs="Arial"/>
              </w:rPr>
              <w:t>152</w:t>
            </w:r>
          </w:p>
        </w:tc>
      </w:tr>
      <w:tr w:rsidR="007710C3" w:rsidRPr="004502A9" w14:paraId="527AA551" w14:textId="77777777" w:rsidTr="00933BF7">
        <w:trPr>
          <w:trHeight w:val="620"/>
        </w:trPr>
        <w:tc>
          <w:tcPr>
            <w:tcW w:w="1357" w:type="pct"/>
            <w:vAlign w:val="center"/>
          </w:tcPr>
          <w:p w14:paraId="7FB61675" w14:textId="77777777" w:rsidR="007710C3" w:rsidRPr="004502A9" w:rsidRDefault="007710C3" w:rsidP="00933BF7">
            <w:pPr>
              <w:autoSpaceDE w:val="0"/>
              <w:autoSpaceDN w:val="0"/>
              <w:adjustRightInd w:val="0"/>
              <w:spacing w:after="0"/>
              <w:jc w:val="center"/>
              <w:rPr>
                <w:rFonts w:cs="Arial"/>
                <w:szCs w:val="24"/>
              </w:rPr>
            </w:pPr>
            <w:r w:rsidRPr="004502A9">
              <w:rPr>
                <w:rFonts w:cs="Arial"/>
                <w:szCs w:val="24"/>
              </w:rPr>
              <w:t>Santa Ana</w:t>
            </w:r>
          </w:p>
        </w:tc>
        <w:tc>
          <w:tcPr>
            <w:tcW w:w="1068" w:type="pct"/>
            <w:vAlign w:val="center"/>
          </w:tcPr>
          <w:p w14:paraId="078880CA" w14:textId="3A9CEB2D" w:rsidR="007710C3" w:rsidRPr="004502A9" w:rsidRDefault="00BB02E6" w:rsidP="00933BF7">
            <w:pPr>
              <w:autoSpaceDE w:val="0"/>
              <w:autoSpaceDN w:val="0"/>
              <w:adjustRightInd w:val="0"/>
              <w:spacing w:after="0"/>
              <w:jc w:val="center"/>
              <w:rPr>
                <w:rFonts w:cs="Arial"/>
                <w:szCs w:val="24"/>
              </w:rPr>
            </w:pPr>
            <w:r>
              <w:rPr>
                <w:rFonts w:cs="Arial"/>
                <w:szCs w:val="24"/>
              </w:rPr>
              <w:t>18</w:t>
            </w:r>
            <w:r w:rsidR="004C0712">
              <w:rPr>
                <w:rFonts w:cs="Arial"/>
                <w:szCs w:val="24"/>
              </w:rPr>
              <w:t>3</w:t>
            </w:r>
          </w:p>
        </w:tc>
        <w:tc>
          <w:tcPr>
            <w:tcW w:w="729" w:type="pct"/>
            <w:vAlign w:val="center"/>
          </w:tcPr>
          <w:p w14:paraId="1AC189A5" w14:textId="44F6747C" w:rsidR="007710C3" w:rsidRPr="004502A9" w:rsidRDefault="00EC66DF" w:rsidP="00933BF7">
            <w:pPr>
              <w:autoSpaceDE w:val="0"/>
              <w:autoSpaceDN w:val="0"/>
              <w:adjustRightInd w:val="0"/>
              <w:spacing w:after="0"/>
              <w:jc w:val="center"/>
              <w:rPr>
                <w:rFonts w:cs="Arial"/>
                <w:szCs w:val="24"/>
              </w:rPr>
            </w:pPr>
            <w:r>
              <w:rPr>
                <w:rFonts w:cs="Arial"/>
                <w:szCs w:val="24"/>
              </w:rPr>
              <w:t>0</w:t>
            </w:r>
          </w:p>
        </w:tc>
        <w:tc>
          <w:tcPr>
            <w:tcW w:w="777" w:type="pct"/>
            <w:vAlign w:val="center"/>
          </w:tcPr>
          <w:p w14:paraId="0DCA44A1" w14:textId="3DDF87A6" w:rsidR="007710C3" w:rsidRPr="004502A9" w:rsidRDefault="00EC66DF" w:rsidP="00933BF7">
            <w:pPr>
              <w:autoSpaceDE w:val="0"/>
              <w:autoSpaceDN w:val="0"/>
              <w:adjustRightInd w:val="0"/>
              <w:spacing w:after="0"/>
              <w:jc w:val="center"/>
              <w:rPr>
                <w:rFonts w:cs="Arial"/>
                <w:szCs w:val="24"/>
              </w:rPr>
            </w:pPr>
            <w:r>
              <w:rPr>
                <w:rFonts w:cs="Arial"/>
                <w:szCs w:val="24"/>
              </w:rPr>
              <w:t>0</w:t>
            </w:r>
          </w:p>
        </w:tc>
        <w:tc>
          <w:tcPr>
            <w:tcW w:w="1068" w:type="pct"/>
            <w:vAlign w:val="center"/>
          </w:tcPr>
          <w:p w14:paraId="23B7851E" w14:textId="742DB92D" w:rsidR="007710C3" w:rsidRPr="004502A9" w:rsidRDefault="000F5819" w:rsidP="00933BF7">
            <w:pPr>
              <w:autoSpaceDE w:val="0"/>
              <w:autoSpaceDN w:val="0"/>
              <w:adjustRightInd w:val="0"/>
              <w:spacing w:after="0"/>
              <w:jc w:val="center"/>
              <w:rPr>
                <w:rFonts w:cs="Arial"/>
                <w:szCs w:val="24"/>
              </w:rPr>
            </w:pPr>
            <w:r>
              <w:rPr>
                <w:rFonts w:cs="Arial"/>
                <w:szCs w:val="24"/>
              </w:rPr>
              <w:t>18</w:t>
            </w:r>
            <w:r w:rsidR="004C0712">
              <w:rPr>
                <w:rFonts w:cs="Arial"/>
                <w:szCs w:val="24"/>
              </w:rPr>
              <w:t>3</w:t>
            </w:r>
          </w:p>
        </w:tc>
      </w:tr>
      <w:tr w:rsidR="007710C3" w:rsidRPr="004502A9" w14:paraId="511FE297" w14:textId="77777777" w:rsidTr="00933BF7">
        <w:trPr>
          <w:trHeight w:val="575"/>
        </w:trPr>
        <w:tc>
          <w:tcPr>
            <w:tcW w:w="1357" w:type="pct"/>
            <w:vAlign w:val="center"/>
          </w:tcPr>
          <w:p w14:paraId="4624F0F6" w14:textId="1051A4FD" w:rsidR="007710C3" w:rsidRPr="004502A9" w:rsidRDefault="007710C3" w:rsidP="00933BF7">
            <w:pPr>
              <w:autoSpaceDE w:val="0"/>
              <w:autoSpaceDN w:val="0"/>
              <w:adjustRightInd w:val="0"/>
              <w:spacing w:after="0"/>
              <w:jc w:val="center"/>
              <w:rPr>
                <w:rFonts w:cs="Arial"/>
                <w:szCs w:val="24"/>
              </w:rPr>
            </w:pPr>
            <w:r w:rsidRPr="004502A9">
              <w:rPr>
                <w:rFonts w:cs="Arial"/>
                <w:szCs w:val="24"/>
              </w:rPr>
              <w:t>San Diego</w:t>
            </w:r>
          </w:p>
        </w:tc>
        <w:tc>
          <w:tcPr>
            <w:tcW w:w="1068" w:type="pct"/>
            <w:vAlign w:val="center"/>
          </w:tcPr>
          <w:p w14:paraId="123CF3B9" w14:textId="514C08C2" w:rsidR="007710C3" w:rsidRPr="004502A9" w:rsidRDefault="00BB02E6" w:rsidP="00933BF7">
            <w:pPr>
              <w:autoSpaceDE w:val="0"/>
              <w:autoSpaceDN w:val="0"/>
              <w:adjustRightInd w:val="0"/>
              <w:spacing w:after="0"/>
              <w:jc w:val="center"/>
              <w:rPr>
                <w:rFonts w:cs="Arial"/>
                <w:szCs w:val="24"/>
              </w:rPr>
            </w:pPr>
            <w:r>
              <w:rPr>
                <w:rFonts w:cs="Arial"/>
                <w:szCs w:val="24"/>
              </w:rPr>
              <w:t>839</w:t>
            </w:r>
          </w:p>
        </w:tc>
        <w:tc>
          <w:tcPr>
            <w:tcW w:w="729" w:type="pct"/>
            <w:vAlign w:val="center"/>
          </w:tcPr>
          <w:p w14:paraId="475EB854" w14:textId="5B20DCF4" w:rsidR="007710C3" w:rsidRPr="004502A9" w:rsidRDefault="000F317E" w:rsidP="00933BF7">
            <w:pPr>
              <w:autoSpaceDE w:val="0"/>
              <w:autoSpaceDN w:val="0"/>
              <w:adjustRightInd w:val="0"/>
              <w:spacing w:after="0"/>
              <w:jc w:val="center"/>
              <w:rPr>
                <w:rFonts w:cs="Arial"/>
                <w:szCs w:val="24"/>
              </w:rPr>
            </w:pPr>
            <w:r>
              <w:rPr>
                <w:rFonts w:cs="Arial"/>
                <w:szCs w:val="24"/>
              </w:rPr>
              <w:t>1</w:t>
            </w:r>
          </w:p>
        </w:tc>
        <w:tc>
          <w:tcPr>
            <w:tcW w:w="777" w:type="pct"/>
            <w:vAlign w:val="center"/>
          </w:tcPr>
          <w:p w14:paraId="17D24A3B" w14:textId="16C97128" w:rsidR="007710C3" w:rsidRPr="004502A9" w:rsidRDefault="000F317E" w:rsidP="00933BF7">
            <w:pPr>
              <w:autoSpaceDE w:val="0"/>
              <w:autoSpaceDN w:val="0"/>
              <w:adjustRightInd w:val="0"/>
              <w:spacing w:after="0"/>
              <w:jc w:val="center"/>
              <w:rPr>
                <w:rFonts w:cs="Arial"/>
                <w:szCs w:val="24"/>
              </w:rPr>
            </w:pPr>
            <w:r>
              <w:rPr>
                <w:rFonts w:cs="Arial"/>
                <w:szCs w:val="24"/>
              </w:rPr>
              <w:t>2</w:t>
            </w:r>
          </w:p>
        </w:tc>
        <w:tc>
          <w:tcPr>
            <w:tcW w:w="1068" w:type="pct"/>
            <w:vAlign w:val="center"/>
          </w:tcPr>
          <w:p w14:paraId="7976797E" w14:textId="6A7F5F56" w:rsidR="007710C3" w:rsidRPr="004502A9" w:rsidRDefault="00DE6213" w:rsidP="00933BF7">
            <w:pPr>
              <w:autoSpaceDE w:val="0"/>
              <w:autoSpaceDN w:val="0"/>
              <w:adjustRightInd w:val="0"/>
              <w:spacing w:after="0"/>
              <w:jc w:val="center"/>
              <w:rPr>
                <w:rFonts w:cs="Arial"/>
                <w:szCs w:val="24"/>
              </w:rPr>
            </w:pPr>
            <w:r>
              <w:rPr>
                <w:rFonts w:cs="Arial"/>
                <w:szCs w:val="24"/>
              </w:rPr>
              <w:t>838</w:t>
            </w:r>
          </w:p>
        </w:tc>
      </w:tr>
      <w:tr w:rsidR="007710C3" w:rsidRPr="004502A9" w14:paraId="74D90469" w14:textId="77777777" w:rsidTr="00933BF7">
        <w:trPr>
          <w:trHeight w:val="395"/>
        </w:trPr>
        <w:tc>
          <w:tcPr>
            <w:tcW w:w="1357" w:type="pct"/>
            <w:vAlign w:val="center"/>
          </w:tcPr>
          <w:p w14:paraId="4F449299" w14:textId="77777777" w:rsidR="007710C3" w:rsidRPr="004502A9" w:rsidRDefault="007710C3" w:rsidP="00933BF7">
            <w:pPr>
              <w:autoSpaceDE w:val="0"/>
              <w:autoSpaceDN w:val="0"/>
              <w:adjustRightInd w:val="0"/>
              <w:spacing w:after="0"/>
              <w:jc w:val="center"/>
              <w:rPr>
                <w:rFonts w:cs="Arial"/>
                <w:b/>
                <w:szCs w:val="24"/>
              </w:rPr>
            </w:pPr>
            <w:r w:rsidRPr="004502A9">
              <w:rPr>
                <w:rFonts w:cs="Arial"/>
                <w:b/>
                <w:szCs w:val="24"/>
              </w:rPr>
              <w:t>TOTALS</w:t>
            </w:r>
          </w:p>
        </w:tc>
        <w:tc>
          <w:tcPr>
            <w:tcW w:w="1068" w:type="pct"/>
            <w:vAlign w:val="center"/>
          </w:tcPr>
          <w:p w14:paraId="14B8C5F6" w14:textId="58F85D1D" w:rsidR="007710C3" w:rsidRPr="00203198" w:rsidRDefault="00BB02E6" w:rsidP="00933BF7">
            <w:pPr>
              <w:autoSpaceDE w:val="0"/>
              <w:autoSpaceDN w:val="0"/>
              <w:adjustRightInd w:val="0"/>
              <w:spacing w:after="0"/>
              <w:jc w:val="center"/>
              <w:rPr>
                <w:rFonts w:cs="Arial"/>
                <w:b/>
              </w:rPr>
            </w:pPr>
            <w:r w:rsidRPr="00203198">
              <w:rPr>
                <w:rFonts w:cs="Arial"/>
                <w:b/>
              </w:rPr>
              <w:t>5,</w:t>
            </w:r>
            <w:r w:rsidRPr="00203198">
              <w:rPr>
                <w:rFonts w:cs="Arial"/>
                <w:b/>
                <w:bCs/>
              </w:rPr>
              <w:t>7</w:t>
            </w:r>
            <w:r w:rsidR="004F1643" w:rsidRPr="00203198">
              <w:rPr>
                <w:rFonts w:cs="Arial"/>
                <w:b/>
                <w:bCs/>
              </w:rPr>
              <w:t>4</w:t>
            </w:r>
            <w:r w:rsidR="00AC1FB1">
              <w:rPr>
                <w:rFonts w:cs="Arial"/>
                <w:b/>
                <w:bCs/>
              </w:rPr>
              <w:t>2</w:t>
            </w:r>
          </w:p>
        </w:tc>
        <w:tc>
          <w:tcPr>
            <w:tcW w:w="729" w:type="pct"/>
            <w:vAlign w:val="center"/>
          </w:tcPr>
          <w:p w14:paraId="0F8F21B2" w14:textId="3EF63ECC" w:rsidR="007710C3" w:rsidRPr="00203198" w:rsidRDefault="007A17AD" w:rsidP="00933BF7">
            <w:pPr>
              <w:autoSpaceDE w:val="0"/>
              <w:autoSpaceDN w:val="0"/>
              <w:adjustRightInd w:val="0"/>
              <w:spacing w:after="0"/>
              <w:jc w:val="center"/>
              <w:rPr>
                <w:rFonts w:cs="Arial"/>
                <w:b/>
              </w:rPr>
            </w:pPr>
            <w:r>
              <w:rPr>
                <w:rFonts w:cs="Arial"/>
                <w:b/>
                <w:bCs/>
              </w:rPr>
              <w:t>4</w:t>
            </w:r>
            <w:r w:rsidR="005D2CFE">
              <w:rPr>
                <w:rFonts w:cs="Arial"/>
                <w:b/>
                <w:bCs/>
              </w:rPr>
              <w:t>26</w:t>
            </w:r>
          </w:p>
        </w:tc>
        <w:tc>
          <w:tcPr>
            <w:tcW w:w="777" w:type="pct"/>
            <w:vAlign w:val="center"/>
          </w:tcPr>
          <w:p w14:paraId="010C6D67" w14:textId="286A2739" w:rsidR="007710C3" w:rsidRPr="00203198" w:rsidRDefault="007A17AD" w:rsidP="00933BF7">
            <w:pPr>
              <w:autoSpaceDE w:val="0"/>
              <w:autoSpaceDN w:val="0"/>
              <w:adjustRightInd w:val="0"/>
              <w:spacing w:after="0"/>
              <w:jc w:val="center"/>
              <w:rPr>
                <w:rFonts w:cs="Arial"/>
                <w:b/>
                <w:szCs w:val="24"/>
              </w:rPr>
            </w:pPr>
            <w:r>
              <w:rPr>
                <w:rFonts w:cs="Arial"/>
                <w:b/>
                <w:bCs/>
                <w:szCs w:val="24"/>
              </w:rPr>
              <w:t>13</w:t>
            </w:r>
            <w:r w:rsidR="00B04E5A">
              <w:rPr>
                <w:rFonts w:cs="Arial"/>
                <w:b/>
                <w:bCs/>
                <w:szCs w:val="24"/>
              </w:rPr>
              <w:t>6</w:t>
            </w:r>
          </w:p>
        </w:tc>
        <w:tc>
          <w:tcPr>
            <w:tcW w:w="1068" w:type="pct"/>
            <w:vAlign w:val="center"/>
          </w:tcPr>
          <w:p w14:paraId="54CDC3AF" w14:textId="4EFCEB1B" w:rsidR="007710C3" w:rsidRPr="00203198" w:rsidRDefault="00062CB7" w:rsidP="00933BF7">
            <w:pPr>
              <w:autoSpaceDE w:val="0"/>
              <w:autoSpaceDN w:val="0"/>
              <w:adjustRightInd w:val="0"/>
              <w:spacing w:after="0"/>
              <w:jc w:val="center"/>
              <w:rPr>
                <w:rFonts w:cs="Arial"/>
                <w:b/>
              </w:rPr>
            </w:pPr>
            <w:r>
              <w:rPr>
                <w:rFonts w:cs="Arial"/>
                <w:b/>
                <w:bCs/>
              </w:rPr>
              <w:t>6,032</w:t>
            </w:r>
          </w:p>
        </w:tc>
      </w:tr>
    </w:tbl>
    <w:p w14:paraId="448B34C5" w14:textId="2599454C" w:rsidR="007710C3" w:rsidRPr="004502A9" w:rsidRDefault="00F8130A" w:rsidP="007710C3">
      <w:pPr>
        <w:rPr>
          <w:rFonts w:eastAsia="Arial" w:cs="Arial"/>
          <w:szCs w:val="24"/>
        </w:rPr>
      </w:pPr>
      <w:r>
        <w:rPr>
          <w:i/>
          <w:iCs/>
        </w:rPr>
        <w:t>Count of</w:t>
      </w:r>
      <w:r w:rsidR="00ED359E" w:rsidRPr="00FF1FF4">
        <w:rPr>
          <w:i/>
          <w:iCs/>
        </w:rPr>
        <w:t xml:space="preserve"> </w:t>
      </w:r>
      <w:r w:rsidR="00C6428D">
        <w:rPr>
          <w:i/>
          <w:iCs/>
        </w:rPr>
        <w:t>2026</w:t>
      </w:r>
      <w:r w:rsidR="00ED359E" w:rsidRPr="00FF1FF4">
        <w:rPr>
          <w:i/>
          <w:iCs/>
        </w:rPr>
        <w:t xml:space="preserve"> </w:t>
      </w:r>
      <w:r w:rsidR="00ED359E">
        <w:rPr>
          <w:i/>
          <w:iCs/>
        </w:rPr>
        <w:t>3</w:t>
      </w:r>
      <w:r w:rsidR="00ED359E" w:rsidRPr="00FF1FF4">
        <w:rPr>
          <w:i/>
          <w:iCs/>
        </w:rPr>
        <w:t xml:space="preserve">03(d) </w:t>
      </w:r>
      <w:r w:rsidR="00ED359E">
        <w:rPr>
          <w:i/>
          <w:iCs/>
        </w:rPr>
        <w:t>l</w:t>
      </w:r>
      <w:r w:rsidR="00ED359E" w:rsidRPr="00FF1FF4">
        <w:rPr>
          <w:i/>
          <w:iCs/>
        </w:rPr>
        <w:t xml:space="preserve">istings may not </w:t>
      </w:r>
      <w:r w:rsidR="000B35E7">
        <w:rPr>
          <w:i/>
          <w:iCs/>
        </w:rPr>
        <w:t>equal</w:t>
      </w:r>
      <w:r w:rsidR="00ED359E" w:rsidRPr="00FF1FF4">
        <w:rPr>
          <w:i/>
          <w:iCs/>
        </w:rPr>
        <w:t xml:space="preserve"> the addition of new listings and </w:t>
      </w:r>
      <w:r w:rsidR="00402338">
        <w:rPr>
          <w:i/>
          <w:iCs/>
        </w:rPr>
        <w:t>removal</w:t>
      </w:r>
      <w:r w:rsidR="00ED359E" w:rsidRPr="00FF1FF4">
        <w:rPr>
          <w:i/>
          <w:iCs/>
        </w:rPr>
        <w:t xml:space="preserve"> of delistings from the </w:t>
      </w:r>
      <w:r w:rsidR="00DB0CCB">
        <w:rPr>
          <w:i/>
          <w:iCs/>
        </w:rPr>
        <w:t>2024</w:t>
      </w:r>
      <w:r w:rsidR="00ED359E" w:rsidRPr="00FF1FF4">
        <w:rPr>
          <w:i/>
          <w:iCs/>
        </w:rPr>
        <w:t xml:space="preserve"> 303(d) </w:t>
      </w:r>
      <w:r w:rsidR="005D7C9A">
        <w:rPr>
          <w:i/>
          <w:iCs/>
        </w:rPr>
        <w:t>L</w:t>
      </w:r>
      <w:r w:rsidR="00ED359E" w:rsidRPr="00FF1FF4">
        <w:rPr>
          <w:i/>
          <w:iCs/>
        </w:rPr>
        <w:t xml:space="preserve">ist due to waterbody </w:t>
      </w:r>
      <w:r w:rsidR="004E1734">
        <w:rPr>
          <w:i/>
          <w:iCs/>
        </w:rPr>
        <w:t xml:space="preserve">segment </w:t>
      </w:r>
      <w:r w:rsidR="00ED359E" w:rsidRPr="00FF1FF4">
        <w:rPr>
          <w:i/>
          <w:iCs/>
        </w:rPr>
        <w:t xml:space="preserve">splits, merges, or other miscellaneous changes. </w:t>
      </w:r>
      <w:r w:rsidR="007710C3" w:rsidRPr="004502A9">
        <w:rPr>
          <w:rFonts w:cs="Arial"/>
        </w:rPr>
        <w:br w:type="page"/>
      </w:r>
    </w:p>
    <w:p w14:paraId="2B743086" w14:textId="6246383F" w:rsidR="007710C3" w:rsidRPr="004502A9" w:rsidRDefault="007710C3" w:rsidP="00597DE8">
      <w:pPr>
        <w:pStyle w:val="Heading1"/>
      </w:pPr>
      <w:bookmarkStart w:id="22" w:name="_Toc35339583"/>
      <w:bookmarkStart w:id="23" w:name="_Toc189048542"/>
      <w:r w:rsidRPr="004502A9">
        <w:t xml:space="preserve">About the </w:t>
      </w:r>
      <w:r w:rsidR="00205965">
        <w:t xml:space="preserve">California </w:t>
      </w:r>
      <w:r w:rsidRPr="004502A9">
        <w:t>Integrated Report</w:t>
      </w:r>
      <w:bookmarkEnd w:id="19"/>
      <w:bookmarkEnd w:id="22"/>
      <w:bookmarkEnd w:id="23"/>
    </w:p>
    <w:p w14:paraId="23765F0C" w14:textId="0DF97C9B" w:rsidR="007710C3" w:rsidRPr="004502A9" w:rsidRDefault="007710C3" w:rsidP="007710C3">
      <w:pPr>
        <w:tabs>
          <w:tab w:val="left" w:pos="7830"/>
        </w:tabs>
        <w:autoSpaceDE w:val="0"/>
        <w:autoSpaceDN w:val="0"/>
        <w:adjustRightInd w:val="0"/>
        <w:rPr>
          <w:rFonts w:eastAsia="Arial" w:cs="Arial"/>
        </w:rPr>
      </w:pPr>
      <w:r w:rsidRPr="004502A9">
        <w:rPr>
          <w:rFonts w:cs="Arial"/>
        </w:rPr>
        <w:t xml:space="preserve">The State Water Board, along with the nine Regional Water Boards (collectively, </w:t>
      </w:r>
      <w:r w:rsidRPr="004502A9">
        <w:rPr>
          <w:rFonts w:eastAsia="Arial" w:cs="Arial"/>
        </w:rPr>
        <w:t>“Water Boards”), protect and enhance the quality of California’s water resources through implementing the CWA as amended (33 U.S.C. § 1251 et seq.; CWA, § 101 et seq.), and California’s Porter-Cologne Water Quality Control Act (Wat. Code, § 13000 et seq.).</w:t>
      </w:r>
    </w:p>
    <w:p w14:paraId="7B0F76AC" w14:textId="0F4516EB" w:rsidR="000A63F5" w:rsidRPr="00283B7E" w:rsidRDefault="007710C3" w:rsidP="00283B7E">
      <w:pPr>
        <w:autoSpaceDE w:val="0"/>
        <w:autoSpaceDN w:val="0"/>
        <w:adjustRightInd w:val="0"/>
        <w:rPr>
          <w:rFonts w:cs="Arial"/>
        </w:rPr>
      </w:pPr>
      <w:r w:rsidRPr="004502A9">
        <w:rPr>
          <w:rFonts w:eastAsia="Arial" w:cs="Arial"/>
        </w:rPr>
        <w:t xml:space="preserve">States that administer the CWA must submit the CWA </w:t>
      </w:r>
      <w:r w:rsidR="00E075F3">
        <w:rPr>
          <w:rFonts w:eastAsia="Arial" w:cs="Arial"/>
        </w:rPr>
        <w:t>s</w:t>
      </w:r>
      <w:r w:rsidRPr="004502A9">
        <w:rPr>
          <w:rFonts w:eastAsia="Arial" w:cs="Arial"/>
        </w:rPr>
        <w:t xml:space="preserve">ection 303(d) </w:t>
      </w:r>
      <w:r w:rsidR="00D607EE">
        <w:rPr>
          <w:rFonts w:eastAsia="Arial" w:cs="Arial"/>
        </w:rPr>
        <w:t>l</w:t>
      </w:r>
      <w:r w:rsidRPr="004502A9">
        <w:rPr>
          <w:rFonts w:eastAsia="Arial" w:cs="Arial"/>
        </w:rPr>
        <w:t>ist of imp</w:t>
      </w:r>
      <w:r w:rsidRPr="004502A9">
        <w:rPr>
          <w:rFonts w:cs="Arial"/>
        </w:rPr>
        <w:t xml:space="preserve">aired waters to the </w:t>
      </w:r>
      <w:r w:rsidR="00313C98">
        <w:rPr>
          <w:rFonts w:cs="Arial"/>
        </w:rPr>
        <w:t>USEPA</w:t>
      </w:r>
      <w:r w:rsidRPr="004502A9">
        <w:rPr>
          <w:rFonts w:cs="Arial"/>
        </w:rPr>
        <w:t xml:space="preserve">. CWA </w:t>
      </w:r>
      <w:r w:rsidR="00E075F3">
        <w:rPr>
          <w:rFonts w:cs="Arial"/>
        </w:rPr>
        <w:t>s</w:t>
      </w:r>
      <w:r w:rsidRPr="004502A9">
        <w:rPr>
          <w:rFonts w:cs="Arial"/>
        </w:rPr>
        <w:t xml:space="preserve">ection 305(b) requires each state to report biennially to </w:t>
      </w:r>
      <w:r w:rsidR="00313C98">
        <w:rPr>
          <w:rFonts w:cs="Arial"/>
        </w:rPr>
        <w:t>USEPA</w:t>
      </w:r>
      <w:r w:rsidRPr="004502A9">
        <w:rPr>
          <w:rFonts w:cs="Arial"/>
        </w:rPr>
        <w:t xml:space="preserve"> on the condition of its surface water quality. </w:t>
      </w:r>
      <w:r w:rsidR="00313C98">
        <w:rPr>
          <w:rFonts w:cs="Arial"/>
        </w:rPr>
        <w:t>USEPA</w:t>
      </w:r>
      <w:r w:rsidR="0031341D">
        <w:rPr>
          <w:rFonts w:cs="Arial"/>
        </w:rPr>
        <w:t>’s</w:t>
      </w:r>
      <w:r w:rsidRPr="004502A9">
        <w:rPr>
          <w:rFonts w:cs="Arial"/>
        </w:rPr>
        <w:t xml:space="preserve"> guidance to the states recommends the two reports be integrated. For California, this report is called the “</w:t>
      </w:r>
      <w:r w:rsidR="00205965">
        <w:rPr>
          <w:rFonts w:cs="Arial"/>
        </w:rPr>
        <w:t xml:space="preserve">California </w:t>
      </w:r>
      <w:r w:rsidRPr="004502A9">
        <w:rPr>
          <w:rFonts w:cs="Arial"/>
        </w:rPr>
        <w:t>Integrated Report” and combines the State Water Board’s Section 303(d) and 305(b) reporting requirements</w:t>
      </w:r>
      <w:r w:rsidR="00A4653B">
        <w:rPr>
          <w:rFonts w:cs="Arial"/>
        </w:rPr>
        <w:t xml:space="preserve"> </w:t>
      </w:r>
      <w:r w:rsidR="00A4653B" w:rsidRPr="004502A9">
        <w:rPr>
          <w:rFonts w:cs="Arial"/>
        </w:rPr>
        <w:t>(</w:t>
      </w:r>
      <w:r w:rsidR="00313C98">
        <w:rPr>
          <w:rFonts w:cs="Arial"/>
        </w:rPr>
        <w:t>USEPA</w:t>
      </w:r>
      <w:r w:rsidR="00A4653B" w:rsidRPr="004502A9">
        <w:rPr>
          <w:rFonts w:cs="Arial"/>
        </w:rPr>
        <w:t xml:space="preserve"> 2005)</w:t>
      </w:r>
      <w:r w:rsidRPr="004502A9">
        <w:rPr>
          <w:rFonts w:cs="Arial"/>
        </w:rPr>
        <w:t xml:space="preserve">. </w:t>
      </w:r>
      <w:bookmarkStart w:id="24" w:name="_Toc2265929"/>
      <w:r w:rsidR="00E10220">
        <w:t>Waterbod</w:t>
      </w:r>
      <w:r w:rsidR="001D3F10">
        <w:t>y segments</w:t>
      </w:r>
      <w:r w:rsidR="00E10220">
        <w:t xml:space="preserve"> that are identified as impaired are addressed in accordance with the </w:t>
      </w:r>
      <w:hyperlink r:id="rId15" w:history="1">
        <w:r w:rsidR="00E10220" w:rsidRPr="001A7DF7">
          <w:rPr>
            <w:rStyle w:val="Hyperlink"/>
          </w:rPr>
          <w:t>Water Quality Control Policy for Addressing Impaired Waters: Regulatory Structure and Options</w:t>
        </w:r>
      </w:hyperlink>
      <w:r w:rsidR="00E10220">
        <w:t xml:space="preserve"> (“Impaired Waters Policy”) (</w:t>
      </w:r>
      <w:hyperlink r:id="rId16" w:history="1">
        <w:r w:rsidR="00E10220" w:rsidRPr="002E71B6">
          <w:rPr>
            <w:rStyle w:val="Hyperlink"/>
          </w:rPr>
          <w:t>https://www.waterboards.ca.gov/water_issues/programs/tmdl/docs/iw_policy.pdf</w:t>
        </w:r>
      </w:hyperlink>
      <w:r w:rsidR="00E10220">
        <w:t>)</w:t>
      </w:r>
      <w:r w:rsidR="00D74F19">
        <w:t xml:space="preserve"> via Resolution </w:t>
      </w:r>
      <w:r w:rsidR="00BF2AD3">
        <w:t xml:space="preserve">No. </w:t>
      </w:r>
      <w:r w:rsidR="00D74F19">
        <w:t>2005-0050</w:t>
      </w:r>
      <w:r w:rsidR="00E10220">
        <w:t>.</w:t>
      </w:r>
      <w:r w:rsidR="00283B7E">
        <w:rPr>
          <w:rFonts w:cs="Arial"/>
        </w:rPr>
        <w:t xml:space="preserve"> </w:t>
      </w:r>
      <w:r w:rsidR="000A63F5">
        <w:rPr>
          <w:rFonts w:eastAsia="Arial" w:cs="Arial"/>
        </w:rPr>
        <w:t xml:space="preserve">In addition to requirements of federal statutes and regulations, the State Water Board </w:t>
      </w:r>
      <w:r w:rsidR="00D74F19">
        <w:rPr>
          <w:rFonts w:eastAsia="Arial" w:cs="Arial"/>
        </w:rPr>
        <w:t>considers</w:t>
      </w:r>
      <w:r w:rsidR="000A63F5">
        <w:rPr>
          <w:rFonts w:eastAsia="Arial" w:cs="Arial"/>
        </w:rPr>
        <w:t xml:space="preserve"> a number of </w:t>
      </w:r>
      <w:r w:rsidR="00313C98">
        <w:rPr>
          <w:rFonts w:eastAsia="Arial" w:cs="Arial"/>
        </w:rPr>
        <w:t>USEPA</w:t>
      </w:r>
      <w:r w:rsidR="000A63F5">
        <w:rPr>
          <w:rFonts w:eastAsia="Arial" w:cs="Arial"/>
        </w:rPr>
        <w:t xml:space="preserve"> guidance documents in </w:t>
      </w:r>
      <w:r w:rsidR="00D74F19">
        <w:rPr>
          <w:rFonts w:eastAsia="Arial" w:cs="Arial"/>
        </w:rPr>
        <w:t>developing</w:t>
      </w:r>
      <w:r w:rsidR="000A63F5">
        <w:rPr>
          <w:rFonts w:eastAsia="Arial" w:cs="Arial"/>
        </w:rPr>
        <w:t xml:space="preserve"> the </w:t>
      </w:r>
      <w:r w:rsidR="00D74F19">
        <w:rPr>
          <w:rFonts w:eastAsia="Arial" w:cs="Arial"/>
        </w:rPr>
        <w:t>integrated</w:t>
      </w:r>
      <w:r w:rsidR="005B3EB4">
        <w:rPr>
          <w:rFonts w:eastAsia="Arial" w:cs="Arial"/>
        </w:rPr>
        <w:t xml:space="preserve"> report</w:t>
      </w:r>
      <w:r w:rsidR="00EA672E">
        <w:rPr>
          <w:rFonts w:eastAsia="Arial" w:cs="Arial"/>
        </w:rPr>
        <w:t xml:space="preserve">. </w:t>
      </w:r>
    </w:p>
    <w:p w14:paraId="23D04AB0" w14:textId="2DC74FE0" w:rsidR="000745B1" w:rsidRDefault="00BB5AEB" w:rsidP="007710C3">
      <w:pPr>
        <w:autoSpaceDE w:val="0"/>
        <w:autoSpaceDN w:val="0"/>
        <w:adjustRightInd w:val="0"/>
        <w:rPr>
          <w:rFonts w:cs="Arial"/>
        </w:rPr>
      </w:pPr>
      <w:r>
        <w:rPr>
          <w:rFonts w:cs="Arial"/>
        </w:rPr>
        <w:t xml:space="preserve">It is essential for </w:t>
      </w:r>
      <w:r w:rsidR="001F775E">
        <w:rPr>
          <w:rFonts w:cs="Arial"/>
        </w:rPr>
        <w:t>the State Water Board</w:t>
      </w:r>
      <w:r w:rsidR="006F20EE">
        <w:rPr>
          <w:rFonts w:cs="Arial"/>
        </w:rPr>
        <w:t xml:space="preserve"> to </w:t>
      </w:r>
      <w:r w:rsidR="009150C3">
        <w:rPr>
          <w:rFonts w:cs="Arial"/>
        </w:rPr>
        <w:t xml:space="preserve">take </w:t>
      </w:r>
      <w:r w:rsidR="007C4081">
        <w:rPr>
          <w:rFonts w:cs="Arial"/>
        </w:rPr>
        <w:t xml:space="preserve">timely </w:t>
      </w:r>
      <w:r w:rsidR="009150C3">
        <w:rPr>
          <w:rFonts w:cs="Arial"/>
        </w:rPr>
        <w:t xml:space="preserve">action </w:t>
      </w:r>
      <w:r w:rsidR="00D61C8D">
        <w:rPr>
          <w:rFonts w:cs="Arial"/>
        </w:rPr>
        <w:t xml:space="preserve">in developing </w:t>
      </w:r>
      <w:r w:rsidR="009150C3">
        <w:rPr>
          <w:rFonts w:cs="Arial"/>
        </w:rPr>
        <w:t xml:space="preserve">the </w:t>
      </w:r>
      <w:r w:rsidR="00236B37">
        <w:rPr>
          <w:rFonts w:cs="Arial"/>
        </w:rPr>
        <w:t xml:space="preserve">303(d) </w:t>
      </w:r>
      <w:r w:rsidR="00D607EE">
        <w:rPr>
          <w:rFonts w:cs="Arial"/>
        </w:rPr>
        <w:t>l</w:t>
      </w:r>
      <w:r w:rsidR="00236B37">
        <w:rPr>
          <w:rFonts w:cs="Arial"/>
        </w:rPr>
        <w:t xml:space="preserve">ist </w:t>
      </w:r>
      <w:r w:rsidR="003B306B">
        <w:rPr>
          <w:rFonts w:cs="Arial"/>
        </w:rPr>
        <w:t>to</w:t>
      </w:r>
      <w:r w:rsidR="00236B37">
        <w:rPr>
          <w:rFonts w:cs="Arial"/>
        </w:rPr>
        <w:t xml:space="preserve"> submit the California Integrated Report </w:t>
      </w:r>
      <w:r w:rsidR="0043716E">
        <w:rPr>
          <w:rFonts w:cs="Arial"/>
        </w:rPr>
        <w:t xml:space="preserve">on time </w:t>
      </w:r>
      <w:r w:rsidR="00DF50B4">
        <w:rPr>
          <w:rFonts w:cs="Arial"/>
        </w:rPr>
        <w:t xml:space="preserve">and </w:t>
      </w:r>
      <w:r w:rsidR="00236B37">
        <w:rPr>
          <w:rFonts w:cs="Arial"/>
        </w:rPr>
        <w:t xml:space="preserve">meet </w:t>
      </w:r>
      <w:r w:rsidR="00410B07">
        <w:rPr>
          <w:rFonts w:cs="Arial"/>
        </w:rPr>
        <w:t>its responsibilities under the Clean Water Act.</w:t>
      </w:r>
      <w:r w:rsidR="00624E19">
        <w:rPr>
          <w:rFonts w:cs="Arial"/>
        </w:rPr>
        <w:t xml:space="preserve"> </w:t>
      </w:r>
      <w:r w:rsidR="007C4038">
        <w:rPr>
          <w:rFonts w:cs="Arial"/>
        </w:rPr>
        <w:t>T</w:t>
      </w:r>
      <w:r w:rsidR="007D7E03">
        <w:rPr>
          <w:rFonts w:cs="Arial"/>
        </w:rPr>
        <w:t>imely submissions</w:t>
      </w:r>
      <w:r w:rsidR="004612CC">
        <w:rPr>
          <w:rFonts w:cs="Arial"/>
        </w:rPr>
        <w:t xml:space="preserve"> of the California Integrated Report</w:t>
      </w:r>
      <w:r w:rsidR="007D7E03">
        <w:rPr>
          <w:rFonts w:cs="Arial"/>
        </w:rPr>
        <w:t xml:space="preserve"> are critical</w:t>
      </w:r>
      <w:r w:rsidR="00DD0462">
        <w:rPr>
          <w:rFonts w:cs="Arial"/>
        </w:rPr>
        <w:t xml:space="preserve"> in ac</w:t>
      </w:r>
      <w:r w:rsidR="00674800">
        <w:rPr>
          <w:rFonts w:cs="Arial"/>
        </w:rPr>
        <w:t>hieving</w:t>
      </w:r>
      <w:r w:rsidR="00AF67E4">
        <w:rPr>
          <w:rFonts w:cs="Arial"/>
        </w:rPr>
        <w:t xml:space="preserve"> the State Water Board’s and </w:t>
      </w:r>
      <w:r w:rsidR="00313C98">
        <w:rPr>
          <w:rFonts w:cs="Arial"/>
        </w:rPr>
        <w:t>USEPA</w:t>
      </w:r>
      <w:r w:rsidR="00AF67E4">
        <w:rPr>
          <w:rFonts w:cs="Arial"/>
        </w:rPr>
        <w:t xml:space="preserve">’s </w:t>
      </w:r>
      <w:r w:rsidR="00413848">
        <w:rPr>
          <w:rFonts w:cs="Arial"/>
        </w:rPr>
        <w:t>important</w:t>
      </w:r>
      <w:r w:rsidR="00AF67E4">
        <w:rPr>
          <w:rFonts w:cs="Arial"/>
        </w:rPr>
        <w:t xml:space="preserve"> goals for restoring and maintaining the quality of the nation’s waters within </w:t>
      </w:r>
      <w:r w:rsidR="00674800">
        <w:rPr>
          <w:rFonts w:cs="Arial"/>
        </w:rPr>
        <w:t xml:space="preserve">California. </w:t>
      </w:r>
      <w:r w:rsidR="00B33524">
        <w:rPr>
          <w:rFonts w:cs="Arial"/>
        </w:rPr>
        <w:t xml:space="preserve">Timely submittals also provide the public and other </w:t>
      </w:r>
      <w:r w:rsidR="001D4A28">
        <w:rPr>
          <w:rFonts w:cs="Arial"/>
        </w:rPr>
        <w:t xml:space="preserve">interested parties </w:t>
      </w:r>
      <w:r w:rsidR="00B33524">
        <w:rPr>
          <w:rFonts w:cs="Arial"/>
        </w:rPr>
        <w:t xml:space="preserve">with the most up to date information on the condition of </w:t>
      </w:r>
      <w:r w:rsidR="00A35BF1">
        <w:rPr>
          <w:rFonts w:cs="Arial"/>
        </w:rPr>
        <w:t xml:space="preserve">surface </w:t>
      </w:r>
      <w:r w:rsidR="00936254">
        <w:rPr>
          <w:rFonts w:cs="Arial"/>
        </w:rPr>
        <w:t>water</w:t>
      </w:r>
      <w:r w:rsidR="00A35BF1">
        <w:rPr>
          <w:rFonts w:cs="Arial"/>
        </w:rPr>
        <w:t>s</w:t>
      </w:r>
      <w:r w:rsidR="00936254" w:rsidDel="00A35BF1">
        <w:rPr>
          <w:rFonts w:cs="Arial"/>
        </w:rPr>
        <w:t xml:space="preserve"> </w:t>
      </w:r>
      <w:r w:rsidR="00D26416">
        <w:rPr>
          <w:rFonts w:cs="Arial"/>
        </w:rPr>
        <w:t xml:space="preserve">within </w:t>
      </w:r>
      <w:r w:rsidR="00A35BF1">
        <w:rPr>
          <w:rFonts w:cs="Arial"/>
        </w:rPr>
        <w:t>California</w:t>
      </w:r>
      <w:r w:rsidR="00D26416">
        <w:rPr>
          <w:rFonts w:cs="Arial"/>
        </w:rPr>
        <w:t>.</w:t>
      </w:r>
    </w:p>
    <w:p w14:paraId="24341FEB" w14:textId="12A59F6B" w:rsidR="004E2E03" w:rsidRDefault="004E2E03" w:rsidP="004E2E03">
      <w:pPr>
        <w:autoSpaceDE w:val="0"/>
        <w:autoSpaceDN w:val="0"/>
        <w:adjustRightInd w:val="0"/>
        <w:rPr>
          <w:rFonts w:eastAsia="Arial" w:cs="Arial"/>
        </w:rPr>
      </w:pPr>
      <w:r w:rsidRPr="004502A9">
        <w:rPr>
          <w:rFonts w:cs="Arial"/>
        </w:rPr>
        <w:t>The State Water Board</w:t>
      </w:r>
      <w:r w:rsidR="00D51B36">
        <w:rPr>
          <w:rFonts w:cs="Arial"/>
        </w:rPr>
        <w:t xml:space="preserve">, with </w:t>
      </w:r>
      <w:r w:rsidR="00EB3B49">
        <w:rPr>
          <w:rFonts w:cs="Arial"/>
        </w:rPr>
        <w:t>the</w:t>
      </w:r>
      <w:r w:rsidR="00D51B36">
        <w:rPr>
          <w:rFonts w:cs="Arial"/>
        </w:rPr>
        <w:t xml:space="preserve"> assistance of Regional </w:t>
      </w:r>
      <w:r w:rsidR="00EB3B49">
        <w:rPr>
          <w:rFonts w:cs="Arial"/>
        </w:rPr>
        <w:t>Water</w:t>
      </w:r>
      <w:r w:rsidR="00D51B36">
        <w:rPr>
          <w:rFonts w:cs="Arial"/>
        </w:rPr>
        <w:t xml:space="preserve"> Board staff,</w:t>
      </w:r>
      <w:r w:rsidRPr="004502A9">
        <w:rPr>
          <w:rFonts w:cs="Arial"/>
        </w:rPr>
        <w:t xml:space="preserve"> is administering the listing process for </w:t>
      </w:r>
      <w:r w:rsidR="001822A7">
        <w:rPr>
          <w:rFonts w:cs="Arial"/>
        </w:rPr>
        <w:t>the</w:t>
      </w:r>
      <w:r w:rsidRPr="004502A9">
        <w:rPr>
          <w:rFonts w:cs="Arial"/>
        </w:rPr>
        <w:t xml:space="preserve"> </w:t>
      </w:r>
      <w:r w:rsidR="001822A7">
        <w:rPr>
          <w:rFonts w:cs="Arial"/>
        </w:rPr>
        <w:t>Regional Water Boards</w:t>
      </w:r>
      <w:r w:rsidRPr="004502A9">
        <w:rPr>
          <w:rFonts w:cs="Arial"/>
        </w:rPr>
        <w:t xml:space="preserve">, consistent with </w:t>
      </w:r>
      <w:r>
        <w:rPr>
          <w:rFonts w:cs="Arial"/>
        </w:rPr>
        <w:t>s</w:t>
      </w:r>
      <w:r w:rsidRPr="004502A9">
        <w:rPr>
          <w:rFonts w:cs="Arial"/>
        </w:rPr>
        <w:t xml:space="preserve">ection 6.2 of the Listing Policy. </w:t>
      </w:r>
      <w:r w:rsidRPr="004502A9">
        <w:rPr>
          <w:rFonts w:eastAsia="Arial" w:cs="Arial"/>
        </w:rPr>
        <w:t xml:space="preserve">The State Water Board </w:t>
      </w:r>
      <w:r w:rsidRPr="00E05582">
        <w:rPr>
          <w:rFonts w:eastAsia="Arial"/>
        </w:rPr>
        <w:t>will receive</w:t>
      </w:r>
      <w:r w:rsidRPr="004502A9">
        <w:rPr>
          <w:rFonts w:eastAsia="Arial" w:cs="Arial"/>
        </w:rPr>
        <w:t xml:space="preserve"> oral comments on waterbod</w:t>
      </w:r>
      <w:r>
        <w:rPr>
          <w:rFonts w:eastAsia="Arial" w:cs="Arial"/>
        </w:rPr>
        <w:t>y segments</w:t>
      </w:r>
      <w:r w:rsidRPr="004502A9">
        <w:rPr>
          <w:rFonts w:eastAsia="Arial" w:cs="Arial"/>
        </w:rPr>
        <w:t xml:space="preserve"> proposed for addition or deletion from the 303(d) </w:t>
      </w:r>
      <w:r>
        <w:rPr>
          <w:rFonts w:eastAsia="Arial" w:cs="Arial"/>
        </w:rPr>
        <w:t>l</w:t>
      </w:r>
      <w:r w:rsidRPr="004502A9">
        <w:rPr>
          <w:rFonts w:eastAsia="Arial" w:cs="Arial"/>
        </w:rPr>
        <w:t xml:space="preserve">ist at a </w:t>
      </w:r>
      <w:r>
        <w:rPr>
          <w:rFonts w:eastAsia="Arial" w:cs="Arial"/>
        </w:rPr>
        <w:t xml:space="preserve">public </w:t>
      </w:r>
      <w:r w:rsidRPr="004502A9">
        <w:rPr>
          <w:rFonts w:eastAsia="Arial" w:cs="Arial"/>
        </w:rPr>
        <w:t xml:space="preserve">hearing. </w:t>
      </w:r>
      <w:r w:rsidRPr="0037415F">
        <w:rPr>
          <w:rFonts w:eastAsia="Arial" w:cs="Arial"/>
        </w:rPr>
        <w:t>The State Water Board will respond to timely written and oral comments and, if needed, will distribute a revised staff report prior to the meeting during which the State Water Board will consider adopting the proposed 303(d) list</w:t>
      </w:r>
      <w:r w:rsidRPr="004502A9">
        <w:rPr>
          <w:rFonts w:eastAsia="Arial" w:cs="Arial"/>
        </w:rPr>
        <w:t>.</w:t>
      </w:r>
      <w:r>
        <w:rPr>
          <w:rFonts w:eastAsia="Arial" w:cs="Arial"/>
        </w:rPr>
        <w:t xml:space="preserve"> For the 2026 California Integrated Report, the public comment period was extended from 45 days to 60 days. In addition, the State Water Board and the Regional Water Boards will hold a </w:t>
      </w:r>
      <w:r w:rsidR="00A648B0">
        <w:rPr>
          <w:rFonts w:eastAsia="Arial" w:cs="Arial"/>
        </w:rPr>
        <w:t xml:space="preserve">joint </w:t>
      </w:r>
      <w:r>
        <w:rPr>
          <w:rFonts w:eastAsia="Arial" w:cs="Arial"/>
        </w:rPr>
        <w:t xml:space="preserve">Staff Workshop during the public </w:t>
      </w:r>
      <w:r w:rsidR="00723057">
        <w:rPr>
          <w:rFonts w:eastAsia="Arial" w:cs="Arial"/>
        </w:rPr>
        <w:t xml:space="preserve">review and </w:t>
      </w:r>
      <w:r>
        <w:rPr>
          <w:rFonts w:eastAsia="Arial" w:cs="Arial"/>
        </w:rPr>
        <w:t>comment period</w:t>
      </w:r>
      <w:r w:rsidRPr="007F2345">
        <w:rPr>
          <w:rFonts w:eastAsia="Arial" w:cs="Arial"/>
        </w:rPr>
        <w:t>.</w:t>
      </w:r>
    </w:p>
    <w:p w14:paraId="33B4D989" w14:textId="77777777" w:rsidR="007710C3" w:rsidRPr="004502A9" w:rsidRDefault="007710C3" w:rsidP="00597DE8">
      <w:pPr>
        <w:pStyle w:val="Heading2"/>
      </w:pPr>
      <w:bookmarkStart w:id="25" w:name="_Toc19788809"/>
      <w:bookmarkStart w:id="26" w:name="_Toc35339584"/>
      <w:bookmarkStart w:id="27" w:name="_Toc189048543"/>
      <w:r w:rsidRPr="004502A9">
        <w:t xml:space="preserve">The </w:t>
      </w:r>
      <w:bookmarkEnd w:id="25"/>
      <w:r w:rsidRPr="004502A9">
        <w:t>303(d) List of Impaired Waters</w:t>
      </w:r>
      <w:bookmarkEnd w:id="26"/>
      <w:bookmarkEnd w:id="27"/>
    </w:p>
    <w:p w14:paraId="3C0A2D9E" w14:textId="585A70A3" w:rsidR="007710C3" w:rsidRPr="004502A9" w:rsidRDefault="007710C3" w:rsidP="007710C3">
      <w:pPr>
        <w:rPr>
          <w:rFonts w:eastAsia="Arial" w:cs="Arial"/>
        </w:rPr>
      </w:pPr>
      <w:r w:rsidRPr="004502A9">
        <w:rPr>
          <w:rFonts w:eastAsia="Arial" w:cs="Arial"/>
        </w:rPr>
        <w:t xml:space="preserve">Federal regulation defines a “water quality-limited segment” as “any segment where it is known that water quality does not meet applicable water quality standards, and/or is not expected to meet applicable water quality standards, even after application of technology-based effluent limitations required by CWA </w:t>
      </w:r>
      <w:r w:rsidR="00E075F3">
        <w:rPr>
          <w:rFonts w:eastAsia="Arial" w:cs="Arial"/>
        </w:rPr>
        <w:t>s</w:t>
      </w:r>
      <w:r w:rsidRPr="004502A9">
        <w:rPr>
          <w:rFonts w:eastAsia="Arial" w:cs="Arial"/>
        </w:rPr>
        <w:t xml:space="preserve">ections 301(b) or 306.” </w:t>
      </w:r>
      <w:r>
        <w:br/>
      </w:r>
      <w:r w:rsidRPr="004502A9">
        <w:rPr>
          <w:rFonts w:eastAsia="Arial" w:cs="Arial"/>
        </w:rPr>
        <w:t>(40 C.F.R. § 130.2(j).) Water</w:t>
      </w:r>
      <w:r w:rsidR="00060762">
        <w:rPr>
          <w:rFonts w:eastAsia="Arial" w:cs="Arial"/>
        </w:rPr>
        <w:t>body</w:t>
      </w:r>
      <w:r w:rsidRPr="004502A9">
        <w:rPr>
          <w:rFonts w:eastAsia="Arial" w:cs="Arial"/>
        </w:rPr>
        <w:t xml:space="preserve"> segments are also known </w:t>
      </w:r>
      <w:r w:rsidR="009302FB">
        <w:rPr>
          <w:rFonts w:eastAsia="Arial" w:cs="Arial"/>
        </w:rPr>
        <w:t>as</w:t>
      </w:r>
      <w:r w:rsidRPr="004502A9">
        <w:rPr>
          <w:rFonts w:eastAsia="Arial" w:cs="Arial"/>
        </w:rPr>
        <w:t xml:space="preserve"> waters, and water quality-limited segments are also known as “impaired waterbodies” or “impaired waters</w:t>
      </w:r>
      <w:r w:rsidR="00824440">
        <w:rPr>
          <w:rFonts w:eastAsia="Arial" w:cs="Arial"/>
        </w:rPr>
        <w:t>” or “</w:t>
      </w:r>
      <w:r w:rsidR="3E4AA195" w:rsidRPr="00FBAA85">
        <w:rPr>
          <w:rFonts w:eastAsia="Arial" w:cs="Arial"/>
        </w:rPr>
        <w:t>303(</w:t>
      </w:r>
      <w:r w:rsidR="3E4AA195" w:rsidRPr="42128929">
        <w:rPr>
          <w:rFonts w:eastAsia="Arial" w:cs="Arial"/>
        </w:rPr>
        <w:t xml:space="preserve">d) </w:t>
      </w:r>
      <w:r w:rsidR="00824440" w:rsidRPr="42128929">
        <w:rPr>
          <w:rFonts w:eastAsia="Arial" w:cs="Arial"/>
        </w:rPr>
        <w:t>listing</w:t>
      </w:r>
      <w:r w:rsidR="4C3B3B77" w:rsidRPr="42128929">
        <w:rPr>
          <w:rFonts w:eastAsia="Arial" w:cs="Arial"/>
        </w:rPr>
        <w:t>s</w:t>
      </w:r>
      <w:r w:rsidR="7CEFCBB1" w:rsidRPr="42128929">
        <w:rPr>
          <w:rFonts w:eastAsia="Arial" w:cs="Arial"/>
        </w:rPr>
        <w:t>.</w:t>
      </w:r>
      <w:r w:rsidR="789A0297" w:rsidRPr="42128929">
        <w:rPr>
          <w:rFonts w:eastAsia="Arial" w:cs="Arial"/>
        </w:rPr>
        <w:t>”</w:t>
      </w:r>
      <w:r w:rsidRPr="672F664C">
        <w:rPr>
          <w:rFonts w:eastAsia="Arial" w:cs="Arial"/>
        </w:rPr>
        <w:t xml:space="preserve"> </w:t>
      </w:r>
      <w:r w:rsidR="00F503AD">
        <w:rPr>
          <w:rFonts w:eastAsia="Arial" w:cs="Arial"/>
        </w:rPr>
        <w:t xml:space="preserve">For the purposes of this staff report, </w:t>
      </w:r>
      <w:r w:rsidR="00436983">
        <w:rPr>
          <w:rFonts w:eastAsia="Arial" w:cs="Arial"/>
        </w:rPr>
        <w:t>the term</w:t>
      </w:r>
      <w:r w:rsidR="00826995">
        <w:rPr>
          <w:rFonts w:eastAsia="Arial" w:cs="Arial"/>
        </w:rPr>
        <w:t xml:space="preserve"> waterbody segment is used. </w:t>
      </w:r>
      <w:r w:rsidR="5B1FC249" w:rsidRPr="672F664C">
        <w:rPr>
          <w:rFonts w:eastAsia="Arial" w:cs="Arial"/>
        </w:rPr>
        <w:t xml:space="preserve">Water </w:t>
      </w:r>
      <w:r w:rsidR="003E5121">
        <w:rPr>
          <w:rFonts w:eastAsia="Arial" w:cs="Arial"/>
        </w:rPr>
        <w:t>q</w:t>
      </w:r>
      <w:r w:rsidR="5B1FC249" w:rsidRPr="672F664C">
        <w:rPr>
          <w:rFonts w:eastAsia="Arial" w:cs="Arial"/>
        </w:rPr>
        <w:t>uality</w:t>
      </w:r>
      <w:r w:rsidRPr="004502A9">
        <w:rPr>
          <w:rFonts w:eastAsia="Arial" w:cs="Arial"/>
        </w:rPr>
        <w:t xml:space="preserve"> </w:t>
      </w:r>
      <w:r w:rsidR="003E5121">
        <w:rPr>
          <w:rFonts w:eastAsia="Arial" w:cs="Arial"/>
        </w:rPr>
        <w:t>s</w:t>
      </w:r>
      <w:r w:rsidRPr="004502A9">
        <w:rPr>
          <w:rFonts w:eastAsia="Arial" w:cs="Arial"/>
        </w:rPr>
        <w:t xml:space="preserve">tandards </w:t>
      </w:r>
      <w:r w:rsidR="3CF6CA70" w:rsidRPr="672F664C">
        <w:rPr>
          <w:rFonts w:eastAsia="Arial" w:cs="Arial"/>
        </w:rPr>
        <w:t>consist of</w:t>
      </w:r>
      <w:r w:rsidRPr="004502A9">
        <w:rPr>
          <w:rFonts w:eastAsia="Arial" w:cs="Arial"/>
        </w:rPr>
        <w:t xml:space="preserve"> beneficial uses </w:t>
      </w:r>
      <w:r w:rsidR="00185B12">
        <w:rPr>
          <w:rFonts w:eastAsia="Arial" w:cs="Arial"/>
        </w:rPr>
        <w:t>and</w:t>
      </w:r>
      <w:r w:rsidRPr="004502A9">
        <w:rPr>
          <w:rFonts w:eastAsia="Arial" w:cs="Arial"/>
        </w:rPr>
        <w:t xml:space="preserve"> water quality objectives set at levels to ensure the reasonable protection of beneficial uses, and antidegradation </w:t>
      </w:r>
      <w:r w:rsidR="00C43E65">
        <w:rPr>
          <w:rFonts w:eastAsia="Arial" w:cs="Arial"/>
        </w:rPr>
        <w:t>considerations</w:t>
      </w:r>
      <w:r w:rsidRPr="004502A9">
        <w:rPr>
          <w:rFonts w:eastAsia="Arial" w:cs="Arial"/>
        </w:rPr>
        <w:t xml:space="preserve">. </w:t>
      </w:r>
    </w:p>
    <w:p w14:paraId="46DB0706" w14:textId="7E765998" w:rsidR="007710C3" w:rsidRPr="004502A9" w:rsidRDefault="007710C3" w:rsidP="007710C3">
      <w:pPr>
        <w:rPr>
          <w:rFonts w:eastAsia="Arial" w:cs="Arial"/>
        </w:rPr>
      </w:pPr>
      <w:r w:rsidRPr="004502A9">
        <w:rPr>
          <w:rFonts w:cs="Arial"/>
        </w:rPr>
        <w:t xml:space="preserve">Under CWA </w:t>
      </w:r>
      <w:r w:rsidR="00E075F3">
        <w:rPr>
          <w:rFonts w:cs="Arial"/>
        </w:rPr>
        <w:t>s</w:t>
      </w:r>
      <w:r w:rsidRPr="004502A9">
        <w:rPr>
          <w:rFonts w:cs="Arial"/>
        </w:rPr>
        <w:t xml:space="preserve">ection 303(d), states are required to review, </w:t>
      </w:r>
      <w:r w:rsidR="376E5714" w:rsidRPr="6589B027">
        <w:rPr>
          <w:rFonts w:cs="Arial"/>
        </w:rPr>
        <w:t>revise</w:t>
      </w:r>
      <w:r w:rsidRPr="004502A9">
        <w:rPr>
          <w:rFonts w:cs="Arial"/>
        </w:rPr>
        <w:t xml:space="preserve"> as necessary, and submit to </w:t>
      </w:r>
      <w:r w:rsidR="00313C98">
        <w:rPr>
          <w:rFonts w:cs="Arial"/>
        </w:rPr>
        <w:t>USEPA</w:t>
      </w:r>
      <w:r w:rsidRPr="004502A9">
        <w:rPr>
          <w:rFonts w:cs="Arial"/>
        </w:rPr>
        <w:t xml:space="preserve"> a list of water</w:t>
      </w:r>
      <w:r w:rsidR="004C770F">
        <w:rPr>
          <w:rFonts w:cs="Arial"/>
        </w:rPr>
        <w:t>body</w:t>
      </w:r>
      <w:r w:rsidRPr="004502A9">
        <w:rPr>
          <w:rFonts w:cs="Arial"/>
        </w:rPr>
        <w:t xml:space="preserve"> segments that are not meeting or are not expected to meet water quality standards. This</w:t>
      </w:r>
      <w:r w:rsidR="00646E0B">
        <w:rPr>
          <w:rFonts w:cs="Arial"/>
        </w:rPr>
        <w:t xml:space="preserve"> submission</w:t>
      </w:r>
      <w:r w:rsidRPr="004502A9">
        <w:rPr>
          <w:rFonts w:cs="Arial"/>
        </w:rPr>
        <w:t xml:space="preserve"> is referred to as the 303(d) </w:t>
      </w:r>
      <w:r w:rsidR="00274BC4">
        <w:rPr>
          <w:rFonts w:cs="Arial"/>
        </w:rPr>
        <w:t>l</w:t>
      </w:r>
      <w:r w:rsidRPr="004502A9">
        <w:rPr>
          <w:rFonts w:cs="Arial"/>
        </w:rPr>
        <w:t xml:space="preserve">ist of </w:t>
      </w:r>
      <w:r w:rsidR="00362966">
        <w:rPr>
          <w:rFonts w:cs="Arial"/>
        </w:rPr>
        <w:t>i</w:t>
      </w:r>
      <w:r w:rsidR="00362966" w:rsidRPr="004502A9">
        <w:rPr>
          <w:rFonts w:cs="Arial"/>
        </w:rPr>
        <w:t xml:space="preserve">mpaired </w:t>
      </w:r>
      <w:r w:rsidR="00362966">
        <w:rPr>
          <w:rFonts w:cs="Arial"/>
        </w:rPr>
        <w:t>w</w:t>
      </w:r>
      <w:r w:rsidR="00362966" w:rsidRPr="004502A9">
        <w:rPr>
          <w:rFonts w:cs="Arial"/>
        </w:rPr>
        <w:t>aters</w:t>
      </w:r>
      <w:r w:rsidRPr="004502A9">
        <w:rPr>
          <w:rFonts w:cs="Arial"/>
        </w:rPr>
        <w:t xml:space="preserve">, or the “303(d) </w:t>
      </w:r>
      <w:r w:rsidR="00274BC4">
        <w:rPr>
          <w:rFonts w:cs="Arial"/>
        </w:rPr>
        <w:t>l</w:t>
      </w:r>
      <w:r w:rsidRPr="004502A9">
        <w:rPr>
          <w:rFonts w:cs="Arial"/>
        </w:rPr>
        <w:t>ist</w:t>
      </w:r>
      <w:r w:rsidR="00EC5222">
        <w:rPr>
          <w:rFonts w:cs="Arial"/>
        </w:rPr>
        <w:t>.</w:t>
      </w:r>
      <w:r w:rsidRPr="004502A9">
        <w:rPr>
          <w:rFonts w:cs="Arial"/>
        </w:rPr>
        <w:t xml:space="preserve">” </w:t>
      </w:r>
      <w:r w:rsidRPr="004502A9">
        <w:rPr>
          <w:rFonts w:eastAsia="Arial" w:cs="Arial"/>
        </w:rPr>
        <w:t>The 303(d)</w:t>
      </w:r>
      <w:r w:rsidRPr="004502A9" w:rsidDel="007E5DEA">
        <w:rPr>
          <w:rFonts w:eastAsia="Arial" w:cs="Arial"/>
        </w:rPr>
        <w:t xml:space="preserve"> </w:t>
      </w:r>
      <w:r w:rsidR="00274BC4">
        <w:rPr>
          <w:rFonts w:eastAsia="Arial" w:cs="Arial"/>
        </w:rPr>
        <w:t>l</w:t>
      </w:r>
      <w:r w:rsidRPr="004502A9">
        <w:rPr>
          <w:rFonts w:eastAsia="Arial" w:cs="Arial"/>
        </w:rPr>
        <w:t>ist must identify the pollutants causing lack of attainment of water quality standards and include a priority ranking of the water</w:t>
      </w:r>
      <w:r w:rsidR="00254846">
        <w:rPr>
          <w:rFonts w:eastAsia="Arial" w:cs="Arial"/>
        </w:rPr>
        <w:t>body</w:t>
      </w:r>
      <w:r w:rsidRPr="004502A9">
        <w:rPr>
          <w:rFonts w:eastAsia="Arial" w:cs="Arial"/>
        </w:rPr>
        <w:t xml:space="preserve"> segments considering the severity of the pollution and the uses to be made of the waters. (40 C.F.R. § 130.7(b)</w:t>
      </w:r>
      <w:r w:rsidRPr="004502A9" w:rsidDel="004864BF">
        <w:rPr>
          <w:rFonts w:eastAsia="Arial" w:cs="Arial"/>
        </w:rPr>
        <w:t>(</w:t>
      </w:r>
      <w:r w:rsidRPr="004502A9">
        <w:rPr>
          <w:rFonts w:eastAsia="Arial" w:cs="Arial"/>
        </w:rPr>
        <w:t xml:space="preserve">4).) To restore water quality, a total maximum daily load (“TMDL”) or other regulatory action must be developed to address the impaired waterbodies on the 303(d) </w:t>
      </w:r>
      <w:r w:rsidR="00F44D82">
        <w:rPr>
          <w:rFonts w:eastAsia="Arial" w:cs="Arial"/>
        </w:rPr>
        <w:t>l</w:t>
      </w:r>
      <w:r w:rsidRPr="004502A9">
        <w:rPr>
          <w:rFonts w:eastAsia="Arial" w:cs="Arial"/>
        </w:rPr>
        <w:t>ist.</w:t>
      </w:r>
      <w:r w:rsidR="003D2530">
        <w:rPr>
          <w:rFonts w:eastAsia="Arial" w:cs="Arial"/>
        </w:rPr>
        <w:t xml:space="preserve"> </w:t>
      </w:r>
      <w:r w:rsidR="003D2530">
        <w:t>This is in accordance with the Impaired Waters</w:t>
      </w:r>
      <w:r w:rsidR="00F67B5A">
        <w:t xml:space="preserve"> Policy</w:t>
      </w:r>
      <w:r w:rsidR="003D2530">
        <w:t>.</w:t>
      </w:r>
    </w:p>
    <w:p w14:paraId="4B8AA4EF" w14:textId="77743443" w:rsidR="00A036A7" w:rsidRDefault="00A036A7" w:rsidP="00E904FC">
      <w:r>
        <w:t xml:space="preserve">In </w:t>
      </w:r>
      <w:r w:rsidR="00105E99">
        <w:t xml:space="preserve">2013, the </w:t>
      </w:r>
      <w:r w:rsidR="00313C98">
        <w:t>USEPA</w:t>
      </w:r>
      <w:r w:rsidR="00105E99">
        <w:t xml:space="preserve"> released “</w:t>
      </w:r>
      <w:hyperlink r:id="rId17">
        <w:r w:rsidR="00105E99" w:rsidRPr="07BF8239">
          <w:rPr>
            <w:rStyle w:val="Hyperlink"/>
          </w:rPr>
          <w:t>A Long-Term Vision for Assessment, Restoration, and Protection under the Clean Water Act Section 303(d) Program</w:t>
        </w:r>
      </w:hyperlink>
      <w:r w:rsidR="00105E99" w:rsidRPr="0051456A">
        <w:t xml:space="preserve">” </w:t>
      </w:r>
      <w:r w:rsidR="00105E99" w:rsidRPr="00BB6A18">
        <w:t xml:space="preserve">(“2013 </w:t>
      </w:r>
      <w:r w:rsidR="00105E99">
        <w:t xml:space="preserve">Program Vision”) that provides a collaborative framework for implementing the </w:t>
      </w:r>
      <w:r w:rsidR="00722652">
        <w:t xml:space="preserve">Integrated Report </w:t>
      </w:r>
      <w:r w:rsidR="00105E99">
        <w:t>program with states.</w:t>
      </w:r>
      <w:r w:rsidR="000761A9">
        <w:t xml:space="preserve"> (</w:t>
      </w:r>
      <w:hyperlink r:id="rId18">
        <w:r w:rsidR="00B152E2" w:rsidRPr="07BF8239">
          <w:rPr>
            <w:rStyle w:val="Hyperlink"/>
          </w:rPr>
          <w:t>https://www.epa.gov/sites/default/files/2015-07/documents/vision_303d_program_dec_2013.pdf</w:t>
        </w:r>
      </w:hyperlink>
      <w:r w:rsidR="00BD057D">
        <w:t>.</w:t>
      </w:r>
      <w:r w:rsidR="00B152E2">
        <w:t xml:space="preserve">) </w:t>
      </w:r>
      <w:r w:rsidR="00105E99">
        <w:t xml:space="preserve">The 2013 Program Vision describes long-term visions and goals as well as implementation plans for achieving those visions and goals related to prioritization, assessment, protection, alternatives, engagement, and integration. In September 2022, the </w:t>
      </w:r>
      <w:r w:rsidR="00313C98">
        <w:t>USEPA</w:t>
      </w:r>
      <w:r w:rsidR="00105E99">
        <w:t xml:space="preserve"> </w:t>
      </w:r>
      <w:r w:rsidR="000761A9">
        <w:t>released “</w:t>
      </w:r>
      <w:hyperlink r:id="rId19">
        <w:r w:rsidR="00105E99" w:rsidRPr="07BF8239">
          <w:rPr>
            <w:rStyle w:val="Hyperlink"/>
          </w:rPr>
          <w:t>A New Long-Term Vision for Assessment, Restoration, and Protection under the Clean Water Act Section 303(d) Program</w:t>
        </w:r>
      </w:hyperlink>
      <w:r w:rsidR="00105E99">
        <w:t xml:space="preserve">” (“2022-2032 Program Vision”) which builds on the experience gained from implementing the 2013 </w:t>
      </w:r>
      <w:r w:rsidR="00176326">
        <w:t xml:space="preserve">Program </w:t>
      </w:r>
      <w:r w:rsidR="00105E99">
        <w:t xml:space="preserve">Vision. </w:t>
      </w:r>
      <w:r w:rsidR="001D6227">
        <w:t>(</w:t>
      </w:r>
      <w:hyperlink r:id="rId20">
        <w:r w:rsidR="006251E8" w:rsidRPr="07BF8239">
          <w:rPr>
            <w:rStyle w:val="Hyperlink"/>
          </w:rPr>
          <w:t>https://www.epa.gov/system/files/documents/2022-09/CWA Section 303d Vision_September 2022.pdf</w:t>
        </w:r>
      </w:hyperlink>
      <w:r w:rsidR="00BD057D">
        <w:t>.</w:t>
      </w:r>
      <w:r w:rsidR="006251E8">
        <w:t xml:space="preserve">) </w:t>
      </w:r>
      <w:r w:rsidR="00105E99">
        <w:t>The 2022-2032 Program Vision outlines four</w:t>
      </w:r>
      <w:r w:rsidR="00105E99" w:rsidDel="00606E63">
        <w:t xml:space="preserve"> </w:t>
      </w:r>
      <w:r w:rsidR="00105E99">
        <w:t>focus areas: environmental justice</w:t>
      </w:r>
      <w:r w:rsidR="00723FAA">
        <w:rPr>
          <w:rStyle w:val="FootnoteReference"/>
        </w:rPr>
        <w:footnoteReference w:id="2"/>
      </w:r>
      <w:r w:rsidR="00105E99">
        <w:t>, climate change, tribal engagement, and program building capacity. California</w:t>
      </w:r>
      <w:r w:rsidR="00A55536">
        <w:t>’s</w:t>
      </w:r>
      <w:r w:rsidR="00105E99">
        <w:t xml:space="preserve"> Integrated Report</w:t>
      </w:r>
      <w:r w:rsidR="00105E99" w:rsidDel="007435BB">
        <w:t xml:space="preserve"> </w:t>
      </w:r>
      <w:r w:rsidR="007435BB">
        <w:t xml:space="preserve">program </w:t>
      </w:r>
      <w:r w:rsidR="00105E99">
        <w:t xml:space="preserve">is dedicated to aligning the state’s program and practices with the </w:t>
      </w:r>
      <w:r w:rsidR="00313C98">
        <w:t>USEPA</w:t>
      </w:r>
      <w:r w:rsidR="00105E99">
        <w:t xml:space="preserve">’s 2022-2032 Program Vision, as appropriate. </w:t>
      </w:r>
      <w:r w:rsidR="00393C2F" w:rsidRPr="005C048D">
        <w:rPr>
          <w:rFonts w:eastAsia="Arial" w:cs="Arial"/>
        </w:rPr>
        <w:t>The 202</w:t>
      </w:r>
      <w:r w:rsidR="00393C2F">
        <w:rPr>
          <w:rFonts w:eastAsia="Arial" w:cs="Arial"/>
        </w:rPr>
        <w:t>6</w:t>
      </w:r>
      <w:r w:rsidR="00393C2F" w:rsidRPr="005C048D">
        <w:rPr>
          <w:rFonts w:eastAsia="Arial" w:cs="Arial"/>
        </w:rPr>
        <w:t xml:space="preserve"> 303(d) List satisfies reporting requirements of the </w:t>
      </w:r>
      <w:r w:rsidR="00393C2F">
        <w:rPr>
          <w:rFonts w:eastAsia="Arial" w:cs="Arial"/>
        </w:rPr>
        <w:t>CWA</w:t>
      </w:r>
      <w:r w:rsidR="00393C2F" w:rsidRPr="005C048D">
        <w:rPr>
          <w:rFonts w:eastAsia="Arial" w:cs="Arial"/>
        </w:rPr>
        <w:t xml:space="preserve"> and provides information for setting priorities for future actions.</w:t>
      </w:r>
    </w:p>
    <w:p w14:paraId="1A27F075" w14:textId="7C18E3EB" w:rsidR="00757F3D" w:rsidRDefault="00D240BE" w:rsidP="00757F3D">
      <w:r>
        <w:t xml:space="preserve">The 303(d) </w:t>
      </w:r>
      <w:r w:rsidR="00E84EC4">
        <w:t>l</w:t>
      </w:r>
      <w:r>
        <w:t xml:space="preserve">ist (as well as the full </w:t>
      </w:r>
      <w:r w:rsidR="00014B44">
        <w:t xml:space="preserve">California </w:t>
      </w:r>
      <w:r>
        <w:t xml:space="preserve">Integrated Report) is informational and does not by itself directly establish new regulatory requirements. By adopting the 303(d) </w:t>
      </w:r>
      <w:r w:rsidR="00E84EC4">
        <w:t>l</w:t>
      </w:r>
      <w:r>
        <w:t xml:space="preserve">ist, the State Water Board provides recommendations to the </w:t>
      </w:r>
      <w:r w:rsidR="00313C98">
        <w:t>USEPA</w:t>
      </w:r>
      <w:r>
        <w:t xml:space="preserve"> to list or delist </w:t>
      </w:r>
      <w:r w:rsidR="00C81613">
        <w:t>waterbody segments</w:t>
      </w:r>
      <w:r w:rsidR="00CD7131">
        <w:t>.</w:t>
      </w:r>
      <w:r w:rsidR="00132515" w:rsidRPr="00132515">
        <w:t xml:space="preserve"> </w:t>
      </w:r>
      <w:r>
        <w:t>The listing of a waterbody</w:t>
      </w:r>
      <w:r w:rsidR="005F7C97">
        <w:t xml:space="preserve"> segment</w:t>
      </w:r>
      <w:r>
        <w:t xml:space="preserve"> as impaired on the 303(d) </w:t>
      </w:r>
      <w:r w:rsidR="00E84EC4">
        <w:t>l</w:t>
      </w:r>
      <w:r>
        <w:t xml:space="preserve">ist and the supporting data can and has been used in several ways. </w:t>
      </w:r>
      <w:r w:rsidR="0021582F">
        <w:t xml:space="preserve">The </w:t>
      </w:r>
      <w:r w:rsidR="000F0FBF">
        <w:t xml:space="preserve">State Water Board’s </w:t>
      </w:r>
      <w:r w:rsidR="004563E9">
        <w:t xml:space="preserve">approval of the 303(d) list is not a regulatory action; however, an impairment decision may </w:t>
      </w:r>
      <w:r w:rsidR="00F66720">
        <w:t xml:space="preserve">trigger contingent requirements (like monitoring and reporting) that exist in current permits, provided there is independent information indicating the </w:t>
      </w:r>
      <w:r w:rsidR="002577D0">
        <w:t>discharge includes the impairing pollutant. The 303(d) list itself does not directly impose regulatory controls, though</w:t>
      </w:r>
      <w:r w:rsidR="00B0791C">
        <w:t xml:space="preserve"> separate investigations may determine that additional control measures are necessary to manage waste discharge. </w:t>
      </w:r>
      <w:r w:rsidR="00725A82">
        <w:t xml:space="preserve">Although a listing does not establish a waterbody’s capacity to assimilate a pollutant, it signals that the water is of concern and warrants further evaluation. </w:t>
      </w:r>
      <w:r w:rsidR="00B0791C">
        <w:t xml:space="preserve">Additionally, a TMDL may be </w:t>
      </w:r>
      <w:r w:rsidR="00A1757D">
        <w:t>subseque</w:t>
      </w:r>
      <w:r w:rsidR="00B860B1">
        <w:t xml:space="preserve">ntly </w:t>
      </w:r>
      <w:r w:rsidR="00B0791C">
        <w:t xml:space="preserve">developed </w:t>
      </w:r>
      <w:r w:rsidR="003A45D6">
        <w:t>for a listed waterbody if needed to address the impairing pollutant. Once established</w:t>
      </w:r>
      <w:r w:rsidR="00725A82">
        <w:t>, a TMDL can affect effluent limitations in subsequent permits, as these limit</w:t>
      </w:r>
      <w:r w:rsidR="00AA3568">
        <w:t>ation</w:t>
      </w:r>
      <w:r w:rsidR="00725A82">
        <w:t xml:space="preserve">s must align with the applicable TMDL. </w:t>
      </w:r>
      <w:r w:rsidR="00757F3D">
        <w:t xml:space="preserve"> </w:t>
      </w:r>
    </w:p>
    <w:p w14:paraId="18AD54B9" w14:textId="65F20EF4" w:rsidR="0096394B" w:rsidRPr="0096394B" w:rsidRDefault="00757F3D" w:rsidP="00990215">
      <w:pPr>
        <w:rPr>
          <w:rFonts w:eastAsia="Arial" w:cs="Arial"/>
        </w:rPr>
      </w:pPr>
      <w:r>
        <w:t>A</w:t>
      </w:r>
      <w:r w:rsidR="00D240BE">
        <w:t xml:space="preserve"> permitting or TMDL action </w:t>
      </w:r>
      <w:r w:rsidR="005A4B5D">
        <w:t xml:space="preserve">must comply with </w:t>
      </w:r>
      <w:r w:rsidR="00C205D8">
        <w:t>the</w:t>
      </w:r>
      <w:r w:rsidR="009C5A05">
        <w:t xml:space="preserve"> </w:t>
      </w:r>
      <w:r w:rsidR="009C5A05" w:rsidRPr="005C048D">
        <w:rPr>
          <w:rFonts w:eastAsia="Arial" w:cs="Arial"/>
        </w:rPr>
        <w:t>California Environmental Quality Act</w:t>
      </w:r>
      <w:r w:rsidR="009C5A05">
        <w:rPr>
          <w:rFonts w:eastAsia="Arial" w:cs="Arial"/>
        </w:rPr>
        <w:t xml:space="preserve"> (“CEQA”</w:t>
      </w:r>
      <w:r w:rsidR="00A23B13">
        <w:rPr>
          <w:rFonts w:eastAsia="Arial" w:cs="Arial"/>
        </w:rPr>
        <w:t>) and</w:t>
      </w:r>
      <w:r w:rsidR="00D240BE">
        <w:t xml:space="preserve"> </w:t>
      </w:r>
      <w:r w:rsidR="00BE53E7">
        <w:t xml:space="preserve">adopting a permit or TMDL </w:t>
      </w:r>
      <w:r w:rsidR="00D933E1">
        <w:t>require</w:t>
      </w:r>
      <w:r w:rsidR="00176326">
        <w:t>s</w:t>
      </w:r>
      <w:r w:rsidR="00D933E1">
        <w:t xml:space="preserve"> </w:t>
      </w:r>
      <w:r w:rsidR="00D240BE">
        <w:t xml:space="preserve">public proceedings during which interested parties can fully participate, submit information, and seek review. </w:t>
      </w:r>
      <w:r w:rsidR="00176326">
        <w:t>Each</w:t>
      </w:r>
      <w:r w:rsidR="00D240BE">
        <w:t xml:space="preserve"> separate action </w:t>
      </w:r>
      <w:r w:rsidR="00176326">
        <w:t>is</w:t>
      </w:r>
      <w:r w:rsidR="00D240BE">
        <w:t xml:space="preserve"> the forum for consideration of environmental impacts and, if applicable, rulemaking procedural requirements. </w:t>
      </w:r>
      <w:r w:rsidR="00955B5D">
        <w:rPr>
          <w:rFonts w:eastAsia="Arial" w:cs="Arial"/>
        </w:rPr>
        <w:t>The</w:t>
      </w:r>
      <w:r w:rsidR="0096394B" w:rsidRPr="005C048D">
        <w:rPr>
          <w:rFonts w:eastAsia="Arial" w:cs="Arial"/>
        </w:rPr>
        <w:t xml:space="preserve"> State Water Board’s approval of the 202</w:t>
      </w:r>
      <w:r w:rsidR="0096394B">
        <w:rPr>
          <w:rFonts w:eastAsia="Arial" w:cs="Arial"/>
        </w:rPr>
        <w:t>6</w:t>
      </w:r>
      <w:r w:rsidR="0096394B" w:rsidRPr="005C048D">
        <w:rPr>
          <w:rFonts w:eastAsia="Arial" w:cs="Arial"/>
        </w:rPr>
        <w:t xml:space="preserve"> 303(d) List is not a “project”</w:t>
      </w:r>
      <w:r w:rsidR="0096394B">
        <w:rPr>
          <w:rFonts w:eastAsia="Arial" w:cs="Arial"/>
        </w:rPr>
        <w:t xml:space="preserve"> </w:t>
      </w:r>
      <w:r w:rsidR="0096394B" w:rsidRPr="005C048D">
        <w:rPr>
          <w:rFonts w:eastAsia="Arial" w:cs="Arial"/>
        </w:rPr>
        <w:t xml:space="preserve">subject to </w:t>
      </w:r>
      <w:r w:rsidR="00C205D8">
        <w:rPr>
          <w:rFonts w:eastAsia="Arial" w:cs="Arial"/>
        </w:rPr>
        <w:t>CEQA</w:t>
      </w:r>
      <w:r w:rsidR="0096394B" w:rsidRPr="005C048D">
        <w:rPr>
          <w:rFonts w:eastAsia="Arial" w:cs="Arial"/>
        </w:rPr>
        <w:t xml:space="preserve"> because it has no potential</w:t>
      </w:r>
      <w:r w:rsidR="0096394B">
        <w:rPr>
          <w:rFonts w:eastAsia="Arial" w:cs="Arial"/>
        </w:rPr>
        <w:t xml:space="preserve"> </w:t>
      </w:r>
      <w:r w:rsidR="0096394B" w:rsidRPr="005C048D">
        <w:rPr>
          <w:rFonts w:eastAsia="Arial" w:cs="Arial"/>
        </w:rPr>
        <w:t>to result in a “direct physical change in the environment, or a reasonably</w:t>
      </w:r>
      <w:r w:rsidR="0096394B">
        <w:rPr>
          <w:rFonts w:eastAsia="Arial" w:cs="Arial"/>
        </w:rPr>
        <w:t xml:space="preserve"> </w:t>
      </w:r>
      <w:r w:rsidR="0096394B" w:rsidRPr="005C048D">
        <w:rPr>
          <w:rFonts w:eastAsia="Arial" w:cs="Arial"/>
        </w:rPr>
        <w:t>foreseeable indirect physical change in the environment.” (Pub. Res. Code,</w:t>
      </w:r>
      <w:r w:rsidR="0096394B">
        <w:rPr>
          <w:rFonts w:eastAsia="Arial" w:cs="Arial"/>
        </w:rPr>
        <w:t xml:space="preserve"> </w:t>
      </w:r>
      <w:r w:rsidR="0096394B" w:rsidRPr="005C048D">
        <w:rPr>
          <w:rFonts w:eastAsia="Arial" w:cs="Arial"/>
        </w:rPr>
        <w:t xml:space="preserve">§ 21065.) </w:t>
      </w:r>
    </w:p>
    <w:p w14:paraId="6930F642" w14:textId="6A3EAB0A" w:rsidR="00D240BE" w:rsidRDefault="00D240BE" w:rsidP="00D240BE">
      <w:pPr>
        <w:rPr>
          <w:rFonts w:cstheme="minorBidi"/>
        </w:rPr>
      </w:pPr>
      <w:r>
        <w:t xml:space="preserve">A </w:t>
      </w:r>
      <w:r w:rsidR="00A75875">
        <w:t xml:space="preserve">Regional Water Board </w:t>
      </w:r>
      <w:r>
        <w:t xml:space="preserve">has discretion in </w:t>
      </w:r>
      <w:r w:rsidR="004D5688">
        <w:t>its response to</w:t>
      </w:r>
      <w:r>
        <w:t xml:space="preserve"> a listing. For TMDLs, the </w:t>
      </w:r>
      <w:r w:rsidR="008D3E60">
        <w:t>Regional Water</w:t>
      </w:r>
      <w:r w:rsidDel="008D3E60">
        <w:t xml:space="preserve"> </w:t>
      </w:r>
      <w:r w:rsidR="008D3E60">
        <w:t xml:space="preserve">Board </w:t>
      </w:r>
      <w:r>
        <w:t xml:space="preserve">can prioritize or de-prioritize TMDL development. Additionally, </w:t>
      </w:r>
      <w:r w:rsidRPr="07BF8239">
        <w:rPr>
          <w:rFonts w:cs="Arial"/>
        </w:rPr>
        <w:t>a listing does not conclusively mean a TMDL will be developed. “</w:t>
      </w:r>
      <w:r w:rsidRPr="07BF8239">
        <w:rPr>
          <w:rFonts w:cstheme="minorBidi"/>
        </w:rPr>
        <w:t>A listing is only suggestive of impairment because the standard for listing has been set at a threshold low enough to ensure that all waters of concern are brought within the TMDL regulatory structure.” (Water Board Order WQ 2001-006 (</w:t>
      </w:r>
      <w:r w:rsidRPr="07BF8239">
        <w:rPr>
          <w:rFonts w:cstheme="minorBidi"/>
          <w:i/>
        </w:rPr>
        <w:t>Tosco</w:t>
      </w:r>
      <w:r w:rsidRPr="07BF8239">
        <w:rPr>
          <w:rFonts w:cstheme="minorBidi"/>
        </w:rPr>
        <w:t xml:space="preserve">), p. 20.) In some cases, additional information may lead to a conclusion that standards are in fact being attained, either because the assumptions underlying the listing were incorrect (e.g., as more data are collected), or because the impairment has been corrected. In other cases, natural sources </w:t>
      </w:r>
      <w:r w:rsidR="00FF53E7">
        <w:rPr>
          <w:rFonts w:cstheme="minorBidi"/>
        </w:rPr>
        <w:t>background</w:t>
      </w:r>
      <w:r w:rsidR="000854C1">
        <w:rPr>
          <w:rFonts w:cstheme="minorBidi"/>
        </w:rPr>
        <w:t xml:space="preserve"> </w:t>
      </w:r>
      <w:r w:rsidRPr="07BF8239">
        <w:rPr>
          <w:rFonts w:cstheme="minorBidi"/>
        </w:rPr>
        <w:t xml:space="preserve">may be found to be the cause of the impairment and a TMDL is not needed. </w:t>
      </w:r>
    </w:p>
    <w:p w14:paraId="1E0F7E9C" w14:textId="0045F57E" w:rsidR="00D240BE" w:rsidRDefault="00D240BE" w:rsidP="00D240BE">
      <w:pPr>
        <w:rPr>
          <w:rFonts w:cstheme="minorBidi"/>
        </w:rPr>
      </w:pPr>
      <w:r w:rsidRPr="07BF8239">
        <w:rPr>
          <w:rFonts w:cstheme="minorBidi"/>
        </w:rPr>
        <w:t xml:space="preserve">For permits, a Regional Water Board or the State Water Board also has discretion in how to use the fact of a listing when determining reasonable potential and establishing effluent limitations. </w:t>
      </w:r>
      <w:r w:rsidR="00F45117">
        <w:rPr>
          <w:rFonts w:cstheme="minorBidi"/>
        </w:rPr>
        <w:t>In discussing implementation of the</w:t>
      </w:r>
      <w:r w:rsidR="004B1F1E">
        <w:rPr>
          <w:rFonts w:cstheme="minorBidi"/>
        </w:rPr>
        <w:t xml:space="preserve"> Policy for the Implementation of</w:t>
      </w:r>
      <w:r w:rsidR="003D4BE1">
        <w:rPr>
          <w:rFonts w:cstheme="minorBidi"/>
        </w:rPr>
        <w:t xml:space="preserve"> Toxic Standards</w:t>
      </w:r>
      <w:r w:rsidR="0032181E">
        <w:rPr>
          <w:rFonts w:cstheme="minorBidi"/>
        </w:rPr>
        <w:t xml:space="preserve"> for Inland Surface Waters, Enclosed Bays, and Estuaries</w:t>
      </w:r>
      <w:r w:rsidR="007740F0">
        <w:rPr>
          <w:rFonts w:cstheme="minorBidi"/>
        </w:rPr>
        <w:t xml:space="preserve"> of California</w:t>
      </w:r>
      <w:r w:rsidR="004A1EE6">
        <w:rPr>
          <w:rFonts w:cstheme="minorBidi"/>
        </w:rPr>
        <w:t xml:space="preserve"> (</w:t>
      </w:r>
      <w:r w:rsidR="00E9026F">
        <w:rPr>
          <w:rFonts w:cstheme="minorBidi"/>
        </w:rPr>
        <w:t>“</w:t>
      </w:r>
      <w:r w:rsidR="004A1EE6">
        <w:rPr>
          <w:rFonts w:cstheme="minorBidi"/>
        </w:rPr>
        <w:t>SIP</w:t>
      </w:r>
      <w:r w:rsidR="00E9026F">
        <w:rPr>
          <w:rFonts w:cstheme="minorBidi"/>
        </w:rPr>
        <w:t>”</w:t>
      </w:r>
      <w:r w:rsidR="004A1EE6">
        <w:rPr>
          <w:rFonts w:cstheme="minorBidi"/>
        </w:rPr>
        <w:t>)</w:t>
      </w:r>
      <w:r w:rsidR="007740F0">
        <w:rPr>
          <w:rFonts w:cstheme="minorBidi"/>
        </w:rPr>
        <w:t>,</w:t>
      </w:r>
      <w:r w:rsidR="003D4BE1">
        <w:rPr>
          <w:rFonts w:cstheme="minorBidi"/>
        </w:rPr>
        <w:t xml:space="preserve"> </w:t>
      </w:r>
      <w:r w:rsidRPr="07BF8239">
        <w:rPr>
          <w:rFonts w:cstheme="minorBidi"/>
        </w:rPr>
        <w:t>State Water Board Order WQ 2001-16 (Napa Sanitation District), at pages 21-23</w:t>
      </w:r>
      <w:r w:rsidR="00ED4285">
        <w:rPr>
          <w:rFonts w:cstheme="minorBidi"/>
        </w:rPr>
        <w:t xml:space="preserve"> provides</w:t>
      </w:r>
      <w:r w:rsidRPr="07BF8239">
        <w:rPr>
          <w:rFonts w:cstheme="minorBidi"/>
        </w:rPr>
        <w:t>:</w:t>
      </w:r>
    </w:p>
    <w:p w14:paraId="62F60031" w14:textId="2081FA23" w:rsidR="00D240BE" w:rsidRDefault="00D240BE" w:rsidP="00D240BE">
      <w:pPr>
        <w:ind w:left="720" w:right="720"/>
        <w:rPr>
          <w:rFonts w:cstheme="minorBidi"/>
        </w:rPr>
      </w:pPr>
      <w:r w:rsidRPr="07BF8239">
        <w:rPr>
          <w:rFonts w:cstheme="minorBidi"/>
        </w:rPr>
        <w:t>[A] water body listing, without more, is an insufficient basis on which to conclude that the water lacks assimilative capacity for the impairing pollutant. The fact of a listing, however, is a sufficient basis on which to conclude that a pollutant should be limited in a permit. Further, the data on which the listing is based may very well justify mass limits for the pollutant.</w:t>
      </w:r>
    </w:p>
    <w:p w14:paraId="461A41E2" w14:textId="1E3DE54B" w:rsidR="00D240BE" w:rsidRDefault="00D240BE" w:rsidP="6D08AF75">
      <w:pPr>
        <w:ind w:left="720" w:right="720"/>
        <w:rPr>
          <w:rFonts w:cstheme="minorBidi"/>
        </w:rPr>
      </w:pPr>
      <w:r w:rsidRPr="6D08AF75">
        <w:rPr>
          <w:rFonts w:cstheme="minorBidi"/>
        </w:rPr>
        <w:t>The Board held in the Tosco order that a listing is suggestive of impairment but is not determinative. A listing is only suggestive of impairment because the standard for listing has been set at a threshold low enough to ensure that all waters of concern are brought within the TMDL regulatory structure. Indeed, EPA has instructed the states to rely on “all existing and readily available water quality-related data and information” in making listing decisions. In addition to sampling data, this information can include, for example, opinions from other agencies, anecdotal information from the public, and circumstantial evidence. Further, as we stated in the Tosco order, the information may not represent conditions throughout the entire water body or in all seasons.</w:t>
      </w:r>
    </w:p>
    <w:p w14:paraId="54D97FA3" w14:textId="60AB001E" w:rsidR="00D240BE" w:rsidRDefault="5AB363D4" w:rsidP="37BBE5FA">
      <w:pPr>
        <w:ind w:left="720" w:right="720"/>
        <w:rPr>
          <w:rFonts w:cstheme="minorBidi"/>
        </w:rPr>
      </w:pPr>
      <w:r w:rsidRPr="37BBE5FA">
        <w:rPr>
          <w:rFonts w:cstheme="minorBidi"/>
        </w:rPr>
        <w:t xml:space="preserve">Although a listing alone does not </w:t>
      </w:r>
      <w:r w:rsidR="00782A6E" w:rsidRPr="37BBE5FA">
        <w:rPr>
          <w:rFonts w:cstheme="minorBidi"/>
        </w:rPr>
        <w:t>conclusively</w:t>
      </w:r>
      <w:r w:rsidRPr="37BBE5FA">
        <w:rPr>
          <w:rFonts w:cstheme="minorBidi"/>
        </w:rPr>
        <w:t xml:space="preserve"> determine a water's capacity to assimilate an impairing pollutant, the listing does indicate that the water is of concern and deserves further scrutiny. In particular, a 303(d) listing for a priority pollutant may form the basis for a Regional </w:t>
      </w:r>
      <w:r w:rsidR="00D96E0B">
        <w:rPr>
          <w:rFonts w:cstheme="minorBidi"/>
        </w:rPr>
        <w:t>[Water]</w:t>
      </w:r>
      <w:r w:rsidRPr="37BBE5FA">
        <w:rPr>
          <w:rFonts w:cstheme="minorBidi"/>
        </w:rPr>
        <w:t xml:space="preserve"> Board determination that discharge of the pollutant has the reasonable potential to cause or contribute to a water quality standards violation and, therefore, that the pollutant could be limited. </w:t>
      </w:r>
    </w:p>
    <w:p w14:paraId="066DCE45" w14:textId="3C26B85C" w:rsidR="00213860" w:rsidRPr="00A036A7" w:rsidRDefault="00EF2696" w:rsidP="00E904FC">
      <w:r>
        <w:rPr>
          <w:rFonts w:cstheme="minorBidi"/>
        </w:rPr>
        <w:t>T</w:t>
      </w:r>
      <w:r w:rsidR="00DC00BF">
        <w:rPr>
          <w:rFonts w:cstheme="minorBidi"/>
        </w:rPr>
        <w:t xml:space="preserve">he </w:t>
      </w:r>
      <w:r w:rsidR="004A1EE6">
        <w:rPr>
          <w:rFonts w:cstheme="minorBidi"/>
        </w:rPr>
        <w:t xml:space="preserve">SIP </w:t>
      </w:r>
      <w:r>
        <w:rPr>
          <w:rFonts w:cstheme="minorBidi"/>
        </w:rPr>
        <w:t xml:space="preserve">requires the permitting </w:t>
      </w:r>
      <w:r w:rsidR="00AE4A9A">
        <w:rPr>
          <w:rFonts w:cstheme="minorBidi"/>
        </w:rPr>
        <w:t xml:space="preserve">authority to </w:t>
      </w:r>
      <w:r>
        <w:t>use all available, valid, relevant, representative information</w:t>
      </w:r>
      <w:r w:rsidR="00795D81">
        <w:t xml:space="preserve"> to determine whether a discharge may cause or have a reasonable potential to cause or contribut</w:t>
      </w:r>
      <w:r w:rsidR="00B4529F">
        <w:t xml:space="preserve">e to an exceedance of an applicable priority pollutant above the </w:t>
      </w:r>
      <w:r w:rsidR="00A309DF">
        <w:t xml:space="preserve">water quality </w:t>
      </w:r>
      <w:r w:rsidR="00092800">
        <w:t>criteria or objective</w:t>
      </w:r>
      <w:r w:rsidR="004A1EE6">
        <w:t>.</w:t>
      </w:r>
      <w:r w:rsidR="00F524D4">
        <w:t xml:space="preserve"> (</w:t>
      </w:r>
      <w:r w:rsidR="004A1EE6">
        <w:t xml:space="preserve">SIP at </w:t>
      </w:r>
      <w:r w:rsidR="00F524D4">
        <w:t>pp.5-6.)</w:t>
      </w:r>
      <w:r w:rsidRPr="7A7E0514">
        <w:rPr>
          <w:rFonts w:cstheme="minorBidi"/>
        </w:rPr>
        <w:t xml:space="preserve"> </w:t>
      </w:r>
      <w:r w:rsidR="00410E01">
        <w:rPr>
          <w:rFonts w:cstheme="minorBidi"/>
        </w:rPr>
        <w:t>“</w:t>
      </w:r>
      <w:r w:rsidR="00410E01">
        <w:t>Information that may be used to aid in determining if a water quality-based effluent limitation is required includes: the facility type, the discharge type, solids loading analysis, lack of dilution, history of compliance problems, potential toxic impact of discharge, fish tissue residue data, water quality and beneficial uses of the receiving water, CWA 303(d) listing for the pollutant, the presence of endangered or threatened species or critical habitat, and other information.” (</w:t>
      </w:r>
      <w:r w:rsidR="00410E01" w:rsidRPr="00410E01">
        <w:rPr>
          <w:i/>
          <w:iCs/>
        </w:rPr>
        <w:t>Ibid.</w:t>
      </w:r>
      <w:r w:rsidR="00410E01">
        <w:t>)</w:t>
      </w:r>
      <w:r w:rsidR="00410E01" w:rsidRPr="7A7E0514">
        <w:rPr>
          <w:rFonts w:cstheme="minorBidi"/>
        </w:rPr>
        <w:t xml:space="preserve"> </w:t>
      </w:r>
      <w:r w:rsidR="00D240BE" w:rsidRPr="7A7E0514">
        <w:rPr>
          <w:rFonts w:cstheme="minorBidi"/>
        </w:rPr>
        <w:t>Based on the foregoing, the fact of a listing alone does not</w:t>
      </w:r>
      <w:r w:rsidR="00924585">
        <w:rPr>
          <w:rFonts w:cstheme="minorBidi"/>
        </w:rPr>
        <w:t xml:space="preserve"> require</w:t>
      </w:r>
      <w:r w:rsidR="00D240BE" w:rsidRPr="7A7E0514">
        <w:rPr>
          <w:rFonts w:cstheme="minorBidi"/>
        </w:rPr>
        <w:t xml:space="preserve"> the establishment of an effluent limitation</w:t>
      </w:r>
      <w:r w:rsidR="00E550E7">
        <w:rPr>
          <w:rFonts w:cstheme="minorBidi"/>
        </w:rPr>
        <w:t>, but it may be considered to aid the evaluation</w:t>
      </w:r>
      <w:r w:rsidR="00D240BE" w:rsidRPr="7A7E0514">
        <w:rPr>
          <w:rFonts w:cstheme="minorBidi"/>
        </w:rPr>
        <w:t xml:space="preserve">. </w:t>
      </w:r>
      <w:r w:rsidR="00D240BE">
        <w:t xml:space="preserve">The </w:t>
      </w:r>
      <w:r w:rsidR="00975E2A">
        <w:t xml:space="preserve">Water </w:t>
      </w:r>
      <w:r w:rsidR="00C275D2">
        <w:t>Board</w:t>
      </w:r>
      <w:r w:rsidR="00BF116D">
        <w:t>s</w:t>
      </w:r>
      <w:r w:rsidR="00C275D2">
        <w:t xml:space="preserve"> are</w:t>
      </w:r>
      <w:r w:rsidR="00D240BE">
        <w:t xml:space="preserve"> required to evaluate all relevant, available, and valid information to assess whether water quality based effluent limits </w:t>
      </w:r>
      <w:r w:rsidR="00524998">
        <w:t xml:space="preserve">are </w:t>
      </w:r>
      <w:r w:rsidR="00D240BE">
        <w:t xml:space="preserve">required in a permit or order. </w:t>
      </w:r>
    </w:p>
    <w:p w14:paraId="3B771804" w14:textId="1A478999" w:rsidR="007710C3" w:rsidRPr="004502A9" w:rsidRDefault="00045B6D" w:rsidP="00597DE8">
      <w:pPr>
        <w:pStyle w:val="Heading2"/>
      </w:pPr>
      <w:bookmarkStart w:id="28" w:name="_Toc19788811"/>
      <w:bookmarkStart w:id="29" w:name="_Toc35339586"/>
      <w:bookmarkStart w:id="30" w:name="_Hlk60152129"/>
      <w:bookmarkStart w:id="31" w:name="_Toc189048544"/>
      <w:r>
        <w:t>California’s</w:t>
      </w:r>
      <w:r w:rsidRPr="004502A9">
        <w:t xml:space="preserve"> </w:t>
      </w:r>
      <w:r w:rsidR="007710C3" w:rsidRPr="004502A9">
        <w:t>305(b) Report</w:t>
      </w:r>
      <w:bookmarkEnd w:id="28"/>
      <w:r w:rsidR="007710C3" w:rsidRPr="004502A9">
        <w:t xml:space="preserve"> Condition Categories</w:t>
      </w:r>
      <w:bookmarkEnd w:id="29"/>
      <w:bookmarkEnd w:id="31"/>
    </w:p>
    <w:bookmarkEnd w:id="30"/>
    <w:p w14:paraId="5AF7DAAB" w14:textId="252E0A9C" w:rsidR="00C84602" w:rsidRDefault="007710C3" w:rsidP="00C84602">
      <w:pPr>
        <w:rPr>
          <w:rFonts w:eastAsia="Arial" w:cs="Arial"/>
          <w:szCs w:val="24"/>
        </w:rPr>
      </w:pPr>
      <w:r w:rsidRPr="004502A9">
        <w:t>To</w:t>
      </w:r>
      <w:r w:rsidRPr="004502A9">
        <w:rPr>
          <w:spacing w:val="1"/>
        </w:rPr>
        <w:t xml:space="preserve"> </w:t>
      </w:r>
      <w:r w:rsidRPr="004502A9">
        <w:t>meet</w:t>
      </w:r>
      <w:r w:rsidRPr="004502A9">
        <w:rPr>
          <w:spacing w:val="1"/>
        </w:rPr>
        <w:t xml:space="preserve"> </w:t>
      </w:r>
      <w:r w:rsidRPr="004502A9">
        <w:t>CWA</w:t>
      </w:r>
      <w:r w:rsidRPr="004502A9">
        <w:rPr>
          <w:spacing w:val="1"/>
        </w:rPr>
        <w:t xml:space="preserve"> </w:t>
      </w:r>
      <w:r w:rsidR="00E075F3">
        <w:rPr>
          <w:spacing w:val="1"/>
        </w:rPr>
        <w:t>s</w:t>
      </w:r>
      <w:r w:rsidRPr="004502A9">
        <w:t xml:space="preserve">ection 305(b) </w:t>
      </w:r>
      <w:r w:rsidRPr="004502A9">
        <w:rPr>
          <w:spacing w:val="-1"/>
        </w:rPr>
        <w:t>r</w:t>
      </w:r>
      <w:r w:rsidRPr="004502A9">
        <w:t>equirements of</w:t>
      </w:r>
      <w:r w:rsidRPr="004502A9">
        <w:rPr>
          <w:spacing w:val="1"/>
        </w:rPr>
        <w:t xml:space="preserve"> </w:t>
      </w:r>
      <w:r w:rsidRPr="004502A9">
        <w:t>reporting on water quality conditions, the</w:t>
      </w:r>
      <w:r w:rsidRPr="004502A9">
        <w:rPr>
          <w:spacing w:val="1"/>
        </w:rPr>
        <w:t xml:space="preserve"> </w:t>
      </w:r>
      <w:r w:rsidR="00014B44">
        <w:rPr>
          <w:spacing w:val="1"/>
        </w:rPr>
        <w:t xml:space="preserve">California </w:t>
      </w:r>
      <w:r w:rsidRPr="004502A9">
        <w:t xml:space="preserve">Integrated Report places </w:t>
      </w:r>
      <w:r w:rsidR="00B767B9">
        <w:t>waterbod</w:t>
      </w:r>
      <w:r w:rsidR="000F082A">
        <w:t>ies</w:t>
      </w:r>
      <w:r w:rsidR="00B767B9" w:rsidRPr="004502A9">
        <w:t xml:space="preserve"> </w:t>
      </w:r>
      <w:r w:rsidRPr="004502A9">
        <w:t>into one of five “Condition Categories</w:t>
      </w:r>
      <w:r w:rsidR="00B60CCC">
        <w:t>.</w:t>
      </w:r>
      <w:r w:rsidRPr="004502A9">
        <w:t xml:space="preserve">” This categorization is based on the assessment of all </w:t>
      </w:r>
      <w:r w:rsidR="004457A0">
        <w:t>readily</w:t>
      </w:r>
      <w:r w:rsidRPr="004502A9">
        <w:t xml:space="preserve"> available data </w:t>
      </w:r>
      <w:r w:rsidR="00AB43E9">
        <w:t xml:space="preserve">and information </w:t>
      </w:r>
      <w:r w:rsidRPr="004502A9">
        <w:t xml:space="preserve">collected in </w:t>
      </w:r>
      <w:r w:rsidR="00AB43E9">
        <w:t>a</w:t>
      </w:r>
      <w:r w:rsidR="00AB43E9" w:rsidRPr="004502A9">
        <w:t xml:space="preserve"> </w:t>
      </w:r>
      <w:r w:rsidRPr="004502A9">
        <w:t xml:space="preserve">waterbody </w:t>
      </w:r>
      <w:r w:rsidR="002E7795">
        <w:t>segment</w:t>
      </w:r>
      <w:r w:rsidR="0077583B">
        <w:t xml:space="preserve"> </w:t>
      </w:r>
      <w:r w:rsidR="00F25658">
        <w:t>to inform</w:t>
      </w:r>
      <w:r w:rsidRPr="004502A9">
        <w:t xml:space="preserve"> </w:t>
      </w:r>
      <w:r w:rsidR="000C0B43">
        <w:t>its</w:t>
      </w:r>
      <w:r w:rsidRPr="004502A9">
        <w:t xml:space="preserve"> ability to support beneficial uses. The 303(d) </w:t>
      </w:r>
      <w:r w:rsidR="0084769D">
        <w:t>l</w:t>
      </w:r>
      <w:r w:rsidRPr="004502A9">
        <w:t xml:space="preserve">ist portion of </w:t>
      </w:r>
      <w:r w:rsidR="00014B44">
        <w:t>the</w:t>
      </w:r>
      <w:r w:rsidRPr="004502A9">
        <w:t xml:space="preserve"> </w:t>
      </w:r>
      <w:r w:rsidR="004F1512">
        <w:t>California</w:t>
      </w:r>
      <w:r w:rsidR="00D43C43">
        <w:t xml:space="preserve"> </w:t>
      </w:r>
      <w:r w:rsidRPr="004502A9">
        <w:t xml:space="preserve">Integrated Report consists of </w:t>
      </w:r>
      <w:r w:rsidR="00E6343C">
        <w:t>waterbody-pollutant combinations</w:t>
      </w:r>
      <w:r w:rsidR="00E6343C" w:rsidRPr="004502A9">
        <w:t xml:space="preserve"> </w:t>
      </w:r>
      <w:r w:rsidR="0077583B">
        <w:t xml:space="preserve">placed </w:t>
      </w:r>
      <w:r w:rsidRPr="004502A9">
        <w:t>in Categories 4a, 4b, and 5.</w:t>
      </w:r>
      <w:r w:rsidR="004352C2">
        <w:t xml:space="preserve"> </w:t>
      </w:r>
      <w:r w:rsidR="00467792" w:rsidRPr="00467792">
        <w:t>Each pollutant causing a waterbody</w:t>
      </w:r>
      <w:r w:rsidR="00E13E3B">
        <w:t xml:space="preserve"> segment</w:t>
      </w:r>
      <w:r w:rsidR="00467792" w:rsidRPr="00467792">
        <w:t xml:space="preserve"> to be impaired or threatened is referred to as a waterbody</w:t>
      </w:r>
      <w:r w:rsidR="00467792">
        <w:t>-</w:t>
      </w:r>
      <w:r w:rsidR="00467792" w:rsidRPr="00467792">
        <w:t>pollutant combination</w:t>
      </w:r>
      <w:r w:rsidRPr="004502A9">
        <w:t>. This is because</w:t>
      </w:r>
      <w:r w:rsidR="00AD299B">
        <w:t>,</w:t>
      </w:r>
      <w:r w:rsidRPr="004502A9">
        <w:t xml:space="preserve"> in California</w:t>
      </w:r>
      <w:r w:rsidR="00F33572">
        <w:t>,</w:t>
      </w:r>
      <w:r w:rsidRPr="004502A9">
        <w:t xml:space="preserve"> a waterbody</w:t>
      </w:r>
      <w:r w:rsidRPr="004502A9" w:rsidDel="000E1143">
        <w:t xml:space="preserve"> </w:t>
      </w:r>
      <w:r w:rsidRPr="004502A9">
        <w:t>may be considered impaired if standards are not met</w:t>
      </w:r>
      <w:r w:rsidR="00C6774E">
        <w:t>,</w:t>
      </w:r>
      <w:r w:rsidRPr="004502A9">
        <w:t xml:space="preserve"> regardless of whether a TMDL or another program of implementation is in place</w:t>
      </w:r>
      <w:r w:rsidR="006D21BA">
        <w:t>.</w:t>
      </w:r>
      <w:r w:rsidR="00106CD4">
        <w:t xml:space="preserve"> </w:t>
      </w:r>
      <w:r w:rsidR="00C84602">
        <w:t xml:space="preserve">Additionally, </w:t>
      </w:r>
      <w:r w:rsidR="00C84602">
        <w:rPr>
          <w:rFonts w:eastAsia="Arial" w:cs="Arial"/>
          <w:szCs w:val="24"/>
        </w:rPr>
        <w:t>s</w:t>
      </w:r>
      <w:r w:rsidR="00C84602" w:rsidRPr="004502A9">
        <w:rPr>
          <w:rFonts w:eastAsia="Arial" w:cs="Arial"/>
          <w:szCs w:val="24"/>
        </w:rPr>
        <w:t xml:space="preserve">ince there may be more than one pollutant causing lack of attainment of water quality standards, each </w:t>
      </w:r>
      <w:r w:rsidR="00C84602">
        <w:rPr>
          <w:rFonts w:eastAsia="Arial" w:cs="Arial"/>
          <w:szCs w:val="24"/>
        </w:rPr>
        <w:t xml:space="preserve">303(d) </w:t>
      </w:r>
      <w:r w:rsidR="00C84602" w:rsidRPr="004502A9">
        <w:rPr>
          <w:rFonts w:eastAsia="Arial" w:cs="Arial"/>
          <w:szCs w:val="24"/>
        </w:rPr>
        <w:t xml:space="preserve">listing is </w:t>
      </w:r>
      <w:r w:rsidR="00C84602">
        <w:rPr>
          <w:rFonts w:eastAsia="Arial" w:cs="Arial"/>
          <w:szCs w:val="24"/>
        </w:rPr>
        <w:t xml:space="preserve">a </w:t>
      </w:r>
      <w:r w:rsidR="00C84602" w:rsidRPr="004502A9">
        <w:rPr>
          <w:rFonts w:eastAsia="Arial" w:cs="Arial"/>
          <w:szCs w:val="24"/>
        </w:rPr>
        <w:t xml:space="preserve">specific </w:t>
      </w:r>
      <w:r w:rsidR="00C84602">
        <w:rPr>
          <w:rFonts w:eastAsia="Arial" w:cs="Arial"/>
          <w:szCs w:val="24"/>
        </w:rPr>
        <w:t>waterbody-</w:t>
      </w:r>
      <w:r w:rsidR="00C84602" w:rsidRPr="004502A9">
        <w:rPr>
          <w:rFonts w:eastAsia="Arial" w:cs="Arial"/>
          <w:szCs w:val="24"/>
        </w:rPr>
        <w:t>pollutant</w:t>
      </w:r>
      <w:r w:rsidR="00C84602">
        <w:rPr>
          <w:rFonts w:eastAsia="Arial" w:cs="Arial"/>
          <w:szCs w:val="24"/>
        </w:rPr>
        <w:t xml:space="preserve"> combination</w:t>
      </w:r>
      <w:r w:rsidR="00C84602" w:rsidRPr="004502A9">
        <w:rPr>
          <w:rFonts w:eastAsia="Arial" w:cs="Arial"/>
          <w:szCs w:val="24"/>
        </w:rPr>
        <w:t xml:space="preserve">, and there may be multiple </w:t>
      </w:r>
      <w:r w:rsidR="00C84602">
        <w:rPr>
          <w:rFonts w:eastAsia="Arial" w:cs="Arial"/>
          <w:szCs w:val="24"/>
        </w:rPr>
        <w:t xml:space="preserve">303(d) </w:t>
      </w:r>
      <w:r w:rsidR="00C84602" w:rsidRPr="004502A9">
        <w:rPr>
          <w:rFonts w:eastAsia="Arial" w:cs="Arial"/>
          <w:szCs w:val="24"/>
        </w:rPr>
        <w:t>listings for one waterbody</w:t>
      </w:r>
      <w:r w:rsidR="00146D85">
        <w:rPr>
          <w:rFonts w:eastAsia="Arial" w:cs="Arial"/>
          <w:szCs w:val="24"/>
        </w:rPr>
        <w:t xml:space="preserve"> segment</w:t>
      </w:r>
      <w:r w:rsidR="00C84602" w:rsidRPr="004502A9">
        <w:rPr>
          <w:rFonts w:eastAsia="Arial" w:cs="Arial"/>
          <w:szCs w:val="24"/>
        </w:rPr>
        <w:t xml:space="preserve">. </w:t>
      </w:r>
    </w:p>
    <w:p w14:paraId="62E119E8" w14:textId="304AE5CE" w:rsidR="007710C3" w:rsidRDefault="007710C3" w:rsidP="0039648E">
      <w:r w:rsidRPr="004502A9">
        <w:t xml:space="preserve">The </w:t>
      </w:r>
      <w:r w:rsidR="00313C98">
        <w:t>USEPA</w:t>
      </w:r>
      <w:r w:rsidRPr="004502A9">
        <w:t xml:space="preserve"> </w:t>
      </w:r>
      <w:r w:rsidR="002B4D54">
        <w:t xml:space="preserve">only </w:t>
      </w:r>
      <w:r w:rsidRPr="004502A9">
        <w:t xml:space="preserve">considers </w:t>
      </w:r>
      <w:r w:rsidR="39C6B5B0">
        <w:t>waterbody</w:t>
      </w:r>
      <w:r w:rsidR="000F38A9">
        <w:t>-pollutant combinations</w:t>
      </w:r>
      <w:r w:rsidRPr="004502A9">
        <w:t xml:space="preserve"> </w:t>
      </w:r>
      <w:r w:rsidR="0076382D">
        <w:t xml:space="preserve">placed in </w:t>
      </w:r>
      <w:r w:rsidR="00717720">
        <w:t xml:space="preserve">Category 5 </w:t>
      </w:r>
      <w:r w:rsidR="007B09B6">
        <w:t xml:space="preserve">to be </w:t>
      </w:r>
      <w:r w:rsidR="00717720">
        <w:t xml:space="preserve">on </w:t>
      </w:r>
      <w:r w:rsidR="00804FB3">
        <w:t xml:space="preserve">the 303(d) </w:t>
      </w:r>
      <w:r w:rsidR="0084769D">
        <w:t>l</w:t>
      </w:r>
      <w:r w:rsidR="00804FB3">
        <w:t xml:space="preserve">ist. The </w:t>
      </w:r>
      <w:r w:rsidR="00313C98">
        <w:t>USEPA</w:t>
      </w:r>
      <w:r w:rsidRPr="004502A9">
        <w:t xml:space="preserve"> </w:t>
      </w:r>
      <w:r w:rsidR="00804FB3">
        <w:t xml:space="preserve">approves </w:t>
      </w:r>
      <w:r w:rsidR="762B6679">
        <w:t xml:space="preserve">placement of </w:t>
      </w:r>
      <w:r w:rsidR="002C0D22">
        <w:t xml:space="preserve">waterbody-pollutant combinations in Categories </w:t>
      </w:r>
      <w:r w:rsidRPr="004502A9">
        <w:t>4a</w:t>
      </w:r>
      <w:r w:rsidR="00C834D1">
        <w:t xml:space="preserve"> and</w:t>
      </w:r>
      <w:r w:rsidRPr="004502A9">
        <w:t xml:space="preserve"> 4b </w:t>
      </w:r>
      <w:r w:rsidR="00804FB3">
        <w:t xml:space="preserve">separately from the </w:t>
      </w:r>
      <w:r w:rsidRPr="004502A9">
        <w:t>303</w:t>
      </w:r>
      <w:r w:rsidR="002F75F5">
        <w:t>(d)</w:t>
      </w:r>
      <w:r w:rsidRPr="004502A9">
        <w:t xml:space="preserve"> </w:t>
      </w:r>
      <w:r w:rsidR="00272878">
        <w:t>l</w:t>
      </w:r>
      <w:r w:rsidRPr="004502A9">
        <w:t xml:space="preserve">ist. </w:t>
      </w:r>
      <w:r w:rsidR="001119BE">
        <w:t xml:space="preserve">Please see </w:t>
      </w:r>
      <w:r w:rsidR="0085398F">
        <w:t>s</w:t>
      </w:r>
      <w:r w:rsidR="001119BE">
        <w:t xml:space="preserve">ection </w:t>
      </w:r>
      <w:r w:rsidR="00F64C46">
        <w:t>2.</w:t>
      </w:r>
      <w:r w:rsidR="0018222F">
        <w:t>5</w:t>
      </w:r>
      <w:r w:rsidR="00F64C46">
        <w:t xml:space="preserve"> for more information about how California places waterbody-pollutant combinations into condition categories. </w:t>
      </w:r>
    </w:p>
    <w:p w14:paraId="559F4027" w14:textId="137FF262" w:rsidR="00942C33" w:rsidRPr="004502A9" w:rsidRDefault="00942C33" w:rsidP="00597DE8">
      <w:pPr>
        <w:pStyle w:val="Heading2"/>
      </w:pPr>
      <w:bookmarkStart w:id="32" w:name="_Toc189048545"/>
      <w:r w:rsidRPr="004502A9">
        <w:t>The Listing Policy</w:t>
      </w:r>
      <w:bookmarkEnd w:id="32"/>
    </w:p>
    <w:p w14:paraId="596D0543" w14:textId="0EBD0FF8" w:rsidR="00942C33" w:rsidRPr="00CC1B62" w:rsidRDefault="00B854F4" w:rsidP="00A577BD">
      <w:pPr>
        <w:pStyle w:val="BodyText"/>
      </w:pPr>
      <w:r w:rsidRPr="006E5E50">
        <w:rPr>
          <w:sz w:val="24"/>
        </w:rPr>
        <w:t>In accordance with Water Code section 13191.3, the State Water Board</w:t>
      </w:r>
      <w:r w:rsidR="006B29FB" w:rsidRPr="006E5E50">
        <w:rPr>
          <w:sz w:val="24"/>
        </w:rPr>
        <w:t xml:space="preserve"> established</w:t>
      </w:r>
      <w:r w:rsidR="00942C33" w:rsidRPr="006E5E50">
        <w:rPr>
          <w:sz w:val="24"/>
        </w:rPr>
        <w:t xml:space="preserve"> the </w:t>
      </w:r>
      <w:hyperlink r:id="rId21" w:history="1">
        <w:r w:rsidR="00942C33" w:rsidRPr="006E5E50">
          <w:rPr>
            <w:rStyle w:val="Hyperlink"/>
            <w:rFonts w:eastAsia="Arial"/>
            <w:sz w:val="24"/>
          </w:rPr>
          <w:t xml:space="preserve">Water Quality Control Policy for Developing California’s Clean Water Act Section 303(d) </w:t>
        </w:r>
        <w:r w:rsidR="00B0610C" w:rsidRPr="006E5E50">
          <w:rPr>
            <w:rStyle w:val="Hyperlink"/>
            <w:rFonts w:eastAsia="Arial"/>
            <w:sz w:val="24"/>
          </w:rPr>
          <w:t>L</w:t>
        </w:r>
        <w:r w:rsidR="00942C33" w:rsidRPr="006E5E50">
          <w:rPr>
            <w:rStyle w:val="Hyperlink"/>
            <w:rFonts w:eastAsia="Arial"/>
            <w:sz w:val="24"/>
          </w:rPr>
          <w:t>ist</w:t>
        </w:r>
      </w:hyperlink>
      <w:r w:rsidR="00E14D1C" w:rsidRPr="006E5E50">
        <w:rPr>
          <w:rStyle w:val="Hyperlink"/>
          <w:rFonts w:eastAsia="Arial"/>
          <w:sz w:val="24"/>
        </w:rPr>
        <w:t xml:space="preserve"> </w:t>
      </w:r>
      <w:r w:rsidR="00E14D1C" w:rsidRPr="006E5E50">
        <w:rPr>
          <w:rFonts w:eastAsia="Arial"/>
          <w:sz w:val="24"/>
        </w:rPr>
        <w:t>(</w:t>
      </w:r>
      <w:hyperlink r:id="rId22" w:history="1">
        <w:r w:rsidR="00E14D1C" w:rsidRPr="006E5E50">
          <w:rPr>
            <w:rStyle w:val="Hyperlink"/>
            <w:rFonts w:eastAsia="Arial"/>
            <w:sz w:val="24"/>
          </w:rPr>
          <w:t>https://www.waterboards.ca.gov/board_decisions/adopted_orders/resolutions/2015/020315_8_amendment_clean_version.pdf</w:t>
        </w:r>
      </w:hyperlink>
      <w:r w:rsidR="00E14D1C" w:rsidRPr="006E5E50">
        <w:rPr>
          <w:rFonts w:eastAsia="Arial"/>
          <w:sz w:val="24"/>
        </w:rPr>
        <w:t>)</w:t>
      </w:r>
      <w:r w:rsidR="00942C33" w:rsidRPr="006E5E50">
        <w:rPr>
          <w:rFonts w:eastAsia="Arial"/>
          <w:sz w:val="24"/>
        </w:rPr>
        <w:t>, commonly referred to as the “Listing Policy</w:t>
      </w:r>
      <w:r w:rsidR="006C35BA">
        <w:rPr>
          <w:rFonts w:eastAsia="Arial"/>
          <w:sz w:val="24"/>
        </w:rPr>
        <w:t>,</w:t>
      </w:r>
      <w:r w:rsidR="00942C33" w:rsidRPr="006E5E50">
        <w:rPr>
          <w:rFonts w:eastAsia="Arial"/>
          <w:sz w:val="24"/>
        </w:rPr>
        <w:t xml:space="preserve">” </w:t>
      </w:r>
      <w:r w:rsidR="00A7638E" w:rsidRPr="006E5E50">
        <w:rPr>
          <w:sz w:val="24"/>
        </w:rPr>
        <w:t>which</w:t>
      </w:r>
      <w:r w:rsidR="00EC5646" w:rsidRPr="006E5E50">
        <w:rPr>
          <w:rFonts w:eastAsia="Arial"/>
          <w:sz w:val="24"/>
        </w:rPr>
        <w:t xml:space="preserve"> outlines the requirements </w:t>
      </w:r>
      <w:r w:rsidR="00441C00" w:rsidRPr="006E5E50">
        <w:rPr>
          <w:rFonts w:eastAsia="Arial"/>
          <w:sz w:val="24"/>
        </w:rPr>
        <w:t>with</w:t>
      </w:r>
      <w:r w:rsidR="00EC5646" w:rsidRPr="006E5E50">
        <w:rPr>
          <w:rFonts w:eastAsia="Arial"/>
          <w:sz w:val="24"/>
        </w:rPr>
        <w:t xml:space="preserve"> </w:t>
      </w:r>
      <w:r w:rsidR="00037EB7" w:rsidRPr="006E5E50">
        <w:rPr>
          <w:rFonts w:eastAsia="Arial"/>
          <w:sz w:val="24"/>
        </w:rPr>
        <w:t xml:space="preserve">which </w:t>
      </w:r>
      <w:r w:rsidR="00EC5646" w:rsidRPr="006E5E50">
        <w:rPr>
          <w:rFonts w:eastAsia="Arial"/>
          <w:sz w:val="24"/>
        </w:rPr>
        <w:t xml:space="preserve">the Water Boards </w:t>
      </w:r>
      <w:r w:rsidR="00037EB7" w:rsidRPr="006E5E50">
        <w:rPr>
          <w:rFonts w:eastAsia="Arial"/>
          <w:sz w:val="24"/>
        </w:rPr>
        <w:t>must</w:t>
      </w:r>
      <w:r w:rsidR="00EC5646" w:rsidRPr="006E5E50">
        <w:rPr>
          <w:rFonts w:eastAsia="Arial"/>
          <w:sz w:val="24"/>
        </w:rPr>
        <w:t xml:space="preserve"> comply </w:t>
      </w:r>
      <w:r w:rsidR="00C60A6E" w:rsidRPr="006E5E50">
        <w:rPr>
          <w:rFonts w:eastAsia="Arial"/>
          <w:sz w:val="24"/>
        </w:rPr>
        <w:t xml:space="preserve">to develop </w:t>
      </w:r>
      <w:r w:rsidR="00EC5646" w:rsidRPr="006E5E50">
        <w:rPr>
          <w:rFonts w:eastAsia="Arial"/>
          <w:sz w:val="24"/>
        </w:rPr>
        <w:t xml:space="preserve">the 303(d) list. </w:t>
      </w:r>
      <w:r w:rsidR="00942C33" w:rsidRPr="006E5E50">
        <w:rPr>
          <w:rFonts w:eastAsia="Arial"/>
          <w:sz w:val="24"/>
        </w:rPr>
        <w:t xml:space="preserve">Recommendations to place a waterbody </w:t>
      </w:r>
      <w:r w:rsidR="0050176E" w:rsidRPr="006E5E50">
        <w:rPr>
          <w:rFonts w:eastAsia="Arial"/>
          <w:sz w:val="24"/>
        </w:rPr>
        <w:t xml:space="preserve">segment </w:t>
      </w:r>
      <w:r w:rsidR="00942C33" w:rsidRPr="006E5E50">
        <w:rPr>
          <w:rFonts w:eastAsia="Arial"/>
          <w:sz w:val="24"/>
        </w:rPr>
        <w:t xml:space="preserve">on the 303(d) </w:t>
      </w:r>
      <w:r w:rsidR="00A04FBD" w:rsidRPr="006E5E50">
        <w:rPr>
          <w:rFonts w:eastAsia="Arial"/>
          <w:sz w:val="24"/>
        </w:rPr>
        <w:t>l</w:t>
      </w:r>
      <w:r w:rsidR="00942C33" w:rsidRPr="006E5E50">
        <w:rPr>
          <w:rFonts w:eastAsia="Arial"/>
          <w:sz w:val="24"/>
        </w:rPr>
        <w:t>ist</w:t>
      </w:r>
      <w:r w:rsidR="00260ACD" w:rsidRPr="006E5E50">
        <w:rPr>
          <w:rFonts w:eastAsia="Arial"/>
          <w:sz w:val="24"/>
        </w:rPr>
        <w:t xml:space="preserve"> or to remove a waterbody </w:t>
      </w:r>
      <w:r w:rsidR="0050176E" w:rsidRPr="006E5E50">
        <w:rPr>
          <w:rFonts w:eastAsia="Arial"/>
          <w:sz w:val="24"/>
        </w:rPr>
        <w:t xml:space="preserve">segment </w:t>
      </w:r>
      <w:r w:rsidR="00260ACD" w:rsidRPr="006E5E50">
        <w:rPr>
          <w:rFonts w:eastAsia="Arial"/>
          <w:sz w:val="24"/>
        </w:rPr>
        <w:t xml:space="preserve">from the 303(d) </w:t>
      </w:r>
      <w:r w:rsidR="00A04FBD" w:rsidRPr="006E5E50">
        <w:rPr>
          <w:rFonts w:eastAsia="Arial"/>
          <w:sz w:val="24"/>
        </w:rPr>
        <w:t>l</w:t>
      </w:r>
      <w:r w:rsidR="00260ACD" w:rsidRPr="006E5E50">
        <w:rPr>
          <w:rFonts w:eastAsia="Arial"/>
          <w:sz w:val="24"/>
        </w:rPr>
        <w:t>ist</w:t>
      </w:r>
      <w:r w:rsidR="00942C33" w:rsidRPr="006E5E50">
        <w:rPr>
          <w:rFonts w:eastAsia="Arial"/>
          <w:sz w:val="24"/>
        </w:rPr>
        <w:t xml:space="preserve"> are made in conformance with the</w:t>
      </w:r>
      <w:r w:rsidR="00260ACD" w:rsidRPr="006E5E50">
        <w:rPr>
          <w:rFonts w:eastAsia="Arial"/>
          <w:sz w:val="24"/>
        </w:rPr>
        <w:t xml:space="preserve"> Listing Policy.</w:t>
      </w:r>
      <w:r w:rsidR="00260ACD">
        <w:rPr>
          <w:rFonts w:eastAsia="Arial"/>
        </w:rPr>
        <w:t xml:space="preserve"> </w:t>
      </w:r>
      <w:r w:rsidR="00C97E89">
        <w:rPr>
          <w:sz w:val="24"/>
        </w:rPr>
        <w:t>A</w:t>
      </w:r>
      <w:r w:rsidR="00F4162F" w:rsidRPr="007C789F">
        <w:rPr>
          <w:sz w:val="24"/>
        </w:rPr>
        <w:t>mendments to the Listing Policy provided</w:t>
      </w:r>
      <w:r w:rsidR="00F4162F">
        <w:rPr>
          <w:sz w:val="24"/>
        </w:rPr>
        <w:t xml:space="preserve"> for </w:t>
      </w:r>
      <w:r w:rsidR="00F4162F" w:rsidRPr="007C789F">
        <w:rPr>
          <w:sz w:val="24"/>
        </w:rPr>
        <w:t>the use of a database known as the California Environmental Data Exchange Network (</w:t>
      </w:r>
      <w:r w:rsidR="00F4162F">
        <w:rPr>
          <w:sz w:val="24"/>
        </w:rPr>
        <w:t>“</w:t>
      </w:r>
      <w:r w:rsidR="00F4162F" w:rsidRPr="007C789F">
        <w:rPr>
          <w:sz w:val="24"/>
        </w:rPr>
        <w:t>CEDEN</w:t>
      </w:r>
      <w:r w:rsidR="00F4162F">
        <w:rPr>
          <w:sz w:val="24"/>
        </w:rPr>
        <w:t>”</w:t>
      </w:r>
      <w:r w:rsidR="00F4162F" w:rsidRPr="007C789F">
        <w:rPr>
          <w:sz w:val="24"/>
        </w:rPr>
        <w:t xml:space="preserve">) (Listing Policy, p. 17, </w:t>
      </w:r>
      <w:r w:rsidR="00F4162F">
        <w:rPr>
          <w:sz w:val="24"/>
        </w:rPr>
        <w:t>section</w:t>
      </w:r>
      <w:r w:rsidR="00F4162F" w:rsidRPr="007C789F">
        <w:rPr>
          <w:sz w:val="24"/>
        </w:rPr>
        <w:t xml:space="preserve"> 6.1.1.)</w:t>
      </w:r>
      <w:r w:rsidR="00C71DF4">
        <w:rPr>
          <w:sz w:val="24"/>
        </w:rPr>
        <w:t>.</w:t>
      </w:r>
      <w:r w:rsidR="00F4162F" w:rsidRPr="007C789F">
        <w:rPr>
          <w:sz w:val="24"/>
        </w:rPr>
        <w:t xml:space="preserve"> To accommodate increases in data submittals and the </w:t>
      </w:r>
      <w:r w:rsidR="00F4162F">
        <w:rPr>
          <w:sz w:val="24"/>
        </w:rPr>
        <w:t>development</w:t>
      </w:r>
      <w:r w:rsidR="00F4162F" w:rsidRPr="007C789F">
        <w:rPr>
          <w:sz w:val="24"/>
        </w:rPr>
        <w:t xml:space="preserve"> of CEDEN, the State Water Board adopted a regulatory definition of “readily available data and information” required to be evaluated as “data and information that can be submitted to CEDEN or its successor database, as directed in the notice of solicitation.” (</w:t>
      </w:r>
      <w:r w:rsidR="00F4162F" w:rsidRPr="007C789F">
        <w:rPr>
          <w:i/>
          <w:sz w:val="24"/>
        </w:rPr>
        <w:t>Ibid.</w:t>
      </w:r>
      <w:r w:rsidR="00F4162F">
        <w:rPr>
          <w:i/>
          <w:sz w:val="24"/>
        </w:rPr>
        <w:t xml:space="preserve">) </w:t>
      </w:r>
    </w:p>
    <w:p w14:paraId="466FC729" w14:textId="77777777" w:rsidR="00942C33" w:rsidRPr="004502A9" w:rsidRDefault="00942C33" w:rsidP="00942C33">
      <w:pPr>
        <w:keepNext/>
        <w:autoSpaceDE w:val="0"/>
        <w:autoSpaceDN w:val="0"/>
        <w:adjustRightInd w:val="0"/>
        <w:rPr>
          <w:rFonts w:cs="Arial"/>
          <w:szCs w:val="24"/>
        </w:rPr>
      </w:pPr>
      <w:r w:rsidRPr="004502A9">
        <w:rPr>
          <w:rFonts w:cs="Arial"/>
          <w:szCs w:val="24"/>
        </w:rPr>
        <w:t>The Listing Policy provides direction related to the:</w:t>
      </w:r>
    </w:p>
    <w:p w14:paraId="5643A017" w14:textId="5E238130" w:rsidR="009E7976" w:rsidRPr="009E7976" w:rsidRDefault="009E7976" w:rsidP="00A67AFD">
      <w:pPr>
        <w:numPr>
          <w:ilvl w:val="0"/>
          <w:numId w:val="1"/>
        </w:numPr>
        <w:autoSpaceDE w:val="0"/>
        <w:autoSpaceDN w:val="0"/>
        <w:adjustRightInd w:val="0"/>
        <w:rPr>
          <w:rFonts w:cs="Arial"/>
          <w:szCs w:val="24"/>
        </w:rPr>
      </w:pPr>
      <w:r w:rsidRPr="004502A9">
        <w:rPr>
          <w:rFonts w:cs="Arial"/>
          <w:szCs w:val="24"/>
        </w:rPr>
        <w:t xml:space="preserve">Administration of the listing process including data solicitation and </w:t>
      </w:r>
      <w:r w:rsidR="00A84CDB">
        <w:rPr>
          <w:rStyle w:val="normaltextrun"/>
          <w:color w:val="000000"/>
          <w:shd w:val="clear" w:color="auto" w:fill="FFFFFF"/>
        </w:rPr>
        <w:t xml:space="preserve">Waterbody </w:t>
      </w:r>
      <w:r w:rsidR="00A84CDB">
        <w:rPr>
          <w:rStyle w:val="findhit"/>
          <w:color w:val="000000"/>
        </w:rPr>
        <w:t>Fact</w:t>
      </w:r>
      <w:r w:rsidR="00A84CDB">
        <w:rPr>
          <w:rStyle w:val="normaltextrun"/>
          <w:color w:val="000000"/>
          <w:shd w:val="clear" w:color="auto" w:fill="FFFFFF"/>
        </w:rPr>
        <w:t xml:space="preserve"> Sheets</w:t>
      </w:r>
      <w:r w:rsidRPr="004502A9">
        <w:rPr>
          <w:rFonts w:cs="Arial"/>
          <w:szCs w:val="24"/>
        </w:rPr>
        <w:t xml:space="preserve"> preparation. </w:t>
      </w:r>
    </w:p>
    <w:p w14:paraId="49385858" w14:textId="4173C817" w:rsidR="00942C33" w:rsidRPr="004502A9" w:rsidRDefault="00942C33" w:rsidP="00A67AFD">
      <w:pPr>
        <w:numPr>
          <w:ilvl w:val="0"/>
          <w:numId w:val="1"/>
        </w:numPr>
        <w:autoSpaceDE w:val="0"/>
        <w:autoSpaceDN w:val="0"/>
        <w:adjustRightInd w:val="0"/>
        <w:rPr>
          <w:rFonts w:cs="Arial"/>
        </w:rPr>
      </w:pPr>
      <w:r w:rsidRPr="004502A9">
        <w:rPr>
          <w:rFonts w:cs="Arial"/>
        </w:rPr>
        <w:t>Definition of readily available data and information.</w:t>
      </w:r>
      <w:r>
        <w:rPr>
          <w:rFonts w:cs="Arial"/>
        </w:rPr>
        <w:t xml:space="preserve"> </w:t>
      </w:r>
    </w:p>
    <w:p w14:paraId="105CE62A" w14:textId="289069A4" w:rsidR="00942C33" w:rsidRPr="004502A9" w:rsidRDefault="00942C33" w:rsidP="00A67AFD">
      <w:pPr>
        <w:numPr>
          <w:ilvl w:val="0"/>
          <w:numId w:val="1"/>
        </w:numPr>
        <w:autoSpaceDE w:val="0"/>
        <w:autoSpaceDN w:val="0"/>
        <w:adjustRightInd w:val="0"/>
        <w:rPr>
          <w:rFonts w:cs="Arial"/>
          <w:szCs w:val="24"/>
        </w:rPr>
      </w:pPr>
      <w:r w:rsidRPr="004502A9">
        <w:rPr>
          <w:rFonts w:cs="Arial"/>
          <w:szCs w:val="24"/>
        </w:rPr>
        <w:t xml:space="preserve">Application and interpretation of chemical-specific water quality </w:t>
      </w:r>
      <w:r w:rsidR="00723265">
        <w:rPr>
          <w:rFonts w:cs="Arial"/>
          <w:szCs w:val="24"/>
        </w:rPr>
        <w:t>objectives</w:t>
      </w:r>
      <w:r w:rsidRPr="004502A9">
        <w:rPr>
          <w:rFonts w:cs="Arial"/>
          <w:szCs w:val="24"/>
        </w:rPr>
        <w:t xml:space="preserve">; bacterial water quality </w:t>
      </w:r>
      <w:r w:rsidR="00723265">
        <w:rPr>
          <w:rFonts w:cs="Arial"/>
          <w:szCs w:val="24"/>
        </w:rPr>
        <w:t>objectives</w:t>
      </w:r>
      <w:r w:rsidRPr="004502A9">
        <w:rPr>
          <w:rFonts w:cs="Arial"/>
          <w:szCs w:val="24"/>
        </w:rPr>
        <w:t xml:space="preserve">; health advisories; bioaccumulation of chemicals in aquatic life tissues; nuisance such as trash, odor, and foam; nutrients; water and sediment toxicity; adverse biological response; and degradation of aquatic life populations and communities. </w:t>
      </w:r>
    </w:p>
    <w:p w14:paraId="56F6A3CF" w14:textId="6B996D45" w:rsidR="00942C33" w:rsidRPr="004502A9" w:rsidRDefault="00C92D18" w:rsidP="00A67AFD">
      <w:pPr>
        <w:numPr>
          <w:ilvl w:val="0"/>
          <w:numId w:val="1"/>
        </w:numPr>
        <w:autoSpaceDE w:val="0"/>
        <w:autoSpaceDN w:val="0"/>
        <w:adjustRightInd w:val="0"/>
        <w:rPr>
          <w:rFonts w:cs="Arial"/>
          <w:szCs w:val="24"/>
        </w:rPr>
      </w:pPr>
      <w:r>
        <w:rPr>
          <w:rFonts w:cs="Arial"/>
          <w:szCs w:val="24"/>
        </w:rPr>
        <w:t>Evaluation</w:t>
      </w:r>
      <w:r w:rsidR="00942C33" w:rsidRPr="004502A9">
        <w:rPr>
          <w:rFonts w:cs="Arial"/>
          <w:szCs w:val="24"/>
        </w:rPr>
        <w:t xml:space="preserve"> of narrative water quality objectives using numeric evaluation guidelines. </w:t>
      </w:r>
    </w:p>
    <w:p w14:paraId="4EF73223" w14:textId="77777777" w:rsidR="00942C33" w:rsidRPr="004502A9" w:rsidRDefault="00942C33" w:rsidP="00A67AFD">
      <w:pPr>
        <w:numPr>
          <w:ilvl w:val="0"/>
          <w:numId w:val="1"/>
        </w:numPr>
        <w:autoSpaceDE w:val="0"/>
        <w:autoSpaceDN w:val="0"/>
        <w:adjustRightInd w:val="0"/>
        <w:rPr>
          <w:rFonts w:cs="Arial"/>
          <w:szCs w:val="24"/>
        </w:rPr>
      </w:pPr>
      <w:r w:rsidRPr="004502A9">
        <w:rPr>
          <w:rFonts w:cs="Arial"/>
          <w:szCs w:val="24"/>
        </w:rPr>
        <w:t xml:space="preserve">Data quality </w:t>
      </w:r>
      <w:r>
        <w:rPr>
          <w:rFonts w:cs="Arial"/>
          <w:szCs w:val="24"/>
        </w:rPr>
        <w:t>evaluation conditions,</w:t>
      </w:r>
      <w:r w:rsidRPr="004502A9">
        <w:rPr>
          <w:rFonts w:cs="Arial"/>
          <w:szCs w:val="24"/>
        </w:rPr>
        <w:t xml:space="preserve"> including </w:t>
      </w:r>
      <w:r>
        <w:rPr>
          <w:rFonts w:cs="Arial"/>
          <w:szCs w:val="24"/>
        </w:rPr>
        <w:t>the requirement for data to be supported by</w:t>
      </w:r>
      <w:r w:rsidRPr="004502A9">
        <w:rPr>
          <w:rFonts w:cs="Arial"/>
          <w:szCs w:val="24"/>
        </w:rPr>
        <w:t xml:space="preserve"> a Quality Assurance Project Plan (“QAPP”). </w:t>
      </w:r>
    </w:p>
    <w:p w14:paraId="7C4B3ECE" w14:textId="77777777" w:rsidR="00942C33" w:rsidRPr="004502A9" w:rsidRDefault="00942C33" w:rsidP="00A67AFD">
      <w:pPr>
        <w:numPr>
          <w:ilvl w:val="0"/>
          <w:numId w:val="1"/>
        </w:numPr>
        <w:autoSpaceDE w:val="0"/>
        <w:autoSpaceDN w:val="0"/>
        <w:adjustRightInd w:val="0"/>
        <w:rPr>
          <w:rFonts w:cs="Arial"/>
          <w:szCs w:val="24"/>
        </w:rPr>
      </w:pPr>
      <w:r w:rsidRPr="004502A9">
        <w:rPr>
          <w:rFonts w:cs="Arial"/>
          <w:szCs w:val="24"/>
        </w:rPr>
        <w:t xml:space="preserve">Data quantity </w:t>
      </w:r>
      <w:r>
        <w:rPr>
          <w:rFonts w:cs="Arial"/>
          <w:szCs w:val="24"/>
        </w:rPr>
        <w:t>evaluation conditions</w:t>
      </w:r>
      <w:r w:rsidRPr="004502A9">
        <w:rPr>
          <w:rFonts w:cs="Arial"/>
          <w:szCs w:val="24"/>
        </w:rPr>
        <w:t xml:space="preserve"> including water segment specific information, data spatial and temporal representation, aggregation of data by </w:t>
      </w:r>
      <w:r>
        <w:rPr>
          <w:rFonts w:cs="Arial"/>
          <w:szCs w:val="24"/>
        </w:rPr>
        <w:t>segment</w:t>
      </w:r>
      <w:r w:rsidRPr="004502A9">
        <w:rPr>
          <w:rFonts w:cs="Arial"/>
          <w:szCs w:val="24"/>
        </w:rPr>
        <w:t>, quantitation of chemical concentrations, evaluation of data consistent with the expression of water quality objectives or criteria, binomial model statistical evaluation, evaluation of bioassessment data, and evaluation of temperature data.</w:t>
      </w:r>
    </w:p>
    <w:p w14:paraId="7ABA74F2" w14:textId="2C93F243" w:rsidR="00942C33" w:rsidRDefault="0051091C" w:rsidP="00A67AFD">
      <w:pPr>
        <w:numPr>
          <w:ilvl w:val="0"/>
          <w:numId w:val="1"/>
        </w:numPr>
        <w:autoSpaceDE w:val="0"/>
        <w:autoSpaceDN w:val="0"/>
        <w:adjustRightInd w:val="0"/>
        <w:rPr>
          <w:rFonts w:cs="Arial"/>
        </w:rPr>
      </w:pPr>
      <w:r>
        <w:rPr>
          <w:rFonts w:cs="Arial"/>
        </w:rPr>
        <w:t>Water quality conditions, or l</w:t>
      </w:r>
      <w:r w:rsidR="00942C33" w:rsidRPr="004502A9">
        <w:rPr>
          <w:rFonts w:cs="Arial"/>
        </w:rPr>
        <w:t>isting</w:t>
      </w:r>
      <w:r w:rsidR="007C3482">
        <w:rPr>
          <w:rFonts w:cs="Arial"/>
        </w:rPr>
        <w:t xml:space="preserve"> or delisting</w:t>
      </w:r>
      <w:r w:rsidR="00942C33" w:rsidRPr="004502A9">
        <w:rPr>
          <w:rFonts w:cs="Arial"/>
        </w:rPr>
        <w:t xml:space="preserve"> factors</w:t>
      </w:r>
      <w:r>
        <w:rPr>
          <w:rFonts w:cs="Arial"/>
        </w:rPr>
        <w:t>,</w:t>
      </w:r>
      <w:r w:rsidR="00942C33" w:rsidRPr="004502A9">
        <w:rPr>
          <w:rFonts w:cs="Arial"/>
        </w:rPr>
        <w:t xml:space="preserve"> that </w:t>
      </w:r>
      <w:r>
        <w:rPr>
          <w:rFonts w:cs="Arial"/>
        </w:rPr>
        <w:t>reflect whether</w:t>
      </w:r>
      <w:r w:rsidR="00942C33" w:rsidRPr="004502A9">
        <w:rPr>
          <w:rFonts w:cs="Arial"/>
        </w:rPr>
        <w:t xml:space="preserve"> waterbody segments shall be placed on </w:t>
      </w:r>
      <w:r w:rsidR="00F335A1">
        <w:rPr>
          <w:rFonts w:cs="Arial"/>
        </w:rPr>
        <w:t xml:space="preserve">or removed from </w:t>
      </w:r>
      <w:r w:rsidR="00942C33" w:rsidRPr="004502A9">
        <w:rPr>
          <w:rFonts w:cs="Arial"/>
        </w:rPr>
        <w:t xml:space="preserve">the 303(d) </w:t>
      </w:r>
      <w:r w:rsidR="0014738A">
        <w:rPr>
          <w:rFonts w:cs="Arial"/>
        </w:rPr>
        <w:t>l</w:t>
      </w:r>
      <w:r w:rsidR="00942C33" w:rsidRPr="004502A9">
        <w:rPr>
          <w:rFonts w:cs="Arial"/>
        </w:rPr>
        <w:t xml:space="preserve">ist based on exceedances of water quality standards for specific pollutants. </w:t>
      </w:r>
      <w:r w:rsidR="003E44F1">
        <w:rPr>
          <w:rFonts w:cs="Arial"/>
        </w:rPr>
        <w:t>The l</w:t>
      </w:r>
      <w:r w:rsidR="00942C33">
        <w:rPr>
          <w:rFonts w:cs="Arial"/>
        </w:rPr>
        <w:t xml:space="preserve">isting </w:t>
      </w:r>
      <w:r w:rsidR="00BA0A4C">
        <w:rPr>
          <w:rFonts w:cs="Arial"/>
        </w:rPr>
        <w:t>and delisting</w:t>
      </w:r>
      <w:r w:rsidR="00942C33">
        <w:rPr>
          <w:rFonts w:cs="Arial"/>
        </w:rPr>
        <w:t xml:space="preserve"> factors include a </w:t>
      </w:r>
      <w:r w:rsidR="00942C33" w:rsidRPr="004502A9">
        <w:rPr>
          <w:rFonts w:cs="Arial"/>
        </w:rPr>
        <w:t xml:space="preserve">situation-specific weight of evidence approach </w:t>
      </w:r>
      <w:r w:rsidR="00422275">
        <w:rPr>
          <w:rFonts w:cs="Arial"/>
        </w:rPr>
        <w:t>that may be used (if the necessary conditions set forth are met)</w:t>
      </w:r>
      <w:r w:rsidR="00942C33" w:rsidRPr="004502A9">
        <w:rPr>
          <w:rFonts w:cs="Arial"/>
        </w:rPr>
        <w:t xml:space="preserve"> when all other factors do not result in a listing or delisting </w:t>
      </w:r>
      <w:r w:rsidR="00942C33">
        <w:rPr>
          <w:rFonts w:cs="Arial"/>
        </w:rPr>
        <w:t xml:space="preserve">but </w:t>
      </w:r>
      <w:r w:rsidR="00942C33" w:rsidRPr="004502A9">
        <w:rPr>
          <w:rFonts w:cs="Arial"/>
        </w:rPr>
        <w:t>where information suggests standards nonattainment or attainment, respectively</w:t>
      </w:r>
      <w:r w:rsidR="00942C33">
        <w:rPr>
          <w:rFonts w:cs="Arial"/>
        </w:rPr>
        <w:t>.</w:t>
      </w:r>
    </w:p>
    <w:p w14:paraId="163FC851" w14:textId="053D4F44" w:rsidR="00A6356E" w:rsidRDefault="00A6356E" w:rsidP="00A6356E">
      <w:pPr>
        <w:numPr>
          <w:ilvl w:val="0"/>
          <w:numId w:val="1"/>
        </w:numPr>
        <w:autoSpaceDE w:val="0"/>
        <w:autoSpaceDN w:val="0"/>
        <w:adjustRightInd w:val="0"/>
        <w:rPr>
          <w:rFonts w:cs="Arial"/>
        </w:rPr>
      </w:pPr>
      <w:r>
        <w:rPr>
          <w:rFonts w:cs="Arial"/>
        </w:rPr>
        <w:t xml:space="preserve">Factors to consider in </w:t>
      </w:r>
      <w:r w:rsidR="00512D1E">
        <w:rPr>
          <w:rFonts w:cs="Arial"/>
        </w:rPr>
        <w:t>prioritizing</w:t>
      </w:r>
      <w:r>
        <w:rPr>
          <w:rFonts w:cs="Arial"/>
        </w:rPr>
        <w:t xml:space="preserve"> TMDLs</w:t>
      </w:r>
    </w:p>
    <w:p w14:paraId="420BA71D" w14:textId="340968A8" w:rsidR="008D7F5D" w:rsidRPr="004502A9" w:rsidRDefault="008D7F5D" w:rsidP="008D7F5D">
      <w:pPr>
        <w:autoSpaceDE w:val="0"/>
        <w:autoSpaceDN w:val="0"/>
        <w:adjustRightInd w:val="0"/>
        <w:rPr>
          <w:rFonts w:cs="Arial"/>
        </w:rPr>
      </w:pPr>
      <w:r w:rsidRPr="007C794B">
        <w:t xml:space="preserve">In developing the Listing Policy, the </w:t>
      </w:r>
      <w:r w:rsidR="005E7150">
        <w:t>State</w:t>
      </w:r>
      <w:r w:rsidRPr="007C794B">
        <w:t xml:space="preserve"> Water Board prepared the </w:t>
      </w:r>
      <w:hyperlink r:id="rId23" w:history="1">
        <w:r w:rsidRPr="00054B3A">
          <w:rPr>
            <w:rStyle w:val="Hyperlink"/>
          </w:rPr>
          <w:t>Functional Equivalent Document</w:t>
        </w:r>
      </w:hyperlink>
      <w:r w:rsidRPr="007C794B">
        <w:t xml:space="preserve"> </w:t>
      </w:r>
      <w:r>
        <w:t>(“FED”)</w:t>
      </w:r>
      <w:r w:rsidRPr="007C794B">
        <w:t xml:space="preserve"> to serve as an environmental review equivalent to a </w:t>
      </w:r>
      <w:r>
        <w:t>CEQA</w:t>
      </w:r>
      <w:r w:rsidRPr="007C794B">
        <w:t xml:space="preserve"> document with alternatives, options, recommendations, and an analysis of environmental impacts of the Listing Policy (SWRCB 2004)</w:t>
      </w:r>
      <w:r w:rsidR="003C1620">
        <w:t xml:space="preserve"> (</w:t>
      </w:r>
      <w:hyperlink r:id="rId24" w:history="1">
        <w:r w:rsidR="003C1620" w:rsidRPr="0070367D">
          <w:rPr>
            <w:rStyle w:val="Hyperlink"/>
          </w:rPr>
          <w:t>https://www.waterboards.ca.gov/water_issues/programs/tmdl/docs/ffed_093004.pdf</w:t>
        </w:r>
      </w:hyperlink>
      <w:r w:rsidRPr="007C794B">
        <w:t>).</w:t>
      </w:r>
    </w:p>
    <w:p w14:paraId="391CCB9A" w14:textId="649220DB" w:rsidR="007710C3" w:rsidRPr="004502A9" w:rsidRDefault="00F30E80" w:rsidP="00597DE8">
      <w:pPr>
        <w:pStyle w:val="Heading2"/>
      </w:pPr>
      <w:bookmarkStart w:id="33" w:name="_Toc35339588"/>
      <w:bookmarkStart w:id="34" w:name="_Toc2265933"/>
      <w:bookmarkStart w:id="35" w:name="_Toc189048546"/>
      <w:bookmarkEnd w:id="24"/>
      <w:r>
        <w:t xml:space="preserve">California </w:t>
      </w:r>
      <w:r w:rsidR="007710C3" w:rsidRPr="004502A9">
        <w:t>Integrated Report Cycles</w:t>
      </w:r>
      <w:bookmarkEnd w:id="35"/>
    </w:p>
    <w:p w14:paraId="66226364" w14:textId="4D9D5CA5" w:rsidR="00F531E9" w:rsidRPr="004502A9" w:rsidRDefault="009147AD" w:rsidP="006239FD">
      <w:pPr>
        <w:rPr>
          <w:rFonts w:eastAsia="Arial" w:cs="Arial"/>
        </w:rPr>
      </w:pPr>
      <w:r>
        <w:rPr>
          <w:rFonts w:cs="Arial"/>
        </w:rPr>
        <w:t>T</w:t>
      </w:r>
      <w:r w:rsidR="00D75CB7">
        <w:rPr>
          <w:rFonts w:cs="Arial"/>
        </w:rPr>
        <w:t xml:space="preserve">o </w:t>
      </w:r>
      <w:r w:rsidR="006368EE">
        <w:rPr>
          <w:rFonts w:cs="Arial"/>
        </w:rPr>
        <w:t xml:space="preserve">achieve timely biennial submittals to the </w:t>
      </w:r>
      <w:r w:rsidR="00313C98">
        <w:rPr>
          <w:rFonts w:cs="Arial"/>
        </w:rPr>
        <w:t>USEPA</w:t>
      </w:r>
      <w:r w:rsidR="006368EE">
        <w:rPr>
          <w:rFonts w:cs="Arial"/>
        </w:rPr>
        <w:t xml:space="preserve">, </w:t>
      </w:r>
      <w:r w:rsidR="002B7A7D">
        <w:rPr>
          <w:rStyle w:val="normaltextrun"/>
          <w:rFonts w:cs="Arial"/>
          <w:color w:val="000000"/>
          <w:shd w:val="clear" w:color="auto" w:fill="FFFFFF"/>
        </w:rPr>
        <w:t xml:space="preserve">the State Water Board </w:t>
      </w:r>
      <w:r w:rsidR="008C5D77">
        <w:rPr>
          <w:rStyle w:val="normaltextrun"/>
          <w:rFonts w:cs="Arial"/>
          <w:color w:val="000000"/>
          <w:shd w:val="clear" w:color="auto" w:fill="FFFFFF"/>
        </w:rPr>
        <w:t>administers</w:t>
      </w:r>
      <w:r w:rsidR="00C52BF7">
        <w:rPr>
          <w:rStyle w:val="normaltextrun"/>
          <w:rFonts w:cs="Arial"/>
          <w:color w:val="000000"/>
          <w:shd w:val="clear" w:color="auto" w:fill="FFFFFF"/>
        </w:rPr>
        <w:t xml:space="preserve"> the </w:t>
      </w:r>
      <w:r w:rsidR="008C5D77">
        <w:rPr>
          <w:rStyle w:val="normaltextrun"/>
          <w:rFonts w:cs="Arial"/>
          <w:color w:val="000000"/>
          <w:shd w:val="clear" w:color="auto" w:fill="FFFFFF"/>
        </w:rPr>
        <w:t>development</w:t>
      </w:r>
      <w:r w:rsidR="003B7D0B">
        <w:rPr>
          <w:rStyle w:val="normaltextrun"/>
          <w:rFonts w:cs="Arial"/>
          <w:color w:val="000000"/>
          <w:shd w:val="clear" w:color="auto" w:fill="FFFFFF"/>
        </w:rPr>
        <w:t xml:space="preserve"> and </w:t>
      </w:r>
      <w:r w:rsidR="008C5D77">
        <w:rPr>
          <w:rStyle w:val="normaltextrun"/>
          <w:rFonts w:cs="Arial"/>
          <w:color w:val="000000"/>
          <w:shd w:val="clear" w:color="auto" w:fill="FFFFFF"/>
        </w:rPr>
        <w:t>adoption process of the California Integrated Report. E</w:t>
      </w:r>
      <w:r w:rsidR="008C5D77" w:rsidRPr="000D4E58">
        <w:rPr>
          <w:rStyle w:val="normaltextrun"/>
          <w:rFonts w:cs="Arial"/>
          <w:color w:val="000000"/>
          <w:shd w:val="clear" w:color="auto" w:fill="FFFFFF"/>
        </w:rPr>
        <w:t xml:space="preserve">ach </w:t>
      </w:r>
      <w:r w:rsidR="008C5D77">
        <w:rPr>
          <w:rStyle w:val="normaltextrun"/>
          <w:rFonts w:cs="Arial"/>
          <w:color w:val="000000"/>
          <w:shd w:val="clear" w:color="auto" w:fill="FFFFFF"/>
        </w:rPr>
        <w:t>i</w:t>
      </w:r>
      <w:r w:rsidR="008C5D77" w:rsidRPr="000D4E58">
        <w:rPr>
          <w:rStyle w:val="normaltextrun"/>
          <w:rFonts w:cs="Arial"/>
          <w:color w:val="000000"/>
          <w:shd w:val="clear" w:color="auto" w:fill="FFFFFF"/>
        </w:rPr>
        <w:t xml:space="preserve">ntegrated </w:t>
      </w:r>
      <w:r w:rsidR="008C5D77">
        <w:rPr>
          <w:rStyle w:val="normaltextrun"/>
          <w:rFonts w:cs="Arial"/>
          <w:color w:val="000000"/>
          <w:shd w:val="clear" w:color="auto" w:fill="FFFFFF"/>
        </w:rPr>
        <w:t>r</w:t>
      </w:r>
      <w:r w:rsidR="008C5D77" w:rsidRPr="000D4E58">
        <w:rPr>
          <w:rStyle w:val="normaltextrun"/>
          <w:rFonts w:cs="Arial"/>
          <w:color w:val="000000"/>
          <w:shd w:val="clear" w:color="auto" w:fill="FFFFFF"/>
        </w:rPr>
        <w:t xml:space="preserve">eport consists primarily of assessments from </w:t>
      </w:r>
      <w:r w:rsidR="007710C3" w:rsidRPr="000D4E58">
        <w:rPr>
          <w:rStyle w:val="normaltextrun"/>
          <w:rFonts w:cs="Arial"/>
          <w:color w:val="000000"/>
          <w:shd w:val="clear" w:color="auto" w:fill="FFFFFF"/>
        </w:rPr>
        <w:t xml:space="preserve">three Regional Water </w:t>
      </w:r>
      <w:r w:rsidR="007710C3">
        <w:rPr>
          <w:rStyle w:val="normaltextrun"/>
          <w:rFonts w:cs="Arial"/>
          <w:color w:val="000000"/>
          <w:shd w:val="clear" w:color="auto" w:fill="FFFFFF"/>
        </w:rPr>
        <w:t>Boards</w:t>
      </w:r>
      <w:r w:rsidR="008C5D77">
        <w:rPr>
          <w:rStyle w:val="normaltextrun"/>
          <w:rFonts w:cs="Arial"/>
          <w:color w:val="000000"/>
          <w:shd w:val="clear" w:color="auto" w:fill="FFFFFF"/>
        </w:rPr>
        <w:t xml:space="preserve"> </w:t>
      </w:r>
      <w:r w:rsidR="008C5D77" w:rsidRPr="000D4E58">
        <w:rPr>
          <w:rStyle w:val="normaltextrun"/>
          <w:rFonts w:cs="Arial"/>
          <w:color w:val="000000"/>
          <w:shd w:val="clear" w:color="auto" w:fill="FFFFFF"/>
        </w:rPr>
        <w:t xml:space="preserve">that </w:t>
      </w:r>
      <w:r w:rsidR="001D5888" w:rsidRPr="000D4E58">
        <w:rPr>
          <w:rStyle w:val="normaltextrun"/>
          <w:rFonts w:cs="Arial"/>
          <w:color w:val="000000"/>
          <w:shd w:val="clear" w:color="auto" w:fill="FFFFFF"/>
        </w:rPr>
        <w:t xml:space="preserve">are </w:t>
      </w:r>
      <w:r w:rsidR="001D5888">
        <w:rPr>
          <w:rStyle w:val="normaltextrun"/>
          <w:rFonts w:cs="Arial"/>
          <w:color w:val="000000"/>
          <w:shd w:val="clear" w:color="auto" w:fill="FFFFFF"/>
        </w:rPr>
        <w:t xml:space="preserve">characterized as being </w:t>
      </w:r>
      <w:r w:rsidR="008C5D77" w:rsidRPr="000D4E58">
        <w:rPr>
          <w:rStyle w:val="normaltextrun"/>
          <w:rFonts w:cs="Arial"/>
          <w:color w:val="000000"/>
          <w:shd w:val="clear" w:color="auto" w:fill="FFFFFF"/>
        </w:rPr>
        <w:t>"</w:t>
      </w:r>
      <w:r w:rsidR="001D5888" w:rsidRPr="000D4E58">
        <w:rPr>
          <w:rStyle w:val="normaltextrun"/>
          <w:rFonts w:cs="Arial"/>
          <w:color w:val="000000"/>
          <w:shd w:val="clear" w:color="auto" w:fill="FFFFFF"/>
        </w:rPr>
        <w:t>on-cycle</w:t>
      </w:r>
      <w:r w:rsidR="008C5D77" w:rsidRPr="000D4E58">
        <w:rPr>
          <w:rStyle w:val="normaltextrun"/>
          <w:rFonts w:cs="Arial"/>
          <w:color w:val="000000"/>
          <w:shd w:val="clear" w:color="auto" w:fill="FFFFFF"/>
        </w:rPr>
        <w:t>"</w:t>
      </w:r>
      <w:r w:rsidR="001D5888" w:rsidRPr="000D4E58" w:rsidDel="00622165">
        <w:rPr>
          <w:rStyle w:val="normaltextrun"/>
          <w:rFonts w:cs="Arial"/>
          <w:color w:val="000000"/>
          <w:shd w:val="clear" w:color="auto" w:fill="FFFFFF"/>
        </w:rPr>
        <w:t xml:space="preserve"> </w:t>
      </w:r>
      <w:r w:rsidR="001D5888" w:rsidRPr="000D4E58">
        <w:rPr>
          <w:rStyle w:val="normaltextrun"/>
          <w:rFonts w:cs="Arial"/>
          <w:color w:val="000000"/>
          <w:shd w:val="clear" w:color="auto" w:fill="FFFFFF"/>
        </w:rPr>
        <w:t xml:space="preserve">by a </w:t>
      </w:r>
      <w:r w:rsidR="001D5888">
        <w:rPr>
          <w:rStyle w:val="normaltextrun"/>
          <w:rFonts w:cs="Arial"/>
          <w:color w:val="000000"/>
          <w:shd w:val="clear" w:color="auto" w:fill="FFFFFF"/>
        </w:rPr>
        <w:t>n</w:t>
      </w:r>
      <w:r w:rsidR="001D5888" w:rsidRPr="000D4E58">
        <w:rPr>
          <w:rStyle w:val="normaltextrun"/>
          <w:rFonts w:cs="Arial"/>
          <w:color w:val="000000"/>
          <w:shd w:val="clear" w:color="auto" w:fill="FFFFFF"/>
        </w:rPr>
        <w:t xml:space="preserve">otice of </w:t>
      </w:r>
      <w:r w:rsidR="001D5888">
        <w:rPr>
          <w:rStyle w:val="normaltextrun"/>
          <w:rFonts w:cs="Arial"/>
          <w:color w:val="000000"/>
          <w:shd w:val="clear" w:color="auto" w:fill="FFFFFF"/>
        </w:rPr>
        <w:t>public s</w:t>
      </w:r>
      <w:r w:rsidR="001D5888" w:rsidRPr="000D4E58">
        <w:rPr>
          <w:rStyle w:val="normaltextrun"/>
          <w:rFonts w:cs="Arial"/>
          <w:color w:val="000000"/>
          <w:shd w:val="clear" w:color="auto" w:fill="FFFFFF"/>
        </w:rPr>
        <w:t>olicitation</w:t>
      </w:r>
      <w:r w:rsidR="001D5888">
        <w:rPr>
          <w:rStyle w:val="normaltextrun"/>
          <w:rFonts w:cs="Arial"/>
          <w:color w:val="000000"/>
          <w:shd w:val="clear" w:color="auto" w:fill="FFFFFF"/>
        </w:rPr>
        <w:t xml:space="preserve"> of water quality data</w:t>
      </w:r>
      <w:r w:rsidR="001D5888" w:rsidRPr="000D4E58">
        <w:rPr>
          <w:rStyle w:val="normaltextrun"/>
          <w:rFonts w:cs="Arial"/>
          <w:color w:val="000000"/>
          <w:shd w:val="clear" w:color="auto" w:fill="FFFFFF"/>
        </w:rPr>
        <w:t>.</w:t>
      </w:r>
      <w:r w:rsidR="001D5888" w:rsidRPr="000D4E58" w:rsidDel="00622165">
        <w:rPr>
          <w:rStyle w:val="normaltextrun"/>
          <w:rFonts w:cs="Arial"/>
          <w:color w:val="000000"/>
          <w:shd w:val="clear" w:color="auto" w:fill="FFFFFF"/>
        </w:rPr>
        <w:t xml:space="preserve"> </w:t>
      </w:r>
      <w:r w:rsidR="001D5888" w:rsidRPr="000D4E58">
        <w:rPr>
          <w:rStyle w:val="normaltextrun"/>
          <w:rFonts w:cs="Arial"/>
          <w:color w:val="000000"/>
          <w:shd w:val="clear" w:color="auto" w:fill="FFFFFF"/>
        </w:rPr>
        <w:t>The other six Regional Water Boards are</w:t>
      </w:r>
      <w:r w:rsidR="00FA65E6" w:rsidRPr="000D4E58">
        <w:rPr>
          <w:rStyle w:val="normaltextrun"/>
          <w:rFonts w:cs="Arial"/>
          <w:color w:val="000000"/>
          <w:shd w:val="clear" w:color="auto" w:fill="FFFFFF"/>
        </w:rPr>
        <w:t xml:space="preserve"> </w:t>
      </w:r>
      <w:r w:rsidR="008C5D77" w:rsidRPr="000D4E58">
        <w:rPr>
          <w:rStyle w:val="normaltextrun"/>
          <w:rFonts w:cs="Arial"/>
          <w:color w:val="000000"/>
          <w:shd w:val="clear" w:color="auto" w:fill="FFFFFF"/>
        </w:rPr>
        <w:t>"</w:t>
      </w:r>
      <w:r w:rsidR="001D5888" w:rsidRPr="000D4E58">
        <w:rPr>
          <w:rStyle w:val="normaltextrun"/>
          <w:rFonts w:cs="Arial"/>
          <w:color w:val="000000"/>
          <w:shd w:val="clear" w:color="auto" w:fill="FFFFFF"/>
        </w:rPr>
        <w:t>off-cycle</w:t>
      </w:r>
      <w:r w:rsidR="008C5D77" w:rsidRPr="000D4E58">
        <w:rPr>
          <w:rStyle w:val="normaltextrun"/>
          <w:rFonts w:cs="Arial"/>
          <w:color w:val="000000"/>
          <w:shd w:val="clear" w:color="auto" w:fill="FFFFFF"/>
        </w:rPr>
        <w:t>"</w:t>
      </w:r>
      <w:r w:rsidR="008C5D77">
        <w:rPr>
          <w:rStyle w:val="normaltextrun"/>
          <w:rFonts w:cs="Arial"/>
          <w:color w:val="000000"/>
          <w:shd w:val="clear" w:color="auto" w:fill="FFFFFF"/>
        </w:rPr>
        <w:t>; however, they</w:t>
      </w:r>
      <w:r w:rsidR="008C5D77" w:rsidRPr="000D4E58">
        <w:rPr>
          <w:rStyle w:val="normaltextrun"/>
          <w:rFonts w:cs="Arial"/>
          <w:color w:val="000000"/>
          <w:shd w:val="clear" w:color="auto" w:fill="FFFFFF"/>
        </w:rPr>
        <w:t xml:space="preserve"> </w:t>
      </w:r>
      <w:r w:rsidR="001D5888" w:rsidRPr="000D4E58">
        <w:rPr>
          <w:rStyle w:val="normaltextrun"/>
          <w:rFonts w:cs="Arial"/>
          <w:color w:val="000000"/>
          <w:shd w:val="clear" w:color="auto" w:fill="FFFFFF"/>
        </w:rPr>
        <w:t>may assess high-priority data</w:t>
      </w:r>
      <w:r w:rsidR="008C5D77">
        <w:rPr>
          <w:rStyle w:val="normaltextrun"/>
          <w:rFonts w:cs="Arial"/>
          <w:color w:val="000000"/>
          <w:shd w:val="clear" w:color="auto" w:fill="FFFFFF"/>
        </w:rPr>
        <w:t>,</w:t>
      </w:r>
      <w:r w:rsidR="008C5D77" w:rsidRPr="000D4E58">
        <w:rPr>
          <w:rStyle w:val="normaltextrun"/>
          <w:rFonts w:cs="Arial"/>
          <w:color w:val="000000"/>
          <w:shd w:val="clear" w:color="auto" w:fill="FFFFFF"/>
        </w:rPr>
        <w:t xml:space="preserve"> </w:t>
      </w:r>
      <w:r w:rsidR="008C5D77">
        <w:rPr>
          <w:rStyle w:val="normaltextrun"/>
          <w:rFonts w:cs="Arial"/>
          <w:color w:val="000000"/>
          <w:shd w:val="clear" w:color="auto" w:fill="FFFFFF"/>
        </w:rPr>
        <w:t>and</w:t>
      </w:r>
      <w:r w:rsidR="008C5D77" w:rsidRPr="000D4E58">
        <w:rPr>
          <w:rStyle w:val="normaltextrun"/>
          <w:rFonts w:cs="Arial"/>
          <w:color w:val="000000"/>
          <w:shd w:val="clear" w:color="auto" w:fill="FFFFFF"/>
        </w:rPr>
        <w:t xml:space="preserve"> </w:t>
      </w:r>
      <w:r w:rsidR="001D5888">
        <w:rPr>
          <w:rStyle w:val="normaltextrun"/>
          <w:rFonts w:cs="Arial"/>
          <w:color w:val="000000"/>
          <w:shd w:val="clear" w:color="auto" w:fill="FFFFFF"/>
        </w:rPr>
        <w:t>propose</w:t>
      </w:r>
      <w:r w:rsidR="001D5888" w:rsidRPr="000D4E58">
        <w:rPr>
          <w:rStyle w:val="normaltextrun"/>
          <w:rFonts w:cs="Arial"/>
          <w:color w:val="000000"/>
          <w:shd w:val="clear" w:color="auto" w:fill="FFFFFF"/>
        </w:rPr>
        <w:t xml:space="preserve"> changes to the 305(b) </w:t>
      </w:r>
      <w:r w:rsidR="001D5888">
        <w:rPr>
          <w:rStyle w:val="normaltextrun"/>
          <w:rFonts w:cs="Arial"/>
          <w:color w:val="000000"/>
          <w:shd w:val="clear" w:color="auto" w:fill="FFFFFF"/>
        </w:rPr>
        <w:t>report</w:t>
      </w:r>
      <w:r w:rsidR="008C5D77">
        <w:rPr>
          <w:rStyle w:val="normaltextrun"/>
          <w:rFonts w:cs="Arial"/>
          <w:color w:val="000000"/>
          <w:shd w:val="clear" w:color="auto" w:fill="FFFFFF"/>
        </w:rPr>
        <w:t>, as appropriate</w:t>
      </w:r>
      <w:r w:rsidR="008C5D77" w:rsidRPr="000D4E58">
        <w:rPr>
          <w:rStyle w:val="normaltextrun"/>
          <w:rFonts w:cs="Arial"/>
          <w:color w:val="000000"/>
          <w:shd w:val="clear" w:color="auto" w:fill="FFFFFF"/>
        </w:rPr>
        <w:t xml:space="preserve">. </w:t>
      </w:r>
      <w:r w:rsidR="001D5888">
        <w:rPr>
          <w:rStyle w:val="normaltextrun"/>
          <w:rFonts w:cs="Arial"/>
          <w:color w:val="000000"/>
          <w:shd w:val="clear" w:color="auto" w:fill="FFFFFF"/>
        </w:rPr>
        <w:t xml:space="preserve">Every two years, </w:t>
      </w:r>
      <w:r w:rsidR="008C5D77">
        <w:rPr>
          <w:rStyle w:val="normaltextrun"/>
          <w:rFonts w:cs="Arial"/>
          <w:color w:val="000000"/>
          <w:shd w:val="clear" w:color="auto" w:fill="FFFFFF"/>
        </w:rPr>
        <w:t xml:space="preserve">waterbody segments within the boundaries of the </w:t>
      </w:r>
      <w:r w:rsidR="008C5D77" w:rsidRPr="000D4E58">
        <w:rPr>
          <w:rStyle w:val="normaltextrun"/>
          <w:rFonts w:cs="Arial"/>
          <w:color w:val="000000"/>
          <w:shd w:val="clear" w:color="auto" w:fill="FFFFFF"/>
        </w:rPr>
        <w:t xml:space="preserve">Regional Water Boards </w:t>
      </w:r>
      <w:r w:rsidR="008C5D77">
        <w:rPr>
          <w:rStyle w:val="normaltextrun"/>
          <w:rFonts w:cs="Arial"/>
          <w:color w:val="000000"/>
          <w:shd w:val="clear" w:color="auto" w:fill="FFFFFF"/>
        </w:rPr>
        <w:t>characterized as “on-cycle”</w:t>
      </w:r>
      <w:r w:rsidR="001D5888">
        <w:rPr>
          <w:rStyle w:val="normaltextrun"/>
          <w:rFonts w:cs="Arial"/>
          <w:color w:val="000000"/>
          <w:shd w:val="clear" w:color="auto" w:fill="FFFFFF"/>
        </w:rPr>
        <w:t xml:space="preserve"> are </w:t>
      </w:r>
      <w:r w:rsidR="001D5888" w:rsidRPr="000D4E58">
        <w:rPr>
          <w:rStyle w:val="normaltextrun"/>
          <w:rFonts w:cs="Arial"/>
          <w:color w:val="000000"/>
          <w:shd w:val="clear" w:color="auto" w:fill="FFFFFF"/>
        </w:rPr>
        <w:t>rotate</w:t>
      </w:r>
      <w:r w:rsidR="001D5888">
        <w:rPr>
          <w:rStyle w:val="normaltextrun"/>
          <w:rFonts w:cs="Arial"/>
          <w:color w:val="000000"/>
          <w:shd w:val="clear" w:color="auto" w:fill="FFFFFF"/>
        </w:rPr>
        <w:t>d,</w:t>
      </w:r>
      <w:r w:rsidR="001D5888" w:rsidRPr="000D4E58">
        <w:rPr>
          <w:rStyle w:val="normaltextrun"/>
          <w:rFonts w:cs="Arial"/>
          <w:color w:val="000000"/>
          <w:shd w:val="clear" w:color="auto" w:fill="FFFFFF"/>
        </w:rPr>
        <w:t xml:space="preserve"> and </w:t>
      </w:r>
      <w:r w:rsidR="00EF55DD">
        <w:rPr>
          <w:rStyle w:val="normaltextrun"/>
          <w:rFonts w:cs="Arial"/>
          <w:color w:val="000000"/>
          <w:shd w:val="clear" w:color="auto" w:fill="FFFFFF"/>
        </w:rPr>
        <w:t xml:space="preserve">data </w:t>
      </w:r>
      <w:r w:rsidR="008C5D77">
        <w:rPr>
          <w:rStyle w:val="normaltextrun"/>
          <w:rFonts w:cs="Arial"/>
          <w:color w:val="000000"/>
          <w:shd w:val="clear" w:color="auto" w:fill="FFFFFF"/>
        </w:rPr>
        <w:t>for waterbody segments within</w:t>
      </w:r>
      <w:r w:rsidR="00EF55DD">
        <w:rPr>
          <w:rStyle w:val="normaltextrun"/>
          <w:rFonts w:cs="Arial"/>
          <w:color w:val="000000"/>
          <w:shd w:val="clear" w:color="auto" w:fill="FFFFFF"/>
        </w:rPr>
        <w:t xml:space="preserve"> each</w:t>
      </w:r>
      <w:r w:rsidR="001D5888" w:rsidRPr="000D4E58">
        <w:rPr>
          <w:rStyle w:val="normaltextrun"/>
          <w:rFonts w:cs="Arial"/>
          <w:color w:val="000000"/>
          <w:shd w:val="clear" w:color="auto" w:fill="FFFFFF"/>
        </w:rPr>
        <w:t xml:space="preserve"> </w:t>
      </w:r>
      <w:r w:rsidR="00EF55DD">
        <w:rPr>
          <w:rStyle w:val="normaltextrun"/>
          <w:rFonts w:cs="Arial"/>
          <w:color w:val="000000"/>
          <w:shd w:val="clear" w:color="auto" w:fill="FFFFFF"/>
        </w:rPr>
        <w:t>R</w:t>
      </w:r>
      <w:r w:rsidR="001D5888" w:rsidRPr="000D4E58">
        <w:rPr>
          <w:rStyle w:val="normaltextrun"/>
          <w:rFonts w:cs="Arial"/>
          <w:color w:val="000000"/>
          <w:shd w:val="clear" w:color="auto" w:fill="FFFFFF"/>
        </w:rPr>
        <w:t>egion</w:t>
      </w:r>
      <w:r w:rsidR="00EF55DD">
        <w:rPr>
          <w:rStyle w:val="normaltextrun"/>
          <w:rFonts w:cs="Arial"/>
          <w:color w:val="000000"/>
          <w:shd w:val="clear" w:color="auto" w:fill="FFFFFF"/>
        </w:rPr>
        <w:t>al Water Board</w:t>
      </w:r>
      <w:r w:rsidR="001D5888" w:rsidRPr="000D4E58">
        <w:rPr>
          <w:rStyle w:val="normaltextrun"/>
          <w:rFonts w:cs="Arial"/>
          <w:color w:val="000000"/>
          <w:shd w:val="clear" w:color="auto" w:fill="FFFFFF"/>
        </w:rPr>
        <w:t xml:space="preserve"> </w:t>
      </w:r>
      <w:r w:rsidR="008C5D77">
        <w:rPr>
          <w:rStyle w:val="normaltextrun"/>
          <w:rFonts w:cs="Arial"/>
          <w:color w:val="000000"/>
          <w:shd w:val="clear" w:color="auto" w:fill="FFFFFF"/>
        </w:rPr>
        <w:t>are</w:t>
      </w:r>
      <w:r w:rsidR="008C5D77" w:rsidRPr="000D4E58">
        <w:rPr>
          <w:rStyle w:val="normaltextrun"/>
          <w:rFonts w:cs="Arial"/>
          <w:color w:val="000000"/>
          <w:shd w:val="clear" w:color="auto" w:fill="FFFFFF"/>
        </w:rPr>
        <w:t xml:space="preserve"> fully assessed once every six years.</w:t>
      </w:r>
      <w:r w:rsidR="001D5888">
        <w:rPr>
          <w:rStyle w:val="normaltextrun"/>
          <w:rFonts w:cs="Arial"/>
          <w:color w:val="000000"/>
          <w:shd w:val="clear" w:color="auto" w:fill="FFFFFF"/>
        </w:rPr>
        <w:t xml:space="preserve"> </w:t>
      </w:r>
    </w:p>
    <w:p w14:paraId="250A07CC" w14:textId="4529572A" w:rsidR="009359FD" w:rsidRDefault="004246DE" w:rsidP="007710C3">
      <w:r w:rsidRPr="2242C92D">
        <w:rPr>
          <w:rFonts w:eastAsia="Arial" w:cs="Arial"/>
        </w:rPr>
        <w:t xml:space="preserve">Each </w:t>
      </w:r>
      <w:r w:rsidR="008B175E">
        <w:rPr>
          <w:rFonts w:eastAsia="Arial" w:cs="Arial"/>
        </w:rPr>
        <w:t>integrated report</w:t>
      </w:r>
      <w:r w:rsidRPr="2242C92D">
        <w:rPr>
          <w:rFonts w:eastAsia="Arial" w:cs="Arial"/>
        </w:rPr>
        <w:t xml:space="preserve"> builds on assessments from the previous </w:t>
      </w:r>
      <w:r w:rsidR="008B175E">
        <w:rPr>
          <w:rFonts w:eastAsia="Arial" w:cs="Arial"/>
        </w:rPr>
        <w:t>integrated report</w:t>
      </w:r>
      <w:r w:rsidRPr="2242C92D">
        <w:rPr>
          <w:rFonts w:eastAsia="Arial" w:cs="Arial"/>
        </w:rPr>
        <w:t xml:space="preserve">. The listings and 305(b) waterbody category assignments from the prior California Integrated Report for all </w:t>
      </w:r>
      <w:r w:rsidR="00450057" w:rsidRPr="2242C92D">
        <w:rPr>
          <w:rFonts w:eastAsia="Arial" w:cs="Arial"/>
        </w:rPr>
        <w:t>waterbod</w:t>
      </w:r>
      <w:r w:rsidR="00450057">
        <w:rPr>
          <w:rFonts w:eastAsia="Arial" w:cs="Arial"/>
        </w:rPr>
        <w:t>y segments</w:t>
      </w:r>
      <w:r w:rsidR="00450057" w:rsidRPr="2242C92D">
        <w:rPr>
          <w:rFonts w:eastAsia="Arial" w:cs="Arial"/>
        </w:rPr>
        <w:t xml:space="preserve"> </w:t>
      </w:r>
      <w:r w:rsidRPr="2242C92D">
        <w:rPr>
          <w:rFonts w:eastAsia="Arial" w:cs="Arial"/>
        </w:rPr>
        <w:t xml:space="preserve">are carried over into the current California Integrated Report. All readily available data and information received during the data solicitation period for the current listing cycle are </w:t>
      </w:r>
      <w:r w:rsidR="008B3A32">
        <w:rPr>
          <w:rFonts w:eastAsia="Arial" w:cs="Arial"/>
        </w:rPr>
        <w:t>assembled and evaluated</w:t>
      </w:r>
      <w:r w:rsidR="00A34AA4">
        <w:rPr>
          <w:rFonts w:eastAsia="Arial" w:cs="Arial"/>
        </w:rPr>
        <w:t>,</w:t>
      </w:r>
      <w:r w:rsidR="008B3A32" w:rsidRPr="2242C92D">
        <w:rPr>
          <w:rFonts w:eastAsia="Arial" w:cs="Arial"/>
        </w:rPr>
        <w:t xml:space="preserve"> </w:t>
      </w:r>
      <w:r w:rsidRPr="2242C92D">
        <w:rPr>
          <w:rFonts w:eastAsia="Arial" w:cs="Arial"/>
        </w:rPr>
        <w:t xml:space="preserve">and </w:t>
      </w:r>
      <w:r w:rsidR="00EA38B5">
        <w:rPr>
          <w:rFonts w:eastAsia="Arial" w:cs="Arial"/>
        </w:rPr>
        <w:t>assessments</w:t>
      </w:r>
      <w:r w:rsidRPr="2242C92D">
        <w:rPr>
          <w:rFonts w:eastAsia="Arial" w:cs="Arial"/>
        </w:rPr>
        <w:t xml:space="preserve"> are </w:t>
      </w:r>
      <w:r w:rsidR="00EA38B5">
        <w:rPr>
          <w:rFonts w:eastAsia="Arial" w:cs="Arial"/>
        </w:rPr>
        <w:t xml:space="preserve">developed or </w:t>
      </w:r>
      <w:r w:rsidRPr="2242C92D">
        <w:rPr>
          <w:rFonts w:eastAsia="Arial" w:cs="Arial"/>
        </w:rPr>
        <w:t>revised, as appropriate</w:t>
      </w:r>
      <w:r w:rsidRPr="004502A9">
        <w:rPr>
          <w:rFonts w:eastAsia="Arial" w:cs="Arial"/>
        </w:rPr>
        <w:t>.</w:t>
      </w:r>
      <w:r w:rsidRPr="2242C92D">
        <w:rPr>
          <w:rFonts w:eastAsia="Arial" w:cs="Arial"/>
        </w:rPr>
        <w:t xml:space="preserve"> Thus the </w:t>
      </w:r>
      <w:r>
        <w:rPr>
          <w:rFonts w:eastAsia="Arial" w:cs="Arial"/>
        </w:rPr>
        <w:t>2026</w:t>
      </w:r>
      <w:r w:rsidRPr="004502A9">
        <w:rPr>
          <w:rFonts w:eastAsia="Arial" w:cs="Arial"/>
        </w:rPr>
        <w:t xml:space="preserve"> </w:t>
      </w:r>
      <w:r>
        <w:rPr>
          <w:rFonts w:eastAsia="Arial" w:cs="Arial"/>
        </w:rPr>
        <w:t>California</w:t>
      </w:r>
      <w:r w:rsidRPr="004502A9">
        <w:rPr>
          <w:rFonts w:eastAsia="Arial" w:cs="Arial"/>
        </w:rPr>
        <w:t xml:space="preserve"> </w:t>
      </w:r>
      <w:r w:rsidRPr="2242C92D">
        <w:rPr>
          <w:rFonts w:eastAsia="Arial" w:cs="Arial"/>
        </w:rPr>
        <w:t xml:space="preserve">Integrated Report builds upon the </w:t>
      </w:r>
      <w:r>
        <w:rPr>
          <w:rFonts w:eastAsia="Arial" w:cs="Arial"/>
        </w:rPr>
        <w:t>2024</w:t>
      </w:r>
      <w:r w:rsidRPr="2242C92D">
        <w:rPr>
          <w:rFonts w:eastAsia="Arial" w:cs="Arial"/>
        </w:rPr>
        <w:t xml:space="preserve"> California Integrated Report and contains all prior assessments as well as any new or revised assessments based on the data received prior to the end of the </w:t>
      </w:r>
      <w:r>
        <w:rPr>
          <w:rFonts w:eastAsia="Arial" w:cs="Arial"/>
        </w:rPr>
        <w:t>2026</w:t>
      </w:r>
      <w:r w:rsidRPr="2242C92D">
        <w:rPr>
          <w:rFonts w:eastAsia="Arial" w:cs="Arial"/>
        </w:rPr>
        <w:t xml:space="preserve"> California Integrated Report data solicitation period</w:t>
      </w:r>
      <w:r w:rsidR="001414C3">
        <w:t xml:space="preserve">. </w:t>
      </w:r>
      <w:r w:rsidR="009359FD">
        <w:t xml:space="preserve">This assessment approach </w:t>
      </w:r>
      <w:r w:rsidR="001414C3">
        <w:t>is</w:t>
      </w:r>
      <w:r w:rsidR="009359FD">
        <w:t xml:space="preserve"> referred to as a rotating basin </w:t>
      </w:r>
      <w:r w:rsidR="00374C1C">
        <w:t>approach</w:t>
      </w:r>
      <w:r w:rsidR="009359FD">
        <w:t>.</w:t>
      </w:r>
    </w:p>
    <w:p w14:paraId="39EC9495" w14:textId="2A27DB66" w:rsidR="005F3C82" w:rsidRDefault="00642114" w:rsidP="007710C3">
      <w:r>
        <w:t>T</w:t>
      </w:r>
      <w:r w:rsidR="00E75F5D">
        <w:t xml:space="preserve">he </w:t>
      </w:r>
      <w:r w:rsidR="003C1871">
        <w:t xml:space="preserve">rotating basin </w:t>
      </w:r>
      <w:r w:rsidR="00E75F5D" w:rsidDel="003C1871">
        <w:t>approach</w:t>
      </w:r>
      <w:r w:rsidR="00E75F5D">
        <w:t xml:space="preserve"> </w:t>
      </w:r>
      <w:r>
        <w:t xml:space="preserve">was established </w:t>
      </w:r>
      <w:r w:rsidR="000A4430">
        <w:t xml:space="preserve">after the State Water Board adopted </w:t>
      </w:r>
      <w:r w:rsidR="004E148E">
        <w:t>a</w:t>
      </w:r>
      <w:r w:rsidR="00E75F5D">
        <w:t xml:space="preserve"> Listing Policy</w:t>
      </w:r>
      <w:r w:rsidR="004E148E">
        <w:t xml:space="preserve"> Amendment</w:t>
      </w:r>
      <w:r w:rsidR="00E75F5D">
        <w:t xml:space="preserve"> in 2015 (Resolution</w:t>
      </w:r>
      <w:r w:rsidR="008D0E5A">
        <w:t xml:space="preserve"> No.</w:t>
      </w:r>
      <w:r w:rsidR="00E75F5D">
        <w:t xml:space="preserve"> 2015-0005</w:t>
      </w:r>
      <w:r w:rsidR="0045532A" w:rsidRPr="0045532A">
        <w:t xml:space="preserve"> </w:t>
      </w:r>
      <w:r w:rsidR="0045532A">
        <w:t>recital, 14</w:t>
      </w:r>
      <w:r w:rsidR="00E75F5D">
        <w:t xml:space="preserve">). The adopting resolution explains, </w:t>
      </w:r>
    </w:p>
    <w:p w14:paraId="7A6F7AAF" w14:textId="25CC635F" w:rsidR="005F3C82" w:rsidRDefault="00E75F5D" w:rsidP="005F3C82">
      <w:pPr>
        <w:ind w:left="720"/>
      </w:pPr>
      <w:r>
        <w:t>On November 12, 2013, the State Water Board provided electronic notice to persons interested in the California Integrated Report that the State Water Board and U.S. EPA were discussing strategies to make the process for developing the Integrated Report more efficient and submittals to U.S. EPA more timely. That notice included a link to a letter to U.S. EPA from the State Water Board, Division of Water Quality (dated July 15, 2013), which detailed proposed procedural changes to the Listing Policy. The notice also described the strategy of having the 303(d) List be comprised of a portion of the nine Regional Water Board listing recommendations each listing cycle.</w:t>
      </w:r>
    </w:p>
    <w:p w14:paraId="4D6DB5FA" w14:textId="3A4859E0" w:rsidR="00E75F5D" w:rsidRDefault="00E75F5D" w:rsidP="005F3C82">
      <w:r>
        <w:t xml:space="preserve">Since establishing the </w:t>
      </w:r>
      <w:r w:rsidR="003C1871">
        <w:t xml:space="preserve">rotating basin </w:t>
      </w:r>
      <w:r w:rsidR="00C93DA3">
        <w:t>approach</w:t>
      </w:r>
      <w:r w:rsidR="008B1D36">
        <w:t xml:space="preserve"> </w:t>
      </w:r>
      <w:r>
        <w:t xml:space="preserve">in 2015, </w:t>
      </w:r>
      <w:r w:rsidR="00313C98">
        <w:t>USEPA</w:t>
      </w:r>
      <w:r>
        <w:t xml:space="preserve"> has approved </w:t>
      </w:r>
      <w:r w:rsidR="00CD3B3D">
        <w:t xml:space="preserve">four </w:t>
      </w:r>
      <w:r w:rsidR="008E7484">
        <w:t>i</w:t>
      </w:r>
      <w:r>
        <w:t xml:space="preserve">ntegrated </w:t>
      </w:r>
      <w:r w:rsidR="008E7484">
        <w:t>r</w:t>
      </w:r>
      <w:r>
        <w:t>eport</w:t>
      </w:r>
      <w:r w:rsidR="008E7484">
        <w:t>s</w:t>
      </w:r>
      <w:r>
        <w:t>.</w:t>
      </w:r>
      <w:r w:rsidR="00CD3B3D">
        <w:t xml:space="preserve"> </w:t>
      </w:r>
    </w:p>
    <w:p w14:paraId="57D84F9C" w14:textId="20AAE804" w:rsidR="007710C3" w:rsidRPr="000D2B6A" w:rsidRDefault="00410098" w:rsidP="000D2B6A">
      <w:pPr>
        <w:rPr>
          <w:rFonts w:cs="Arial"/>
        </w:rPr>
      </w:pPr>
      <w:r>
        <w:t xml:space="preserve">The rotating basin </w:t>
      </w:r>
      <w:r w:rsidR="008B58F7">
        <w:t xml:space="preserve">approach </w:t>
      </w:r>
      <w:r>
        <w:t xml:space="preserve">retains the manageability and feasibility of region-wide water quality assessments and timely </w:t>
      </w:r>
      <w:r w:rsidR="00793977">
        <w:t xml:space="preserve">integrated report </w:t>
      </w:r>
      <w:r>
        <w:t>submissions</w:t>
      </w:r>
      <w:r w:rsidR="009D7B71">
        <w:t>.</w:t>
      </w:r>
      <w:r>
        <w:t xml:space="preserve"> Conducting water quality assessments on a region-specific level allows time to conduct a thorough assessment of the data ensuring high-quality, transparent assessments are used to inform the </w:t>
      </w:r>
      <w:r w:rsidR="006C6FEE">
        <w:t>integrated report</w:t>
      </w:r>
      <w:r>
        <w:t xml:space="preserve">. </w:t>
      </w:r>
      <w:r w:rsidR="007402B6">
        <w:t>Additionally,</w:t>
      </w:r>
      <w:r>
        <w:t xml:space="preserve"> </w:t>
      </w:r>
      <w:r w:rsidR="007402B6">
        <w:t>t</w:t>
      </w:r>
      <w:r>
        <w:t>his</w:t>
      </w:r>
      <w:r w:rsidDel="003E5985">
        <w:t xml:space="preserve"> </w:t>
      </w:r>
      <w:r w:rsidR="003E5985">
        <w:t xml:space="preserve">approach </w:t>
      </w:r>
      <w:r>
        <w:t xml:space="preserve">is consistent with </w:t>
      </w:r>
      <w:r w:rsidR="00313C98">
        <w:t>USEPA</w:t>
      </w:r>
      <w:r>
        <w:t xml:space="preserve"> Memorandum: Guidance for 2004 Assessment, listing and Reporting Requirements Pursuant to Sections 303(d) and 305(b) of the Clean Water Act; TMDL-01-03</w:t>
      </w:r>
      <w:r w:rsidR="00374C1C">
        <w:t xml:space="preserve"> (</w:t>
      </w:r>
      <w:hyperlink r:id="rId25" w:history="1">
        <w:r w:rsidR="00374C1C" w:rsidRPr="00BA3649">
          <w:rPr>
            <w:rStyle w:val="Hyperlink"/>
          </w:rPr>
          <w:t>https://www.epa.gov/sites/default/files/2015-10/documents/2003_07_23_tmdl_tmdl0103_2004rpt_guidance.pdf</w:t>
        </w:r>
      </w:hyperlink>
      <w:r w:rsidR="00374C1C">
        <w:t>)</w:t>
      </w:r>
      <w:r>
        <w:t>.</w:t>
      </w:r>
    </w:p>
    <w:p w14:paraId="2072ED37" w14:textId="0C4EE527" w:rsidR="007710C3" w:rsidRPr="00D24CC2" w:rsidRDefault="007710C3" w:rsidP="00C675CD">
      <w:pPr>
        <w:rPr>
          <w:rFonts w:eastAsia="Arial" w:cs="Arial"/>
        </w:rPr>
      </w:pPr>
      <w:r w:rsidRPr="004502A9">
        <w:rPr>
          <w:rFonts w:eastAsia="Arial" w:cs="Arial"/>
        </w:rPr>
        <w:t xml:space="preserve">For the </w:t>
      </w:r>
      <w:r w:rsidR="00C6428D">
        <w:rPr>
          <w:rFonts w:eastAsia="Arial" w:cs="Arial"/>
        </w:rPr>
        <w:t>2026</w:t>
      </w:r>
      <w:r w:rsidRPr="004502A9">
        <w:rPr>
          <w:rFonts w:eastAsia="Arial" w:cs="Arial"/>
        </w:rPr>
        <w:t xml:space="preserve"> </w:t>
      </w:r>
      <w:r w:rsidR="007F2481">
        <w:rPr>
          <w:rFonts w:eastAsia="Arial" w:cs="Arial"/>
        </w:rPr>
        <w:t>California Integrated Report</w:t>
      </w:r>
      <w:r w:rsidRPr="004502A9">
        <w:rPr>
          <w:rFonts w:eastAsia="Arial" w:cs="Arial"/>
        </w:rPr>
        <w:t xml:space="preserve">, </w:t>
      </w:r>
      <w:r w:rsidR="00250DF6">
        <w:rPr>
          <w:rFonts w:eastAsia="Arial" w:cs="Arial"/>
        </w:rPr>
        <w:t xml:space="preserve">the </w:t>
      </w:r>
      <w:r w:rsidR="00C675CD">
        <w:rPr>
          <w:rFonts w:cs="Arial"/>
        </w:rPr>
        <w:t>North Coast,</w:t>
      </w:r>
      <w:r w:rsidR="00C675CD" w:rsidRPr="00C675CD">
        <w:rPr>
          <w:rFonts w:cs="Arial"/>
        </w:rPr>
        <w:t xml:space="preserve"> </w:t>
      </w:r>
      <w:r w:rsidR="00C675CD">
        <w:rPr>
          <w:rFonts w:cs="Arial"/>
        </w:rPr>
        <w:t xml:space="preserve">Lahontan, and Colorado River Basin </w:t>
      </w:r>
      <w:r w:rsidR="00663742" w:rsidRPr="004502A9">
        <w:rPr>
          <w:rFonts w:eastAsia="Arial" w:cs="Arial"/>
        </w:rPr>
        <w:t>Regional Water Boards</w:t>
      </w:r>
      <w:r w:rsidR="00DE617A">
        <w:rPr>
          <w:rFonts w:eastAsia="Arial" w:cs="Arial"/>
        </w:rPr>
        <w:t xml:space="preserve"> </w:t>
      </w:r>
      <w:r w:rsidRPr="004502A9">
        <w:rPr>
          <w:rFonts w:eastAsia="Arial" w:cs="Arial"/>
        </w:rPr>
        <w:t>are “on</w:t>
      </w:r>
      <w:r w:rsidR="00E239CA">
        <w:rPr>
          <w:rFonts w:eastAsia="Arial" w:cs="Arial"/>
        </w:rPr>
        <w:t>-</w:t>
      </w:r>
      <w:r w:rsidRPr="004502A9">
        <w:rPr>
          <w:rFonts w:eastAsia="Arial" w:cs="Arial"/>
        </w:rPr>
        <w:t xml:space="preserve">cycle.” All readily available data and information </w:t>
      </w:r>
      <w:r w:rsidR="00C33205">
        <w:rPr>
          <w:rFonts w:eastAsia="Arial" w:cs="Arial"/>
        </w:rPr>
        <w:t xml:space="preserve">for </w:t>
      </w:r>
      <w:r w:rsidR="00B63C8A">
        <w:rPr>
          <w:rFonts w:eastAsia="Arial" w:cs="Arial"/>
        </w:rPr>
        <w:t>surface waters within the boundaries of</w:t>
      </w:r>
      <w:r w:rsidR="00C33205">
        <w:rPr>
          <w:rFonts w:eastAsia="Arial" w:cs="Arial"/>
        </w:rPr>
        <w:t xml:space="preserve"> these Regional Water </w:t>
      </w:r>
      <w:r w:rsidR="0087177E">
        <w:rPr>
          <w:rFonts w:eastAsia="Arial" w:cs="Arial"/>
        </w:rPr>
        <w:t>B</w:t>
      </w:r>
      <w:r w:rsidR="00C33205">
        <w:rPr>
          <w:rFonts w:eastAsia="Arial" w:cs="Arial"/>
        </w:rPr>
        <w:t xml:space="preserve">oards received prior to the data solicitation cut-off date of October </w:t>
      </w:r>
      <w:r w:rsidR="00997B89">
        <w:rPr>
          <w:rFonts w:eastAsia="Arial" w:cs="Arial"/>
        </w:rPr>
        <w:t>21</w:t>
      </w:r>
      <w:r w:rsidR="00C33205">
        <w:rPr>
          <w:rFonts w:eastAsia="Arial" w:cs="Arial"/>
        </w:rPr>
        <w:t>, 202</w:t>
      </w:r>
      <w:r w:rsidR="00997B89">
        <w:rPr>
          <w:rFonts w:eastAsia="Arial" w:cs="Arial"/>
        </w:rPr>
        <w:t>2</w:t>
      </w:r>
      <w:r w:rsidR="0030379C">
        <w:rPr>
          <w:rFonts w:eastAsia="Arial" w:cs="Arial"/>
        </w:rPr>
        <w:t>,</w:t>
      </w:r>
      <w:r w:rsidRPr="004502A9">
        <w:rPr>
          <w:rFonts w:eastAsia="Arial" w:cs="Arial"/>
        </w:rPr>
        <w:t xml:space="preserve"> were considered.</w:t>
      </w:r>
      <w:r w:rsidR="00DE0716">
        <w:rPr>
          <w:rFonts w:eastAsia="Arial" w:cs="Arial"/>
        </w:rPr>
        <w:t xml:space="preserve"> </w:t>
      </w:r>
      <w:r w:rsidR="00D24CC2">
        <w:rPr>
          <w:rFonts w:eastAsia="Arial" w:cs="Arial"/>
        </w:rPr>
        <w:t>In addition</w:t>
      </w:r>
      <w:r w:rsidR="00D24CC2" w:rsidRPr="004502A9">
        <w:rPr>
          <w:rFonts w:cs="Arial"/>
        </w:rPr>
        <w:t>, all readily available data and information from waterbod</w:t>
      </w:r>
      <w:r w:rsidR="00D24CC2">
        <w:rPr>
          <w:rFonts w:cs="Arial"/>
        </w:rPr>
        <w:t>y segments</w:t>
      </w:r>
      <w:r w:rsidR="00D24CC2" w:rsidRPr="004502A9">
        <w:rPr>
          <w:rFonts w:cs="Arial"/>
        </w:rPr>
        <w:t xml:space="preserve"> </w:t>
      </w:r>
      <w:r w:rsidR="00D24CC2">
        <w:rPr>
          <w:rFonts w:cs="Arial"/>
        </w:rPr>
        <w:t xml:space="preserve">within the San Joaquin River sub-area of the Central Valley Regional Water Board were considered for “off-cycle” assessments. The San Joaquin River sub-area is defined as </w:t>
      </w:r>
      <w:r w:rsidR="00D24CC2">
        <w:t xml:space="preserve">the </w:t>
      </w:r>
      <w:r w:rsidR="00D24CC2">
        <w:rPr>
          <w:rFonts w:cs="Arial"/>
        </w:rPr>
        <w:t>San Joaquin</w:t>
      </w:r>
      <w:r w:rsidR="00D24CC2">
        <w:t xml:space="preserve"> River watershed and includes the mainstem of the San Joaquin River upstream of the legal boundary of the Sacramento-San Joaquin Delta and all surface waters tributary to the mainstem.</w:t>
      </w:r>
      <w:r w:rsidR="00D24CC2">
        <w:rPr>
          <w:rFonts w:eastAsia="Arial" w:cs="Arial"/>
        </w:rPr>
        <w:t xml:space="preserve"> </w:t>
      </w:r>
      <w:r w:rsidR="002F55DB">
        <w:rPr>
          <w:rFonts w:cs="Arial"/>
        </w:rPr>
        <w:t>Finally</w:t>
      </w:r>
      <w:r w:rsidR="00DE0716" w:rsidRPr="004502A9">
        <w:rPr>
          <w:rFonts w:cs="Arial"/>
        </w:rPr>
        <w:t xml:space="preserve">, </w:t>
      </w:r>
      <w:r w:rsidR="002F55DB">
        <w:rPr>
          <w:rFonts w:cs="Arial"/>
        </w:rPr>
        <w:t>some</w:t>
      </w:r>
      <w:r w:rsidR="00F1798F">
        <w:rPr>
          <w:rFonts w:cs="Arial"/>
        </w:rPr>
        <w:t xml:space="preserve"> </w:t>
      </w:r>
      <w:r w:rsidR="000420F2">
        <w:rPr>
          <w:rFonts w:eastAsia="Arial" w:cs="Arial"/>
        </w:rPr>
        <w:t>data and information from</w:t>
      </w:r>
      <w:r w:rsidR="000420F2" w:rsidRPr="004502A9">
        <w:rPr>
          <w:rFonts w:eastAsia="Arial" w:cs="Arial"/>
        </w:rPr>
        <w:t xml:space="preserve"> </w:t>
      </w:r>
      <w:r w:rsidR="000420F2">
        <w:rPr>
          <w:rFonts w:cs="Arial"/>
        </w:rPr>
        <w:t>several waterbod</w:t>
      </w:r>
      <w:r w:rsidR="00617F72">
        <w:rPr>
          <w:rFonts w:cs="Arial"/>
        </w:rPr>
        <w:t>y segments</w:t>
      </w:r>
      <w:r w:rsidR="000420F2">
        <w:rPr>
          <w:rFonts w:cs="Arial"/>
        </w:rPr>
        <w:t xml:space="preserve"> within </w:t>
      </w:r>
      <w:r w:rsidR="000420F2" w:rsidRPr="004502A9">
        <w:rPr>
          <w:rFonts w:cs="Arial"/>
        </w:rPr>
        <w:t xml:space="preserve">the </w:t>
      </w:r>
      <w:r w:rsidR="00C655D4">
        <w:rPr>
          <w:rFonts w:cs="Arial"/>
        </w:rPr>
        <w:t xml:space="preserve">Central Coast and </w:t>
      </w:r>
      <w:r w:rsidR="000420F2" w:rsidRPr="004502A9">
        <w:rPr>
          <w:rFonts w:cs="Arial"/>
        </w:rPr>
        <w:t>San Diego Regional Water</w:t>
      </w:r>
      <w:r w:rsidR="000420F2">
        <w:rPr>
          <w:rFonts w:cs="Arial"/>
        </w:rPr>
        <w:t xml:space="preserve"> </w:t>
      </w:r>
      <w:r w:rsidR="000420F2" w:rsidRPr="004502A9">
        <w:rPr>
          <w:rFonts w:cs="Arial"/>
        </w:rPr>
        <w:t>Board were considered as “off</w:t>
      </w:r>
      <w:r w:rsidR="000420F2">
        <w:rPr>
          <w:rFonts w:cs="Arial"/>
        </w:rPr>
        <w:t>-</w:t>
      </w:r>
      <w:r w:rsidR="000420F2" w:rsidRPr="004502A9">
        <w:rPr>
          <w:rFonts w:cs="Arial"/>
        </w:rPr>
        <w:t>cycle” assessments</w:t>
      </w:r>
      <w:r w:rsidR="00667D91">
        <w:rPr>
          <w:rFonts w:cs="Arial"/>
        </w:rPr>
        <w:t xml:space="preserve">. </w:t>
      </w:r>
    </w:p>
    <w:p w14:paraId="17B0B0E1" w14:textId="06367090" w:rsidR="00E40924" w:rsidRDefault="00874760" w:rsidP="00597DE8">
      <w:pPr>
        <w:pStyle w:val="Heading2"/>
      </w:pPr>
      <w:bookmarkStart w:id="36" w:name="_Toc189048547"/>
      <w:r>
        <w:t>Racial Equity</w:t>
      </w:r>
      <w:bookmarkEnd w:id="36"/>
      <w:r>
        <w:t xml:space="preserve"> </w:t>
      </w:r>
    </w:p>
    <w:p w14:paraId="21631148" w14:textId="4114759C" w:rsidR="008B5535" w:rsidRDefault="00891C79" w:rsidP="00E40924">
      <w:r>
        <w:t>The Water Boards</w:t>
      </w:r>
      <w:r w:rsidR="00B63C8A">
        <w:t>’</w:t>
      </w:r>
      <w:r>
        <w:t xml:space="preserve"> mission is to preserve, enhance, and restore the quality of California’s water resources and drinking water for the protection of the environment, public health, and all beneficial uses, and to ensure proper water resource allocation and efficient use for the benefit of present and future generations. In relation to this mission, the </w:t>
      </w:r>
      <w:r w:rsidR="0094640F">
        <w:t>State</w:t>
      </w:r>
      <w:r>
        <w:t xml:space="preserve"> Water Boards accept responsibility for confronting structural and institutional racism and advancing racial equity. </w:t>
      </w:r>
      <w:r w:rsidR="00580240">
        <w:t>In</w:t>
      </w:r>
      <w:r w:rsidR="00550037">
        <w:t xml:space="preserve"> 2021</w:t>
      </w:r>
      <w:r w:rsidR="00C336F8">
        <w:t>,</w:t>
      </w:r>
      <w:r w:rsidR="00550037">
        <w:t xml:space="preserve"> the State Water Board adopted </w:t>
      </w:r>
      <w:r w:rsidR="00C82E7D">
        <w:t>a resolution titled</w:t>
      </w:r>
      <w:r w:rsidR="00866900">
        <w:t>, “Condem</w:t>
      </w:r>
      <w:r w:rsidR="00B272C8">
        <w:t>n</w:t>
      </w:r>
      <w:r w:rsidR="00866900">
        <w:t xml:space="preserve">ing </w:t>
      </w:r>
      <w:r w:rsidR="00A36D9E">
        <w:t>R</w:t>
      </w:r>
      <w:r w:rsidR="00866900">
        <w:t>acism, Xenophobia, Bigotry, and Racial Injustice</w:t>
      </w:r>
      <w:r w:rsidR="00B272C8">
        <w:t xml:space="preserve">, and </w:t>
      </w:r>
      <w:r w:rsidR="0017010C">
        <w:t>Strengthening</w:t>
      </w:r>
      <w:r w:rsidR="00B272C8">
        <w:t xml:space="preserve"> Commitment </w:t>
      </w:r>
      <w:r w:rsidR="0050691F">
        <w:t>to Racial Equity</w:t>
      </w:r>
      <w:r w:rsidR="0017010C">
        <w:t>, Diversity, Inclusion</w:t>
      </w:r>
      <w:r w:rsidR="00523503">
        <w:t>, Access, and Anti-Racism</w:t>
      </w:r>
      <w:r w:rsidR="000D0E1A">
        <w:t>” (</w:t>
      </w:r>
      <w:hyperlink r:id="rId26" w:history="1">
        <w:r w:rsidR="000D0E1A" w:rsidRPr="00457A79">
          <w:rPr>
            <w:rStyle w:val="Hyperlink"/>
          </w:rPr>
          <w:t>Resolution No. 2021-0050</w:t>
        </w:r>
      </w:hyperlink>
      <w:r w:rsidR="000D0E1A">
        <w:t xml:space="preserve">) </w:t>
      </w:r>
      <w:r w:rsidR="00457A79">
        <w:t>(</w:t>
      </w:r>
      <w:hyperlink r:id="rId27" w:history="1">
        <w:r w:rsidR="00D92A5D" w:rsidRPr="00016C80">
          <w:rPr>
            <w:rStyle w:val="Hyperlink"/>
          </w:rPr>
          <w:t>https://www.waterboards.ca.gov/board_decisions/adopted_orders/resolutions/2021/rs2021_0050.pdf</w:t>
        </w:r>
      </w:hyperlink>
      <w:r w:rsidR="00D92A5D">
        <w:t>)</w:t>
      </w:r>
      <w:r w:rsidR="00454322">
        <w:t>.</w:t>
      </w:r>
      <w:r w:rsidR="00D92A5D">
        <w:t xml:space="preserve"> </w:t>
      </w:r>
    </w:p>
    <w:p w14:paraId="0D94397B" w14:textId="482F1048" w:rsidR="00F54D03" w:rsidRDefault="00A4163B" w:rsidP="00E40924">
      <w:r>
        <w:t xml:space="preserve">In </w:t>
      </w:r>
      <w:r w:rsidR="00D83E60">
        <w:t>response to</w:t>
      </w:r>
      <w:r>
        <w:t xml:space="preserve"> </w:t>
      </w:r>
      <w:r w:rsidR="008A6299">
        <w:t>Resolution</w:t>
      </w:r>
      <w:r w:rsidR="00D83E60">
        <w:t xml:space="preserve"> No. 2021-0050,</w:t>
      </w:r>
      <w:r w:rsidR="008A6299">
        <w:t xml:space="preserve"> </w:t>
      </w:r>
      <w:r w:rsidR="00D83E60">
        <w:t xml:space="preserve">the </w:t>
      </w:r>
      <w:r w:rsidR="005E7241">
        <w:t>State</w:t>
      </w:r>
      <w:r w:rsidR="00D83E60">
        <w:t xml:space="preserve"> Water Board</w:t>
      </w:r>
      <w:r w:rsidR="008A6299">
        <w:t xml:space="preserve"> develop</w:t>
      </w:r>
      <w:r w:rsidR="00D83E60">
        <w:t>ed</w:t>
      </w:r>
      <w:r w:rsidR="008A6299">
        <w:t xml:space="preserve"> a</w:t>
      </w:r>
      <w:r w:rsidR="00474CC2">
        <w:t xml:space="preserve"> </w:t>
      </w:r>
      <w:r w:rsidR="0029774E">
        <w:t xml:space="preserve">Racial Equity </w:t>
      </w:r>
      <w:r w:rsidR="0052466C">
        <w:t>Action</w:t>
      </w:r>
      <w:r w:rsidR="0029774E">
        <w:t xml:space="preserve"> </w:t>
      </w:r>
      <w:r w:rsidR="0052466C">
        <w:t>Plan</w:t>
      </w:r>
      <w:r w:rsidR="00F35B5E">
        <w:t>,</w:t>
      </w:r>
      <w:r w:rsidR="0052466C">
        <w:t xml:space="preserve"> </w:t>
      </w:r>
      <w:r w:rsidR="00BC49EC">
        <w:t>which is a comp</w:t>
      </w:r>
      <w:r w:rsidR="008C1174">
        <w:t xml:space="preserve">ilation of </w:t>
      </w:r>
      <w:r w:rsidR="00EA064B">
        <w:t xml:space="preserve">actions intended to </w:t>
      </w:r>
      <w:r w:rsidR="004C7E3D">
        <w:t xml:space="preserve">set goals for the </w:t>
      </w:r>
      <w:r w:rsidR="00E52CFC">
        <w:t xml:space="preserve">State </w:t>
      </w:r>
      <w:r w:rsidR="00F35B5E">
        <w:t xml:space="preserve">Water </w:t>
      </w:r>
      <w:r w:rsidR="00E52CFC">
        <w:t xml:space="preserve">Board to </w:t>
      </w:r>
      <w:r w:rsidR="00012428">
        <w:t xml:space="preserve">address racial inequities and </w:t>
      </w:r>
      <w:r w:rsidR="0080617D">
        <w:t>identify</w:t>
      </w:r>
      <w:r w:rsidR="00012428">
        <w:t xml:space="preserve"> metrics to measure progr</w:t>
      </w:r>
      <w:r w:rsidR="00F56943">
        <w:t>ess. As part of the</w:t>
      </w:r>
      <w:r w:rsidR="00DF18DB">
        <w:t xml:space="preserve"> Racial Equity Action Plan, the </w:t>
      </w:r>
      <w:r w:rsidR="004D4C7B">
        <w:t xml:space="preserve">State Water Board </w:t>
      </w:r>
      <w:r w:rsidR="00DF18DB">
        <w:t xml:space="preserve">is considering </w:t>
      </w:r>
      <w:r w:rsidR="00617EAA">
        <w:t>a number of actions</w:t>
      </w:r>
      <w:r w:rsidR="00CB54F4">
        <w:t xml:space="preserve">. </w:t>
      </w:r>
      <w:r w:rsidR="00484BD8">
        <w:t>For example,</w:t>
      </w:r>
      <w:r w:rsidR="00F30E80">
        <w:t xml:space="preserve"> the</w:t>
      </w:r>
      <w:r w:rsidR="00484BD8">
        <w:t xml:space="preserve"> </w:t>
      </w:r>
      <w:r w:rsidR="00057FC0">
        <w:t>California Integrated Report</w:t>
      </w:r>
      <w:r w:rsidR="00EB005C">
        <w:t xml:space="preserve"> may be used to advance </w:t>
      </w:r>
      <w:r w:rsidR="00243616">
        <w:t>environmental justice by</w:t>
      </w:r>
      <w:r w:rsidR="00822E41">
        <w:t xml:space="preserve"> </w:t>
      </w:r>
      <w:r w:rsidR="00296970">
        <w:t xml:space="preserve">identifying </w:t>
      </w:r>
      <w:r w:rsidR="008D3CE2">
        <w:t xml:space="preserve">impaired </w:t>
      </w:r>
      <w:r w:rsidR="00C17105">
        <w:t xml:space="preserve">waterbody segments </w:t>
      </w:r>
      <w:r w:rsidR="00966E89">
        <w:t xml:space="preserve">that </w:t>
      </w:r>
      <w:r w:rsidR="008D3CE2">
        <w:t xml:space="preserve">are </w:t>
      </w:r>
      <w:r w:rsidR="00D274CA">
        <w:t xml:space="preserve">located in </w:t>
      </w:r>
      <w:r w:rsidR="00954E41">
        <w:t xml:space="preserve">disadvantaged </w:t>
      </w:r>
      <w:r w:rsidR="00E61FA0">
        <w:t xml:space="preserve">communities </w:t>
      </w:r>
      <w:r w:rsidR="00271367">
        <w:t xml:space="preserve">and </w:t>
      </w:r>
      <w:r w:rsidR="00F11E08">
        <w:t>ide</w:t>
      </w:r>
      <w:r w:rsidR="005C7F80">
        <w:t>n</w:t>
      </w:r>
      <w:r w:rsidR="00F11E08">
        <w:t>tify</w:t>
      </w:r>
      <w:r w:rsidR="00271367">
        <w:t xml:space="preserve"> where </w:t>
      </w:r>
      <w:r w:rsidR="001758AA">
        <w:t>there</w:t>
      </w:r>
      <w:r w:rsidR="006F60EE">
        <w:t xml:space="preserve"> is</w:t>
      </w:r>
      <w:r w:rsidR="001758AA">
        <w:t xml:space="preserve"> insufficient</w:t>
      </w:r>
      <w:r w:rsidR="00271367">
        <w:t xml:space="preserve"> data </w:t>
      </w:r>
      <w:r w:rsidR="00CD7838">
        <w:t xml:space="preserve">and information </w:t>
      </w:r>
      <w:r w:rsidR="00271367">
        <w:t>to inform if a waterbody</w:t>
      </w:r>
      <w:r w:rsidR="006775AE">
        <w:t xml:space="preserve"> segment</w:t>
      </w:r>
      <w:r w:rsidR="00271367">
        <w:t xml:space="preserve"> is impaired</w:t>
      </w:r>
      <w:r w:rsidR="00614B4D">
        <w:t xml:space="preserve">. </w:t>
      </w:r>
    </w:p>
    <w:p w14:paraId="52008342" w14:textId="4D297BE8" w:rsidR="00E40924" w:rsidRDefault="00396CAD" w:rsidP="00E40924">
      <w:r>
        <w:t xml:space="preserve">While the Water Boards work to advance these efforts, </w:t>
      </w:r>
      <w:r w:rsidR="00AD0B90">
        <w:t>t</w:t>
      </w:r>
      <w:r w:rsidR="008443AB">
        <w:t xml:space="preserve">he </w:t>
      </w:r>
      <w:r w:rsidR="00A14A8C">
        <w:t xml:space="preserve">California Office of Environmental Health </w:t>
      </w:r>
      <w:r w:rsidR="00C806FB">
        <w:t>Hazard Assessment (“OEHHA”)</w:t>
      </w:r>
      <w:r w:rsidR="00E57292">
        <w:t xml:space="preserve"> </w:t>
      </w:r>
      <w:r w:rsidR="003E77B5">
        <w:t>provides</w:t>
      </w:r>
      <w:r w:rsidR="00437BF7">
        <w:t xml:space="preserve"> the California </w:t>
      </w:r>
      <w:r w:rsidR="005B61A6">
        <w:t>Communities Environmental Health Screening Tool</w:t>
      </w:r>
      <w:r w:rsidR="001B6A8A">
        <w:t>: CalE</w:t>
      </w:r>
      <w:r w:rsidR="00A55C82">
        <w:t>n</w:t>
      </w:r>
      <w:r w:rsidR="001B6A8A">
        <w:t>viro</w:t>
      </w:r>
      <w:r w:rsidR="00E6673F">
        <w:t>S</w:t>
      </w:r>
      <w:r w:rsidR="001B6A8A">
        <w:t xml:space="preserve">creen 4.0. </w:t>
      </w:r>
      <w:r w:rsidR="00422F05">
        <w:t>Cal</w:t>
      </w:r>
      <w:r w:rsidR="00E6673F">
        <w:t>E</w:t>
      </w:r>
      <w:r w:rsidR="00A55C82">
        <w:t>n</w:t>
      </w:r>
      <w:r w:rsidR="00E6673F">
        <w:t>viroScreen is</w:t>
      </w:r>
      <w:r w:rsidR="00602BD0">
        <w:t xml:space="preserve"> an online mapping tool that helps</w:t>
      </w:r>
      <w:r w:rsidR="004361A3">
        <w:t xml:space="preserve"> identify California communities that are most affected by</w:t>
      </w:r>
      <w:r w:rsidR="009C0257">
        <w:t xml:space="preserve"> many sources of pollution</w:t>
      </w:r>
      <w:r w:rsidR="009A7D01">
        <w:t xml:space="preserve"> and where people are often especially vulnerable to pollution’s effects. </w:t>
      </w:r>
      <w:r w:rsidR="00764C9D">
        <w:t>CalE</w:t>
      </w:r>
      <w:r w:rsidR="00A55C82">
        <w:t>n</w:t>
      </w:r>
      <w:r w:rsidR="00764C9D">
        <w:t>viroScreen use</w:t>
      </w:r>
      <w:r w:rsidR="00B4430E">
        <w:t>s</w:t>
      </w:r>
      <w:r w:rsidR="00764C9D">
        <w:t xml:space="preserve"> environmental</w:t>
      </w:r>
      <w:r w:rsidR="00B330CA">
        <w:t xml:space="preserve">, health, and socioeconomic </w:t>
      </w:r>
      <w:r w:rsidR="00344568">
        <w:t xml:space="preserve">data and </w:t>
      </w:r>
      <w:r w:rsidR="00E42444">
        <w:t xml:space="preserve">information to </w:t>
      </w:r>
      <w:r w:rsidR="00AC4555">
        <w:t xml:space="preserve">produce scores for every </w:t>
      </w:r>
      <w:r w:rsidR="00DB5F73">
        <w:t>census tract</w:t>
      </w:r>
      <w:r w:rsidR="00244BBD">
        <w:t xml:space="preserve"> in California. </w:t>
      </w:r>
      <w:r w:rsidR="00344568">
        <w:t>CalE</w:t>
      </w:r>
      <w:r w:rsidR="00A55C82">
        <w:t>n</w:t>
      </w:r>
      <w:r w:rsidR="00344568">
        <w:t xml:space="preserve">viroScreen 4.0 </w:t>
      </w:r>
      <w:r w:rsidR="009C2ABC">
        <w:t xml:space="preserve">incorporates data and information from the </w:t>
      </w:r>
      <w:r w:rsidR="00FF3B9C">
        <w:t xml:space="preserve">303(d) </w:t>
      </w:r>
      <w:r w:rsidR="007C0C89">
        <w:t>l</w:t>
      </w:r>
      <w:r w:rsidR="00FF3B9C">
        <w:t>ist</w:t>
      </w:r>
      <w:r w:rsidR="00A25CD5">
        <w:t xml:space="preserve"> to </w:t>
      </w:r>
      <w:r w:rsidR="002D115C">
        <w:t xml:space="preserve">help </w:t>
      </w:r>
      <w:r w:rsidR="00A25CD5">
        <w:t>inform</w:t>
      </w:r>
      <w:r w:rsidR="00FF3B9C">
        <w:t xml:space="preserve"> </w:t>
      </w:r>
      <w:r w:rsidR="002D115C">
        <w:t>the extent of</w:t>
      </w:r>
      <w:r w:rsidR="00535A22">
        <w:t xml:space="preserve"> environmental degradation </w:t>
      </w:r>
      <w:r w:rsidR="00C473DA">
        <w:t>within an area. For</w:t>
      </w:r>
      <w:r w:rsidR="00812C6B">
        <w:t xml:space="preserve"> more inf</w:t>
      </w:r>
      <w:r w:rsidR="000D2146">
        <w:t xml:space="preserve">ormation visit the </w:t>
      </w:r>
      <w:hyperlink r:id="rId28" w:history="1">
        <w:r w:rsidR="00023C55" w:rsidRPr="000B7868">
          <w:rPr>
            <w:rStyle w:val="Hyperlink"/>
          </w:rPr>
          <w:t>CalE</w:t>
        </w:r>
        <w:r w:rsidR="00772C10">
          <w:rPr>
            <w:rStyle w:val="Hyperlink"/>
          </w:rPr>
          <w:t>n</w:t>
        </w:r>
        <w:r w:rsidR="00023C55" w:rsidRPr="000B7868">
          <w:rPr>
            <w:rStyle w:val="Hyperlink"/>
          </w:rPr>
          <w:t>viroScreen</w:t>
        </w:r>
        <w:r w:rsidR="006C7EC8" w:rsidRPr="000B7868">
          <w:rPr>
            <w:rStyle w:val="Hyperlink"/>
          </w:rPr>
          <w:t xml:space="preserve"> webpage</w:t>
        </w:r>
      </w:hyperlink>
      <w:r w:rsidR="000B7868">
        <w:t xml:space="preserve"> at </w:t>
      </w:r>
      <w:hyperlink r:id="rId29" w:history="1">
        <w:r w:rsidR="000B7868" w:rsidRPr="00E00DF4">
          <w:rPr>
            <w:rStyle w:val="Hyperlink"/>
          </w:rPr>
          <w:t>https://oehha.ca.gov/calenviroscreen/report/calenviroscreen-40</w:t>
        </w:r>
      </w:hyperlink>
      <w:r w:rsidR="000B7868">
        <w:t xml:space="preserve">. </w:t>
      </w:r>
    </w:p>
    <w:p w14:paraId="688FEFC6" w14:textId="3AFB0033" w:rsidR="00172A08" w:rsidRDefault="00916F91" w:rsidP="00172A08">
      <w:pPr>
        <w:pStyle w:val="Heading2"/>
      </w:pPr>
      <w:bookmarkStart w:id="37" w:name="_Toc189048548"/>
      <w:r>
        <w:t xml:space="preserve">Partnerships with </w:t>
      </w:r>
      <w:r w:rsidR="007D2230">
        <w:t xml:space="preserve">California Native American </w:t>
      </w:r>
      <w:r>
        <w:t>Tribes</w:t>
      </w:r>
      <w:bookmarkEnd w:id="37"/>
    </w:p>
    <w:p w14:paraId="71C1F64A" w14:textId="105B6255" w:rsidR="00EF799A" w:rsidRDefault="002F7B0A" w:rsidP="002F7B0A">
      <w:r>
        <w:t xml:space="preserve">California is home to at least 55 non-federally recognized </w:t>
      </w:r>
      <w:r w:rsidR="00C55202">
        <w:t>California Native American Tribes (“Tribes”)</w:t>
      </w:r>
      <w:r w:rsidR="0041056B">
        <w:t xml:space="preserve"> and 109 federally recognized Tribes. The Water Boards </w:t>
      </w:r>
      <w:r w:rsidR="0088370F">
        <w:t>are</w:t>
      </w:r>
      <w:r w:rsidR="0041056B">
        <w:t xml:space="preserve"> committed to building and strengthening relationships with Tribes, and to continuing </w:t>
      </w:r>
      <w:r w:rsidR="00FA09ED">
        <w:t xml:space="preserve">efforts to reach the goals described in the </w:t>
      </w:r>
      <w:hyperlink r:id="rId30" w:history="1">
        <w:r w:rsidR="00FA09ED" w:rsidRPr="00AF363C">
          <w:rPr>
            <w:rStyle w:val="Hyperlink"/>
          </w:rPr>
          <w:t>Racial Equity Action Plan</w:t>
        </w:r>
      </w:hyperlink>
      <w:r w:rsidR="004273CF">
        <w:rPr>
          <w:rStyle w:val="Hyperlink"/>
        </w:rPr>
        <w:t xml:space="preserve"> </w:t>
      </w:r>
      <w:r w:rsidR="004273CF">
        <w:t>(</w:t>
      </w:r>
      <w:hyperlink r:id="rId31" w:history="1">
        <w:r w:rsidR="004273CF" w:rsidRPr="00657FC7">
          <w:rPr>
            <w:rStyle w:val="Hyperlink"/>
          </w:rPr>
          <w:t>https://www.waterboards.ca.gov/racial_equity/docs/racial-equity-action-plan-final-en.pdf</w:t>
        </w:r>
      </w:hyperlink>
      <w:r w:rsidR="004273CF">
        <w:t>)</w:t>
      </w:r>
      <w:r w:rsidR="006D1301">
        <w:t xml:space="preserve">, such as equitable data, culturally-relevant data, and </w:t>
      </w:r>
      <w:r w:rsidR="0006111F">
        <w:t xml:space="preserve">developing </w:t>
      </w:r>
      <w:r w:rsidR="006D1301">
        <w:t xml:space="preserve">meaningful partnerships. </w:t>
      </w:r>
      <w:r w:rsidR="0084428E">
        <w:t xml:space="preserve">Starting with the 2026 </w:t>
      </w:r>
      <w:r w:rsidR="0006111F">
        <w:t xml:space="preserve">California </w:t>
      </w:r>
      <w:r w:rsidR="0084428E">
        <w:t>In</w:t>
      </w:r>
      <w:r w:rsidR="00317B1A">
        <w:t xml:space="preserve">tegrated Report, the Water Boards </w:t>
      </w:r>
      <w:r w:rsidR="00870095">
        <w:t>are</w:t>
      </w:r>
      <w:r w:rsidR="00317B1A">
        <w:t xml:space="preserve"> </w:t>
      </w:r>
      <w:r w:rsidR="00D1616F">
        <w:t>implementing practices to improve</w:t>
      </w:r>
      <w:r w:rsidR="00C90C86">
        <w:t xml:space="preserve"> outreach </w:t>
      </w:r>
      <w:r w:rsidR="00D1616F">
        <w:t xml:space="preserve">to tribal communities and </w:t>
      </w:r>
      <w:r w:rsidR="00317B1A">
        <w:t xml:space="preserve">establishing </w:t>
      </w:r>
      <w:r w:rsidR="00497269">
        <w:t>consistent practices</w:t>
      </w:r>
      <w:r w:rsidR="009531CE">
        <w:t xml:space="preserve"> when considering tribal data </w:t>
      </w:r>
      <w:r w:rsidR="00D476FE">
        <w:t xml:space="preserve">(refer to </w:t>
      </w:r>
      <w:r w:rsidR="00CD36AD">
        <w:t xml:space="preserve">section 2.2.3 </w:t>
      </w:r>
      <w:r w:rsidR="00D476FE">
        <w:t xml:space="preserve">Tribal Data </w:t>
      </w:r>
      <w:r w:rsidR="00175686">
        <w:t>Considerations</w:t>
      </w:r>
      <w:r w:rsidR="00D476FE">
        <w:t xml:space="preserve"> for </w:t>
      </w:r>
      <w:r w:rsidR="00552E11">
        <w:t xml:space="preserve">further details). </w:t>
      </w:r>
    </w:p>
    <w:p w14:paraId="06CF6E2C" w14:textId="42451AE7" w:rsidR="00CC5472" w:rsidRDefault="008B5D69" w:rsidP="002F7B0A">
      <w:r>
        <w:t xml:space="preserve">The Water Boards’ development of the integrated report and approval of the CWA section 303(d) list is not subject to </w:t>
      </w:r>
      <w:r w:rsidR="00087F52">
        <w:t>statutes</w:t>
      </w:r>
      <w:r>
        <w:t xml:space="preserve"> that </w:t>
      </w:r>
      <w:r w:rsidR="008529E7">
        <w:t xml:space="preserve">require </w:t>
      </w:r>
      <w:r w:rsidR="002F77CD">
        <w:t xml:space="preserve">tribal consultation, such as </w:t>
      </w:r>
      <w:r w:rsidR="00126320">
        <w:t xml:space="preserve">sections </w:t>
      </w:r>
      <w:r w:rsidR="0006292E">
        <w:t>21080.3.1</w:t>
      </w:r>
      <w:r w:rsidR="00251B25">
        <w:t>, 21080.3.2,</w:t>
      </w:r>
      <w:r w:rsidR="00625337">
        <w:t xml:space="preserve"> and</w:t>
      </w:r>
      <w:r w:rsidR="00251B25">
        <w:t xml:space="preserve"> </w:t>
      </w:r>
      <w:r w:rsidR="006878C5">
        <w:t>21084.3</w:t>
      </w:r>
      <w:r w:rsidR="00625337">
        <w:t xml:space="preserve"> </w:t>
      </w:r>
      <w:r w:rsidR="003052D7">
        <w:t>of the Public Res</w:t>
      </w:r>
      <w:r w:rsidR="00EC7D72">
        <w:t>ources Code</w:t>
      </w:r>
      <w:r w:rsidR="002F77CD">
        <w:t xml:space="preserve"> </w:t>
      </w:r>
      <w:r w:rsidR="006C6B6E">
        <w:t xml:space="preserve">(also known as </w:t>
      </w:r>
      <w:r w:rsidR="004419F9">
        <w:t>Assembly Bill 52</w:t>
      </w:r>
      <w:r w:rsidR="006C6B6E">
        <w:t>)</w:t>
      </w:r>
      <w:r w:rsidR="004419F9">
        <w:t xml:space="preserve"> and</w:t>
      </w:r>
      <w:r w:rsidR="006C6B6E">
        <w:t xml:space="preserve"> section 13149.2 to the Water Code (also known as</w:t>
      </w:r>
      <w:r w:rsidR="004419F9">
        <w:t xml:space="preserve"> A</w:t>
      </w:r>
      <w:r w:rsidR="00944E79">
        <w:t>ssembly Bill</w:t>
      </w:r>
      <w:r w:rsidR="00635593">
        <w:t xml:space="preserve"> </w:t>
      </w:r>
      <w:r w:rsidR="004419F9">
        <w:t>2108</w:t>
      </w:r>
      <w:r w:rsidR="00250C5F">
        <w:t>.</w:t>
      </w:r>
      <w:r w:rsidR="006C6B6E">
        <w:t>)</w:t>
      </w:r>
      <w:r w:rsidR="00250C5F">
        <w:t xml:space="preserve"> </w:t>
      </w:r>
      <w:r w:rsidR="002F77CD">
        <w:t>N</w:t>
      </w:r>
      <w:r w:rsidR="00D946AF">
        <w:t>onetheless, i</w:t>
      </w:r>
      <w:r w:rsidR="00552E11">
        <w:t xml:space="preserve">n </w:t>
      </w:r>
      <w:r w:rsidR="00E06096">
        <w:t xml:space="preserve">an </w:t>
      </w:r>
      <w:r w:rsidR="00552E11">
        <w:t xml:space="preserve">effort to </w:t>
      </w:r>
      <w:r w:rsidR="00347281">
        <w:t xml:space="preserve">increase </w:t>
      </w:r>
      <w:r w:rsidR="00745294">
        <w:t xml:space="preserve">awareness and </w:t>
      </w:r>
      <w:r w:rsidR="007C5F4F">
        <w:t>transparency</w:t>
      </w:r>
      <w:r w:rsidR="00D37B78">
        <w:t xml:space="preserve"> </w:t>
      </w:r>
      <w:r w:rsidR="00BE4E70">
        <w:t xml:space="preserve">surrounding the </w:t>
      </w:r>
      <w:r w:rsidR="00BB6B43">
        <w:t>development</w:t>
      </w:r>
      <w:r w:rsidR="00457533">
        <w:t xml:space="preserve"> the integrated report, the </w:t>
      </w:r>
      <w:r w:rsidR="0070721F">
        <w:t xml:space="preserve">State </w:t>
      </w:r>
      <w:r w:rsidR="00457533">
        <w:t>Water Board</w:t>
      </w:r>
      <w:r w:rsidR="00411638">
        <w:t xml:space="preserve"> notified </w:t>
      </w:r>
      <w:r w:rsidR="000C3A2D">
        <w:t xml:space="preserve">Tribes statewide </w:t>
      </w:r>
      <w:r w:rsidR="006A3998">
        <w:t xml:space="preserve">by email </w:t>
      </w:r>
      <w:r w:rsidR="000C3A2D">
        <w:t xml:space="preserve">regarding the </w:t>
      </w:r>
      <w:r w:rsidR="000C5612">
        <w:t xml:space="preserve">development </w:t>
      </w:r>
      <w:r w:rsidR="00887279">
        <w:t xml:space="preserve">of </w:t>
      </w:r>
      <w:r w:rsidR="002B2A8B">
        <w:t xml:space="preserve">the 2026 and opportunities </w:t>
      </w:r>
      <w:r w:rsidR="00397E21">
        <w:t xml:space="preserve">for participation and discussion. </w:t>
      </w:r>
    </w:p>
    <w:p w14:paraId="58B1375E" w14:textId="3E332511" w:rsidR="00552E11" w:rsidRDefault="00FC2069" w:rsidP="002F7B0A">
      <w:r>
        <w:t>T</w:t>
      </w:r>
      <w:r w:rsidR="00457533">
        <w:t xml:space="preserve">he Water Boards </w:t>
      </w:r>
      <w:r>
        <w:t xml:space="preserve">also </w:t>
      </w:r>
      <w:r w:rsidR="00094875">
        <w:t xml:space="preserve">distributed </w:t>
      </w:r>
      <w:r w:rsidR="00F50230">
        <w:t xml:space="preserve">letters of </w:t>
      </w:r>
      <w:r w:rsidR="00906351">
        <w:t>notification</w:t>
      </w:r>
      <w:r w:rsidR="00301EAC">
        <w:t xml:space="preserve"> to</w:t>
      </w:r>
      <w:r w:rsidR="00536372">
        <w:t xml:space="preserve"> </w:t>
      </w:r>
      <w:r w:rsidR="0054280C">
        <w:t>individual</w:t>
      </w:r>
      <w:r w:rsidR="00F97258">
        <w:t xml:space="preserve"> </w:t>
      </w:r>
      <w:r w:rsidR="00772113">
        <w:t xml:space="preserve">federally recognized </w:t>
      </w:r>
      <w:r w:rsidR="00D60361">
        <w:t>T</w:t>
      </w:r>
      <w:r w:rsidR="00772113">
        <w:t xml:space="preserve">ribes </w:t>
      </w:r>
      <w:r w:rsidR="00133927">
        <w:t xml:space="preserve">about </w:t>
      </w:r>
      <w:r w:rsidR="00C41A0E">
        <w:t xml:space="preserve">submitted data </w:t>
      </w:r>
      <w:r w:rsidR="00195255">
        <w:t xml:space="preserve">and associated </w:t>
      </w:r>
      <w:r w:rsidR="009A15A0">
        <w:t>data evaluations</w:t>
      </w:r>
      <w:r w:rsidR="00C0241E">
        <w:t xml:space="preserve"> for</w:t>
      </w:r>
      <w:r w:rsidR="006819F2">
        <w:t xml:space="preserve"> </w:t>
      </w:r>
      <w:r w:rsidR="00891C05">
        <w:t>the 2026 California Integrated Report</w:t>
      </w:r>
      <w:r w:rsidR="00195255">
        <w:t>, if applicable</w:t>
      </w:r>
      <w:r w:rsidR="00C41A0E">
        <w:t xml:space="preserve">. </w:t>
      </w:r>
      <w:r w:rsidR="00411251">
        <w:t xml:space="preserve">The </w:t>
      </w:r>
      <w:r w:rsidR="00763435">
        <w:t xml:space="preserve">Water Boards’ </w:t>
      </w:r>
      <w:r w:rsidR="00411251">
        <w:t>goals of</w:t>
      </w:r>
      <w:r w:rsidR="00EA7D20">
        <w:t xml:space="preserve"> the</w:t>
      </w:r>
      <w:r w:rsidR="00891C05">
        <w:t>se</w:t>
      </w:r>
      <w:r w:rsidR="00EA7D20">
        <w:t xml:space="preserve"> </w:t>
      </w:r>
      <w:r w:rsidR="00665416">
        <w:t>notifica</w:t>
      </w:r>
      <w:r w:rsidR="00046FAD">
        <w:t>tion letters</w:t>
      </w:r>
      <w:r w:rsidR="00EA7D20">
        <w:t xml:space="preserve"> </w:t>
      </w:r>
      <w:r w:rsidR="004318D6">
        <w:t xml:space="preserve">were </w:t>
      </w:r>
      <w:r w:rsidR="00EA7D20">
        <w:t xml:space="preserve">to inform </w:t>
      </w:r>
      <w:r w:rsidR="00DB4F19">
        <w:t xml:space="preserve">federally recognized </w:t>
      </w:r>
      <w:r w:rsidR="00EA7D20">
        <w:t xml:space="preserve">Tribes of </w:t>
      </w:r>
      <w:r w:rsidR="002B09DB">
        <w:t xml:space="preserve">data </w:t>
      </w:r>
      <w:r w:rsidR="00BE21A3">
        <w:t>use</w:t>
      </w:r>
      <w:r w:rsidR="00A21384">
        <w:t>d</w:t>
      </w:r>
      <w:r w:rsidR="00BE21A3">
        <w:t xml:space="preserve"> and </w:t>
      </w:r>
      <w:r w:rsidR="002B09DB">
        <w:t>excluded</w:t>
      </w:r>
      <w:r w:rsidR="00BE21A3">
        <w:t>,</w:t>
      </w:r>
      <w:r w:rsidR="002B09DB">
        <w:t xml:space="preserve"> </w:t>
      </w:r>
      <w:r w:rsidR="00C43512">
        <w:t xml:space="preserve">to clarify </w:t>
      </w:r>
      <w:r w:rsidR="00BE21A3">
        <w:t>the</w:t>
      </w:r>
      <w:r w:rsidR="00C43512">
        <w:t xml:space="preserve"> </w:t>
      </w:r>
      <w:r w:rsidR="0086069B">
        <w:t xml:space="preserve">purpose and implications of the integrated report, and to </w:t>
      </w:r>
      <w:r w:rsidR="00134B4D">
        <w:t>establish and strengthen relationships</w:t>
      </w:r>
      <w:r w:rsidR="00A9633A">
        <w:t xml:space="preserve">, which may </w:t>
      </w:r>
      <w:r w:rsidR="005458F1">
        <w:t>c</w:t>
      </w:r>
      <w:r w:rsidR="0031073A">
        <w:t xml:space="preserve">ontribute to </w:t>
      </w:r>
      <w:r w:rsidR="00F6240A">
        <w:t>improv</w:t>
      </w:r>
      <w:r w:rsidR="00FD0A8F">
        <w:t>ing</w:t>
      </w:r>
      <w:r w:rsidR="00F6240A">
        <w:t xml:space="preserve"> </w:t>
      </w:r>
      <w:r w:rsidR="00DC7490">
        <w:t xml:space="preserve">accuracy </w:t>
      </w:r>
      <w:r w:rsidR="007A7459">
        <w:t xml:space="preserve">of information </w:t>
      </w:r>
      <w:r w:rsidR="005458F1">
        <w:t xml:space="preserve">and </w:t>
      </w:r>
      <w:r w:rsidR="00FE5E19">
        <w:t>ut</w:t>
      </w:r>
      <w:r w:rsidR="00706FC0">
        <w:t>ilizing</w:t>
      </w:r>
      <w:r w:rsidR="009572E3">
        <w:t xml:space="preserve"> </w:t>
      </w:r>
      <w:r w:rsidR="00EF6BB4">
        <w:t xml:space="preserve">tribal </w:t>
      </w:r>
      <w:r w:rsidR="00FD0A8F">
        <w:t xml:space="preserve">data </w:t>
      </w:r>
      <w:r w:rsidR="007A7459">
        <w:t>for the integrated report</w:t>
      </w:r>
      <w:r w:rsidR="00FD0A8F">
        <w:t xml:space="preserve">. </w:t>
      </w:r>
    </w:p>
    <w:p w14:paraId="61FD91B5" w14:textId="095280DD" w:rsidR="00CB6713" w:rsidRDefault="00CE61A1" w:rsidP="00B60004">
      <w:r>
        <w:t xml:space="preserve">The </w:t>
      </w:r>
      <w:hyperlink r:id="rId32" w:history="1">
        <w:r w:rsidR="00324C71" w:rsidRPr="00CE61A1">
          <w:rPr>
            <w:rStyle w:val="Hyperlink"/>
          </w:rPr>
          <w:t xml:space="preserve">USEPA </w:t>
        </w:r>
        <w:r w:rsidRPr="00CE61A1">
          <w:rPr>
            <w:rStyle w:val="Hyperlink"/>
          </w:rPr>
          <w:t>Policy on Consultation with Indian Tribes</w:t>
        </w:r>
      </w:hyperlink>
      <w:r>
        <w:t xml:space="preserve"> (</w:t>
      </w:r>
      <w:hyperlink r:id="rId33" w:history="1">
        <w:r w:rsidRPr="00DD0FCA">
          <w:rPr>
            <w:rStyle w:val="Hyperlink"/>
          </w:rPr>
          <w:t>https://www.epa.gov/system/files/documents/2023-12/epa-policy-on-consultation-with-indian-tribes-2023.pdf</w:t>
        </w:r>
      </w:hyperlink>
      <w:r>
        <w:t>)</w:t>
      </w:r>
      <w:r w:rsidR="00324C71">
        <w:t xml:space="preserve"> is to consult on a government-to-government basis with federally recognized Tribal governments when the USEPA actions or decisions may affect Tribes. </w:t>
      </w:r>
      <w:r w:rsidR="00356889">
        <w:t>The USEPA recognizes that while California’s Integrated Report does not include assessment within</w:t>
      </w:r>
      <w:r w:rsidR="00F74292">
        <w:t xml:space="preserve"> federally recognized Tribal lands, Tribes or Tribal interests may be affected by state assessment and listing </w:t>
      </w:r>
      <w:r w:rsidR="00402B01">
        <w:t xml:space="preserve">decisions. </w:t>
      </w:r>
      <w:r w:rsidR="005F600C">
        <w:t>As such, the</w:t>
      </w:r>
      <w:r w:rsidR="002728FE">
        <w:t xml:space="preserve"> USEPA offers </w:t>
      </w:r>
      <w:r w:rsidR="006B753D">
        <w:t xml:space="preserve">tribal consultation on the USEPA’s review and of the </w:t>
      </w:r>
      <w:r w:rsidR="00730E9B">
        <w:t>303(d) list</w:t>
      </w:r>
      <w:r w:rsidR="006B753D">
        <w:t xml:space="preserve">. </w:t>
      </w:r>
    </w:p>
    <w:p w14:paraId="155E1D7F" w14:textId="3D264912" w:rsidR="00B60004" w:rsidRDefault="004F2831" w:rsidP="00B60004">
      <w:r>
        <w:t>The USEPA is authorized to treat eligible federally recognized Tribes as a state</w:t>
      </w:r>
      <w:r w:rsidR="00470BFE">
        <w:t xml:space="preserve"> (“Treatment as a State”)</w:t>
      </w:r>
      <w:r>
        <w:t xml:space="preserve"> for the purpose of implementing and managing environmental regulatory programs, administrative functions, and grant programs. </w:t>
      </w:r>
      <w:r w:rsidR="00CB6713">
        <w:t xml:space="preserve">Many </w:t>
      </w:r>
      <w:r>
        <w:t xml:space="preserve">Tribes in California </w:t>
      </w:r>
      <w:r w:rsidR="00B33032">
        <w:t xml:space="preserve">collect and submit </w:t>
      </w:r>
      <w:r w:rsidR="00867BA7">
        <w:t xml:space="preserve">water quality data to the </w:t>
      </w:r>
      <w:r w:rsidR="00615BA8">
        <w:t xml:space="preserve">federal </w:t>
      </w:r>
      <w:r w:rsidR="00867BA7" w:rsidRPr="00D41591">
        <w:t>Water Quality Exchange (“WQX”)</w:t>
      </w:r>
      <w:r w:rsidR="00004767">
        <w:t xml:space="preserve"> database</w:t>
      </w:r>
      <w:r w:rsidR="00867BA7">
        <w:t xml:space="preserve">. </w:t>
      </w:r>
      <w:r w:rsidR="00925995">
        <w:rPr>
          <w:rFonts w:eastAsia="Arial" w:cs="Arial"/>
        </w:rPr>
        <w:t xml:space="preserve">The USEPA states in </w:t>
      </w:r>
      <w:r w:rsidR="00925995" w:rsidRPr="007C0EC8">
        <w:rPr>
          <w:rFonts w:eastAsia="Arial" w:cs="Arial"/>
        </w:rPr>
        <w:t xml:space="preserve">Chapter 8 of the </w:t>
      </w:r>
      <w:hyperlink r:id="rId34" w:history="1">
        <w:r w:rsidR="00925995" w:rsidRPr="007C0EC8">
          <w:rPr>
            <w:rStyle w:val="Hyperlink"/>
            <w:rFonts w:eastAsia="Arial" w:cs="Arial"/>
          </w:rPr>
          <w:t>Clean Water Act Section 106 Tribal Guidance</w:t>
        </w:r>
      </w:hyperlink>
      <w:r w:rsidR="00925995">
        <w:rPr>
          <w:rFonts w:eastAsia="Arial" w:cs="Arial"/>
        </w:rPr>
        <w:t xml:space="preserve"> that when Tribes provide data to WQX, that data are readily available for consideration in the state’s integrated report (</w:t>
      </w:r>
      <w:hyperlink r:id="rId35" w:history="1">
        <w:r w:rsidR="00925995" w:rsidRPr="00C86C67">
          <w:rPr>
            <w:rStyle w:val="Hyperlink"/>
            <w:rFonts w:eastAsia="Arial" w:cs="Arial"/>
          </w:rPr>
          <w:t>https://www.epa.gov/system/files/documents/2022-12/clean-water-act-section-106-tribal-guidance.pdf</w:t>
        </w:r>
      </w:hyperlink>
      <w:r w:rsidR="00925995">
        <w:rPr>
          <w:rFonts w:eastAsia="Arial" w:cs="Arial"/>
        </w:rPr>
        <w:t xml:space="preserve">). </w:t>
      </w:r>
      <w:r w:rsidR="00C26D36">
        <w:t xml:space="preserve">Currently no Tribes in California </w:t>
      </w:r>
      <w:r w:rsidR="00920475">
        <w:t xml:space="preserve">are </w:t>
      </w:r>
      <w:r w:rsidR="00C26D36">
        <w:t xml:space="preserve">approved by the USEPA for </w:t>
      </w:r>
      <w:r w:rsidR="00F05434">
        <w:t>Treatment as a State</w:t>
      </w:r>
      <w:r w:rsidR="00F05434" w:rsidDel="00920475">
        <w:t xml:space="preserve"> </w:t>
      </w:r>
      <w:r w:rsidR="00F05434">
        <w:t xml:space="preserve">to administer a 303(d) program. </w:t>
      </w:r>
      <w:r w:rsidR="00A116E5">
        <w:t xml:space="preserve">The USEPA is available to assist </w:t>
      </w:r>
      <w:r w:rsidR="00B841C6">
        <w:t xml:space="preserve">those Tribes </w:t>
      </w:r>
      <w:r w:rsidR="006E5CC1">
        <w:t>with water quality assessments.</w:t>
      </w:r>
      <w:r w:rsidR="00867BA7">
        <w:t xml:space="preserve"> </w:t>
      </w:r>
    </w:p>
    <w:p w14:paraId="74030CC7" w14:textId="43F4A315" w:rsidR="007710C3" w:rsidRPr="004502A9" w:rsidRDefault="00F30E80" w:rsidP="00597DE8">
      <w:pPr>
        <w:pStyle w:val="Heading1"/>
      </w:pPr>
      <w:bookmarkStart w:id="38" w:name="_Toc189048549"/>
      <w:bookmarkEnd w:id="33"/>
      <w:r>
        <w:t xml:space="preserve">California </w:t>
      </w:r>
      <w:r w:rsidR="00245475">
        <w:t>Integrated Report Development</w:t>
      </w:r>
      <w:bookmarkEnd w:id="38"/>
      <w:r w:rsidR="00245475">
        <w:t xml:space="preserve"> </w:t>
      </w:r>
    </w:p>
    <w:p w14:paraId="340E182B" w14:textId="520A3B2F" w:rsidR="007710C3" w:rsidRPr="004502A9" w:rsidRDefault="007710C3" w:rsidP="007710C3">
      <w:pPr>
        <w:rPr>
          <w:rFonts w:eastAsia="Arial" w:cs="Arial"/>
          <w:szCs w:val="24"/>
        </w:rPr>
      </w:pPr>
      <w:r w:rsidRPr="004502A9">
        <w:rPr>
          <w:rFonts w:eastAsia="Arial" w:cs="Arial"/>
          <w:szCs w:val="24"/>
        </w:rPr>
        <w:t xml:space="preserve">This </w:t>
      </w:r>
      <w:r w:rsidR="004772B7">
        <w:rPr>
          <w:rFonts w:eastAsia="Arial" w:cs="Arial"/>
          <w:szCs w:val="24"/>
        </w:rPr>
        <w:t>s</w:t>
      </w:r>
      <w:r w:rsidRPr="004502A9">
        <w:rPr>
          <w:rFonts w:eastAsia="Arial" w:cs="Arial"/>
          <w:szCs w:val="24"/>
        </w:rPr>
        <w:t xml:space="preserve">ection describes the rationale, methods, and procedures employed to </w:t>
      </w:r>
      <w:r w:rsidR="008B1848">
        <w:rPr>
          <w:rFonts w:eastAsia="Arial" w:cs="Arial"/>
          <w:szCs w:val="24"/>
        </w:rPr>
        <w:t>develop</w:t>
      </w:r>
      <w:r w:rsidRPr="004502A9">
        <w:rPr>
          <w:rFonts w:eastAsia="Arial" w:cs="Arial"/>
          <w:szCs w:val="24"/>
        </w:rPr>
        <w:t xml:space="preserve"> the </w:t>
      </w:r>
      <w:r w:rsidR="00C6428D">
        <w:rPr>
          <w:rFonts w:eastAsia="Arial" w:cs="Arial"/>
        </w:rPr>
        <w:t>2026</w:t>
      </w:r>
      <w:r w:rsidR="00320996" w:rsidRPr="004502A9">
        <w:rPr>
          <w:rFonts w:eastAsia="Arial" w:cs="Arial"/>
        </w:rPr>
        <w:t xml:space="preserve"> </w:t>
      </w:r>
      <w:r w:rsidR="00F30E80">
        <w:rPr>
          <w:rFonts w:eastAsia="Arial" w:cs="Arial"/>
        </w:rPr>
        <w:t xml:space="preserve">California </w:t>
      </w:r>
      <w:r w:rsidRPr="004502A9">
        <w:rPr>
          <w:rFonts w:eastAsia="Arial" w:cs="Arial"/>
          <w:szCs w:val="24"/>
        </w:rPr>
        <w:t xml:space="preserve">Integrated Report. </w:t>
      </w:r>
      <w:r w:rsidR="00A056B3">
        <w:rPr>
          <w:rFonts w:eastAsia="Arial" w:cs="Arial"/>
          <w:szCs w:val="24"/>
        </w:rPr>
        <w:t xml:space="preserve">Note that </w:t>
      </w:r>
      <w:r w:rsidR="002132BE">
        <w:rPr>
          <w:rFonts w:eastAsia="Arial" w:cs="Arial"/>
          <w:szCs w:val="24"/>
        </w:rPr>
        <w:t>much</w:t>
      </w:r>
      <w:r w:rsidR="00287785">
        <w:rPr>
          <w:rFonts w:eastAsia="Arial" w:cs="Arial"/>
          <w:szCs w:val="24"/>
        </w:rPr>
        <w:t xml:space="preserve"> of the </w:t>
      </w:r>
      <w:r w:rsidR="002132BE" w:rsidRPr="004502A9">
        <w:rPr>
          <w:rFonts w:eastAsia="Arial" w:cs="Arial"/>
          <w:szCs w:val="24"/>
        </w:rPr>
        <w:t>rationale, methods, and procedures</w:t>
      </w:r>
      <w:r w:rsidR="002132BE">
        <w:rPr>
          <w:rFonts w:eastAsia="Arial" w:cs="Arial"/>
          <w:szCs w:val="24"/>
        </w:rPr>
        <w:t xml:space="preserve"> described in the sections below describe </w:t>
      </w:r>
      <w:r w:rsidR="00311ABB">
        <w:rPr>
          <w:rFonts w:eastAsia="Arial" w:cs="Arial"/>
          <w:szCs w:val="24"/>
        </w:rPr>
        <w:t xml:space="preserve">the functionality of the California Water Quality Assessment </w:t>
      </w:r>
      <w:r w:rsidR="00803F1D">
        <w:rPr>
          <w:rFonts w:eastAsia="Arial" w:cs="Arial"/>
          <w:szCs w:val="24"/>
        </w:rPr>
        <w:t xml:space="preserve">(“CalWQA”) </w:t>
      </w:r>
      <w:r w:rsidR="00D36CF7">
        <w:rPr>
          <w:rFonts w:eastAsia="Arial" w:cs="Arial"/>
          <w:szCs w:val="24"/>
        </w:rPr>
        <w:t xml:space="preserve">database. </w:t>
      </w:r>
    </w:p>
    <w:p w14:paraId="1BC1F66D" w14:textId="01AF6712" w:rsidR="007710C3" w:rsidRPr="004502A9" w:rsidRDefault="00EA17E0" w:rsidP="00597DE8">
      <w:pPr>
        <w:pStyle w:val="Heading2"/>
      </w:pPr>
      <w:bookmarkStart w:id="39" w:name="_Toc35339589"/>
      <w:bookmarkStart w:id="40" w:name="_Toc19788815"/>
      <w:bookmarkStart w:id="41" w:name="_Toc2265934"/>
      <w:bookmarkStart w:id="42" w:name="_Toc189048550"/>
      <w:bookmarkEnd w:id="34"/>
      <w:r>
        <w:t xml:space="preserve">Readily Available </w:t>
      </w:r>
      <w:r w:rsidR="007710C3" w:rsidRPr="004502A9">
        <w:t>Data and Information</w:t>
      </w:r>
      <w:bookmarkEnd w:id="42"/>
      <w:r w:rsidR="007710C3" w:rsidRPr="004502A9">
        <w:t xml:space="preserve"> </w:t>
      </w:r>
      <w:bookmarkEnd w:id="39"/>
    </w:p>
    <w:p w14:paraId="7194E82F" w14:textId="6EB6F2CB" w:rsidR="00624FFF" w:rsidRPr="00437508" w:rsidRDefault="004676DC" w:rsidP="00624FFF">
      <w:pPr>
        <w:rPr>
          <w:rStyle w:val="normaltextrun"/>
          <w:rFonts w:eastAsia="Arial" w:cs="Arial"/>
        </w:rPr>
      </w:pPr>
      <w:r>
        <w:rPr>
          <w:rFonts w:eastAsia="Arial" w:cs="Arial"/>
        </w:rPr>
        <w:t xml:space="preserve">Listing Policy section </w:t>
      </w:r>
      <w:r w:rsidR="004068C6">
        <w:rPr>
          <w:rFonts w:eastAsia="Arial" w:cs="Arial"/>
        </w:rPr>
        <w:t xml:space="preserve">6.1.1 </w:t>
      </w:r>
      <w:r w:rsidR="003C175E">
        <w:rPr>
          <w:rFonts w:eastAsia="Arial" w:cs="Arial"/>
        </w:rPr>
        <w:t>defines r</w:t>
      </w:r>
      <w:r w:rsidR="002A789C" w:rsidRPr="004502A9">
        <w:rPr>
          <w:rFonts w:eastAsia="Arial" w:cs="Arial"/>
        </w:rPr>
        <w:t xml:space="preserve">eadily available data and information as data and information that can be submitted to CEDEN, </w:t>
      </w:r>
      <w:r w:rsidR="002A789C">
        <w:rPr>
          <w:rFonts w:eastAsia="Arial" w:cs="Arial"/>
        </w:rPr>
        <w:t xml:space="preserve">or </w:t>
      </w:r>
      <w:r w:rsidR="00C42012">
        <w:rPr>
          <w:rFonts w:eastAsia="Arial" w:cs="Arial"/>
        </w:rPr>
        <w:t>its successor database</w:t>
      </w:r>
      <w:r w:rsidR="00416F53">
        <w:rPr>
          <w:rFonts w:eastAsia="Arial" w:cs="Arial"/>
        </w:rPr>
        <w:t>, as directed in the notice of solicitation</w:t>
      </w:r>
      <w:r w:rsidR="00437508">
        <w:rPr>
          <w:rFonts w:eastAsia="Arial" w:cs="Arial"/>
        </w:rPr>
        <w:t>. I</w:t>
      </w:r>
      <w:r w:rsidR="002A789C">
        <w:rPr>
          <w:rFonts w:eastAsia="Arial" w:cs="Arial"/>
        </w:rPr>
        <w:t>f</w:t>
      </w:r>
      <w:r w:rsidR="002A789C" w:rsidRPr="004502A9">
        <w:rPr>
          <w:rFonts w:eastAsia="Arial" w:cs="Arial"/>
        </w:rPr>
        <w:t xml:space="preserve"> CEDEN</w:t>
      </w:r>
      <w:r w:rsidR="004C6BA5">
        <w:rPr>
          <w:rFonts w:eastAsia="Arial" w:cs="Arial"/>
        </w:rPr>
        <w:t xml:space="preserve"> is unable to </w:t>
      </w:r>
      <w:r w:rsidR="007D581A">
        <w:rPr>
          <w:rFonts w:eastAsia="Arial" w:cs="Arial"/>
        </w:rPr>
        <w:t>accept</w:t>
      </w:r>
      <w:r w:rsidR="00E7187F">
        <w:rPr>
          <w:rFonts w:eastAsia="Arial" w:cs="Arial"/>
        </w:rPr>
        <w:t xml:space="preserve"> a </w:t>
      </w:r>
      <w:r w:rsidR="00FD17F3">
        <w:rPr>
          <w:rFonts w:eastAsia="Arial" w:cs="Arial"/>
        </w:rPr>
        <w:t>particulate</w:t>
      </w:r>
      <w:r w:rsidR="00E7187F">
        <w:rPr>
          <w:rFonts w:eastAsia="Arial" w:cs="Arial"/>
        </w:rPr>
        <w:t xml:space="preserve"> subset of</w:t>
      </w:r>
      <w:r w:rsidR="004500CB">
        <w:rPr>
          <w:rFonts w:eastAsia="Arial" w:cs="Arial"/>
        </w:rPr>
        <w:t xml:space="preserve"> data and information, the Water Boards</w:t>
      </w:r>
      <w:r w:rsidR="00D545DE">
        <w:rPr>
          <w:rFonts w:eastAsia="Arial" w:cs="Arial"/>
        </w:rPr>
        <w:t xml:space="preserve"> will accept</w:t>
      </w:r>
      <w:r w:rsidR="00583C11">
        <w:rPr>
          <w:rFonts w:eastAsia="Arial" w:cs="Arial"/>
        </w:rPr>
        <w:t xml:space="preserve"> that data and information</w:t>
      </w:r>
      <w:r w:rsidR="00433630">
        <w:rPr>
          <w:rFonts w:eastAsia="Arial" w:cs="Arial"/>
        </w:rPr>
        <w:t xml:space="preserve"> if it meets the </w:t>
      </w:r>
      <w:r w:rsidR="00AA1436">
        <w:rPr>
          <w:rFonts w:eastAsia="Arial" w:cs="Arial"/>
        </w:rPr>
        <w:t xml:space="preserve">formatting </w:t>
      </w:r>
      <w:r w:rsidR="00FD17F3">
        <w:rPr>
          <w:rFonts w:eastAsia="Arial" w:cs="Arial"/>
        </w:rPr>
        <w:t>and</w:t>
      </w:r>
      <w:r w:rsidR="00AA1436">
        <w:rPr>
          <w:rFonts w:eastAsia="Arial" w:cs="Arial"/>
        </w:rPr>
        <w:t xml:space="preserve"> quality assurance requirements detailed in </w:t>
      </w:r>
      <w:r w:rsidR="00FD17F3">
        <w:rPr>
          <w:rFonts w:eastAsia="Arial" w:cs="Arial"/>
        </w:rPr>
        <w:t>section</w:t>
      </w:r>
      <w:r w:rsidR="00AA1436">
        <w:rPr>
          <w:rFonts w:eastAsia="Arial" w:cs="Arial"/>
        </w:rPr>
        <w:t xml:space="preserve"> 6.1.4 of the </w:t>
      </w:r>
      <w:r w:rsidR="00FD17F3">
        <w:rPr>
          <w:rFonts w:eastAsia="Arial" w:cs="Arial"/>
        </w:rPr>
        <w:t>Listing</w:t>
      </w:r>
      <w:r w:rsidR="00AA1436">
        <w:rPr>
          <w:rFonts w:eastAsia="Arial" w:cs="Arial"/>
        </w:rPr>
        <w:t xml:space="preserve"> Pol</w:t>
      </w:r>
      <w:r w:rsidR="00A6091D">
        <w:rPr>
          <w:rFonts w:eastAsia="Arial" w:cs="Arial"/>
        </w:rPr>
        <w:t>icy and the</w:t>
      </w:r>
      <w:r w:rsidR="00FD17F3">
        <w:rPr>
          <w:rFonts w:eastAsia="Arial" w:cs="Arial"/>
        </w:rPr>
        <w:t xml:space="preserve"> notice of </w:t>
      </w:r>
      <w:r w:rsidR="002A789C" w:rsidRPr="004502A9">
        <w:rPr>
          <w:rFonts w:eastAsia="Arial" w:cs="Arial"/>
        </w:rPr>
        <w:t>solicitation</w:t>
      </w:r>
      <w:r w:rsidR="00FD17F3">
        <w:rPr>
          <w:rFonts w:eastAsia="Arial" w:cs="Arial"/>
        </w:rPr>
        <w:t>.</w:t>
      </w:r>
      <w:r>
        <w:rPr>
          <w:rFonts w:eastAsia="Arial" w:cs="Arial"/>
        </w:rPr>
        <w:t xml:space="preserve"> </w:t>
      </w:r>
      <w:r w:rsidR="007710C3" w:rsidRPr="004502A9">
        <w:rPr>
          <w:rStyle w:val="normaltextrun"/>
          <w:rFonts w:cs="Arial"/>
        </w:rPr>
        <w:t xml:space="preserve">All readily available data and information received during </w:t>
      </w:r>
      <w:r w:rsidR="00AE5E6C">
        <w:rPr>
          <w:rStyle w:val="normaltextrun"/>
          <w:rFonts w:cs="Arial"/>
        </w:rPr>
        <w:t>California’s</w:t>
      </w:r>
      <w:r w:rsidR="00AE5E6C" w:rsidRPr="004502A9">
        <w:rPr>
          <w:rStyle w:val="normaltextrun"/>
          <w:rFonts w:cs="Arial"/>
        </w:rPr>
        <w:t xml:space="preserve"> </w:t>
      </w:r>
      <w:r w:rsidR="00C6428D">
        <w:rPr>
          <w:rFonts w:eastAsia="Arial" w:cs="Arial"/>
        </w:rPr>
        <w:t>2026</w:t>
      </w:r>
      <w:r w:rsidR="007710C3" w:rsidRPr="004502A9">
        <w:rPr>
          <w:rFonts w:eastAsia="Arial" w:cs="Arial"/>
        </w:rPr>
        <w:t xml:space="preserve"> </w:t>
      </w:r>
      <w:r w:rsidR="007710C3" w:rsidRPr="004502A9">
        <w:rPr>
          <w:rStyle w:val="normaltextrun"/>
          <w:rFonts w:cs="Arial"/>
        </w:rPr>
        <w:t xml:space="preserve">Integrated Report data solicitation period were considered in the development of the </w:t>
      </w:r>
      <w:r w:rsidR="00AE5E6C">
        <w:rPr>
          <w:rStyle w:val="normaltextrun"/>
          <w:rFonts w:cs="Arial"/>
        </w:rPr>
        <w:t xml:space="preserve">California </w:t>
      </w:r>
      <w:r w:rsidR="007710C3" w:rsidRPr="004502A9">
        <w:rPr>
          <w:rStyle w:val="normaltextrun"/>
          <w:rFonts w:cs="Arial"/>
        </w:rPr>
        <w:t xml:space="preserve">Integrated Report. </w:t>
      </w:r>
      <w:r w:rsidR="00A85E63">
        <w:rPr>
          <w:rStyle w:val="normaltextrun"/>
          <w:rFonts w:cs="Arial"/>
        </w:rPr>
        <w:t xml:space="preserve">As defined </w:t>
      </w:r>
      <w:r w:rsidR="00437E91">
        <w:rPr>
          <w:rStyle w:val="normaltextrun"/>
          <w:rFonts w:cs="Arial"/>
        </w:rPr>
        <w:t xml:space="preserve">by </w:t>
      </w:r>
      <w:r w:rsidR="007844DE">
        <w:rPr>
          <w:rStyle w:val="normaltextrun"/>
          <w:rFonts w:cs="Arial"/>
        </w:rPr>
        <w:t xml:space="preserve">the </w:t>
      </w:r>
      <w:hyperlink r:id="rId36" w:history="1">
        <w:r w:rsidR="00495D5C" w:rsidRPr="00AF140A">
          <w:rPr>
            <w:rStyle w:val="Hyperlink"/>
          </w:rPr>
          <w:t xml:space="preserve">Notice of Public </w:t>
        </w:r>
        <w:r w:rsidR="00495D5C" w:rsidRPr="00AF140A">
          <w:rPr>
            <w:rStyle w:val="Hyperlink"/>
            <w:rFonts w:cs="Arial"/>
          </w:rPr>
          <w:t xml:space="preserve">Solicitation </w:t>
        </w:r>
        <w:r w:rsidR="00495D5C" w:rsidRPr="00AF140A">
          <w:rPr>
            <w:rStyle w:val="Hyperlink"/>
          </w:rPr>
          <w:t xml:space="preserve">of Water Quality Data and Information for the </w:t>
        </w:r>
        <w:r w:rsidR="00C6428D">
          <w:rPr>
            <w:rStyle w:val="Hyperlink"/>
          </w:rPr>
          <w:t>2026</w:t>
        </w:r>
        <w:r w:rsidR="00495D5C" w:rsidRPr="00AF140A">
          <w:rPr>
            <w:rStyle w:val="Hyperlink"/>
          </w:rPr>
          <w:t xml:space="preserve"> </w:t>
        </w:r>
        <w:r w:rsidR="00495D5C">
          <w:rPr>
            <w:rStyle w:val="Hyperlink"/>
          </w:rPr>
          <w:t xml:space="preserve">California </w:t>
        </w:r>
        <w:r w:rsidR="00495D5C" w:rsidRPr="00AF140A">
          <w:rPr>
            <w:rStyle w:val="Hyperlink"/>
          </w:rPr>
          <w:t>Integrated Report Cycle for the Clean Water Act Section 305(b) Surface Water Quality Assessment and the 303(d) List of Impaired Waters</w:t>
        </w:r>
      </w:hyperlink>
      <w:r w:rsidR="00495D5C" w:rsidRPr="004502A9">
        <w:rPr>
          <w:rFonts w:cs="Arial"/>
        </w:rPr>
        <w:t xml:space="preserve"> </w:t>
      </w:r>
      <w:r w:rsidR="00495D5C">
        <w:rPr>
          <w:rFonts w:cs="Arial"/>
        </w:rPr>
        <w:t>(</w:t>
      </w:r>
      <w:hyperlink r:id="rId37" w:history="1">
        <w:r w:rsidR="00495D5C" w:rsidRPr="0052271D">
          <w:rPr>
            <w:rStyle w:val="Hyperlink"/>
          </w:rPr>
          <w:t>https://www.waterboards.ca.gov/water_issues/programs/water_quality_assessment/docs/</w:t>
        </w:r>
        <w:r w:rsidR="00C6428D">
          <w:rPr>
            <w:rStyle w:val="Hyperlink"/>
          </w:rPr>
          <w:t>2026</w:t>
        </w:r>
        <w:r w:rsidR="00495D5C" w:rsidRPr="0052271D">
          <w:rPr>
            <w:rStyle w:val="Hyperlink"/>
          </w:rPr>
          <w:t>_solicitation_notice_final.pdf</w:t>
        </w:r>
      </w:hyperlink>
      <w:r w:rsidR="00495D5C">
        <w:rPr>
          <w:rFonts w:cs="Arial"/>
        </w:rPr>
        <w:t>)</w:t>
      </w:r>
      <w:r w:rsidR="00437E91">
        <w:rPr>
          <w:rStyle w:val="normaltextrun"/>
          <w:rFonts w:cs="Arial"/>
        </w:rPr>
        <w:t xml:space="preserve">, </w:t>
      </w:r>
      <w:r w:rsidR="0023680C" w:rsidRPr="0023680C">
        <w:rPr>
          <w:rStyle w:val="normaltextrun"/>
          <w:rFonts w:cs="Arial"/>
        </w:rPr>
        <w:t>“</w:t>
      </w:r>
      <w:r w:rsidR="00437E91">
        <w:rPr>
          <w:rStyle w:val="normaltextrun"/>
          <w:rFonts w:cs="Arial"/>
        </w:rPr>
        <w:t>d</w:t>
      </w:r>
      <w:r w:rsidR="0023680C" w:rsidRPr="0023680C">
        <w:rPr>
          <w:rStyle w:val="normaltextrun"/>
          <w:rFonts w:cs="Arial"/>
        </w:rPr>
        <w:t>ata” are considered a subset of information that consists of reports detailing measurements of specific environmental characteristics (i.e., measurements of physical, chemical, or biological characteristics in aquatic environments)</w:t>
      </w:r>
      <w:r w:rsidR="00437E91">
        <w:rPr>
          <w:rStyle w:val="normaltextrun"/>
          <w:rFonts w:cs="Arial"/>
        </w:rPr>
        <w:t xml:space="preserve"> and </w:t>
      </w:r>
      <w:r w:rsidR="0023680C" w:rsidRPr="0023680C">
        <w:rPr>
          <w:rStyle w:val="normaltextrun"/>
          <w:rFonts w:cs="Arial"/>
        </w:rPr>
        <w:t>“</w:t>
      </w:r>
      <w:r w:rsidR="00437E91">
        <w:rPr>
          <w:rStyle w:val="normaltextrun"/>
          <w:rFonts w:cs="Arial"/>
        </w:rPr>
        <w:t>i</w:t>
      </w:r>
      <w:r w:rsidR="0023680C" w:rsidRPr="0023680C">
        <w:rPr>
          <w:rStyle w:val="normaltextrun"/>
          <w:rFonts w:cs="Arial"/>
        </w:rPr>
        <w:t>nformation” is any documentation, such as narrative or photographic evidence, describing the water quality condition of a surface waterbody</w:t>
      </w:r>
      <w:r w:rsidR="00985C9F">
        <w:rPr>
          <w:rStyle w:val="normaltextrun"/>
          <w:rFonts w:cs="Arial"/>
        </w:rPr>
        <w:t xml:space="preserve"> segment</w:t>
      </w:r>
      <w:r w:rsidR="0023680C" w:rsidRPr="0023680C">
        <w:rPr>
          <w:rStyle w:val="normaltextrun"/>
          <w:rFonts w:cs="Arial"/>
        </w:rPr>
        <w:t>.</w:t>
      </w:r>
      <w:r w:rsidR="00624FFF">
        <w:rPr>
          <w:rStyle w:val="normaltextrun"/>
          <w:rFonts w:cs="Arial"/>
        </w:rPr>
        <w:t xml:space="preserve"> </w:t>
      </w:r>
    </w:p>
    <w:p w14:paraId="57F29EA6" w14:textId="57F50FAF" w:rsidR="00930B97" w:rsidRDefault="0044262E" w:rsidP="0044262E">
      <w:pPr>
        <w:rPr>
          <w:rStyle w:val="normaltextrun"/>
          <w:rFonts w:cs="Arial"/>
        </w:rPr>
      </w:pPr>
      <w:r>
        <w:rPr>
          <w:rStyle w:val="normaltextrun"/>
          <w:rFonts w:cs="Arial"/>
        </w:rPr>
        <w:t>For the 2026 California Integrated Report, t</w:t>
      </w:r>
      <w:r w:rsidRPr="004502A9">
        <w:rPr>
          <w:rStyle w:val="normaltextrun"/>
          <w:rFonts w:cs="Arial"/>
        </w:rPr>
        <w:t xml:space="preserve">he State Water Board solicited data and information from the public from </w:t>
      </w:r>
      <w:r>
        <w:rPr>
          <w:rStyle w:val="normaltextrun"/>
          <w:rFonts w:cs="Arial"/>
        </w:rPr>
        <w:t xml:space="preserve">April 18 </w:t>
      </w:r>
      <w:r w:rsidRPr="0019537A">
        <w:rPr>
          <w:rStyle w:val="normaltextrun"/>
          <w:rFonts w:cs="Arial"/>
        </w:rPr>
        <w:t xml:space="preserve">to October </w:t>
      </w:r>
      <w:r>
        <w:rPr>
          <w:rStyle w:val="normaltextrun"/>
          <w:rFonts w:cs="Arial"/>
        </w:rPr>
        <w:t>21</w:t>
      </w:r>
      <w:r w:rsidRPr="0019537A">
        <w:rPr>
          <w:rStyle w:val="normaltextrun"/>
          <w:rFonts w:cs="Arial"/>
        </w:rPr>
        <w:t>, 20</w:t>
      </w:r>
      <w:r>
        <w:rPr>
          <w:rStyle w:val="normaltextrun"/>
          <w:rFonts w:cs="Arial"/>
        </w:rPr>
        <w:t>22</w:t>
      </w:r>
      <w:r w:rsidRPr="004502A9">
        <w:rPr>
          <w:rStyle w:val="normaltextrun"/>
          <w:rFonts w:cs="Arial"/>
        </w:rPr>
        <w:t xml:space="preserve">. All readily available data and information submitted for </w:t>
      </w:r>
      <w:r w:rsidR="006E440B">
        <w:rPr>
          <w:rStyle w:val="normaltextrun"/>
          <w:rFonts w:cs="Arial"/>
        </w:rPr>
        <w:t xml:space="preserve">surface </w:t>
      </w:r>
      <w:r w:rsidR="003F62FA">
        <w:rPr>
          <w:rStyle w:val="normaltextrun"/>
          <w:rFonts w:cs="Arial"/>
        </w:rPr>
        <w:t xml:space="preserve">waters in </w:t>
      </w:r>
      <w:r w:rsidRPr="004502A9">
        <w:rPr>
          <w:rStyle w:val="normaltextrun"/>
          <w:rFonts w:cs="Arial"/>
        </w:rPr>
        <w:t xml:space="preserve">the </w:t>
      </w:r>
      <w:r>
        <w:rPr>
          <w:rFonts w:cs="Arial"/>
        </w:rPr>
        <w:t xml:space="preserve">North Coast, </w:t>
      </w:r>
      <w:r w:rsidR="00C300D1">
        <w:rPr>
          <w:rFonts w:cs="Arial"/>
        </w:rPr>
        <w:t xml:space="preserve">Lahontan, and </w:t>
      </w:r>
      <w:r>
        <w:rPr>
          <w:rFonts w:cs="Arial"/>
        </w:rPr>
        <w:t xml:space="preserve">Colorado River Basin </w:t>
      </w:r>
      <w:r w:rsidRPr="004502A9">
        <w:rPr>
          <w:rStyle w:val="normaltextrun"/>
          <w:rFonts w:cs="Arial"/>
        </w:rPr>
        <w:t xml:space="preserve">Regional Water Boards, </w:t>
      </w:r>
      <w:r>
        <w:rPr>
          <w:rStyle w:val="normaltextrun"/>
          <w:rFonts w:cs="Arial"/>
        </w:rPr>
        <w:t xml:space="preserve">all readily available data and information from the </w:t>
      </w:r>
      <w:r>
        <w:rPr>
          <w:rFonts w:cs="Arial"/>
        </w:rPr>
        <w:t>San Joaquin</w:t>
      </w:r>
      <w:r>
        <w:rPr>
          <w:rStyle w:val="normaltextrun"/>
          <w:rFonts w:cs="Arial"/>
        </w:rPr>
        <w:t xml:space="preserve"> River watershed of the Central Valley Regional Water Board, </w:t>
      </w:r>
      <w:r w:rsidRPr="004502A9">
        <w:rPr>
          <w:rStyle w:val="normaltextrun"/>
          <w:rFonts w:cs="Arial"/>
        </w:rPr>
        <w:t xml:space="preserve">and high priority data from the San Diego </w:t>
      </w:r>
      <w:r w:rsidR="00225229">
        <w:rPr>
          <w:rStyle w:val="normaltextrun"/>
          <w:rFonts w:cs="Arial"/>
        </w:rPr>
        <w:t>and Central Coast</w:t>
      </w:r>
      <w:r w:rsidRPr="004502A9">
        <w:rPr>
          <w:rStyle w:val="normaltextrun"/>
          <w:rFonts w:cs="Arial"/>
        </w:rPr>
        <w:t xml:space="preserve"> Regional Water Board</w:t>
      </w:r>
      <w:r>
        <w:rPr>
          <w:rStyle w:val="normaltextrun"/>
          <w:rFonts w:cs="Arial"/>
        </w:rPr>
        <w:t>s</w:t>
      </w:r>
      <w:r w:rsidRPr="004502A9">
        <w:rPr>
          <w:rStyle w:val="normaltextrun"/>
          <w:rFonts w:cs="Arial"/>
        </w:rPr>
        <w:t xml:space="preserve"> were considered. </w:t>
      </w:r>
    </w:p>
    <w:p w14:paraId="626A714A" w14:textId="4FF72927" w:rsidR="0044262E" w:rsidRPr="004502A9" w:rsidRDefault="0044262E" w:rsidP="0044262E">
      <w:pPr>
        <w:rPr>
          <w:rStyle w:val="normaltextrun"/>
          <w:rFonts w:cs="Arial"/>
        </w:rPr>
      </w:pPr>
      <w:r w:rsidRPr="2F892D1E">
        <w:rPr>
          <w:rStyle w:val="normaltextrun"/>
          <w:rFonts w:cs="Arial"/>
        </w:rPr>
        <w:t>Data</w:t>
      </w:r>
      <w:r w:rsidRPr="004502A9">
        <w:rPr>
          <w:rStyle w:val="normaltextrun"/>
          <w:rFonts w:cs="Arial"/>
        </w:rPr>
        <w:t xml:space="preserve"> and information </w:t>
      </w:r>
      <w:r>
        <w:rPr>
          <w:rStyle w:val="normaltextrun"/>
          <w:rFonts w:cs="Arial"/>
        </w:rPr>
        <w:t>considered</w:t>
      </w:r>
      <w:r w:rsidRPr="004502A9">
        <w:rPr>
          <w:rStyle w:val="normaltextrun"/>
          <w:rFonts w:cs="Arial"/>
        </w:rPr>
        <w:t xml:space="preserve"> include:</w:t>
      </w:r>
    </w:p>
    <w:p w14:paraId="288906F1" w14:textId="77777777" w:rsidR="0044262E" w:rsidRPr="004502A9" w:rsidRDefault="0044262E" w:rsidP="0044262E">
      <w:pPr>
        <w:pStyle w:val="paragraph"/>
        <w:numPr>
          <w:ilvl w:val="0"/>
          <w:numId w:val="7"/>
        </w:numPr>
        <w:spacing w:before="240" w:beforeAutospacing="0" w:after="0" w:afterAutospacing="0"/>
        <w:textAlignment w:val="baseline"/>
        <w:rPr>
          <w:rFonts w:cs="Arial"/>
        </w:rPr>
      </w:pPr>
      <w:r w:rsidRPr="004502A9">
        <w:rPr>
          <w:rStyle w:val="normaltextrun"/>
          <w:rFonts w:cs="Arial"/>
        </w:rPr>
        <w:t xml:space="preserve">The </w:t>
      </w:r>
      <w:r>
        <w:rPr>
          <w:rStyle w:val="normaltextrun"/>
          <w:rFonts w:cs="Arial"/>
        </w:rPr>
        <w:t xml:space="preserve">2024 California </w:t>
      </w:r>
      <w:r w:rsidRPr="004502A9">
        <w:rPr>
          <w:rStyle w:val="normaltextrun"/>
          <w:rFonts w:cs="Arial"/>
        </w:rPr>
        <w:t>Integrated Report and its supporting data and information</w:t>
      </w:r>
      <w:r>
        <w:rPr>
          <w:rStyle w:val="normaltextrun"/>
          <w:rFonts w:cs="Arial"/>
        </w:rPr>
        <w:t>.</w:t>
      </w:r>
    </w:p>
    <w:p w14:paraId="2BDC03F9" w14:textId="0C1D2352" w:rsidR="0044262E" w:rsidRPr="004502A9" w:rsidRDefault="0044262E" w:rsidP="0044262E">
      <w:pPr>
        <w:pStyle w:val="paragraph"/>
        <w:numPr>
          <w:ilvl w:val="0"/>
          <w:numId w:val="7"/>
        </w:numPr>
        <w:spacing w:before="0" w:beforeAutospacing="0" w:after="0" w:afterAutospacing="0"/>
        <w:textAlignment w:val="baseline"/>
        <w:rPr>
          <w:rStyle w:val="normaltextrun"/>
          <w:rFonts w:asciiTheme="minorHAnsi" w:eastAsiaTheme="minorEastAsia" w:hAnsiTheme="minorHAnsi" w:cstheme="minorBidi"/>
        </w:rPr>
      </w:pPr>
      <w:r w:rsidRPr="004502A9">
        <w:rPr>
          <w:rStyle w:val="normaltextrun"/>
          <w:rFonts w:cs="Arial"/>
        </w:rPr>
        <w:t>CEDEN data</w:t>
      </w:r>
      <w:r w:rsidRPr="15477614">
        <w:rPr>
          <w:rStyle w:val="normaltextrun"/>
          <w:rFonts w:cs="Arial"/>
        </w:rPr>
        <w:t xml:space="preserve">, </w:t>
      </w:r>
      <w:r w:rsidRPr="71B22D10">
        <w:rPr>
          <w:rStyle w:val="normaltextrun"/>
          <w:rFonts w:cs="Arial"/>
        </w:rPr>
        <w:t xml:space="preserve">which includes </w:t>
      </w:r>
      <w:r w:rsidRPr="12CAAFB4">
        <w:rPr>
          <w:rStyle w:val="normaltextrun"/>
          <w:rFonts w:cs="Arial"/>
        </w:rPr>
        <w:t xml:space="preserve">data from the </w:t>
      </w:r>
      <w:r w:rsidRPr="58FBEB32">
        <w:rPr>
          <w:rStyle w:val="normaltextrun"/>
          <w:rFonts w:cs="Arial"/>
        </w:rPr>
        <w:t>SWAMP</w:t>
      </w:r>
      <w:r w:rsidRPr="29CF85A4">
        <w:rPr>
          <w:rStyle w:val="normaltextrun"/>
          <w:rFonts w:cs="Arial"/>
        </w:rPr>
        <w:t xml:space="preserve"> and other Water Board</w:t>
      </w:r>
      <w:r w:rsidR="004D01FE">
        <w:rPr>
          <w:rStyle w:val="normaltextrun"/>
          <w:rFonts w:cs="Arial"/>
        </w:rPr>
        <w:t>s</w:t>
      </w:r>
      <w:r w:rsidRPr="29CF85A4">
        <w:rPr>
          <w:rStyle w:val="normaltextrun"/>
          <w:rFonts w:cs="Arial"/>
        </w:rPr>
        <w:t xml:space="preserve"> monitoring programs,</w:t>
      </w:r>
      <w:r w:rsidRPr="3DDAF426">
        <w:rPr>
          <w:rStyle w:val="normaltextrun"/>
          <w:rFonts w:cs="Arial"/>
        </w:rPr>
        <w:t xml:space="preserve"> </w:t>
      </w:r>
      <w:r>
        <w:rPr>
          <w:rStyle w:val="normaltextrun"/>
          <w:rFonts w:cs="Arial"/>
        </w:rPr>
        <w:t>ILRP</w:t>
      </w:r>
      <w:r w:rsidRPr="0A467D3E">
        <w:rPr>
          <w:rStyle w:val="normaltextrun"/>
          <w:rFonts w:cs="Arial"/>
        </w:rPr>
        <w:t xml:space="preserve">, </w:t>
      </w:r>
      <w:r w:rsidRPr="285796AE">
        <w:rPr>
          <w:rStyle w:val="normaltextrun"/>
          <w:rFonts w:cs="Arial"/>
        </w:rPr>
        <w:t>Southern California Coastal Water Research Project (“SCCWRP</w:t>
      </w:r>
      <w:r w:rsidRPr="12CAAFB4">
        <w:rPr>
          <w:rStyle w:val="normaltextrun"/>
          <w:rFonts w:cs="Arial"/>
        </w:rPr>
        <w:t>”),</w:t>
      </w:r>
      <w:r w:rsidRPr="58F4307D">
        <w:rPr>
          <w:rStyle w:val="normaltextrun"/>
          <w:rFonts w:cs="Arial"/>
        </w:rPr>
        <w:t xml:space="preserve"> </w:t>
      </w:r>
      <w:r w:rsidRPr="4C2CDC99">
        <w:rPr>
          <w:rStyle w:val="normaltextrun"/>
          <w:rFonts w:cs="Arial"/>
        </w:rPr>
        <w:t>San Francisco Estuary Institute’s (“SFEI</w:t>
      </w:r>
      <w:r w:rsidRPr="4E9E8233">
        <w:rPr>
          <w:rStyle w:val="normaltextrun"/>
          <w:rFonts w:cs="Arial"/>
        </w:rPr>
        <w:t>”)</w:t>
      </w:r>
      <w:r>
        <w:rPr>
          <w:rStyle w:val="normaltextrun"/>
          <w:rFonts w:cs="Arial"/>
        </w:rPr>
        <w:t xml:space="preserve"> </w:t>
      </w:r>
      <w:r w:rsidRPr="4C2CDC99">
        <w:rPr>
          <w:rStyle w:val="normaltextrun"/>
          <w:rFonts w:cs="Arial"/>
        </w:rPr>
        <w:t>Regional Monitoring Program</w:t>
      </w:r>
      <w:r w:rsidRPr="4E9E8233">
        <w:rPr>
          <w:rStyle w:val="normaltextrun"/>
          <w:rFonts w:cs="Arial"/>
        </w:rPr>
        <w:t>,</w:t>
      </w:r>
      <w:r w:rsidRPr="53BCDE92">
        <w:rPr>
          <w:rStyle w:val="normaltextrun"/>
          <w:rFonts w:cs="Arial"/>
        </w:rPr>
        <w:t xml:space="preserve"> citizen monitoring groups, academic </w:t>
      </w:r>
      <w:r w:rsidRPr="21CC2E74">
        <w:rPr>
          <w:rStyle w:val="normaltextrun"/>
          <w:rFonts w:cs="Arial"/>
        </w:rPr>
        <w:t xml:space="preserve">institutions and </w:t>
      </w:r>
      <w:r w:rsidRPr="0CA12E6D">
        <w:rPr>
          <w:rStyle w:val="normaltextrun"/>
          <w:rFonts w:cs="Arial"/>
        </w:rPr>
        <w:t>other data providers</w:t>
      </w:r>
      <w:r w:rsidRPr="21CC2E74">
        <w:rPr>
          <w:rStyle w:val="normaltextrun"/>
          <w:rFonts w:cs="Arial"/>
        </w:rPr>
        <w:t>.</w:t>
      </w:r>
    </w:p>
    <w:p w14:paraId="329138AE" w14:textId="77777777" w:rsidR="0044262E" w:rsidRPr="004502A9" w:rsidRDefault="0044262E" w:rsidP="0044262E">
      <w:pPr>
        <w:pStyle w:val="paragraph"/>
        <w:numPr>
          <w:ilvl w:val="0"/>
          <w:numId w:val="7"/>
        </w:numPr>
        <w:spacing w:before="0" w:beforeAutospacing="0" w:after="0" w:afterAutospacing="0"/>
        <w:textAlignment w:val="baseline"/>
        <w:rPr>
          <w:rStyle w:val="normaltextrun"/>
          <w:rFonts w:cs="Arial"/>
        </w:rPr>
      </w:pPr>
      <w:r>
        <w:rPr>
          <w:rStyle w:val="normaltextrun"/>
          <w:rFonts w:cs="Arial"/>
        </w:rPr>
        <w:t>CIWQS data</w:t>
      </w:r>
      <w:r w:rsidRPr="590A6382">
        <w:rPr>
          <w:rStyle w:val="normaltextrun"/>
          <w:rFonts w:cs="Arial"/>
        </w:rPr>
        <w:t xml:space="preserve">, which includes </w:t>
      </w:r>
      <w:r w:rsidRPr="6930942E">
        <w:rPr>
          <w:rStyle w:val="normaltextrun"/>
          <w:rFonts w:cs="Arial"/>
        </w:rPr>
        <w:t xml:space="preserve">receiving water monitoring data from </w:t>
      </w:r>
      <w:r w:rsidRPr="726C0DC8">
        <w:rPr>
          <w:rStyle w:val="normaltextrun"/>
          <w:rFonts w:cs="Arial"/>
        </w:rPr>
        <w:t>discharger monitoring reports</w:t>
      </w:r>
      <w:r>
        <w:rPr>
          <w:rStyle w:val="normaltextrun"/>
          <w:rFonts w:cs="Arial"/>
        </w:rPr>
        <w:t>.</w:t>
      </w:r>
    </w:p>
    <w:p w14:paraId="08384128" w14:textId="77777777" w:rsidR="0044262E" w:rsidRDefault="0044262E" w:rsidP="0044262E">
      <w:pPr>
        <w:pStyle w:val="paragraph"/>
        <w:numPr>
          <w:ilvl w:val="0"/>
          <w:numId w:val="7"/>
        </w:numPr>
        <w:spacing w:before="0" w:beforeAutospacing="0" w:after="0" w:afterAutospacing="0"/>
        <w:rPr>
          <w:rStyle w:val="normaltextrun"/>
        </w:rPr>
      </w:pPr>
      <w:r w:rsidRPr="0C47663A">
        <w:rPr>
          <w:rStyle w:val="normaltextrun"/>
          <w:rFonts w:eastAsia="Calibri" w:cs="Arial"/>
        </w:rPr>
        <w:t>Data and information</w:t>
      </w:r>
      <w:r w:rsidRPr="5CA8101B">
        <w:rPr>
          <w:rStyle w:val="normaltextrun"/>
          <w:rFonts w:eastAsia="Calibri" w:cs="Arial"/>
        </w:rPr>
        <w:t xml:space="preserve">, including </w:t>
      </w:r>
      <w:r w:rsidRPr="0592637E">
        <w:rPr>
          <w:rStyle w:val="normaltextrun"/>
          <w:rFonts w:eastAsia="Calibri" w:cs="Arial"/>
        </w:rPr>
        <w:t>QAPPs</w:t>
      </w:r>
      <w:r w:rsidRPr="1AB4037F">
        <w:rPr>
          <w:rStyle w:val="normaltextrun"/>
          <w:rFonts w:eastAsia="Calibri" w:cs="Arial"/>
        </w:rPr>
        <w:t>,</w:t>
      </w:r>
      <w:r w:rsidRPr="0C47663A">
        <w:rPr>
          <w:rStyle w:val="normaltextrun"/>
          <w:rFonts w:eastAsia="Calibri" w:cs="Arial"/>
        </w:rPr>
        <w:t xml:space="preserve"> submitted </w:t>
      </w:r>
      <w:r w:rsidRPr="5E6103ED">
        <w:rPr>
          <w:rStyle w:val="normaltextrun"/>
          <w:rFonts w:eastAsia="Calibri" w:cs="Arial"/>
        </w:rPr>
        <w:t xml:space="preserve">through the </w:t>
      </w:r>
      <w:r>
        <w:rPr>
          <w:rStyle w:val="normaltextrun"/>
          <w:rFonts w:eastAsia="Calibri" w:cs="Arial"/>
        </w:rPr>
        <w:t xml:space="preserve">California </w:t>
      </w:r>
      <w:r w:rsidRPr="5E6103ED">
        <w:rPr>
          <w:rStyle w:val="normaltextrun"/>
          <w:rFonts w:eastAsia="Calibri" w:cs="Arial"/>
        </w:rPr>
        <w:t>Integrated Report Upload Portal.</w:t>
      </w:r>
    </w:p>
    <w:p w14:paraId="71285C1E" w14:textId="77777777" w:rsidR="0044262E" w:rsidRPr="004502A9" w:rsidRDefault="0044262E" w:rsidP="0044262E">
      <w:pPr>
        <w:pStyle w:val="paragraph"/>
        <w:numPr>
          <w:ilvl w:val="0"/>
          <w:numId w:val="7"/>
        </w:numPr>
        <w:spacing w:before="0" w:beforeAutospacing="0" w:after="0" w:afterAutospacing="0"/>
        <w:textAlignment w:val="baseline"/>
        <w:rPr>
          <w:rStyle w:val="normaltextrun"/>
          <w:rFonts w:cs="Arial"/>
        </w:rPr>
      </w:pPr>
      <w:r w:rsidRPr="004502A9">
        <w:rPr>
          <w:rStyle w:val="normaltextrun"/>
          <w:rFonts w:cs="Arial"/>
        </w:rPr>
        <w:t>W</w:t>
      </w:r>
      <w:r>
        <w:rPr>
          <w:rStyle w:val="normaltextrun"/>
          <w:rFonts w:cs="Arial"/>
        </w:rPr>
        <w:t xml:space="preserve">ater </w:t>
      </w:r>
      <w:r w:rsidRPr="004502A9">
        <w:rPr>
          <w:rStyle w:val="normaltextrun"/>
          <w:rFonts w:cs="Arial"/>
        </w:rPr>
        <w:t>Q</w:t>
      </w:r>
      <w:r>
        <w:rPr>
          <w:rStyle w:val="normaltextrun"/>
          <w:rFonts w:cs="Arial"/>
        </w:rPr>
        <w:t xml:space="preserve">uality </w:t>
      </w:r>
      <w:r w:rsidRPr="004502A9">
        <w:rPr>
          <w:rStyle w:val="normaltextrun"/>
          <w:rFonts w:cs="Arial"/>
        </w:rPr>
        <w:t>P</w:t>
      </w:r>
      <w:r>
        <w:rPr>
          <w:rStyle w:val="normaltextrun"/>
          <w:rFonts w:cs="Arial"/>
        </w:rPr>
        <w:t>ortal (“WQP”)</w:t>
      </w:r>
      <w:r w:rsidRPr="004502A9">
        <w:rPr>
          <w:rStyle w:val="normaltextrun"/>
          <w:rFonts w:cs="Arial"/>
        </w:rPr>
        <w:t xml:space="preserve"> </w:t>
      </w:r>
      <w:r>
        <w:rPr>
          <w:rStyle w:val="normaltextrun"/>
          <w:rFonts w:cs="Arial"/>
        </w:rPr>
        <w:t>that includes</w:t>
      </w:r>
      <w:r w:rsidRPr="004502A9">
        <w:rPr>
          <w:rStyle w:val="normaltextrun"/>
          <w:rFonts w:cs="Arial"/>
        </w:rPr>
        <w:t xml:space="preserve"> federal USGS, </w:t>
      </w:r>
      <w:r>
        <w:rPr>
          <w:rStyle w:val="normaltextrun"/>
          <w:rFonts w:cs="Arial"/>
        </w:rPr>
        <w:t>USEPA</w:t>
      </w:r>
      <w:r w:rsidRPr="004502A9">
        <w:rPr>
          <w:rStyle w:val="normaltextrun"/>
          <w:rFonts w:cs="Arial"/>
        </w:rPr>
        <w:t>, and tribal data</w:t>
      </w:r>
      <w:r>
        <w:rPr>
          <w:rStyle w:val="normaltextrun"/>
          <w:rFonts w:cs="Arial"/>
        </w:rPr>
        <w:t>.</w:t>
      </w:r>
      <w:r>
        <w:rPr>
          <w:rStyle w:val="FootnoteReference"/>
          <w:rFonts w:cs="Arial"/>
        </w:rPr>
        <w:footnoteReference w:id="3"/>
      </w:r>
    </w:p>
    <w:p w14:paraId="3462DAC4" w14:textId="2754ADE3" w:rsidR="0044262E" w:rsidRPr="004502A9" w:rsidRDefault="0044262E" w:rsidP="0044262E">
      <w:pPr>
        <w:pStyle w:val="paragraph"/>
        <w:numPr>
          <w:ilvl w:val="0"/>
          <w:numId w:val="7"/>
        </w:numPr>
        <w:spacing w:before="0" w:beforeAutospacing="0" w:after="0" w:afterAutospacing="0"/>
        <w:textAlignment w:val="baseline"/>
        <w:rPr>
          <w:rStyle w:val="normaltextrun"/>
          <w:rFonts w:cs="Arial"/>
        </w:rPr>
      </w:pPr>
      <w:r w:rsidRPr="004502A9">
        <w:rPr>
          <w:rStyle w:val="normaltextrun"/>
          <w:rFonts w:cs="Arial"/>
        </w:rPr>
        <w:t>Existing internal Water Board</w:t>
      </w:r>
      <w:r w:rsidR="00867FEB">
        <w:rPr>
          <w:rStyle w:val="normaltextrun"/>
          <w:rFonts w:cs="Arial"/>
        </w:rPr>
        <w:t>s</w:t>
      </w:r>
      <w:r w:rsidRPr="004502A9">
        <w:rPr>
          <w:rStyle w:val="normaltextrun"/>
          <w:rFonts w:cs="Arial"/>
        </w:rPr>
        <w:t xml:space="preserve"> data and reports</w:t>
      </w:r>
      <w:r>
        <w:rPr>
          <w:rStyle w:val="normaltextrun"/>
          <w:rFonts w:cs="Arial"/>
        </w:rPr>
        <w:t>.</w:t>
      </w:r>
      <w:r w:rsidRPr="004502A9">
        <w:rPr>
          <w:rStyle w:val="normaltextrun"/>
          <w:rFonts w:cs="Arial"/>
        </w:rPr>
        <w:t xml:space="preserve"> </w:t>
      </w:r>
    </w:p>
    <w:p w14:paraId="4F6F7262" w14:textId="77777777" w:rsidR="0044262E" w:rsidRPr="004502A9" w:rsidRDefault="0044262E" w:rsidP="0044262E">
      <w:pPr>
        <w:pStyle w:val="paragraph"/>
        <w:numPr>
          <w:ilvl w:val="0"/>
          <w:numId w:val="7"/>
        </w:numPr>
        <w:spacing w:before="0" w:beforeAutospacing="0" w:after="0" w:afterAutospacing="0"/>
        <w:textAlignment w:val="baseline"/>
        <w:rPr>
          <w:rStyle w:val="normaltextrun"/>
          <w:rFonts w:cs="Arial"/>
        </w:rPr>
      </w:pPr>
      <w:r w:rsidRPr="004502A9">
        <w:rPr>
          <w:rStyle w:val="normaltextrun"/>
          <w:rFonts w:cs="Arial"/>
        </w:rPr>
        <w:t>Other sources of data and information that became readily available to Water Board staff</w:t>
      </w:r>
      <w:r w:rsidRPr="3DF287F1">
        <w:rPr>
          <w:rStyle w:val="normaltextrun"/>
          <w:rFonts w:cs="Arial"/>
        </w:rPr>
        <w:t>, such as fish and shellfish advisories, beach postings, and closures</w:t>
      </w:r>
      <w:r>
        <w:rPr>
          <w:rStyle w:val="normaltextrun"/>
          <w:rFonts w:cs="Arial"/>
        </w:rPr>
        <w:t>;</w:t>
      </w:r>
      <w:r w:rsidRPr="3DF287F1">
        <w:rPr>
          <w:rStyle w:val="normaltextrun"/>
          <w:rFonts w:cs="Arial"/>
        </w:rPr>
        <w:t xml:space="preserve"> reports of fish kills, cancers</w:t>
      </w:r>
      <w:r w:rsidRPr="794CDE1B">
        <w:rPr>
          <w:rStyle w:val="normaltextrun"/>
          <w:rFonts w:cs="Arial"/>
        </w:rPr>
        <w:t>,</w:t>
      </w:r>
      <w:r w:rsidRPr="3DF287F1">
        <w:rPr>
          <w:rStyle w:val="normaltextrun"/>
          <w:rFonts w:cs="Arial"/>
        </w:rPr>
        <w:t xml:space="preserve"> lesions </w:t>
      </w:r>
      <w:r w:rsidRPr="794CDE1B">
        <w:rPr>
          <w:rStyle w:val="normaltextrun"/>
          <w:rFonts w:cs="Arial"/>
        </w:rPr>
        <w:t>or tumors</w:t>
      </w:r>
      <w:r>
        <w:rPr>
          <w:rStyle w:val="normaltextrun"/>
          <w:rFonts w:cs="Arial"/>
        </w:rPr>
        <w:t>; and</w:t>
      </w:r>
      <w:r w:rsidRPr="794CDE1B">
        <w:rPr>
          <w:rStyle w:val="normaltextrun"/>
          <w:rFonts w:cs="Arial"/>
        </w:rPr>
        <w:t xml:space="preserve"> reports of dog deaths associated with water </w:t>
      </w:r>
      <w:r w:rsidRPr="198F26DF">
        <w:rPr>
          <w:rStyle w:val="normaltextrun"/>
          <w:rFonts w:cs="Arial"/>
        </w:rPr>
        <w:t>contact.</w:t>
      </w:r>
    </w:p>
    <w:p w14:paraId="01C38C14" w14:textId="7CE58759" w:rsidR="00465F11" w:rsidRDefault="00632E11" w:rsidP="00A5169C">
      <w:pPr>
        <w:spacing w:before="240"/>
      </w:pPr>
      <w:r>
        <w:t xml:space="preserve">The Regional Water Boards that are “off-cycle” may assess high priority data, make listing or delisting </w:t>
      </w:r>
      <w:r w:rsidR="00D661CA">
        <w:t>Decisions</w:t>
      </w:r>
      <w:r>
        <w:t>, or propose changes to the 305(b) report (Listing Policy, section 6.1.2.1)</w:t>
      </w:r>
      <w:r w:rsidR="009B7050">
        <w:t>.</w:t>
      </w:r>
      <w:r>
        <w:t xml:space="preserve"> Listing Policy section 6.1.2.1 instructs, </w:t>
      </w:r>
    </w:p>
    <w:p w14:paraId="18FC88FF" w14:textId="77777777" w:rsidR="0029346A" w:rsidRDefault="00632E11" w:rsidP="0029346A">
      <w:pPr>
        <w:ind w:left="720"/>
      </w:pPr>
      <w:r>
        <w:t>In its notice of solicitation, the State Water Board shall identify the database in which data and information shall be submitted and which Regional Water Boards shall administer the listing process for that listing cycle and whether the State Water Board will administer a particular Regional Water Board’s listing process, pursuant to section 6.2, for that region. If a Regional Water Board is “off cycle” pursuant to the State Water Board’s notice of solicitation, that Regional Water Board or State Water Board may administer the process for one or more water segments that would result in a direct listing change from the previous listing cycle pursuant to section 6.2.</w:t>
      </w:r>
    </w:p>
    <w:p w14:paraId="6C49FEED" w14:textId="75D8B03E" w:rsidR="00C37390" w:rsidRDefault="00632E11" w:rsidP="0029346A">
      <w:r>
        <w:t>In section 6.1.5 of the Listing Policy, it acknowledges that “the Regional Water Boards have wide discretion establishing how data and information are to be evaluated, including the flexibility to establish water segmentation, as well as the scale of spatial and temporal data and information that are to be reviewed,” which includes determining what would be considered high priority data for a listing cycle</w:t>
      </w:r>
      <w:r w:rsidR="007368D2">
        <w:t>.</w:t>
      </w:r>
      <w:r w:rsidR="00262903">
        <w:t xml:space="preserve"> </w:t>
      </w:r>
      <w:r w:rsidR="00602788">
        <w:t>T</w:t>
      </w:r>
      <w:r w:rsidR="004B78AE">
        <w:t xml:space="preserve">he following is a list of </w:t>
      </w:r>
      <w:r w:rsidR="00693993">
        <w:t>factors</w:t>
      </w:r>
      <w:r w:rsidR="004B78AE">
        <w:t xml:space="preserve"> that </w:t>
      </w:r>
      <w:r w:rsidR="00942F17">
        <w:t xml:space="preserve">Regional Water Boards </w:t>
      </w:r>
      <w:r w:rsidR="00820CFA">
        <w:t xml:space="preserve">may </w:t>
      </w:r>
      <w:r w:rsidR="00B97E77">
        <w:t>consider</w:t>
      </w:r>
      <w:r w:rsidR="00650263">
        <w:t xml:space="preserve"> </w:t>
      </w:r>
      <w:r w:rsidR="00F755D4">
        <w:t xml:space="preserve">when determining </w:t>
      </w:r>
      <w:r w:rsidR="00C62495">
        <w:t xml:space="preserve">which </w:t>
      </w:r>
      <w:r w:rsidR="00650263">
        <w:t>data</w:t>
      </w:r>
      <w:r w:rsidR="00AB5F06">
        <w:t xml:space="preserve"> </w:t>
      </w:r>
      <w:r w:rsidR="009D61E6">
        <w:t>to</w:t>
      </w:r>
      <w:r w:rsidR="00111989">
        <w:t xml:space="preserve"> </w:t>
      </w:r>
      <w:r w:rsidR="00003BE3">
        <w:t xml:space="preserve">include as a </w:t>
      </w:r>
      <w:r w:rsidR="00650263">
        <w:t>high-priority</w:t>
      </w:r>
      <w:r w:rsidR="00505B5B">
        <w:t xml:space="preserve"> “off-cycle”</w:t>
      </w:r>
      <w:r w:rsidR="00650263">
        <w:t xml:space="preserve"> assessments</w:t>
      </w:r>
      <w:r w:rsidR="005649CA">
        <w:t>:</w:t>
      </w:r>
      <w:r w:rsidR="00D50BDD">
        <w:t xml:space="preserve"> </w:t>
      </w:r>
    </w:p>
    <w:p w14:paraId="7B4B0D9B" w14:textId="6D997FF1" w:rsidR="008F4118" w:rsidRDefault="0069689A" w:rsidP="00010F69">
      <w:pPr>
        <w:pStyle w:val="ListParagraph"/>
        <w:numPr>
          <w:ilvl w:val="0"/>
          <w:numId w:val="19"/>
        </w:numPr>
      </w:pPr>
      <w:r>
        <w:t xml:space="preserve">Racial equity and environmental justice </w:t>
      </w:r>
      <w:r w:rsidR="00CD06D7">
        <w:t>concerns</w:t>
      </w:r>
      <w:r w:rsidR="00F13351">
        <w:t>.</w:t>
      </w:r>
    </w:p>
    <w:p w14:paraId="567DE72F" w14:textId="2670A41D" w:rsidR="00B97E77" w:rsidRDefault="004628CC" w:rsidP="00010F69">
      <w:pPr>
        <w:pStyle w:val="ListParagraph"/>
        <w:numPr>
          <w:ilvl w:val="0"/>
          <w:numId w:val="19"/>
        </w:numPr>
      </w:pPr>
      <w:r>
        <w:t>C</w:t>
      </w:r>
      <w:r w:rsidR="001D0728">
        <w:t xml:space="preserve">hanges to </w:t>
      </w:r>
      <w:r w:rsidR="00EA60FE">
        <w:t>r</w:t>
      </w:r>
      <w:r w:rsidR="001D0728">
        <w:t>egulations</w:t>
      </w:r>
      <w:r w:rsidR="00E16ACF">
        <w:t>,</w:t>
      </w:r>
      <w:r w:rsidR="00CD554D">
        <w:t xml:space="preserve"> such as updates to</w:t>
      </w:r>
      <w:r w:rsidR="00DE7A7B">
        <w:t xml:space="preserve"> numeric</w:t>
      </w:r>
      <w:r w:rsidR="00CD554D">
        <w:t xml:space="preserve"> water quality objectives</w:t>
      </w:r>
      <w:r w:rsidR="00DE7A7B">
        <w:t xml:space="preserve"> or criteria</w:t>
      </w:r>
      <w:r w:rsidR="00CD554D">
        <w:t>.</w:t>
      </w:r>
    </w:p>
    <w:p w14:paraId="2339FA25" w14:textId="12D835C2" w:rsidR="00AE550A" w:rsidRDefault="0062436B" w:rsidP="00010F69">
      <w:pPr>
        <w:pStyle w:val="ListParagraph"/>
        <w:numPr>
          <w:ilvl w:val="0"/>
          <w:numId w:val="19"/>
        </w:numPr>
      </w:pPr>
      <w:r>
        <w:t>Changes made to correct data errors</w:t>
      </w:r>
      <w:r w:rsidR="00CD139B">
        <w:t>.</w:t>
      </w:r>
    </w:p>
    <w:p w14:paraId="140AE807" w14:textId="63CF25A2" w:rsidR="00B54A0E" w:rsidRDefault="0091646D" w:rsidP="00010F69">
      <w:pPr>
        <w:pStyle w:val="ListParagraph"/>
        <w:numPr>
          <w:ilvl w:val="0"/>
          <w:numId w:val="19"/>
        </w:numPr>
      </w:pPr>
      <w:r>
        <w:t>Changes made to waterbody</w:t>
      </w:r>
      <w:r w:rsidR="00277F2D">
        <w:t xml:space="preserve"> segment</w:t>
      </w:r>
      <w:r>
        <w:t xml:space="preserve"> mapping such as merging or splitting of a waterbody</w:t>
      </w:r>
      <w:r w:rsidR="0030631D">
        <w:t xml:space="preserve"> segment</w:t>
      </w:r>
      <w:r>
        <w:t xml:space="preserve">. </w:t>
      </w:r>
    </w:p>
    <w:p w14:paraId="41439016" w14:textId="7ED573B1" w:rsidR="00F80486" w:rsidRDefault="00DE7A7B" w:rsidP="00010F69">
      <w:pPr>
        <w:pStyle w:val="ListParagraph"/>
        <w:numPr>
          <w:ilvl w:val="0"/>
          <w:numId w:val="19"/>
        </w:numPr>
      </w:pPr>
      <w:r>
        <w:t>Datasets for p</w:t>
      </w:r>
      <w:r w:rsidR="006305AE">
        <w:t xml:space="preserve">ollutants that </w:t>
      </w:r>
      <w:r w:rsidR="00CD554D">
        <w:t xml:space="preserve">may </w:t>
      </w:r>
      <w:r w:rsidR="006305AE">
        <w:t>pose a risk to public health.</w:t>
      </w:r>
    </w:p>
    <w:p w14:paraId="16A07489" w14:textId="6EE1D246" w:rsidR="006305AE" w:rsidRDefault="00BB67FB" w:rsidP="00010F69">
      <w:pPr>
        <w:pStyle w:val="ListParagraph"/>
        <w:numPr>
          <w:ilvl w:val="0"/>
          <w:numId w:val="19"/>
        </w:numPr>
      </w:pPr>
      <w:r>
        <w:t xml:space="preserve">New information that may </w:t>
      </w:r>
      <w:r w:rsidR="00454D27">
        <w:t>support the delisting of a waterbod</w:t>
      </w:r>
      <w:r w:rsidR="00D37F7E">
        <w:t>y</w:t>
      </w:r>
      <w:r w:rsidR="00714326">
        <w:t xml:space="preserve"> segment</w:t>
      </w:r>
      <w:r w:rsidR="00D37F7E">
        <w:t>.</w:t>
      </w:r>
    </w:p>
    <w:p w14:paraId="5C46EA14" w14:textId="0A85ECC8" w:rsidR="0047519E" w:rsidRDefault="00CA01C3" w:rsidP="00010F69">
      <w:pPr>
        <w:pStyle w:val="ListParagraph"/>
        <w:numPr>
          <w:ilvl w:val="0"/>
          <w:numId w:val="19"/>
        </w:numPr>
      </w:pPr>
      <w:r>
        <w:t>P</w:t>
      </w:r>
      <w:r w:rsidR="0047519E">
        <w:t>ublic interest in a specific waterbody</w:t>
      </w:r>
      <w:r w:rsidR="00714326">
        <w:t xml:space="preserve"> segment</w:t>
      </w:r>
      <w:r w:rsidR="0047519E">
        <w:t>.</w:t>
      </w:r>
    </w:p>
    <w:p w14:paraId="1596A2D6" w14:textId="376E6847" w:rsidR="004F20BE" w:rsidRDefault="004F20BE" w:rsidP="00010F69">
      <w:pPr>
        <w:pStyle w:val="ListParagraph"/>
        <w:numPr>
          <w:ilvl w:val="0"/>
          <w:numId w:val="19"/>
        </w:numPr>
      </w:pPr>
      <w:r>
        <w:t xml:space="preserve">Assessments </w:t>
      </w:r>
      <w:r w:rsidR="00E402E9">
        <w:t xml:space="preserve">that are identified as high-priority by the State Water Board </w:t>
      </w:r>
      <w:r w:rsidR="00A53A68">
        <w:t xml:space="preserve">during </w:t>
      </w:r>
      <w:r w:rsidR="004E6DBA">
        <w:t>a previous cycle that are to be conducted</w:t>
      </w:r>
      <w:r w:rsidR="00A53A68">
        <w:t xml:space="preserve"> off-cycle.</w:t>
      </w:r>
    </w:p>
    <w:p w14:paraId="51E49E4F" w14:textId="0958482B" w:rsidR="009D50B9" w:rsidRPr="000D2B6A" w:rsidRDefault="007D7FB6" w:rsidP="00010F69">
      <w:pPr>
        <w:pStyle w:val="ListParagraph"/>
        <w:numPr>
          <w:ilvl w:val="0"/>
          <w:numId w:val="19"/>
        </w:numPr>
      </w:pPr>
      <w:r>
        <w:t xml:space="preserve">Consideration of </w:t>
      </w:r>
      <w:r w:rsidR="00AC3132">
        <w:t xml:space="preserve">staff </w:t>
      </w:r>
      <w:r>
        <w:t>resource</w:t>
      </w:r>
      <w:r w:rsidR="001E3906">
        <w:t xml:space="preserve">s available during </w:t>
      </w:r>
      <w:r w:rsidR="0001432C">
        <w:t>t</w:t>
      </w:r>
      <w:r w:rsidR="00826013">
        <w:t>he off-</w:t>
      </w:r>
      <w:r w:rsidR="001E3906">
        <w:t>cycle.</w:t>
      </w:r>
    </w:p>
    <w:p w14:paraId="2EBC303B" w14:textId="3DEF9E2E" w:rsidR="009F6A0A" w:rsidRPr="000D2B6A" w:rsidRDefault="009F6A0A" w:rsidP="009F6A0A">
      <w:r>
        <w:t xml:space="preserve">For a full </w:t>
      </w:r>
      <w:r w:rsidR="00A00671">
        <w:t>list</w:t>
      </w:r>
      <w:r>
        <w:t xml:space="preserve"> of</w:t>
      </w:r>
      <w:r w:rsidR="00A5511D">
        <w:t xml:space="preserve"> parent projects</w:t>
      </w:r>
      <w:r>
        <w:t xml:space="preserve"> </w:t>
      </w:r>
      <w:r w:rsidR="004D3BC1">
        <w:t>evaluated</w:t>
      </w:r>
      <w:r w:rsidR="00A5511D">
        <w:t xml:space="preserve"> </w:t>
      </w:r>
      <w:r>
        <w:t xml:space="preserve">for the 2026 California Integrated Report, see Appendix N: </w:t>
      </w:r>
      <w:r w:rsidR="00A5511D">
        <w:t xml:space="preserve">2026 </w:t>
      </w:r>
      <w:r w:rsidR="0002614F">
        <w:t>California</w:t>
      </w:r>
      <w:r w:rsidR="00A5511D">
        <w:t xml:space="preserve"> Integrated Report </w:t>
      </w:r>
      <w:r w:rsidR="00611DB4">
        <w:t>Data</w:t>
      </w:r>
      <w:r>
        <w:t xml:space="preserve"> </w:t>
      </w:r>
      <w:r w:rsidR="00001402">
        <w:t>Evaluated</w:t>
      </w:r>
      <w:r w:rsidR="00611DB4">
        <w:t>.</w:t>
      </w:r>
      <w:r w:rsidR="00001402">
        <w:t xml:space="preserve"> </w:t>
      </w:r>
      <w:r w:rsidR="00611DB4">
        <w:t xml:space="preserve"> </w:t>
      </w:r>
    </w:p>
    <w:p w14:paraId="2CBCC30F" w14:textId="5E8297BB" w:rsidR="007710C3" w:rsidRPr="004502A9" w:rsidRDefault="007710C3" w:rsidP="00597DE8">
      <w:pPr>
        <w:pStyle w:val="Heading2"/>
      </w:pPr>
      <w:bookmarkStart w:id="43" w:name="_Toc35339590"/>
      <w:bookmarkStart w:id="44" w:name="_Toc189048551"/>
      <w:r w:rsidRPr="004502A9">
        <w:t xml:space="preserve">Data </w:t>
      </w:r>
      <w:bookmarkEnd w:id="43"/>
      <w:r w:rsidR="00A257E8">
        <w:t xml:space="preserve">Assembly and </w:t>
      </w:r>
      <w:r w:rsidR="00410B6C">
        <w:t>Evaluation</w:t>
      </w:r>
      <w:bookmarkEnd w:id="44"/>
    </w:p>
    <w:p w14:paraId="6093E1E6" w14:textId="15BCFE21" w:rsidR="007710C3" w:rsidRPr="004502A9" w:rsidRDefault="007710C3" w:rsidP="007710C3">
      <w:pPr>
        <w:rPr>
          <w:rFonts w:cs="Arial"/>
        </w:rPr>
      </w:pPr>
      <w:r w:rsidRPr="004502A9">
        <w:rPr>
          <w:rFonts w:cs="Arial"/>
        </w:rPr>
        <w:t xml:space="preserve">All readily available data and information </w:t>
      </w:r>
      <w:r w:rsidR="00DA2717">
        <w:rPr>
          <w:rFonts w:cs="Arial"/>
        </w:rPr>
        <w:t>(</w:t>
      </w:r>
      <w:r w:rsidR="00FC5918">
        <w:rPr>
          <w:rFonts w:cs="Arial"/>
        </w:rPr>
        <w:t xml:space="preserve">as defined by </w:t>
      </w:r>
      <w:r w:rsidR="0085398F">
        <w:rPr>
          <w:rFonts w:cs="Arial"/>
        </w:rPr>
        <w:t>s</w:t>
      </w:r>
      <w:r w:rsidR="00FC5918">
        <w:rPr>
          <w:rFonts w:cs="Arial"/>
        </w:rPr>
        <w:t xml:space="preserve">ection 6.1.1 of the Listing Policy) received during the </w:t>
      </w:r>
      <w:r w:rsidR="00C6428D">
        <w:rPr>
          <w:rFonts w:cs="Arial"/>
        </w:rPr>
        <w:t>2026</w:t>
      </w:r>
      <w:r w:rsidR="1AFF2C17" w:rsidRPr="2242C92D">
        <w:rPr>
          <w:rFonts w:cs="Arial"/>
        </w:rPr>
        <w:t xml:space="preserve"> California Integrated Report </w:t>
      </w:r>
      <w:r w:rsidR="00C477A1">
        <w:rPr>
          <w:rFonts w:cs="Arial"/>
        </w:rPr>
        <w:t>data solicitation perio</w:t>
      </w:r>
      <w:r w:rsidR="005C1102">
        <w:rPr>
          <w:rFonts w:cs="Arial"/>
        </w:rPr>
        <w:t>d</w:t>
      </w:r>
      <w:r w:rsidRPr="004502A9">
        <w:rPr>
          <w:rFonts w:cs="Arial"/>
        </w:rPr>
        <w:t xml:space="preserve"> must be considered in the development of the 303(d) </w:t>
      </w:r>
      <w:r w:rsidR="00D961B4">
        <w:rPr>
          <w:rFonts w:cs="Arial"/>
        </w:rPr>
        <w:t>l</w:t>
      </w:r>
      <w:r w:rsidRPr="004502A9">
        <w:rPr>
          <w:rFonts w:cs="Arial"/>
        </w:rPr>
        <w:t xml:space="preserve">ist. </w:t>
      </w:r>
      <w:r w:rsidR="00410B6C">
        <w:rPr>
          <w:rFonts w:cs="Arial"/>
        </w:rPr>
        <w:t>D</w:t>
      </w:r>
      <w:r w:rsidRPr="004502A9">
        <w:rPr>
          <w:rFonts w:cs="Arial"/>
        </w:rPr>
        <w:t xml:space="preserve">ata were </w:t>
      </w:r>
      <w:r w:rsidR="00410B6C">
        <w:rPr>
          <w:rFonts w:cs="Arial"/>
        </w:rPr>
        <w:t xml:space="preserve">assembled </w:t>
      </w:r>
      <w:r w:rsidR="00097973">
        <w:rPr>
          <w:rFonts w:cs="Arial"/>
        </w:rPr>
        <w:br/>
      </w:r>
      <w:r w:rsidR="00C627E5">
        <w:rPr>
          <w:rFonts w:cs="Arial"/>
        </w:rPr>
        <w:t>(</w:t>
      </w:r>
      <w:r w:rsidR="00E614D5">
        <w:rPr>
          <w:rFonts w:cs="Arial"/>
        </w:rPr>
        <w:t>i.</w:t>
      </w:r>
      <w:r w:rsidR="00C627E5">
        <w:rPr>
          <w:rFonts w:cs="Arial"/>
        </w:rPr>
        <w:t>e.,</w:t>
      </w:r>
      <w:r w:rsidR="00C86057">
        <w:rPr>
          <w:rFonts w:cs="Arial"/>
        </w:rPr>
        <w:t xml:space="preserve"> gathered and organized)</w:t>
      </w:r>
      <w:r w:rsidR="00410B6C">
        <w:rPr>
          <w:rFonts w:cs="Arial"/>
        </w:rPr>
        <w:t xml:space="preserve"> and evaluated</w:t>
      </w:r>
      <w:r w:rsidRPr="004502A9">
        <w:rPr>
          <w:rFonts w:cs="Arial"/>
        </w:rPr>
        <w:t xml:space="preserve"> to </w:t>
      </w:r>
      <w:r w:rsidR="00B17BCA">
        <w:rPr>
          <w:rFonts w:cs="Arial"/>
        </w:rPr>
        <w:t>consider</w:t>
      </w:r>
      <w:r w:rsidR="00A717A8">
        <w:rPr>
          <w:rFonts w:cs="Arial"/>
        </w:rPr>
        <w:t xml:space="preserve"> whether or how data and information </w:t>
      </w:r>
      <w:r w:rsidR="00657532">
        <w:rPr>
          <w:rFonts w:cs="Arial"/>
        </w:rPr>
        <w:t>were</w:t>
      </w:r>
      <w:r w:rsidR="00A717A8">
        <w:rPr>
          <w:rFonts w:cs="Arial"/>
        </w:rPr>
        <w:t xml:space="preserve"> </w:t>
      </w:r>
      <w:r w:rsidR="006F04D3">
        <w:rPr>
          <w:rFonts w:cs="Arial"/>
        </w:rPr>
        <w:t>assessed</w:t>
      </w:r>
      <w:r w:rsidRPr="004502A9">
        <w:rPr>
          <w:rFonts w:cs="Arial"/>
        </w:rPr>
        <w:t xml:space="preserve">. The following subsections describe how data were </w:t>
      </w:r>
      <w:r w:rsidR="00285880">
        <w:rPr>
          <w:rFonts w:cs="Arial"/>
        </w:rPr>
        <w:t>assembled and evaluated</w:t>
      </w:r>
      <w:r w:rsidRPr="004502A9">
        <w:rPr>
          <w:rFonts w:cs="Arial"/>
        </w:rPr>
        <w:t xml:space="preserve">. </w:t>
      </w:r>
    </w:p>
    <w:p w14:paraId="244E3163" w14:textId="2A8A1B46" w:rsidR="007710C3" w:rsidRPr="004502A9" w:rsidRDefault="2AD6AED2" w:rsidP="005632BC">
      <w:pPr>
        <w:pStyle w:val="Heading3"/>
      </w:pPr>
      <w:bookmarkStart w:id="45" w:name="_Toc189048552"/>
      <w:r>
        <w:t>Mapping</w:t>
      </w:r>
      <w:bookmarkEnd w:id="45"/>
      <w:r>
        <w:t xml:space="preserve">  </w:t>
      </w:r>
    </w:p>
    <w:p w14:paraId="66C96DF7" w14:textId="0051BC82" w:rsidR="007710C3" w:rsidRPr="004502A9" w:rsidRDefault="00E73FD1" w:rsidP="007710C3">
      <w:pPr>
        <w:rPr>
          <w:rFonts w:cs="Arial"/>
        </w:rPr>
      </w:pPr>
      <w:r>
        <w:rPr>
          <w:rFonts w:cs="Arial"/>
        </w:rPr>
        <w:t>R</w:t>
      </w:r>
      <w:r w:rsidR="007710C3" w:rsidRPr="004502A9">
        <w:rPr>
          <w:rFonts w:cs="Arial"/>
        </w:rPr>
        <w:t xml:space="preserve">eadily available data and information </w:t>
      </w:r>
      <w:r w:rsidR="00816812">
        <w:rPr>
          <w:rFonts w:cs="Arial"/>
        </w:rPr>
        <w:t>were</w:t>
      </w:r>
      <w:r w:rsidR="007710C3" w:rsidRPr="004502A9" w:rsidDel="006A6E54">
        <w:rPr>
          <w:rFonts w:cs="Arial"/>
        </w:rPr>
        <w:t xml:space="preserve"> </w:t>
      </w:r>
      <w:r w:rsidR="006A6E54">
        <w:rPr>
          <w:rFonts w:cs="Arial"/>
        </w:rPr>
        <w:t>evaluated</w:t>
      </w:r>
      <w:r w:rsidR="006A6E54" w:rsidRPr="004502A9">
        <w:rPr>
          <w:rFonts w:cs="Arial"/>
        </w:rPr>
        <w:t xml:space="preserve"> </w:t>
      </w:r>
      <w:r w:rsidR="007710C3" w:rsidRPr="004502A9">
        <w:rPr>
          <w:rFonts w:cs="Arial"/>
        </w:rPr>
        <w:t xml:space="preserve">to determine representative waterbody segments. New monitoring stations were either associated with existing mapped waterbody segments or new waterbody segments were mapped to represent the new </w:t>
      </w:r>
      <w:r w:rsidR="0048301D">
        <w:rPr>
          <w:rFonts w:cs="Arial"/>
        </w:rPr>
        <w:t xml:space="preserve">monitoring </w:t>
      </w:r>
      <w:r w:rsidR="007710C3" w:rsidRPr="004502A9">
        <w:rPr>
          <w:rFonts w:cs="Arial"/>
        </w:rPr>
        <w:t xml:space="preserve">stations. Waterbody segments were mapped to account for hydrologic features or as described in </w:t>
      </w:r>
      <w:r w:rsidR="00324CF1">
        <w:rPr>
          <w:rFonts w:cs="Arial"/>
        </w:rPr>
        <w:t xml:space="preserve">Regional Water Quality Control </w:t>
      </w:r>
      <w:r w:rsidR="002F4BD6">
        <w:rPr>
          <w:rFonts w:cs="Arial"/>
        </w:rPr>
        <w:t xml:space="preserve">Plans </w:t>
      </w:r>
      <w:r w:rsidR="00C33CEC">
        <w:rPr>
          <w:rFonts w:cs="Arial"/>
        </w:rPr>
        <w:t>(“</w:t>
      </w:r>
      <w:r w:rsidR="007710C3" w:rsidRPr="004502A9">
        <w:rPr>
          <w:rFonts w:cs="Arial"/>
        </w:rPr>
        <w:t>Basin Plans</w:t>
      </w:r>
      <w:r w:rsidR="00C33CEC">
        <w:rPr>
          <w:rFonts w:cs="Arial"/>
        </w:rPr>
        <w:t>”)</w:t>
      </w:r>
      <w:r w:rsidR="007710C3" w:rsidRPr="004502A9">
        <w:rPr>
          <w:rFonts w:cs="Arial"/>
        </w:rPr>
        <w:t xml:space="preserve">. </w:t>
      </w:r>
      <w:r w:rsidR="002626EB">
        <w:rPr>
          <w:rFonts w:cs="Arial"/>
        </w:rPr>
        <w:t xml:space="preserve">Waterbody segments </w:t>
      </w:r>
      <w:r w:rsidR="00DC01FC">
        <w:rPr>
          <w:rFonts w:cs="Arial"/>
        </w:rPr>
        <w:t xml:space="preserve">were </w:t>
      </w:r>
      <w:r w:rsidR="003870CA">
        <w:rPr>
          <w:rFonts w:cs="Arial"/>
        </w:rPr>
        <w:t>assigned a waterbody</w:t>
      </w:r>
      <w:r w:rsidR="0076036B">
        <w:rPr>
          <w:rFonts w:cs="Arial"/>
        </w:rPr>
        <w:t xml:space="preserve"> identification number </w:t>
      </w:r>
      <w:r w:rsidR="000F0CFD">
        <w:rPr>
          <w:rFonts w:cs="Arial"/>
        </w:rPr>
        <w:t>k</w:t>
      </w:r>
      <w:r w:rsidR="00083C6D">
        <w:rPr>
          <w:rFonts w:cs="Arial"/>
        </w:rPr>
        <w:t>nown as a</w:t>
      </w:r>
      <w:r w:rsidR="009241B2">
        <w:rPr>
          <w:rFonts w:cs="Arial"/>
        </w:rPr>
        <w:t xml:space="preserve"> “WBID</w:t>
      </w:r>
      <w:r w:rsidR="00F52B36">
        <w:rPr>
          <w:rFonts w:cs="Arial"/>
        </w:rPr>
        <w:t>.</w:t>
      </w:r>
      <w:r w:rsidR="009241B2">
        <w:rPr>
          <w:rFonts w:cs="Arial"/>
        </w:rPr>
        <w:t>”</w:t>
      </w:r>
    </w:p>
    <w:p w14:paraId="588C961D" w14:textId="0770FC6E" w:rsidR="007710C3" w:rsidRPr="004502A9" w:rsidRDefault="007A13BB" w:rsidP="007710C3">
      <w:pPr>
        <w:rPr>
          <w:rFonts w:cs="Arial"/>
        </w:rPr>
      </w:pPr>
      <w:r>
        <w:rPr>
          <w:rFonts w:cs="Arial"/>
        </w:rPr>
        <w:t xml:space="preserve">In accordance with </w:t>
      </w:r>
      <w:r w:rsidR="004C4FE7">
        <w:rPr>
          <w:rFonts w:cs="Arial"/>
        </w:rPr>
        <w:t>s</w:t>
      </w:r>
      <w:r>
        <w:rPr>
          <w:rFonts w:cs="Arial"/>
        </w:rPr>
        <w:t xml:space="preserve">ection 6.1.2.1 of the Listing Policy, if </w:t>
      </w:r>
      <w:r w:rsidR="00484374">
        <w:rPr>
          <w:rFonts w:cs="Arial"/>
        </w:rPr>
        <w:t xml:space="preserve">a waterbody segment could not be associated with a </w:t>
      </w:r>
      <w:r w:rsidR="00E5057D">
        <w:rPr>
          <w:rFonts w:cs="Arial"/>
        </w:rPr>
        <w:t xml:space="preserve">monitoring </w:t>
      </w:r>
      <w:r w:rsidR="00484374">
        <w:rPr>
          <w:rFonts w:cs="Arial"/>
        </w:rPr>
        <w:t>station</w:t>
      </w:r>
      <w:r w:rsidR="007710C3" w:rsidRPr="004502A9">
        <w:rPr>
          <w:rFonts w:cs="Arial"/>
        </w:rPr>
        <w:t xml:space="preserve">, or the </w:t>
      </w:r>
      <w:r w:rsidR="003C4832">
        <w:rPr>
          <w:rFonts w:cs="Arial"/>
        </w:rPr>
        <w:t xml:space="preserve">monitoring </w:t>
      </w:r>
      <w:r w:rsidR="007710C3" w:rsidRPr="004502A9">
        <w:rPr>
          <w:rFonts w:cs="Arial"/>
        </w:rPr>
        <w:t xml:space="preserve">station did not include required </w:t>
      </w:r>
      <w:r w:rsidR="5B018D25" w:rsidRPr="1B5EE2A6">
        <w:rPr>
          <w:rFonts w:cs="Arial"/>
        </w:rPr>
        <w:t xml:space="preserve">sampling </w:t>
      </w:r>
      <w:r w:rsidR="0DD460BB" w:rsidRPr="1B5EE2A6">
        <w:rPr>
          <w:rFonts w:cs="Arial"/>
        </w:rPr>
        <w:t>location</w:t>
      </w:r>
      <w:r w:rsidR="204757DE" w:rsidRPr="50F8D74B">
        <w:rPr>
          <w:rFonts w:cs="Arial"/>
        </w:rPr>
        <w:t xml:space="preserve"> information</w:t>
      </w:r>
      <w:r w:rsidR="009B0D6E">
        <w:rPr>
          <w:rFonts w:cs="Arial"/>
        </w:rPr>
        <w:t xml:space="preserve"> (i.e</w:t>
      </w:r>
      <w:r w:rsidR="009B0D6E" w:rsidRPr="4408438E">
        <w:rPr>
          <w:rFonts w:cs="Arial"/>
        </w:rPr>
        <w:t>.</w:t>
      </w:r>
      <w:r w:rsidR="3774341D" w:rsidRPr="4408438E">
        <w:rPr>
          <w:rFonts w:cs="Arial"/>
        </w:rPr>
        <w:t>,</w:t>
      </w:r>
      <w:r w:rsidR="009B0D6E">
        <w:rPr>
          <w:rFonts w:cs="Arial"/>
        </w:rPr>
        <w:t xml:space="preserve"> </w:t>
      </w:r>
      <w:r w:rsidR="0025668E">
        <w:rPr>
          <w:rFonts w:cs="Arial"/>
        </w:rPr>
        <w:t xml:space="preserve">latitude, </w:t>
      </w:r>
      <w:r w:rsidR="00F617F6">
        <w:rPr>
          <w:rFonts w:cs="Arial"/>
        </w:rPr>
        <w:t>and</w:t>
      </w:r>
      <w:r w:rsidR="0025668E">
        <w:rPr>
          <w:rFonts w:cs="Arial"/>
        </w:rPr>
        <w:t xml:space="preserve"> longitude</w:t>
      </w:r>
      <w:r w:rsidR="007C0643">
        <w:rPr>
          <w:rFonts w:cs="Arial"/>
        </w:rPr>
        <w:t>)</w:t>
      </w:r>
      <w:r w:rsidR="007710C3" w:rsidRPr="004502A9">
        <w:rPr>
          <w:rFonts w:cs="Arial"/>
        </w:rPr>
        <w:t xml:space="preserve">, the data or information from the station were not </w:t>
      </w:r>
      <w:r w:rsidR="001B4801">
        <w:rPr>
          <w:rFonts w:cs="Arial"/>
        </w:rPr>
        <w:t>assessed</w:t>
      </w:r>
      <w:r w:rsidR="00816812">
        <w:rPr>
          <w:rFonts w:cs="Arial"/>
        </w:rPr>
        <w:t xml:space="preserve"> in accordance with Listing Policy Section 6.1.4</w:t>
      </w:r>
      <w:r w:rsidR="007710C3" w:rsidRPr="004502A9">
        <w:rPr>
          <w:rFonts w:cs="Arial"/>
        </w:rPr>
        <w:t xml:space="preserve">. </w:t>
      </w:r>
      <w:r w:rsidR="00792115">
        <w:rPr>
          <w:rFonts w:cs="Arial"/>
        </w:rPr>
        <w:t xml:space="preserve">In accordance with </w:t>
      </w:r>
      <w:r w:rsidR="004C4FE7">
        <w:rPr>
          <w:rFonts w:cs="Arial"/>
        </w:rPr>
        <w:t>s</w:t>
      </w:r>
      <w:r w:rsidR="00792115" w:rsidRPr="004502A9">
        <w:rPr>
          <w:rFonts w:cs="Arial"/>
        </w:rPr>
        <w:t>ection</w:t>
      </w:r>
      <w:r w:rsidR="004C4FE7">
        <w:rPr>
          <w:rFonts w:cs="Arial"/>
        </w:rPr>
        <w:t>s</w:t>
      </w:r>
      <w:r w:rsidR="00792115" w:rsidRPr="004502A9">
        <w:rPr>
          <w:rFonts w:cs="Arial"/>
        </w:rPr>
        <w:t xml:space="preserve"> 1 and 6.1.5.2 of the Listing Policy</w:t>
      </w:r>
      <w:r w:rsidR="004C4FE7">
        <w:rPr>
          <w:rFonts w:cs="Arial"/>
        </w:rPr>
        <w:t>, e</w:t>
      </w:r>
      <w:r w:rsidR="5B22D431" w:rsidRPr="105E07CD">
        <w:rPr>
          <w:rFonts w:eastAsia="Arial" w:cs="Arial"/>
        </w:rPr>
        <w:t xml:space="preserve">ffluent data </w:t>
      </w:r>
      <w:r w:rsidR="007710C3" w:rsidRPr="105E07CD">
        <w:rPr>
          <w:rFonts w:eastAsia="Arial" w:cs="Arial"/>
        </w:rPr>
        <w:t>(</w:t>
      </w:r>
      <w:r w:rsidR="007710C3" w:rsidRPr="004502A9">
        <w:rPr>
          <w:rFonts w:eastAsia="Arial" w:cs="Arial"/>
        </w:rPr>
        <w:t>e</w:t>
      </w:r>
      <w:r w:rsidR="49C4E76A" w:rsidRPr="105E07CD">
        <w:rPr>
          <w:rFonts w:eastAsia="Arial" w:cs="Arial"/>
        </w:rPr>
        <w:t>.g.</w:t>
      </w:r>
      <w:r w:rsidR="007710C3" w:rsidRPr="105E07CD">
        <w:rPr>
          <w:rFonts w:eastAsia="Arial" w:cs="Arial"/>
        </w:rPr>
        <w:t xml:space="preserve">, </w:t>
      </w:r>
      <w:r w:rsidR="2EB3CA6F" w:rsidRPr="4DFFF25F">
        <w:rPr>
          <w:rFonts w:eastAsia="Arial" w:cs="Arial"/>
        </w:rPr>
        <w:t>data collected from</w:t>
      </w:r>
      <w:r w:rsidR="007710C3" w:rsidRPr="004502A9">
        <w:rPr>
          <w:rFonts w:eastAsia="Arial" w:cs="Arial"/>
        </w:rPr>
        <w:t xml:space="preserve"> storm drain outfalls, wastewater </w:t>
      </w:r>
      <w:r w:rsidR="0A653AA1" w:rsidRPr="34F51C7F">
        <w:rPr>
          <w:rFonts w:eastAsia="Arial" w:cs="Arial"/>
        </w:rPr>
        <w:t>treatment plant</w:t>
      </w:r>
      <w:r w:rsidR="007710C3" w:rsidRPr="33B4D08C" w:rsidDel="007710C3">
        <w:rPr>
          <w:rFonts w:eastAsia="Arial" w:cs="Arial"/>
        </w:rPr>
        <w:t xml:space="preserve"> </w:t>
      </w:r>
      <w:r w:rsidR="007710C3" w:rsidRPr="6E328058">
        <w:rPr>
          <w:rFonts w:eastAsia="Arial" w:cs="Arial"/>
        </w:rPr>
        <w:t>discharge</w:t>
      </w:r>
      <w:r w:rsidR="4346FAC5" w:rsidRPr="6E328058">
        <w:rPr>
          <w:rFonts w:eastAsia="Arial" w:cs="Arial"/>
        </w:rPr>
        <w:t>s</w:t>
      </w:r>
      <w:r w:rsidR="007710C3" w:rsidRPr="004502A9">
        <w:rPr>
          <w:rFonts w:eastAsia="Arial" w:cs="Arial"/>
        </w:rPr>
        <w:t xml:space="preserve">, etc.) were not </w:t>
      </w:r>
      <w:r w:rsidR="001D2722">
        <w:rPr>
          <w:rFonts w:eastAsia="Arial" w:cs="Arial"/>
        </w:rPr>
        <w:t xml:space="preserve">evaluated </w:t>
      </w:r>
      <w:r w:rsidR="00E2093C">
        <w:rPr>
          <w:rFonts w:eastAsia="Arial" w:cs="Arial"/>
        </w:rPr>
        <w:t xml:space="preserve">for </w:t>
      </w:r>
      <w:r w:rsidR="00AE5E6C">
        <w:rPr>
          <w:rFonts w:eastAsia="Arial" w:cs="Arial"/>
        </w:rPr>
        <w:t xml:space="preserve">California </w:t>
      </w:r>
      <w:r w:rsidR="00E2093C">
        <w:rPr>
          <w:rFonts w:eastAsia="Arial" w:cs="Arial"/>
        </w:rPr>
        <w:t>Integrated Report purposes</w:t>
      </w:r>
      <w:r w:rsidR="007710C3" w:rsidRPr="004502A9">
        <w:rPr>
          <w:rFonts w:cs="Arial"/>
        </w:rPr>
        <w:t xml:space="preserve">. </w:t>
      </w:r>
    </w:p>
    <w:p w14:paraId="2467BA44" w14:textId="36DE6626" w:rsidR="007710C3" w:rsidRPr="004502A9" w:rsidRDefault="007710C3" w:rsidP="007710C3">
      <w:pPr>
        <w:rPr>
          <w:rFonts w:cs="Arial"/>
        </w:rPr>
      </w:pPr>
      <w:r w:rsidRPr="004502A9">
        <w:rPr>
          <w:rFonts w:cs="Arial"/>
        </w:rPr>
        <w:t>Some waterbod</w:t>
      </w:r>
      <w:r w:rsidR="00386E37">
        <w:rPr>
          <w:rFonts w:cs="Arial"/>
        </w:rPr>
        <w:t>y segments</w:t>
      </w:r>
      <w:r w:rsidRPr="004502A9">
        <w:rPr>
          <w:rFonts w:cs="Arial"/>
        </w:rPr>
        <w:t xml:space="preserve"> were re-segmented, split into additional segments, or renamed since the </w:t>
      </w:r>
      <w:r w:rsidR="009720D7">
        <w:rPr>
          <w:rFonts w:cs="Arial"/>
        </w:rPr>
        <w:t>2024</w:t>
      </w:r>
      <w:r w:rsidRPr="004502A9">
        <w:rPr>
          <w:rFonts w:cs="Arial"/>
        </w:rPr>
        <w:t xml:space="preserve"> </w:t>
      </w:r>
      <w:r w:rsidR="00AE5E6C">
        <w:rPr>
          <w:rFonts w:cs="Arial"/>
        </w:rPr>
        <w:t xml:space="preserve">California </w:t>
      </w:r>
      <w:r w:rsidRPr="004502A9">
        <w:rPr>
          <w:rFonts w:cs="Arial"/>
        </w:rPr>
        <w:t xml:space="preserve">Integrated Report was approved. These and other mapping modifications are summarized in Appendix </w:t>
      </w:r>
      <w:r w:rsidR="004B3DAC">
        <w:rPr>
          <w:rFonts w:cs="Arial"/>
        </w:rPr>
        <w:t>G</w:t>
      </w:r>
      <w:r w:rsidRPr="004502A9">
        <w:rPr>
          <w:rFonts w:cs="Arial"/>
        </w:rPr>
        <w:t>: Miscellaneous Mapping Changes Report.</w:t>
      </w:r>
    </w:p>
    <w:p w14:paraId="3A61937A" w14:textId="5226F1FF" w:rsidR="007710C3" w:rsidRPr="004502A9" w:rsidRDefault="4873AEBC" w:rsidP="005632BC">
      <w:pPr>
        <w:pStyle w:val="Heading3"/>
      </w:pPr>
      <w:bookmarkStart w:id="46" w:name="_Hlk118979928"/>
      <w:bookmarkStart w:id="47" w:name="_Toc189048553"/>
      <w:r>
        <w:t xml:space="preserve">Data </w:t>
      </w:r>
      <w:r w:rsidR="644BF8C8">
        <w:t>and Information</w:t>
      </w:r>
      <w:r>
        <w:t xml:space="preserve"> </w:t>
      </w:r>
      <w:r w:rsidR="2AD6AED2">
        <w:t>Quality Review</w:t>
      </w:r>
      <w:bookmarkEnd w:id="47"/>
      <w:r w:rsidR="2AD6AED2">
        <w:t xml:space="preserve"> </w:t>
      </w:r>
    </w:p>
    <w:bookmarkEnd w:id="46"/>
    <w:p w14:paraId="58AE49DA" w14:textId="4F7DB0C0" w:rsidR="00885068" w:rsidRPr="004502A9" w:rsidRDefault="00885068" w:rsidP="00885068">
      <w:pPr>
        <w:rPr>
          <w:rFonts w:eastAsia="Arial" w:cs="Arial"/>
        </w:rPr>
      </w:pPr>
      <w:r>
        <w:rPr>
          <w:rStyle w:val="normaltextrun"/>
          <w:rFonts w:cs="Arial"/>
        </w:rPr>
        <w:t xml:space="preserve">Readily available data and information submitted during the data solicitation period </w:t>
      </w:r>
      <w:r w:rsidR="00371328">
        <w:rPr>
          <w:rStyle w:val="normaltextrun"/>
          <w:rFonts w:cs="Arial"/>
        </w:rPr>
        <w:t>wer</w:t>
      </w:r>
      <w:r w:rsidR="00201CEF">
        <w:rPr>
          <w:rStyle w:val="normaltextrun"/>
          <w:rFonts w:cs="Arial"/>
        </w:rPr>
        <w:t>e</w:t>
      </w:r>
      <w:r>
        <w:rPr>
          <w:rStyle w:val="normaltextrun"/>
          <w:rFonts w:cs="Arial"/>
        </w:rPr>
        <w:t xml:space="preserve"> assembled (</w:t>
      </w:r>
      <w:r w:rsidR="00992AA4">
        <w:rPr>
          <w:rStyle w:val="normaltextrun"/>
          <w:rFonts w:cs="Arial"/>
        </w:rPr>
        <w:t>i.</w:t>
      </w:r>
      <w:r>
        <w:rPr>
          <w:rStyle w:val="normaltextrun"/>
          <w:rFonts w:cs="Arial"/>
        </w:rPr>
        <w:t xml:space="preserve">e., gathered and organized) and evaluated to consider whether or how the data and information will be used and, if appropriate, assessed to determine the condition of surface waters, identify impaired waters, and identify waters that are no longer impaired. </w:t>
      </w:r>
      <w:r w:rsidR="00FA2592">
        <w:rPr>
          <w:rStyle w:val="normaltextrun"/>
          <w:rFonts w:cs="Arial"/>
        </w:rPr>
        <w:t>Section 6.1.4. of the Listing Policy provides that “[e]ven though all data and information must be evaluated, the quality of the data used in the development of the section 303(d) list shall be of sufficient high quality to make determinations of water quality standards attainment.”</w:t>
      </w:r>
    </w:p>
    <w:p w14:paraId="315405B1" w14:textId="1D7E49A5" w:rsidR="00885068" w:rsidRPr="004502A9" w:rsidRDefault="00885068" w:rsidP="00885068">
      <w:pPr>
        <w:rPr>
          <w:rFonts w:eastAsia="Arial" w:cs="Arial"/>
        </w:rPr>
      </w:pPr>
      <w:r w:rsidRPr="004502A9">
        <w:rPr>
          <w:rFonts w:eastAsia="Arial" w:cs="Arial"/>
        </w:rPr>
        <w:t xml:space="preserve">Data and information that met </w:t>
      </w:r>
      <w:r>
        <w:rPr>
          <w:rFonts w:eastAsia="Arial" w:cs="Arial"/>
        </w:rPr>
        <w:t>data</w:t>
      </w:r>
      <w:r w:rsidRPr="004502A9">
        <w:rPr>
          <w:rFonts w:eastAsia="Arial" w:cs="Arial"/>
        </w:rPr>
        <w:t xml:space="preserve"> quality </w:t>
      </w:r>
      <w:r>
        <w:rPr>
          <w:rFonts w:eastAsia="Arial" w:cs="Arial"/>
        </w:rPr>
        <w:t>conditions set forth in s</w:t>
      </w:r>
      <w:r w:rsidRPr="004502A9">
        <w:rPr>
          <w:rFonts w:eastAsia="Arial" w:cs="Arial"/>
        </w:rPr>
        <w:t>ection 6.1.4</w:t>
      </w:r>
      <w:r w:rsidRPr="00182E0C">
        <w:rPr>
          <w:rFonts w:eastAsia="Arial" w:cs="Arial"/>
        </w:rPr>
        <w:t xml:space="preserve"> </w:t>
      </w:r>
      <w:r w:rsidRPr="004502A9">
        <w:rPr>
          <w:rFonts w:eastAsia="Arial" w:cs="Arial"/>
        </w:rPr>
        <w:t>of the Listing Policy</w:t>
      </w:r>
      <w:r>
        <w:rPr>
          <w:rFonts w:eastAsia="Arial" w:cs="Arial"/>
        </w:rPr>
        <w:t xml:space="preserve"> </w:t>
      </w:r>
      <w:r w:rsidRPr="004502A9">
        <w:rPr>
          <w:rFonts w:eastAsia="Arial" w:cs="Arial"/>
        </w:rPr>
        <w:t>were used as primary lines of evidence (“LOE</w:t>
      </w:r>
      <w:r>
        <w:rPr>
          <w:rFonts w:eastAsia="Arial" w:cs="Arial"/>
        </w:rPr>
        <w:t>(</w:t>
      </w:r>
      <w:r w:rsidRPr="004502A9">
        <w:rPr>
          <w:rFonts w:eastAsia="Arial" w:cs="Arial"/>
        </w:rPr>
        <w:t>s</w:t>
      </w:r>
      <w:r>
        <w:rPr>
          <w:rFonts w:eastAsia="Arial" w:cs="Arial"/>
        </w:rPr>
        <w:t>)</w:t>
      </w:r>
      <w:r w:rsidRPr="004502A9">
        <w:rPr>
          <w:rFonts w:eastAsia="Arial" w:cs="Arial"/>
        </w:rPr>
        <w:t>”)</w:t>
      </w:r>
      <w:r>
        <w:rPr>
          <w:rFonts w:eastAsia="Arial" w:cs="Arial"/>
        </w:rPr>
        <w:t xml:space="preserve">. </w:t>
      </w:r>
      <w:r w:rsidRPr="00182E0C">
        <w:rPr>
          <w:rFonts w:eastAsia="Arial" w:cs="Arial"/>
        </w:rPr>
        <w:t xml:space="preserve">A primary LOE is a phrase used to describe an LOE that meets Listing Policy data quality conditions and is used to </w:t>
      </w:r>
      <w:r w:rsidR="001D2B4E">
        <w:rPr>
          <w:rFonts w:eastAsia="Arial" w:cs="Arial"/>
        </w:rPr>
        <w:t>make a Decision. A Decision refers to the</w:t>
      </w:r>
      <w:r w:rsidR="00D23498">
        <w:rPr>
          <w:rFonts w:eastAsia="Arial" w:cs="Arial"/>
        </w:rPr>
        <w:t xml:space="preserve"> </w:t>
      </w:r>
      <w:r w:rsidR="00CC7893">
        <w:rPr>
          <w:rFonts w:eastAsia="Arial" w:cs="Arial"/>
        </w:rPr>
        <w:t xml:space="preserve">determination </w:t>
      </w:r>
      <w:r w:rsidR="00210524">
        <w:rPr>
          <w:rFonts w:eastAsia="Arial" w:cs="Arial"/>
        </w:rPr>
        <w:t xml:space="preserve">on the </w:t>
      </w:r>
      <w:r w:rsidR="00D854BA">
        <w:rPr>
          <w:rFonts w:eastAsia="Arial" w:cs="Arial"/>
        </w:rPr>
        <w:t>outcome of</w:t>
      </w:r>
      <w:r w:rsidR="00CC7893" w:rsidRPr="00CC7893">
        <w:rPr>
          <w:rFonts w:eastAsia="Arial" w:cs="Arial"/>
        </w:rPr>
        <w:t xml:space="preserve"> </w:t>
      </w:r>
      <w:r w:rsidR="00E63144">
        <w:rPr>
          <w:rFonts w:eastAsia="Arial" w:cs="Arial"/>
        </w:rPr>
        <w:t>a data assessment for</w:t>
      </w:r>
      <w:r w:rsidR="00E63144" w:rsidRPr="00CC7893">
        <w:rPr>
          <w:rFonts w:eastAsia="Arial" w:cs="Arial"/>
        </w:rPr>
        <w:t xml:space="preserve"> </w:t>
      </w:r>
      <w:r w:rsidR="00CC7893" w:rsidRPr="00CC7893">
        <w:rPr>
          <w:rFonts w:eastAsia="Arial" w:cs="Arial"/>
        </w:rPr>
        <w:t>a waterbody-pollutant combination</w:t>
      </w:r>
      <w:r w:rsidR="00720882">
        <w:rPr>
          <w:rFonts w:eastAsia="Arial" w:cs="Arial"/>
        </w:rPr>
        <w:t>. A D</w:t>
      </w:r>
      <w:r w:rsidR="001A4ABB">
        <w:rPr>
          <w:rFonts w:eastAsia="Arial" w:cs="Arial"/>
        </w:rPr>
        <w:t>ecision may be</w:t>
      </w:r>
      <w:r w:rsidR="00CC7893">
        <w:rPr>
          <w:rFonts w:eastAsia="Arial" w:cs="Arial"/>
        </w:rPr>
        <w:t xml:space="preserve"> </w:t>
      </w:r>
      <w:r w:rsidR="001D2B4E">
        <w:rPr>
          <w:rFonts w:eastAsia="Arial" w:cs="Arial"/>
        </w:rPr>
        <w:t>“List</w:t>
      </w:r>
      <w:r w:rsidR="00724A75">
        <w:rPr>
          <w:rFonts w:eastAsia="Arial" w:cs="Arial"/>
        </w:rPr>
        <w:t>,</w:t>
      </w:r>
      <w:r w:rsidR="001D2B4E">
        <w:rPr>
          <w:rFonts w:eastAsia="Arial" w:cs="Arial"/>
        </w:rPr>
        <w:t>” “Do Not List</w:t>
      </w:r>
      <w:r w:rsidR="00724A75">
        <w:rPr>
          <w:rFonts w:eastAsia="Arial" w:cs="Arial"/>
        </w:rPr>
        <w:t>,</w:t>
      </w:r>
      <w:r w:rsidR="001D2B4E">
        <w:rPr>
          <w:rFonts w:eastAsia="Arial" w:cs="Arial"/>
        </w:rPr>
        <w:t>” “Delist</w:t>
      </w:r>
      <w:r w:rsidR="00724A75">
        <w:rPr>
          <w:rFonts w:eastAsia="Arial" w:cs="Arial"/>
        </w:rPr>
        <w:t>,</w:t>
      </w:r>
      <w:r w:rsidR="001D2B4E">
        <w:rPr>
          <w:rFonts w:eastAsia="Arial" w:cs="Arial"/>
        </w:rPr>
        <w:t xml:space="preserve">” </w:t>
      </w:r>
      <w:r w:rsidR="001A4ABB">
        <w:rPr>
          <w:rFonts w:eastAsia="Arial" w:cs="Arial"/>
        </w:rPr>
        <w:t>or</w:t>
      </w:r>
      <w:r w:rsidR="001D2B4E">
        <w:rPr>
          <w:rFonts w:eastAsia="Arial" w:cs="Arial"/>
        </w:rPr>
        <w:t xml:space="preserve"> “Do Not Delist</w:t>
      </w:r>
      <w:r w:rsidR="00724A75">
        <w:rPr>
          <w:rFonts w:eastAsia="Arial" w:cs="Arial"/>
        </w:rPr>
        <w:t>.</w:t>
      </w:r>
      <w:r w:rsidR="001D2B4E">
        <w:rPr>
          <w:rFonts w:eastAsia="Arial" w:cs="Arial"/>
        </w:rPr>
        <w:t>”</w:t>
      </w:r>
      <w:r w:rsidRPr="00182E0C">
        <w:rPr>
          <w:rFonts w:eastAsia="Arial" w:cs="Arial"/>
        </w:rPr>
        <w:t xml:space="preserve"> In some instances</w:t>
      </w:r>
      <w:r>
        <w:rPr>
          <w:rFonts w:eastAsia="Arial" w:cs="Arial"/>
        </w:rPr>
        <w:t>, d</w:t>
      </w:r>
      <w:r w:rsidRPr="004502A9">
        <w:rPr>
          <w:rFonts w:eastAsia="Arial" w:cs="Arial"/>
        </w:rPr>
        <w:t xml:space="preserve">ata and information that did not meet Listing Policy quality </w:t>
      </w:r>
      <w:r>
        <w:rPr>
          <w:rFonts w:eastAsia="Arial" w:cs="Arial"/>
        </w:rPr>
        <w:t>conditions</w:t>
      </w:r>
      <w:r w:rsidRPr="004502A9">
        <w:rPr>
          <w:rFonts w:eastAsia="Arial" w:cs="Arial"/>
        </w:rPr>
        <w:t xml:space="preserve"> were </w:t>
      </w:r>
      <w:r>
        <w:rPr>
          <w:rFonts w:eastAsia="Arial" w:cs="Arial"/>
        </w:rPr>
        <w:t>used to develop</w:t>
      </w:r>
      <w:r w:rsidRPr="004502A9">
        <w:rPr>
          <w:rFonts w:eastAsia="Arial" w:cs="Arial"/>
        </w:rPr>
        <w:t xml:space="preserve"> ancillary LOEs. </w:t>
      </w:r>
      <w:r>
        <w:rPr>
          <w:rFonts w:eastAsia="Arial" w:cs="Arial"/>
        </w:rPr>
        <w:t xml:space="preserve">An ancillary LOE is a phrase used to describe a line of evidence that does not meet Listing Policy data quality conditions. An ancillary LOE cannot be used alone or in combination with another ancillary LOE to make a </w:t>
      </w:r>
      <w:r w:rsidR="00800CC1">
        <w:rPr>
          <w:rFonts w:eastAsia="Arial" w:cs="Arial"/>
        </w:rPr>
        <w:t>Decision</w:t>
      </w:r>
      <w:r>
        <w:rPr>
          <w:rFonts w:eastAsia="Arial" w:cs="Arial"/>
        </w:rPr>
        <w:t xml:space="preserve">; however, one or more ancillary LOEs may be used as supporting evidence when utilizing the situation-specific weight of evidence approach for </w:t>
      </w:r>
      <w:r w:rsidR="00800CC1">
        <w:rPr>
          <w:rFonts w:eastAsia="Arial" w:cs="Arial"/>
        </w:rPr>
        <w:t>Decisions</w:t>
      </w:r>
      <w:r>
        <w:rPr>
          <w:rFonts w:eastAsia="Arial" w:cs="Arial"/>
        </w:rPr>
        <w:t xml:space="preserve"> per sections 3.11 and 4.11 of the Listing Policy.</w:t>
      </w:r>
      <w:r w:rsidDel="00517F85">
        <w:rPr>
          <w:rFonts w:eastAsia="Arial" w:cs="Arial"/>
        </w:rPr>
        <w:t xml:space="preserve"> </w:t>
      </w:r>
      <w:r w:rsidRPr="004502A9">
        <w:rPr>
          <w:rFonts w:eastAsia="Arial" w:cs="Arial"/>
        </w:rPr>
        <w:t>Erroneous or inaccurate data and information were not further considered.</w:t>
      </w:r>
    </w:p>
    <w:p w14:paraId="4F8170F9" w14:textId="77AAE89E" w:rsidR="00885068" w:rsidRDefault="00885068" w:rsidP="00885068">
      <w:pPr>
        <w:rPr>
          <w:rFonts w:eastAsia="Arial" w:cs="Arial"/>
        </w:rPr>
      </w:pPr>
      <w:r w:rsidRPr="00E76169">
        <w:rPr>
          <w:rFonts w:eastAsia="Arial" w:cs="Arial"/>
        </w:rPr>
        <w:t xml:space="preserve">Data from receiving water monitoring stations in CIWQS were converted to </w:t>
      </w:r>
      <w:r w:rsidRPr="6336061F">
        <w:rPr>
          <w:rFonts w:eastAsia="Arial" w:cs="Arial"/>
        </w:rPr>
        <w:t xml:space="preserve">CEDEN format and reviewed for </w:t>
      </w:r>
      <w:r>
        <w:rPr>
          <w:rFonts w:eastAsia="Arial" w:cs="Arial"/>
        </w:rPr>
        <w:t>acceptable</w:t>
      </w:r>
      <w:r w:rsidRPr="6336061F">
        <w:rPr>
          <w:rFonts w:eastAsia="Arial" w:cs="Arial"/>
        </w:rPr>
        <w:t xml:space="preserve"> quality.</w:t>
      </w:r>
      <w:r w:rsidRPr="5AF326AC">
        <w:rPr>
          <w:rFonts w:eastAsia="Arial" w:cs="Arial"/>
        </w:rPr>
        <w:t xml:space="preserve"> </w:t>
      </w:r>
      <w:r>
        <w:rPr>
          <w:rFonts w:eastAsia="Arial" w:cs="Arial"/>
        </w:rPr>
        <w:t>R</w:t>
      </w:r>
      <w:r w:rsidRPr="2DDFED74">
        <w:rPr>
          <w:rFonts w:eastAsia="Arial" w:cs="Arial"/>
        </w:rPr>
        <w:t xml:space="preserve">eceiving water monitoring stations shown to be </w:t>
      </w:r>
      <w:r w:rsidR="007C63C4">
        <w:rPr>
          <w:rFonts w:eastAsia="Arial" w:cs="Arial"/>
        </w:rPr>
        <w:t>effluent</w:t>
      </w:r>
      <w:r w:rsidR="00CB26E5" w:rsidRPr="3AF3C02B">
        <w:rPr>
          <w:rFonts w:eastAsia="Arial" w:cs="Arial"/>
        </w:rPr>
        <w:t xml:space="preserve"> </w:t>
      </w:r>
      <w:r w:rsidRPr="3AF3C02B">
        <w:rPr>
          <w:rFonts w:eastAsia="Arial" w:cs="Arial"/>
        </w:rPr>
        <w:t>samples were not further considered.</w:t>
      </w:r>
      <w:r w:rsidRPr="2DDFED74">
        <w:rPr>
          <w:rFonts w:eastAsia="Arial" w:cs="Arial"/>
        </w:rPr>
        <w:t xml:space="preserve"> </w:t>
      </w:r>
      <w:r w:rsidR="007C63C4">
        <w:rPr>
          <w:rFonts w:eastAsia="Arial" w:cs="Arial"/>
        </w:rPr>
        <w:t xml:space="preserve">Only ambient samples </w:t>
      </w:r>
      <w:r w:rsidR="00A20C3F">
        <w:rPr>
          <w:rFonts w:eastAsia="Arial" w:cs="Arial"/>
        </w:rPr>
        <w:t>were</w:t>
      </w:r>
      <w:r w:rsidR="007C63C4">
        <w:rPr>
          <w:rFonts w:eastAsia="Arial" w:cs="Arial"/>
        </w:rPr>
        <w:t xml:space="preserve"> </w:t>
      </w:r>
      <w:r w:rsidR="002621C1">
        <w:rPr>
          <w:rFonts w:eastAsia="Arial" w:cs="Arial"/>
        </w:rPr>
        <w:t>evaluated</w:t>
      </w:r>
      <w:r w:rsidR="007C63C4">
        <w:rPr>
          <w:rFonts w:eastAsia="Arial" w:cs="Arial"/>
        </w:rPr>
        <w:t xml:space="preserve">. </w:t>
      </w:r>
    </w:p>
    <w:p w14:paraId="33D7DEB8" w14:textId="3A9E98A3" w:rsidR="00885068" w:rsidRPr="004502A9" w:rsidRDefault="00885068" w:rsidP="00885068">
      <w:pPr>
        <w:rPr>
          <w:rFonts w:eastAsia="Arial" w:cs="Arial"/>
        </w:rPr>
      </w:pPr>
      <w:r w:rsidRPr="004502A9">
        <w:rPr>
          <w:rFonts w:eastAsia="Arial" w:cs="Arial"/>
        </w:rPr>
        <w:t xml:space="preserve">Quality review of data involved the application of filters to screen out data from stations with missing or inaccurate location information (latitude, longitude, and datum); data results that </w:t>
      </w:r>
      <w:r w:rsidR="00022CB2">
        <w:rPr>
          <w:rFonts w:eastAsia="Arial" w:cs="Arial"/>
        </w:rPr>
        <w:t>were</w:t>
      </w:r>
      <w:r w:rsidR="00022CB2" w:rsidRPr="004502A9">
        <w:rPr>
          <w:rFonts w:eastAsia="Arial" w:cs="Arial"/>
        </w:rPr>
        <w:t xml:space="preserve"> </w:t>
      </w:r>
      <w:r w:rsidRPr="004502A9">
        <w:rPr>
          <w:rFonts w:eastAsia="Arial" w:cs="Arial"/>
        </w:rPr>
        <w:t xml:space="preserve">less than the quantitation limit when the quantitation limit </w:t>
      </w:r>
      <w:r w:rsidR="003D3734">
        <w:rPr>
          <w:rFonts w:eastAsia="Arial" w:cs="Arial"/>
        </w:rPr>
        <w:t>was</w:t>
      </w:r>
      <w:r w:rsidR="003D3734" w:rsidRPr="004502A9">
        <w:rPr>
          <w:rFonts w:eastAsia="Arial" w:cs="Arial"/>
        </w:rPr>
        <w:t xml:space="preserve"> </w:t>
      </w:r>
      <w:r w:rsidRPr="004502A9">
        <w:rPr>
          <w:rFonts w:eastAsia="Arial" w:cs="Arial"/>
        </w:rPr>
        <w:t>greater than the water quality standard, objective, criterion</w:t>
      </w:r>
      <w:r>
        <w:rPr>
          <w:rFonts w:eastAsia="Arial" w:cs="Arial"/>
        </w:rPr>
        <w:t>,</w:t>
      </w:r>
      <w:r w:rsidRPr="004502A9">
        <w:rPr>
          <w:rFonts w:eastAsia="Arial" w:cs="Arial"/>
        </w:rPr>
        <w:t xml:space="preserve"> or evaluation guideline; data flagged by a laboratory as rejected during quality control (“QC”) review; data from a </w:t>
      </w:r>
      <w:r>
        <w:rPr>
          <w:rFonts w:eastAsia="Arial" w:cs="Arial"/>
        </w:rPr>
        <w:t>QC</w:t>
      </w:r>
      <w:r w:rsidRPr="004502A9">
        <w:rPr>
          <w:rFonts w:eastAsia="Arial" w:cs="Arial"/>
        </w:rPr>
        <w:t xml:space="preserve"> sample (laboratory duplicate, blank); and sample types that were not water quality-related data. </w:t>
      </w:r>
      <w:r>
        <w:rPr>
          <w:rFonts w:eastAsia="Arial" w:cs="Arial"/>
        </w:rPr>
        <w:t>The</w:t>
      </w:r>
      <w:r>
        <w:t xml:space="preserve"> quantitation limit includes the minimum level, practical quantitation level, or reporting limit as noted in section 6.1.5.5. of the Listing Policy. </w:t>
      </w:r>
    </w:p>
    <w:p w14:paraId="7B87FFA6" w14:textId="77777777" w:rsidR="00885068" w:rsidRPr="004502A9" w:rsidRDefault="00885068" w:rsidP="00885068">
      <w:pPr>
        <w:rPr>
          <w:rFonts w:eastAsia="Arial" w:cs="Arial"/>
        </w:rPr>
      </w:pPr>
      <w:r w:rsidRPr="004502A9">
        <w:rPr>
          <w:rFonts w:eastAsia="Arial" w:cs="Arial"/>
        </w:rPr>
        <w:t xml:space="preserve">Data records that passed the screening filters were further evaluated based on available QC metadata and assigned estimated data quality tiers, as follows:   </w:t>
      </w:r>
    </w:p>
    <w:p w14:paraId="2B677619" w14:textId="77777777" w:rsidR="00885068" w:rsidRPr="004502A9" w:rsidRDefault="00885068" w:rsidP="00A67AFD">
      <w:pPr>
        <w:pStyle w:val="ListParagraph"/>
        <w:numPr>
          <w:ilvl w:val="0"/>
          <w:numId w:val="10"/>
        </w:numPr>
        <w:spacing w:after="160" w:line="259" w:lineRule="auto"/>
        <w:rPr>
          <w:rFonts w:eastAsia="Arial" w:cs="Arial"/>
        </w:rPr>
      </w:pPr>
      <w:r w:rsidRPr="004502A9">
        <w:rPr>
          <w:rFonts w:eastAsia="Arial" w:cs="Arial"/>
        </w:rPr>
        <w:t xml:space="preserve">Tier 0 </w:t>
      </w:r>
      <w:r>
        <w:rPr>
          <w:rFonts w:eastAsia="Arial" w:cs="Arial"/>
        </w:rPr>
        <w:t>–</w:t>
      </w:r>
      <w:r w:rsidRPr="004502A9">
        <w:rPr>
          <w:rFonts w:eastAsia="Arial" w:cs="Arial"/>
        </w:rPr>
        <w:t xml:space="preserve"> Metadata, QC record: Not a measurement of environmental conditions. </w:t>
      </w:r>
    </w:p>
    <w:p w14:paraId="3B2A5B0C" w14:textId="77777777" w:rsidR="00885068" w:rsidRPr="004502A9" w:rsidRDefault="00885068" w:rsidP="00A67AFD">
      <w:pPr>
        <w:pStyle w:val="ListParagraph"/>
        <w:numPr>
          <w:ilvl w:val="0"/>
          <w:numId w:val="10"/>
        </w:numPr>
        <w:spacing w:after="160" w:line="259" w:lineRule="auto"/>
        <w:rPr>
          <w:rFonts w:eastAsia="Arial" w:cs="Arial"/>
        </w:rPr>
      </w:pPr>
      <w:r w:rsidRPr="004502A9">
        <w:rPr>
          <w:rFonts w:eastAsia="Arial" w:cs="Arial"/>
        </w:rPr>
        <w:t>Tier 1</w:t>
      </w:r>
      <w:r>
        <w:rPr>
          <w:rFonts w:eastAsia="Arial" w:cs="Arial"/>
        </w:rPr>
        <w:t xml:space="preserve"> –</w:t>
      </w:r>
      <w:r w:rsidRPr="004502A9">
        <w:rPr>
          <w:rFonts w:eastAsia="Arial" w:cs="Arial"/>
        </w:rPr>
        <w:t xml:space="preserve"> Passed QC: Data passed all QC checks. </w:t>
      </w:r>
    </w:p>
    <w:p w14:paraId="62F3BD83" w14:textId="77777777" w:rsidR="00885068" w:rsidRPr="004502A9" w:rsidRDefault="00885068" w:rsidP="00A67AFD">
      <w:pPr>
        <w:pStyle w:val="ListParagraph"/>
        <w:numPr>
          <w:ilvl w:val="0"/>
          <w:numId w:val="10"/>
        </w:numPr>
        <w:spacing w:after="160" w:line="259" w:lineRule="auto"/>
        <w:rPr>
          <w:rFonts w:eastAsia="Arial" w:cs="Arial"/>
        </w:rPr>
      </w:pPr>
      <w:r w:rsidRPr="004502A9">
        <w:rPr>
          <w:rFonts w:eastAsia="Arial" w:cs="Arial"/>
        </w:rPr>
        <w:t>Tier 2</w:t>
      </w:r>
      <w:r>
        <w:rPr>
          <w:rFonts w:eastAsia="Arial" w:cs="Arial"/>
        </w:rPr>
        <w:t xml:space="preserve"> –</w:t>
      </w:r>
      <w:r w:rsidRPr="004502A9">
        <w:rPr>
          <w:rFonts w:eastAsia="Arial" w:cs="Arial"/>
        </w:rPr>
        <w:t xml:space="preserve"> Some review needed: Data did not pass minor QC checks; some effort needed to review and defend data if used. </w:t>
      </w:r>
    </w:p>
    <w:p w14:paraId="3BBA48D8" w14:textId="77777777" w:rsidR="00885068" w:rsidRPr="004502A9" w:rsidRDefault="00885068" w:rsidP="00A67AFD">
      <w:pPr>
        <w:pStyle w:val="ListParagraph"/>
        <w:numPr>
          <w:ilvl w:val="0"/>
          <w:numId w:val="10"/>
        </w:numPr>
        <w:spacing w:after="160" w:line="259" w:lineRule="auto"/>
        <w:rPr>
          <w:rFonts w:eastAsia="Arial" w:cs="Arial"/>
        </w:rPr>
      </w:pPr>
      <w:r w:rsidRPr="004502A9">
        <w:rPr>
          <w:rFonts w:eastAsia="Arial" w:cs="Arial"/>
        </w:rPr>
        <w:t>Tier 3</w:t>
      </w:r>
      <w:r>
        <w:rPr>
          <w:rFonts w:eastAsia="Arial" w:cs="Arial"/>
        </w:rPr>
        <w:t xml:space="preserve"> –</w:t>
      </w:r>
      <w:r w:rsidRPr="004502A9">
        <w:rPr>
          <w:rFonts w:eastAsia="Arial" w:cs="Arial"/>
        </w:rPr>
        <w:t xml:space="preserve"> Spatial Accuracy Unknown: Data missing spatial datum information, data should not be used for fine scale spatial analysis. </w:t>
      </w:r>
    </w:p>
    <w:p w14:paraId="748962C7" w14:textId="77777777" w:rsidR="00885068" w:rsidRPr="004502A9" w:rsidRDefault="00885068" w:rsidP="00A67AFD">
      <w:pPr>
        <w:pStyle w:val="ListParagraph"/>
        <w:numPr>
          <w:ilvl w:val="0"/>
          <w:numId w:val="10"/>
        </w:numPr>
        <w:spacing w:after="160" w:line="259" w:lineRule="auto"/>
        <w:rPr>
          <w:rFonts w:eastAsia="Arial" w:cs="Arial"/>
        </w:rPr>
      </w:pPr>
      <w:r w:rsidRPr="004502A9">
        <w:rPr>
          <w:rFonts w:eastAsia="Arial" w:cs="Arial"/>
        </w:rPr>
        <w:t>Tier 4</w:t>
      </w:r>
      <w:r>
        <w:rPr>
          <w:rFonts w:eastAsia="Arial" w:cs="Arial"/>
        </w:rPr>
        <w:t xml:space="preserve"> –</w:t>
      </w:r>
      <w:r w:rsidRPr="004502A9">
        <w:rPr>
          <w:rFonts w:eastAsia="Arial" w:cs="Arial"/>
        </w:rPr>
        <w:t xml:space="preserve"> Extensive review needed: Data did not pass some critical QC checks; high level of effort needed to review and defend data if used. </w:t>
      </w:r>
    </w:p>
    <w:p w14:paraId="559F641A" w14:textId="77777777" w:rsidR="00885068" w:rsidRPr="004502A9" w:rsidRDefault="00885068" w:rsidP="00A67AFD">
      <w:pPr>
        <w:pStyle w:val="ListParagraph"/>
        <w:numPr>
          <w:ilvl w:val="0"/>
          <w:numId w:val="10"/>
        </w:numPr>
        <w:spacing w:after="160" w:line="259" w:lineRule="auto"/>
        <w:rPr>
          <w:rFonts w:eastAsia="Arial" w:cs="Arial"/>
        </w:rPr>
      </w:pPr>
      <w:r w:rsidRPr="004502A9">
        <w:rPr>
          <w:rFonts w:eastAsia="Arial" w:cs="Arial"/>
        </w:rPr>
        <w:t>Tier 5</w:t>
      </w:r>
      <w:r>
        <w:rPr>
          <w:rFonts w:eastAsia="Arial" w:cs="Arial"/>
        </w:rPr>
        <w:t xml:space="preserve"> –</w:t>
      </w:r>
      <w:r w:rsidRPr="004502A9">
        <w:rPr>
          <w:rFonts w:eastAsia="Arial" w:cs="Arial"/>
        </w:rPr>
        <w:t xml:space="preserve"> Unknown Data Quality: Data were not reviewed by the monitoring program. Data will need review before use. </w:t>
      </w:r>
    </w:p>
    <w:p w14:paraId="5ED0245E" w14:textId="77777777" w:rsidR="00885068" w:rsidRPr="004502A9" w:rsidRDefault="00885068" w:rsidP="00A67AFD">
      <w:pPr>
        <w:pStyle w:val="ListParagraph"/>
        <w:numPr>
          <w:ilvl w:val="0"/>
          <w:numId w:val="10"/>
        </w:numPr>
        <w:spacing w:after="160" w:line="259" w:lineRule="auto"/>
        <w:rPr>
          <w:rFonts w:eastAsia="Arial" w:cs="Arial"/>
        </w:rPr>
      </w:pPr>
      <w:r w:rsidRPr="004502A9">
        <w:rPr>
          <w:rFonts w:eastAsia="Arial" w:cs="Arial"/>
        </w:rPr>
        <w:t>Tier 6</w:t>
      </w:r>
      <w:r>
        <w:rPr>
          <w:rFonts w:eastAsia="Arial" w:cs="Arial"/>
        </w:rPr>
        <w:t xml:space="preserve"> –</w:t>
      </w:r>
      <w:r w:rsidRPr="004502A9">
        <w:rPr>
          <w:rFonts w:eastAsia="Arial" w:cs="Arial"/>
        </w:rPr>
        <w:t xml:space="preserve"> Reject Data: Data were rejected by the monitoring program or data did not pass all critical QC checks. Data deemed unusable. </w:t>
      </w:r>
    </w:p>
    <w:p w14:paraId="72100BB4" w14:textId="77777777" w:rsidR="00885068" w:rsidRPr="004502A9" w:rsidRDefault="00885068" w:rsidP="00A67AFD">
      <w:pPr>
        <w:pStyle w:val="ListParagraph"/>
        <w:numPr>
          <w:ilvl w:val="0"/>
          <w:numId w:val="10"/>
        </w:numPr>
        <w:spacing w:after="160" w:line="259" w:lineRule="auto"/>
        <w:rPr>
          <w:rFonts w:eastAsia="Arial" w:cs="Arial"/>
        </w:rPr>
      </w:pPr>
      <w:r w:rsidRPr="004502A9">
        <w:rPr>
          <w:rFonts w:eastAsia="Arial" w:cs="Arial"/>
        </w:rPr>
        <w:t>Tier 7</w:t>
      </w:r>
      <w:r>
        <w:rPr>
          <w:rFonts w:eastAsia="Arial" w:cs="Arial"/>
        </w:rPr>
        <w:t xml:space="preserve"> –</w:t>
      </w:r>
      <w:r w:rsidRPr="004502A9">
        <w:rPr>
          <w:rFonts w:eastAsia="Arial" w:cs="Arial"/>
        </w:rPr>
        <w:t xml:space="preserve"> Error in Data.</w:t>
      </w:r>
    </w:p>
    <w:p w14:paraId="25E18454" w14:textId="31E1779A" w:rsidR="00885068" w:rsidRDefault="00885068" w:rsidP="00885068">
      <w:pPr>
        <w:rPr>
          <w:rFonts w:eastAsia="Arial" w:cs="Arial"/>
        </w:rPr>
      </w:pPr>
      <w:r w:rsidRPr="004502A9">
        <w:rPr>
          <w:rFonts w:eastAsia="Arial" w:cs="Arial"/>
        </w:rPr>
        <w:t xml:space="preserve">Data classified in Tier 1 were considered to meet Listing Policy </w:t>
      </w:r>
      <w:r>
        <w:rPr>
          <w:rFonts w:eastAsia="Arial" w:cs="Arial"/>
        </w:rPr>
        <w:t>data</w:t>
      </w:r>
      <w:r w:rsidRPr="004502A9">
        <w:rPr>
          <w:rFonts w:eastAsia="Arial" w:cs="Arial"/>
        </w:rPr>
        <w:t xml:space="preserve"> quality requirements for use as a primary LOE. Data classified in Tiers 0, 6, and 7 were considered inapplicable, erroneous, or inaccurate and were not further considered. Data classified in Tiers 2 through 5 were evaluated on a case-by-case basis to determine compliance with Listing Policy quality requirements and suitability for use as primary or ancillary </w:t>
      </w:r>
      <w:r w:rsidR="00242CF1">
        <w:rPr>
          <w:rFonts w:eastAsia="Arial" w:cs="Arial"/>
        </w:rPr>
        <w:t>LOEs</w:t>
      </w:r>
      <w:r w:rsidRPr="004502A9">
        <w:rPr>
          <w:rFonts w:eastAsia="Arial" w:cs="Arial"/>
        </w:rPr>
        <w:t xml:space="preserve"> based on </w:t>
      </w:r>
      <w:r w:rsidRPr="05CFFB59">
        <w:rPr>
          <w:rFonts w:eastAsia="Arial" w:cs="Arial"/>
        </w:rPr>
        <w:t>determinations of water quality standards attainment.</w:t>
      </w:r>
    </w:p>
    <w:p w14:paraId="341A2798" w14:textId="3F94B975" w:rsidR="009F520D" w:rsidRPr="00B23774" w:rsidRDefault="00586145" w:rsidP="005632BC">
      <w:pPr>
        <w:pStyle w:val="Heading3"/>
        <w:rPr>
          <w:rStyle w:val="normaltextrun"/>
        </w:rPr>
      </w:pPr>
      <w:bookmarkStart w:id="48" w:name="_Toc189048554"/>
      <w:r w:rsidRPr="00B23774">
        <w:rPr>
          <w:rStyle w:val="normaltextrun"/>
        </w:rPr>
        <w:t>Tribal Data</w:t>
      </w:r>
      <w:r w:rsidR="00E0634B">
        <w:rPr>
          <w:rStyle w:val="normaltextrun"/>
        </w:rPr>
        <w:t xml:space="preserve"> Cons</w:t>
      </w:r>
      <w:r w:rsidR="00DE531D">
        <w:rPr>
          <w:rStyle w:val="normaltextrun"/>
        </w:rPr>
        <w:t>iderations</w:t>
      </w:r>
      <w:bookmarkEnd w:id="48"/>
    </w:p>
    <w:p w14:paraId="320EE0B8" w14:textId="1EFF7D25" w:rsidR="00D25115" w:rsidRDefault="00491D8D" w:rsidP="00586145">
      <w:r>
        <w:t xml:space="preserve">Starting with the 2026 </w:t>
      </w:r>
      <w:r w:rsidR="003E05BE">
        <w:t xml:space="preserve">California </w:t>
      </w:r>
      <w:r>
        <w:t>I</w:t>
      </w:r>
      <w:r w:rsidR="00802996">
        <w:t xml:space="preserve">ntegrated Report, </w:t>
      </w:r>
      <w:r w:rsidR="00B82C90">
        <w:t>the Water Boards implem</w:t>
      </w:r>
      <w:r w:rsidR="00BB7273">
        <w:t>en</w:t>
      </w:r>
      <w:r w:rsidR="00B82C90">
        <w:t>t</w:t>
      </w:r>
      <w:r w:rsidR="00072E70">
        <w:t>ed</w:t>
      </w:r>
      <w:r w:rsidR="00575F02">
        <w:t xml:space="preserve"> an approach</w:t>
      </w:r>
      <w:r w:rsidR="00545D24">
        <w:t xml:space="preserve"> when considering</w:t>
      </w:r>
      <w:r w:rsidR="00E7426B">
        <w:t xml:space="preserve"> data</w:t>
      </w:r>
      <w:r w:rsidR="000F1A7B">
        <w:t xml:space="preserve"> collected by California Native American Tribes</w:t>
      </w:r>
      <w:r w:rsidR="00E7426B">
        <w:t xml:space="preserve"> </w:t>
      </w:r>
      <w:r w:rsidR="0029341C">
        <w:t>and data collected</w:t>
      </w:r>
      <w:r w:rsidR="00F373F8">
        <w:t xml:space="preserve"> from waters on </w:t>
      </w:r>
      <w:r w:rsidR="00392458">
        <w:t>federally</w:t>
      </w:r>
      <w:r w:rsidR="00F373F8">
        <w:t xml:space="preserve"> recognized tribal lands</w:t>
      </w:r>
      <w:r w:rsidR="00392458">
        <w:t>.</w:t>
      </w:r>
      <w:r w:rsidR="004A323D">
        <w:t xml:space="preserve"> </w:t>
      </w:r>
    </w:p>
    <w:p w14:paraId="4357E87E" w14:textId="4987CB47" w:rsidR="00586145" w:rsidRDefault="005F2943" w:rsidP="00586145">
      <w:pPr>
        <w:rPr>
          <w:rFonts w:eastAsia="Arial" w:cs="Arial"/>
        </w:rPr>
      </w:pPr>
      <w:r>
        <w:t>D</w:t>
      </w:r>
      <w:r w:rsidR="002E2CFD">
        <w:t xml:space="preserve">ata and information collected by any entity (i.e., Tribe, government agency, etc.) from </w:t>
      </w:r>
      <w:r w:rsidR="00FB4643">
        <w:t>surface</w:t>
      </w:r>
      <w:r w:rsidR="002E2CFD">
        <w:t xml:space="preserve"> waters on federally recognized tribal land </w:t>
      </w:r>
      <w:r w:rsidR="00FB4643">
        <w:t>(</w:t>
      </w:r>
      <w:r w:rsidR="00DB5326">
        <w:t xml:space="preserve">referred to here as tribal waters) </w:t>
      </w:r>
      <w:r w:rsidR="00431FD8">
        <w:t>were</w:t>
      </w:r>
      <w:r w:rsidR="004A6BF3">
        <w:t xml:space="preserve"> </w:t>
      </w:r>
      <w:r w:rsidR="002E2CFD">
        <w:t xml:space="preserve">not assessed for the integrated report. </w:t>
      </w:r>
      <w:r w:rsidR="000A592F">
        <w:t xml:space="preserve">The USEPA acknowledges federally recognized tribal land to include both formal </w:t>
      </w:r>
      <w:r w:rsidR="005C2EA1">
        <w:t xml:space="preserve">reservations, established through treaties or </w:t>
      </w:r>
      <w:r w:rsidR="003518C4">
        <w:t>e</w:t>
      </w:r>
      <w:r w:rsidR="005C2EA1">
        <w:t xml:space="preserve">xecutive </w:t>
      </w:r>
      <w:r w:rsidR="003518C4">
        <w:t>o</w:t>
      </w:r>
      <w:r w:rsidR="005C2EA1">
        <w:t>rders of the President, and lands not formally designated</w:t>
      </w:r>
      <w:r w:rsidR="004F5375">
        <w:t xml:space="preserve"> such as tribal trust lands (</w:t>
      </w:r>
      <w:r w:rsidR="00EA6DF5">
        <w:t xml:space="preserve">see e.g. 56 FR </w:t>
      </w:r>
      <w:r w:rsidR="003B50C2" w:rsidRPr="004502A9">
        <w:rPr>
          <w:rFonts w:eastAsia="Arial" w:cs="Arial"/>
        </w:rPr>
        <w:t>§</w:t>
      </w:r>
      <w:r w:rsidR="003B50C2">
        <w:rPr>
          <w:rFonts w:eastAsia="Arial" w:cs="Arial"/>
        </w:rPr>
        <w:t xml:space="preserve"> </w:t>
      </w:r>
      <w:r w:rsidR="002245B0">
        <w:rPr>
          <w:rFonts w:eastAsia="Arial" w:cs="Arial"/>
        </w:rPr>
        <w:t>648</w:t>
      </w:r>
      <w:r w:rsidR="009C01B7">
        <w:rPr>
          <w:rFonts w:eastAsia="Arial" w:cs="Arial"/>
        </w:rPr>
        <w:t>76</w:t>
      </w:r>
      <w:r w:rsidR="00DC6AFA">
        <w:rPr>
          <w:rFonts w:eastAsia="Arial" w:cs="Arial"/>
        </w:rPr>
        <w:t>, 64881,</w:t>
      </w:r>
      <w:r w:rsidR="002245B0">
        <w:rPr>
          <w:rFonts w:eastAsia="Arial" w:cs="Arial"/>
        </w:rPr>
        <w:t xml:space="preserve"> and 18 USC </w:t>
      </w:r>
      <w:r w:rsidR="002245B0" w:rsidRPr="004502A9">
        <w:rPr>
          <w:rFonts w:eastAsia="Arial" w:cs="Arial"/>
        </w:rPr>
        <w:t>§</w:t>
      </w:r>
      <w:r w:rsidR="002245B0">
        <w:rPr>
          <w:rFonts w:eastAsia="Arial" w:cs="Arial"/>
        </w:rPr>
        <w:t xml:space="preserve"> 1151). </w:t>
      </w:r>
      <w:r w:rsidR="00783072">
        <w:rPr>
          <w:rFonts w:eastAsia="Arial" w:cs="Arial"/>
        </w:rPr>
        <w:t>Wat</w:t>
      </w:r>
      <w:r w:rsidR="00092367">
        <w:rPr>
          <w:rFonts w:eastAsia="Arial" w:cs="Arial"/>
        </w:rPr>
        <w:t xml:space="preserve">er quality standards </w:t>
      </w:r>
      <w:r w:rsidR="00783072">
        <w:rPr>
          <w:rFonts w:eastAsia="Arial" w:cs="Arial"/>
        </w:rPr>
        <w:t>adopted by the State Water Board and Regional Water Boards</w:t>
      </w:r>
      <w:r w:rsidR="00EB7E9D">
        <w:rPr>
          <w:rFonts w:eastAsia="Arial" w:cs="Arial"/>
        </w:rPr>
        <w:t xml:space="preserve"> are not established for tribal waters and</w:t>
      </w:r>
      <w:r w:rsidR="00783072">
        <w:rPr>
          <w:rFonts w:eastAsia="Arial" w:cs="Arial"/>
        </w:rPr>
        <w:t xml:space="preserve"> </w:t>
      </w:r>
      <w:r w:rsidR="00B93435">
        <w:rPr>
          <w:rFonts w:eastAsia="Arial" w:cs="Arial"/>
        </w:rPr>
        <w:t>should not be applied</w:t>
      </w:r>
      <w:r w:rsidR="00560DEF">
        <w:rPr>
          <w:rFonts w:eastAsia="Arial" w:cs="Arial"/>
        </w:rPr>
        <w:t xml:space="preserve"> to t</w:t>
      </w:r>
      <w:r w:rsidR="00736AA7">
        <w:rPr>
          <w:rFonts w:eastAsia="Arial" w:cs="Arial"/>
        </w:rPr>
        <w:t>ribal waters</w:t>
      </w:r>
      <w:r w:rsidR="00B93435">
        <w:rPr>
          <w:rFonts w:eastAsia="Arial" w:cs="Arial"/>
        </w:rPr>
        <w:t xml:space="preserve">, nor do </w:t>
      </w:r>
      <w:r w:rsidR="008E328F">
        <w:rPr>
          <w:rFonts w:eastAsia="Arial" w:cs="Arial"/>
        </w:rPr>
        <w:t>the Water Boards</w:t>
      </w:r>
      <w:r w:rsidR="00B93435">
        <w:rPr>
          <w:rFonts w:eastAsia="Arial" w:cs="Arial"/>
        </w:rPr>
        <w:t xml:space="preserve"> have the authority to a</w:t>
      </w:r>
      <w:r w:rsidR="00736AA7">
        <w:rPr>
          <w:rFonts w:eastAsia="Arial" w:cs="Arial"/>
        </w:rPr>
        <w:t>ssess</w:t>
      </w:r>
      <w:r w:rsidR="00826DC2">
        <w:rPr>
          <w:rFonts w:eastAsia="Arial" w:cs="Arial"/>
        </w:rPr>
        <w:t xml:space="preserve"> tribal waters. The USEPA also does not accept assessments of tribal waters in the state’s integrated report</w:t>
      </w:r>
      <w:r w:rsidR="00B81436">
        <w:rPr>
          <w:rFonts w:eastAsia="Arial" w:cs="Arial"/>
        </w:rPr>
        <w:t xml:space="preserve"> (</w:t>
      </w:r>
      <w:r w:rsidR="00186F4A">
        <w:rPr>
          <w:rFonts w:eastAsia="Arial" w:cs="Arial"/>
        </w:rPr>
        <w:t xml:space="preserve">See </w:t>
      </w:r>
      <w:hyperlink r:id="rId38" w:history="1">
        <w:r w:rsidR="00756C9E" w:rsidRPr="001A08E7">
          <w:rPr>
            <w:rStyle w:val="Hyperlink"/>
            <w:rFonts w:eastAsia="Arial" w:cs="Arial"/>
          </w:rPr>
          <w:t xml:space="preserve">USEPA </w:t>
        </w:r>
        <w:r w:rsidR="00546B66" w:rsidRPr="001A08E7">
          <w:rPr>
            <w:rStyle w:val="Hyperlink"/>
            <w:rFonts w:eastAsia="Arial" w:cs="Arial"/>
          </w:rPr>
          <w:t xml:space="preserve">2024 Integrated Report </w:t>
        </w:r>
        <w:r w:rsidR="006D6973" w:rsidRPr="001A08E7">
          <w:rPr>
            <w:rStyle w:val="Hyperlink"/>
            <w:rFonts w:eastAsia="Arial" w:cs="Arial"/>
          </w:rPr>
          <w:t>Memorandum</w:t>
        </w:r>
      </w:hyperlink>
      <w:r w:rsidR="001A08E7">
        <w:rPr>
          <w:rFonts w:eastAsia="Arial" w:cs="Arial"/>
        </w:rPr>
        <w:t xml:space="preserve">, </w:t>
      </w:r>
      <w:hyperlink r:id="rId39" w:history="1">
        <w:r w:rsidR="001A08E7" w:rsidRPr="001A08E7">
          <w:rPr>
            <w:rStyle w:val="Hyperlink"/>
            <w:rFonts w:eastAsia="Arial" w:cs="Arial"/>
          </w:rPr>
          <w:t>https://www.epa.gov/system/files/documents/2023-03/2024IRmemo_032923.pdf</w:t>
        </w:r>
      </w:hyperlink>
      <w:r w:rsidR="00546B66">
        <w:rPr>
          <w:rFonts w:eastAsia="Arial" w:cs="Arial"/>
        </w:rPr>
        <w:t>)</w:t>
      </w:r>
      <w:r w:rsidR="00826DC2">
        <w:rPr>
          <w:rFonts w:eastAsia="Arial" w:cs="Arial"/>
        </w:rPr>
        <w:t xml:space="preserve">. </w:t>
      </w:r>
    </w:p>
    <w:p w14:paraId="4BD1CD5F" w14:textId="719DBCC2" w:rsidR="00826DC2" w:rsidRDefault="00A74D31" w:rsidP="006D42A3">
      <w:pPr>
        <w:rPr>
          <w:rFonts w:eastAsia="Arial" w:cs="Arial"/>
        </w:rPr>
      </w:pPr>
      <w:r>
        <w:rPr>
          <w:rFonts w:eastAsia="Arial" w:cs="Arial"/>
        </w:rPr>
        <w:t>However</w:t>
      </w:r>
      <w:r w:rsidR="00826DC2">
        <w:rPr>
          <w:rFonts w:eastAsia="Arial" w:cs="Arial"/>
        </w:rPr>
        <w:t xml:space="preserve">, the </w:t>
      </w:r>
      <w:r>
        <w:rPr>
          <w:rFonts w:eastAsia="Arial" w:cs="Arial"/>
        </w:rPr>
        <w:t>Water</w:t>
      </w:r>
      <w:r w:rsidR="00AC78FE">
        <w:rPr>
          <w:rFonts w:eastAsia="Arial" w:cs="Arial"/>
        </w:rPr>
        <w:t xml:space="preserve"> Boards</w:t>
      </w:r>
      <w:r>
        <w:rPr>
          <w:rFonts w:eastAsia="Arial" w:cs="Arial"/>
        </w:rPr>
        <w:t xml:space="preserve"> </w:t>
      </w:r>
      <w:r w:rsidR="00826DC2">
        <w:rPr>
          <w:rFonts w:eastAsia="Arial" w:cs="Arial"/>
        </w:rPr>
        <w:t>assess</w:t>
      </w:r>
      <w:r w:rsidR="00AC78FE">
        <w:rPr>
          <w:rFonts w:eastAsia="Arial" w:cs="Arial"/>
        </w:rPr>
        <w:t>ed</w:t>
      </w:r>
      <w:r w:rsidR="00826DC2">
        <w:rPr>
          <w:rFonts w:eastAsia="Arial" w:cs="Arial"/>
        </w:rPr>
        <w:t xml:space="preserve"> data and information collected </w:t>
      </w:r>
      <w:r w:rsidR="00AA07B1">
        <w:rPr>
          <w:rFonts w:eastAsia="Arial" w:cs="Arial"/>
        </w:rPr>
        <w:t xml:space="preserve">by Tribes </w:t>
      </w:r>
      <w:r w:rsidR="00826DC2">
        <w:rPr>
          <w:rFonts w:eastAsia="Arial" w:cs="Arial"/>
        </w:rPr>
        <w:t xml:space="preserve">from </w:t>
      </w:r>
      <w:r w:rsidR="00F56A85">
        <w:rPr>
          <w:rFonts w:eastAsia="Arial" w:cs="Arial"/>
        </w:rPr>
        <w:t xml:space="preserve">surface </w:t>
      </w:r>
      <w:r w:rsidR="00826DC2">
        <w:rPr>
          <w:rFonts w:eastAsia="Arial" w:cs="Arial"/>
        </w:rPr>
        <w:t xml:space="preserve">waters </w:t>
      </w:r>
      <w:r w:rsidR="000E59E9">
        <w:rPr>
          <w:rFonts w:eastAsia="Arial" w:cs="Arial"/>
        </w:rPr>
        <w:t>outside</w:t>
      </w:r>
      <w:r w:rsidR="00AA07B1">
        <w:rPr>
          <w:rFonts w:eastAsia="Arial" w:cs="Arial"/>
        </w:rPr>
        <w:t xml:space="preserve"> </w:t>
      </w:r>
      <w:r w:rsidR="00B7620A">
        <w:rPr>
          <w:rFonts w:eastAsia="Arial" w:cs="Arial"/>
        </w:rPr>
        <w:t xml:space="preserve">of </w:t>
      </w:r>
      <w:r w:rsidR="00491188">
        <w:rPr>
          <w:rFonts w:eastAsia="Arial" w:cs="Arial"/>
        </w:rPr>
        <w:t>the borders</w:t>
      </w:r>
      <w:r w:rsidR="00AA07B1">
        <w:rPr>
          <w:rFonts w:eastAsia="Arial" w:cs="Arial"/>
        </w:rPr>
        <w:t xml:space="preserve"> </w:t>
      </w:r>
      <w:r w:rsidR="00B7620A">
        <w:rPr>
          <w:rFonts w:eastAsia="Arial" w:cs="Arial"/>
        </w:rPr>
        <w:t xml:space="preserve">of </w:t>
      </w:r>
      <w:r w:rsidR="00826DC2">
        <w:rPr>
          <w:rFonts w:eastAsia="Arial" w:cs="Arial"/>
        </w:rPr>
        <w:t>federally recognized tribal land</w:t>
      </w:r>
      <w:r w:rsidR="00552DBC">
        <w:rPr>
          <w:rFonts w:eastAsia="Arial" w:cs="Arial"/>
        </w:rPr>
        <w:t xml:space="preserve"> and</w:t>
      </w:r>
      <w:r w:rsidR="002E467B">
        <w:rPr>
          <w:rFonts w:eastAsia="Arial" w:cs="Arial"/>
        </w:rPr>
        <w:t xml:space="preserve"> </w:t>
      </w:r>
      <w:r w:rsidR="00552DBC">
        <w:rPr>
          <w:rFonts w:eastAsia="Arial" w:cs="Arial"/>
        </w:rPr>
        <w:t>data and information collected</w:t>
      </w:r>
      <w:r w:rsidR="002E467B">
        <w:rPr>
          <w:rFonts w:eastAsia="Arial" w:cs="Arial"/>
        </w:rPr>
        <w:t xml:space="preserve"> by any entity</w:t>
      </w:r>
      <w:r w:rsidR="00552DBC">
        <w:rPr>
          <w:rFonts w:eastAsia="Arial" w:cs="Arial"/>
        </w:rPr>
        <w:t xml:space="preserve"> from waters bordering federally recognized tribal land</w:t>
      </w:r>
      <w:r w:rsidR="00826DC2">
        <w:rPr>
          <w:rFonts w:eastAsia="Arial" w:cs="Arial"/>
        </w:rPr>
        <w:t>. Bordering waters refer to waters on overlapp</w:t>
      </w:r>
      <w:r w:rsidR="00EA7372">
        <w:rPr>
          <w:rFonts w:eastAsia="Arial" w:cs="Arial"/>
        </w:rPr>
        <w:t>ing</w:t>
      </w:r>
      <w:r w:rsidR="00826DC2">
        <w:rPr>
          <w:rFonts w:eastAsia="Arial" w:cs="Arial"/>
        </w:rPr>
        <w:t xml:space="preserve"> or adjacent </w:t>
      </w:r>
      <w:r w:rsidR="00AD27A0">
        <w:rPr>
          <w:rFonts w:eastAsia="Arial" w:cs="Arial"/>
        </w:rPr>
        <w:t xml:space="preserve">jurisdictions between </w:t>
      </w:r>
      <w:r w:rsidR="0027386B">
        <w:rPr>
          <w:rFonts w:eastAsia="Arial" w:cs="Arial"/>
        </w:rPr>
        <w:t xml:space="preserve">a </w:t>
      </w:r>
      <w:r w:rsidR="00AD27A0">
        <w:rPr>
          <w:rFonts w:eastAsia="Arial" w:cs="Arial"/>
        </w:rPr>
        <w:t>state and a Tribe. Bordering waters are subject to the Water Boards’ authorit</w:t>
      </w:r>
      <w:r w:rsidR="00355B93">
        <w:rPr>
          <w:rFonts w:eastAsia="Arial" w:cs="Arial"/>
        </w:rPr>
        <w:t>ies</w:t>
      </w:r>
      <w:r w:rsidR="00AD27A0">
        <w:rPr>
          <w:rFonts w:eastAsia="Arial" w:cs="Arial"/>
        </w:rPr>
        <w:t xml:space="preserve"> under CWA sections 303(d) and 305(b), and should be assessed with state and regional water quality standards. </w:t>
      </w:r>
      <w:r w:rsidR="00A5410F">
        <w:rPr>
          <w:rFonts w:eastAsia="Arial" w:cs="Arial"/>
        </w:rPr>
        <w:t>States are required</w:t>
      </w:r>
      <w:r w:rsidR="0052061F">
        <w:rPr>
          <w:rFonts w:eastAsia="Arial" w:cs="Arial"/>
        </w:rPr>
        <w:t xml:space="preserve"> to evaluate all readily available water quality-related data and information to develop the</w:t>
      </w:r>
      <w:r w:rsidR="00DD45F2">
        <w:rPr>
          <w:rFonts w:eastAsia="Arial" w:cs="Arial"/>
        </w:rPr>
        <w:t xml:space="preserve"> 303(d) list</w:t>
      </w:r>
      <w:r w:rsidR="00A5410F">
        <w:rPr>
          <w:rFonts w:eastAsia="Arial" w:cs="Arial"/>
        </w:rPr>
        <w:t xml:space="preserve"> </w:t>
      </w:r>
      <w:r w:rsidR="00D30D78">
        <w:rPr>
          <w:rFonts w:eastAsia="Arial" w:cs="Arial"/>
        </w:rPr>
        <w:t>[</w:t>
      </w:r>
      <w:r w:rsidR="00A5410F">
        <w:rPr>
          <w:rFonts w:eastAsia="Arial" w:cs="Arial"/>
        </w:rPr>
        <w:t xml:space="preserve">40 CFR </w:t>
      </w:r>
      <w:r w:rsidR="0091002A">
        <w:rPr>
          <w:rFonts w:eastAsia="Arial" w:cs="Arial"/>
        </w:rPr>
        <w:t>§ 130.</w:t>
      </w:r>
      <w:r w:rsidR="00552141">
        <w:rPr>
          <w:rFonts w:eastAsia="Arial" w:cs="Arial"/>
        </w:rPr>
        <w:t>7(b)(5)</w:t>
      </w:r>
      <w:r w:rsidR="00D30D78">
        <w:rPr>
          <w:rFonts w:eastAsia="Arial" w:cs="Arial"/>
        </w:rPr>
        <w:t>]</w:t>
      </w:r>
      <w:r w:rsidR="00DD45F2">
        <w:rPr>
          <w:rFonts w:eastAsia="Arial" w:cs="Arial"/>
        </w:rPr>
        <w:t xml:space="preserve">. </w:t>
      </w:r>
    </w:p>
    <w:p w14:paraId="3367926B" w14:textId="2E8D548D" w:rsidR="001E2572" w:rsidRDefault="00F463FB" w:rsidP="001E2572">
      <w:r>
        <w:t xml:space="preserve">A </w:t>
      </w:r>
      <w:r w:rsidR="003E26AD">
        <w:t>CWA section 106 grant</w:t>
      </w:r>
      <w:r w:rsidR="00B6780B">
        <w:t xml:space="preserve"> or any other EPA-funded </w:t>
      </w:r>
      <w:r w:rsidR="00F114CB">
        <w:t>water sampling</w:t>
      </w:r>
      <w:r w:rsidR="00B6780B">
        <w:t xml:space="preserve"> project</w:t>
      </w:r>
      <w:r w:rsidR="00F66B36">
        <w:t xml:space="preserve"> require</w:t>
      </w:r>
      <w:r w:rsidR="00A62BD8">
        <w:t>s</w:t>
      </w:r>
      <w:r w:rsidR="00F66B36">
        <w:t xml:space="preserve"> Tribes to submit a QAPP</w:t>
      </w:r>
      <w:r w:rsidR="00F8314A">
        <w:t xml:space="preserve"> </w:t>
      </w:r>
      <w:r w:rsidR="00CB3A78">
        <w:t>to USEPA (</w:t>
      </w:r>
      <w:r w:rsidR="00F02B00">
        <w:t xml:space="preserve">2 CFR </w:t>
      </w:r>
      <w:r w:rsidR="00F97BC0" w:rsidRPr="00F97BC0">
        <w:rPr>
          <w:rFonts w:eastAsia="Arial" w:cs="Arial"/>
        </w:rPr>
        <w:t xml:space="preserve">§ </w:t>
      </w:r>
      <w:r w:rsidR="00F97BC0">
        <w:t>1500.12)</w:t>
      </w:r>
      <w:r w:rsidR="00A62BD8">
        <w:t xml:space="preserve"> for review and approval. QAPPs may include </w:t>
      </w:r>
      <w:r w:rsidR="00480A87">
        <w:t xml:space="preserve">sensitive </w:t>
      </w:r>
      <w:r w:rsidR="00756C2D">
        <w:t>information including indigenous knowledge</w:t>
      </w:r>
      <w:r w:rsidR="00484398">
        <w:t xml:space="preserve"> developed over generations through observation</w:t>
      </w:r>
      <w:r w:rsidR="00F3054F">
        <w:t xml:space="preserve">, innovation, and </w:t>
      </w:r>
      <w:r w:rsidR="005D0E54">
        <w:t>teachings</w:t>
      </w:r>
      <w:r w:rsidR="0093337B">
        <w:t>;</w:t>
      </w:r>
      <w:r w:rsidR="00785819">
        <w:t xml:space="preserve"> indigenous framework of recipr</w:t>
      </w:r>
      <w:r w:rsidR="0026016E">
        <w:t>ocity</w:t>
      </w:r>
      <w:r w:rsidR="00066C8E">
        <w:t xml:space="preserve"> (i.e. beneficial connections between human and nature)</w:t>
      </w:r>
      <w:r w:rsidR="0093337B">
        <w:t>;</w:t>
      </w:r>
      <w:r w:rsidR="0026016E">
        <w:t xml:space="preserve"> </w:t>
      </w:r>
      <w:r w:rsidR="00481D44">
        <w:t>and tribal cultural practices (</w:t>
      </w:r>
      <w:r w:rsidR="007B79D8">
        <w:t xml:space="preserve">refer to Chapter 4 of </w:t>
      </w:r>
      <w:r w:rsidR="00761A0C">
        <w:t>Clean Water Act Section 106 Tribal Guidanc</w:t>
      </w:r>
      <w:r w:rsidR="002C406A">
        <w:t>e)</w:t>
      </w:r>
      <w:r w:rsidR="0093337B">
        <w:t xml:space="preserve">. </w:t>
      </w:r>
      <w:r w:rsidR="00A17682">
        <w:t>Therefore, Tribes with USEPA-approved QAPP</w:t>
      </w:r>
      <w:r w:rsidR="00C001D8">
        <w:t>s</w:t>
      </w:r>
      <w:r w:rsidR="00A17682">
        <w:t xml:space="preserve"> </w:t>
      </w:r>
      <w:r w:rsidR="00F30709">
        <w:t xml:space="preserve">were </w:t>
      </w:r>
      <w:r w:rsidR="00A17682">
        <w:t xml:space="preserve">not required to share those documents and information with the Water Boards for their data to be evaluated </w:t>
      </w:r>
      <w:r w:rsidR="00D679E2">
        <w:t xml:space="preserve">and assessed for the integrated report. </w:t>
      </w:r>
      <w:r w:rsidR="000E0852">
        <w:t>Instead, the Water Boards</w:t>
      </w:r>
      <w:r w:rsidR="00CF4D5A" w:rsidDel="00E721A8">
        <w:t xml:space="preserve"> </w:t>
      </w:r>
      <w:r w:rsidR="00E721A8">
        <w:t>confirm</w:t>
      </w:r>
      <w:r w:rsidR="00C50817">
        <w:t>ed</w:t>
      </w:r>
      <w:r w:rsidR="00E721A8">
        <w:t xml:space="preserve"> </w:t>
      </w:r>
      <w:r w:rsidR="00CF4D5A">
        <w:t xml:space="preserve">with USEPA </w:t>
      </w:r>
      <w:r w:rsidR="0077541A">
        <w:t xml:space="preserve">that </w:t>
      </w:r>
      <w:r w:rsidR="006A6E38">
        <w:t xml:space="preserve">Tribes that submit data to WQX have approved QAPPs. </w:t>
      </w:r>
    </w:p>
    <w:p w14:paraId="662BED1C" w14:textId="49E966D6" w:rsidR="007710C3" w:rsidRPr="004502A9" w:rsidRDefault="2AD6AED2" w:rsidP="005632BC">
      <w:pPr>
        <w:pStyle w:val="Heading3"/>
      </w:pPr>
      <w:bookmarkStart w:id="49" w:name="_Toc189048555"/>
      <w:r>
        <w:t>Data Averaging &amp; Adjustments</w:t>
      </w:r>
      <w:bookmarkEnd w:id="49"/>
      <w:r>
        <w:t xml:space="preserve">  </w:t>
      </w:r>
    </w:p>
    <w:p w14:paraId="5B9208C9" w14:textId="5933C23B" w:rsidR="00714971" w:rsidRPr="006A3266" w:rsidRDefault="00A6073C" w:rsidP="007710C3">
      <w:r>
        <w:rPr>
          <w:rFonts w:eastAsia="Arial" w:cs="Arial"/>
        </w:rPr>
        <w:t>In accordance with s</w:t>
      </w:r>
      <w:r w:rsidRPr="004502A9">
        <w:rPr>
          <w:rFonts w:eastAsia="Arial" w:cs="Arial"/>
        </w:rPr>
        <w:t>ection 6.1.5.6 of the Listing Policy</w:t>
      </w:r>
      <w:r>
        <w:rPr>
          <w:rFonts w:eastAsia="Arial" w:cs="Arial"/>
        </w:rPr>
        <w:t xml:space="preserve">, if the </w:t>
      </w:r>
      <w:r w:rsidR="00031134">
        <w:rPr>
          <w:rFonts w:eastAsia="Arial" w:cs="Arial"/>
        </w:rPr>
        <w:t xml:space="preserve">numeric </w:t>
      </w:r>
      <w:r>
        <w:rPr>
          <w:rFonts w:eastAsia="Arial" w:cs="Arial"/>
        </w:rPr>
        <w:t>water quality objective</w:t>
      </w:r>
      <w:r w:rsidR="00295272">
        <w:rPr>
          <w:rFonts w:eastAsia="Arial" w:cs="Arial"/>
        </w:rPr>
        <w:t>, criteri</w:t>
      </w:r>
      <w:r w:rsidR="00DE34FF">
        <w:rPr>
          <w:rFonts w:eastAsia="Arial" w:cs="Arial"/>
        </w:rPr>
        <w:t>on</w:t>
      </w:r>
      <w:r>
        <w:rPr>
          <w:rFonts w:eastAsia="Arial" w:cs="Arial"/>
        </w:rPr>
        <w:t xml:space="preserve"> or </w:t>
      </w:r>
      <w:r w:rsidR="000E32E1">
        <w:rPr>
          <w:rFonts w:eastAsia="Arial" w:cs="Arial"/>
        </w:rPr>
        <w:t xml:space="preserve">evaluation </w:t>
      </w:r>
      <w:r>
        <w:rPr>
          <w:rFonts w:eastAsia="Arial" w:cs="Arial"/>
        </w:rPr>
        <w:t xml:space="preserve">guideline specifies an averaging period or mathematical transformation, the data </w:t>
      </w:r>
      <w:r w:rsidR="00493DDB">
        <w:rPr>
          <w:rFonts w:eastAsia="Arial" w:cs="Arial"/>
        </w:rPr>
        <w:t>were</w:t>
      </w:r>
      <w:r w:rsidR="00B32F84">
        <w:rPr>
          <w:rFonts w:eastAsia="Arial" w:cs="Arial"/>
        </w:rPr>
        <w:t xml:space="preserve"> evaluated in the specified manner prior to conducting the statistical analysis for water quality standards attainment.</w:t>
      </w:r>
      <w:r>
        <w:rPr>
          <w:rFonts w:eastAsia="Arial" w:cs="Arial"/>
        </w:rPr>
        <w:t xml:space="preserve"> </w:t>
      </w:r>
      <w:r w:rsidR="00EA12E3">
        <w:rPr>
          <w:rFonts w:eastAsia="Arial" w:cs="Arial"/>
        </w:rPr>
        <w:t>D</w:t>
      </w:r>
      <w:r w:rsidR="007710C3" w:rsidRPr="004502A9">
        <w:rPr>
          <w:rFonts w:eastAsia="Arial" w:cs="Arial"/>
        </w:rPr>
        <w:t>ata were grouped to allow comparison of the data to</w:t>
      </w:r>
      <w:r w:rsidR="00AA35BF">
        <w:rPr>
          <w:rFonts w:eastAsia="Arial" w:cs="Arial"/>
        </w:rPr>
        <w:t xml:space="preserve"> numeric</w:t>
      </w:r>
      <w:r w:rsidR="007710C3" w:rsidRPr="004502A9">
        <w:rPr>
          <w:rFonts w:eastAsia="Arial" w:cs="Arial"/>
        </w:rPr>
        <w:t xml:space="preserve"> water quality </w:t>
      </w:r>
      <w:r>
        <w:rPr>
          <w:rFonts w:eastAsia="Arial" w:cs="Arial"/>
        </w:rPr>
        <w:t>objective</w:t>
      </w:r>
      <w:r w:rsidR="00387C79">
        <w:rPr>
          <w:rFonts w:eastAsia="Arial" w:cs="Arial"/>
        </w:rPr>
        <w:t>s</w:t>
      </w:r>
      <w:r w:rsidR="005975CF">
        <w:rPr>
          <w:rFonts w:eastAsia="Arial" w:cs="Arial"/>
        </w:rPr>
        <w:t>, criteria</w:t>
      </w:r>
      <w:r w:rsidR="006D34B2">
        <w:rPr>
          <w:rFonts w:eastAsia="Arial" w:cs="Arial"/>
        </w:rPr>
        <w:t xml:space="preserve"> </w:t>
      </w:r>
      <w:r>
        <w:rPr>
          <w:rFonts w:eastAsia="Arial" w:cs="Arial"/>
        </w:rPr>
        <w:t xml:space="preserve">or </w:t>
      </w:r>
      <w:r w:rsidR="00AA35BF">
        <w:rPr>
          <w:rFonts w:eastAsia="Arial" w:cs="Arial"/>
        </w:rPr>
        <w:t xml:space="preserve">evaluation </w:t>
      </w:r>
      <w:r>
        <w:rPr>
          <w:rFonts w:eastAsia="Arial" w:cs="Arial"/>
        </w:rPr>
        <w:t xml:space="preserve">guidelines </w:t>
      </w:r>
      <w:r w:rsidR="007710C3" w:rsidRPr="004502A9">
        <w:rPr>
          <w:rFonts w:eastAsia="Arial" w:cs="Arial"/>
        </w:rPr>
        <w:t>that are expressed with a specifi</w:t>
      </w:r>
      <w:r w:rsidR="00B32F84">
        <w:rPr>
          <w:rFonts w:eastAsia="Arial" w:cs="Arial"/>
        </w:rPr>
        <w:t>ed</w:t>
      </w:r>
      <w:r w:rsidR="007710C3" w:rsidRPr="004502A9">
        <w:rPr>
          <w:rFonts w:eastAsia="Arial" w:cs="Arial"/>
        </w:rPr>
        <w:t xml:space="preserve"> averaging period (</w:t>
      </w:r>
      <w:r w:rsidR="00B32F84">
        <w:rPr>
          <w:rFonts w:eastAsia="Arial" w:cs="Arial"/>
        </w:rPr>
        <w:t xml:space="preserve">e.g., </w:t>
      </w:r>
      <w:r w:rsidR="007710C3" w:rsidRPr="004502A9">
        <w:rPr>
          <w:rFonts w:eastAsia="Arial" w:cs="Arial"/>
        </w:rPr>
        <w:t>annual, 30-day, weekly, four-day, etc.)</w:t>
      </w:r>
      <w:r w:rsidR="00B32F84">
        <w:rPr>
          <w:rFonts w:eastAsia="Arial" w:cs="Arial"/>
        </w:rPr>
        <w:t>.</w:t>
      </w:r>
      <w:r w:rsidR="007710C3" w:rsidRPr="004502A9">
        <w:rPr>
          <w:rFonts w:eastAsia="Arial" w:cs="Arial"/>
        </w:rPr>
        <w:t xml:space="preserve"> For example, if the </w:t>
      </w:r>
      <w:bookmarkStart w:id="50" w:name="_Hlk171589273"/>
      <w:r w:rsidR="006A3266">
        <w:t>numeric water quality objective</w:t>
      </w:r>
      <w:r w:rsidR="00395C8A">
        <w:t>, criteri</w:t>
      </w:r>
      <w:r w:rsidR="0019223B">
        <w:t>on</w:t>
      </w:r>
      <w:r w:rsidR="006A3266">
        <w:t xml:space="preserve"> or evaluation guideline</w:t>
      </w:r>
      <w:bookmarkEnd w:id="50"/>
      <w:r w:rsidR="007710C3" w:rsidRPr="004502A9">
        <w:rPr>
          <w:rFonts w:eastAsia="Arial" w:cs="Arial"/>
        </w:rPr>
        <w:t xml:space="preserve"> is expressed as a 30-day geometric mean, data from samples collected within a 30-day timeframe were grouped and a geometric mean was calculated. If only one dat</w:t>
      </w:r>
      <w:r w:rsidR="00587484">
        <w:rPr>
          <w:rFonts w:eastAsia="Arial" w:cs="Arial"/>
        </w:rPr>
        <w:t>a</w:t>
      </w:r>
      <w:r w:rsidR="007710C3" w:rsidRPr="004502A9">
        <w:rPr>
          <w:rFonts w:eastAsia="Arial" w:cs="Arial"/>
        </w:rPr>
        <w:t xml:space="preserve"> point was available during an averaging period, it was used to represent the average concentration for that period. </w:t>
      </w:r>
      <w:r w:rsidR="00517F85">
        <w:rPr>
          <w:rFonts w:eastAsia="Arial" w:cs="Arial"/>
        </w:rPr>
        <w:t xml:space="preserve">In </w:t>
      </w:r>
      <w:r w:rsidR="0085495C">
        <w:rPr>
          <w:rFonts w:eastAsia="Arial" w:cs="Arial"/>
        </w:rPr>
        <w:t>accordance with</w:t>
      </w:r>
      <w:r w:rsidR="00517F85">
        <w:rPr>
          <w:rFonts w:eastAsia="Arial" w:cs="Arial"/>
        </w:rPr>
        <w:t xml:space="preserve"> section 6.1.5.6 of the Listing Policy, i</w:t>
      </w:r>
      <w:r w:rsidR="007710C3" w:rsidRPr="004502A9">
        <w:rPr>
          <w:rFonts w:eastAsia="Arial" w:cs="Arial"/>
        </w:rPr>
        <w:t xml:space="preserve">f the averaging period is not stated </w:t>
      </w:r>
      <w:r w:rsidR="00B32F84">
        <w:rPr>
          <w:rFonts w:eastAsia="Arial" w:cs="Arial"/>
        </w:rPr>
        <w:t>in the water quality objective</w:t>
      </w:r>
      <w:r w:rsidR="00065A7D">
        <w:rPr>
          <w:rFonts w:eastAsia="Arial" w:cs="Arial"/>
        </w:rPr>
        <w:t>,</w:t>
      </w:r>
      <w:r w:rsidR="00DB4BEC">
        <w:rPr>
          <w:rFonts w:eastAsia="Arial" w:cs="Arial"/>
        </w:rPr>
        <w:t xml:space="preserve"> </w:t>
      </w:r>
      <w:r w:rsidR="009F0622">
        <w:rPr>
          <w:rFonts w:eastAsia="Arial" w:cs="Arial"/>
        </w:rPr>
        <w:t>criteri</w:t>
      </w:r>
      <w:r w:rsidR="0019223B">
        <w:rPr>
          <w:rFonts w:eastAsia="Arial" w:cs="Arial"/>
        </w:rPr>
        <w:t>on</w:t>
      </w:r>
      <w:r w:rsidR="00065A7D">
        <w:rPr>
          <w:rFonts w:eastAsia="Arial" w:cs="Arial"/>
        </w:rPr>
        <w:t xml:space="preserve"> </w:t>
      </w:r>
      <w:r w:rsidR="00B32F84">
        <w:rPr>
          <w:rFonts w:eastAsia="Arial" w:cs="Arial"/>
        </w:rPr>
        <w:t xml:space="preserve">or </w:t>
      </w:r>
      <w:r w:rsidR="00DB4BEC">
        <w:rPr>
          <w:rFonts w:eastAsia="Arial" w:cs="Arial"/>
        </w:rPr>
        <w:t>evaluation</w:t>
      </w:r>
      <w:r w:rsidR="00B32F84">
        <w:rPr>
          <w:rFonts w:eastAsia="Arial" w:cs="Arial"/>
        </w:rPr>
        <w:t xml:space="preserve"> guideline,</w:t>
      </w:r>
      <w:r w:rsidR="007710C3" w:rsidRPr="004502A9">
        <w:rPr>
          <w:rFonts w:eastAsia="Arial" w:cs="Arial"/>
        </w:rPr>
        <w:t xml:space="preserve"> then data from samples collected less than 7 days apart were </w:t>
      </w:r>
      <w:r w:rsidR="00E47C56">
        <w:rPr>
          <w:rFonts w:eastAsia="Arial" w:cs="Arial"/>
        </w:rPr>
        <w:t>grouped into a weekly average value</w:t>
      </w:r>
      <w:r w:rsidR="007710C3" w:rsidRPr="004502A9">
        <w:rPr>
          <w:rFonts w:eastAsia="Arial" w:cs="Arial"/>
        </w:rPr>
        <w:t xml:space="preserve">. </w:t>
      </w:r>
    </w:p>
    <w:p w14:paraId="4ABDD2B9" w14:textId="3F2AA8A8" w:rsidR="007710C3" w:rsidRPr="004502A9" w:rsidRDefault="007710C3" w:rsidP="00597DE8">
      <w:pPr>
        <w:pStyle w:val="Heading2"/>
      </w:pPr>
      <w:bookmarkStart w:id="51" w:name="_Toc35339591"/>
      <w:bookmarkStart w:id="52" w:name="_Toc189048556"/>
      <w:r w:rsidRPr="004502A9">
        <w:t>Data Analysis</w:t>
      </w:r>
      <w:bookmarkEnd w:id="51"/>
      <w:r w:rsidRPr="004502A9">
        <w:t xml:space="preserve"> to Determine </w:t>
      </w:r>
      <w:r w:rsidR="00800578">
        <w:t xml:space="preserve">Water Quality </w:t>
      </w:r>
      <w:r w:rsidRPr="004502A9">
        <w:t xml:space="preserve">Standards Attainment &amp; Make </w:t>
      </w:r>
      <w:r w:rsidR="006E0624">
        <w:t>Decisions</w:t>
      </w:r>
      <w:bookmarkEnd w:id="52"/>
    </w:p>
    <w:p w14:paraId="07780AA6" w14:textId="0DBF05BC" w:rsidR="008044C6" w:rsidRPr="0042784E" w:rsidRDefault="00800578" w:rsidP="0042784E">
      <w:r>
        <w:rPr>
          <w:rFonts w:eastAsia="Arial" w:cs="Arial"/>
        </w:rPr>
        <w:t>All existing readily available d</w:t>
      </w:r>
      <w:r w:rsidR="007710C3" w:rsidRPr="004502A9">
        <w:rPr>
          <w:rFonts w:eastAsia="Arial" w:cs="Arial"/>
        </w:rPr>
        <w:t xml:space="preserve">ata </w:t>
      </w:r>
      <w:r>
        <w:rPr>
          <w:rFonts w:eastAsia="Arial" w:cs="Arial"/>
        </w:rPr>
        <w:t xml:space="preserve">and information </w:t>
      </w:r>
      <w:r w:rsidR="007710C3" w:rsidRPr="004502A9">
        <w:rPr>
          <w:rFonts w:eastAsia="Arial" w:cs="Arial"/>
        </w:rPr>
        <w:t xml:space="preserve">that met mapping and quality assurance requirements of the Listing Policy (as described above) were </w:t>
      </w:r>
      <w:r w:rsidR="00A74DC0">
        <w:rPr>
          <w:rFonts w:eastAsia="Arial" w:cs="Arial"/>
        </w:rPr>
        <w:t>assessed</w:t>
      </w:r>
      <w:r w:rsidR="00A74DC0" w:rsidRPr="004502A9">
        <w:rPr>
          <w:rFonts w:eastAsia="Arial" w:cs="Arial"/>
        </w:rPr>
        <w:t xml:space="preserve"> </w:t>
      </w:r>
      <w:r w:rsidR="007710C3" w:rsidRPr="004502A9">
        <w:rPr>
          <w:rFonts w:eastAsia="Arial" w:cs="Arial"/>
        </w:rPr>
        <w:t xml:space="preserve">using the listing </w:t>
      </w:r>
      <w:r w:rsidR="00192B91">
        <w:rPr>
          <w:rFonts w:eastAsia="Arial" w:cs="Arial"/>
        </w:rPr>
        <w:t xml:space="preserve">or delisting </w:t>
      </w:r>
      <w:r w:rsidR="007710C3" w:rsidRPr="004502A9">
        <w:rPr>
          <w:rFonts w:eastAsia="Arial" w:cs="Arial"/>
        </w:rPr>
        <w:t>factors identified in the Listing Policy</w:t>
      </w:r>
      <w:r w:rsidR="007710C3" w:rsidRPr="004502A9" w:rsidDel="00BB3D6D">
        <w:rPr>
          <w:rFonts w:eastAsia="Arial" w:cs="Arial"/>
        </w:rPr>
        <w:t xml:space="preserve"> </w:t>
      </w:r>
      <w:r w:rsidR="007710C3" w:rsidRPr="004502A9">
        <w:rPr>
          <w:rFonts w:eastAsia="Arial" w:cs="Arial"/>
        </w:rPr>
        <w:t xml:space="preserve">to determine if water quality standards are </w:t>
      </w:r>
      <w:r w:rsidR="00175429">
        <w:rPr>
          <w:rFonts w:eastAsia="Arial" w:cs="Arial"/>
        </w:rPr>
        <w:t>exceeded</w:t>
      </w:r>
      <w:r w:rsidR="007710C3" w:rsidRPr="004502A9">
        <w:rPr>
          <w:rFonts w:eastAsia="Arial" w:cs="Arial"/>
        </w:rPr>
        <w:t xml:space="preserve"> </w:t>
      </w:r>
      <w:r w:rsidR="00E61787">
        <w:rPr>
          <w:rFonts w:eastAsia="Arial" w:cs="Arial"/>
        </w:rPr>
        <w:t xml:space="preserve">or </w:t>
      </w:r>
      <w:r w:rsidR="007710C3" w:rsidRPr="004502A9">
        <w:rPr>
          <w:rFonts w:eastAsia="Arial" w:cs="Arial"/>
        </w:rPr>
        <w:t>attained in a waterbody</w:t>
      </w:r>
      <w:r w:rsidR="001234C8">
        <w:rPr>
          <w:rFonts w:eastAsia="Arial" w:cs="Arial"/>
        </w:rPr>
        <w:t xml:space="preserve"> segment</w:t>
      </w:r>
      <w:r w:rsidR="007710C3" w:rsidRPr="004502A9">
        <w:rPr>
          <w:rFonts w:eastAsia="Arial" w:cs="Arial"/>
        </w:rPr>
        <w:t xml:space="preserve">. Standards include </w:t>
      </w:r>
      <w:r w:rsidR="006A3266">
        <w:rPr>
          <w:rFonts w:eastAsia="Arial" w:cs="Arial"/>
        </w:rPr>
        <w:t xml:space="preserve">numeric </w:t>
      </w:r>
      <w:r w:rsidR="007710C3" w:rsidRPr="004502A9">
        <w:rPr>
          <w:rFonts w:eastAsia="Arial" w:cs="Arial"/>
        </w:rPr>
        <w:t>water quality objectives</w:t>
      </w:r>
      <w:r w:rsidR="009C130D">
        <w:rPr>
          <w:rFonts w:eastAsia="Arial" w:cs="Arial"/>
        </w:rPr>
        <w:t>, criteria</w:t>
      </w:r>
      <w:r w:rsidR="007710C3" w:rsidRPr="004502A9">
        <w:rPr>
          <w:rFonts w:eastAsia="Arial" w:cs="Arial"/>
        </w:rPr>
        <w:t xml:space="preserve"> or </w:t>
      </w:r>
      <w:r w:rsidR="006C7AF7">
        <w:rPr>
          <w:rFonts w:eastAsia="Arial" w:cs="Arial"/>
        </w:rPr>
        <w:t>evaluation guidelines</w:t>
      </w:r>
      <w:r w:rsidR="006C7AF7" w:rsidRPr="004502A9">
        <w:rPr>
          <w:rFonts w:eastAsia="Arial" w:cs="Arial"/>
        </w:rPr>
        <w:t xml:space="preserve"> </w:t>
      </w:r>
      <w:r w:rsidR="007710C3" w:rsidRPr="004502A9">
        <w:rPr>
          <w:rFonts w:eastAsia="Arial" w:cs="Arial"/>
        </w:rPr>
        <w:t xml:space="preserve">set at levels to ensure the reasonable protection of beneficial uses, and antidegradation policies. Data and information were compared to </w:t>
      </w:r>
      <w:r w:rsidR="006A3266">
        <w:rPr>
          <w:rFonts w:eastAsia="Arial" w:cs="Arial"/>
        </w:rPr>
        <w:t xml:space="preserve">numeric </w:t>
      </w:r>
      <w:r w:rsidR="007710C3" w:rsidRPr="004502A9">
        <w:rPr>
          <w:rFonts w:eastAsia="Arial" w:cs="Arial"/>
        </w:rPr>
        <w:t>water quality objectives</w:t>
      </w:r>
      <w:r w:rsidR="00DC4850">
        <w:rPr>
          <w:rFonts w:eastAsia="Arial" w:cs="Arial"/>
        </w:rPr>
        <w:t>, criteria</w:t>
      </w:r>
      <w:r w:rsidR="00B41763">
        <w:rPr>
          <w:rFonts w:eastAsia="Arial" w:cs="Arial"/>
        </w:rPr>
        <w:t xml:space="preserve"> or</w:t>
      </w:r>
      <w:r w:rsidR="007710C3" w:rsidRPr="004502A9">
        <w:rPr>
          <w:rFonts w:eastAsia="Arial" w:cs="Arial"/>
        </w:rPr>
        <w:t xml:space="preserve"> evaluation guidelines. </w:t>
      </w:r>
      <w:r w:rsidR="00487F5A">
        <w:rPr>
          <w:rFonts w:eastAsia="Arial" w:cs="Arial"/>
        </w:rPr>
        <w:t>T</w:t>
      </w:r>
      <w:r w:rsidR="007710C3" w:rsidRPr="004502A9">
        <w:rPr>
          <w:rFonts w:eastAsia="Arial" w:cs="Arial"/>
        </w:rPr>
        <w:t>hese</w:t>
      </w:r>
      <w:r w:rsidR="006A3266">
        <w:rPr>
          <w:rFonts w:eastAsia="Arial" w:cs="Arial"/>
        </w:rPr>
        <w:t xml:space="preserve"> numeric</w:t>
      </w:r>
      <w:r w:rsidR="007710C3" w:rsidRPr="004502A9">
        <w:rPr>
          <w:rFonts w:eastAsia="Arial" w:cs="Arial"/>
        </w:rPr>
        <w:t xml:space="preserve"> </w:t>
      </w:r>
      <w:r w:rsidR="0042784E">
        <w:t>water quality objectives</w:t>
      </w:r>
      <w:r w:rsidR="001D2B4E">
        <w:t>, criteria</w:t>
      </w:r>
      <w:r w:rsidR="0042784E">
        <w:t xml:space="preserve"> and evaluation </w:t>
      </w:r>
      <w:r w:rsidR="00C01F30">
        <w:t xml:space="preserve">guidelines </w:t>
      </w:r>
      <w:r w:rsidR="00C01F30" w:rsidRPr="004502A9">
        <w:rPr>
          <w:rFonts w:eastAsia="Arial" w:cs="Arial"/>
        </w:rPr>
        <w:t>inform</w:t>
      </w:r>
      <w:r w:rsidR="007710C3" w:rsidRPr="004502A9">
        <w:rPr>
          <w:rFonts w:eastAsia="Arial" w:cs="Arial"/>
        </w:rPr>
        <w:t xml:space="preserve"> a waterbody</w:t>
      </w:r>
      <w:r w:rsidR="00810233">
        <w:rPr>
          <w:rFonts w:eastAsia="Arial" w:cs="Arial"/>
        </w:rPr>
        <w:t xml:space="preserve"> segment</w:t>
      </w:r>
      <w:r w:rsidR="007710C3" w:rsidRPr="004502A9">
        <w:rPr>
          <w:rFonts w:eastAsia="Arial" w:cs="Arial"/>
        </w:rPr>
        <w:t xml:space="preserve">’s ability to support its beneficial uses and determine </w:t>
      </w:r>
      <w:r w:rsidR="00741B10">
        <w:rPr>
          <w:rFonts w:eastAsia="Arial" w:cs="Arial"/>
        </w:rPr>
        <w:t>the Decision</w:t>
      </w:r>
      <w:r w:rsidR="00EE4930" w:rsidRPr="00EE4930">
        <w:rPr>
          <w:rFonts w:eastAsia="Arial" w:cs="Arial"/>
        </w:rPr>
        <w:t xml:space="preserve"> </w:t>
      </w:r>
      <w:r w:rsidR="00927F4F">
        <w:rPr>
          <w:rFonts w:eastAsia="Arial" w:cs="Arial"/>
        </w:rPr>
        <w:t>outcome</w:t>
      </w:r>
      <w:r w:rsidR="001E0F73">
        <w:rPr>
          <w:rFonts w:eastAsia="Arial" w:cs="Arial"/>
        </w:rPr>
        <w:t xml:space="preserve"> </w:t>
      </w:r>
      <w:r w:rsidR="00EC7CAF">
        <w:rPr>
          <w:rFonts w:eastAsia="Arial" w:cs="Arial"/>
        </w:rPr>
        <w:t>(i.e.,</w:t>
      </w:r>
      <w:r w:rsidR="007710C3" w:rsidRPr="004502A9">
        <w:rPr>
          <w:rFonts w:eastAsia="Arial" w:cs="Arial"/>
        </w:rPr>
        <w:t xml:space="preserve"> </w:t>
      </w:r>
      <w:r w:rsidR="0068056E">
        <w:rPr>
          <w:rFonts w:eastAsia="Arial" w:cs="Arial"/>
        </w:rPr>
        <w:t>“List</w:t>
      </w:r>
      <w:r w:rsidR="00265F6C">
        <w:rPr>
          <w:rFonts w:eastAsia="Arial" w:cs="Arial"/>
        </w:rPr>
        <w:t>,</w:t>
      </w:r>
      <w:r w:rsidR="0068056E">
        <w:rPr>
          <w:rFonts w:eastAsia="Arial" w:cs="Arial"/>
        </w:rPr>
        <w:t>”</w:t>
      </w:r>
      <w:r w:rsidR="007F587E">
        <w:rPr>
          <w:rFonts w:eastAsia="Arial" w:cs="Arial"/>
        </w:rPr>
        <w:t xml:space="preserve"> </w:t>
      </w:r>
      <w:r w:rsidR="0068056E">
        <w:rPr>
          <w:rFonts w:eastAsia="Arial" w:cs="Arial"/>
        </w:rPr>
        <w:t>“Do Not List</w:t>
      </w:r>
      <w:r w:rsidR="00265F6C">
        <w:rPr>
          <w:rFonts w:eastAsia="Arial" w:cs="Arial"/>
        </w:rPr>
        <w:t>,</w:t>
      </w:r>
      <w:r w:rsidR="0068056E">
        <w:rPr>
          <w:rFonts w:eastAsia="Arial" w:cs="Arial"/>
        </w:rPr>
        <w:t>”</w:t>
      </w:r>
      <w:r w:rsidR="00C33789">
        <w:rPr>
          <w:rFonts w:eastAsia="Arial" w:cs="Arial"/>
        </w:rPr>
        <w:t xml:space="preserve"> “</w:t>
      </w:r>
      <w:r w:rsidR="00995884">
        <w:rPr>
          <w:rFonts w:eastAsia="Arial" w:cs="Arial"/>
        </w:rPr>
        <w:t>Delist</w:t>
      </w:r>
      <w:r w:rsidR="00265F6C">
        <w:rPr>
          <w:rFonts w:eastAsia="Arial" w:cs="Arial"/>
        </w:rPr>
        <w:t>,</w:t>
      </w:r>
      <w:r w:rsidR="0068056E">
        <w:rPr>
          <w:rFonts w:eastAsia="Arial" w:cs="Arial"/>
        </w:rPr>
        <w:t>”</w:t>
      </w:r>
      <w:r w:rsidR="007710C3" w:rsidRPr="004502A9">
        <w:rPr>
          <w:rFonts w:eastAsia="Arial" w:cs="Arial"/>
        </w:rPr>
        <w:t xml:space="preserve"> or</w:t>
      </w:r>
      <w:r w:rsidR="00C33789">
        <w:rPr>
          <w:rFonts w:eastAsia="Arial" w:cs="Arial"/>
        </w:rPr>
        <w:t xml:space="preserve"> “Do Not Delist</w:t>
      </w:r>
      <w:r w:rsidR="00EC7CAF">
        <w:rPr>
          <w:rFonts w:eastAsia="Arial" w:cs="Arial"/>
        </w:rPr>
        <w:t>”)</w:t>
      </w:r>
      <w:r w:rsidR="001E0F73">
        <w:rPr>
          <w:rFonts w:eastAsia="Arial" w:cs="Arial"/>
        </w:rPr>
        <w:t xml:space="preserve"> associated </w:t>
      </w:r>
      <w:r w:rsidR="00AA2A2F">
        <w:rPr>
          <w:rFonts w:eastAsia="Arial" w:cs="Arial"/>
        </w:rPr>
        <w:t>with</w:t>
      </w:r>
      <w:r w:rsidR="00EE4930" w:rsidRPr="00EE4930">
        <w:rPr>
          <w:rFonts w:eastAsia="Arial" w:cs="Arial"/>
        </w:rPr>
        <w:t xml:space="preserve"> the waterbody-pollutant combination</w:t>
      </w:r>
      <w:r w:rsidR="00AA2A2F">
        <w:rPr>
          <w:rFonts w:eastAsia="Arial" w:cs="Arial"/>
        </w:rPr>
        <w:t>.</w:t>
      </w:r>
      <w:r w:rsidR="007710C3" w:rsidRPr="004502A9">
        <w:rPr>
          <w:rFonts w:eastAsia="Arial" w:cs="Arial"/>
        </w:rPr>
        <w:t xml:space="preserve"> </w:t>
      </w:r>
      <w:r w:rsidR="000D17A7">
        <w:rPr>
          <w:rFonts w:eastAsia="Arial" w:cs="Arial"/>
        </w:rPr>
        <w:t xml:space="preserve">The State Water Board submits these </w:t>
      </w:r>
      <w:r w:rsidR="00145DD7">
        <w:rPr>
          <w:rFonts w:eastAsia="Arial" w:cs="Arial"/>
        </w:rPr>
        <w:t xml:space="preserve">Decisions </w:t>
      </w:r>
      <w:r w:rsidR="000D17A7">
        <w:rPr>
          <w:rFonts w:eastAsia="Arial" w:cs="Arial"/>
        </w:rPr>
        <w:t xml:space="preserve">as recommendations to the </w:t>
      </w:r>
      <w:r w:rsidR="00313C98">
        <w:rPr>
          <w:rFonts w:eastAsia="Arial" w:cs="Arial"/>
        </w:rPr>
        <w:t>USEPA</w:t>
      </w:r>
      <w:r w:rsidR="000D17A7">
        <w:rPr>
          <w:rFonts w:eastAsia="Arial" w:cs="Arial"/>
        </w:rPr>
        <w:t>.</w:t>
      </w:r>
    </w:p>
    <w:p w14:paraId="4CF36082" w14:textId="04CEEB18" w:rsidR="0037777E" w:rsidRPr="004502A9" w:rsidRDefault="1ECA6B35" w:rsidP="005632BC">
      <w:pPr>
        <w:pStyle w:val="Heading3"/>
      </w:pPr>
      <w:bookmarkStart w:id="53" w:name="_Toc35339592"/>
      <w:bookmarkStart w:id="54" w:name="_Toc189048557"/>
      <w:r>
        <w:t>Selecting Beneficial Uses</w:t>
      </w:r>
      <w:r w:rsidR="00DE72B2">
        <w:t xml:space="preserve">, Water Quality Objectives, </w:t>
      </w:r>
      <w:r w:rsidR="00436A55">
        <w:t xml:space="preserve">Criteria, </w:t>
      </w:r>
      <w:r w:rsidR="00DE72B2">
        <w:t>and Evaluation Guidelines</w:t>
      </w:r>
      <w:bookmarkEnd w:id="54"/>
      <w:r w:rsidR="00DE72B2">
        <w:t xml:space="preserve"> </w:t>
      </w:r>
    </w:p>
    <w:p w14:paraId="04D81653" w14:textId="77777777" w:rsidR="00BC71DB" w:rsidRDefault="00BC71DB" w:rsidP="00BC71DB">
      <w:pPr>
        <w:rPr>
          <w:rFonts w:cs="Arial"/>
        </w:rPr>
      </w:pPr>
      <w:r>
        <w:rPr>
          <w:rFonts w:cs="Arial"/>
        </w:rPr>
        <w:t xml:space="preserve">Water quality standards consist of beneficial uses of water, federal water quality criteria established per CWA section 303(c) or state water quality objectives approved by the USEPA per CWA section 303(c), and antidegradation policies. Water Code section 13050(h) defines water quality objectives as “the limits or levels of water quality constituents or characteristics which are established for the reasonable protection of beneficial uses of water of the prevention of nuisance within a specific area.” Water quality objectives are not required to be numeric values. Water quality objectives are included in Regional Water Board basin plans and in statewide water quality control plans. </w:t>
      </w:r>
    </w:p>
    <w:p w14:paraId="294EE08A" w14:textId="6725D71A" w:rsidR="00DF2D8B" w:rsidRPr="00720672" w:rsidRDefault="00A34ABE" w:rsidP="00412BA8">
      <w:pPr>
        <w:rPr>
          <w:rFonts w:cs="Arial"/>
        </w:rPr>
      </w:pPr>
      <w:r>
        <w:rPr>
          <w:rFonts w:cs="Arial"/>
        </w:rPr>
        <w:t>B</w:t>
      </w:r>
      <w:r w:rsidR="0037777E" w:rsidRPr="004502A9">
        <w:rPr>
          <w:rFonts w:cs="Arial"/>
        </w:rPr>
        <w:t>eneficial uses for waters</w:t>
      </w:r>
      <w:r w:rsidR="0037777E" w:rsidRPr="004502A9" w:rsidDel="00A34ABE">
        <w:rPr>
          <w:rFonts w:cs="Arial"/>
        </w:rPr>
        <w:t xml:space="preserve"> </w:t>
      </w:r>
      <w:r>
        <w:rPr>
          <w:rFonts w:cs="Arial"/>
        </w:rPr>
        <w:t>in</w:t>
      </w:r>
      <w:r w:rsidRPr="004502A9">
        <w:rPr>
          <w:rFonts w:cs="Arial"/>
        </w:rPr>
        <w:t xml:space="preserve"> </w:t>
      </w:r>
      <w:r w:rsidR="0037777E" w:rsidRPr="004502A9">
        <w:rPr>
          <w:rFonts w:cs="Arial"/>
        </w:rPr>
        <w:t xml:space="preserve">California are identified in the Regional Water Boards’ Basin Plans or statewide water quality control plans, including the Water Quality Control Plan for Ocean Waters of California (“Ocean Plan”) and </w:t>
      </w:r>
      <w:r w:rsidR="0037777E">
        <w:rPr>
          <w:rFonts w:cs="Arial"/>
        </w:rPr>
        <w:t xml:space="preserve">components of </w:t>
      </w:r>
      <w:r w:rsidR="0037777E" w:rsidRPr="004502A9">
        <w:rPr>
          <w:rFonts w:cs="Arial"/>
        </w:rPr>
        <w:t>the Water Quality Control Plan for Inland Surface Waters, Enclosed Bays, and Estuaries (“ISWEBE Plan”). See</w:t>
      </w:r>
      <w:r w:rsidR="00CA1A74">
        <w:rPr>
          <w:rFonts w:cs="Arial"/>
        </w:rPr>
        <w:t xml:space="preserve"> Table 2-1</w:t>
      </w:r>
      <w:r w:rsidR="0037777E" w:rsidRPr="004502A9">
        <w:rPr>
          <w:rFonts w:cs="Arial"/>
        </w:rPr>
        <w:t xml:space="preserve"> for a list of the most frequently used beneficial uses for the </w:t>
      </w:r>
      <w:r w:rsidR="00AE5E6C">
        <w:rPr>
          <w:rFonts w:cs="Arial"/>
        </w:rPr>
        <w:t xml:space="preserve">California </w:t>
      </w:r>
      <w:r w:rsidR="0037777E" w:rsidRPr="004502A9">
        <w:rPr>
          <w:rFonts w:cs="Arial"/>
        </w:rPr>
        <w:t xml:space="preserve">Integrated Report with the most commonly used definitions. Some </w:t>
      </w:r>
      <w:r w:rsidR="000E16A5">
        <w:rPr>
          <w:rFonts w:cs="Arial"/>
        </w:rPr>
        <w:t>b</w:t>
      </w:r>
      <w:r w:rsidR="0037777E" w:rsidRPr="004502A9">
        <w:rPr>
          <w:rFonts w:cs="Arial"/>
        </w:rPr>
        <w:t xml:space="preserve">asin </w:t>
      </w:r>
      <w:r w:rsidR="000E16A5">
        <w:rPr>
          <w:rFonts w:cs="Arial"/>
        </w:rPr>
        <w:t>p</w:t>
      </w:r>
      <w:r w:rsidR="0037777E" w:rsidRPr="004502A9">
        <w:rPr>
          <w:rFonts w:cs="Arial"/>
        </w:rPr>
        <w:t xml:space="preserve">lans contain variations of the definitions. </w:t>
      </w:r>
      <w:r w:rsidR="0037777E" w:rsidRPr="004502A9">
        <w:rPr>
          <w:rFonts w:cs="Arial"/>
          <w:szCs w:val="24"/>
        </w:rPr>
        <w:t>Beneficial use support was determined by comparing the data to</w:t>
      </w:r>
      <w:r w:rsidR="00920D9B">
        <w:rPr>
          <w:rFonts w:cs="Arial"/>
          <w:szCs w:val="24"/>
        </w:rPr>
        <w:t xml:space="preserve"> </w:t>
      </w:r>
      <w:r w:rsidR="00C63C80">
        <w:rPr>
          <w:rFonts w:cs="Arial"/>
          <w:szCs w:val="24"/>
        </w:rPr>
        <w:t xml:space="preserve">narrative or </w:t>
      </w:r>
      <w:r w:rsidR="00920D9B">
        <w:rPr>
          <w:rFonts w:cs="Arial"/>
          <w:szCs w:val="24"/>
        </w:rPr>
        <w:t>numeric</w:t>
      </w:r>
      <w:r w:rsidR="0037777E" w:rsidRPr="004502A9">
        <w:rPr>
          <w:rFonts w:cs="Arial"/>
          <w:szCs w:val="24"/>
        </w:rPr>
        <w:t xml:space="preserve"> </w:t>
      </w:r>
      <w:r w:rsidR="005940AF" w:rsidRPr="004502A9">
        <w:rPr>
          <w:rFonts w:cs="Arial"/>
          <w:szCs w:val="24"/>
        </w:rPr>
        <w:t>water quality objectives</w:t>
      </w:r>
      <w:r w:rsidR="00A1634F">
        <w:rPr>
          <w:rFonts w:cs="Arial"/>
          <w:szCs w:val="24"/>
        </w:rPr>
        <w:t xml:space="preserve">, </w:t>
      </w:r>
      <w:r w:rsidR="00C63C80">
        <w:rPr>
          <w:rFonts w:cs="Arial"/>
          <w:szCs w:val="24"/>
        </w:rPr>
        <w:t xml:space="preserve">numeric </w:t>
      </w:r>
      <w:r w:rsidR="00A1634F">
        <w:rPr>
          <w:rFonts w:cs="Arial"/>
          <w:szCs w:val="24"/>
        </w:rPr>
        <w:t>criteria</w:t>
      </w:r>
      <w:r w:rsidR="00362FFF">
        <w:rPr>
          <w:rFonts w:cs="Arial"/>
          <w:szCs w:val="24"/>
        </w:rPr>
        <w:t xml:space="preserve"> or</w:t>
      </w:r>
      <w:r w:rsidR="005940AF" w:rsidRPr="004502A9">
        <w:rPr>
          <w:rFonts w:cs="Arial"/>
          <w:szCs w:val="24"/>
        </w:rPr>
        <w:t xml:space="preserve"> </w:t>
      </w:r>
      <w:r w:rsidR="00C63C80">
        <w:rPr>
          <w:rFonts w:cs="Arial"/>
          <w:szCs w:val="24"/>
        </w:rPr>
        <w:t xml:space="preserve">numeric </w:t>
      </w:r>
      <w:r w:rsidR="005940AF" w:rsidRPr="004502A9">
        <w:rPr>
          <w:rFonts w:cs="Arial"/>
          <w:szCs w:val="24"/>
        </w:rPr>
        <w:t>evaluation guidelines</w:t>
      </w:r>
      <w:r w:rsidR="00AD25FB">
        <w:rPr>
          <w:rFonts w:cs="Arial"/>
          <w:szCs w:val="24"/>
        </w:rPr>
        <w:t>.</w:t>
      </w:r>
      <w:r w:rsidR="005940AF" w:rsidRPr="004502A9">
        <w:rPr>
          <w:rFonts w:cs="Arial"/>
          <w:szCs w:val="24"/>
        </w:rPr>
        <w:t xml:space="preserve"> </w:t>
      </w:r>
    </w:p>
    <w:p w14:paraId="74DEE46B" w14:textId="6CC1932B" w:rsidR="005A7415" w:rsidRPr="00F213A6" w:rsidRDefault="005A7415" w:rsidP="00F213A6">
      <w:pPr>
        <w:pStyle w:val="Caption"/>
      </w:pPr>
      <w:r w:rsidRPr="00F213A6">
        <w:t xml:space="preserve">Table </w:t>
      </w:r>
      <w:r>
        <w:fldChar w:fldCharType="begin"/>
      </w:r>
      <w:r>
        <w:instrText xml:space="preserve"> STYLEREF 1 \s </w:instrText>
      </w:r>
      <w:r>
        <w:fldChar w:fldCharType="separate"/>
      </w:r>
      <w:r w:rsidRPr="00F213A6">
        <w:t>2</w:t>
      </w:r>
      <w:r>
        <w:fldChar w:fldCharType="end"/>
      </w:r>
      <w:r w:rsidRPr="00F213A6">
        <w:noBreakHyphen/>
      </w:r>
      <w:r>
        <w:fldChar w:fldCharType="begin"/>
      </w:r>
      <w:r>
        <w:instrText xml:space="preserve"> SEQ Table \* ARABIC \s 1 </w:instrText>
      </w:r>
      <w:r>
        <w:fldChar w:fldCharType="separate"/>
      </w:r>
      <w:r w:rsidRPr="00F213A6">
        <w:t>1</w:t>
      </w:r>
      <w:r>
        <w:fldChar w:fldCharType="end"/>
      </w:r>
      <w:r w:rsidRPr="00F213A6">
        <w:t>: Summary of Beneficial Uses and Common Definitions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Summary Table of Beneficial Uses"/>
        <w:tblDescription w:val="This table describes many, but not all, of beneficial uses that can be assigned to waterbodies in the state. It shows the beneficial use code and then a definition of the beneficial use. "/>
      </w:tblPr>
      <w:tblGrid>
        <w:gridCol w:w="1975"/>
        <w:gridCol w:w="7830"/>
      </w:tblGrid>
      <w:tr w:rsidR="005A7415" w:rsidRPr="004502A9" w14:paraId="0FB2B3DB" w14:textId="77777777">
        <w:trPr>
          <w:trHeight w:val="809"/>
        </w:trPr>
        <w:tc>
          <w:tcPr>
            <w:tcW w:w="1975" w:type="dxa"/>
            <w:shd w:val="clear" w:color="auto" w:fill="D9E2F3" w:themeFill="accent1" w:themeFillTint="33"/>
            <w:vAlign w:val="center"/>
          </w:tcPr>
          <w:p w14:paraId="25EDE52B" w14:textId="77777777" w:rsidR="005A7415" w:rsidRPr="0026087F" w:rsidRDefault="005A7415">
            <w:pPr>
              <w:spacing w:before="120" w:after="120"/>
              <w:jc w:val="center"/>
              <w:rPr>
                <w:rFonts w:cs="Arial"/>
                <w:b/>
                <w:szCs w:val="24"/>
              </w:rPr>
            </w:pPr>
            <w:r w:rsidRPr="0026087F">
              <w:rPr>
                <w:rFonts w:cs="Arial"/>
                <w:b/>
                <w:szCs w:val="24"/>
              </w:rPr>
              <w:t xml:space="preserve">Beneficial Use Abbreviations </w:t>
            </w:r>
          </w:p>
        </w:tc>
        <w:tc>
          <w:tcPr>
            <w:tcW w:w="7830" w:type="dxa"/>
            <w:shd w:val="clear" w:color="auto" w:fill="D9E2F3" w:themeFill="accent1" w:themeFillTint="33"/>
            <w:vAlign w:val="center"/>
          </w:tcPr>
          <w:p w14:paraId="327D65AF" w14:textId="77777777" w:rsidR="005A7415" w:rsidRPr="0026087F" w:rsidRDefault="005A7415">
            <w:pPr>
              <w:spacing w:before="120" w:after="120"/>
              <w:jc w:val="center"/>
              <w:rPr>
                <w:rFonts w:cs="Arial"/>
                <w:b/>
                <w:szCs w:val="24"/>
              </w:rPr>
            </w:pPr>
            <w:r w:rsidRPr="0026087F">
              <w:rPr>
                <w:rFonts w:cs="Arial"/>
                <w:b/>
                <w:szCs w:val="24"/>
              </w:rPr>
              <w:t>Definition</w:t>
            </w:r>
          </w:p>
        </w:tc>
      </w:tr>
      <w:tr w:rsidR="005A7415" w:rsidRPr="004502A9" w14:paraId="509AA4DC" w14:textId="77777777">
        <w:tc>
          <w:tcPr>
            <w:tcW w:w="1975" w:type="dxa"/>
            <w:vAlign w:val="center"/>
          </w:tcPr>
          <w:p w14:paraId="55AAA4C2" w14:textId="77777777" w:rsidR="005A7415" w:rsidRPr="004502A9" w:rsidRDefault="005A7415">
            <w:pPr>
              <w:spacing w:before="120" w:after="120"/>
              <w:rPr>
                <w:rFonts w:cs="Arial"/>
                <w:szCs w:val="24"/>
              </w:rPr>
            </w:pPr>
            <w:r>
              <w:rPr>
                <w:rFonts w:cs="Arial"/>
                <w:b/>
                <w:szCs w:val="24"/>
              </w:rPr>
              <w:t>AGR</w:t>
            </w:r>
          </w:p>
        </w:tc>
        <w:tc>
          <w:tcPr>
            <w:tcW w:w="7830" w:type="dxa"/>
          </w:tcPr>
          <w:p w14:paraId="0E7F9C44" w14:textId="77777777" w:rsidR="005A7415" w:rsidRPr="004502A9" w:rsidRDefault="005A7415">
            <w:pPr>
              <w:spacing w:before="120" w:after="120"/>
              <w:rPr>
                <w:rFonts w:cs="Arial"/>
                <w:szCs w:val="24"/>
              </w:rPr>
            </w:pPr>
            <w:r w:rsidRPr="004502A9">
              <w:rPr>
                <w:rFonts w:cs="Arial"/>
                <w:b/>
                <w:szCs w:val="24"/>
              </w:rPr>
              <w:t xml:space="preserve">Agricultural supply: </w:t>
            </w:r>
            <w:r w:rsidRPr="004502A9">
              <w:rPr>
                <w:rFonts w:cs="Arial"/>
                <w:szCs w:val="24"/>
              </w:rPr>
              <w:t>Uses of water for farming, horticulture or ranching including, but not limited to, irrigation, stock watering, or support of vegetation for range grazing.</w:t>
            </w:r>
          </w:p>
        </w:tc>
      </w:tr>
      <w:tr w:rsidR="005A7415" w:rsidRPr="004502A9" w14:paraId="36067477" w14:textId="77777777">
        <w:tc>
          <w:tcPr>
            <w:tcW w:w="1975" w:type="dxa"/>
            <w:vAlign w:val="center"/>
          </w:tcPr>
          <w:p w14:paraId="57B362B0" w14:textId="77777777" w:rsidR="005A7415" w:rsidRPr="004502A9" w:rsidRDefault="005A7415">
            <w:pPr>
              <w:spacing w:before="120" w:after="120"/>
              <w:rPr>
                <w:rFonts w:cs="Arial"/>
                <w:szCs w:val="24"/>
              </w:rPr>
            </w:pPr>
            <w:r>
              <w:rPr>
                <w:rFonts w:cs="Arial"/>
                <w:b/>
                <w:szCs w:val="24"/>
              </w:rPr>
              <w:t>COLD</w:t>
            </w:r>
          </w:p>
        </w:tc>
        <w:tc>
          <w:tcPr>
            <w:tcW w:w="7830" w:type="dxa"/>
          </w:tcPr>
          <w:p w14:paraId="17DDE0D1" w14:textId="77777777" w:rsidR="005A7415" w:rsidRPr="004502A9" w:rsidRDefault="005A7415">
            <w:pPr>
              <w:spacing w:before="120" w:after="120"/>
              <w:rPr>
                <w:rFonts w:cs="Arial"/>
                <w:szCs w:val="24"/>
              </w:rPr>
            </w:pPr>
            <w:r w:rsidRPr="004502A9">
              <w:rPr>
                <w:rFonts w:cs="Arial"/>
                <w:b/>
                <w:szCs w:val="24"/>
              </w:rPr>
              <w:t>Cold Fresh</w:t>
            </w:r>
            <w:r>
              <w:rPr>
                <w:rFonts w:cs="Arial"/>
                <w:b/>
                <w:szCs w:val="24"/>
              </w:rPr>
              <w:t>w</w:t>
            </w:r>
            <w:r w:rsidRPr="004502A9">
              <w:rPr>
                <w:rFonts w:cs="Arial"/>
                <w:b/>
                <w:szCs w:val="24"/>
              </w:rPr>
              <w:t xml:space="preserve">ater Habitat: </w:t>
            </w:r>
            <w:r w:rsidRPr="004502A9">
              <w:rPr>
                <w:rFonts w:cs="Arial"/>
                <w:szCs w:val="24"/>
              </w:rPr>
              <w:t>Uses of water that support cold water ecosystems including, but not limited to, preservation or enhancement of aquatic habitats, vegetation, fish, or wildlife, including invertebrates.</w:t>
            </w:r>
          </w:p>
        </w:tc>
      </w:tr>
      <w:tr w:rsidR="005A7415" w:rsidRPr="004502A9" w14:paraId="6255A75E" w14:textId="77777777">
        <w:tc>
          <w:tcPr>
            <w:tcW w:w="1975" w:type="dxa"/>
            <w:vAlign w:val="center"/>
          </w:tcPr>
          <w:p w14:paraId="30AEB819" w14:textId="77777777" w:rsidR="005A7415" w:rsidRPr="004502A9" w:rsidRDefault="005A7415">
            <w:pPr>
              <w:spacing w:before="120" w:after="120"/>
              <w:rPr>
                <w:rStyle w:val="CommentReference"/>
                <w:rFonts w:cs="Arial"/>
                <w:szCs w:val="24"/>
              </w:rPr>
            </w:pPr>
            <w:r>
              <w:rPr>
                <w:rFonts w:cs="Arial"/>
                <w:b/>
                <w:szCs w:val="24"/>
              </w:rPr>
              <w:t>COMM</w:t>
            </w:r>
          </w:p>
        </w:tc>
        <w:tc>
          <w:tcPr>
            <w:tcW w:w="7830" w:type="dxa"/>
          </w:tcPr>
          <w:p w14:paraId="39D959C5" w14:textId="77777777" w:rsidR="005A7415" w:rsidRPr="004502A9" w:rsidRDefault="005A7415">
            <w:pPr>
              <w:spacing w:before="120" w:after="120"/>
              <w:rPr>
                <w:rFonts w:cs="Arial"/>
                <w:szCs w:val="24"/>
              </w:rPr>
            </w:pPr>
            <w:r w:rsidRPr="004502A9">
              <w:rPr>
                <w:rFonts w:cs="Arial"/>
                <w:b/>
                <w:szCs w:val="24"/>
              </w:rPr>
              <w:t>Commercial and Sport Fishing</w:t>
            </w:r>
            <w:r w:rsidRPr="004502A9">
              <w:rPr>
                <w:rFonts w:cs="Arial"/>
                <w:szCs w:val="24"/>
              </w:rPr>
              <w:t>: Uses of water for commercial or recreational collection of fish and shellfish, or other organisms including, but not limited to, uses involving organisms intended for human consumption or bait purposes.</w:t>
            </w:r>
          </w:p>
        </w:tc>
      </w:tr>
      <w:tr w:rsidR="005A7415" w:rsidRPr="004502A9" w14:paraId="0AA47E5B" w14:textId="77777777">
        <w:tc>
          <w:tcPr>
            <w:tcW w:w="1975" w:type="dxa"/>
            <w:vAlign w:val="center"/>
          </w:tcPr>
          <w:p w14:paraId="0B02A1F6" w14:textId="77777777" w:rsidR="005A7415" w:rsidRPr="004502A9" w:rsidRDefault="005A7415">
            <w:pPr>
              <w:spacing w:before="120" w:after="120"/>
              <w:rPr>
                <w:rStyle w:val="CommentReference"/>
                <w:rFonts w:cs="Arial"/>
                <w:szCs w:val="24"/>
              </w:rPr>
            </w:pPr>
            <w:r>
              <w:rPr>
                <w:rFonts w:cs="Arial"/>
                <w:b/>
                <w:szCs w:val="24"/>
              </w:rPr>
              <w:t>CUL</w:t>
            </w:r>
          </w:p>
        </w:tc>
        <w:tc>
          <w:tcPr>
            <w:tcW w:w="7830" w:type="dxa"/>
          </w:tcPr>
          <w:p w14:paraId="7F0C018D" w14:textId="77777777" w:rsidR="005A7415" w:rsidRPr="004502A9" w:rsidRDefault="005A7415">
            <w:pPr>
              <w:spacing w:before="120" w:after="120"/>
              <w:rPr>
                <w:rFonts w:cs="Arial"/>
                <w:szCs w:val="24"/>
              </w:rPr>
            </w:pPr>
            <w:r w:rsidRPr="004502A9">
              <w:rPr>
                <w:rFonts w:cs="Arial"/>
                <w:b/>
                <w:szCs w:val="24"/>
              </w:rPr>
              <w:t xml:space="preserve">Tribal Tradition and Culture: </w:t>
            </w:r>
            <w:r w:rsidRPr="004502A9">
              <w:rPr>
                <w:rFonts w:cs="Arial"/>
                <w:szCs w:val="24"/>
              </w:rPr>
              <w:t>Uses of water that support the cultural, spiritual, ceremonial, or traditional rights or lifeways of California Native American Tribes, including, but not limited to: navigation, ceremonies, or fishing, gathering, or consumption of natural aquatic resources, including fish, shellfish, vegetation, and materials.</w:t>
            </w:r>
          </w:p>
        </w:tc>
      </w:tr>
      <w:tr w:rsidR="005A7415" w:rsidRPr="004502A9" w14:paraId="37405F4F" w14:textId="77777777">
        <w:tc>
          <w:tcPr>
            <w:tcW w:w="1975" w:type="dxa"/>
            <w:vAlign w:val="center"/>
          </w:tcPr>
          <w:p w14:paraId="63900D8C" w14:textId="77777777" w:rsidR="005A7415" w:rsidRPr="004502A9" w:rsidRDefault="005A7415">
            <w:pPr>
              <w:spacing w:before="120" w:after="120"/>
              <w:rPr>
                <w:rStyle w:val="CommentReference"/>
                <w:rFonts w:cs="Arial"/>
                <w:szCs w:val="24"/>
              </w:rPr>
            </w:pPr>
            <w:r>
              <w:rPr>
                <w:rFonts w:cs="Arial"/>
                <w:b/>
                <w:szCs w:val="24"/>
              </w:rPr>
              <w:t>EST</w:t>
            </w:r>
          </w:p>
        </w:tc>
        <w:tc>
          <w:tcPr>
            <w:tcW w:w="7830" w:type="dxa"/>
          </w:tcPr>
          <w:p w14:paraId="28649F4F" w14:textId="77777777" w:rsidR="005A7415" w:rsidRPr="004502A9" w:rsidRDefault="005A7415">
            <w:pPr>
              <w:spacing w:before="120" w:after="120"/>
              <w:rPr>
                <w:rFonts w:cs="Arial"/>
                <w:szCs w:val="24"/>
              </w:rPr>
            </w:pPr>
            <w:r w:rsidRPr="004502A9">
              <w:rPr>
                <w:rFonts w:cs="Arial"/>
                <w:b/>
                <w:szCs w:val="24"/>
              </w:rPr>
              <w:t>Estuarine Habitat:</w:t>
            </w:r>
            <w:r>
              <w:rPr>
                <w:rFonts w:cs="Arial"/>
                <w:b/>
                <w:szCs w:val="24"/>
              </w:rPr>
              <w:t xml:space="preserve"> </w:t>
            </w:r>
            <w:r w:rsidRPr="004502A9">
              <w:rPr>
                <w:rFonts w:cs="Arial"/>
                <w:szCs w:val="24"/>
              </w:rPr>
              <w:t>Uses of water that support estuarine ecosystems including, but not limited to, preservation or enhancement of estuarine habitats, vegetation, fish, shellfish, or wildlife (e.g., estuarine mammals, waterfowl, shorebirds).</w:t>
            </w:r>
          </w:p>
        </w:tc>
      </w:tr>
      <w:tr w:rsidR="005A7415" w:rsidRPr="004502A9" w14:paraId="7CF4B68C" w14:textId="77777777">
        <w:trPr>
          <w:trHeight w:val="1178"/>
        </w:trPr>
        <w:tc>
          <w:tcPr>
            <w:tcW w:w="1975" w:type="dxa"/>
            <w:vAlign w:val="center"/>
          </w:tcPr>
          <w:p w14:paraId="3B9529B9" w14:textId="77777777" w:rsidR="005A7415" w:rsidRPr="004502A9" w:rsidRDefault="005A7415">
            <w:pPr>
              <w:spacing w:before="120" w:after="120"/>
              <w:rPr>
                <w:rFonts w:cs="Arial"/>
                <w:b/>
                <w:szCs w:val="24"/>
              </w:rPr>
            </w:pPr>
            <w:r>
              <w:rPr>
                <w:rFonts w:cs="Arial"/>
                <w:b/>
                <w:szCs w:val="24"/>
              </w:rPr>
              <w:t>MAR</w:t>
            </w:r>
          </w:p>
        </w:tc>
        <w:tc>
          <w:tcPr>
            <w:tcW w:w="7830" w:type="dxa"/>
          </w:tcPr>
          <w:p w14:paraId="646E77BF" w14:textId="77777777" w:rsidR="005A7415" w:rsidRPr="004502A9" w:rsidRDefault="005A7415">
            <w:pPr>
              <w:spacing w:before="120" w:after="120"/>
              <w:rPr>
                <w:rFonts w:cs="Arial"/>
                <w:szCs w:val="24"/>
              </w:rPr>
            </w:pPr>
            <w:r w:rsidRPr="004502A9">
              <w:rPr>
                <w:rFonts w:cs="Arial"/>
                <w:b/>
                <w:szCs w:val="24"/>
              </w:rPr>
              <w:t xml:space="preserve">Marine Habitat: </w:t>
            </w:r>
            <w:r w:rsidRPr="004502A9">
              <w:rPr>
                <w:rFonts w:cs="Arial"/>
                <w:szCs w:val="24"/>
              </w:rPr>
              <w:t>Uses of water that support marine ecosystems including, but not limited to, preservation or enhancement of marine habitats, vegetation such as kelp, fish, shellfish, or wildlife (e.g., marine mammals, shorebirds).</w:t>
            </w:r>
          </w:p>
        </w:tc>
      </w:tr>
      <w:tr w:rsidR="005A7415" w:rsidRPr="004502A9" w14:paraId="1DD0A6E4" w14:textId="77777777">
        <w:trPr>
          <w:trHeight w:val="1178"/>
        </w:trPr>
        <w:tc>
          <w:tcPr>
            <w:tcW w:w="1975" w:type="dxa"/>
            <w:vAlign w:val="center"/>
          </w:tcPr>
          <w:p w14:paraId="530C02BB" w14:textId="77777777" w:rsidR="005A7415" w:rsidRPr="004502A9" w:rsidRDefault="005A7415">
            <w:pPr>
              <w:spacing w:before="120" w:after="120"/>
              <w:rPr>
                <w:rStyle w:val="CommentReference"/>
                <w:rFonts w:cs="Arial"/>
                <w:szCs w:val="24"/>
              </w:rPr>
            </w:pPr>
            <w:r>
              <w:rPr>
                <w:rFonts w:cs="Arial"/>
                <w:b/>
                <w:szCs w:val="24"/>
              </w:rPr>
              <w:t>MIGR</w:t>
            </w:r>
          </w:p>
        </w:tc>
        <w:tc>
          <w:tcPr>
            <w:tcW w:w="7830" w:type="dxa"/>
          </w:tcPr>
          <w:p w14:paraId="0ED1B31A" w14:textId="77777777" w:rsidR="005A7415" w:rsidRPr="004502A9" w:rsidRDefault="005A7415">
            <w:pPr>
              <w:spacing w:before="120" w:after="120"/>
              <w:rPr>
                <w:rFonts w:cs="Arial"/>
                <w:szCs w:val="24"/>
              </w:rPr>
            </w:pPr>
            <w:r w:rsidRPr="004502A9">
              <w:rPr>
                <w:rFonts w:cs="Arial"/>
                <w:b/>
                <w:szCs w:val="24"/>
              </w:rPr>
              <w:t xml:space="preserve">Migration of Aquatic Organisms: </w:t>
            </w:r>
            <w:r w:rsidRPr="004502A9">
              <w:rPr>
                <w:rFonts w:cs="Arial"/>
                <w:szCs w:val="24"/>
              </w:rPr>
              <w:t>Uses of water that support habitats necessary for migration or other temporary activities by aquatic organisms, such as anadromous fish.</w:t>
            </w:r>
          </w:p>
        </w:tc>
      </w:tr>
      <w:tr w:rsidR="005A7415" w:rsidRPr="004502A9" w14:paraId="7A6DDE10" w14:textId="77777777">
        <w:trPr>
          <w:trHeight w:val="1178"/>
        </w:trPr>
        <w:tc>
          <w:tcPr>
            <w:tcW w:w="1975" w:type="dxa"/>
            <w:vAlign w:val="center"/>
          </w:tcPr>
          <w:p w14:paraId="689F4660" w14:textId="77777777" w:rsidR="005A7415" w:rsidRPr="004502A9" w:rsidDel="00DA2587" w:rsidRDefault="005A7415">
            <w:pPr>
              <w:spacing w:before="120" w:after="120"/>
              <w:rPr>
                <w:rFonts w:cs="Arial"/>
                <w:b/>
                <w:szCs w:val="24"/>
              </w:rPr>
            </w:pPr>
            <w:r>
              <w:rPr>
                <w:rFonts w:cs="Arial"/>
                <w:b/>
                <w:szCs w:val="24"/>
              </w:rPr>
              <w:t>MUN</w:t>
            </w:r>
          </w:p>
        </w:tc>
        <w:tc>
          <w:tcPr>
            <w:tcW w:w="7830" w:type="dxa"/>
          </w:tcPr>
          <w:p w14:paraId="415BD101" w14:textId="77777777" w:rsidR="005A7415" w:rsidRPr="004502A9" w:rsidRDefault="005A7415">
            <w:pPr>
              <w:spacing w:before="120" w:after="120"/>
              <w:rPr>
                <w:rFonts w:cs="Arial"/>
                <w:b/>
                <w:szCs w:val="24"/>
              </w:rPr>
            </w:pPr>
            <w:r w:rsidRPr="004502A9">
              <w:rPr>
                <w:rFonts w:cs="Arial"/>
                <w:b/>
                <w:szCs w:val="24"/>
              </w:rPr>
              <w:t>Municipal and Domestic Supply</w:t>
            </w:r>
            <w:r w:rsidRPr="004502A9">
              <w:rPr>
                <w:rFonts w:cs="Arial"/>
                <w:szCs w:val="24"/>
              </w:rPr>
              <w:t>: Uses of water for community, military, or individual water supply systems including, but not limited to, drinking water supply.</w:t>
            </w:r>
          </w:p>
        </w:tc>
      </w:tr>
      <w:tr w:rsidR="005A7415" w:rsidRPr="004502A9" w14:paraId="734834A7" w14:textId="77777777">
        <w:trPr>
          <w:trHeight w:val="1277"/>
        </w:trPr>
        <w:tc>
          <w:tcPr>
            <w:tcW w:w="1975" w:type="dxa"/>
            <w:vAlign w:val="center"/>
          </w:tcPr>
          <w:p w14:paraId="63ED0FAF" w14:textId="77777777" w:rsidR="005A7415" w:rsidRPr="004502A9" w:rsidRDefault="005A7415">
            <w:pPr>
              <w:spacing w:before="120" w:after="120"/>
              <w:rPr>
                <w:rStyle w:val="CommentReference"/>
                <w:rFonts w:cs="Arial"/>
                <w:szCs w:val="24"/>
              </w:rPr>
            </w:pPr>
            <w:r>
              <w:rPr>
                <w:rFonts w:cs="Arial"/>
                <w:b/>
                <w:szCs w:val="24"/>
              </w:rPr>
              <w:t>RARE</w:t>
            </w:r>
          </w:p>
        </w:tc>
        <w:tc>
          <w:tcPr>
            <w:tcW w:w="7830" w:type="dxa"/>
          </w:tcPr>
          <w:p w14:paraId="187FA0CA" w14:textId="77777777" w:rsidR="005A7415" w:rsidRPr="004502A9" w:rsidRDefault="005A7415">
            <w:pPr>
              <w:spacing w:before="120" w:after="120"/>
              <w:rPr>
                <w:rFonts w:cs="Arial"/>
                <w:b/>
                <w:szCs w:val="24"/>
              </w:rPr>
            </w:pPr>
            <w:r w:rsidRPr="004502A9">
              <w:rPr>
                <w:rFonts w:cs="Arial"/>
                <w:b/>
                <w:szCs w:val="24"/>
              </w:rPr>
              <w:t xml:space="preserve">Rare, Threatened, or Endangered Species: </w:t>
            </w:r>
            <w:r w:rsidRPr="004502A9">
              <w:rPr>
                <w:rFonts w:cs="Arial"/>
                <w:szCs w:val="24"/>
              </w:rPr>
              <w:t>Uses of water that support habitats necessary, at least in part, for the survival and successful maintenance of plant or animal species established under state or federal law as rare, threatened or endangered.</w:t>
            </w:r>
          </w:p>
        </w:tc>
      </w:tr>
      <w:tr w:rsidR="005A7415" w:rsidRPr="004502A9" w14:paraId="7EF0B2FE" w14:textId="77777777">
        <w:tc>
          <w:tcPr>
            <w:tcW w:w="1975" w:type="dxa"/>
            <w:vAlign w:val="center"/>
          </w:tcPr>
          <w:p w14:paraId="3418F19D" w14:textId="77777777" w:rsidR="005A7415" w:rsidRPr="004502A9" w:rsidRDefault="005A7415">
            <w:pPr>
              <w:spacing w:before="120" w:after="120"/>
              <w:rPr>
                <w:rFonts w:cs="Arial"/>
                <w:b/>
                <w:szCs w:val="24"/>
              </w:rPr>
            </w:pPr>
            <w:r>
              <w:rPr>
                <w:rFonts w:cs="Arial"/>
                <w:b/>
                <w:szCs w:val="24"/>
              </w:rPr>
              <w:t>REC-1</w:t>
            </w:r>
          </w:p>
        </w:tc>
        <w:tc>
          <w:tcPr>
            <w:tcW w:w="7830" w:type="dxa"/>
          </w:tcPr>
          <w:p w14:paraId="3BF9F31F" w14:textId="77777777" w:rsidR="005A7415" w:rsidRPr="004502A9" w:rsidRDefault="005A7415">
            <w:pPr>
              <w:spacing w:before="120" w:after="120"/>
              <w:rPr>
                <w:rFonts w:cs="Arial"/>
                <w:szCs w:val="24"/>
              </w:rPr>
            </w:pPr>
            <w:r w:rsidRPr="004502A9">
              <w:rPr>
                <w:rFonts w:cs="Arial"/>
                <w:b/>
                <w:szCs w:val="24"/>
              </w:rPr>
              <w:t xml:space="preserve">Water Contact Recreation: </w:t>
            </w:r>
            <w:r w:rsidRPr="004502A9">
              <w:rPr>
                <w:rFonts w:cs="Arial"/>
                <w:szCs w:val="24"/>
              </w:rPr>
              <w:t>Uses of water for recreational activities involving body contact with water, where ingestion of water is reasonably possible. These uses include, but are not limited to, swimming, wading, water-skiing, skin and scuba diving, surfing, white water activities, fishing, or use of natural hot springs.</w:t>
            </w:r>
          </w:p>
        </w:tc>
      </w:tr>
      <w:tr w:rsidR="005A7415" w:rsidRPr="004502A9" w14:paraId="2212665A" w14:textId="77777777">
        <w:tc>
          <w:tcPr>
            <w:tcW w:w="1975" w:type="dxa"/>
            <w:vAlign w:val="center"/>
          </w:tcPr>
          <w:p w14:paraId="730FA618" w14:textId="77777777" w:rsidR="005A7415" w:rsidRPr="004502A9" w:rsidRDefault="005A7415">
            <w:pPr>
              <w:spacing w:before="120" w:after="120"/>
              <w:rPr>
                <w:rFonts w:cs="Arial"/>
                <w:b/>
                <w:szCs w:val="24"/>
              </w:rPr>
            </w:pPr>
            <w:r>
              <w:rPr>
                <w:rFonts w:cs="Arial"/>
                <w:b/>
                <w:szCs w:val="24"/>
              </w:rPr>
              <w:t>REC-2</w:t>
            </w:r>
          </w:p>
        </w:tc>
        <w:tc>
          <w:tcPr>
            <w:tcW w:w="7830" w:type="dxa"/>
          </w:tcPr>
          <w:p w14:paraId="3A63CF3F" w14:textId="77777777" w:rsidR="005A7415" w:rsidRPr="004502A9" w:rsidRDefault="005A7415">
            <w:pPr>
              <w:spacing w:before="120" w:after="120"/>
              <w:rPr>
                <w:rFonts w:cs="Arial"/>
                <w:szCs w:val="24"/>
              </w:rPr>
            </w:pPr>
            <w:r w:rsidRPr="004502A9">
              <w:rPr>
                <w:rFonts w:cs="Arial"/>
                <w:b/>
                <w:szCs w:val="24"/>
              </w:rPr>
              <w:t>Non-Contact Water Recreation</w:t>
            </w:r>
            <w:r w:rsidRPr="004502A9">
              <w:rPr>
                <w:rFonts w:cs="Arial"/>
                <w:szCs w:val="24"/>
              </w:rPr>
              <w:t>: Uses of water for recreational activities involving proximity to water, but not normally involving body contact with water, where ingestion of water is reasonably possible. These uses include, but are not limited to, picnicking, sunbathing, hiking, beachcombing, camping, boating, tidepool and marine life study, hunting, sightseeing, or aesthetic enjoyment in conjunction with the above activities</w:t>
            </w:r>
          </w:p>
        </w:tc>
      </w:tr>
      <w:tr w:rsidR="005A7415" w:rsidRPr="004502A9" w14:paraId="460F40F8" w14:textId="77777777">
        <w:tc>
          <w:tcPr>
            <w:tcW w:w="1975" w:type="dxa"/>
            <w:vAlign w:val="center"/>
          </w:tcPr>
          <w:p w14:paraId="36ED4298" w14:textId="77777777" w:rsidR="005A7415" w:rsidRPr="004502A9" w:rsidRDefault="005A7415">
            <w:pPr>
              <w:spacing w:before="120" w:after="120"/>
              <w:rPr>
                <w:rFonts w:cs="Arial"/>
                <w:b/>
                <w:szCs w:val="24"/>
              </w:rPr>
            </w:pPr>
            <w:r>
              <w:rPr>
                <w:rFonts w:cs="Arial"/>
                <w:b/>
                <w:szCs w:val="24"/>
              </w:rPr>
              <w:t>SHELL</w:t>
            </w:r>
          </w:p>
        </w:tc>
        <w:tc>
          <w:tcPr>
            <w:tcW w:w="7830" w:type="dxa"/>
          </w:tcPr>
          <w:p w14:paraId="47208807" w14:textId="77777777" w:rsidR="005A7415" w:rsidRPr="004502A9" w:rsidRDefault="005A7415">
            <w:pPr>
              <w:spacing w:before="120" w:after="120"/>
              <w:rPr>
                <w:rFonts w:cs="Arial"/>
                <w:szCs w:val="24"/>
              </w:rPr>
            </w:pPr>
            <w:r w:rsidRPr="004502A9">
              <w:rPr>
                <w:rFonts w:cs="Arial"/>
                <w:b/>
                <w:szCs w:val="24"/>
              </w:rPr>
              <w:t xml:space="preserve">Shellfish Harvesting: </w:t>
            </w:r>
            <w:r w:rsidRPr="004502A9">
              <w:rPr>
                <w:rFonts w:cs="Arial"/>
                <w:szCs w:val="24"/>
              </w:rPr>
              <w:t>Uses of water that support habitats suitable for the collection of filter-feeding shellfish (e.g., clams, oysters, abalone, and mussels) for human consumption, commercial or sport purposes.</w:t>
            </w:r>
          </w:p>
        </w:tc>
      </w:tr>
      <w:tr w:rsidR="005A7415" w:rsidRPr="004502A9" w14:paraId="0E203F39" w14:textId="77777777">
        <w:tc>
          <w:tcPr>
            <w:tcW w:w="1975" w:type="dxa"/>
            <w:vAlign w:val="center"/>
          </w:tcPr>
          <w:p w14:paraId="523C4E6C" w14:textId="77777777" w:rsidR="005A7415" w:rsidRPr="004502A9" w:rsidRDefault="005A7415">
            <w:pPr>
              <w:spacing w:before="120" w:after="120"/>
              <w:rPr>
                <w:rFonts w:cs="Arial"/>
                <w:b/>
                <w:szCs w:val="24"/>
              </w:rPr>
            </w:pPr>
            <w:r>
              <w:rPr>
                <w:rFonts w:cs="Arial"/>
                <w:b/>
                <w:szCs w:val="24"/>
              </w:rPr>
              <w:t>SUB</w:t>
            </w:r>
          </w:p>
        </w:tc>
        <w:tc>
          <w:tcPr>
            <w:tcW w:w="7830" w:type="dxa"/>
          </w:tcPr>
          <w:p w14:paraId="6E996763" w14:textId="77777777" w:rsidR="005A7415" w:rsidRPr="004502A9" w:rsidRDefault="005A7415">
            <w:pPr>
              <w:spacing w:before="120" w:after="120"/>
              <w:rPr>
                <w:rFonts w:cs="Arial"/>
                <w:szCs w:val="24"/>
              </w:rPr>
            </w:pPr>
            <w:r w:rsidRPr="004502A9">
              <w:rPr>
                <w:rFonts w:cs="Arial"/>
                <w:b/>
                <w:bCs/>
              </w:rPr>
              <w:t xml:space="preserve">Subsistence Fishing: </w:t>
            </w:r>
            <w:r w:rsidRPr="004502A9">
              <w:rPr>
                <w:rFonts w:cs="Arial"/>
              </w:rPr>
              <w:t xml:space="preserve">Uses of water involving the non-commercial catching or gathering of natural aquatic resources, including fish and shellfish, for consumption by individuals, households, or communities, to meet needs for sustenance. </w:t>
            </w:r>
          </w:p>
        </w:tc>
      </w:tr>
      <w:tr w:rsidR="005A7415" w:rsidRPr="004502A9" w14:paraId="22AF5E10" w14:textId="77777777">
        <w:tc>
          <w:tcPr>
            <w:tcW w:w="1975" w:type="dxa"/>
            <w:vAlign w:val="center"/>
          </w:tcPr>
          <w:p w14:paraId="062623BC" w14:textId="77777777" w:rsidR="005A7415" w:rsidRPr="004502A9" w:rsidRDefault="005A7415">
            <w:pPr>
              <w:spacing w:before="120" w:after="120"/>
              <w:rPr>
                <w:rFonts w:cs="Arial"/>
                <w:b/>
                <w:szCs w:val="24"/>
              </w:rPr>
            </w:pPr>
            <w:r>
              <w:rPr>
                <w:rFonts w:cs="Arial"/>
                <w:b/>
                <w:szCs w:val="24"/>
              </w:rPr>
              <w:t>T-SUB</w:t>
            </w:r>
          </w:p>
        </w:tc>
        <w:tc>
          <w:tcPr>
            <w:tcW w:w="7830" w:type="dxa"/>
          </w:tcPr>
          <w:p w14:paraId="0035955A" w14:textId="77777777" w:rsidR="005A7415" w:rsidRPr="004502A9" w:rsidRDefault="005A7415">
            <w:pPr>
              <w:spacing w:before="120" w:after="120"/>
              <w:rPr>
                <w:rFonts w:cs="Arial"/>
                <w:szCs w:val="24"/>
              </w:rPr>
            </w:pPr>
            <w:r w:rsidRPr="004502A9">
              <w:rPr>
                <w:rFonts w:cs="Arial"/>
                <w:b/>
                <w:szCs w:val="24"/>
              </w:rPr>
              <w:t xml:space="preserve">Tribal Subsistence Fishing: </w:t>
            </w:r>
            <w:r w:rsidRPr="004502A9">
              <w:rPr>
                <w:rFonts w:cs="Arial"/>
                <w:szCs w:val="24"/>
              </w:rPr>
              <w:t xml:space="preserve">Uses of water involving the non-commercial catching or gathering of natural aquatic resources, including fish and shellfish, for consumption by individuals, households, or communities of California Native American Tribes to meet needs for sustenance. </w:t>
            </w:r>
          </w:p>
        </w:tc>
      </w:tr>
      <w:tr w:rsidR="005A7415" w:rsidRPr="004502A9" w14:paraId="2BB5FB82" w14:textId="77777777">
        <w:tc>
          <w:tcPr>
            <w:tcW w:w="1975" w:type="dxa"/>
            <w:vAlign w:val="center"/>
          </w:tcPr>
          <w:p w14:paraId="3CB8406A" w14:textId="77777777" w:rsidR="005A7415" w:rsidRPr="004502A9" w:rsidRDefault="005A7415">
            <w:pPr>
              <w:spacing w:before="120" w:after="120"/>
              <w:rPr>
                <w:rFonts w:cs="Arial"/>
                <w:b/>
                <w:szCs w:val="24"/>
              </w:rPr>
            </w:pPr>
            <w:r>
              <w:rPr>
                <w:rFonts w:cs="Arial"/>
                <w:b/>
                <w:szCs w:val="24"/>
              </w:rPr>
              <w:t>WARM</w:t>
            </w:r>
          </w:p>
        </w:tc>
        <w:tc>
          <w:tcPr>
            <w:tcW w:w="7830" w:type="dxa"/>
          </w:tcPr>
          <w:p w14:paraId="038BF801" w14:textId="77777777" w:rsidR="005A7415" w:rsidRPr="004502A9" w:rsidRDefault="005A7415">
            <w:pPr>
              <w:spacing w:before="120" w:after="120"/>
              <w:rPr>
                <w:rFonts w:cs="Arial"/>
                <w:szCs w:val="24"/>
              </w:rPr>
            </w:pPr>
            <w:r w:rsidRPr="004502A9">
              <w:rPr>
                <w:rFonts w:cs="Arial"/>
                <w:b/>
                <w:szCs w:val="24"/>
              </w:rPr>
              <w:t>Warm Fresh</w:t>
            </w:r>
            <w:r>
              <w:rPr>
                <w:rFonts w:cs="Arial"/>
                <w:b/>
                <w:szCs w:val="24"/>
              </w:rPr>
              <w:t>w</w:t>
            </w:r>
            <w:r w:rsidRPr="004502A9">
              <w:rPr>
                <w:rFonts w:cs="Arial"/>
                <w:b/>
                <w:szCs w:val="24"/>
              </w:rPr>
              <w:t xml:space="preserve">ater Habitat: </w:t>
            </w:r>
            <w:r w:rsidRPr="004502A9">
              <w:rPr>
                <w:rFonts w:cs="Arial"/>
                <w:szCs w:val="24"/>
              </w:rPr>
              <w:t>Uses of water that support warm water ecosystems including, but not limited to, preservation or enhancement of aquatic habitats, vegetation, fish, or wildlife, including invertebrates.</w:t>
            </w:r>
          </w:p>
        </w:tc>
      </w:tr>
      <w:tr w:rsidR="005A7415" w:rsidRPr="004502A9" w14:paraId="6754571B" w14:textId="77777777">
        <w:tc>
          <w:tcPr>
            <w:tcW w:w="1975" w:type="dxa"/>
            <w:vAlign w:val="center"/>
          </w:tcPr>
          <w:p w14:paraId="7F7E6617" w14:textId="77777777" w:rsidR="005A7415" w:rsidRPr="004502A9" w:rsidRDefault="005A7415">
            <w:pPr>
              <w:spacing w:before="120" w:after="120"/>
              <w:rPr>
                <w:rFonts w:cs="Arial"/>
                <w:b/>
                <w:szCs w:val="24"/>
              </w:rPr>
            </w:pPr>
            <w:r>
              <w:rPr>
                <w:rFonts w:cs="Arial"/>
                <w:b/>
                <w:szCs w:val="24"/>
              </w:rPr>
              <w:t>WILD</w:t>
            </w:r>
          </w:p>
        </w:tc>
        <w:tc>
          <w:tcPr>
            <w:tcW w:w="7830" w:type="dxa"/>
          </w:tcPr>
          <w:p w14:paraId="2F1F8594" w14:textId="77777777" w:rsidR="005A7415" w:rsidRPr="004502A9" w:rsidRDefault="005A7415">
            <w:pPr>
              <w:spacing w:before="120" w:after="120"/>
              <w:rPr>
                <w:rFonts w:cs="Arial"/>
                <w:szCs w:val="24"/>
              </w:rPr>
            </w:pPr>
            <w:r w:rsidRPr="004502A9">
              <w:rPr>
                <w:rFonts w:cs="Arial"/>
                <w:b/>
                <w:szCs w:val="24"/>
              </w:rPr>
              <w:t xml:space="preserve">Wildlife Habitat: </w:t>
            </w:r>
            <w:r w:rsidRPr="004502A9">
              <w:rPr>
                <w:rFonts w:cs="Arial"/>
                <w:szCs w:val="24"/>
              </w:rPr>
              <w:t>Uses of water that support terrestrial ecosystems including, but not limited to, preservation or enhancement of terrestrial habitats, vegetation, wildlife (e.g., mammals, birds, reptiles, amphibians, invertebrates), or wildlife water and food sources.</w:t>
            </w:r>
          </w:p>
        </w:tc>
      </w:tr>
    </w:tbl>
    <w:p w14:paraId="7EDE6FE1" w14:textId="234B0BD0" w:rsidR="0037777E" w:rsidRPr="004502A9" w:rsidRDefault="0037777E" w:rsidP="005A7415">
      <w:pPr>
        <w:spacing w:before="240"/>
        <w:rPr>
          <w:rFonts w:cs="Arial"/>
        </w:rPr>
      </w:pPr>
      <w:r w:rsidRPr="004502A9">
        <w:rPr>
          <w:rFonts w:cs="Arial"/>
        </w:rPr>
        <w:t>When available, numeric water quality objectives</w:t>
      </w:r>
      <w:r w:rsidR="00DC5725">
        <w:rPr>
          <w:rFonts w:cs="Arial"/>
        </w:rPr>
        <w:t xml:space="preserve"> or</w:t>
      </w:r>
      <w:r w:rsidRPr="004502A9">
        <w:rPr>
          <w:rFonts w:cs="Arial"/>
        </w:rPr>
        <w:t xml:space="preserve"> </w:t>
      </w:r>
      <w:r w:rsidR="004363C1">
        <w:rPr>
          <w:rFonts w:cs="Arial"/>
        </w:rPr>
        <w:t xml:space="preserve">criteria </w:t>
      </w:r>
      <w:r w:rsidRPr="004502A9">
        <w:rPr>
          <w:rFonts w:cs="Arial"/>
        </w:rPr>
        <w:t xml:space="preserve">were used to evaluate beneficial use attainment. Numeric water quality objectives are established in </w:t>
      </w:r>
      <w:r w:rsidR="00337D4F">
        <w:rPr>
          <w:rFonts w:cs="Arial"/>
        </w:rPr>
        <w:t>b</w:t>
      </w:r>
      <w:r w:rsidRPr="004502A9">
        <w:rPr>
          <w:rFonts w:cs="Arial"/>
        </w:rPr>
        <w:t xml:space="preserve">asin </w:t>
      </w:r>
      <w:r w:rsidR="00337D4F">
        <w:rPr>
          <w:rFonts w:cs="Arial"/>
        </w:rPr>
        <w:t>p</w:t>
      </w:r>
      <w:r w:rsidRPr="004502A9">
        <w:rPr>
          <w:rFonts w:cs="Arial"/>
        </w:rPr>
        <w:t>lans or in statewide water quality control plans, including the ISWEBE Plan and the Ocean Plan.</w:t>
      </w:r>
      <w:r w:rsidR="00B954D9">
        <w:rPr>
          <w:rFonts w:cs="Arial"/>
        </w:rPr>
        <w:t xml:space="preserve"> </w:t>
      </w:r>
      <w:r w:rsidR="004800AF">
        <w:rPr>
          <w:rFonts w:cs="Arial"/>
        </w:rPr>
        <w:t xml:space="preserve">Numeric </w:t>
      </w:r>
      <w:r w:rsidR="00843840">
        <w:rPr>
          <w:rFonts w:cs="Arial"/>
        </w:rPr>
        <w:t>water quality</w:t>
      </w:r>
      <w:r w:rsidRPr="004502A9">
        <w:rPr>
          <w:rFonts w:cs="Arial"/>
        </w:rPr>
        <w:t xml:space="preserve"> </w:t>
      </w:r>
      <w:r w:rsidR="00843840">
        <w:rPr>
          <w:rFonts w:cs="Arial"/>
        </w:rPr>
        <w:t>o</w:t>
      </w:r>
      <w:r w:rsidRPr="004502A9">
        <w:rPr>
          <w:rFonts w:cs="Arial"/>
        </w:rPr>
        <w:t>bjectives may apply statewide, apply across an entire region, or be site-specific to a watershed or waterbody reach. Additionally, numeric water quality objectives and criteria include:</w:t>
      </w:r>
    </w:p>
    <w:p w14:paraId="36770BEA" w14:textId="4014A33E" w:rsidR="0037777E" w:rsidRPr="00863F37" w:rsidRDefault="0037777E" w:rsidP="00A67AFD">
      <w:pPr>
        <w:pStyle w:val="ListParagraph"/>
        <w:numPr>
          <w:ilvl w:val="0"/>
          <w:numId w:val="4"/>
        </w:numPr>
        <w:ind w:left="360"/>
        <w:rPr>
          <w:rFonts w:asciiTheme="minorHAnsi" w:eastAsiaTheme="minorEastAsia" w:hAnsiTheme="minorHAnsi" w:cstheme="minorBidi"/>
          <w:szCs w:val="24"/>
        </w:rPr>
      </w:pPr>
      <w:r w:rsidRPr="4BAC61BD">
        <w:rPr>
          <w:rFonts w:cs="Arial"/>
        </w:rPr>
        <w:t>Numeric criteria for priority toxic pollutants contained in the California Toxics Rule or “CTR</w:t>
      </w:r>
      <w:r>
        <w:rPr>
          <w:rFonts w:cs="Arial"/>
        </w:rPr>
        <w:t>.</w:t>
      </w:r>
      <w:r w:rsidRPr="4BAC61BD">
        <w:rPr>
          <w:rFonts w:cs="Arial"/>
        </w:rPr>
        <w:t>” (40 C.F.R. § 131.38</w:t>
      </w:r>
      <w:r w:rsidR="0014709B">
        <w:rPr>
          <w:rFonts w:cs="Arial"/>
        </w:rPr>
        <w:t>.</w:t>
      </w:r>
      <w:r w:rsidRPr="4BAC61BD">
        <w:rPr>
          <w:rFonts w:cs="Arial"/>
        </w:rPr>
        <w:t xml:space="preserve">) </w:t>
      </w:r>
      <w:r w:rsidR="0014709B">
        <w:rPr>
          <w:rFonts w:cs="Arial"/>
        </w:rPr>
        <w:t>A</w:t>
      </w:r>
      <w:r w:rsidR="0014709B" w:rsidRPr="405AFBFB">
        <w:rPr>
          <w:rFonts w:cs="Arial"/>
        </w:rPr>
        <w:t xml:space="preserve">quatic life numeric water quality </w:t>
      </w:r>
      <w:r w:rsidR="0014709B">
        <w:rPr>
          <w:rFonts w:cs="Arial"/>
        </w:rPr>
        <w:t>objectives</w:t>
      </w:r>
      <w:r w:rsidR="0014709B" w:rsidRPr="405AFBFB">
        <w:rPr>
          <w:rFonts w:cs="Arial"/>
        </w:rPr>
        <w:t xml:space="preserve"> for 24 priority toxic pollutants and human health numeric </w:t>
      </w:r>
      <w:r w:rsidR="0014709B">
        <w:rPr>
          <w:rFonts w:cs="Arial"/>
        </w:rPr>
        <w:t>objectives</w:t>
      </w:r>
      <w:r w:rsidR="0014709B" w:rsidRPr="405AFBFB">
        <w:rPr>
          <w:rFonts w:cs="Arial"/>
        </w:rPr>
        <w:t xml:space="preserve"> for 92 priority toxic pollutants</w:t>
      </w:r>
      <w:r w:rsidR="0014709B">
        <w:rPr>
          <w:rFonts w:cs="Arial"/>
        </w:rPr>
        <w:t xml:space="preserve"> are included in the CTR (</w:t>
      </w:r>
      <w:r w:rsidR="0014709B" w:rsidRPr="405AFBFB">
        <w:rPr>
          <w:rFonts w:cs="Arial"/>
        </w:rPr>
        <w:t xml:space="preserve">40 CFR </w:t>
      </w:r>
      <w:r w:rsidR="0014709B">
        <w:rPr>
          <w:rFonts w:cs="Arial"/>
        </w:rPr>
        <w:t xml:space="preserve">§§ </w:t>
      </w:r>
      <w:r w:rsidR="0014709B" w:rsidRPr="405AFBFB">
        <w:rPr>
          <w:rFonts w:cs="Arial"/>
        </w:rPr>
        <w:t>131.38(a), (c)(1), and (d)(1).)</w:t>
      </w:r>
      <w:r w:rsidR="0014709B">
        <w:rPr>
          <w:rFonts w:cs="Arial"/>
        </w:rPr>
        <w:t xml:space="preserve"> The CTR was promulgated by the USEPA, exercising authority under CWA section 303(c)(4)(B),</w:t>
      </w:r>
      <w:r w:rsidR="0014709B" w:rsidRPr="405AFBFB">
        <w:rPr>
          <w:rFonts w:cs="Arial"/>
        </w:rPr>
        <w:t xml:space="preserve"> </w:t>
      </w:r>
      <w:r w:rsidR="0014709B">
        <w:rPr>
          <w:rFonts w:cs="Arial"/>
        </w:rPr>
        <w:t>to adopt new or revised water quality standards for California to meet CWA requirements after statewide water quality objectives for many toxic pollutants were invalidated by a 1994 court decision.</w:t>
      </w:r>
    </w:p>
    <w:p w14:paraId="1010EF8B" w14:textId="383B4AAE" w:rsidR="0037777E" w:rsidRPr="004502A9" w:rsidRDefault="0037777E" w:rsidP="00A67AFD">
      <w:pPr>
        <w:pStyle w:val="ListParagraph"/>
        <w:numPr>
          <w:ilvl w:val="0"/>
          <w:numId w:val="4"/>
        </w:numPr>
        <w:ind w:left="360"/>
        <w:rPr>
          <w:rFonts w:cs="Arial"/>
        </w:rPr>
      </w:pPr>
      <w:r w:rsidRPr="004502A9">
        <w:rPr>
          <w:rFonts w:cs="Arial"/>
        </w:rPr>
        <w:t xml:space="preserve">Maximum Contaminant Levels </w:t>
      </w:r>
      <w:r w:rsidR="00F803FF">
        <w:rPr>
          <w:rFonts w:cs="Arial"/>
        </w:rPr>
        <w:t>or “MCL</w:t>
      </w:r>
      <w:r w:rsidR="00175429">
        <w:rPr>
          <w:rFonts w:cs="Arial"/>
        </w:rPr>
        <w:t>(s)</w:t>
      </w:r>
      <w:r w:rsidR="00D60011">
        <w:rPr>
          <w:rFonts w:cs="Arial"/>
        </w:rPr>
        <w:t>,</w:t>
      </w:r>
      <w:r w:rsidR="00F803FF">
        <w:rPr>
          <w:rFonts w:cs="Arial"/>
        </w:rPr>
        <w:t>”</w:t>
      </w:r>
      <w:r w:rsidRPr="004502A9">
        <w:rPr>
          <w:rFonts w:cs="Arial"/>
        </w:rPr>
        <w:t xml:space="preserve"> to the extent applicable. </w:t>
      </w:r>
      <w:r w:rsidR="00781320" w:rsidRPr="00781320">
        <w:rPr>
          <w:rFonts w:cs="Arial"/>
        </w:rPr>
        <w:t>M</w:t>
      </w:r>
      <w:r w:rsidR="00781320">
        <w:rPr>
          <w:rFonts w:cs="Arial"/>
        </w:rPr>
        <w:t>CLs</w:t>
      </w:r>
      <w:r w:rsidR="00781320" w:rsidRPr="00781320">
        <w:rPr>
          <w:rFonts w:cs="Arial"/>
        </w:rPr>
        <w:t xml:space="preserve"> were applied differently depending on how they are incorporated in Regional Water Board Basin Plans. </w:t>
      </w:r>
      <w:r w:rsidRPr="004502A9">
        <w:rPr>
          <w:rFonts w:cs="Arial"/>
        </w:rPr>
        <w:t xml:space="preserve">Examples include: </w:t>
      </w:r>
    </w:p>
    <w:p w14:paraId="74C271AC" w14:textId="694B36AD" w:rsidR="0037777E" w:rsidRPr="004502A9" w:rsidRDefault="0037777E" w:rsidP="00A67AFD">
      <w:pPr>
        <w:pStyle w:val="ListParagraph"/>
        <w:numPr>
          <w:ilvl w:val="1"/>
          <w:numId w:val="4"/>
        </w:numPr>
        <w:ind w:left="720"/>
        <w:rPr>
          <w:rFonts w:cs="Arial"/>
          <w:szCs w:val="24"/>
        </w:rPr>
      </w:pPr>
      <w:r w:rsidRPr="004502A9">
        <w:rPr>
          <w:rFonts w:cs="Arial"/>
          <w:szCs w:val="24"/>
        </w:rPr>
        <w:t xml:space="preserve">Table 64431-A (Inorganic Chemicals) and 64431-B (Fluoride) of the California Code of Regulations, title 22, </w:t>
      </w:r>
      <w:r w:rsidR="00BF17AD">
        <w:rPr>
          <w:rFonts w:cs="Arial"/>
          <w:szCs w:val="24"/>
        </w:rPr>
        <w:t>s</w:t>
      </w:r>
      <w:r w:rsidRPr="004502A9">
        <w:rPr>
          <w:rFonts w:cs="Arial"/>
          <w:szCs w:val="24"/>
        </w:rPr>
        <w:t xml:space="preserve">ection 64431 </w:t>
      </w:r>
    </w:p>
    <w:p w14:paraId="628FCCF1" w14:textId="2A91FC71" w:rsidR="0037777E" w:rsidRPr="004502A9" w:rsidRDefault="0037777E" w:rsidP="00A67AFD">
      <w:pPr>
        <w:pStyle w:val="ListParagraph"/>
        <w:numPr>
          <w:ilvl w:val="1"/>
          <w:numId w:val="4"/>
        </w:numPr>
        <w:ind w:left="720"/>
        <w:rPr>
          <w:rFonts w:cs="Arial"/>
          <w:szCs w:val="24"/>
        </w:rPr>
      </w:pPr>
      <w:r w:rsidRPr="004502A9">
        <w:rPr>
          <w:rFonts w:cs="Arial"/>
          <w:szCs w:val="24"/>
        </w:rPr>
        <w:t xml:space="preserve">Table 64444-A (Organic Chemicals) of the California Code of Regulations, title 22, </w:t>
      </w:r>
      <w:r w:rsidR="00BF17AD">
        <w:rPr>
          <w:rFonts w:cs="Arial"/>
          <w:szCs w:val="24"/>
        </w:rPr>
        <w:t>s</w:t>
      </w:r>
      <w:r w:rsidRPr="004502A9">
        <w:rPr>
          <w:rFonts w:cs="Arial"/>
          <w:szCs w:val="24"/>
        </w:rPr>
        <w:t xml:space="preserve">ection 64444  </w:t>
      </w:r>
    </w:p>
    <w:p w14:paraId="41B62453" w14:textId="256DC977" w:rsidR="0037777E" w:rsidRPr="004502A9" w:rsidRDefault="0037777E" w:rsidP="00A67AFD">
      <w:pPr>
        <w:pStyle w:val="ListParagraph"/>
        <w:numPr>
          <w:ilvl w:val="1"/>
          <w:numId w:val="4"/>
        </w:numPr>
        <w:ind w:left="720"/>
        <w:rPr>
          <w:rFonts w:cs="Arial"/>
          <w:szCs w:val="24"/>
        </w:rPr>
      </w:pPr>
      <w:r w:rsidRPr="004502A9">
        <w:rPr>
          <w:rFonts w:cs="Arial"/>
          <w:szCs w:val="24"/>
        </w:rPr>
        <w:t xml:space="preserve">Tables 64449-A (Secondary Maximum Contaminant Levels-Consumer Acceptance Limits) and 64449-B (Secondary Maximum Contaminant Levels-Ranges) of the California Code of Regulations, title 22, </w:t>
      </w:r>
      <w:r w:rsidR="00BF17AD">
        <w:rPr>
          <w:rFonts w:cs="Arial"/>
          <w:szCs w:val="24"/>
        </w:rPr>
        <w:t>s</w:t>
      </w:r>
      <w:r w:rsidRPr="004502A9">
        <w:rPr>
          <w:rFonts w:cs="Arial"/>
          <w:szCs w:val="24"/>
        </w:rPr>
        <w:t xml:space="preserve">ection 64449 </w:t>
      </w:r>
    </w:p>
    <w:p w14:paraId="050EEC61" w14:textId="272EB6D1" w:rsidR="00253E3C" w:rsidRDefault="00253E3C" w:rsidP="0037777E">
      <w:pPr>
        <w:rPr>
          <w:rFonts w:cs="Arial"/>
          <w:szCs w:val="24"/>
        </w:rPr>
      </w:pPr>
      <w:r>
        <w:rPr>
          <w:rFonts w:cs="Arial"/>
        </w:rPr>
        <w:t>I</w:t>
      </w:r>
      <w:r w:rsidRPr="4A2E51C7">
        <w:rPr>
          <w:rFonts w:cs="Arial"/>
        </w:rPr>
        <w:t>n the absence of a numeric water quality objective or criteri</w:t>
      </w:r>
      <w:r w:rsidR="00B63F09">
        <w:rPr>
          <w:rFonts w:cs="Arial"/>
        </w:rPr>
        <w:t>on</w:t>
      </w:r>
      <w:r w:rsidRPr="4A2E51C7">
        <w:rPr>
          <w:rFonts w:cs="Arial"/>
        </w:rPr>
        <w:t xml:space="preserve">, narrative water quality objectives were evaluated using numeric evaluation guidelines selected in </w:t>
      </w:r>
      <w:r>
        <w:rPr>
          <w:rFonts w:cs="Arial"/>
        </w:rPr>
        <w:t>conformance</w:t>
      </w:r>
      <w:r w:rsidRPr="4A2E51C7">
        <w:rPr>
          <w:rFonts w:cs="Arial"/>
        </w:rPr>
        <w:t xml:space="preserve"> with </w:t>
      </w:r>
      <w:r>
        <w:rPr>
          <w:rFonts w:cs="Arial"/>
        </w:rPr>
        <w:t>s</w:t>
      </w:r>
      <w:r w:rsidRPr="4A2E51C7">
        <w:rPr>
          <w:rFonts w:cs="Arial"/>
        </w:rPr>
        <w:t>ection 6.1.3 of the Listing Policy.</w:t>
      </w:r>
      <w:r w:rsidRPr="00463BEB">
        <w:rPr>
          <w:rFonts w:cs="Arial"/>
        </w:rPr>
        <w:t xml:space="preserve"> </w:t>
      </w:r>
      <w:r w:rsidRPr="4A2E51C7">
        <w:rPr>
          <w:rFonts w:cs="Arial"/>
        </w:rPr>
        <w:t xml:space="preserve">Section 6.1.3 of the Listing Policy describes the process to select evaluation guidelines for sediment quality, fish and shellfish consumption, aquatic life protection from bioaccumulation of toxic substances, as well as other parameters. Section 6.1.3 of the Listing Policy states, “Regional Water Boards and State Water Boards shall identify evaluation guidelines that represent standards attainment or beneficial use protection. </w:t>
      </w:r>
      <w:r>
        <w:rPr>
          <w:rFonts w:cs="Arial"/>
        </w:rPr>
        <w:t xml:space="preserve">The </w:t>
      </w:r>
      <w:r w:rsidRPr="4A2E51C7">
        <w:rPr>
          <w:rFonts w:cs="Arial"/>
        </w:rPr>
        <w:t xml:space="preserve">guidelines are not water quality objectives and shall only be used for the purpose of developing the Section 303(d) list.” </w:t>
      </w:r>
      <w:r>
        <w:rPr>
          <w:rFonts w:cs="Arial"/>
        </w:rPr>
        <w:t>A</w:t>
      </w:r>
      <w:r w:rsidRPr="4A2E51C7">
        <w:rPr>
          <w:rFonts w:cs="Arial"/>
        </w:rPr>
        <w:t xml:space="preserve">n evaluation guideline may be used if it is demonstrated that the evaluation guideline is applicable and protective of the beneficial use, </w:t>
      </w:r>
      <w:r>
        <w:rPr>
          <w:rFonts w:cs="Arial"/>
        </w:rPr>
        <w:t xml:space="preserve">is </w:t>
      </w:r>
      <w:r w:rsidRPr="4A2E51C7">
        <w:rPr>
          <w:rFonts w:cs="Arial"/>
        </w:rPr>
        <w:t xml:space="preserve">linked to the pollutant under consideration, </w:t>
      </w:r>
      <w:r>
        <w:rPr>
          <w:rFonts w:cs="Arial"/>
        </w:rPr>
        <w:t xml:space="preserve">is </w:t>
      </w:r>
      <w:r w:rsidRPr="4A2E51C7">
        <w:rPr>
          <w:rFonts w:cs="Arial"/>
        </w:rPr>
        <w:t xml:space="preserve">scientifically based, </w:t>
      </w:r>
      <w:r>
        <w:rPr>
          <w:rFonts w:cs="Arial"/>
        </w:rPr>
        <w:t xml:space="preserve">is </w:t>
      </w:r>
      <w:r w:rsidRPr="4A2E51C7">
        <w:rPr>
          <w:rFonts w:cs="Arial"/>
        </w:rPr>
        <w:t xml:space="preserve">peer reviewed, </w:t>
      </w:r>
      <w:r>
        <w:rPr>
          <w:rFonts w:cs="Arial"/>
        </w:rPr>
        <w:t xml:space="preserve">is </w:t>
      </w:r>
      <w:r w:rsidRPr="4A2E51C7">
        <w:rPr>
          <w:rFonts w:cs="Arial"/>
        </w:rPr>
        <w:t>well described, and identif</w:t>
      </w:r>
      <w:r>
        <w:rPr>
          <w:rFonts w:cs="Arial"/>
        </w:rPr>
        <w:t>ies</w:t>
      </w:r>
      <w:r w:rsidRPr="4A2E51C7">
        <w:rPr>
          <w:rFonts w:cs="Arial"/>
        </w:rPr>
        <w:t xml:space="preserve"> a range above which impacts occur and below which no or few impacts are predicted. Evaluation guidelines are provided for each LOE under the LOE field “Evaluation Guideline</w:t>
      </w:r>
      <w:r w:rsidRPr="0F971C2A">
        <w:rPr>
          <w:rFonts w:cs="Arial"/>
        </w:rPr>
        <w:t>”</w:t>
      </w:r>
      <w:r w:rsidRPr="23C07E9A">
        <w:rPr>
          <w:rFonts w:cs="Arial"/>
        </w:rPr>
        <w:t xml:space="preserve"> </w:t>
      </w:r>
      <w:r w:rsidRPr="6F4A63A1">
        <w:rPr>
          <w:rFonts w:cs="Arial"/>
        </w:rPr>
        <w:t xml:space="preserve">in </w:t>
      </w:r>
      <w:r w:rsidR="00291C40">
        <w:rPr>
          <w:rFonts w:cs="Arial"/>
        </w:rPr>
        <w:t xml:space="preserve">Appendix B: Statewide Waterbody </w:t>
      </w:r>
      <w:r w:rsidR="00A80D34">
        <w:rPr>
          <w:rFonts w:cs="Arial"/>
        </w:rPr>
        <w:t>Fact Sheets</w:t>
      </w:r>
      <w:r w:rsidRPr="6F4A63A1">
        <w:rPr>
          <w:rFonts w:cs="Arial"/>
        </w:rPr>
        <w:t>.</w:t>
      </w:r>
      <w:r w:rsidR="00B25441">
        <w:rPr>
          <w:rFonts w:cs="Arial"/>
        </w:rPr>
        <w:t xml:space="preserve"> </w:t>
      </w:r>
      <w:r w:rsidR="0084560B">
        <w:rPr>
          <w:rFonts w:cs="Arial"/>
          <w:szCs w:val="24"/>
        </w:rPr>
        <w:t>N</w:t>
      </w:r>
      <w:r w:rsidR="0033196C">
        <w:rPr>
          <w:rFonts w:cs="Arial"/>
          <w:szCs w:val="24"/>
        </w:rPr>
        <w:t>umeric water quality</w:t>
      </w:r>
      <w:r w:rsidR="00B25441" w:rsidRPr="004502A9">
        <w:rPr>
          <w:rFonts w:cs="Arial"/>
          <w:szCs w:val="24"/>
        </w:rPr>
        <w:t xml:space="preserve"> objectives, criteria and evaluation guidelines used for </w:t>
      </w:r>
      <w:r w:rsidR="00B25441">
        <w:rPr>
          <w:rFonts w:eastAsia="Arial" w:cs="Arial"/>
        </w:rPr>
        <w:t>2026</w:t>
      </w:r>
      <w:r w:rsidR="00B25441" w:rsidRPr="004502A9">
        <w:rPr>
          <w:rFonts w:eastAsia="Arial" w:cs="Arial"/>
        </w:rPr>
        <w:t xml:space="preserve"> </w:t>
      </w:r>
      <w:r w:rsidR="00B25441" w:rsidRPr="004502A9">
        <w:rPr>
          <w:rFonts w:cs="Arial"/>
          <w:szCs w:val="24"/>
        </w:rPr>
        <w:t xml:space="preserve">assessments are listed in Appendix </w:t>
      </w:r>
      <w:r w:rsidR="00252B41">
        <w:rPr>
          <w:rFonts w:cs="Arial"/>
          <w:szCs w:val="24"/>
        </w:rPr>
        <w:t>O</w:t>
      </w:r>
      <w:r w:rsidR="00B25441" w:rsidRPr="004502A9">
        <w:rPr>
          <w:rFonts w:cs="Arial"/>
          <w:szCs w:val="24"/>
        </w:rPr>
        <w:t xml:space="preserve">: </w:t>
      </w:r>
      <w:r w:rsidR="005F12A6" w:rsidRPr="005F12A6">
        <w:rPr>
          <w:rFonts w:cs="Arial"/>
          <w:szCs w:val="24"/>
        </w:rPr>
        <w:t>2026 California Integrated Report Water Quality Objectives, Criteria, and Evaluation Guidelines</w:t>
      </w:r>
      <w:r w:rsidR="00B25441" w:rsidRPr="004502A9">
        <w:rPr>
          <w:rFonts w:cs="Arial"/>
          <w:szCs w:val="24"/>
        </w:rPr>
        <w:t>.</w:t>
      </w:r>
      <w:r w:rsidR="00B25441" w:rsidRPr="002622C6">
        <w:rPr>
          <w:rFonts w:cs="Arial"/>
          <w:szCs w:val="24"/>
        </w:rPr>
        <w:t xml:space="preserve"> </w:t>
      </w:r>
    </w:p>
    <w:p w14:paraId="604580BB" w14:textId="60D02B7F" w:rsidR="0037777E" w:rsidRDefault="005304BB" w:rsidP="0037777E">
      <w:pPr>
        <w:rPr>
          <w:rFonts w:cs="Arial"/>
        </w:rPr>
      </w:pPr>
      <w:r>
        <w:rPr>
          <w:rFonts w:eastAsia="Arial" w:cs="Arial"/>
        </w:rPr>
        <w:t>W</w:t>
      </w:r>
      <w:r w:rsidR="00142B3F">
        <w:rPr>
          <w:rFonts w:eastAsia="Arial" w:cs="Arial"/>
        </w:rPr>
        <w:t>ater quality objectives</w:t>
      </w:r>
      <w:r w:rsidR="00E36CFE">
        <w:rPr>
          <w:rFonts w:eastAsia="Arial" w:cs="Arial"/>
        </w:rPr>
        <w:t>, criteria</w:t>
      </w:r>
      <w:r w:rsidR="00142B3F">
        <w:rPr>
          <w:rFonts w:eastAsia="Arial" w:cs="Arial"/>
        </w:rPr>
        <w:t xml:space="preserve"> </w:t>
      </w:r>
      <w:r w:rsidR="002E17E8">
        <w:rPr>
          <w:rFonts w:eastAsia="Arial" w:cs="Arial"/>
        </w:rPr>
        <w:t>and evaluation guidelines</w:t>
      </w:r>
      <w:r w:rsidR="00142B3F" w:rsidRPr="004502A9">
        <w:rPr>
          <w:rFonts w:eastAsia="Arial" w:cs="Arial"/>
        </w:rPr>
        <w:t xml:space="preserve"> </w:t>
      </w:r>
      <w:r w:rsidR="0037777E" w:rsidRPr="004502A9">
        <w:rPr>
          <w:rFonts w:eastAsia="Arial" w:cs="Arial"/>
        </w:rPr>
        <w:t xml:space="preserve">may </w:t>
      </w:r>
      <w:r w:rsidR="0037777E">
        <w:rPr>
          <w:rFonts w:eastAsia="Arial" w:cs="Arial"/>
        </w:rPr>
        <w:t xml:space="preserve">have </w:t>
      </w:r>
      <w:r w:rsidR="0037777E" w:rsidRPr="004502A9">
        <w:rPr>
          <w:rFonts w:eastAsia="Arial" w:cs="Arial"/>
        </w:rPr>
        <w:t>be</w:t>
      </w:r>
      <w:r w:rsidR="0037777E">
        <w:rPr>
          <w:rFonts w:eastAsia="Arial" w:cs="Arial"/>
        </w:rPr>
        <w:t>en</w:t>
      </w:r>
      <w:r w:rsidR="0037777E" w:rsidRPr="004502A9">
        <w:rPr>
          <w:rFonts w:eastAsia="Arial" w:cs="Arial"/>
        </w:rPr>
        <w:t xml:space="preserve"> revised</w:t>
      </w:r>
      <w:r w:rsidR="0037777E">
        <w:rPr>
          <w:rFonts w:eastAsia="Arial" w:cs="Arial"/>
        </w:rPr>
        <w:t xml:space="preserve"> since the last </w:t>
      </w:r>
      <w:r w:rsidR="000820EB">
        <w:rPr>
          <w:rFonts w:eastAsia="Arial" w:cs="Arial"/>
        </w:rPr>
        <w:t>listing</w:t>
      </w:r>
      <w:r w:rsidR="0037777E">
        <w:rPr>
          <w:rFonts w:eastAsia="Arial" w:cs="Arial"/>
        </w:rPr>
        <w:t xml:space="preserve"> cycle in which the data were assessed</w:t>
      </w:r>
      <w:r w:rsidR="0037777E" w:rsidRPr="004502A9">
        <w:rPr>
          <w:rFonts w:eastAsia="Arial" w:cs="Arial"/>
        </w:rPr>
        <w:t xml:space="preserve">, resulting in the need to reassess all previously assessed data and information. For reassessments, all available previously assessed data were identified and </w:t>
      </w:r>
      <w:r w:rsidR="0037777E">
        <w:rPr>
          <w:rFonts w:eastAsia="Arial" w:cs="Arial"/>
        </w:rPr>
        <w:t>compared</w:t>
      </w:r>
      <w:r w:rsidR="0037777E" w:rsidRPr="004502A9">
        <w:rPr>
          <w:rFonts w:eastAsia="Arial" w:cs="Arial"/>
        </w:rPr>
        <w:t xml:space="preserve"> with the revised/current </w:t>
      </w:r>
      <w:r w:rsidR="002E17E8">
        <w:rPr>
          <w:rFonts w:eastAsia="Arial" w:cs="Arial"/>
        </w:rPr>
        <w:t>numeric water quality objective</w:t>
      </w:r>
      <w:r w:rsidR="00E36CFE">
        <w:rPr>
          <w:rFonts w:eastAsia="Arial" w:cs="Arial"/>
        </w:rPr>
        <w:t>, criteri</w:t>
      </w:r>
      <w:r w:rsidR="00880152">
        <w:rPr>
          <w:rFonts w:eastAsia="Arial" w:cs="Arial"/>
        </w:rPr>
        <w:t>on</w:t>
      </w:r>
      <w:r w:rsidR="002E17E8">
        <w:rPr>
          <w:rFonts w:eastAsia="Arial" w:cs="Arial"/>
        </w:rPr>
        <w:t xml:space="preserve"> or evaluation guideline</w:t>
      </w:r>
      <w:r w:rsidR="0037777E" w:rsidRPr="004502A9">
        <w:rPr>
          <w:rFonts w:eastAsia="Arial" w:cs="Arial"/>
        </w:rPr>
        <w:t>.</w:t>
      </w:r>
      <w:r w:rsidR="00A535ED">
        <w:rPr>
          <w:rFonts w:eastAsia="Arial" w:cs="Arial"/>
        </w:rPr>
        <w:t xml:space="preserve"> </w:t>
      </w:r>
      <w:r w:rsidR="00A2680A">
        <w:rPr>
          <w:rFonts w:eastAsia="Arial" w:cs="Arial"/>
        </w:rPr>
        <w:t xml:space="preserve">The reassessment </w:t>
      </w:r>
      <w:r w:rsidR="000B6E9A">
        <w:rPr>
          <w:rFonts w:eastAsia="Arial" w:cs="Arial"/>
        </w:rPr>
        <w:t>include</w:t>
      </w:r>
      <w:r w:rsidR="000F4C93">
        <w:rPr>
          <w:rFonts w:eastAsia="Arial" w:cs="Arial"/>
        </w:rPr>
        <w:t>d</w:t>
      </w:r>
      <w:r w:rsidR="000B6E9A">
        <w:rPr>
          <w:rFonts w:eastAsia="Arial" w:cs="Arial"/>
        </w:rPr>
        <w:t xml:space="preserve"> making</w:t>
      </w:r>
      <w:r w:rsidR="006466EE">
        <w:rPr>
          <w:rFonts w:eastAsia="Arial" w:cs="Arial"/>
        </w:rPr>
        <w:t xml:space="preserve"> a</w:t>
      </w:r>
      <w:r w:rsidR="00C40642">
        <w:rPr>
          <w:rFonts w:eastAsia="Arial" w:cs="Arial"/>
        </w:rPr>
        <w:t>n entirely</w:t>
      </w:r>
      <w:r w:rsidR="006466EE">
        <w:rPr>
          <w:rFonts w:eastAsia="Arial" w:cs="Arial"/>
        </w:rPr>
        <w:t xml:space="preserve"> new </w:t>
      </w:r>
      <w:r w:rsidR="00083FBF">
        <w:rPr>
          <w:rFonts w:eastAsia="Arial" w:cs="Arial"/>
        </w:rPr>
        <w:t>Decision</w:t>
      </w:r>
      <w:r w:rsidR="00745456">
        <w:rPr>
          <w:rFonts w:eastAsia="Arial" w:cs="Arial"/>
        </w:rPr>
        <w:t xml:space="preserve"> based on the updated</w:t>
      </w:r>
      <w:r w:rsidR="003F409D">
        <w:rPr>
          <w:rFonts w:eastAsia="Arial" w:cs="Arial"/>
        </w:rPr>
        <w:t xml:space="preserve"> numeric water quality objective or evaluation guideline</w:t>
      </w:r>
      <w:r w:rsidR="00D641AE">
        <w:rPr>
          <w:rFonts w:eastAsia="Arial" w:cs="Arial"/>
        </w:rPr>
        <w:t xml:space="preserve">. </w:t>
      </w:r>
      <w:r w:rsidR="000124F5">
        <w:rPr>
          <w:rFonts w:eastAsia="Arial" w:cs="Arial"/>
        </w:rPr>
        <w:t xml:space="preserve">For example, </w:t>
      </w:r>
      <w:r w:rsidR="00306608">
        <w:rPr>
          <w:rFonts w:eastAsia="Arial" w:cs="Arial"/>
        </w:rPr>
        <w:t>a</w:t>
      </w:r>
      <w:r w:rsidR="000F40C5">
        <w:rPr>
          <w:rFonts w:eastAsia="Arial" w:cs="Arial"/>
        </w:rPr>
        <w:t xml:space="preserve"> “List on 303(d) list”</w:t>
      </w:r>
      <w:r w:rsidR="00306608">
        <w:rPr>
          <w:rFonts w:eastAsia="Arial" w:cs="Arial"/>
        </w:rPr>
        <w:t xml:space="preserve"> </w:t>
      </w:r>
      <w:r w:rsidR="0033196C">
        <w:rPr>
          <w:rFonts w:eastAsia="Arial" w:cs="Arial"/>
        </w:rPr>
        <w:t>Decision</w:t>
      </w:r>
      <w:r w:rsidR="00306608">
        <w:rPr>
          <w:rFonts w:eastAsia="Arial" w:cs="Arial"/>
        </w:rPr>
        <w:t xml:space="preserve"> may be revised to a “Do Not List” based on </w:t>
      </w:r>
      <w:r w:rsidR="006762C2">
        <w:rPr>
          <w:rFonts w:eastAsia="Arial" w:cs="Arial"/>
        </w:rPr>
        <w:t xml:space="preserve">the </w:t>
      </w:r>
      <w:r w:rsidR="007C7F2F">
        <w:rPr>
          <w:rFonts w:eastAsia="Arial" w:cs="Arial"/>
        </w:rPr>
        <w:t>L</w:t>
      </w:r>
      <w:r w:rsidR="006762C2">
        <w:rPr>
          <w:rFonts w:eastAsia="Arial" w:cs="Arial"/>
        </w:rPr>
        <w:t xml:space="preserve">isting </w:t>
      </w:r>
      <w:r w:rsidR="007C7F2F">
        <w:rPr>
          <w:rFonts w:eastAsia="Arial" w:cs="Arial"/>
        </w:rPr>
        <w:t>F</w:t>
      </w:r>
      <w:r w:rsidR="006762C2">
        <w:rPr>
          <w:rFonts w:eastAsia="Arial" w:cs="Arial"/>
        </w:rPr>
        <w:t>actor</w:t>
      </w:r>
      <w:r w:rsidR="007C7F2F">
        <w:rPr>
          <w:rFonts w:eastAsia="Arial" w:cs="Arial"/>
        </w:rPr>
        <w:t>s</w:t>
      </w:r>
      <w:r w:rsidR="006762C2">
        <w:rPr>
          <w:rFonts w:eastAsia="Arial" w:cs="Arial"/>
        </w:rPr>
        <w:t xml:space="preserve"> </w:t>
      </w:r>
      <w:r w:rsidR="007C7F2F">
        <w:rPr>
          <w:rFonts w:eastAsia="Arial" w:cs="Arial"/>
        </w:rPr>
        <w:t>set by</w:t>
      </w:r>
      <w:r w:rsidR="006762C2">
        <w:rPr>
          <w:rFonts w:eastAsia="Arial" w:cs="Arial"/>
        </w:rPr>
        <w:t xml:space="preserve"> </w:t>
      </w:r>
      <w:r w:rsidR="00FA3D4F">
        <w:rPr>
          <w:rFonts w:eastAsia="Arial" w:cs="Arial"/>
        </w:rPr>
        <w:t>Listing Policy</w:t>
      </w:r>
      <w:r w:rsidR="006762C2">
        <w:rPr>
          <w:rFonts w:eastAsia="Arial" w:cs="Arial"/>
        </w:rPr>
        <w:t xml:space="preserve"> Section</w:t>
      </w:r>
      <w:r w:rsidR="008374B1">
        <w:rPr>
          <w:rFonts w:eastAsia="Arial" w:cs="Arial"/>
        </w:rPr>
        <w:t xml:space="preserve"> 3</w:t>
      </w:r>
      <w:r w:rsidR="003F409D">
        <w:rPr>
          <w:rFonts w:eastAsia="Arial" w:cs="Arial"/>
        </w:rPr>
        <w:t>.</w:t>
      </w:r>
      <w:r w:rsidR="0037777E" w:rsidRPr="004502A9">
        <w:rPr>
          <w:rFonts w:eastAsia="Arial" w:cs="Arial"/>
        </w:rPr>
        <w:t xml:space="preserve"> The assessment </w:t>
      </w:r>
      <w:r w:rsidR="0037777E">
        <w:rPr>
          <w:rFonts w:eastAsia="Arial" w:cs="Arial"/>
        </w:rPr>
        <w:t>was</w:t>
      </w:r>
      <w:r w:rsidR="0037777E" w:rsidRPr="004502A9">
        <w:rPr>
          <w:rFonts w:eastAsia="Arial" w:cs="Arial"/>
        </w:rPr>
        <w:t xml:space="preserve"> documented in a new LOE, and the previous LOE was retired and not used further. If data and information were unable to be reassessed (e.g., data and information </w:t>
      </w:r>
      <w:r w:rsidR="0037777E">
        <w:rPr>
          <w:rFonts w:eastAsia="Arial" w:cs="Arial"/>
        </w:rPr>
        <w:t xml:space="preserve">were not readily available, as was the case for data </w:t>
      </w:r>
      <w:r w:rsidR="0037777E" w:rsidRPr="004502A9">
        <w:rPr>
          <w:rFonts w:eastAsia="Arial" w:cs="Arial"/>
        </w:rPr>
        <w:t xml:space="preserve">used to make </w:t>
      </w:r>
      <w:r w:rsidR="00936C4B">
        <w:rPr>
          <w:rFonts w:eastAsia="Arial" w:cs="Arial"/>
        </w:rPr>
        <w:t>Decisions</w:t>
      </w:r>
      <w:r w:rsidR="0037777E" w:rsidRPr="004502A9">
        <w:rPr>
          <w:rFonts w:eastAsia="Arial" w:cs="Arial"/>
        </w:rPr>
        <w:t xml:space="preserve"> prior to 2006</w:t>
      </w:r>
      <w:r w:rsidR="0037777E">
        <w:rPr>
          <w:rFonts w:eastAsia="Arial" w:cs="Arial"/>
        </w:rPr>
        <w:t xml:space="preserve"> because they</w:t>
      </w:r>
      <w:r w:rsidR="0037777E" w:rsidRPr="004502A9">
        <w:rPr>
          <w:rFonts w:eastAsia="Arial" w:cs="Arial"/>
        </w:rPr>
        <w:t xml:space="preserve"> are not available in CalWQA), the previous LOE with the previous </w:t>
      </w:r>
      <w:r w:rsidR="002E17E8">
        <w:rPr>
          <w:rFonts w:eastAsia="Arial" w:cs="Arial"/>
        </w:rPr>
        <w:t>numeric water quality objective</w:t>
      </w:r>
      <w:r w:rsidR="00E36CFE">
        <w:rPr>
          <w:rFonts w:eastAsia="Arial" w:cs="Arial"/>
        </w:rPr>
        <w:t>, criteri</w:t>
      </w:r>
      <w:r w:rsidR="005C68E1">
        <w:rPr>
          <w:rFonts w:eastAsia="Arial" w:cs="Arial"/>
        </w:rPr>
        <w:t>on</w:t>
      </w:r>
      <w:r w:rsidR="002E17E8">
        <w:rPr>
          <w:rFonts w:eastAsia="Arial" w:cs="Arial"/>
        </w:rPr>
        <w:t xml:space="preserve"> or evaluation guideline</w:t>
      </w:r>
      <w:r w:rsidR="0037777E" w:rsidRPr="004502A9">
        <w:rPr>
          <w:rFonts w:eastAsia="Arial" w:cs="Arial"/>
        </w:rPr>
        <w:t xml:space="preserve"> was retained and considered as part of the weight of the evidence for determining attainment of standards. LOEs retired during the </w:t>
      </w:r>
      <w:r w:rsidR="000820EB">
        <w:rPr>
          <w:rFonts w:eastAsia="Arial" w:cs="Arial"/>
        </w:rPr>
        <w:t xml:space="preserve">listing cycle for the </w:t>
      </w:r>
      <w:r w:rsidR="00C6428D">
        <w:rPr>
          <w:rFonts w:eastAsia="Arial" w:cs="Arial"/>
        </w:rPr>
        <w:t>2026</w:t>
      </w:r>
      <w:r w:rsidR="000820EB">
        <w:rPr>
          <w:rFonts w:eastAsia="Arial" w:cs="Arial"/>
        </w:rPr>
        <w:t xml:space="preserve"> California Integrated Report</w:t>
      </w:r>
      <w:r w:rsidR="0037777E" w:rsidRPr="004502A9">
        <w:rPr>
          <w:rFonts w:eastAsia="Arial" w:cs="Arial"/>
        </w:rPr>
        <w:t xml:space="preserve"> are available in Appendix </w:t>
      </w:r>
      <w:r w:rsidR="00994845">
        <w:rPr>
          <w:rFonts w:cs="Arial"/>
        </w:rPr>
        <w:t>J</w:t>
      </w:r>
      <w:r w:rsidR="0037777E" w:rsidRPr="004502A9">
        <w:rPr>
          <w:rFonts w:cs="Arial"/>
        </w:rPr>
        <w:t>: List of Retired Lines of Evidence.</w:t>
      </w:r>
    </w:p>
    <w:p w14:paraId="7D64A18A" w14:textId="5E8A17F8" w:rsidR="007710C3" w:rsidRPr="004502A9" w:rsidRDefault="2AD6AED2" w:rsidP="005632BC">
      <w:pPr>
        <w:pStyle w:val="Heading3"/>
      </w:pPr>
      <w:bookmarkStart w:id="55" w:name="_Toc189048558"/>
      <w:r>
        <w:t>Lines of Evidence</w:t>
      </w:r>
      <w:bookmarkEnd w:id="53"/>
      <w:bookmarkEnd w:id="55"/>
    </w:p>
    <w:p w14:paraId="7FA6B3E0" w14:textId="523385FB" w:rsidR="00D442F1" w:rsidRDefault="007710C3" w:rsidP="007710C3">
      <w:pPr>
        <w:rPr>
          <w:rFonts w:eastAsia="Arial" w:cs="Arial"/>
        </w:rPr>
      </w:pPr>
      <w:r w:rsidRPr="004502A9">
        <w:rPr>
          <w:rFonts w:eastAsia="Arial" w:cs="Arial"/>
        </w:rPr>
        <w:t xml:space="preserve">Data and information were organized into LOEs and compared to the applicable </w:t>
      </w:r>
      <w:r w:rsidR="002F71DA">
        <w:rPr>
          <w:rFonts w:eastAsia="Arial" w:cs="Arial"/>
        </w:rPr>
        <w:t>numeric water quality objective, criteri</w:t>
      </w:r>
      <w:r w:rsidR="007E134D">
        <w:rPr>
          <w:rFonts w:eastAsia="Arial" w:cs="Arial"/>
        </w:rPr>
        <w:t>on</w:t>
      </w:r>
      <w:r w:rsidR="002F71DA">
        <w:rPr>
          <w:rFonts w:eastAsia="Arial" w:cs="Arial"/>
        </w:rPr>
        <w:t xml:space="preserve"> or evaluation guideline</w:t>
      </w:r>
      <w:r w:rsidR="002F71DA" w:rsidRPr="004502A9">
        <w:rPr>
          <w:rFonts w:eastAsia="Arial" w:cs="Arial"/>
        </w:rPr>
        <w:t xml:space="preserve"> </w:t>
      </w:r>
      <w:r w:rsidRPr="004502A9">
        <w:rPr>
          <w:rFonts w:eastAsia="Arial" w:cs="Arial"/>
        </w:rPr>
        <w:t xml:space="preserve">to determine the beneficial use support rating. An LOE was prepared for each unique combination of a </w:t>
      </w:r>
      <w:r w:rsidR="00D72FB3">
        <w:rPr>
          <w:rFonts w:eastAsia="Arial" w:cs="Arial"/>
        </w:rPr>
        <w:t>station</w:t>
      </w:r>
      <w:r w:rsidRPr="004502A9">
        <w:rPr>
          <w:rFonts w:eastAsia="Arial" w:cs="Arial"/>
        </w:rPr>
        <w:t xml:space="preserve">, pollutant, matrix, fraction, beneficial use, and </w:t>
      </w:r>
      <w:r w:rsidR="002F71DA">
        <w:rPr>
          <w:rFonts w:eastAsia="Arial" w:cs="Arial"/>
        </w:rPr>
        <w:t>numeric water quality objective, criteri</w:t>
      </w:r>
      <w:r w:rsidR="007E134D">
        <w:rPr>
          <w:rFonts w:eastAsia="Arial" w:cs="Arial"/>
        </w:rPr>
        <w:t>on</w:t>
      </w:r>
      <w:r w:rsidR="002F71DA">
        <w:rPr>
          <w:rFonts w:eastAsia="Arial" w:cs="Arial"/>
        </w:rPr>
        <w:t xml:space="preserve"> or evaluation </w:t>
      </w:r>
      <w:r w:rsidR="00E942B0">
        <w:rPr>
          <w:rFonts w:eastAsia="Arial" w:cs="Arial"/>
        </w:rPr>
        <w:t>guideline.</w:t>
      </w:r>
      <w:r w:rsidR="001D1F22">
        <w:rPr>
          <w:rFonts w:eastAsia="Arial" w:cs="Arial"/>
        </w:rPr>
        <w:t xml:space="preserve"> The term “station” refers to a</w:t>
      </w:r>
      <w:r w:rsidR="00ED640E">
        <w:rPr>
          <w:rFonts w:eastAsia="Arial" w:cs="Arial"/>
        </w:rPr>
        <w:t xml:space="preserve"> </w:t>
      </w:r>
      <w:r w:rsidR="00FA1B22" w:rsidRPr="004502A9">
        <w:rPr>
          <w:rFonts w:cs="Arial"/>
        </w:rPr>
        <w:t xml:space="preserve">monitoring </w:t>
      </w:r>
      <w:r w:rsidR="00E36CFE" w:rsidRPr="004502A9">
        <w:rPr>
          <w:rFonts w:cs="Arial"/>
        </w:rPr>
        <w:t>station</w:t>
      </w:r>
      <w:r w:rsidR="001D1F22">
        <w:rPr>
          <w:rFonts w:eastAsia="Arial" w:cs="Arial"/>
        </w:rPr>
        <w:t>.</w:t>
      </w:r>
      <w:r w:rsidRPr="004502A9">
        <w:rPr>
          <w:rFonts w:eastAsia="Arial" w:cs="Arial"/>
        </w:rPr>
        <w:t xml:space="preserve"> The term “matrix” refers to the sample medium used in an LOE, such as water, sediment, or tissue. The “fraction” is the analyzed portion of the sample medium. For example, if the matrix of a sample is water, then the fraction can be either the total constituent or the dissolved portion of the constituent. </w:t>
      </w:r>
    </w:p>
    <w:p w14:paraId="42CCAA58" w14:textId="02E9EBE3" w:rsidR="00E54F56" w:rsidRPr="00E54F56" w:rsidRDefault="00E54F56" w:rsidP="00E54F56">
      <w:pPr>
        <w:rPr>
          <w:rFonts w:eastAsia="Arial" w:cs="Arial"/>
        </w:rPr>
      </w:pPr>
      <w:r w:rsidRPr="00E54F56">
        <w:rPr>
          <w:rFonts w:eastAsia="Arial" w:cs="Arial"/>
        </w:rPr>
        <w:t xml:space="preserve">Beneficial use support ratings are used to inform recommendations for determining </w:t>
      </w:r>
      <w:r w:rsidR="00B02545">
        <w:rPr>
          <w:rFonts w:eastAsia="Arial" w:cs="Arial"/>
        </w:rPr>
        <w:t>a waterbod</w:t>
      </w:r>
      <w:r w:rsidR="007A6E59">
        <w:rPr>
          <w:rFonts w:eastAsia="Arial" w:cs="Arial"/>
        </w:rPr>
        <w:t>y’s</w:t>
      </w:r>
      <w:r w:rsidR="00EA0200">
        <w:rPr>
          <w:rFonts w:eastAsia="Arial" w:cs="Arial"/>
        </w:rPr>
        <w:t xml:space="preserve"> condition category</w:t>
      </w:r>
      <w:r w:rsidR="00B02545" w:rsidRPr="00E54F56">
        <w:rPr>
          <w:rFonts w:eastAsia="Arial" w:cs="Arial"/>
        </w:rPr>
        <w:t xml:space="preserve"> </w:t>
      </w:r>
      <w:r w:rsidRPr="00E54F56">
        <w:rPr>
          <w:rFonts w:eastAsia="Arial" w:cs="Arial"/>
        </w:rPr>
        <w:t xml:space="preserve">placement in the </w:t>
      </w:r>
      <w:r w:rsidR="002D619B">
        <w:rPr>
          <w:rFonts w:eastAsia="Arial" w:cs="Arial"/>
        </w:rPr>
        <w:t>i</w:t>
      </w:r>
      <w:r w:rsidR="002D619B" w:rsidRPr="00E54F56">
        <w:rPr>
          <w:rFonts w:eastAsia="Arial" w:cs="Arial"/>
        </w:rPr>
        <w:t xml:space="preserve">ntegrated </w:t>
      </w:r>
      <w:r w:rsidR="002D619B">
        <w:rPr>
          <w:rFonts w:eastAsia="Arial" w:cs="Arial"/>
        </w:rPr>
        <w:t>r</w:t>
      </w:r>
      <w:r w:rsidR="002D619B" w:rsidRPr="00E54F56">
        <w:rPr>
          <w:rFonts w:eastAsia="Arial" w:cs="Arial"/>
        </w:rPr>
        <w:t>eport</w:t>
      </w:r>
      <w:r w:rsidRPr="00E54F56">
        <w:rPr>
          <w:rFonts w:eastAsia="Arial" w:cs="Arial"/>
        </w:rPr>
        <w:t>. These ratings were determined by the following process:</w:t>
      </w:r>
    </w:p>
    <w:p w14:paraId="40AFD5A0" w14:textId="739D571B" w:rsidR="00E54F56" w:rsidRPr="00E54F56" w:rsidRDefault="00E54F56" w:rsidP="00010F69">
      <w:pPr>
        <w:numPr>
          <w:ilvl w:val="0"/>
          <w:numId w:val="20"/>
        </w:numPr>
        <w:rPr>
          <w:rFonts w:eastAsia="Arial" w:cs="Arial"/>
        </w:rPr>
      </w:pPr>
      <w:r w:rsidRPr="00E54F56">
        <w:rPr>
          <w:rFonts w:eastAsia="Arial" w:cs="Arial"/>
        </w:rPr>
        <w:t>Each individual LOE identifies the number of samples and the number of exceedances of the applicable threshold.</w:t>
      </w:r>
    </w:p>
    <w:p w14:paraId="34A324EE" w14:textId="77777777" w:rsidR="00E54F56" w:rsidRPr="00E54F56" w:rsidRDefault="00E54F56" w:rsidP="00010F69">
      <w:pPr>
        <w:numPr>
          <w:ilvl w:val="0"/>
          <w:numId w:val="20"/>
        </w:numPr>
        <w:rPr>
          <w:rFonts w:eastAsia="Arial" w:cs="Arial"/>
        </w:rPr>
      </w:pPr>
      <w:r w:rsidRPr="00E54F56">
        <w:rPr>
          <w:rFonts w:eastAsia="Arial" w:cs="Arial"/>
        </w:rPr>
        <w:t>LOEs were grouped according to their beneficial use.</w:t>
      </w:r>
    </w:p>
    <w:p w14:paraId="71CC9513" w14:textId="77777777" w:rsidR="00E54F56" w:rsidRPr="00E54F56" w:rsidRDefault="00E54F56" w:rsidP="00010F69">
      <w:pPr>
        <w:numPr>
          <w:ilvl w:val="0"/>
          <w:numId w:val="20"/>
        </w:numPr>
        <w:rPr>
          <w:rFonts w:eastAsia="Arial" w:cs="Arial"/>
        </w:rPr>
      </w:pPr>
      <w:r w:rsidRPr="00E54F56">
        <w:rPr>
          <w:rFonts w:eastAsia="Arial" w:cs="Arial"/>
        </w:rPr>
        <w:t>The number of samples and exceedances for each LOE group were compared to the binomial tables in the Listing Policy.</w:t>
      </w:r>
    </w:p>
    <w:p w14:paraId="507FF934" w14:textId="77777777" w:rsidR="00E54F56" w:rsidRPr="00E54F56" w:rsidRDefault="00E54F56" w:rsidP="00010F69">
      <w:pPr>
        <w:numPr>
          <w:ilvl w:val="0"/>
          <w:numId w:val="20"/>
        </w:numPr>
        <w:rPr>
          <w:rFonts w:eastAsia="Arial" w:cs="Arial"/>
        </w:rPr>
      </w:pPr>
      <w:r w:rsidRPr="00E54F56">
        <w:rPr>
          <w:rFonts w:eastAsia="Arial" w:cs="Arial"/>
        </w:rPr>
        <w:t>Each LOE group was then assigned one of three possible beneficial use support ratings: Fully Supporting, Not Supporting, or Insufficient Information.</w:t>
      </w:r>
    </w:p>
    <w:p w14:paraId="6E007D54" w14:textId="7B33CD81" w:rsidR="00F44ABE" w:rsidRDefault="00F57AA4" w:rsidP="007710C3">
      <w:pPr>
        <w:rPr>
          <w:rFonts w:eastAsia="Arial" w:cs="Arial"/>
        </w:rPr>
      </w:pPr>
      <w:r>
        <w:t>The three possible beneficial use support ratings are defined as follows:</w:t>
      </w:r>
    </w:p>
    <w:p w14:paraId="1A8E6C9D" w14:textId="43E84D16" w:rsidR="007710C3" w:rsidRPr="004502A9" w:rsidRDefault="007710C3" w:rsidP="00A67AFD">
      <w:pPr>
        <w:pStyle w:val="ListParagraph"/>
        <w:numPr>
          <w:ilvl w:val="0"/>
          <w:numId w:val="8"/>
        </w:numPr>
        <w:tabs>
          <w:tab w:val="num" w:pos="1295"/>
        </w:tabs>
        <w:autoSpaceDE w:val="0"/>
        <w:autoSpaceDN w:val="0"/>
        <w:adjustRightInd w:val="0"/>
        <w:rPr>
          <w:rFonts w:cs="Arial"/>
        </w:rPr>
      </w:pPr>
      <w:r w:rsidRPr="102A063F">
        <w:rPr>
          <w:rFonts w:cs="Arial"/>
        </w:rPr>
        <w:t xml:space="preserve">Fully Supporting: </w:t>
      </w:r>
      <w:r w:rsidR="007E134D">
        <w:rPr>
          <w:rFonts w:cs="Arial"/>
        </w:rPr>
        <w:t>The p</w:t>
      </w:r>
      <w:r w:rsidRPr="102A063F">
        <w:rPr>
          <w:rFonts w:cs="Arial"/>
        </w:rPr>
        <w:t>ollutants do</w:t>
      </w:r>
      <w:r w:rsidR="007E134D">
        <w:rPr>
          <w:rFonts w:cs="Arial"/>
        </w:rPr>
        <w:t>es</w:t>
      </w:r>
      <w:r w:rsidRPr="102A063F">
        <w:rPr>
          <w:rFonts w:cs="Arial"/>
        </w:rPr>
        <w:t xml:space="preserve"> not exceed </w:t>
      </w:r>
      <w:r w:rsidR="009559E8">
        <w:rPr>
          <w:rFonts w:cs="Arial"/>
        </w:rPr>
        <w:t xml:space="preserve">a </w:t>
      </w:r>
      <w:r w:rsidR="002F71DA">
        <w:rPr>
          <w:rFonts w:cs="Arial"/>
        </w:rPr>
        <w:t>numeric water quality objective, criteri</w:t>
      </w:r>
      <w:r w:rsidR="007E134D">
        <w:rPr>
          <w:rFonts w:cs="Arial"/>
        </w:rPr>
        <w:t>on</w:t>
      </w:r>
      <w:r w:rsidR="002F71DA">
        <w:rPr>
          <w:rFonts w:cs="Arial"/>
        </w:rPr>
        <w:t xml:space="preserve"> or evaluation guideline</w:t>
      </w:r>
      <w:r w:rsidRPr="102A063F">
        <w:rPr>
          <w:rFonts w:cs="Arial"/>
        </w:rPr>
        <w:t xml:space="preserve"> with a frequency that cause</w:t>
      </w:r>
      <w:r w:rsidR="007E134D">
        <w:rPr>
          <w:rFonts w:cs="Arial"/>
        </w:rPr>
        <w:t>s</w:t>
      </w:r>
      <w:r w:rsidRPr="102A063F">
        <w:rPr>
          <w:rFonts w:cs="Arial"/>
        </w:rPr>
        <w:t xml:space="preserve"> a listing and the dataset consists of at least 16 samples for toxic pollutants</w:t>
      </w:r>
      <w:r w:rsidR="008843C4" w:rsidRPr="102A063F">
        <w:rPr>
          <w:rFonts w:cs="Arial"/>
        </w:rPr>
        <w:t xml:space="preserve"> per the Listing Policy Table 3.</w:t>
      </w:r>
      <w:r w:rsidR="00772096" w:rsidRPr="102A063F">
        <w:rPr>
          <w:rFonts w:cs="Arial"/>
        </w:rPr>
        <w:t>1</w:t>
      </w:r>
      <w:r w:rsidR="003B789C">
        <w:rPr>
          <w:rFonts w:cs="Arial"/>
        </w:rPr>
        <w:t xml:space="preserve"> </w:t>
      </w:r>
      <w:r w:rsidR="00772096" w:rsidRPr="102A063F">
        <w:rPr>
          <w:rFonts w:cs="Arial"/>
        </w:rPr>
        <w:t xml:space="preserve">or </w:t>
      </w:r>
      <w:r w:rsidRPr="102A063F">
        <w:rPr>
          <w:rFonts w:cs="Arial"/>
        </w:rPr>
        <w:t>at least 26 samples for conventional</w:t>
      </w:r>
      <w:r w:rsidR="00F216E2" w:rsidRPr="102A063F">
        <w:rPr>
          <w:rFonts w:cs="Arial"/>
        </w:rPr>
        <w:t xml:space="preserve"> </w:t>
      </w:r>
      <w:r w:rsidR="0059608A" w:rsidRPr="102A063F">
        <w:rPr>
          <w:rFonts w:cs="Arial"/>
        </w:rPr>
        <w:t xml:space="preserve">or other pollutants </w:t>
      </w:r>
      <w:r w:rsidR="008843C4" w:rsidRPr="102A063F">
        <w:rPr>
          <w:rFonts w:cs="Arial"/>
        </w:rPr>
        <w:t>per the Listing Policy Table 3.2</w:t>
      </w:r>
      <w:r w:rsidRPr="102A063F">
        <w:rPr>
          <w:rFonts w:cs="Arial"/>
        </w:rPr>
        <w:t>.</w:t>
      </w:r>
      <w:r w:rsidRPr="004502A9">
        <w:rPr>
          <w:rFonts w:cs="Arial"/>
        </w:rPr>
        <w:t xml:space="preserve"> </w:t>
      </w:r>
    </w:p>
    <w:p w14:paraId="7C135A9E" w14:textId="451E83E9" w:rsidR="00EB56CD" w:rsidRDefault="007710C3" w:rsidP="00A67AFD">
      <w:pPr>
        <w:pStyle w:val="ListParagraph"/>
        <w:numPr>
          <w:ilvl w:val="0"/>
          <w:numId w:val="8"/>
        </w:numPr>
        <w:tabs>
          <w:tab w:val="num" w:pos="1295"/>
        </w:tabs>
        <w:autoSpaceDE w:val="0"/>
        <w:autoSpaceDN w:val="0"/>
        <w:adjustRightInd w:val="0"/>
        <w:rPr>
          <w:rFonts w:cs="Arial"/>
          <w:szCs w:val="24"/>
        </w:rPr>
      </w:pPr>
      <w:r w:rsidRPr="004502A9">
        <w:rPr>
          <w:rFonts w:cs="Arial"/>
          <w:szCs w:val="24"/>
        </w:rPr>
        <w:t xml:space="preserve">Insufficient Information: It cannot be determined if a use is supported or not supported. This usually occurs when the data have poor quality assurance, there are not enough samples in a dataset, or the information alone cannot support a </w:t>
      </w:r>
      <w:r w:rsidR="00F37DBC">
        <w:rPr>
          <w:rFonts w:cs="Arial"/>
          <w:szCs w:val="24"/>
        </w:rPr>
        <w:t>“List”</w:t>
      </w:r>
      <w:r w:rsidR="00F37DBC" w:rsidRPr="004502A9">
        <w:rPr>
          <w:rFonts w:cs="Arial"/>
          <w:szCs w:val="24"/>
        </w:rPr>
        <w:t xml:space="preserve"> </w:t>
      </w:r>
      <w:r w:rsidRPr="004502A9">
        <w:rPr>
          <w:rFonts w:cs="Arial"/>
          <w:szCs w:val="24"/>
        </w:rPr>
        <w:t xml:space="preserve">or </w:t>
      </w:r>
      <w:r w:rsidR="00F37DBC">
        <w:rPr>
          <w:rFonts w:cs="Arial"/>
          <w:szCs w:val="24"/>
        </w:rPr>
        <w:t>“Delist”</w:t>
      </w:r>
      <w:r w:rsidRPr="004502A9" w:rsidDel="001B7B2F">
        <w:rPr>
          <w:rFonts w:cs="Arial"/>
          <w:szCs w:val="24"/>
        </w:rPr>
        <w:t xml:space="preserve"> </w:t>
      </w:r>
      <w:r w:rsidR="00E36CFE" w:rsidRPr="00E36CFE">
        <w:rPr>
          <w:rFonts w:cs="Arial"/>
          <w:szCs w:val="24"/>
        </w:rPr>
        <w:t>Decision</w:t>
      </w:r>
      <w:r w:rsidRPr="004502A9">
        <w:rPr>
          <w:rFonts w:cs="Arial"/>
          <w:szCs w:val="24"/>
        </w:rPr>
        <w:t>.</w:t>
      </w:r>
      <w:r w:rsidR="00EB56CD" w:rsidRPr="00EB56CD">
        <w:rPr>
          <w:rFonts w:cs="Arial"/>
          <w:szCs w:val="24"/>
        </w:rPr>
        <w:t xml:space="preserve"> </w:t>
      </w:r>
    </w:p>
    <w:p w14:paraId="6F2EA653" w14:textId="2F5BA31B" w:rsidR="007710C3" w:rsidRPr="004502A9" w:rsidRDefault="00EB56CD" w:rsidP="00A67AFD">
      <w:pPr>
        <w:pStyle w:val="ListParagraph"/>
        <w:numPr>
          <w:ilvl w:val="0"/>
          <w:numId w:val="8"/>
        </w:numPr>
        <w:tabs>
          <w:tab w:val="num" w:pos="1295"/>
        </w:tabs>
        <w:autoSpaceDE w:val="0"/>
        <w:autoSpaceDN w:val="0"/>
        <w:adjustRightInd w:val="0"/>
        <w:rPr>
          <w:rFonts w:cs="Arial"/>
          <w:szCs w:val="24"/>
        </w:rPr>
      </w:pPr>
      <w:r w:rsidRPr="004502A9">
        <w:rPr>
          <w:rFonts w:cs="Arial"/>
          <w:szCs w:val="24"/>
        </w:rPr>
        <w:t xml:space="preserve">Not Supporting: </w:t>
      </w:r>
      <w:r w:rsidR="009559E8">
        <w:rPr>
          <w:rFonts w:cs="Arial"/>
          <w:szCs w:val="24"/>
        </w:rPr>
        <w:t>The p</w:t>
      </w:r>
      <w:r w:rsidRPr="004502A9">
        <w:rPr>
          <w:rFonts w:cs="Arial"/>
          <w:szCs w:val="24"/>
        </w:rPr>
        <w:t>ollutants exceed</w:t>
      </w:r>
      <w:r w:rsidR="009559E8">
        <w:rPr>
          <w:rFonts w:cs="Arial"/>
          <w:szCs w:val="24"/>
        </w:rPr>
        <w:t>s</w:t>
      </w:r>
      <w:r w:rsidRPr="004502A9">
        <w:rPr>
          <w:rFonts w:cs="Arial"/>
          <w:szCs w:val="24"/>
        </w:rPr>
        <w:t xml:space="preserve"> </w:t>
      </w:r>
      <w:r w:rsidR="009559E8">
        <w:rPr>
          <w:rFonts w:cs="Arial"/>
          <w:szCs w:val="24"/>
        </w:rPr>
        <w:t>a</w:t>
      </w:r>
      <w:r w:rsidRPr="004502A9">
        <w:rPr>
          <w:rFonts w:cs="Arial"/>
          <w:szCs w:val="24"/>
        </w:rPr>
        <w:t xml:space="preserve"> </w:t>
      </w:r>
      <w:r w:rsidR="002F71DA">
        <w:rPr>
          <w:rFonts w:cs="Arial"/>
          <w:szCs w:val="24"/>
        </w:rPr>
        <w:t>numeric water quality objective, criteri</w:t>
      </w:r>
      <w:r w:rsidR="009559E8">
        <w:rPr>
          <w:rFonts w:cs="Arial"/>
          <w:szCs w:val="24"/>
        </w:rPr>
        <w:t>on</w:t>
      </w:r>
      <w:r w:rsidR="002F71DA">
        <w:rPr>
          <w:rFonts w:cs="Arial"/>
          <w:szCs w:val="24"/>
        </w:rPr>
        <w:t xml:space="preserve"> or evaluation guideline</w:t>
      </w:r>
      <w:r w:rsidRPr="004502A9">
        <w:rPr>
          <w:rFonts w:cs="Arial"/>
          <w:szCs w:val="24"/>
        </w:rPr>
        <w:t xml:space="preserve"> with a frequency that cause a listing.</w:t>
      </w:r>
      <w:r w:rsidR="00A61793">
        <w:rPr>
          <w:rFonts w:cs="Arial"/>
          <w:szCs w:val="24"/>
        </w:rPr>
        <w:t xml:space="preserve"> (See Staff Report section </w:t>
      </w:r>
      <w:r w:rsidR="00B1722C">
        <w:rPr>
          <w:rFonts w:cs="Arial"/>
          <w:szCs w:val="24"/>
        </w:rPr>
        <w:t xml:space="preserve">2.3.4.1 </w:t>
      </w:r>
      <w:r w:rsidR="00DF1168">
        <w:rPr>
          <w:rFonts w:cs="Arial"/>
          <w:szCs w:val="24"/>
        </w:rPr>
        <w:t>–</w:t>
      </w:r>
      <w:r w:rsidR="005D7FA7">
        <w:rPr>
          <w:rFonts w:cs="Arial"/>
          <w:szCs w:val="24"/>
        </w:rPr>
        <w:t xml:space="preserve"> Bino</w:t>
      </w:r>
      <w:r w:rsidR="00DF1168">
        <w:rPr>
          <w:rFonts w:cs="Arial"/>
          <w:szCs w:val="24"/>
        </w:rPr>
        <w:t>mial Test Criteria for Listing Decisions.)</w:t>
      </w:r>
    </w:p>
    <w:p w14:paraId="4C43E78D" w14:textId="75347E81" w:rsidR="007710C3" w:rsidRPr="004502A9" w:rsidRDefault="00CA0BA9" w:rsidP="007710C3">
      <w:pPr>
        <w:spacing w:after="60"/>
        <w:rPr>
          <w:rFonts w:cs="Arial"/>
        </w:rPr>
      </w:pPr>
      <w:r>
        <w:t xml:space="preserve">All LOE groups were aggregated into waterbody-pollutant combinations, and a record was developed in CalWQA </w:t>
      </w:r>
      <w:r w:rsidR="006F1927">
        <w:t xml:space="preserve">known as a </w:t>
      </w:r>
      <w:r>
        <w:t xml:space="preserve">CalWQA Decision. </w:t>
      </w:r>
      <w:r w:rsidR="007D4A19">
        <w:rPr>
          <w:rFonts w:eastAsia="Arial" w:cs="Arial"/>
        </w:rPr>
        <w:t>A CalWQA Decision may be “List</w:t>
      </w:r>
      <w:r w:rsidR="00E87240">
        <w:rPr>
          <w:rFonts w:eastAsia="Arial" w:cs="Arial"/>
        </w:rPr>
        <w:t>,</w:t>
      </w:r>
      <w:r w:rsidR="007D4A19">
        <w:rPr>
          <w:rFonts w:eastAsia="Arial" w:cs="Arial"/>
        </w:rPr>
        <w:t>” “Do Not List</w:t>
      </w:r>
      <w:r w:rsidR="00E87240">
        <w:rPr>
          <w:rFonts w:eastAsia="Arial" w:cs="Arial"/>
        </w:rPr>
        <w:t>,</w:t>
      </w:r>
      <w:r w:rsidR="007D4A19">
        <w:rPr>
          <w:rFonts w:eastAsia="Arial" w:cs="Arial"/>
        </w:rPr>
        <w:t>” “Delist</w:t>
      </w:r>
      <w:r w:rsidR="00E87240">
        <w:rPr>
          <w:rFonts w:eastAsia="Arial" w:cs="Arial"/>
        </w:rPr>
        <w:t>,</w:t>
      </w:r>
      <w:r w:rsidR="007D4A19">
        <w:rPr>
          <w:rFonts w:eastAsia="Arial" w:cs="Arial"/>
        </w:rPr>
        <w:t>” or “Do Not Delist</w:t>
      </w:r>
      <w:r w:rsidR="00E87240">
        <w:rPr>
          <w:rFonts w:eastAsia="Arial" w:cs="Arial"/>
        </w:rPr>
        <w:t>.</w:t>
      </w:r>
      <w:r w:rsidR="007D4A19">
        <w:rPr>
          <w:rFonts w:eastAsia="Arial" w:cs="Arial"/>
        </w:rPr>
        <w:t xml:space="preserve">” </w:t>
      </w:r>
      <w:r w:rsidR="007710C3" w:rsidRPr="004502A9">
        <w:rPr>
          <w:rFonts w:eastAsia="Arial" w:cs="Arial"/>
        </w:rPr>
        <w:t xml:space="preserve">Retirement of an LOE occurs when it is no longer included in the </w:t>
      </w:r>
      <w:r w:rsidR="00ED1CA9">
        <w:rPr>
          <w:rFonts w:eastAsia="Arial" w:cs="Arial"/>
        </w:rPr>
        <w:t xml:space="preserve">CalWQA </w:t>
      </w:r>
      <w:r w:rsidR="00DE4A6F">
        <w:rPr>
          <w:rFonts w:eastAsia="Arial" w:cs="Arial"/>
        </w:rPr>
        <w:t>D</w:t>
      </w:r>
      <w:r w:rsidR="007710C3" w:rsidRPr="004502A9">
        <w:rPr>
          <w:rFonts w:eastAsia="Arial" w:cs="Arial"/>
        </w:rPr>
        <w:t xml:space="preserve">ecision for a waterbody-pollutant combination. Generally, retired LOEs from previous </w:t>
      </w:r>
      <w:r w:rsidR="004019F6">
        <w:rPr>
          <w:rFonts w:eastAsia="Arial" w:cs="Arial"/>
        </w:rPr>
        <w:t>listing cycles</w:t>
      </w:r>
      <w:r w:rsidR="000820EB" w:rsidRPr="004502A9">
        <w:rPr>
          <w:rFonts w:eastAsia="Arial" w:cs="Arial"/>
        </w:rPr>
        <w:t xml:space="preserve"> </w:t>
      </w:r>
      <w:r w:rsidR="007710C3" w:rsidRPr="004502A9">
        <w:rPr>
          <w:rFonts w:eastAsia="Arial" w:cs="Arial"/>
        </w:rPr>
        <w:t xml:space="preserve">are replaced with </w:t>
      </w:r>
      <w:r w:rsidR="003D58C6">
        <w:rPr>
          <w:rFonts w:eastAsia="Arial" w:cs="Arial"/>
        </w:rPr>
        <w:t>updated</w:t>
      </w:r>
      <w:r w:rsidR="007710C3" w:rsidRPr="004502A9">
        <w:rPr>
          <w:rFonts w:eastAsia="Arial" w:cs="Arial"/>
        </w:rPr>
        <w:t xml:space="preserve"> LOEs when data are reassessed using a different </w:t>
      </w:r>
      <w:r w:rsidR="002F71DA">
        <w:rPr>
          <w:rFonts w:eastAsia="Arial" w:cs="Arial"/>
        </w:rPr>
        <w:t>numeric water quality objective, criteri</w:t>
      </w:r>
      <w:r w:rsidR="00176647">
        <w:rPr>
          <w:rFonts w:eastAsia="Arial" w:cs="Arial"/>
        </w:rPr>
        <w:t>on</w:t>
      </w:r>
      <w:r w:rsidR="002F71DA">
        <w:rPr>
          <w:rFonts w:eastAsia="Arial" w:cs="Arial"/>
        </w:rPr>
        <w:t xml:space="preserve"> or evaluation </w:t>
      </w:r>
      <w:r w:rsidR="00250B1B">
        <w:rPr>
          <w:rFonts w:eastAsia="Arial" w:cs="Arial"/>
        </w:rPr>
        <w:t>guideline.</w:t>
      </w:r>
      <w:r w:rsidR="00137E84">
        <w:rPr>
          <w:rFonts w:eastAsia="Arial" w:cs="Arial"/>
        </w:rPr>
        <w:t xml:space="preserve"> </w:t>
      </w:r>
      <w:r w:rsidR="007710C3" w:rsidRPr="004502A9">
        <w:rPr>
          <w:rFonts w:eastAsia="Arial" w:cs="Arial"/>
        </w:rPr>
        <w:t xml:space="preserve">LOEs retired </w:t>
      </w:r>
      <w:r w:rsidR="007707A9">
        <w:rPr>
          <w:rFonts w:eastAsia="Arial" w:cs="Arial"/>
        </w:rPr>
        <w:t>during the listing cycle for</w:t>
      </w:r>
      <w:r w:rsidR="00C813CE" w:rsidRPr="004502A9">
        <w:rPr>
          <w:rFonts w:eastAsia="Arial" w:cs="Arial"/>
        </w:rPr>
        <w:t xml:space="preserve"> </w:t>
      </w:r>
      <w:r w:rsidR="007710C3" w:rsidRPr="004502A9">
        <w:rPr>
          <w:rFonts w:eastAsia="Arial" w:cs="Arial"/>
        </w:rPr>
        <w:t xml:space="preserve">the </w:t>
      </w:r>
      <w:r w:rsidR="00C6428D">
        <w:rPr>
          <w:rFonts w:eastAsia="Arial" w:cs="Arial"/>
        </w:rPr>
        <w:t>2026</w:t>
      </w:r>
      <w:r w:rsidR="00B57E3F" w:rsidRPr="004502A9">
        <w:rPr>
          <w:rFonts w:eastAsia="Arial" w:cs="Arial"/>
        </w:rPr>
        <w:t xml:space="preserve"> </w:t>
      </w:r>
      <w:r w:rsidR="00C813CE">
        <w:rPr>
          <w:rFonts w:eastAsia="Arial" w:cs="Arial"/>
        </w:rPr>
        <w:t>California Integrated Report</w:t>
      </w:r>
      <w:r w:rsidR="00C813CE" w:rsidRPr="004502A9">
        <w:rPr>
          <w:rFonts w:eastAsia="Arial" w:cs="Arial"/>
        </w:rPr>
        <w:t xml:space="preserve"> </w:t>
      </w:r>
      <w:r w:rsidR="007710C3" w:rsidRPr="004502A9">
        <w:rPr>
          <w:rFonts w:eastAsia="Arial" w:cs="Arial"/>
        </w:rPr>
        <w:t xml:space="preserve">are available in Appendix </w:t>
      </w:r>
      <w:r w:rsidR="00421A91">
        <w:rPr>
          <w:rFonts w:cs="Arial"/>
        </w:rPr>
        <w:t>J</w:t>
      </w:r>
      <w:r w:rsidR="007710C3" w:rsidRPr="004502A9">
        <w:rPr>
          <w:rFonts w:cs="Arial"/>
        </w:rPr>
        <w:t xml:space="preserve">: List of Retired Lines of Evidence. </w:t>
      </w:r>
    </w:p>
    <w:p w14:paraId="6416F319" w14:textId="49A89E2C" w:rsidR="007710C3" w:rsidRPr="004502A9" w:rsidRDefault="007710C3" w:rsidP="007710C3">
      <w:pPr>
        <w:spacing w:before="240"/>
        <w:rPr>
          <w:rFonts w:cs="Arial"/>
        </w:rPr>
      </w:pPr>
      <w:r w:rsidRPr="004502A9">
        <w:rPr>
          <w:rFonts w:cs="Arial"/>
        </w:rPr>
        <w:t xml:space="preserve">See </w:t>
      </w:r>
      <w:r w:rsidRPr="003D58C6">
        <w:rPr>
          <w:rFonts w:cs="Arial"/>
        </w:rPr>
        <w:fldChar w:fldCharType="begin"/>
      </w:r>
      <w:r w:rsidRPr="009E7330">
        <w:rPr>
          <w:rFonts w:cs="Arial"/>
        </w:rPr>
        <w:instrText xml:space="preserve"> REF _Ref31368966 \h </w:instrText>
      </w:r>
      <w:r w:rsidR="004502A9" w:rsidRPr="009E7330">
        <w:rPr>
          <w:rFonts w:cs="Arial"/>
        </w:rPr>
        <w:instrText xml:space="preserve"> \* MERGEFORMAT </w:instrText>
      </w:r>
      <w:r w:rsidRPr="003D58C6">
        <w:rPr>
          <w:rFonts w:cs="Arial"/>
        </w:rPr>
      </w:r>
      <w:r w:rsidRPr="003D58C6">
        <w:rPr>
          <w:rFonts w:cs="Arial"/>
        </w:rPr>
        <w:fldChar w:fldCharType="separate"/>
      </w:r>
      <w:r w:rsidR="00C93408" w:rsidRPr="004502A9">
        <w:rPr>
          <w:rFonts w:cs="Arial"/>
        </w:rPr>
        <w:t xml:space="preserve">Figure </w:t>
      </w:r>
      <w:r w:rsidR="00C93408">
        <w:rPr>
          <w:rFonts w:cs="Arial"/>
        </w:rPr>
        <w:t>2</w:t>
      </w:r>
      <w:r w:rsidR="00C93408">
        <w:rPr>
          <w:rFonts w:cs="Arial"/>
        </w:rPr>
        <w:noBreakHyphen/>
        <w:t>1</w:t>
      </w:r>
      <w:r w:rsidRPr="003D58C6">
        <w:rPr>
          <w:rFonts w:cs="Arial"/>
        </w:rPr>
        <w:fldChar w:fldCharType="end"/>
      </w:r>
      <w:r w:rsidR="00FB6DBC">
        <w:rPr>
          <w:rFonts w:cs="Arial"/>
        </w:rPr>
        <w:t>:</w:t>
      </w:r>
      <w:r w:rsidRPr="004502A9">
        <w:rPr>
          <w:rFonts w:cs="Arial"/>
        </w:rPr>
        <w:t xml:space="preserve"> </w:t>
      </w:r>
      <w:r w:rsidR="00FB6DBC">
        <w:rPr>
          <w:rFonts w:cs="Arial"/>
        </w:rPr>
        <w:t>E</w:t>
      </w:r>
      <w:r w:rsidRPr="004502A9">
        <w:rPr>
          <w:rFonts w:cs="Arial"/>
        </w:rPr>
        <w:t xml:space="preserve">xample of </w:t>
      </w:r>
      <w:r w:rsidR="00FB6DBC">
        <w:rPr>
          <w:rFonts w:cs="Arial"/>
        </w:rPr>
        <w:t>Aggregation</w:t>
      </w:r>
      <w:r w:rsidR="00B90FA5">
        <w:rPr>
          <w:rFonts w:cs="Arial"/>
        </w:rPr>
        <w:t xml:space="preserve"> of Lines of Evidence</w:t>
      </w:r>
      <w:r w:rsidRPr="004502A9">
        <w:rPr>
          <w:rFonts w:cs="Arial"/>
        </w:rPr>
        <w:t xml:space="preserve"> into </w:t>
      </w:r>
      <w:r w:rsidR="00AE5917">
        <w:rPr>
          <w:rFonts w:eastAsia="Arial" w:cs="Arial"/>
        </w:rPr>
        <w:t xml:space="preserve">CalWQA </w:t>
      </w:r>
      <w:r w:rsidRPr="004502A9">
        <w:rPr>
          <w:rFonts w:cs="Arial"/>
        </w:rPr>
        <w:t>Decisions</w:t>
      </w:r>
      <w:r w:rsidR="004C6370">
        <w:rPr>
          <w:rFonts w:cs="Arial"/>
        </w:rPr>
        <w:t xml:space="preserve"> and Use Support Ratings</w:t>
      </w:r>
      <w:r w:rsidRPr="004502A9">
        <w:rPr>
          <w:rFonts w:cs="Arial"/>
        </w:rPr>
        <w:t xml:space="preserve">. </w:t>
      </w:r>
    </w:p>
    <w:p w14:paraId="5F78EEFB" w14:textId="4D695520" w:rsidR="007710C3" w:rsidRPr="004502A9" w:rsidRDefault="007710C3" w:rsidP="007710C3">
      <w:pPr>
        <w:pStyle w:val="Caption"/>
        <w:keepNext/>
        <w:rPr>
          <w:rFonts w:cs="Arial"/>
        </w:rPr>
      </w:pPr>
      <w:bookmarkStart w:id="56" w:name="_Ref31368966"/>
      <w:bookmarkStart w:id="57" w:name="_Toc31794584"/>
      <w:bookmarkStart w:id="58" w:name="_Toc31794628"/>
      <w:bookmarkStart w:id="59" w:name="_Toc31794662"/>
      <w:bookmarkStart w:id="60" w:name="_Toc60214663"/>
      <w:r w:rsidRPr="004502A9">
        <w:rPr>
          <w:rFonts w:cs="Arial"/>
        </w:rPr>
        <w:t xml:space="preserve">Figure </w:t>
      </w:r>
      <w:r w:rsidR="000A176B">
        <w:rPr>
          <w:rFonts w:cs="Arial"/>
        </w:rPr>
        <w:fldChar w:fldCharType="begin"/>
      </w:r>
      <w:r w:rsidR="000A176B">
        <w:rPr>
          <w:rFonts w:cs="Arial"/>
        </w:rPr>
        <w:instrText xml:space="preserve"> STYLEREF 1 \s </w:instrText>
      </w:r>
      <w:r w:rsidR="000A176B">
        <w:rPr>
          <w:rFonts w:cs="Arial"/>
        </w:rPr>
        <w:fldChar w:fldCharType="separate"/>
      </w:r>
      <w:r w:rsidR="00C93408">
        <w:rPr>
          <w:rFonts w:cs="Arial"/>
          <w:noProof/>
        </w:rPr>
        <w:t>2</w:t>
      </w:r>
      <w:r w:rsidR="000A176B">
        <w:rPr>
          <w:rFonts w:cs="Arial"/>
        </w:rPr>
        <w:fldChar w:fldCharType="end"/>
      </w:r>
      <w:r w:rsidR="000A176B">
        <w:rPr>
          <w:rFonts w:cs="Arial"/>
        </w:rPr>
        <w:noBreakHyphen/>
      </w:r>
      <w:r w:rsidR="002047EC">
        <w:rPr>
          <w:rFonts w:cs="Arial"/>
        </w:rPr>
        <w:t>1</w:t>
      </w:r>
      <w:bookmarkEnd w:id="56"/>
      <w:r w:rsidRPr="004502A9">
        <w:rPr>
          <w:rFonts w:cs="Arial"/>
        </w:rPr>
        <w:t xml:space="preserve">: Example of Aggregation of Lines </w:t>
      </w:r>
      <w:r w:rsidR="00E90860">
        <w:rPr>
          <w:rFonts w:cs="Arial"/>
        </w:rPr>
        <w:t>o</w:t>
      </w:r>
      <w:r w:rsidRPr="004502A9">
        <w:rPr>
          <w:rFonts w:cs="Arial"/>
        </w:rPr>
        <w:t xml:space="preserve">f Evidence into </w:t>
      </w:r>
      <w:r w:rsidR="00AE5917">
        <w:rPr>
          <w:rFonts w:eastAsia="Arial" w:cs="Arial"/>
        </w:rPr>
        <w:t xml:space="preserve">CalWQA </w:t>
      </w:r>
      <w:r w:rsidRPr="004502A9">
        <w:rPr>
          <w:rFonts w:cs="Arial"/>
        </w:rPr>
        <w:t>Decisions and Use Support Ratings</w:t>
      </w:r>
      <w:bookmarkEnd w:id="57"/>
      <w:bookmarkEnd w:id="58"/>
      <w:bookmarkEnd w:id="59"/>
      <w:bookmarkEnd w:id="60"/>
    </w:p>
    <w:p w14:paraId="3D74F86A" w14:textId="77777777" w:rsidR="007710C3" w:rsidRPr="004502A9" w:rsidRDefault="007710C3" w:rsidP="007710C3">
      <w:pPr>
        <w:jc w:val="center"/>
        <w:rPr>
          <w:rFonts w:eastAsia="Arial" w:cs="Arial"/>
        </w:rPr>
      </w:pPr>
      <w:r w:rsidRPr="004502A9">
        <w:rPr>
          <w:rFonts w:cs="Arial"/>
          <w:noProof/>
        </w:rPr>
        <w:drawing>
          <wp:inline distT="0" distB="0" distL="0" distR="0" wp14:anchorId="61BA0AB9" wp14:editId="55534C3E">
            <wp:extent cx="5937613" cy="7187184"/>
            <wp:effectExtent l="19050" t="19050" r="25400" b="13970"/>
            <wp:docPr id="1906652374" name="Picture 190665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2374" name="Picture 1906652374"/>
                    <pic:cNvPicPr/>
                  </pic:nvPicPr>
                  <pic:blipFill>
                    <a:blip r:embed="rId40">
                      <a:extLst>
                        <a:ext uri="{28A0092B-C50C-407E-A947-70E740481C1C}">
                          <a14:useLocalDpi xmlns:a14="http://schemas.microsoft.com/office/drawing/2010/main" val="0"/>
                        </a:ext>
                      </a:extLst>
                    </a:blip>
                    <a:stretch>
                      <a:fillRect/>
                    </a:stretch>
                  </pic:blipFill>
                  <pic:spPr>
                    <a:xfrm>
                      <a:off x="0" y="0"/>
                      <a:ext cx="5937613" cy="7187184"/>
                    </a:xfrm>
                    <a:prstGeom prst="rect">
                      <a:avLst/>
                    </a:prstGeom>
                    <a:ln>
                      <a:solidFill>
                        <a:schemeClr val="tx1"/>
                      </a:solidFill>
                    </a:ln>
                  </pic:spPr>
                </pic:pic>
              </a:graphicData>
            </a:graphic>
          </wp:inline>
        </w:drawing>
      </w:r>
    </w:p>
    <w:p w14:paraId="4B6ABD32" w14:textId="6454C5EC" w:rsidR="007710C3" w:rsidRPr="004502A9" w:rsidRDefault="189EE305" w:rsidP="005632BC">
      <w:pPr>
        <w:pStyle w:val="Heading3"/>
      </w:pPr>
      <w:bookmarkStart w:id="61" w:name="_Toc35339593"/>
      <w:bookmarkStart w:id="62" w:name="_Toc189048559"/>
      <w:r w:rsidRPr="41EC96B7">
        <w:t xml:space="preserve">CalWQA </w:t>
      </w:r>
      <w:r w:rsidR="2AD6AED2">
        <w:t>Decisions</w:t>
      </w:r>
      <w:bookmarkEnd w:id="62"/>
      <w:r w:rsidR="173362B4">
        <w:t xml:space="preserve"> </w:t>
      </w:r>
      <w:bookmarkEnd w:id="61"/>
    </w:p>
    <w:p w14:paraId="5E65EA2C" w14:textId="666322FA" w:rsidR="00E421F2" w:rsidRDefault="00482C6A" w:rsidP="001557E5">
      <w:pPr>
        <w:rPr>
          <w:rFonts w:cs="Arial"/>
        </w:rPr>
      </w:pPr>
      <w:r>
        <w:t>Each CalWQA Decision includes an assessment of one or more LOEs available for a specific waterbody-pollutant combination, as required by the Listing Policy</w:t>
      </w:r>
      <w:r w:rsidR="000633B9">
        <w:t>. This assessment</w:t>
      </w:r>
      <w:r>
        <w:t xml:space="preserve"> determine</w:t>
      </w:r>
      <w:r w:rsidR="000633B9">
        <w:t>s</w:t>
      </w:r>
      <w:r>
        <w:t xml:space="preserve"> whether a waterbody-pollutant combination is impaired (not supporting</w:t>
      </w:r>
      <w:r w:rsidDel="004A01E1">
        <w:t xml:space="preserve"> </w:t>
      </w:r>
      <w:r>
        <w:t xml:space="preserve">beneficial uses) and should be placed on the 303(d) list. </w:t>
      </w:r>
      <w:r w:rsidR="001B658A" w:rsidRPr="001B658A">
        <w:rPr>
          <w:rFonts w:cs="Arial"/>
        </w:rPr>
        <w:t>The State Water Board add</w:t>
      </w:r>
      <w:r w:rsidR="00806ACF">
        <w:rPr>
          <w:rFonts w:cs="Arial"/>
        </w:rPr>
        <w:t>s</w:t>
      </w:r>
      <w:r w:rsidR="001B658A" w:rsidRPr="001B658A">
        <w:rPr>
          <w:rFonts w:cs="Arial"/>
        </w:rPr>
        <w:t xml:space="preserve"> waterbod</w:t>
      </w:r>
      <w:r w:rsidR="00A33002">
        <w:rPr>
          <w:rFonts w:cs="Arial"/>
        </w:rPr>
        <w:t>y segments</w:t>
      </w:r>
      <w:r w:rsidR="001B658A" w:rsidRPr="001B658A">
        <w:rPr>
          <w:rFonts w:cs="Arial"/>
        </w:rPr>
        <w:t xml:space="preserve"> to the 303(d) list if data or information indicate that one or more beneficial uses are not supported.</w:t>
      </w:r>
    </w:p>
    <w:p w14:paraId="17D64C22" w14:textId="0D5D5844" w:rsidR="00817282" w:rsidRPr="003B4A75" w:rsidRDefault="00CB6314" w:rsidP="005632BC">
      <w:pPr>
        <w:pStyle w:val="Heading4"/>
      </w:pPr>
      <w:r>
        <w:t>Listing Factors</w:t>
      </w:r>
    </w:p>
    <w:p w14:paraId="7BE42B89" w14:textId="0754EA89" w:rsidR="007710C3" w:rsidRPr="004502A9" w:rsidRDefault="00C04177" w:rsidP="007710C3">
      <w:pPr>
        <w:rPr>
          <w:rFonts w:cs="Arial"/>
        </w:rPr>
      </w:pPr>
      <w:r w:rsidRPr="00B53672">
        <w:rPr>
          <w:rFonts w:cs="Arial"/>
        </w:rPr>
        <w:t xml:space="preserve">Section 3 of the Listing Policy consists of “listing factors” 3.1 through 3.11 used to determine whether waters should be added to the 303(d) list. </w:t>
      </w:r>
      <w:r w:rsidR="007710C3" w:rsidRPr="004502A9">
        <w:rPr>
          <w:rFonts w:cs="Arial"/>
        </w:rPr>
        <w:t xml:space="preserve">Listing a waterbody-pollutant combination is recommended if adequate data exist to show that any of the following </w:t>
      </w:r>
      <w:r w:rsidR="0076162E">
        <w:rPr>
          <w:rFonts w:cs="Arial"/>
        </w:rPr>
        <w:t>conditions are met</w:t>
      </w:r>
      <w:r w:rsidR="007710C3" w:rsidRPr="004502A9">
        <w:rPr>
          <w:rFonts w:cs="Arial"/>
        </w:rPr>
        <w:t xml:space="preserve">: </w:t>
      </w:r>
    </w:p>
    <w:p w14:paraId="7B671AAE" w14:textId="39D0D39E" w:rsidR="007710C3" w:rsidRPr="004502A9" w:rsidRDefault="007710C3" w:rsidP="00A67AFD">
      <w:pPr>
        <w:pStyle w:val="ListParagraph"/>
        <w:numPr>
          <w:ilvl w:val="0"/>
          <w:numId w:val="9"/>
        </w:numPr>
        <w:rPr>
          <w:rFonts w:cs="Arial"/>
        </w:rPr>
      </w:pPr>
      <w:r w:rsidRPr="004502A9">
        <w:rPr>
          <w:rFonts w:cs="Arial"/>
        </w:rPr>
        <w:t xml:space="preserve">Numeric data exceed </w:t>
      </w:r>
      <w:r w:rsidR="002C718C">
        <w:t>water quality objectives for toxic pollutants, including maximum contaminant levels where applicable, or California/National Toxics Rule water quality criteria</w:t>
      </w:r>
      <w:r w:rsidRPr="004502A9">
        <w:rPr>
          <w:rFonts w:cs="Arial"/>
        </w:rPr>
        <w:t xml:space="preserve"> more than the prescribed number of times. The number of times varies by the number of samples and is based on a </w:t>
      </w:r>
      <w:r w:rsidRPr="00A77F54">
        <w:rPr>
          <w:rFonts w:cs="Arial"/>
        </w:rPr>
        <w:t>binomial distribution</w:t>
      </w:r>
      <w:r w:rsidRPr="004502A9">
        <w:rPr>
          <w:rFonts w:cs="Arial"/>
        </w:rPr>
        <w:t xml:space="preserve">. </w:t>
      </w:r>
      <w:r w:rsidR="006B3F5B">
        <w:rPr>
          <w:rFonts w:cs="Arial"/>
        </w:rPr>
        <w:t>(</w:t>
      </w:r>
      <w:r w:rsidR="006B3F5B" w:rsidRPr="004502A9">
        <w:rPr>
          <w:rFonts w:cs="Arial"/>
        </w:rPr>
        <w:t>Listing Policy</w:t>
      </w:r>
      <w:r w:rsidR="00B0105E">
        <w:rPr>
          <w:rFonts w:cs="Arial"/>
        </w:rPr>
        <w:t xml:space="preserve">, </w:t>
      </w:r>
      <w:r w:rsidR="00735423">
        <w:rPr>
          <w:rFonts w:cs="Arial"/>
        </w:rPr>
        <w:t>section</w:t>
      </w:r>
      <w:r w:rsidR="00735423" w:rsidRPr="004502A9">
        <w:rPr>
          <w:rFonts w:cs="Arial"/>
        </w:rPr>
        <w:t xml:space="preserve"> </w:t>
      </w:r>
      <w:r w:rsidRPr="004502A9">
        <w:rPr>
          <w:rFonts w:cs="Arial"/>
        </w:rPr>
        <w:t>3.1</w:t>
      </w:r>
      <w:r w:rsidR="00B0105E">
        <w:rPr>
          <w:rFonts w:cs="Arial"/>
        </w:rPr>
        <w:t>.</w:t>
      </w:r>
      <w:r w:rsidR="00602445">
        <w:rPr>
          <w:rFonts w:cs="Arial"/>
        </w:rPr>
        <w:t>)</w:t>
      </w:r>
    </w:p>
    <w:p w14:paraId="7D9299E9" w14:textId="31EC0A95" w:rsidR="00810FA4" w:rsidRPr="004502A9" w:rsidRDefault="00733288" w:rsidP="00A67AFD">
      <w:pPr>
        <w:pStyle w:val="ListParagraph"/>
        <w:numPr>
          <w:ilvl w:val="0"/>
          <w:numId w:val="9"/>
        </w:numPr>
        <w:rPr>
          <w:rFonts w:cs="Arial"/>
        </w:rPr>
      </w:pPr>
      <w:r w:rsidRPr="004502A9">
        <w:rPr>
          <w:rFonts w:cs="Arial"/>
        </w:rPr>
        <w:t xml:space="preserve">Numeric data exceed </w:t>
      </w:r>
      <w:r>
        <w:t xml:space="preserve">water quality objectives for conventional pollutants </w:t>
      </w:r>
      <w:r w:rsidRPr="004502A9">
        <w:rPr>
          <w:rFonts w:cs="Arial"/>
        </w:rPr>
        <w:t xml:space="preserve">more than the prescribed number of times. The number of times varies by the number of samples and is based on a </w:t>
      </w:r>
      <w:r w:rsidRPr="00A77F54">
        <w:rPr>
          <w:rFonts w:cs="Arial"/>
        </w:rPr>
        <w:t>binomial distribution</w:t>
      </w:r>
      <w:r w:rsidR="0003334F">
        <w:rPr>
          <w:rFonts w:cs="Arial"/>
        </w:rPr>
        <w:t xml:space="preserve">. </w:t>
      </w:r>
      <w:r w:rsidR="00F80EDB">
        <w:rPr>
          <w:rFonts w:cs="Arial"/>
          <w:i/>
          <w:iCs/>
        </w:rPr>
        <w:t>(</w:t>
      </w:r>
      <w:r w:rsidR="00810FA4" w:rsidRPr="007A166E">
        <w:rPr>
          <w:rFonts w:cs="Arial"/>
          <w:i/>
          <w:iCs/>
        </w:rPr>
        <w:t>Id</w:t>
      </w:r>
      <w:r w:rsidR="00810FA4">
        <w:rPr>
          <w:rFonts w:cs="Arial"/>
          <w:i/>
          <w:iCs/>
        </w:rPr>
        <w:t>.</w:t>
      </w:r>
      <w:r w:rsidR="00810FA4" w:rsidRPr="0048662D">
        <w:rPr>
          <w:rFonts w:cs="Arial"/>
        </w:rPr>
        <w:t xml:space="preserve">, </w:t>
      </w:r>
      <w:r w:rsidR="00735423">
        <w:rPr>
          <w:rFonts w:cs="Arial"/>
        </w:rPr>
        <w:t xml:space="preserve">section </w:t>
      </w:r>
      <w:r w:rsidR="00F80EDB">
        <w:rPr>
          <w:rFonts w:cs="Arial"/>
        </w:rPr>
        <w:t>3.2</w:t>
      </w:r>
      <w:r w:rsidR="00D52CC9">
        <w:rPr>
          <w:rFonts w:cs="Arial"/>
        </w:rPr>
        <w:t>.</w:t>
      </w:r>
      <w:r w:rsidR="00F80EDB">
        <w:rPr>
          <w:rFonts w:cs="Arial"/>
        </w:rPr>
        <w:t>)</w:t>
      </w:r>
    </w:p>
    <w:p w14:paraId="4ECB3074" w14:textId="5A9D44B5" w:rsidR="006750E1" w:rsidRPr="004502A9" w:rsidRDefault="007220F3" w:rsidP="00A67AFD">
      <w:pPr>
        <w:pStyle w:val="ListParagraph"/>
        <w:numPr>
          <w:ilvl w:val="0"/>
          <w:numId w:val="9"/>
        </w:numPr>
        <w:rPr>
          <w:rFonts w:cs="Arial"/>
        </w:rPr>
      </w:pPr>
      <w:r>
        <w:rPr>
          <w:rFonts w:cs="Arial"/>
        </w:rPr>
        <w:t>B</w:t>
      </w:r>
      <w:r w:rsidR="00314EC3" w:rsidRPr="00314EC3">
        <w:rPr>
          <w:rFonts w:cs="Arial"/>
        </w:rPr>
        <w:t xml:space="preserve">acteria </w:t>
      </w:r>
      <w:r w:rsidR="00113AA7">
        <w:rPr>
          <w:rFonts w:cs="Arial"/>
        </w:rPr>
        <w:t>data exceeds</w:t>
      </w:r>
      <w:r w:rsidR="00314EC3" w:rsidRPr="00314EC3">
        <w:rPr>
          <w:rFonts w:cs="Arial"/>
        </w:rPr>
        <w:t xml:space="preserve"> water quality standards in California Code of Regulations, Basin Plans,</w:t>
      </w:r>
      <w:r w:rsidR="004D056C">
        <w:rPr>
          <w:rFonts w:cs="Arial"/>
        </w:rPr>
        <w:t xml:space="preserve"> </w:t>
      </w:r>
      <w:r w:rsidR="00314EC3" w:rsidRPr="00314EC3">
        <w:rPr>
          <w:rFonts w:cs="Arial"/>
        </w:rPr>
        <w:t>or statewide plans</w:t>
      </w:r>
      <w:r w:rsidR="009D7442">
        <w:rPr>
          <w:rFonts w:cs="Arial"/>
        </w:rPr>
        <w:t xml:space="preserve"> based on a binomial </w:t>
      </w:r>
      <w:r w:rsidR="00836728">
        <w:rPr>
          <w:rFonts w:cs="Arial"/>
        </w:rPr>
        <w:t xml:space="preserve">distribution, site specific exceedance </w:t>
      </w:r>
      <w:r w:rsidR="004E0D52">
        <w:rPr>
          <w:rFonts w:cs="Arial"/>
        </w:rPr>
        <w:t>frequencies</w:t>
      </w:r>
      <w:r w:rsidR="00836728">
        <w:rPr>
          <w:rFonts w:cs="Arial"/>
        </w:rPr>
        <w:t xml:space="preserve"> or a four percent exceedance </w:t>
      </w:r>
      <w:r w:rsidR="004E0D52">
        <w:rPr>
          <w:rFonts w:cs="Arial"/>
        </w:rPr>
        <w:t>frequency</w:t>
      </w:r>
      <w:r w:rsidR="00B17F7B">
        <w:rPr>
          <w:rFonts w:cs="Arial"/>
        </w:rPr>
        <w:t>. (</w:t>
      </w:r>
      <w:bookmarkStart w:id="63" w:name="_Hlk123307711"/>
      <w:r w:rsidR="00B0105E" w:rsidRPr="007D4258">
        <w:rPr>
          <w:rFonts w:cs="Arial"/>
          <w:i/>
          <w:iCs/>
        </w:rPr>
        <w:t>Id</w:t>
      </w:r>
      <w:bookmarkEnd w:id="63"/>
      <w:r w:rsidR="00B0105E">
        <w:rPr>
          <w:rFonts w:cs="Arial"/>
        </w:rPr>
        <w:t xml:space="preserve">., </w:t>
      </w:r>
      <w:r w:rsidR="00735423">
        <w:rPr>
          <w:rFonts w:cs="Arial"/>
        </w:rPr>
        <w:t xml:space="preserve">section </w:t>
      </w:r>
      <w:r w:rsidR="00B17F7B" w:rsidRPr="004502A9">
        <w:rPr>
          <w:rFonts w:cs="Arial"/>
        </w:rPr>
        <w:t>3.</w:t>
      </w:r>
      <w:r w:rsidR="00B17F7B">
        <w:rPr>
          <w:rFonts w:cs="Arial"/>
        </w:rPr>
        <w:t>3</w:t>
      </w:r>
      <w:r w:rsidR="00B0105E">
        <w:rPr>
          <w:rFonts w:cs="Arial"/>
        </w:rPr>
        <w:t>.</w:t>
      </w:r>
      <w:r w:rsidR="00B17F7B">
        <w:rPr>
          <w:rFonts w:cs="Arial"/>
        </w:rPr>
        <w:t>)</w:t>
      </w:r>
    </w:p>
    <w:p w14:paraId="3D77856A" w14:textId="0C69EC35" w:rsidR="007710C3" w:rsidRPr="004502A9" w:rsidRDefault="007710C3" w:rsidP="00A67AFD">
      <w:pPr>
        <w:pStyle w:val="ListParagraph"/>
        <w:numPr>
          <w:ilvl w:val="0"/>
          <w:numId w:val="9"/>
        </w:numPr>
        <w:rPr>
          <w:rFonts w:cs="Arial"/>
        </w:rPr>
      </w:pPr>
      <w:r w:rsidRPr="004502A9">
        <w:rPr>
          <w:rFonts w:cs="Arial"/>
        </w:rPr>
        <w:t xml:space="preserve">A health advisory </w:t>
      </w:r>
      <w:r w:rsidR="005F128B">
        <w:rPr>
          <w:rFonts w:cs="Arial"/>
        </w:rPr>
        <w:t>has been issued</w:t>
      </w:r>
      <w:r w:rsidRPr="004502A9">
        <w:rPr>
          <w:rFonts w:cs="Arial"/>
        </w:rPr>
        <w:t xml:space="preserve"> against the consumption of edible resident organisms or a shellfish harvest ban</w:t>
      </w:r>
      <w:r w:rsidR="00891A24">
        <w:rPr>
          <w:rFonts w:cs="Arial"/>
        </w:rPr>
        <w:t xml:space="preserve"> </w:t>
      </w:r>
      <w:r w:rsidR="00891A24" w:rsidRPr="00891A24">
        <w:rPr>
          <w:rFonts w:cs="Arial"/>
        </w:rPr>
        <w:t xml:space="preserve">and there is a designated or existing fish consumption beneficial use for the </w:t>
      </w:r>
      <w:r w:rsidR="004C0204">
        <w:rPr>
          <w:rFonts w:cs="Arial"/>
        </w:rPr>
        <w:t xml:space="preserve">waterbody </w:t>
      </w:r>
      <w:r w:rsidR="00891A24" w:rsidRPr="00891A24">
        <w:rPr>
          <w:rFonts w:cs="Arial"/>
        </w:rPr>
        <w:t>segment</w:t>
      </w:r>
      <w:r w:rsidRPr="004502A9">
        <w:rPr>
          <w:rFonts w:cs="Arial"/>
        </w:rPr>
        <w:t xml:space="preserve">. </w:t>
      </w:r>
      <w:r w:rsidR="00680256">
        <w:rPr>
          <w:rFonts w:cs="Arial"/>
        </w:rPr>
        <w:t>(</w:t>
      </w:r>
      <w:r w:rsidR="00B0105E" w:rsidRPr="007A166E">
        <w:rPr>
          <w:rFonts w:cs="Arial"/>
          <w:i/>
          <w:iCs/>
        </w:rPr>
        <w:t>Id</w:t>
      </w:r>
      <w:r w:rsidR="00B0105E">
        <w:rPr>
          <w:rFonts w:cs="Arial"/>
        </w:rPr>
        <w:t xml:space="preserve">, </w:t>
      </w:r>
      <w:r w:rsidR="00735423">
        <w:rPr>
          <w:rFonts w:cs="Arial"/>
        </w:rPr>
        <w:t xml:space="preserve">section </w:t>
      </w:r>
      <w:r w:rsidR="00680256" w:rsidRPr="004502A9">
        <w:rPr>
          <w:rFonts w:cs="Arial"/>
        </w:rPr>
        <w:t>3.4</w:t>
      </w:r>
      <w:r w:rsidR="00B0105E">
        <w:rPr>
          <w:rFonts w:cs="Arial"/>
        </w:rPr>
        <w:t>.</w:t>
      </w:r>
      <w:r w:rsidR="00680256">
        <w:rPr>
          <w:rFonts w:cs="Arial"/>
        </w:rPr>
        <w:t>)</w:t>
      </w:r>
    </w:p>
    <w:p w14:paraId="77DC5717" w14:textId="5985E4F0" w:rsidR="006B3F5B" w:rsidRDefault="00C25BA1" w:rsidP="00A67AFD">
      <w:pPr>
        <w:pStyle w:val="ListParagraph"/>
        <w:numPr>
          <w:ilvl w:val="0"/>
          <w:numId w:val="9"/>
        </w:numPr>
        <w:rPr>
          <w:rFonts w:cs="Arial"/>
        </w:rPr>
      </w:pPr>
      <w:r>
        <w:rPr>
          <w:rFonts w:cs="Arial"/>
        </w:rPr>
        <w:t>T</w:t>
      </w:r>
      <w:r w:rsidR="00567EF3">
        <w:rPr>
          <w:rFonts w:cs="Arial"/>
        </w:rPr>
        <w:t>issue pollutant levels in organisms exceed a pollutant-</w:t>
      </w:r>
      <w:r w:rsidR="0087278B">
        <w:rPr>
          <w:rFonts w:cs="Arial"/>
        </w:rPr>
        <w:t>specific</w:t>
      </w:r>
      <w:r w:rsidR="00567EF3">
        <w:rPr>
          <w:rFonts w:cs="Arial"/>
        </w:rPr>
        <w:t xml:space="preserve"> evaluation guideline. </w:t>
      </w:r>
      <w:r w:rsidR="0087278B">
        <w:rPr>
          <w:rFonts w:cs="Arial"/>
        </w:rPr>
        <w:t>(</w:t>
      </w:r>
      <w:r w:rsidR="00B0105E" w:rsidRPr="007A166E">
        <w:rPr>
          <w:rFonts w:cs="Arial"/>
          <w:i/>
          <w:iCs/>
        </w:rPr>
        <w:t>Id</w:t>
      </w:r>
      <w:r w:rsidR="00B0105E">
        <w:rPr>
          <w:rFonts w:cs="Arial"/>
          <w:i/>
          <w:iCs/>
        </w:rPr>
        <w:t>.</w:t>
      </w:r>
      <w:r w:rsidR="00B0105E" w:rsidRPr="007D4258">
        <w:rPr>
          <w:rFonts w:cs="Arial"/>
        </w:rPr>
        <w:t xml:space="preserve">, </w:t>
      </w:r>
      <w:r w:rsidR="00735423">
        <w:rPr>
          <w:rFonts w:cs="Arial"/>
        </w:rPr>
        <w:t>section</w:t>
      </w:r>
      <w:r w:rsidR="00735423">
        <w:rPr>
          <w:rFonts w:cs="Arial"/>
          <w:i/>
          <w:iCs/>
        </w:rPr>
        <w:t xml:space="preserve"> </w:t>
      </w:r>
      <w:r w:rsidR="0087278B">
        <w:rPr>
          <w:rFonts w:cs="Arial"/>
        </w:rPr>
        <w:t>3.5</w:t>
      </w:r>
      <w:r w:rsidR="00B0105E">
        <w:rPr>
          <w:rFonts w:cs="Arial"/>
        </w:rPr>
        <w:t>.</w:t>
      </w:r>
      <w:r w:rsidR="0087278B">
        <w:rPr>
          <w:rFonts w:cs="Arial"/>
        </w:rPr>
        <w:t>)</w:t>
      </w:r>
      <w:r w:rsidR="00567EF3">
        <w:rPr>
          <w:rFonts w:cs="Arial"/>
        </w:rPr>
        <w:t xml:space="preserve"> </w:t>
      </w:r>
    </w:p>
    <w:p w14:paraId="59B97C64" w14:textId="675C8CE6" w:rsidR="006B3F5B" w:rsidRPr="004502A9" w:rsidRDefault="00723AB6" w:rsidP="00A67AFD">
      <w:pPr>
        <w:pStyle w:val="ListParagraph"/>
        <w:numPr>
          <w:ilvl w:val="0"/>
          <w:numId w:val="9"/>
        </w:numPr>
        <w:rPr>
          <w:rFonts w:cs="Arial"/>
        </w:rPr>
      </w:pPr>
      <w:r>
        <w:rPr>
          <w:rFonts w:cs="Arial"/>
        </w:rPr>
        <w:t>S</w:t>
      </w:r>
      <w:r w:rsidR="00FF2C23" w:rsidRPr="00FF2C23">
        <w:rPr>
          <w:rFonts w:cs="Arial"/>
        </w:rPr>
        <w:t xml:space="preserve">tatistically significant water or sediment toxicity </w:t>
      </w:r>
      <w:r w:rsidR="00E34690">
        <w:rPr>
          <w:rFonts w:cs="Arial"/>
        </w:rPr>
        <w:t>data</w:t>
      </w:r>
      <w:r w:rsidR="00FF2C23" w:rsidRPr="00FF2C23">
        <w:rPr>
          <w:rFonts w:cs="Arial"/>
        </w:rPr>
        <w:t xml:space="preserve"> </w:t>
      </w:r>
      <w:r w:rsidR="00633ED1">
        <w:rPr>
          <w:rFonts w:cs="Arial"/>
        </w:rPr>
        <w:t xml:space="preserve">exhibits </w:t>
      </w:r>
      <w:r w:rsidR="0026382D">
        <w:rPr>
          <w:rFonts w:cs="Arial"/>
        </w:rPr>
        <w:t xml:space="preserve">statistically significant </w:t>
      </w:r>
      <w:r w:rsidR="00271FA5">
        <w:rPr>
          <w:rFonts w:cs="Arial"/>
        </w:rPr>
        <w:t xml:space="preserve">toxicity using the </w:t>
      </w:r>
      <w:r w:rsidR="00390E13">
        <w:rPr>
          <w:rFonts w:cs="Arial"/>
        </w:rPr>
        <w:t xml:space="preserve">binomial distribution </w:t>
      </w:r>
      <w:r w:rsidR="00FF2C23" w:rsidRPr="00FF2C23">
        <w:rPr>
          <w:rFonts w:cs="Arial"/>
        </w:rPr>
        <w:t>or narrative sediment quality objectives</w:t>
      </w:r>
      <w:r w:rsidR="00DF197B">
        <w:rPr>
          <w:rFonts w:cs="Arial"/>
        </w:rPr>
        <w:t xml:space="preserve"> are exceeded</w:t>
      </w:r>
      <w:r w:rsidR="00EA28FC">
        <w:rPr>
          <w:rFonts w:cs="Arial"/>
        </w:rPr>
        <w:t xml:space="preserve">. </w:t>
      </w:r>
      <w:r w:rsidR="00FF2C23" w:rsidRPr="00FF2C23">
        <w:rPr>
          <w:rFonts w:cs="Arial"/>
        </w:rPr>
        <w:t>(</w:t>
      </w:r>
      <w:bookmarkStart w:id="64" w:name="_Hlk123307803"/>
      <w:r w:rsidR="00B0105E" w:rsidRPr="007D4258">
        <w:rPr>
          <w:rFonts w:cs="Arial"/>
          <w:i/>
          <w:iCs/>
        </w:rPr>
        <w:t>Id</w:t>
      </w:r>
      <w:r w:rsidR="00B0105E">
        <w:rPr>
          <w:rFonts w:cs="Arial"/>
        </w:rPr>
        <w:t xml:space="preserve">., </w:t>
      </w:r>
      <w:bookmarkEnd w:id="64"/>
      <w:r w:rsidR="00735423">
        <w:rPr>
          <w:rFonts w:cs="Arial"/>
        </w:rPr>
        <w:t xml:space="preserve">section </w:t>
      </w:r>
      <w:r w:rsidR="00C5660E">
        <w:rPr>
          <w:rFonts w:cs="Arial"/>
        </w:rPr>
        <w:t>3.6</w:t>
      </w:r>
      <w:r w:rsidR="00B0105E">
        <w:rPr>
          <w:rFonts w:cs="Arial"/>
        </w:rPr>
        <w:t>.</w:t>
      </w:r>
      <w:r w:rsidR="003A68DC">
        <w:rPr>
          <w:rFonts w:cs="Arial"/>
        </w:rPr>
        <w:t>)</w:t>
      </w:r>
      <w:r w:rsidR="006B3F5B">
        <w:rPr>
          <w:rFonts w:cs="Arial"/>
        </w:rPr>
        <w:t xml:space="preserve"> </w:t>
      </w:r>
    </w:p>
    <w:p w14:paraId="2D460542" w14:textId="49A7E1D0" w:rsidR="007710C3" w:rsidRPr="004502A9" w:rsidRDefault="007710C3" w:rsidP="00A67AFD">
      <w:pPr>
        <w:pStyle w:val="ListParagraph"/>
        <w:numPr>
          <w:ilvl w:val="0"/>
          <w:numId w:val="9"/>
        </w:numPr>
        <w:rPr>
          <w:rFonts w:cs="Arial"/>
        </w:rPr>
      </w:pPr>
      <w:r w:rsidRPr="004502A9">
        <w:rPr>
          <w:rFonts w:cs="Arial"/>
        </w:rPr>
        <w:t xml:space="preserve">Nuisance condition </w:t>
      </w:r>
      <w:r w:rsidR="00F61DB3">
        <w:rPr>
          <w:rFonts w:cs="Arial"/>
        </w:rPr>
        <w:t>data</w:t>
      </w:r>
      <w:r w:rsidRPr="004502A9">
        <w:rPr>
          <w:rFonts w:cs="Arial"/>
        </w:rPr>
        <w:t xml:space="preserve"> for odor, taste, excessive algae growth, foam, turbidity, oil, trash, litter, </w:t>
      </w:r>
      <w:r w:rsidR="00F46EB8">
        <w:rPr>
          <w:rFonts w:cs="Arial"/>
        </w:rPr>
        <w:t>or</w:t>
      </w:r>
      <w:r w:rsidRPr="004502A9">
        <w:rPr>
          <w:rFonts w:cs="Arial"/>
        </w:rPr>
        <w:t xml:space="preserve"> color </w:t>
      </w:r>
      <w:r w:rsidR="005F78B5">
        <w:rPr>
          <w:rFonts w:cs="Arial"/>
        </w:rPr>
        <w:t xml:space="preserve">exceed </w:t>
      </w:r>
      <w:r w:rsidR="00406718">
        <w:rPr>
          <w:rFonts w:cs="Arial"/>
        </w:rPr>
        <w:t>evaluation guidelines</w:t>
      </w:r>
      <w:r w:rsidRPr="004502A9">
        <w:rPr>
          <w:rFonts w:cs="Arial"/>
        </w:rPr>
        <w:t xml:space="preserve"> </w:t>
      </w:r>
      <w:r w:rsidR="00802F82">
        <w:rPr>
          <w:rFonts w:cs="Arial"/>
        </w:rPr>
        <w:t>or</w:t>
      </w:r>
      <w:r w:rsidR="00EE0E5E">
        <w:rPr>
          <w:rFonts w:cs="Arial"/>
        </w:rPr>
        <w:t xml:space="preserve"> </w:t>
      </w:r>
      <w:r w:rsidR="00BB40A3">
        <w:rPr>
          <w:rFonts w:cs="Arial"/>
        </w:rPr>
        <w:t xml:space="preserve">a </w:t>
      </w:r>
      <w:r w:rsidR="00F9660E">
        <w:rPr>
          <w:rFonts w:cs="Arial"/>
        </w:rPr>
        <w:t>significant</w:t>
      </w:r>
      <w:r w:rsidR="00E824AF">
        <w:rPr>
          <w:rFonts w:cs="Arial"/>
        </w:rPr>
        <w:t xml:space="preserve"> nuisance condition</w:t>
      </w:r>
      <w:r w:rsidR="00F9660E">
        <w:rPr>
          <w:rFonts w:cs="Arial"/>
        </w:rPr>
        <w:t xml:space="preserve"> </w:t>
      </w:r>
      <w:r w:rsidR="00802F82">
        <w:rPr>
          <w:rFonts w:cs="Arial"/>
        </w:rPr>
        <w:t>exist</w:t>
      </w:r>
      <w:r w:rsidR="0017506C">
        <w:rPr>
          <w:rFonts w:cs="Arial"/>
        </w:rPr>
        <w:t>s</w:t>
      </w:r>
      <w:r w:rsidR="00802F82">
        <w:rPr>
          <w:rFonts w:cs="Arial"/>
        </w:rPr>
        <w:t xml:space="preserve"> </w:t>
      </w:r>
      <w:r w:rsidRPr="004502A9">
        <w:rPr>
          <w:rFonts w:cs="Arial"/>
        </w:rPr>
        <w:t xml:space="preserve">when compared to reference conditions. </w:t>
      </w:r>
      <w:r w:rsidR="00734F56">
        <w:rPr>
          <w:rFonts w:cs="Arial"/>
        </w:rPr>
        <w:t>(</w:t>
      </w:r>
      <w:r w:rsidR="00B0105E" w:rsidRPr="007A166E">
        <w:rPr>
          <w:rFonts w:cs="Arial"/>
          <w:i/>
          <w:iCs/>
        </w:rPr>
        <w:t>Id</w:t>
      </w:r>
      <w:r w:rsidR="00B0105E">
        <w:rPr>
          <w:rFonts w:cs="Arial"/>
        </w:rPr>
        <w:t xml:space="preserve">., </w:t>
      </w:r>
      <w:r w:rsidR="00735423">
        <w:rPr>
          <w:rFonts w:cs="Arial"/>
        </w:rPr>
        <w:t xml:space="preserve">section </w:t>
      </w:r>
      <w:r w:rsidRPr="004502A9">
        <w:rPr>
          <w:rFonts w:cs="Arial"/>
        </w:rPr>
        <w:t>3.7</w:t>
      </w:r>
      <w:r w:rsidR="00186C86">
        <w:rPr>
          <w:rFonts w:cs="Arial"/>
        </w:rPr>
        <w:t>.</w:t>
      </w:r>
      <w:r w:rsidR="00734F56">
        <w:rPr>
          <w:rFonts w:cs="Arial"/>
        </w:rPr>
        <w:t>)</w:t>
      </w:r>
    </w:p>
    <w:p w14:paraId="72446EF8" w14:textId="4A92E0CA" w:rsidR="007710C3" w:rsidRPr="004502A9" w:rsidRDefault="007710C3" w:rsidP="00A67AFD">
      <w:pPr>
        <w:pStyle w:val="ListParagraph"/>
        <w:numPr>
          <w:ilvl w:val="0"/>
          <w:numId w:val="9"/>
        </w:numPr>
        <w:rPr>
          <w:rFonts w:cs="Arial"/>
        </w:rPr>
      </w:pPr>
      <w:r w:rsidRPr="004502A9">
        <w:rPr>
          <w:rFonts w:cs="Arial"/>
        </w:rPr>
        <w:t xml:space="preserve">Adverse biological response is measured in resident individuals as compared to reference conditions and the impacts are associated with water or sediment concentrations of pollutants. </w:t>
      </w:r>
      <w:r w:rsidR="0026265A">
        <w:rPr>
          <w:rFonts w:cs="Arial"/>
        </w:rPr>
        <w:t>(</w:t>
      </w:r>
      <w:r w:rsidR="009B3BFD" w:rsidRPr="007A166E">
        <w:rPr>
          <w:rFonts w:cs="Arial"/>
          <w:i/>
          <w:iCs/>
        </w:rPr>
        <w:t>Id</w:t>
      </w:r>
      <w:r w:rsidR="009B3BFD">
        <w:rPr>
          <w:rFonts w:cs="Arial"/>
        </w:rPr>
        <w:t xml:space="preserve">., </w:t>
      </w:r>
      <w:r w:rsidR="00735423">
        <w:rPr>
          <w:rFonts w:cs="Arial"/>
        </w:rPr>
        <w:t xml:space="preserve">section </w:t>
      </w:r>
      <w:r w:rsidRPr="004502A9">
        <w:rPr>
          <w:rFonts w:cs="Arial"/>
        </w:rPr>
        <w:t>3.8</w:t>
      </w:r>
      <w:r w:rsidR="00186C86">
        <w:rPr>
          <w:rFonts w:cs="Arial"/>
        </w:rPr>
        <w:t>.</w:t>
      </w:r>
      <w:r w:rsidR="0026265A">
        <w:rPr>
          <w:rFonts w:cs="Arial"/>
        </w:rPr>
        <w:t>)</w:t>
      </w:r>
    </w:p>
    <w:p w14:paraId="46621090" w14:textId="31949297" w:rsidR="007710C3" w:rsidRPr="004502A9" w:rsidRDefault="007710C3" w:rsidP="00A67AFD">
      <w:pPr>
        <w:pStyle w:val="ListParagraph"/>
        <w:numPr>
          <w:ilvl w:val="0"/>
          <w:numId w:val="9"/>
        </w:numPr>
        <w:rPr>
          <w:rFonts w:cs="Arial"/>
        </w:rPr>
      </w:pPr>
      <w:r w:rsidRPr="004502A9">
        <w:rPr>
          <w:rFonts w:cs="Arial"/>
        </w:rPr>
        <w:t xml:space="preserve">Significant degradation of biological populations and/or communities is exhibited as compared to reference sites and is associated with water or sediment concentrations of pollutants. </w:t>
      </w:r>
      <w:r w:rsidR="0026265A">
        <w:rPr>
          <w:rFonts w:cs="Arial"/>
        </w:rPr>
        <w:t>(</w:t>
      </w:r>
      <w:r w:rsidR="009B3BFD" w:rsidRPr="007A166E">
        <w:rPr>
          <w:rFonts w:cs="Arial"/>
          <w:i/>
          <w:iCs/>
        </w:rPr>
        <w:t>Id</w:t>
      </w:r>
      <w:r w:rsidR="009B3BFD">
        <w:rPr>
          <w:rFonts w:cs="Arial"/>
        </w:rPr>
        <w:t xml:space="preserve">., </w:t>
      </w:r>
      <w:r w:rsidR="00735423">
        <w:rPr>
          <w:rFonts w:cs="Arial"/>
        </w:rPr>
        <w:t xml:space="preserve">section </w:t>
      </w:r>
      <w:r w:rsidRPr="004502A9">
        <w:rPr>
          <w:rFonts w:cs="Arial"/>
        </w:rPr>
        <w:t>3.9</w:t>
      </w:r>
      <w:r w:rsidR="00186C86">
        <w:rPr>
          <w:rFonts w:cs="Arial"/>
        </w:rPr>
        <w:t>.</w:t>
      </w:r>
      <w:r w:rsidR="000606E2">
        <w:rPr>
          <w:rFonts w:cs="Arial"/>
        </w:rPr>
        <w:t>)</w:t>
      </w:r>
    </w:p>
    <w:p w14:paraId="3B223084" w14:textId="06B16D75" w:rsidR="007710C3" w:rsidRPr="004502A9" w:rsidRDefault="007710C3" w:rsidP="00A67AFD">
      <w:pPr>
        <w:pStyle w:val="ListParagraph"/>
        <w:numPr>
          <w:ilvl w:val="0"/>
          <w:numId w:val="9"/>
        </w:numPr>
        <w:rPr>
          <w:rFonts w:cs="Arial"/>
        </w:rPr>
      </w:pPr>
      <w:r w:rsidRPr="004502A9">
        <w:rPr>
          <w:rFonts w:cs="Arial"/>
        </w:rPr>
        <w:t xml:space="preserve">A trend of declining water quality standards attainment is exhibited. </w:t>
      </w:r>
      <w:r w:rsidR="0026265A">
        <w:rPr>
          <w:rFonts w:cs="Arial"/>
        </w:rPr>
        <w:t>(</w:t>
      </w:r>
      <w:r w:rsidR="009B3BFD" w:rsidRPr="007A166E">
        <w:rPr>
          <w:rFonts w:cs="Arial"/>
          <w:i/>
          <w:iCs/>
        </w:rPr>
        <w:t>Id</w:t>
      </w:r>
      <w:r w:rsidR="009B3BFD">
        <w:rPr>
          <w:rFonts w:cs="Arial"/>
        </w:rPr>
        <w:t xml:space="preserve">., </w:t>
      </w:r>
      <w:r w:rsidR="00735423">
        <w:rPr>
          <w:rFonts w:cs="Arial"/>
        </w:rPr>
        <w:t>section</w:t>
      </w:r>
      <w:r w:rsidR="00735423" w:rsidRPr="004502A9">
        <w:rPr>
          <w:rFonts w:cs="Arial"/>
        </w:rPr>
        <w:t xml:space="preserve"> </w:t>
      </w:r>
      <w:r w:rsidRPr="004502A9">
        <w:rPr>
          <w:rFonts w:cs="Arial"/>
        </w:rPr>
        <w:t>3.10</w:t>
      </w:r>
      <w:r w:rsidR="00186C86">
        <w:rPr>
          <w:rFonts w:cs="Arial"/>
        </w:rPr>
        <w:t>.</w:t>
      </w:r>
      <w:r w:rsidR="0026265A">
        <w:rPr>
          <w:rFonts w:cs="Arial"/>
        </w:rPr>
        <w:t>)</w:t>
      </w:r>
    </w:p>
    <w:p w14:paraId="29AC0761" w14:textId="33D0C290" w:rsidR="007710C3" w:rsidRDefault="007710C3" w:rsidP="00A67AFD">
      <w:pPr>
        <w:pStyle w:val="ListParagraph"/>
        <w:numPr>
          <w:ilvl w:val="0"/>
          <w:numId w:val="9"/>
        </w:numPr>
        <w:rPr>
          <w:rFonts w:cs="Arial"/>
        </w:rPr>
      </w:pPr>
      <w:r w:rsidRPr="004502A9">
        <w:rPr>
          <w:rFonts w:cs="Arial"/>
        </w:rPr>
        <w:t xml:space="preserve">The </w:t>
      </w:r>
      <w:r w:rsidR="004A4143">
        <w:rPr>
          <w:rFonts w:cs="Arial"/>
        </w:rPr>
        <w:t xml:space="preserve">situation-specific </w:t>
      </w:r>
      <w:r w:rsidRPr="004502A9">
        <w:rPr>
          <w:rFonts w:cs="Arial"/>
        </w:rPr>
        <w:t xml:space="preserve">weight of evidence </w:t>
      </w:r>
      <w:r w:rsidR="004A4143">
        <w:rPr>
          <w:rFonts w:cs="Arial"/>
        </w:rPr>
        <w:t xml:space="preserve">listing factor may be applied when all other listing factors </w:t>
      </w:r>
      <w:r w:rsidR="00C052AD">
        <w:rPr>
          <w:rFonts w:cs="Arial"/>
        </w:rPr>
        <w:t>do not result in the listing of a waterbody segment, but information indicates non-attainment of standards</w:t>
      </w:r>
      <w:r w:rsidR="00C7445B">
        <w:rPr>
          <w:rFonts w:cs="Arial"/>
        </w:rPr>
        <w:t xml:space="preserve">. Specific justification must be provided, as per the </w:t>
      </w:r>
      <w:r w:rsidR="00ED6DBC">
        <w:rPr>
          <w:rFonts w:cs="Arial"/>
        </w:rPr>
        <w:t>Listing Policy</w:t>
      </w:r>
      <w:r w:rsidR="00C7445B">
        <w:rPr>
          <w:rFonts w:cs="Arial"/>
        </w:rPr>
        <w:t>, when the situation-specific weight of evidence listing factor is applied</w:t>
      </w:r>
      <w:r w:rsidR="00EA28FC">
        <w:rPr>
          <w:rFonts w:cs="Arial"/>
        </w:rPr>
        <w:t xml:space="preserve">. </w:t>
      </w:r>
      <w:r w:rsidR="0026265A">
        <w:rPr>
          <w:rFonts w:cs="Arial"/>
        </w:rPr>
        <w:t>(</w:t>
      </w:r>
      <w:r w:rsidR="009B3BFD" w:rsidRPr="007A166E">
        <w:rPr>
          <w:rFonts w:cs="Arial"/>
          <w:i/>
          <w:iCs/>
        </w:rPr>
        <w:t>Id</w:t>
      </w:r>
      <w:r w:rsidR="009B3BFD">
        <w:rPr>
          <w:rFonts w:cs="Arial"/>
        </w:rPr>
        <w:t xml:space="preserve">., </w:t>
      </w:r>
      <w:r w:rsidR="00735423">
        <w:rPr>
          <w:rFonts w:cs="Arial"/>
        </w:rPr>
        <w:t xml:space="preserve">section </w:t>
      </w:r>
      <w:r w:rsidRPr="004502A9">
        <w:rPr>
          <w:rFonts w:cs="Arial"/>
        </w:rPr>
        <w:t>3.11</w:t>
      </w:r>
      <w:r w:rsidR="00186C86">
        <w:rPr>
          <w:rFonts w:cs="Arial"/>
        </w:rPr>
        <w:t>.</w:t>
      </w:r>
      <w:r w:rsidR="004A4143">
        <w:rPr>
          <w:rFonts w:cs="Arial"/>
        </w:rPr>
        <w:t>)</w:t>
      </w:r>
    </w:p>
    <w:p w14:paraId="680E876D" w14:textId="2690E284" w:rsidR="00CB6314" w:rsidRPr="00CB6314" w:rsidRDefault="00CF15FE" w:rsidP="005632BC">
      <w:pPr>
        <w:pStyle w:val="Heading4"/>
      </w:pPr>
      <w:r>
        <w:t>Delisting Factors</w:t>
      </w:r>
    </w:p>
    <w:p w14:paraId="47A3DC65" w14:textId="790B400B" w:rsidR="007710C3" w:rsidRPr="004502A9" w:rsidRDefault="00130003" w:rsidP="007710C3">
      <w:pPr>
        <w:rPr>
          <w:rFonts w:cs="Arial"/>
        </w:rPr>
      </w:pPr>
      <w:r w:rsidRPr="00B53672">
        <w:rPr>
          <w:rFonts w:cs="Arial"/>
        </w:rPr>
        <w:t xml:space="preserve">Section 4 of the Listing Policy consists of “delisting factors” 4.1 through 4.11 used to evaluate whether waters should be removed from the 303(d) list. </w:t>
      </w:r>
      <w:r w:rsidR="007710C3" w:rsidRPr="004502A9">
        <w:rPr>
          <w:rFonts w:cs="Arial"/>
        </w:rPr>
        <w:t>Delisting</w:t>
      </w:r>
      <w:r w:rsidR="00A557BA">
        <w:rPr>
          <w:rFonts w:cs="Arial"/>
        </w:rPr>
        <w:t>, or removing,</w:t>
      </w:r>
      <w:r w:rsidR="00EA4336">
        <w:rPr>
          <w:rFonts w:cs="Arial"/>
        </w:rPr>
        <w:t xml:space="preserve"> </w:t>
      </w:r>
      <w:r w:rsidR="007710C3" w:rsidRPr="004502A9">
        <w:rPr>
          <w:rFonts w:cs="Arial"/>
        </w:rPr>
        <w:t xml:space="preserve">a waterbody-pollutant combination from the existing 303(d) </w:t>
      </w:r>
      <w:r w:rsidR="00CE0357">
        <w:rPr>
          <w:rFonts w:cs="Arial"/>
        </w:rPr>
        <w:t>l</w:t>
      </w:r>
      <w:r w:rsidR="007710C3" w:rsidRPr="004502A9">
        <w:rPr>
          <w:rFonts w:cs="Arial"/>
        </w:rPr>
        <w:t xml:space="preserve">ist is recommended if adequate data exist to show that any of the following </w:t>
      </w:r>
      <w:r w:rsidR="00535D89">
        <w:rPr>
          <w:rFonts w:cs="Arial"/>
        </w:rPr>
        <w:t>conditions are met:</w:t>
      </w:r>
    </w:p>
    <w:p w14:paraId="744AE575" w14:textId="391908EE" w:rsidR="007710C3" w:rsidRPr="004502A9" w:rsidRDefault="00ED0092" w:rsidP="00A67AFD">
      <w:pPr>
        <w:pStyle w:val="ListParagraph"/>
        <w:numPr>
          <w:ilvl w:val="0"/>
          <w:numId w:val="2"/>
        </w:numPr>
        <w:rPr>
          <w:rFonts w:cs="Arial"/>
        </w:rPr>
      </w:pPr>
      <w:r w:rsidRPr="004502A9">
        <w:rPr>
          <w:rFonts w:cs="Arial"/>
        </w:rPr>
        <w:t>Numeric data</w:t>
      </w:r>
      <w:r>
        <w:rPr>
          <w:rFonts w:cs="Arial"/>
        </w:rPr>
        <w:t xml:space="preserve"> do not</w:t>
      </w:r>
      <w:r w:rsidRPr="004502A9">
        <w:rPr>
          <w:rFonts w:cs="Arial"/>
        </w:rPr>
        <w:t xml:space="preserve"> exceed </w:t>
      </w:r>
      <w:r>
        <w:t>water quality objectives for toxic pollutants, including maximum contaminant levels where applicable, or California/National Toxics Rule water quality criteria</w:t>
      </w:r>
      <w:r w:rsidRPr="004502A9">
        <w:rPr>
          <w:rFonts w:cs="Arial"/>
        </w:rPr>
        <w:t xml:space="preserve"> more than the prescribed number of times. The number of times varies by the number of samples and is based on a </w:t>
      </w:r>
      <w:r w:rsidRPr="00A77F54">
        <w:rPr>
          <w:rFonts w:cs="Arial"/>
        </w:rPr>
        <w:t>binomial distribution</w:t>
      </w:r>
      <w:r w:rsidR="009800E0">
        <w:rPr>
          <w:rFonts w:cs="Arial"/>
        </w:rPr>
        <w:t>.</w:t>
      </w:r>
      <w:r w:rsidR="007710C3" w:rsidRPr="004502A9">
        <w:rPr>
          <w:rFonts w:cs="Arial"/>
        </w:rPr>
        <w:t xml:space="preserve"> </w:t>
      </w:r>
      <w:r w:rsidR="00602445">
        <w:rPr>
          <w:rFonts w:cs="Arial"/>
        </w:rPr>
        <w:t>(</w:t>
      </w:r>
      <w:r w:rsidR="007710C3" w:rsidRPr="004502A9">
        <w:rPr>
          <w:rFonts w:cs="Arial"/>
        </w:rPr>
        <w:t>Listing Policy</w:t>
      </w:r>
      <w:r w:rsidR="00535D89">
        <w:rPr>
          <w:rFonts w:cs="Arial"/>
        </w:rPr>
        <w:t xml:space="preserve">, </w:t>
      </w:r>
      <w:r w:rsidR="00735423">
        <w:rPr>
          <w:rFonts w:cs="Arial"/>
        </w:rPr>
        <w:t>section</w:t>
      </w:r>
      <w:r w:rsidR="007710C3" w:rsidRPr="004502A9">
        <w:rPr>
          <w:rFonts w:cs="Arial"/>
        </w:rPr>
        <w:t xml:space="preserve"> 4.1</w:t>
      </w:r>
      <w:r w:rsidR="00535D89">
        <w:rPr>
          <w:rFonts w:cs="Arial"/>
        </w:rPr>
        <w:t>.</w:t>
      </w:r>
      <w:r w:rsidR="00EA28FC">
        <w:rPr>
          <w:rFonts w:cs="Arial"/>
        </w:rPr>
        <w:t>)</w:t>
      </w:r>
    </w:p>
    <w:p w14:paraId="425942D9" w14:textId="492AF1AA" w:rsidR="00A7516B" w:rsidRPr="004502A9" w:rsidRDefault="00A7516B" w:rsidP="00A67AFD">
      <w:pPr>
        <w:pStyle w:val="ListParagraph"/>
        <w:numPr>
          <w:ilvl w:val="0"/>
          <w:numId w:val="2"/>
        </w:numPr>
        <w:rPr>
          <w:rFonts w:cs="Arial"/>
        </w:rPr>
      </w:pPr>
      <w:r w:rsidRPr="004502A9">
        <w:rPr>
          <w:rFonts w:cs="Arial"/>
        </w:rPr>
        <w:t xml:space="preserve">Numeric data </w:t>
      </w:r>
      <w:r>
        <w:rPr>
          <w:rFonts w:cs="Arial"/>
        </w:rPr>
        <w:t xml:space="preserve">do not </w:t>
      </w:r>
      <w:r w:rsidRPr="004502A9">
        <w:rPr>
          <w:rFonts w:cs="Arial"/>
        </w:rPr>
        <w:t xml:space="preserve">exceed </w:t>
      </w:r>
      <w:r>
        <w:t xml:space="preserve">water quality objectives for conventional pollutants </w:t>
      </w:r>
      <w:r w:rsidRPr="004502A9">
        <w:rPr>
          <w:rFonts w:cs="Arial"/>
        </w:rPr>
        <w:t xml:space="preserve">more than the prescribed number of times. The number of times varies by the number of samples and is based on a </w:t>
      </w:r>
      <w:r w:rsidRPr="00A77F54">
        <w:rPr>
          <w:rFonts w:cs="Arial"/>
        </w:rPr>
        <w:t>binomial distribution</w:t>
      </w:r>
      <w:r>
        <w:rPr>
          <w:rFonts w:cs="Arial"/>
        </w:rPr>
        <w:t xml:space="preserve">. </w:t>
      </w:r>
      <w:r>
        <w:rPr>
          <w:rFonts w:cs="Arial"/>
          <w:i/>
          <w:iCs/>
        </w:rPr>
        <w:t>(</w:t>
      </w:r>
      <w:r w:rsidRPr="007A166E">
        <w:rPr>
          <w:rFonts w:cs="Arial"/>
          <w:i/>
          <w:iCs/>
        </w:rPr>
        <w:t>Id</w:t>
      </w:r>
      <w:r>
        <w:rPr>
          <w:rFonts w:cs="Arial"/>
          <w:i/>
          <w:iCs/>
        </w:rPr>
        <w:t>.</w:t>
      </w:r>
      <w:r w:rsidRPr="0048662D">
        <w:rPr>
          <w:rFonts w:cs="Arial"/>
        </w:rPr>
        <w:t xml:space="preserve">, </w:t>
      </w:r>
      <w:r w:rsidR="00735423">
        <w:rPr>
          <w:rFonts w:cs="Arial"/>
        </w:rPr>
        <w:t xml:space="preserve">section </w:t>
      </w:r>
      <w:r w:rsidR="001B4BDE">
        <w:rPr>
          <w:rFonts w:cs="Arial"/>
        </w:rPr>
        <w:t>4</w:t>
      </w:r>
      <w:r>
        <w:rPr>
          <w:rFonts w:cs="Arial"/>
        </w:rPr>
        <w:t>.2.)</w:t>
      </w:r>
    </w:p>
    <w:p w14:paraId="56A207E0" w14:textId="1CC8EF0A" w:rsidR="0001788F" w:rsidRPr="004502A9" w:rsidRDefault="00EC2EA3" w:rsidP="00A67AFD">
      <w:pPr>
        <w:pStyle w:val="ListParagraph"/>
        <w:numPr>
          <w:ilvl w:val="0"/>
          <w:numId w:val="2"/>
        </w:numPr>
        <w:rPr>
          <w:rFonts w:cs="Arial"/>
        </w:rPr>
      </w:pPr>
      <w:r>
        <w:rPr>
          <w:rFonts w:cs="Arial"/>
        </w:rPr>
        <w:t>A</w:t>
      </w:r>
      <w:r w:rsidR="00170857">
        <w:rPr>
          <w:rFonts w:cs="Arial"/>
        </w:rPr>
        <w:t xml:space="preserve"> listing </w:t>
      </w:r>
      <w:r w:rsidR="000F07FE">
        <w:rPr>
          <w:rFonts w:cs="Arial"/>
        </w:rPr>
        <w:t>was based on faulty data</w:t>
      </w:r>
      <w:r>
        <w:rPr>
          <w:rFonts w:cs="Arial"/>
        </w:rPr>
        <w:t>, or o</w:t>
      </w:r>
      <w:r w:rsidR="00B332BE" w:rsidRPr="00B332BE">
        <w:rPr>
          <w:rFonts w:cs="Arial"/>
        </w:rPr>
        <w:t>bjectives or standards have been revised</w:t>
      </w:r>
      <w:r w:rsidR="00C75166">
        <w:rPr>
          <w:rFonts w:cs="Arial"/>
        </w:rPr>
        <w:t>.</w:t>
      </w:r>
      <w:r w:rsidR="00B332BE">
        <w:rPr>
          <w:rFonts w:cs="Arial"/>
        </w:rPr>
        <w:t xml:space="preserve"> (</w:t>
      </w:r>
      <w:r w:rsidR="00535D89" w:rsidRPr="00186C86">
        <w:rPr>
          <w:rFonts w:cs="Arial"/>
          <w:i/>
          <w:iCs/>
        </w:rPr>
        <w:t>Id</w:t>
      </w:r>
      <w:r w:rsidR="00535D89">
        <w:rPr>
          <w:rFonts w:cs="Arial"/>
        </w:rPr>
        <w:t xml:space="preserve">., </w:t>
      </w:r>
      <w:r w:rsidR="00735423">
        <w:rPr>
          <w:rFonts w:cs="Arial"/>
        </w:rPr>
        <w:t xml:space="preserve">section </w:t>
      </w:r>
      <w:r w:rsidR="00B332BE">
        <w:rPr>
          <w:rFonts w:cs="Arial"/>
        </w:rPr>
        <w:t>4</w:t>
      </w:r>
      <w:r w:rsidR="00535D89">
        <w:rPr>
          <w:rFonts w:cs="Arial"/>
        </w:rPr>
        <w:t>.</w:t>
      </w:r>
      <w:r w:rsidR="00B332BE">
        <w:rPr>
          <w:rFonts w:cs="Arial"/>
        </w:rPr>
        <w:t>)</w:t>
      </w:r>
    </w:p>
    <w:p w14:paraId="0279F5CA" w14:textId="2390F5FC" w:rsidR="00FB5D1C" w:rsidRDefault="00804DC6" w:rsidP="00A67AFD">
      <w:pPr>
        <w:pStyle w:val="ListParagraph"/>
        <w:numPr>
          <w:ilvl w:val="0"/>
          <w:numId w:val="2"/>
        </w:numPr>
        <w:rPr>
          <w:rFonts w:cs="Arial"/>
        </w:rPr>
      </w:pPr>
      <w:r>
        <w:rPr>
          <w:rFonts w:cs="Arial"/>
        </w:rPr>
        <w:t>B</w:t>
      </w:r>
      <w:r w:rsidR="004E4968" w:rsidRPr="00314EC3">
        <w:rPr>
          <w:rFonts w:cs="Arial"/>
        </w:rPr>
        <w:t xml:space="preserve">acteria </w:t>
      </w:r>
      <w:r w:rsidR="00D42AAB">
        <w:rPr>
          <w:rFonts w:cs="Arial"/>
        </w:rPr>
        <w:t>data do not exceed</w:t>
      </w:r>
      <w:r w:rsidR="004E4968" w:rsidRPr="00314EC3">
        <w:rPr>
          <w:rFonts w:cs="Arial"/>
        </w:rPr>
        <w:t xml:space="preserve"> water quality standards in California Code of Regulations, Basin Plans,</w:t>
      </w:r>
      <w:r w:rsidR="004E4968">
        <w:rPr>
          <w:rFonts w:cs="Arial"/>
        </w:rPr>
        <w:t xml:space="preserve"> </w:t>
      </w:r>
      <w:r w:rsidR="004E4968" w:rsidRPr="00314EC3">
        <w:rPr>
          <w:rFonts w:cs="Arial"/>
        </w:rPr>
        <w:t>or statewide plans</w:t>
      </w:r>
      <w:r w:rsidR="002B334F">
        <w:rPr>
          <w:rFonts w:cs="Arial"/>
        </w:rPr>
        <w:t xml:space="preserve"> based on the binomial distribution</w:t>
      </w:r>
      <w:r w:rsidR="004E2503">
        <w:rPr>
          <w:rFonts w:cs="Arial"/>
        </w:rPr>
        <w:t>, site specific exceedance frequ</w:t>
      </w:r>
      <w:r w:rsidR="002F3B63">
        <w:rPr>
          <w:rFonts w:cs="Arial"/>
        </w:rPr>
        <w:t>e</w:t>
      </w:r>
      <w:r w:rsidR="004E2503">
        <w:rPr>
          <w:rFonts w:cs="Arial"/>
        </w:rPr>
        <w:t>ncies or a four percent exceedance frequ</w:t>
      </w:r>
      <w:r w:rsidR="002F3B63">
        <w:rPr>
          <w:rFonts w:cs="Arial"/>
        </w:rPr>
        <w:t>e</w:t>
      </w:r>
      <w:r w:rsidR="004E2503">
        <w:rPr>
          <w:rFonts w:cs="Arial"/>
        </w:rPr>
        <w:t>ncy</w:t>
      </w:r>
      <w:r w:rsidR="004E4968">
        <w:rPr>
          <w:rFonts w:cs="Arial"/>
        </w:rPr>
        <w:t>. (</w:t>
      </w:r>
      <w:r w:rsidR="00535D89" w:rsidRPr="007A166E">
        <w:rPr>
          <w:rFonts w:cs="Arial"/>
          <w:i/>
          <w:iCs/>
        </w:rPr>
        <w:t>Id</w:t>
      </w:r>
      <w:r w:rsidR="00535D89">
        <w:rPr>
          <w:rFonts w:cs="Arial"/>
        </w:rPr>
        <w:t xml:space="preserve">., </w:t>
      </w:r>
      <w:r w:rsidR="00735423">
        <w:rPr>
          <w:rFonts w:cs="Arial"/>
        </w:rPr>
        <w:t xml:space="preserve">section </w:t>
      </w:r>
      <w:r w:rsidR="004E4968">
        <w:rPr>
          <w:rFonts w:cs="Arial"/>
        </w:rPr>
        <w:t>4.3</w:t>
      </w:r>
      <w:r w:rsidR="00535D89">
        <w:rPr>
          <w:rFonts w:cs="Arial"/>
        </w:rPr>
        <w:t>.</w:t>
      </w:r>
      <w:r w:rsidR="004E4968">
        <w:rPr>
          <w:rFonts w:cs="Arial"/>
        </w:rPr>
        <w:t>)</w:t>
      </w:r>
    </w:p>
    <w:p w14:paraId="7851A061" w14:textId="0B397AB9" w:rsidR="007710C3" w:rsidRPr="004502A9" w:rsidRDefault="007710C3" w:rsidP="00A67AFD">
      <w:pPr>
        <w:pStyle w:val="ListParagraph"/>
        <w:numPr>
          <w:ilvl w:val="0"/>
          <w:numId w:val="2"/>
        </w:numPr>
        <w:rPr>
          <w:rFonts w:cs="Arial"/>
        </w:rPr>
      </w:pPr>
      <w:r w:rsidRPr="004502A9">
        <w:rPr>
          <w:rFonts w:cs="Arial"/>
        </w:rPr>
        <w:t xml:space="preserve">A health advisory has been removed or the evaluation guideline is no longer exceeded. </w:t>
      </w:r>
      <w:r w:rsidR="002417DA">
        <w:rPr>
          <w:rFonts w:cs="Arial"/>
        </w:rPr>
        <w:t>(</w:t>
      </w:r>
      <w:r w:rsidR="00535D89" w:rsidRPr="007A166E">
        <w:rPr>
          <w:rFonts w:cs="Arial"/>
          <w:i/>
          <w:iCs/>
        </w:rPr>
        <w:t>Id</w:t>
      </w:r>
      <w:r w:rsidR="00535D89">
        <w:rPr>
          <w:rFonts w:cs="Arial"/>
        </w:rPr>
        <w:t xml:space="preserve">., </w:t>
      </w:r>
      <w:r w:rsidR="00735423">
        <w:rPr>
          <w:rFonts w:cs="Arial"/>
        </w:rPr>
        <w:t xml:space="preserve">section </w:t>
      </w:r>
      <w:r w:rsidRPr="004502A9">
        <w:rPr>
          <w:rFonts w:cs="Arial"/>
        </w:rPr>
        <w:t>4.4</w:t>
      </w:r>
      <w:r w:rsidR="00535D89">
        <w:rPr>
          <w:rFonts w:cs="Arial"/>
        </w:rPr>
        <w:t>.</w:t>
      </w:r>
      <w:r w:rsidR="002417DA">
        <w:rPr>
          <w:rFonts w:cs="Arial"/>
        </w:rPr>
        <w:t>)</w:t>
      </w:r>
    </w:p>
    <w:p w14:paraId="318D8038" w14:textId="3725CB32" w:rsidR="00133DDD" w:rsidRDefault="00C25BA1" w:rsidP="00A67AFD">
      <w:pPr>
        <w:pStyle w:val="ListParagraph"/>
        <w:numPr>
          <w:ilvl w:val="0"/>
          <w:numId w:val="2"/>
        </w:numPr>
        <w:rPr>
          <w:rFonts w:cs="Arial"/>
        </w:rPr>
      </w:pPr>
      <w:r>
        <w:rPr>
          <w:rFonts w:cs="Arial"/>
        </w:rPr>
        <w:t>T</w:t>
      </w:r>
      <w:r w:rsidR="00133DDD">
        <w:rPr>
          <w:rFonts w:cs="Arial"/>
        </w:rPr>
        <w:t xml:space="preserve">issue pollutant levels in organisms </w:t>
      </w:r>
      <w:r w:rsidR="00E46D19">
        <w:rPr>
          <w:rFonts w:cs="Arial"/>
        </w:rPr>
        <w:t xml:space="preserve">do not </w:t>
      </w:r>
      <w:r w:rsidR="00133DDD">
        <w:rPr>
          <w:rFonts w:cs="Arial"/>
        </w:rPr>
        <w:t>exceed a pollutant-specific evaluation guideline. (</w:t>
      </w:r>
      <w:r w:rsidR="00535D89" w:rsidRPr="007A166E">
        <w:rPr>
          <w:rFonts w:cs="Arial"/>
          <w:i/>
          <w:iCs/>
        </w:rPr>
        <w:t>Id</w:t>
      </w:r>
      <w:r w:rsidR="00535D89">
        <w:rPr>
          <w:rFonts w:cs="Arial"/>
        </w:rPr>
        <w:t xml:space="preserve">., </w:t>
      </w:r>
      <w:r w:rsidR="00735423">
        <w:rPr>
          <w:rFonts w:cs="Arial"/>
        </w:rPr>
        <w:t xml:space="preserve">section </w:t>
      </w:r>
      <w:r w:rsidR="004A3FA7">
        <w:rPr>
          <w:rFonts w:cs="Arial"/>
        </w:rPr>
        <w:t>4</w:t>
      </w:r>
      <w:r w:rsidR="00133DDD">
        <w:rPr>
          <w:rFonts w:cs="Arial"/>
        </w:rPr>
        <w:t>.5</w:t>
      </w:r>
      <w:r w:rsidR="00535D89">
        <w:rPr>
          <w:rFonts w:cs="Arial"/>
        </w:rPr>
        <w:t>.</w:t>
      </w:r>
      <w:r w:rsidR="00133DDD">
        <w:rPr>
          <w:rFonts w:cs="Arial"/>
        </w:rPr>
        <w:t xml:space="preserve">) </w:t>
      </w:r>
    </w:p>
    <w:p w14:paraId="0C104BC5" w14:textId="3FF11BA6" w:rsidR="003642A1" w:rsidRPr="003642A1" w:rsidRDefault="0096334B" w:rsidP="00A67AFD">
      <w:pPr>
        <w:pStyle w:val="ListParagraph"/>
        <w:numPr>
          <w:ilvl w:val="0"/>
          <w:numId w:val="2"/>
        </w:numPr>
        <w:rPr>
          <w:rFonts w:cs="Arial"/>
        </w:rPr>
      </w:pPr>
      <w:r>
        <w:rPr>
          <w:rFonts w:cs="Arial"/>
        </w:rPr>
        <w:t>W</w:t>
      </w:r>
      <w:r w:rsidR="00316959" w:rsidRPr="00FF2C23">
        <w:rPr>
          <w:rFonts w:cs="Arial"/>
        </w:rPr>
        <w:t>ater</w:t>
      </w:r>
      <w:r w:rsidR="002E799A">
        <w:rPr>
          <w:rFonts w:cs="Arial"/>
        </w:rPr>
        <w:t xml:space="preserve"> or </w:t>
      </w:r>
      <w:r w:rsidR="00316959" w:rsidRPr="00FF2C23">
        <w:rPr>
          <w:rFonts w:cs="Arial"/>
        </w:rPr>
        <w:t xml:space="preserve">sediment toxicity or </w:t>
      </w:r>
      <w:r w:rsidR="003B3D31">
        <w:rPr>
          <w:rFonts w:cs="Arial"/>
        </w:rPr>
        <w:t xml:space="preserve">associated water </w:t>
      </w:r>
      <w:r w:rsidR="00176CE7">
        <w:rPr>
          <w:rFonts w:cs="Arial"/>
        </w:rPr>
        <w:t xml:space="preserve">data </w:t>
      </w:r>
      <w:r w:rsidR="00EC6945">
        <w:rPr>
          <w:rFonts w:cs="Arial"/>
        </w:rPr>
        <w:t xml:space="preserve">do not </w:t>
      </w:r>
      <w:r w:rsidR="00316959" w:rsidRPr="00FF2C23">
        <w:rPr>
          <w:rFonts w:cs="Arial"/>
        </w:rPr>
        <w:t xml:space="preserve">exceed </w:t>
      </w:r>
      <w:r w:rsidR="006E485F">
        <w:rPr>
          <w:rFonts w:cs="Arial"/>
        </w:rPr>
        <w:t xml:space="preserve">water or </w:t>
      </w:r>
      <w:r w:rsidR="00251C5A">
        <w:rPr>
          <w:rFonts w:cs="Arial"/>
        </w:rPr>
        <w:t>sediment quality guidelines or</w:t>
      </w:r>
      <w:r w:rsidR="00316959" w:rsidRPr="00FF2C23">
        <w:rPr>
          <w:rFonts w:cs="Arial"/>
        </w:rPr>
        <w:t xml:space="preserve"> narrative sediment quality objectives</w:t>
      </w:r>
      <w:r w:rsidR="00316959">
        <w:rPr>
          <w:rFonts w:cs="Arial"/>
        </w:rPr>
        <w:t xml:space="preserve">. </w:t>
      </w:r>
      <w:r w:rsidR="00316959" w:rsidRPr="00FF2C23">
        <w:rPr>
          <w:rFonts w:cs="Arial"/>
        </w:rPr>
        <w:t>(</w:t>
      </w:r>
      <w:r w:rsidR="00535D89" w:rsidRPr="007A166E">
        <w:rPr>
          <w:rFonts w:cs="Arial"/>
          <w:i/>
          <w:iCs/>
        </w:rPr>
        <w:t>Id</w:t>
      </w:r>
      <w:r w:rsidR="00535D89">
        <w:rPr>
          <w:rFonts w:cs="Arial"/>
        </w:rPr>
        <w:t xml:space="preserve">., </w:t>
      </w:r>
      <w:r w:rsidR="00735423">
        <w:rPr>
          <w:rFonts w:cs="Arial"/>
        </w:rPr>
        <w:t xml:space="preserve">section </w:t>
      </w:r>
      <w:r w:rsidR="004A3FA7">
        <w:rPr>
          <w:rFonts w:cs="Arial"/>
        </w:rPr>
        <w:t>4</w:t>
      </w:r>
      <w:r w:rsidR="00316959">
        <w:rPr>
          <w:rFonts w:cs="Arial"/>
        </w:rPr>
        <w:t>.6</w:t>
      </w:r>
      <w:r w:rsidR="00535D89">
        <w:rPr>
          <w:rFonts w:cs="Arial"/>
        </w:rPr>
        <w:t>.</w:t>
      </w:r>
      <w:r w:rsidR="00316959">
        <w:rPr>
          <w:rFonts w:cs="Arial"/>
        </w:rPr>
        <w:t xml:space="preserve">) </w:t>
      </w:r>
    </w:p>
    <w:p w14:paraId="6E829236" w14:textId="1FBE8B05" w:rsidR="007710C3" w:rsidRPr="004502A9" w:rsidRDefault="00EF60E0" w:rsidP="00A67AFD">
      <w:pPr>
        <w:pStyle w:val="ListParagraph"/>
        <w:numPr>
          <w:ilvl w:val="0"/>
          <w:numId w:val="2"/>
        </w:numPr>
        <w:rPr>
          <w:rFonts w:cs="Arial"/>
        </w:rPr>
      </w:pPr>
      <w:r>
        <w:rPr>
          <w:rFonts w:cs="Arial"/>
        </w:rPr>
        <w:t>Nuisance</w:t>
      </w:r>
      <w:r w:rsidR="00253F0C">
        <w:rPr>
          <w:rFonts w:cs="Arial"/>
        </w:rPr>
        <w:t xml:space="preserve"> condition data </w:t>
      </w:r>
      <w:r w:rsidR="003C08DF">
        <w:rPr>
          <w:rFonts w:cs="Arial"/>
        </w:rPr>
        <w:t xml:space="preserve">no longer exceed evaluation guidelines or </w:t>
      </w:r>
      <w:r w:rsidR="0052156E">
        <w:rPr>
          <w:rFonts w:cs="Arial"/>
        </w:rPr>
        <w:t>there is no significant nuisance condition</w:t>
      </w:r>
      <w:r>
        <w:rPr>
          <w:rFonts w:cs="Arial"/>
        </w:rPr>
        <w:t xml:space="preserve"> when compared to reference conditions</w:t>
      </w:r>
      <w:r w:rsidR="007710C3" w:rsidRPr="004502A9">
        <w:rPr>
          <w:rFonts w:cs="Arial"/>
        </w:rPr>
        <w:t xml:space="preserve">. </w:t>
      </w:r>
      <w:r w:rsidR="003642A1">
        <w:rPr>
          <w:rFonts w:cs="Arial"/>
        </w:rPr>
        <w:t>(</w:t>
      </w:r>
      <w:r w:rsidR="00535D89" w:rsidRPr="007A166E">
        <w:rPr>
          <w:rFonts w:cs="Arial"/>
          <w:i/>
          <w:iCs/>
        </w:rPr>
        <w:t>Id</w:t>
      </w:r>
      <w:r w:rsidR="00535D89">
        <w:rPr>
          <w:rFonts w:cs="Arial"/>
        </w:rPr>
        <w:t xml:space="preserve">., </w:t>
      </w:r>
      <w:r w:rsidR="00946EED">
        <w:rPr>
          <w:rFonts w:cs="Arial"/>
        </w:rPr>
        <w:br/>
      </w:r>
      <w:r w:rsidR="00735423">
        <w:rPr>
          <w:rFonts w:cs="Arial"/>
        </w:rPr>
        <w:t xml:space="preserve">section </w:t>
      </w:r>
      <w:r w:rsidR="007710C3" w:rsidRPr="004502A9">
        <w:rPr>
          <w:rFonts w:cs="Arial"/>
        </w:rPr>
        <w:t>4.7</w:t>
      </w:r>
      <w:r w:rsidR="00535D89">
        <w:rPr>
          <w:rFonts w:cs="Arial"/>
        </w:rPr>
        <w:t>.</w:t>
      </w:r>
      <w:r w:rsidR="003642A1">
        <w:t>)</w:t>
      </w:r>
    </w:p>
    <w:p w14:paraId="22300DE4" w14:textId="6BE7FEE1" w:rsidR="007710C3" w:rsidRPr="004502A9" w:rsidRDefault="007710C3" w:rsidP="00A67AFD">
      <w:pPr>
        <w:pStyle w:val="ListParagraph"/>
        <w:numPr>
          <w:ilvl w:val="0"/>
          <w:numId w:val="2"/>
        </w:numPr>
        <w:rPr>
          <w:rFonts w:cs="Arial"/>
        </w:rPr>
      </w:pPr>
      <w:r w:rsidRPr="004502A9">
        <w:rPr>
          <w:rFonts w:cs="Arial"/>
        </w:rPr>
        <w:t xml:space="preserve">Adverse biological response is no longer evident or associated water or sediment pollutants are no longer exceeded. </w:t>
      </w:r>
      <w:r w:rsidR="003642A1">
        <w:rPr>
          <w:rFonts w:cs="Arial"/>
        </w:rPr>
        <w:t>(</w:t>
      </w:r>
      <w:r w:rsidR="00535D89" w:rsidRPr="007A166E">
        <w:rPr>
          <w:rFonts w:cs="Arial"/>
          <w:i/>
          <w:iCs/>
        </w:rPr>
        <w:t>Id</w:t>
      </w:r>
      <w:r w:rsidR="00535D89">
        <w:rPr>
          <w:rFonts w:cs="Arial"/>
        </w:rPr>
        <w:t xml:space="preserve">., </w:t>
      </w:r>
      <w:r w:rsidR="00735423">
        <w:rPr>
          <w:rFonts w:cs="Arial"/>
        </w:rPr>
        <w:t xml:space="preserve">section </w:t>
      </w:r>
      <w:r w:rsidRPr="004502A9">
        <w:rPr>
          <w:rFonts w:cs="Arial"/>
        </w:rPr>
        <w:t>4.8</w:t>
      </w:r>
      <w:r w:rsidR="00535D89">
        <w:rPr>
          <w:rFonts w:cs="Arial"/>
        </w:rPr>
        <w:t>.</w:t>
      </w:r>
      <w:r w:rsidR="003642A1">
        <w:rPr>
          <w:rFonts w:cs="Arial"/>
        </w:rPr>
        <w:t>)</w:t>
      </w:r>
    </w:p>
    <w:p w14:paraId="2891A970" w14:textId="3E29E331" w:rsidR="007710C3" w:rsidRPr="004502A9" w:rsidRDefault="007710C3" w:rsidP="00A67AFD">
      <w:pPr>
        <w:pStyle w:val="ListParagraph"/>
        <w:numPr>
          <w:ilvl w:val="0"/>
          <w:numId w:val="2"/>
        </w:numPr>
        <w:rPr>
          <w:rFonts w:cs="Arial"/>
        </w:rPr>
      </w:pPr>
      <w:r w:rsidRPr="004502A9">
        <w:rPr>
          <w:rFonts w:cs="Arial"/>
        </w:rPr>
        <w:t xml:space="preserve">Degradation of biological populations and/or communities is no longer evident or associated water or sediment pollutants are no longer exceeded. </w:t>
      </w:r>
      <w:r w:rsidR="003642A1">
        <w:rPr>
          <w:rFonts w:cs="Arial"/>
        </w:rPr>
        <w:t>(</w:t>
      </w:r>
      <w:r w:rsidR="00535D89" w:rsidRPr="007A166E">
        <w:rPr>
          <w:rFonts w:cs="Arial"/>
          <w:i/>
          <w:iCs/>
        </w:rPr>
        <w:t>Id</w:t>
      </w:r>
      <w:r w:rsidR="00535D89">
        <w:rPr>
          <w:rFonts w:cs="Arial"/>
        </w:rPr>
        <w:t xml:space="preserve">., </w:t>
      </w:r>
      <w:r w:rsidR="00735423">
        <w:rPr>
          <w:rFonts w:cs="Arial"/>
        </w:rPr>
        <w:t xml:space="preserve">section </w:t>
      </w:r>
      <w:r w:rsidRPr="004502A9">
        <w:rPr>
          <w:rFonts w:cs="Arial"/>
        </w:rPr>
        <w:t>4.9</w:t>
      </w:r>
      <w:r w:rsidR="00535D89">
        <w:rPr>
          <w:rFonts w:cs="Arial"/>
        </w:rPr>
        <w:t>.</w:t>
      </w:r>
      <w:r w:rsidR="003642A1">
        <w:rPr>
          <w:rFonts w:cs="Arial"/>
        </w:rPr>
        <w:t>)</w:t>
      </w:r>
    </w:p>
    <w:p w14:paraId="771DFDB5" w14:textId="67FDA68A" w:rsidR="007710C3" w:rsidRPr="004502A9" w:rsidRDefault="007710C3" w:rsidP="00A67AFD">
      <w:pPr>
        <w:pStyle w:val="ListParagraph"/>
        <w:numPr>
          <w:ilvl w:val="0"/>
          <w:numId w:val="2"/>
        </w:numPr>
        <w:rPr>
          <w:rFonts w:cs="Arial"/>
        </w:rPr>
      </w:pPr>
      <w:r w:rsidRPr="004502A9">
        <w:rPr>
          <w:rFonts w:cs="Arial"/>
        </w:rPr>
        <w:t xml:space="preserve">Trends in water quality are not substantiated or impacts are no longer observed. </w:t>
      </w:r>
      <w:r w:rsidR="00535D89" w:rsidRPr="007A166E">
        <w:rPr>
          <w:rFonts w:cs="Arial"/>
          <w:i/>
          <w:iCs/>
        </w:rPr>
        <w:t>Id</w:t>
      </w:r>
      <w:r w:rsidR="00535D89">
        <w:rPr>
          <w:rFonts w:cs="Arial"/>
        </w:rPr>
        <w:t xml:space="preserve">., </w:t>
      </w:r>
      <w:r w:rsidR="00735423">
        <w:rPr>
          <w:rFonts w:cs="Arial"/>
        </w:rPr>
        <w:t xml:space="preserve">section </w:t>
      </w:r>
      <w:r w:rsidR="003642A1">
        <w:rPr>
          <w:rFonts w:cs="Arial"/>
        </w:rPr>
        <w:t>4.10</w:t>
      </w:r>
      <w:r w:rsidR="00535D89">
        <w:rPr>
          <w:rFonts w:cs="Arial"/>
        </w:rPr>
        <w:t>.</w:t>
      </w:r>
      <w:r w:rsidR="003642A1">
        <w:rPr>
          <w:rFonts w:cs="Arial"/>
        </w:rPr>
        <w:t>)</w:t>
      </w:r>
      <w:r w:rsidRPr="004502A9">
        <w:rPr>
          <w:rFonts w:cs="Arial"/>
        </w:rPr>
        <w:t xml:space="preserve"> </w:t>
      </w:r>
    </w:p>
    <w:p w14:paraId="549B08A8" w14:textId="08EAF0E0" w:rsidR="007710C3" w:rsidRDefault="007710C3" w:rsidP="00A67AFD">
      <w:pPr>
        <w:pStyle w:val="ListParagraph"/>
        <w:numPr>
          <w:ilvl w:val="0"/>
          <w:numId w:val="2"/>
        </w:numPr>
        <w:rPr>
          <w:rFonts w:cs="Arial"/>
        </w:rPr>
      </w:pPr>
      <w:r w:rsidRPr="004502A9">
        <w:rPr>
          <w:rFonts w:cs="Arial"/>
        </w:rPr>
        <w:t xml:space="preserve">The weight of evidence demonstrates that a water quality standard is attained. </w:t>
      </w:r>
      <w:r w:rsidR="003D091D">
        <w:rPr>
          <w:rFonts w:cs="Arial"/>
        </w:rPr>
        <w:t>(</w:t>
      </w:r>
      <w:r w:rsidR="00535D89" w:rsidRPr="007A166E">
        <w:rPr>
          <w:rFonts w:cs="Arial"/>
          <w:i/>
          <w:iCs/>
        </w:rPr>
        <w:t>Id</w:t>
      </w:r>
      <w:r w:rsidR="00535D89">
        <w:rPr>
          <w:rFonts w:cs="Arial"/>
        </w:rPr>
        <w:t xml:space="preserve">., </w:t>
      </w:r>
      <w:r w:rsidR="00735423">
        <w:rPr>
          <w:rFonts w:cs="Arial"/>
        </w:rPr>
        <w:t xml:space="preserve">section </w:t>
      </w:r>
      <w:r w:rsidRPr="004502A9">
        <w:rPr>
          <w:rFonts w:cs="Arial"/>
        </w:rPr>
        <w:t>4.11</w:t>
      </w:r>
      <w:r w:rsidR="00535D89">
        <w:rPr>
          <w:rFonts w:cs="Arial"/>
        </w:rPr>
        <w:t>.</w:t>
      </w:r>
      <w:r w:rsidR="003D091D">
        <w:rPr>
          <w:rFonts w:cs="Arial"/>
        </w:rPr>
        <w:t>)</w:t>
      </w:r>
    </w:p>
    <w:p w14:paraId="276250A2" w14:textId="26B4C2CA" w:rsidR="00CF15FE" w:rsidRPr="00CF15FE" w:rsidRDefault="00AE366C" w:rsidP="005632BC">
      <w:pPr>
        <w:pStyle w:val="Heading4"/>
      </w:pPr>
      <w:r>
        <w:t>Integrated Report</w:t>
      </w:r>
      <w:r w:rsidR="00CF15FE">
        <w:t xml:space="preserve"> Development</w:t>
      </w:r>
    </w:p>
    <w:p w14:paraId="5AA7F144" w14:textId="02485BCB" w:rsidR="007710C3" w:rsidRPr="004502A9" w:rsidRDefault="007710C3" w:rsidP="007710C3">
      <w:pPr>
        <w:rPr>
          <w:rFonts w:cs="Arial"/>
        </w:rPr>
      </w:pPr>
      <w:r w:rsidRPr="004502A9">
        <w:rPr>
          <w:rFonts w:cs="Arial"/>
        </w:rPr>
        <w:t xml:space="preserve">The 303(d) </w:t>
      </w:r>
      <w:r w:rsidR="005557F7">
        <w:rPr>
          <w:rFonts w:cs="Arial"/>
        </w:rPr>
        <w:t>l</w:t>
      </w:r>
      <w:r w:rsidRPr="004502A9">
        <w:rPr>
          <w:rFonts w:cs="Arial"/>
        </w:rPr>
        <w:t xml:space="preserve">ist was developed </w:t>
      </w:r>
      <w:r w:rsidR="006157AA">
        <w:rPr>
          <w:rFonts w:cs="Arial"/>
        </w:rPr>
        <w:t xml:space="preserve">per </w:t>
      </w:r>
      <w:r w:rsidRPr="004502A9">
        <w:rPr>
          <w:rFonts w:cs="Arial"/>
        </w:rPr>
        <w:t>the following assumptions</w:t>
      </w:r>
      <w:r w:rsidR="006157AA">
        <w:rPr>
          <w:rFonts w:cs="Arial"/>
        </w:rPr>
        <w:t xml:space="preserve"> or requirements</w:t>
      </w:r>
      <w:r w:rsidRPr="004502A9">
        <w:rPr>
          <w:rFonts w:cs="Arial"/>
        </w:rPr>
        <w:t>:</w:t>
      </w:r>
    </w:p>
    <w:p w14:paraId="77DFAE8B" w14:textId="6166A201" w:rsidR="007710C3" w:rsidRPr="004502A9" w:rsidRDefault="007710C3" w:rsidP="003D7832">
      <w:pPr>
        <w:pStyle w:val="ListParagraph"/>
        <w:numPr>
          <w:ilvl w:val="0"/>
          <w:numId w:val="51"/>
        </w:numPr>
        <w:rPr>
          <w:rFonts w:cs="Arial"/>
        </w:rPr>
      </w:pPr>
      <w:r w:rsidRPr="004502A9">
        <w:rPr>
          <w:rFonts w:cs="Arial"/>
        </w:rPr>
        <w:t xml:space="preserve">The </w:t>
      </w:r>
      <w:hyperlink r:id="rId41" w:history="1">
        <w:r w:rsidR="00AE366C">
          <w:rPr>
            <w:rStyle w:val="Hyperlink"/>
            <w:rFonts w:cs="Arial"/>
          </w:rPr>
          <w:t>2024 California Integrated Report</w:t>
        </w:r>
      </w:hyperlink>
      <w:r w:rsidRPr="004502A9">
        <w:rPr>
          <w:rFonts w:cs="Arial"/>
        </w:rPr>
        <w:t xml:space="preserve"> (</w:t>
      </w:r>
      <w:hyperlink r:id="rId42" w:history="1">
        <w:r w:rsidR="009811BD" w:rsidRPr="00A4300E">
          <w:rPr>
            <w:rStyle w:val="Hyperlink"/>
            <w:rFonts w:cs="Arial"/>
          </w:rPr>
          <w:t>https://www.waterboards.ca.gov/water_issues/programs/tmdl/2023_2024state_ir_reports/apx-a-2024-303d-list-final.xlsx</w:t>
        </w:r>
      </w:hyperlink>
      <w:r w:rsidRPr="004502A9">
        <w:rPr>
          <w:rFonts w:cs="Arial"/>
        </w:rPr>
        <w:t xml:space="preserve">) formed the basis for the </w:t>
      </w:r>
      <w:r w:rsidR="00C6428D">
        <w:rPr>
          <w:rFonts w:eastAsia="Arial" w:cs="Arial"/>
        </w:rPr>
        <w:t>2026</w:t>
      </w:r>
      <w:r w:rsidRPr="004502A9">
        <w:rPr>
          <w:rFonts w:eastAsia="Arial" w:cs="Arial"/>
        </w:rPr>
        <w:t xml:space="preserve"> </w:t>
      </w:r>
      <w:r w:rsidRPr="004502A9">
        <w:rPr>
          <w:rFonts w:cs="Arial"/>
        </w:rPr>
        <w:t xml:space="preserve">303(d) </w:t>
      </w:r>
      <w:r w:rsidR="00EF3EB1">
        <w:rPr>
          <w:rFonts w:cs="Arial"/>
        </w:rPr>
        <w:t>l</w:t>
      </w:r>
      <w:r w:rsidRPr="004502A9">
        <w:rPr>
          <w:rFonts w:cs="Arial"/>
        </w:rPr>
        <w:t xml:space="preserve">ist. </w:t>
      </w:r>
      <w:r w:rsidR="003D7832" w:rsidRPr="003D7832">
        <w:rPr>
          <w:rFonts w:cs="Arial"/>
        </w:rPr>
        <w:t xml:space="preserve">The 2024 303(d) List was the basis for developing the Decisions for the </w:t>
      </w:r>
      <w:r w:rsidR="003D7832" w:rsidRPr="003D7832">
        <w:rPr>
          <w:rFonts w:eastAsia="Arial" w:cs="Arial"/>
        </w:rPr>
        <w:t xml:space="preserve">2026 303(d) </w:t>
      </w:r>
      <w:r w:rsidR="003D7832" w:rsidRPr="003D7832">
        <w:rPr>
          <w:rFonts w:cs="Arial"/>
        </w:rPr>
        <w:t xml:space="preserve">List. If a waterbody-pollutant combination was listed on the 2024 303(d) List, a Decision was made to either keep it on the list or delist it. If the waterbody-pollutant combination was not listed on the 2024 303(d) List, a Decision was made to either list it or keep it as not listed. The Decision for each waterbody-pollutant combination along with a presentation of the data assessment and the recommended changes, when applicable, are documented in Appendix B: Statewide Waterbody Fact Sheets. </w:t>
      </w:r>
    </w:p>
    <w:p w14:paraId="5B37F977" w14:textId="5442AEFE" w:rsidR="007710C3" w:rsidRPr="004502A9" w:rsidRDefault="007710C3" w:rsidP="007D7015">
      <w:pPr>
        <w:pStyle w:val="ListParagraph"/>
        <w:numPr>
          <w:ilvl w:val="0"/>
          <w:numId w:val="51"/>
        </w:numPr>
        <w:rPr>
          <w:rFonts w:cs="Arial"/>
        </w:rPr>
      </w:pPr>
      <w:r w:rsidRPr="004502A9">
        <w:rPr>
          <w:rFonts w:cs="Arial"/>
        </w:rPr>
        <w:t xml:space="preserve">The provisions of the Listing Policy directed </w:t>
      </w:r>
      <w:r w:rsidR="00437FDE">
        <w:rPr>
          <w:rFonts w:cs="Arial"/>
        </w:rPr>
        <w:t>Decisions</w:t>
      </w:r>
      <w:r w:rsidRPr="004502A9">
        <w:rPr>
          <w:rFonts w:cs="Arial"/>
        </w:rPr>
        <w:t xml:space="preserve">. </w:t>
      </w:r>
    </w:p>
    <w:p w14:paraId="13E0A45B" w14:textId="4B9524E2" w:rsidR="007710C3" w:rsidRPr="004502A9" w:rsidRDefault="007710C3" w:rsidP="007D7015">
      <w:pPr>
        <w:pStyle w:val="ListParagraph"/>
        <w:numPr>
          <w:ilvl w:val="0"/>
          <w:numId w:val="51"/>
        </w:numPr>
        <w:rPr>
          <w:rFonts w:cs="Arial"/>
        </w:rPr>
      </w:pPr>
      <w:r w:rsidRPr="004502A9">
        <w:rPr>
          <w:rFonts w:cs="Arial"/>
        </w:rPr>
        <w:t xml:space="preserve">Waterbody-pollutant listings </w:t>
      </w:r>
      <w:r w:rsidR="00F64129">
        <w:rPr>
          <w:rFonts w:cs="Arial"/>
        </w:rPr>
        <w:t>are</w:t>
      </w:r>
      <w:r w:rsidRPr="004502A9">
        <w:rPr>
          <w:rFonts w:cs="Arial"/>
        </w:rPr>
        <w:t xml:space="preserve"> independent of the TMDLs that have been approved and are being implemented for the waterbody</w:t>
      </w:r>
      <w:r w:rsidR="00D04802">
        <w:rPr>
          <w:rFonts w:cs="Arial"/>
        </w:rPr>
        <w:t xml:space="preserve"> segment</w:t>
      </w:r>
      <w:r w:rsidRPr="004502A9">
        <w:rPr>
          <w:rFonts w:cs="Arial"/>
        </w:rPr>
        <w:t xml:space="preserve">. If a waterbody-pollutant combination is removed from the list, the delisting has no effect on the validity or requirements for implementing an existing TMDL that was adopted </w:t>
      </w:r>
      <w:r w:rsidRPr="00946EED">
        <w:rPr>
          <w:rFonts w:cs="Arial"/>
          <w:szCs w:val="24"/>
        </w:rPr>
        <w:t xml:space="preserve">and </w:t>
      </w:r>
      <w:r w:rsidR="001D5D67" w:rsidRPr="007A18DF">
        <w:rPr>
          <w:color w:val="000000"/>
        </w:rPr>
        <w:t>continue</w:t>
      </w:r>
      <w:r w:rsidR="00BA1EC7" w:rsidRPr="007A18DF">
        <w:rPr>
          <w:color w:val="000000"/>
        </w:rPr>
        <w:t>s</w:t>
      </w:r>
      <w:r w:rsidR="001D5D67" w:rsidRPr="007A18DF">
        <w:rPr>
          <w:color w:val="000000"/>
        </w:rPr>
        <w:t xml:space="preserve"> to have full force of law under California’s Porter-Cologne authority</w:t>
      </w:r>
      <w:r w:rsidRPr="00946EED">
        <w:rPr>
          <w:rFonts w:cs="Arial"/>
          <w:szCs w:val="24"/>
        </w:rPr>
        <w:t xml:space="preserve">. </w:t>
      </w:r>
      <w:r w:rsidR="004D7A29">
        <w:rPr>
          <w:rFonts w:cs="Arial"/>
        </w:rPr>
        <w:t xml:space="preserve">Changes to the 303(d) </w:t>
      </w:r>
      <w:r w:rsidR="005557F7">
        <w:rPr>
          <w:rFonts w:cs="Arial"/>
        </w:rPr>
        <w:t>l</w:t>
      </w:r>
      <w:r w:rsidR="00C17580">
        <w:rPr>
          <w:rFonts w:cs="Arial"/>
        </w:rPr>
        <w:t xml:space="preserve">ist </w:t>
      </w:r>
      <w:r w:rsidR="004D7A29">
        <w:rPr>
          <w:rFonts w:cs="Arial"/>
        </w:rPr>
        <w:t xml:space="preserve">do not result in a </w:t>
      </w:r>
      <w:r w:rsidR="00701B65">
        <w:rPr>
          <w:rFonts w:cs="Arial"/>
        </w:rPr>
        <w:t xml:space="preserve">concurrent change </w:t>
      </w:r>
      <w:r w:rsidR="00747D6B">
        <w:rPr>
          <w:rFonts w:cs="Arial"/>
        </w:rPr>
        <w:t xml:space="preserve">to an existing </w:t>
      </w:r>
      <w:r w:rsidR="00D77549">
        <w:rPr>
          <w:rFonts w:cs="Arial"/>
        </w:rPr>
        <w:t>b</w:t>
      </w:r>
      <w:r w:rsidR="002457C7">
        <w:rPr>
          <w:rFonts w:cs="Arial"/>
        </w:rPr>
        <w:t xml:space="preserve">asin </w:t>
      </w:r>
      <w:r w:rsidR="00D77549">
        <w:rPr>
          <w:rFonts w:cs="Arial"/>
        </w:rPr>
        <w:t>p</w:t>
      </w:r>
      <w:r w:rsidR="002457C7">
        <w:rPr>
          <w:rFonts w:cs="Arial"/>
        </w:rPr>
        <w:t>lan</w:t>
      </w:r>
      <w:r w:rsidR="00747D6B">
        <w:rPr>
          <w:rFonts w:cs="Arial"/>
        </w:rPr>
        <w:t>.</w:t>
      </w:r>
      <w:r w:rsidR="00473FC3">
        <w:rPr>
          <w:rFonts w:cs="Arial"/>
        </w:rPr>
        <w:t xml:space="preserve"> </w:t>
      </w:r>
      <w:r w:rsidR="00AA73C1">
        <w:rPr>
          <w:rFonts w:cs="Arial"/>
        </w:rPr>
        <w:t xml:space="preserve">Any change to an existing </w:t>
      </w:r>
      <w:r w:rsidR="00D77549">
        <w:rPr>
          <w:rFonts w:cs="Arial"/>
        </w:rPr>
        <w:t>b</w:t>
      </w:r>
      <w:r w:rsidR="002457C7">
        <w:rPr>
          <w:rFonts w:cs="Arial"/>
        </w:rPr>
        <w:t xml:space="preserve">asin </w:t>
      </w:r>
      <w:r w:rsidR="00D77549">
        <w:rPr>
          <w:rFonts w:cs="Arial"/>
        </w:rPr>
        <w:t>p</w:t>
      </w:r>
      <w:r w:rsidR="002457C7">
        <w:rPr>
          <w:rFonts w:cs="Arial"/>
        </w:rPr>
        <w:t>lan</w:t>
      </w:r>
      <w:r w:rsidR="00AA73C1">
        <w:rPr>
          <w:rFonts w:cs="Arial"/>
        </w:rPr>
        <w:t xml:space="preserve"> would be made through a separate </w:t>
      </w:r>
      <w:r w:rsidR="001C6F8A">
        <w:rPr>
          <w:rFonts w:cs="Arial"/>
        </w:rPr>
        <w:t xml:space="preserve">amendment process. </w:t>
      </w:r>
    </w:p>
    <w:p w14:paraId="2C0DE12B" w14:textId="61C2B96E" w:rsidR="007710C3" w:rsidRPr="004502A9" w:rsidRDefault="00E456F9" w:rsidP="007D7015">
      <w:pPr>
        <w:pStyle w:val="ListParagraph"/>
        <w:numPr>
          <w:ilvl w:val="0"/>
          <w:numId w:val="51"/>
        </w:numPr>
        <w:rPr>
          <w:rFonts w:cs="Arial"/>
        </w:rPr>
      </w:pPr>
      <w:r>
        <w:rPr>
          <w:rFonts w:cs="Arial"/>
        </w:rPr>
        <w:t>The</w:t>
      </w:r>
      <w:r w:rsidR="00D22284">
        <w:rPr>
          <w:rFonts w:cs="Arial"/>
        </w:rPr>
        <w:t xml:space="preserve"> Listing Policy provides</w:t>
      </w:r>
      <w:r w:rsidR="00D22284" w:rsidDel="00F37BF8">
        <w:rPr>
          <w:rFonts w:cs="Arial"/>
        </w:rPr>
        <w:t xml:space="preserve"> </w:t>
      </w:r>
      <w:r w:rsidR="00F37BF8">
        <w:rPr>
          <w:rFonts w:cs="Arial"/>
        </w:rPr>
        <w:t xml:space="preserve">requirements </w:t>
      </w:r>
      <w:r w:rsidR="00F7592D">
        <w:rPr>
          <w:rFonts w:cs="Arial"/>
        </w:rPr>
        <w:t>for</w:t>
      </w:r>
      <w:r w:rsidR="00D22284">
        <w:rPr>
          <w:rFonts w:cs="Arial"/>
        </w:rPr>
        <w:t xml:space="preserve"> how to interpret data and information</w:t>
      </w:r>
      <w:r w:rsidR="00393948">
        <w:rPr>
          <w:rFonts w:cs="Arial"/>
        </w:rPr>
        <w:t xml:space="preserve"> as they are compared to water quality standards as they are written.</w:t>
      </w:r>
      <w:r w:rsidR="007710C3" w:rsidRPr="004502A9">
        <w:rPr>
          <w:rFonts w:cs="Arial"/>
        </w:rPr>
        <w:t xml:space="preserve"> </w:t>
      </w:r>
      <w:r w:rsidR="004658EE">
        <w:rPr>
          <w:rFonts w:cs="Arial"/>
        </w:rPr>
        <w:t xml:space="preserve">Neither the Listing Policy nor the listing process may be used to “establish, revise, or refine any water quality objective or beneficial use.” (Listing Policy, p. 1, </w:t>
      </w:r>
      <w:r w:rsidR="00DE2953">
        <w:rPr>
          <w:rFonts w:cs="Arial"/>
        </w:rPr>
        <w:t xml:space="preserve">section </w:t>
      </w:r>
      <w:r w:rsidR="004658EE">
        <w:rPr>
          <w:rFonts w:cs="Arial"/>
        </w:rPr>
        <w:t>1.)</w:t>
      </w:r>
      <w:r w:rsidR="007710C3" w:rsidRPr="004502A9">
        <w:rPr>
          <w:rFonts w:cs="Arial"/>
        </w:rPr>
        <w:t xml:space="preserve"> </w:t>
      </w:r>
    </w:p>
    <w:p w14:paraId="791AE1B3" w14:textId="165A3199" w:rsidR="00130003" w:rsidRPr="004502A9" w:rsidRDefault="00512F3C" w:rsidP="005632BC">
      <w:pPr>
        <w:pStyle w:val="Heading4"/>
      </w:pPr>
      <w:r>
        <w:t>Source Identification</w:t>
      </w:r>
    </w:p>
    <w:p w14:paraId="3055AEEE" w14:textId="2B54C4DB" w:rsidR="007710C3" w:rsidRPr="004502A9" w:rsidRDefault="007710C3" w:rsidP="007710C3">
      <w:pPr>
        <w:rPr>
          <w:rFonts w:eastAsia="Arial" w:cs="Arial"/>
        </w:rPr>
      </w:pPr>
      <w:r w:rsidRPr="004502A9">
        <w:rPr>
          <w:rFonts w:eastAsia="Arial" w:cs="Arial"/>
        </w:rPr>
        <w:t xml:space="preserve">Potential pollutant sources were only identified in </w:t>
      </w:r>
      <w:r w:rsidR="00186D5B">
        <w:rPr>
          <w:rFonts w:eastAsia="Arial" w:cs="Arial"/>
        </w:rPr>
        <w:t xml:space="preserve">CalWQA </w:t>
      </w:r>
      <w:r w:rsidRPr="004502A9">
        <w:rPr>
          <w:rFonts w:eastAsia="Arial" w:cs="Arial"/>
        </w:rPr>
        <w:t xml:space="preserve">Decisions when a specific source analysis </w:t>
      </w:r>
      <w:r w:rsidR="00007BED">
        <w:rPr>
          <w:rFonts w:eastAsia="Arial" w:cs="Arial"/>
        </w:rPr>
        <w:t>was</w:t>
      </w:r>
      <w:r w:rsidRPr="004502A9">
        <w:rPr>
          <w:rFonts w:eastAsia="Arial" w:cs="Arial"/>
        </w:rPr>
        <w:t xml:space="preserve"> performed as part of a TMDL or other regulatory process. Otherwise, the potential pollutant source </w:t>
      </w:r>
      <w:r w:rsidR="00534B18">
        <w:rPr>
          <w:rFonts w:eastAsia="Arial" w:cs="Arial"/>
        </w:rPr>
        <w:t>w</w:t>
      </w:r>
      <w:r w:rsidR="00825114">
        <w:rPr>
          <w:rFonts w:eastAsia="Arial" w:cs="Arial"/>
        </w:rPr>
        <w:t>as</w:t>
      </w:r>
      <w:r w:rsidR="00534B18" w:rsidRPr="004502A9">
        <w:rPr>
          <w:rFonts w:eastAsia="Arial" w:cs="Arial"/>
        </w:rPr>
        <w:t xml:space="preserve"> </w:t>
      </w:r>
      <w:r w:rsidRPr="004502A9">
        <w:rPr>
          <w:rFonts w:eastAsia="Arial" w:cs="Arial"/>
        </w:rPr>
        <w:t>marked “Source Unknown” or “No Source Analysis Available.”</w:t>
      </w:r>
    </w:p>
    <w:p w14:paraId="53BC2C59" w14:textId="08F38607" w:rsidR="00BC7212" w:rsidRDefault="7CFB5266" w:rsidP="005632BC">
      <w:pPr>
        <w:pStyle w:val="Heading3"/>
      </w:pPr>
      <w:bookmarkStart w:id="65" w:name="_Toc189048560"/>
      <w:r>
        <w:t xml:space="preserve">Binomial </w:t>
      </w:r>
      <w:r w:rsidR="7CBB508D">
        <w:t xml:space="preserve">Test </w:t>
      </w:r>
      <w:r w:rsidR="430F940A">
        <w:t>for Determining Acceptable Exceedances</w:t>
      </w:r>
      <w:bookmarkEnd w:id="65"/>
      <w:r w:rsidR="430F940A">
        <w:t xml:space="preserve"> </w:t>
      </w:r>
    </w:p>
    <w:p w14:paraId="74FE3862" w14:textId="06C5D09C" w:rsidR="00BC7212" w:rsidRDefault="2568B605" w:rsidP="16F952EA">
      <w:pPr>
        <w:rPr>
          <w:rFonts w:cs="Arial"/>
        </w:rPr>
      </w:pPr>
      <w:r w:rsidRPr="1865202E">
        <w:rPr>
          <w:rFonts w:cs="Arial"/>
        </w:rPr>
        <w:t xml:space="preserve">Pollutants in water, sediment, and tissue matrices were assessed by comparing sampling results to </w:t>
      </w:r>
      <w:r w:rsidR="002F71DA">
        <w:rPr>
          <w:rFonts w:cs="Arial"/>
        </w:rPr>
        <w:t>numeric water quality objective</w:t>
      </w:r>
      <w:r w:rsidR="00250B1B">
        <w:rPr>
          <w:rFonts w:cs="Arial"/>
        </w:rPr>
        <w:t>s</w:t>
      </w:r>
      <w:r w:rsidR="002F71DA">
        <w:rPr>
          <w:rFonts w:cs="Arial"/>
        </w:rPr>
        <w:t>, criteria or evaluation guideline</w:t>
      </w:r>
      <w:r w:rsidR="5CDCE548" w:rsidRPr="1865202E">
        <w:rPr>
          <w:rFonts w:cs="Arial"/>
        </w:rPr>
        <w:t>s</w:t>
      </w:r>
      <w:r w:rsidRPr="1865202E">
        <w:rPr>
          <w:rFonts w:cs="Arial"/>
        </w:rPr>
        <w:t xml:space="preserve">. Per </w:t>
      </w:r>
      <w:r w:rsidR="5FCFADE3" w:rsidRPr="1865202E">
        <w:rPr>
          <w:rFonts w:cs="Arial"/>
        </w:rPr>
        <w:t>several listing factors set forth in</w:t>
      </w:r>
      <w:r w:rsidR="00BC7212" w:rsidRPr="1865202E">
        <w:rPr>
          <w:rFonts w:cs="Arial"/>
        </w:rPr>
        <w:t xml:space="preserve"> the Listing </w:t>
      </w:r>
      <w:r w:rsidRPr="1865202E">
        <w:rPr>
          <w:rFonts w:cs="Arial"/>
        </w:rPr>
        <w:t xml:space="preserve">Policy, the </w:t>
      </w:r>
      <w:r w:rsidR="0C6DD4EA" w:rsidRPr="1865202E">
        <w:rPr>
          <w:rFonts w:cs="Arial"/>
        </w:rPr>
        <w:t xml:space="preserve">number </w:t>
      </w:r>
      <w:r w:rsidRPr="1865202E">
        <w:rPr>
          <w:rFonts w:cs="Arial"/>
        </w:rPr>
        <w:t xml:space="preserve">of </w:t>
      </w:r>
      <w:r w:rsidR="0C6DD4EA" w:rsidRPr="1865202E">
        <w:rPr>
          <w:rFonts w:cs="Arial"/>
        </w:rPr>
        <w:t>measured</w:t>
      </w:r>
      <w:r w:rsidRPr="1865202E">
        <w:rPr>
          <w:rFonts w:cs="Arial"/>
        </w:rPr>
        <w:t xml:space="preserve"> exceedances for toxic, conventional, and other pollutants were </w:t>
      </w:r>
      <w:r w:rsidR="2541D1B5" w:rsidRPr="1865202E">
        <w:rPr>
          <w:rFonts w:cs="Arial"/>
        </w:rPr>
        <w:t>assessed</w:t>
      </w:r>
      <w:r w:rsidRPr="1865202E">
        <w:rPr>
          <w:rFonts w:cs="Arial"/>
        </w:rPr>
        <w:t xml:space="preserve"> using a statistical hypothesis testing approach to determine beneficial use attainment. </w:t>
      </w:r>
      <w:r w:rsidR="5E719D71" w:rsidRPr="16F952EA">
        <w:rPr>
          <w:rFonts w:cs="Arial"/>
        </w:rPr>
        <w:t>The statistical test used</w:t>
      </w:r>
      <w:r w:rsidR="5E719D71" w:rsidRPr="1865202E">
        <w:rPr>
          <w:rFonts w:cs="Arial"/>
        </w:rPr>
        <w:t xml:space="preserve"> </w:t>
      </w:r>
      <w:r w:rsidR="1110C6D8" w:rsidRPr="1865202E">
        <w:rPr>
          <w:rFonts w:cs="Arial"/>
        </w:rPr>
        <w:t>for these listing factors</w:t>
      </w:r>
      <w:r w:rsidR="5E719D71" w:rsidRPr="16F952EA">
        <w:rPr>
          <w:rFonts w:cs="Arial"/>
        </w:rPr>
        <w:t xml:space="preserve"> is the “binomial test,” which identifies the critical number of exceedances for a given sample size needed to accept or reject the null hypothesis while quantifying statistical level of significance and power and controlling for errors (false positives and false negatives). </w:t>
      </w:r>
      <w:r w:rsidR="162A9F52" w:rsidRPr="36965BEB">
        <w:rPr>
          <w:rFonts w:cs="Arial"/>
        </w:rPr>
        <w:t xml:space="preserve">Other </w:t>
      </w:r>
      <w:r w:rsidR="26069F69" w:rsidRPr="36965BEB">
        <w:rPr>
          <w:rFonts w:cs="Arial"/>
        </w:rPr>
        <w:t xml:space="preserve">Listing Policy </w:t>
      </w:r>
      <w:r w:rsidR="16A0C1C0" w:rsidRPr="1865202E">
        <w:rPr>
          <w:rFonts w:cs="Arial"/>
        </w:rPr>
        <w:t>listing factor</w:t>
      </w:r>
      <w:r w:rsidR="19B73F62" w:rsidRPr="16F952EA">
        <w:rPr>
          <w:rFonts w:cs="Arial"/>
        </w:rPr>
        <w:t xml:space="preserve"> approaches </w:t>
      </w:r>
      <w:r w:rsidR="2A3536BC" w:rsidRPr="1865202E">
        <w:rPr>
          <w:rFonts w:cs="Arial"/>
        </w:rPr>
        <w:t xml:space="preserve">that </w:t>
      </w:r>
      <w:r w:rsidR="00BF7CCA">
        <w:rPr>
          <w:rFonts w:cs="Arial"/>
        </w:rPr>
        <w:t>were</w:t>
      </w:r>
      <w:r w:rsidR="00BF7CCA" w:rsidRPr="1865202E">
        <w:rPr>
          <w:rFonts w:cs="Arial"/>
        </w:rPr>
        <w:t xml:space="preserve"> </w:t>
      </w:r>
      <w:r w:rsidR="19B73F62" w:rsidRPr="1865202E">
        <w:rPr>
          <w:rFonts w:cs="Arial"/>
        </w:rPr>
        <w:t>used</w:t>
      </w:r>
      <w:r w:rsidR="19B73F62" w:rsidRPr="16F952EA">
        <w:rPr>
          <w:rFonts w:cs="Arial"/>
        </w:rPr>
        <w:t xml:space="preserve"> to </w:t>
      </w:r>
      <w:r w:rsidR="15371496" w:rsidRPr="16F952EA">
        <w:rPr>
          <w:rFonts w:cs="Arial"/>
        </w:rPr>
        <w:t xml:space="preserve">determine beneficial use attainment </w:t>
      </w:r>
      <w:r w:rsidR="0781C7F6" w:rsidRPr="1865202E">
        <w:rPr>
          <w:rFonts w:cs="Arial"/>
        </w:rPr>
        <w:t>(e.g., use of health advisories, water quality trend, and situation</w:t>
      </w:r>
      <w:r w:rsidR="64FF9E4B" w:rsidRPr="36965BEB">
        <w:rPr>
          <w:rFonts w:cs="Arial"/>
        </w:rPr>
        <w:t>-</w:t>
      </w:r>
      <w:r w:rsidR="0781C7F6" w:rsidRPr="1865202E">
        <w:rPr>
          <w:rFonts w:cs="Arial"/>
        </w:rPr>
        <w:t xml:space="preserve">specific weight of evidence) </w:t>
      </w:r>
      <w:r w:rsidR="15371496" w:rsidRPr="16F952EA">
        <w:rPr>
          <w:rFonts w:cs="Arial"/>
        </w:rPr>
        <w:t xml:space="preserve">are not </w:t>
      </w:r>
      <w:r w:rsidR="05CFDC71" w:rsidRPr="1865202E">
        <w:rPr>
          <w:rFonts w:cs="Arial"/>
        </w:rPr>
        <w:t>described in this section.</w:t>
      </w:r>
      <w:r w:rsidR="15371496" w:rsidRPr="1865202E">
        <w:rPr>
          <w:rFonts w:cs="Arial"/>
        </w:rPr>
        <w:t xml:space="preserve"> </w:t>
      </w:r>
    </w:p>
    <w:p w14:paraId="57C5F093" w14:textId="6CEB21A8" w:rsidR="00BC7212" w:rsidRDefault="00BC7212">
      <w:pPr>
        <w:rPr>
          <w:rFonts w:cs="Arial"/>
        </w:rPr>
      </w:pPr>
      <w:r w:rsidRPr="3484D138">
        <w:rPr>
          <w:rFonts w:cs="Arial"/>
        </w:rPr>
        <w:t>Th</w:t>
      </w:r>
      <w:r w:rsidR="009A0AD3" w:rsidRPr="3484D138">
        <w:rPr>
          <w:rFonts w:cs="Arial"/>
        </w:rPr>
        <w:t>e</w:t>
      </w:r>
      <w:r w:rsidRPr="3484D138">
        <w:rPr>
          <w:rFonts w:cs="Arial"/>
        </w:rPr>
        <w:t xml:space="preserve"> </w:t>
      </w:r>
      <w:r w:rsidR="009A0AD3" w:rsidRPr="3484D138">
        <w:rPr>
          <w:rFonts w:cs="Arial"/>
        </w:rPr>
        <w:t>binomial</w:t>
      </w:r>
      <w:r w:rsidRPr="3484D138">
        <w:rPr>
          <w:rFonts w:cs="Arial"/>
        </w:rPr>
        <w:t xml:space="preserve"> test</w:t>
      </w:r>
      <w:r w:rsidRPr="3484D138" w:rsidDel="00526E66">
        <w:rPr>
          <w:rFonts w:cs="Arial"/>
        </w:rPr>
        <w:t xml:space="preserve"> </w:t>
      </w:r>
      <w:r w:rsidR="00526E66">
        <w:rPr>
          <w:rFonts w:cs="Arial"/>
        </w:rPr>
        <w:t>was</w:t>
      </w:r>
      <w:r w:rsidRPr="3484D138">
        <w:rPr>
          <w:rFonts w:cs="Arial"/>
        </w:rPr>
        <w:t xml:space="preserve"> used for dichotomous data</w:t>
      </w:r>
      <w:r w:rsidR="3648493E" w:rsidRPr="3484D138">
        <w:rPr>
          <w:rFonts w:cs="Arial"/>
        </w:rPr>
        <w:t xml:space="preserve"> (data with </w:t>
      </w:r>
      <w:r w:rsidR="3648493E" w:rsidRPr="0187A169">
        <w:rPr>
          <w:rFonts w:cs="Arial"/>
        </w:rPr>
        <w:t xml:space="preserve">two possible </w:t>
      </w:r>
      <w:r w:rsidR="72C895FA" w:rsidRPr="36965BEB">
        <w:rPr>
          <w:rFonts w:cs="Arial"/>
        </w:rPr>
        <w:t xml:space="preserve">analysis </w:t>
      </w:r>
      <w:r w:rsidR="3648493E" w:rsidRPr="0187A169">
        <w:rPr>
          <w:rFonts w:cs="Arial"/>
        </w:rPr>
        <w:t>outcomes)</w:t>
      </w:r>
      <w:r w:rsidRPr="3484D138">
        <w:rPr>
          <w:rFonts w:cs="Arial"/>
        </w:rPr>
        <w:t>, and thus its application to listing</w:t>
      </w:r>
      <w:r w:rsidR="00C4161A" w:rsidRPr="3484D138">
        <w:rPr>
          <w:rFonts w:cs="Arial"/>
        </w:rPr>
        <w:t xml:space="preserve"> and </w:t>
      </w:r>
      <w:r w:rsidRPr="3484D138">
        <w:rPr>
          <w:rFonts w:cs="Arial"/>
        </w:rPr>
        <w:t xml:space="preserve">delisting </w:t>
      </w:r>
      <w:r w:rsidR="0044685C">
        <w:rPr>
          <w:rFonts w:cs="Arial"/>
        </w:rPr>
        <w:t>Decisions</w:t>
      </w:r>
      <w:r w:rsidR="0044685C" w:rsidRPr="3484D138">
        <w:rPr>
          <w:rFonts w:cs="Arial"/>
        </w:rPr>
        <w:t xml:space="preserve"> </w:t>
      </w:r>
      <w:r w:rsidRPr="3484D138">
        <w:rPr>
          <w:rFonts w:cs="Arial"/>
        </w:rPr>
        <w:t>is relevant for determining compliance with water quality standards (</w:t>
      </w:r>
      <w:r w:rsidR="00313C98">
        <w:rPr>
          <w:rFonts w:cs="Arial"/>
        </w:rPr>
        <w:t>USEPA</w:t>
      </w:r>
      <w:r w:rsidRPr="3484D138">
        <w:rPr>
          <w:rFonts w:cs="Arial"/>
        </w:rPr>
        <w:t xml:space="preserve"> 2002; Lin et al. 2000; Smith et al. 2001). For 303(d) assessment purposes, readily available data in raw numeric form </w:t>
      </w:r>
      <w:r w:rsidR="00DD160E">
        <w:rPr>
          <w:rFonts w:cs="Arial"/>
        </w:rPr>
        <w:t>were</w:t>
      </w:r>
      <w:r w:rsidRPr="3484D138">
        <w:rPr>
          <w:rFonts w:cs="Arial"/>
        </w:rPr>
        <w:t xml:space="preserve"> transformed into nominal (</w:t>
      </w:r>
      <w:r w:rsidR="00493FA3" w:rsidRPr="3484D138">
        <w:rPr>
          <w:rFonts w:cs="Arial"/>
        </w:rPr>
        <w:t>“</w:t>
      </w:r>
      <w:r w:rsidRPr="3484D138">
        <w:rPr>
          <w:rFonts w:cs="Arial"/>
        </w:rPr>
        <w:t>named</w:t>
      </w:r>
      <w:r w:rsidR="00493FA3" w:rsidRPr="3484D138">
        <w:rPr>
          <w:rFonts w:cs="Arial"/>
        </w:rPr>
        <w:t>”</w:t>
      </w:r>
      <w:r w:rsidRPr="3484D138">
        <w:rPr>
          <w:rFonts w:cs="Arial"/>
        </w:rPr>
        <w:t>) information; specifically, “yes” the data attain</w:t>
      </w:r>
      <w:r w:rsidR="005B42C9">
        <w:rPr>
          <w:rFonts w:cs="Arial"/>
        </w:rPr>
        <w:t>ed</w:t>
      </w:r>
      <w:r w:rsidRPr="3484D138">
        <w:rPr>
          <w:rFonts w:cs="Arial"/>
        </w:rPr>
        <w:t xml:space="preserve"> the </w:t>
      </w:r>
      <w:r w:rsidR="002F71DA">
        <w:rPr>
          <w:rFonts w:cs="Arial"/>
        </w:rPr>
        <w:t>numeric water quality objective, criteri</w:t>
      </w:r>
      <w:r w:rsidR="004B3E5C">
        <w:rPr>
          <w:rFonts w:cs="Arial"/>
        </w:rPr>
        <w:t>on</w:t>
      </w:r>
      <w:r w:rsidR="002F71DA">
        <w:rPr>
          <w:rFonts w:cs="Arial"/>
        </w:rPr>
        <w:t xml:space="preserve"> or evaluation guideline </w:t>
      </w:r>
      <w:r w:rsidR="006E3844" w:rsidRPr="3484D138">
        <w:rPr>
          <w:rFonts w:cs="Arial"/>
        </w:rPr>
        <w:t>and counted towards the number of exceedances</w:t>
      </w:r>
      <w:r w:rsidRPr="3484D138">
        <w:rPr>
          <w:rFonts w:cs="Arial"/>
        </w:rPr>
        <w:t xml:space="preserve"> or “no” </w:t>
      </w:r>
      <w:r w:rsidR="005B42C9">
        <w:rPr>
          <w:rFonts w:cs="Arial"/>
        </w:rPr>
        <w:t>the data</w:t>
      </w:r>
      <w:r w:rsidRPr="3484D138">
        <w:rPr>
          <w:rFonts w:cs="Arial"/>
        </w:rPr>
        <w:t xml:space="preserve"> </w:t>
      </w:r>
      <w:r w:rsidR="005B42C9" w:rsidRPr="3484D138">
        <w:rPr>
          <w:rFonts w:cs="Arial"/>
        </w:rPr>
        <w:t>d</w:t>
      </w:r>
      <w:r w:rsidR="005B42C9">
        <w:rPr>
          <w:rFonts w:cs="Arial"/>
        </w:rPr>
        <w:t>id</w:t>
      </w:r>
      <w:r w:rsidR="005B42C9" w:rsidRPr="3484D138">
        <w:rPr>
          <w:rFonts w:cs="Arial"/>
        </w:rPr>
        <w:t xml:space="preserve"> </w:t>
      </w:r>
      <w:r w:rsidRPr="3484D138">
        <w:rPr>
          <w:rFonts w:cs="Arial"/>
        </w:rPr>
        <w:t>not</w:t>
      </w:r>
      <w:r w:rsidR="00F01BDD" w:rsidRPr="3484D138">
        <w:rPr>
          <w:rFonts w:cs="Arial"/>
        </w:rPr>
        <w:t xml:space="preserve"> and </w:t>
      </w:r>
      <w:r w:rsidR="007D3C84">
        <w:rPr>
          <w:rFonts w:cs="Arial"/>
        </w:rPr>
        <w:t>were not</w:t>
      </w:r>
      <w:r w:rsidR="00F01BDD" w:rsidRPr="3484D138">
        <w:rPr>
          <w:rFonts w:cs="Arial"/>
        </w:rPr>
        <w:t xml:space="preserve"> counted towards the number of exceedances</w:t>
      </w:r>
      <w:r w:rsidRPr="3484D138">
        <w:rPr>
          <w:rFonts w:cs="Arial"/>
        </w:rPr>
        <w:t xml:space="preserve">.  </w:t>
      </w:r>
    </w:p>
    <w:p w14:paraId="2670FCBA" w14:textId="65435E98" w:rsidR="00B16A44" w:rsidRPr="00521369" w:rsidRDefault="00BC7212" w:rsidP="0037777E">
      <w:pPr>
        <w:rPr>
          <w:rFonts w:cs="Arial"/>
        </w:rPr>
      </w:pPr>
      <w:r w:rsidRPr="68BBA7DF">
        <w:rPr>
          <w:rFonts w:cs="Arial"/>
        </w:rPr>
        <w:t>The</w:t>
      </w:r>
      <w:r w:rsidRPr="68BBA7DF" w:rsidDel="001D189B">
        <w:rPr>
          <w:rFonts w:cs="Arial"/>
        </w:rPr>
        <w:t xml:space="preserve"> </w:t>
      </w:r>
      <w:r w:rsidRPr="68BBA7DF">
        <w:rPr>
          <w:rFonts w:cs="Arial"/>
        </w:rPr>
        <w:t>binomial test</w:t>
      </w:r>
      <w:r w:rsidRPr="68BBA7DF" w:rsidDel="002A5484">
        <w:rPr>
          <w:rFonts w:cs="Arial"/>
        </w:rPr>
        <w:t xml:space="preserve"> </w:t>
      </w:r>
      <w:r w:rsidR="00B63EDC" w:rsidRPr="68BBA7DF">
        <w:rPr>
          <w:rFonts w:cs="Arial"/>
        </w:rPr>
        <w:t>set forth</w:t>
      </w:r>
      <w:r w:rsidR="009D4D0F" w:rsidRPr="68BBA7DF">
        <w:rPr>
          <w:rFonts w:cs="Arial"/>
        </w:rPr>
        <w:t xml:space="preserve"> in the Listing Policy</w:t>
      </w:r>
      <w:r w:rsidRPr="68BBA7DF" w:rsidDel="002A5484">
        <w:rPr>
          <w:rFonts w:cs="Arial"/>
        </w:rPr>
        <w:t xml:space="preserve"> </w:t>
      </w:r>
      <w:r w:rsidRPr="68BBA7DF">
        <w:rPr>
          <w:rFonts w:cs="Arial"/>
        </w:rPr>
        <w:t xml:space="preserve">minimizes the difference between alpha error (potential for a false positive error, </w:t>
      </w:r>
      <w:r w:rsidR="005A79FD" w:rsidRPr="68BBA7DF">
        <w:rPr>
          <w:rFonts w:cs="Arial"/>
        </w:rPr>
        <w:t>i.e.,</w:t>
      </w:r>
      <w:r w:rsidRPr="68BBA7DF">
        <w:rPr>
          <w:rFonts w:cs="Arial"/>
        </w:rPr>
        <w:t xml:space="preserve"> listing a water</w:t>
      </w:r>
      <w:r w:rsidR="003E3D9B">
        <w:rPr>
          <w:rFonts w:cs="Arial"/>
        </w:rPr>
        <w:t>body</w:t>
      </w:r>
      <w:r w:rsidRPr="68BBA7DF">
        <w:rPr>
          <w:rFonts w:cs="Arial"/>
        </w:rPr>
        <w:t xml:space="preserve"> segment when the segment is not impaired) and beta error (potential for false negative error, </w:t>
      </w:r>
      <w:r w:rsidR="00C6455B" w:rsidRPr="68BBA7DF">
        <w:rPr>
          <w:rFonts w:cs="Arial"/>
        </w:rPr>
        <w:t>i.e.,</w:t>
      </w:r>
      <w:r w:rsidRPr="68BBA7DF">
        <w:rPr>
          <w:rFonts w:cs="Arial"/>
        </w:rPr>
        <w:t xml:space="preserve"> not listing a water</w:t>
      </w:r>
      <w:r w:rsidR="003E3D9B">
        <w:rPr>
          <w:rFonts w:cs="Arial"/>
        </w:rPr>
        <w:t>body</w:t>
      </w:r>
      <w:r w:rsidRPr="68BBA7DF">
        <w:rPr>
          <w:rFonts w:cs="Arial"/>
        </w:rPr>
        <w:t xml:space="preserve"> segment when the segment is impaired). Preference is not shown to either error. The potential to commit either of the errors is approximately equal, and as the sample size is increased, the probability to commit either error is progressively reduced.</w:t>
      </w:r>
      <w:r w:rsidR="00290908" w:rsidRPr="68BBA7DF">
        <w:rPr>
          <w:rFonts w:cs="Arial"/>
        </w:rPr>
        <w:t xml:space="preserve"> </w:t>
      </w:r>
      <w:r w:rsidR="003129D0" w:rsidRPr="68BBA7DF">
        <w:rPr>
          <w:rFonts w:cs="Arial"/>
        </w:rPr>
        <w:t xml:space="preserve">Establishing an effect size </w:t>
      </w:r>
      <w:r w:rsidR="6B8F7047" w:rsidRPr="68BBA7DF">
        <w:rPr>
          <w:rFonts w:cs="Arial"/>
        </w:rPr>
        <w:t>(</w:t>
      </w:r>
      <w:r w:rsidR="7A5DB741" w:rsidRPr="0A0B601B">
        <w:rPr>
          <w:rFonts w:cs="Arial"/>
        </w:rPr>
        <w:t>the level of impact essential to detect</w:t>
      </w:r>
      <w:r w:rsidR="6B8F7047" w:rsidRPr="68BBA7DF">
        <w:rPr>
          <w:rFonts w:cs="Arial"/>
        </w:rPr>
        <w:t>)</w:t>
      </w:r>
      <w:r w:rsidR="2F78EB97" w:rsidRPr="68BBA7DF">
        <w:rPr>
          <w:rFonts w:cs="Arial"/>
        </w:rPr>
        <w:t xml:space="preserve"> </w:t>
      </w:r>
      <w:r w:rsidR="003129D0" w:rsidRPr="68BBA7DF">
        <w:rPr>
          <w:rFonts w:cs="Arial"/>
        </w:rPr>
        <w:t xml:space="preserve">also contributes to the control of </w:t>
      </w:r>
      <w:r w:rsidR="00D8662F" w:rsidRPr="68BBA7DF">
        <w:rPr>
          <w:rFonts w:cs="Arial"/>
        </w:rPr>
        <w:t xml:space="preserve">errors, mainly beta errors. </w:t>
      </w:r>
      <w:r w:rsidR="00B161ED" w:rsidRPr="68BBA7DF">
        <w:rPr>
          <w:rFonts w:cs="Arial"/>
        </w:rPr>
        <w:t xml:space="preserve">Effect size represents </w:t>
      </w:r>
      <w:r w:rsidR="00E346F7" w:rsidRPr="68BBA7DF">
        <w:rPr>
          <w:rFonts w:cs="Arial"/>
        </w:rPr>
        <w:t xml:space="preserve">the maximum deviation from the null hypothesis exceedance proportion that would be </w:t>
      </w:r>
      <w:r w:rsidR="00BF323C" w:rsidRPr="68BBA7DF">
        <w:rPr>
          <w:rFonts w:cs="Arial"/>
        </w:rPr>
        <w:t xml:space="preserve">tolerated and still support the null hypothesis statement. </w:t>
      </w:r>
      <w:r w:rsidR="02C370C4" w:rsidRPr="29BD946A">
        <w:rPr>
          <w:rFonts w:cs="Arial"/>
        </w:rPr>
        <w:t>In other words</w:t>
      </w:r>
      <w:r w:rsidR="02C370C4" w:rsidRPr="68BBA7DF">
        <w:rPr>
          <w:rFonts w:cs="Arial"/>
        </w:rPr>
        <w:t xml:space="preserve">, effect size </w:t>
      </w:r>
      <w:r w:rsidR="536F44B5" w:rsidRPr="68BBA7DF">
        <w:rPr>
          <w:rFonts w:cs="Arial"/>
        </w:rPr>
        <w:t xml:space="preserve">is the maximum magnitude of exceedance frequency that </w:t>
      </w:r>
      <w:r w:rsidR="3F9AEC4A" w:rsidRPr="422831D8">
        <w:rPr>
          <w:rFonts w:cs="Arial"/>
        </w:rPr>
        <w:t>would be</w:t>
      </w:r>
      <w:r w:rsidR="536F44B5" w:rsidRPr="68BBA7DF">
        <w:rPr>
          <w:rFonts w:cs="Arial"/>
        </w:rPr>
        <w:t xml:space="preserve"> tolerated</w:t>
      </w:r>
      <w:r w:rsidR="0969DCB4" w:rsidRPr="68BBA7DF">
        <w:rPr>
          <w:rFonts w:cs="Arial"/>
        </w:rPr>
        <w:t>.</w:t>
      </w:r>
      <w:r w:rsidR="38FEABF5" w:rsidRPr="68BBA7DF">
        <w:rPr>
          <w:rFonts w:cs="Arial"/>
        </w:rPr>
        <w:t xml:space="preserve"> </w:t>
      </w:r>
      <w:r w:rsidR="00CF7D81" w:rsidRPr="68BBA7DF">
        <w:rPr>
          <w:rFonts w:cs="Arial"/>
        </w:rPr>
        <w:t xml:space="preserve">In addition to reducing </w:t>
      </w:r>
      <w:r w:rsidR="00DB5FDF" w:rsidRPr="68BBA7DF">
        <w:rPr>
          <w:rFonts w:cs="Arial"/>
        </w:rPr>
        <w:t>the potential for beta errors (false negatives)</w:t>
      </w:r>
      <w:r w:rsidR="002F5C36" w:rsidRPr="68BBA7DF">
        <w:rPr>
          <w:rFonts w:cs="Arial"/>
        </w:rPr>
        <w:t xml:space="preserve">, </w:t>
      </w:r>
      <w:r w:rsidR="0032134C" w:rsidRPr="68BBA7DF">
        <w:rPr>
          <w:rFonts w:cs="Arial"/>
        </w:rPr>
        <w:t xml:space="preserve">effect size </w:t>
      </w:r>
      <w:r w:rsidR="005C11B3" w:rsidRPr="68BBA7DF">
        <w:rPr>
          <w:rFonts w:cs="Arial"/>
        </w:rPr>
        <w:t>increases the power of the analysis</w:t>
      </w:r>
      <w:r w:rsidR="003F0475" w:rsidRPr="68BBA7DF">
        <w:rPr>
          <w:rFonts w:cs="Arial"/>
        </w:rPr>
        <w:t>, which is the probability that the test correctly rejected the null hypothesis.</w:t>
      </w:r>
    </w:p>
    <w:p w14:paraId="43846962" w14:textId="07B1E1DB" w:rsidR="00BC7212" w:rsidRDefault="002F40A4" w:rsidP="0037777E">
      <w:pPr>
        <w:rPr>
          <w:rFonts w:cs="Arial"/>
        </w:rPr>
      </w:pPr>
      <w:r>
        <w:rPr>
          <w:rFonts w:cs="Arial"/>
        </w:rPr>
        <w:t xml:space="preserve">The Listing Policy includes </w:t>
      </w:r>
      <w:r w:rsidR="2D60BA3B" w:rsidRPr="1360DD01">
        <w:rPr>
          <w:rFonts w:cs="Arial"/>
        </w:rPr>
        <w:t>binomial</w:t>
      </w:r>
      <w:r w:rsidR="00BC7212" w:rsidRPr="1F60721F">
        <w:rPr>
          <w:rFonts w:cs="Arial"/>
        </w:rPr>
        <w:t xml:space="preserve"> tables</w:t>
      </w:r>
      <w:r w:rsidR="00BC7212">
        <w:rPr>
          <w:rFonts w:cs="Arial"/>
        </w:rPr>
        <w:t xml:space="preserve"> </w:t>
      </w:r>
      <w:r w:rsidR="00BC7212" w:rsidRPr="10ADA757">
        <w:rPr>
          <w:rFonts w:cs="Arial"/>
        </w:rPr>
        <w:t xml:space="preserve">to </w:t>
      </w:r>
      <w:r w:rsidR="004C1334">
        <w:rPr>
          <w:rFonts w:cs="Arial"/>
        </w:rPr>
        <w:t xml:space="preserve">use to </w:t>
      </w:r>
      <w:r w:rsidR="00BC7212" w:rsidRPr="10ADA757">
        <w:rPr>
          <w:rFonts w:cs="Arial"/>
        </w:rPr>
        <w:t>determine if a waterbody</w:t>
      </w:r>
      <w:r w:rsidR="00407817">
        <w:rPr>
          <w:rFonts w:cs="Arial"/>
        </w:rPr>
        <w:t xml:space="preserve"> segment</w:t>
      </w:r>
      <w:r w:rsidR="00BC7212" w:rsidRPr="10ADA757">
        <w:rPr>
          <w:rFonts w:cs="Arial"/>
        </w:rPr>
        <w:t xml:space="preserve"> is not meeting water quality </w:t>
      </w:r>
      <w:r w:rsidR="008125D0">
        <w:rPr>
          <w:rFonts w:cs="Arial"/>
        </w:rPr>
        <w:t>objectives, criteria or evaluation guidelines</w:t>
      </w:r>
      <w:r w:rsidR="008125D0" w:rsidRPr="10ADA757">
        <w:rPr>
          <w:rFonts w:cs="Arial"/>
        </w:rPr>
        <w:t xml:space="preserve"> </w:t>
      </w:r>
      <w:r w:rsidR="00BC7212" w:rsidRPr="10ADA757">
        <w:rPr>
          <w:rFonts w:cs="Arial"/>
        </w:rPr>
        <w:t xml:space="preserve">and should be placed on the 303(d) </w:t>
      </w:r>
      <w:r w:rsidR="00D506E7">
        <w:rPr>
          <w:rFonts w:cs="Arial"/>
        </w:rPr>
        <w:t>l</w:t>
      </w:r>
      <w:r w:rsidR="00BC7212" w:rsidRPr="10ADA757">
        <w:rPr>
          <w:rFonts w:cs="Arial"/>
        </w:rPr>
        <w:t xml:space="preserve">ist </w:t>
      </w:r>
      <w:r w:rsidR="007D6C44">
        <w:rPr>
          <w:rFonts w:cs="Arial"/>
        </w:rPr>
        <w:t xml:space="preserve">(Listing Policy </w:t>
      </w:r>
      <w:r w:rsidR="00864E5F">
        <w:rPr>
          <w:rFonts w:cs="Arial"/>
        </w:rPr>
        <w:t>Tables 3.1 and 3.2)</w:t>
      </w:r>
      <w:r w:rsidR="00BC7212" w:rsidRPr="10ADA757">
        <w:rPr>
          <w:rFonts w:cs="Arial"/>
        </w:rPr>
        <w:t xml:space="preserve"> or if a waterbody </w:t>
      </w:r>
      <w:r w:rsidR="007772F5">
        <w:rPr>
          <w:rFonts w:cs="Arial"/>
        </w:rPr>
        <w:t xml:space="preserve">segment </w:t>
      </w:r>
      <w:r w:rsidR="00BC7212" w:rsidRPr="10ADA757">
        <w:rPr>
          <w:rFonts w:cs="Arial"/>
        </w:rPr>
        <w:t xml:space="preserve">on the 303(d) </w:t>
      </w:r>
      <w:r w:rsidR="005528D0">
        <w:rPr>
          <w:rFonts w:cs="Arial"/>
        </w:rPr>
        <w:t>l</w:t>
      </w:r>
      <w:r w:rsidR="00BC7212" w:rsidRPr="10ADA757">
        <w:rPr>
          <w:rFonts w:cs="Arial"/>
        </w:rPr>
        <w:t>ist now meets standards and should be removed from the list</w:t>
      </w:r>
      <w:r w:rsidR="00683FCE">
        <w:rPr>
          <w:rFonts w:cs="Arial"/>
        </w:rPr>
        <w:t xml:space="preserve"> (Listing Policy Tables 4.1 and 4.2)</w:t>
      </w:r>
      <w:r w:rsidR="00BC7212" w:rsidRPr="10ADA757">
        <w:rPr>
          <w:rFonts w:cs="Arial"/>
        </w:rPr>
        <w:t>. These</w:t>
      </w:r>
      <w:r w:rsidR="00BC7212" w:rsidRPr="1F60721F">
        <w:rPr>
          <w:rFonts w:cs="Arial"/>
        </w:rPr>
        <w:t xml:space="preserve"> tables</w:t>
      </w:r>
      <w:r w:rsidR="00BC7212" w:rsidRPr="10ADA757">
        <w:rPr>
          <w:rFonts w:cs="Arial"/>
        </w:rPr>
        <w:t xml:space="preserve"> identify the minimum number of exceedances allowed based on the number of samples assessed and the </w:t>
      </w:r>
      <w:r w:rsidR="002B6530">
        <w:rPr>
          <w:rFonts w:cs="Arial"/>
        </w:rPr>
        <w:t xml:space="preserve">binomial </w:t>
      </w:r>
      <w:r w:rsidR="00BC7212" w:rsidRPr="10ADA757">
        <w:rPr>
          <w:rFonts w:cs="Arial"/>
        </w:rPr>
        <w:t>test</w:t>
      </w:r>
      <w:r w:rsidR="002B6530">
        <w:rPr>
          <w:rFonts w:cs="Arial"/>
        </w:rPr>
        <w:t xml:space="preserve"> criteria</w:t>
      </w:r>
      <w:r w:rsidR="00BC7212" w:rsidRPr="10ADA757">
        <w:rPr>
          <w:rFonts w:cs="Arial"/>
        </w:rPr>
        <w:t xml:space="preserve">. </w:t>
      </w:r>
      <w:r w:rsidR="00395A10">
        <w:rPr>
          <w:rFonts w:cs="Arial"/>
        </w:rPr>
        <w:t>The</w:t>
      </w:r>
      <w:r w:rsidR="00E13581">
        <w:rPr>
          <w:rFonts w:cs="Arial"/>
        </w:rPr>
        <w:t xml:space="preserve"> </w:t>
      </w:r>
      <w:r w:rsidR="00E34300">
        <w:rPr>
          <w:rFonts w:cs="Arial"/>
        </w:rPr>
        <w:t>binomial test criteria include the null and alternative hypothes</w:t>
      </w:r>
      <w:r w:rsidR="00CE1444">
        <w:rPr>
          <w:rFonts w:cs="Arial"/>
        </w:rPr>
        <w:t>es</w:t>
      </w:r>
      <w:r w:rsidR="00FD3A3E">
        <w:rPr>
          <w:rFonts w:cs="Arial"/>
        </w:rPr>
        <w:t xml:space="preserve"> (which are in</w:t>
      </w:r>
      <w:r w:rsidR="00546B4D">
        <w:rPr>
          <w:rFonts w:cs="Arial"/>
        </w:rPr>
        <w:t xml:space="preserve">formed by the </w:t>
      </w:r>
      <w:r w:rsidR="005922E7">
        <w:rPr>
          <w:rFonts w:cs="Arial"/>
        </w:rPr>
        <w:t>acceptable</w:t>
      </w:r>
      <w:r w:rsidR="00546B4D">
        <w:rPr>
          <w:rFonts w:cs="Arial"/>
        </w:rPr>
        <w:t xml:space="preserve"> exceedance proportion and the un</w:t>
      </w:r>
      <w:r w:rsidR="005922E7">
        <w:rPr>
          <w:rFonts w:cs="Arial"/>
        </w:rPr>
        <w:t>acceptable</w:t>
      </w:r>
      <w:r w:rsidR="00546B4D">
        <w:rPr>
          <w:rFonts w:cs="Arial"/>
        </w:rPr>
        <w:t xml:space="preserve"> exceedance proportion), </w:t>
      </w:r>
      <w:r w:rsidR="00267E1C">
        <w:rPr>
          <w:rFonts w:cs="Arial"/>
        </w:rPr>
        <w:t>the a</w:t>
      </w:r>
      <w:r w:rsidR="00546B95">
        <w:rPr>
          <w:rFonts w:cs="Arial"/>
        </w:rPr>
        <w:t>lpha error</w:t>
      </w:r>
      <w:r w:rsidR="00AF690B">
        <w:rPr>
          <w:rFonts w:cs="Arial"/>
        </w:rPr>
        <w:t>,</w:t>
      </w:r>
      <w:r w:rsidR="00F51DDD" w:rsidRPr="12F95C67">
        <w:rPr>
          <w:rFonts w:cs="Arial"/>
        </w:rPr>
        <w:t xml:space="preserve"> the beta erro</w:t>
      </w:r>
      <w:r w:rsidR="00772D08" w:rsidRPr="12F95C67">
        <w:rPr>
          <w:rFonts w:cs="Arial"/>
        </w:rPr>
        <w:t>r</w:t>
      </w:r>
      <w:r w:rsidR="008836FB" w:rsidRPr="12F95C67">
        <w:rPr>
          <w:rFonts w:cs="Arial"/>
        </w:rPr>
        <w:t xml:space="preserve">, and </w:t>
      </w:r>
      <w:r w:rsidR="00660F5E" w:rsidRPr="12F95C67">
        <w:rPr>
          <w:rFonts w:cs="Arial"/>
        </w:rPr>
        <w:t>the effect size</w:t>
      </w:r>
      <w:r w:rsidR="003910AC" w:rsidRPr="12F95C67">
        <w:rPr>
          <w:rFonts w:cs="Arial"/>
        </w:rPr>
        <w:t>.</w:t>
      </w:r>
      <w:r w:rsidR="00182133">
        <w:rPr>
          <w:rFonts w:cs="Arial"/>
        </w:rPr>
        <w:t xml:space="preserve"> </w:t>
      </w:r>
    </w:p>
    <w:p w14:paraId="49CB9DA8" w14:textId="6A7C7DAB" w:rsidR="00BC7212" w:rsidRPr="00521369" w:rsidRDefault="00396B05" w:rsidP="69CC3F0D">
      <w:pPr>
        <w:rPr>
          <w:rFonts w:cs="Arial"/>
        </w:rPr>
      </w:pPr>
      <w:r w:rsidRPr="00BD1103">
        <w:rPr>
          <w:rFonts w:cs="Arial"/>
        </w:rPr>
        <w:t>Using the binomial test, a water</w:t>
      </w:r>
      <w:r w:rsidR="00157160">
        <w:rPr>
          <w:rFonts w:cs="Arial"/>
        </w:rPr>
        <w:t>body</w:t>
      </w:r>
      <w:r w:rsidRPr="00BD1103">
        <w:rPr>
          <w:rFonts w:cs="Arial"/>
        </w:rPr>
        <w:t xml:space="preserve"> segment </w:t>
      </w:r>
      <w:r w:rsidR="00E51C4C">
        <w:rPr>
          <w:rFonts w:cs="Arial"/>
        </w:rPr>
        <w:t>was</w:t>
      </w:r>
      <w:r w:rsidRPr="00BD1103">
        <w:rPr>
          <w:rFonts w:cs="Arial"/>
        </w:rPr>
        <w:t xml:space="preserve"> deemed impaired and placed on the 303(d) </w:t>
      </w:r>
      <w:r w:rsidR="00D506E7">
        <w:rPr>
          <w:rFonts w:cs="Arial"/>
        </w:rPr>
        <w:t>l</w:t>
      </w:r>
      <w:r w:rsidRPr="00BD1103">
        <w:rPr>
          <w:rFonts w:cs="Arial"/>
        </w:rPr>
        <w:t>ist if a minimum number of water samples exceed</w:t>
      </w:r>
      <w:r w:rsidR="00A51F97">
        <w:rPr>
          <w:rFonts w:cs="Arial"/>
        </w:rPr>
        <w:t>ed</w:t>
      </w:r>
      <w:r w:rsidRPr="00BD1103">
        <w:rPr>
          <w:rFonts w:cs="Arial"/>
        </w:rPr>
        <w:t xml:space="preserve"> </w:t>
      </w:r>
      <w:r w:rsidR="00331161">
        <w:rPr>
          <w:rFonts w:cs="Arial"/>
        </w:rPr>
        <w:t xml:space="preserve">a </w:t>
      </w:r>
      <w:r w:rsidRPr="00BD1103">
        <w:rPr>
          <w:rFonts w:cs="Arial"/>
        </w:rPr>
        <w:t>certain specified water quality objective</w:t>
      </w:r>
      <w:r w:rsidR="00AF690B">
        <w:rPr>
          <w:rFonts w:cs="Arial"/>
        </w:rPr>
        <w:t>, criterion,</w:t>
      </w:r>
      <w:r w:rsidRPr="00BD1103">
        <w:rPr>
          <w:rFonts w:cs="Arial"/>
        </w:rPr>
        <w:t xml:space="preserve"> or evaluation guideline. (Listing Policy, p. 9, table 3.1.) With a sample size of between 2 and 24, the minimum number of exceedances is 2; with a sample size of between 25 and 36, the minimum number of exceedances is 3; and so on. (Ibid.) In other words, if 5 water samples are taken from a particular water</w:t>
      </w:r>
      <w:r w:rsidR="005A3224">
        <w:rPr>
          <w:rFonts w:cs="Arial"/>
        </w:rPr>
        <w:t>body</w:t>
      </w:r>
      <w:r w:rsidRPr="00BD1103">
        <w:rPr>
          <w:rFonts w:cs="Arial"/>
        </w:rPr>
        <w:t xml:space="preserve"> segment, and 2 or more of those water samples exceed</w:t>
      </w:r>
      <w:r w:rsidR="00121E10">
        <w:rPr>
          <w:rFonts w:cs="Arial"/>
        </w:rPr>
        <w:t>ed</w:t>
      </w:r>
      <w:r w:rsidRPr="00BD1103">
        <w:rPr>
          <w:rFonts w:cs="Arial"/>
        </w:rPr>
        <w:t xml:space="preserve"> numeric criteria, then the water</w:t>
      </w:r>
      <w:r w:rsidR="00E64AB6">
        <w:rPr>
          <w:rFonts w:cs="Arial"/>
        </w:rPr>
        <w:t>body</w:t>
      </w:r>
      <w:r w:rsidRPr="00BD1103">
        <w:rPr>
          <w:rFonts w:cs="Arial"/>
        </w:rPr>
        <w:t xml:space="preserve"> segment from which the samples were taken </w:t>
      </w:r>
      <w:r w:rsidR="00121E10">
        <w:rPr>
          <w:rFonts w:cs="Arial"/>
        </w:rPr>
        <w:t>was</w:t>
      </w:r>
      <w:r w:rsidRPr="00BD1103">
        <w:rPr>
          <w:rFonts w:cs="Arial"/>
        </w:rPr>
        <w:t xml:space="preserve"> deemed impaired and placed on the 303(d) list.</w:t>
      </w:r>
      <w:r w:rsidR="007E7BB9">
        <w:rPr>
          <w:rFonts w:cs="Arial"/>
        </w:rPr>
        <w:t xml:space="preserve"> </w:t>
      </w:r>
      <w:r w:rsidR="00BC7212" w:rsidRPr="7DEEC9C8">
        <w:rPr>
          <w:rFonts w:cs="Arial"/>
        </w:rPr>
        <w:t xml:space="preserve">More information on the application of the binomial test with balanced alpha and beta errors and the development of listing and delisting tables is available </w:t>
      </w:r>
      <w:r w:rsidR="142E3886" w:rsidRPr="0CB009D7">
        <w:rPr>
          <w:rFonts w:cs="Arial"/>
        </w:rPr>
        <w:t>under Issue 6</w:t>
      </w:r>
      <w:r w:rsidR="52217050" w:rsidRPr="0CB009D7">
        <w:rPr>
          <w:rFonts w:cs="Arial"/>
        </w:rPr>
        <w:t xml:space="preserve"> Statistical Evaluation of Numeric Water Quality Data</w:t>
      </w:r>
      <w:r w:rsidR="76E81AB2" w:rsidRPr="0CB009D7">
        <w:rPr>
          <w:rFonts w:cs="Arial"/>
        </w:rPr>
        <w:t xml:space="preserve"> </w:t>
      </w:r>
      <w:r w:rsidR="00BC7212" w:rsidRPr="7DEEC9C8">
        <w:rPr>
          <w:rFonts w:cs="Arial"/>
        </w:rPr>
        <w:t xml:space="preserve">in the Functional Equivalent Document for the Water Quality Control Policy for Developing California’s Clean Water Act Section 303(d) List </w:t>
      </w:r>
      <w:r w:rsidR="004526E7">
        <w:rPr>
          <w:rFonts w:cs="Arial"/>
        </w:rPr>
        <w:t xml:space="preserve">(“Functional Equivalent Document”) </w:t>
      </w:r>
      <w:r w:rsidR="00BC7212" w:rsidRPr="7DEEC9C8">
        <w:rPr>
          <w:rFonts w:cs="Arial"/>
        </w:rPr>
        <w:t xml:space="preserve">(SWRCB 2004). </w:t>
      </w:r>
    </w:p>
    <w:p w14:paraId="236C13B2" w14:textId="59CE2BF8" w:rsidR="00BC7212" w:rsidRPr="007B4BCD" w:rsidRDefault="00D10B45" w:rsidP="005632BC">
      <w:pPr>
        <w:pStyle w:val="Heading4"/>
      </w:pPr>
      <w:r>
        <w:t xml:space="preserve">Binomial Test Criteria for </w:t>
      </w:r>
      <w:r w:rsidR="7CFB5266">
        <w:t xml:space="preserve">Listing </w:t>
      </w:r>
      <w:r w:rsidR="00B87D83">
        <w:t xml:space="preserve">Decisions </w:t>
      </w:r>
    </w:p>
    <w:p w14:paraId="043C4918" w14:textId="52D834EC" w:rsidR="00BC7212" w:rsidRDefault="00B8271A" w:rsidP="0037777E">
      <w:pPr>
        <w:rPr>
          <w:rFonts w:cs="Arial"/>
          <w:szCs w:val="24"/>
        </w:rPr>
      </w:pPr>
      <w:r>
        <w:rPr>
          <w:rFonts w:cs="Arial"/>
          <w:szCs w:val="24"/>
        </w:rPr>
        <w:t>F</w:t>
      </w:r>
      <w:r w:rsidR="00A71B28">
        <w:rPr>
          <w:rFonts w:cs="Arial"/>
          <w:szCs w:val="24"/>
        </w:rPr>
        <w:t xml:space="preserve">or listing </w:t>
      </w:r>
      <w:r w:rsidR="00B87D83">
        <w:rPr>
          <w:rFonts w:cs="Arial"/>
          <w:szCs w:val="24"/>
        </w:rPr>
        <w:t>Decisions</w:t>
      </w:r>
      <w:r w:rsidR="007F1B5B">
        <w:rPr>
          <w:rFonts w:cs="Arial"/>
          <w:szCs w:val="24"/>
        </w:rPr>
        <w:t xml:space="preserve">, </w:t>
      </w:r>
      <w:r w:rsidR="007825CF" w:rsidRPr="00521369">
        <w:rPr>
          <w:rFonts w:cs="Arial"/>
          <w:szCs w:val="24"/>
        </w:rPr>
        <w:t>the</w:t>
      </w:r>
      <w:r w:rsidR="00BC7212">
        <w:rPr>
          <w:rFonts w:cs="Arial"/>
          <w:szCs w:val="24"/>
        </w:rPr>
        <w:t xml:space="preserve"> null </w:t>
      </w:r>
      <w:r w:rsidR="00BC7212" w:rsidRPr="00521369">
        <w:rPr>
          <w:rFonts w:cs="Arial"/>
          <w:szCs w:val="24"/>
        </w:rPr>
        <w:t xml:space="preserve">hypothesis </w:t>
      </w:r>
      <w:r w:rsidR="00646E35">
        <w:rPr>
          <w:rFonts w:cs="Arial"/>
          <w:szCs w:val="24"/>
        </w:rPr>
        <w:t xml:space="preserve">tests </w:t>
      </w:r>
      <w:r w:rsidR="00564314">
        <w:rPr>
          <w:rFonts w:cs="Arial"/>
          <w:szCs w:val="24"/>
        </w:rPr>
        <w:t>the statement that the</w:t>
      </w:r>
      <w:r w:rsidR="00CB781F">
        <w:rPr>
          <w:rFonts w:cs="Arial"/>
          <w:szCs w:val="24"/>
        </w:rPr>
        <w:t xml:space="preserve"> </w:t>
      </w:r>
      <w:r w:rsidR="00E40FA3">
        <w:rPr>
          <w:rFonts w:cs="Arial"/>
          <w:szCs w:val="24"/>
        </w:rPr>
        <w:t>actual</w:t>
      </w:r>
      <w:r w:rsidR="00CB781F">
        <w:rPr>
          <w:rFonts w:cs="Arial"/>
          <w:szCs w:val="24"/>
        </w:rPr>
        <w:t xml:space="preserve"> </w:t>
      </w:r>
      <w:r w:rsidR="00D03EE2">
        <w:rPr>
          <w:rFonts w:cs="Arial"/>
          <w:szCs w:val="24"/>
        </w:rPr>
        <w:t>exceedance proportion</w:t>
      </w:r>
      <w:r w:rsidR="006472DF">
        <w:rPr>
          <w:rFonts w:cs="Arial"/>
          <w:szCs w:val="24"/>
        </w:rPr>
        <w:t>, given the data available</w:t>
      </w:r>
      <w:r w:rsidR="009F0D32">
        <w:rPr>
          <w:rFonts w:cs="Arial"/>
          <w:szCs w:val="24"/>
        </w:rPr>
        <w:t xml:space="preserve">, </w:t>
      </w:r>
      <w:r w:rsidR="00482C28">
        <w:rPr>
          <w:rFonts w:cs="Arial"/>
          <w:szCs w:val="24"/>
        </w:rPr>
        <w:t xml:space="preserve">is less than </w:t>
      </w:r>
      <w:r w:rsidR="009F0D32">
        <w:rPr>
          <w:rFonts w:cs="Arial"/>
          <w:szCs w:val="24"/>
        </w:rPr>
        <w:t xml:space="preserve">the acceptable exceedance proportion for that pollutant type. The acceptable exceedance proportions </w:t>
      </w:r>
      <w:r w:rsidR="00C649D7">
        <w:rPr>
          <w:rFonts w:cs="Arial"/>
          <w:szCs w:val="24"/>
        </w:rPr>
        <w:t>are</w:t>
      </w:r>
      <w:r w:rsidR="0064780F">
        <w:rPr>
          <w:rFonts w:cs="Arial"/>
          <w:szCs w:val="24"/>
        </w:rPr>
        <w:t xml:space="preserve"> </w:t>
      </w:r>
      <w:r w:rsidR="008D05CA">
        <w:rPr>
          <w:rFonts w:cs="Arial"/>
          <w:szCs w:val="24"/>
        </w:rPr>
        <w:t>0.03 for toxic pollutants and 0.10</w:t>
      </w:r>
      <w:r w:rsidR="00585F62">
        <w:rPr>
          <w:rFonts w:cs="Arial"/>
          <w:szCs w:val="24"/>
        </w:rPr>
        <w:t xml:space="preserve"> for </w:t>
      </w:r>
      <w:r w:rsidR="002E37E4">
        <w:rPr>
          <w:rFonts w:cs="Arial"/>
          <w:szCs w:val="24"/>
        </w:rPr>
        <w:t xml:space="preserve">conventional </w:t>
      </w:r>
      <w:r w:rsidR="00AB5BAB">
        <w:rPr>
          <w:rFonts w:cs="Arial"/>
          <w:szCs w:val="24"/>
        </w:rPr>
        <w:t>and</w:t>
      </w:r>
      <w:r w:rsidR="002E37E4">
        <w:rPr>
          <w:rFonts w:cs="Arial"/>
          <w:szCs w:val="24"/>
        </w:rPr>
        <w:t xml:space="preserve"> other pollutant</w:t>
      </w:r>
      <w:r w:rsidR="0003120B">
        <w:rPr>
          <w:rFonts w:cs="Arial"/>
          <w:szCs w:val="24"/>
        </w:rPr>
        <w:t>s</w:t>
      </w:r>
      <w:r w:rsidR="00FF3890">
        <w:rPr>
          <w:rFonts w:cs="Arial"/>
          <w:szCs w:val="24"/>
        </w:rPr>
        <w:t>.</w:t>
      </w:r>
      <w:r w:rsidR="00BC7212" w:rsidRPr="00521369">
        <w:rPr>
          <w:rFonts w:cs="Arial"/>
          <w:szCs w:val="24"/>
        </w:rPr>
        <w:t xml:space="preserve"> </w:t>
      </w:r>
      <w:r w:rsidR="00536F3F">
        <w:rPr>
          <w:rFonts w:cs="Arial"/>
          <w:szCs w:val="24"/>
        </w:rPr>
        <w:t xml:space="preserve">If evidence is sufficient to </w:t>
      </w:r>
      <w:r w:rsidR="00A630F6">
        <w:rPr>
          <w:rFonts w:cs="Arial"/>
          <w:szCs w:val="24"/>
        </w:rPr>
        <w:t>accept the null hypothesis</w:t>
      </w:r>
      <w:r w:rsidR="00604DE7">
        <w:rPr>
          <w:rFonts w:cs="Arial"/>
          <w:szCs w:val="24"/>
        </w:rPr>
        <w:t xml:space="preserve">, the recommendation </w:t>
      </w:r>
      <w:r w:rsidR="00D11474">
        <w:rPr>
          <w:rFonts w:cs="Arial"/>
          <w:szCs w:val="24"/>
        </w:rPr>
        <w:t>would be to not list the waterbody</w:t>
      </w:r>
      <w:r w:rsidR="00CE4069">
        <w:rPr>
          <w:rFonts w:cs="Arial"/>
          <w:szCs w:val="24"/>
        </w:rPr>
        <w:t xml:space="preserve"> segment</w:t>
      </w:r>
      <w:r w:rsidR="00604DE7">
        <w:rPr>
          <w:rFonts w:cs="Arial"/>
          <w:szCs w:val="24"/>
        </w:rPr>
        <w:t xml:space="preserve"> </w:t>
      </w:r>
      <w:r w:rsidR="005310FE">
        <w:rPr>
          <w:rFonts w:cs="Arial"/>
          <w:szCs w:val="24"/>
        </w:rPr>
        <w:t xml:space="preserve">for the pollutant. </w:t>
      </w:r>
      <w:r w:rsidR="00415CB0">
        <w:rPr>
          <w:rFonts w:cs="Arial"/>
          <w:szCs w:val="24"/>
        </w:rPr>
        <w:t xml:space="preserve">The alternative hypothesis states that </w:t>
      </w:r>
      <w:r w:rsidR="00A70266">
        <w:rPr>
          <w:rFonts w:cs="Arial"/>
          <w:szCs w:val="24"/>
        </w:rPr>
        <w:t>exceed</w:t>
      </w:r>
      <w:r w:rsidR="00E73803">
        <w:rPr>
          <w:rFonts w:cs="Arial"/>
          <w:szCs w:val="24"/>
        </w:rPr>
        <w:t>ance</w:t>
      </w:r>
      <w:r w:rsidR="00A70266">
        <w:rPr>
          <w:rFonts w:cs="Arial"/>
          <w:szCs w:val="24"/>
        </w:rPr>
        <w:t xml:space="preserve"> proportion</w:t>
      </w:r>
      <w:r w:rsidR="00B571E5">
        <w:rPr>
          <w:rFonts w:cs="Arial"/>
          <w:szCs w:val="24"/>
        </w:rPr>
        <w:t xml:space="preserve">, given the data available, </w:t>
      </w:r>
      <w:r w:rsidR="002C66B3">
        <w:rPr>
          <w:rFonts w:cs="Arial"/>
          <w:szCs w:val="24"/>
        </w:rPr>
        <w:t xml:space="preserve">is greater than the </w:t>
      </w:r>
      <w:r w:rsidR="00623753">
        <w:rPr>
          <w:rFonts w:cs="Arial"/>
          <w:szCs w:val="24"/>
        </w:rPr>
        <w:t>un</w:t>
      </w:r>
      <w:r w:rsidR="008B21F5">
        <w:rPr>
          <w:rFonts w:cs="Arial"/>
          <w:szCs w:val="24"/>
        </w:rPr>
        <w:t>acceptable ex</w:t>
      </w:r>
      <w:r w:rsidR="006A7F75">
        <w:rPr>
          <w:rFonts w:cs="Arial"/>
          <w:szCs w:val="24"/>
        </w:rPr>
        <w:t>ceedan</w:t>
      </w:r>
      <w:r w:rsidR="00322296">
        <w:rPr>
          <w:rFonts w:cs="Arial"/>
          <w:szCs w:val="24"/>
        </w:rPr>
        <w:t xml:space="preserve">ce proportion </w:t>
      </w:r>
      <w:r w:rsidR="002C0E1A">
        <w:rPr>
          <w:rFonts w:cs="Arial"/>
          <w:szCs w:val="24"/>
        </w:rPr>
        <w:t xml:space="preserve">for that pollutant type. </w:t>
      </w:r>
      <w:r w:rsidR="00FA2A75">
        <w:rPr>
          <w:rFonts w:cs="Arial"/>
          <w:szCs w:val="24"/>
        </w:rPr>
        <w:t xml:space="preserve">The unacceptable exceedance proportions are </w:t>
      </w:r>
      <w:r w:rsidR="00402E3D">
        <w:rPr>
          <w:rFonts w:cs="Arial"/>
          <w:szCs w:val="24"/>
        </w:rPr>
        <w:br/>
      </w:r>
      <w:r w:rsidR="00FA2A75">
        <w:rPr>
          <w:rFonts w:cs="Arial"/>
          <w:szCs w:val="24"/>
        </w:rPr>
        <w:t xml:space="preserve">0.18 for toxic pollutants </w:t>
      </w:r>
      <w:r w:rsidR="00CE2919">
        <w:rPr>
          <w:rFonts w:cs="Arial"/>
          <w:szCs w:val="24"/>
        </w:rPr>
        <w:t>and 0.25 for</w:t>
      </w:r>
      <w:r w:rsidR="00F15CB6">
        <w:rPr>
          <w:rFonts w:cs="Arial"/>
          <w:szCs w:val="24"/>
        </w:rPr>
        <w:t xml:space="preserve"> conventional and other pollutants. </w:t>
      </w:r>
      <w:r w:rsidR="00546F79">
        <w:rPr>
          <w:rFonts w:cs="Arial"/>
          <w:szCs w:val="24"/>
        </w:rPr>
        <w:t>If evid</w:t>
      </w:r>
      <w:r w:rsidR="00A9357D">
        <w:rPr>
          <w:rFonts w:cs="Arial"/>
          <w:szCs w:val="24"/>
        </w:rPr>
        <w:t xml:space="preserve">ence </w:t>
      </w:r>
      <w:r w:rsidR="00402E3D">
        <w:rPr>
          <w:rFonts w:cs="Arial"/>
          <w:szCs w:val="24"/>
        </w:rPr>
        <w:br/>
      </w:r>
      <w:r w:rsidR="00A9357D">
        <w:rPr>
          <w:rFonts w:cs="Arial"/>
          <w:szCs w:val="24"/>
        </w:rPr>
        <w:t>is sufficient to reject the null hypothesis</w:t>
      </w:r>
      <w:r w:rsidR="00A16214">
        <w:rPr>
          <w:rFonts w:cs="Arial"/>
          <w:szCs w:val="24"/>
        </w:rPr>
        <w:t xml:space="preserve"> and thereby accept the alternative hypothesis, then the </w:t>
      </w:r>
      <w:r w:rsidR="006201A8">
        <w:rPr>
          <w:rFonts w:cs="Arial"/>
          <w:szCs w:val="24"/>
        </w:rPr>
        <w:t xml:space="preserve">Decision </w:t>
      </w:r>
      <w:r w:rsidR="00A16214">
        <w:rPr>
          <w:rFonts w:cs="Arial"/>
          <w:szCs w:val="24"/>
        </w:rPr>
        <w:t xml:space="preserve">would be to </w:t>
      </w:r>
      <w:r w:rsidR="00AF49EB">
        <w:rPr>
          <w:rFonts w:cs="Arial"/>
          <w:szCs w:val="24"/>
        </w:rPr>
        <w:t xml:space="preserve">list the waterbody </w:t>
      </w:r>
      <w:r w:rsidR="00514E0D">
        <w:rPr>
          <w:rFonts w:cs="Arial"/>
          <w:szCs w:val="24"/>
        </w:rPr>
        <w:t xml:space="preserve">segment </w:t>
      </w:r>
      <w:r w:rsidR="00AF49EB">
        <w:rPr>
          <w:rFonts w:cs="Arial"/>
          <w:szCs w:val="24"/>
        </w:rPr>
        <w:t xml:space="preserve">for the pollutant. </w:t>
      </w:r>
      <w:r w:rsidR="00B571E5">
        <w:rPr>
          <w:rFonts w:cs="Arial"/>
          <w:szCs w:val="24"/>
        </w:rPr>
        <w:t xml:space="preserve"> </w:t>
      </w:r>
      <w:r w:rsidR="00A70266">
        <w:rPr>
          <w:rFonts w:cs="Arial"/>
          <w:szCs w:val="24"/>
        </w:rPr>
        <w:t xml:space="preserve"> </w:t>
      </w:r>
    </w:p>
    <w:p w14:paraId="5F4D33E0" w14:textId="0173F018" w:rsidR="00A51E95" w:rsidRDefault="00644A9C" w:rsidP="00A51E95">
      <w:pPr>
        <w:rPr>
          <w:rFonts w:cs="Arial"/>
        </w:rPr>
      </w:pPr>
      <w:r>
        <w:rPr>
          <w:rFonts w:cs="Arial"/>
        </w:rPr>
        <w:t>Effect size is shown by</w:t>
      </w:r>
      <w:r w:rsidR="00B27C82" w:rsidRPr="6D54CAA8">
        <w:rPr>
          <w:rFonts w:cs="Arial"/>
        </w:rPr>
        <w:t xml:space="preserve"> a 0.15 difference between the acceptable and unacceptable exceedance proportions for the pollutant types. The use and value of the effect size selected is based on recommendations by </w:t>
      </w:r>
      <w:r w:rsidR="00313C98">
        <w:rPr>
          <w:rFonts w:cs="Arial"/>
        </w:rPr>
        <w:t>USEPA</w:t>
      </w:r>
      <w:r w:rsidR="00B27C82" w:rsidRPr="6D54CAA8">
        <w:rPr>
          <w:rFonts w:cs="Arial"/>
        </w:rPr>
        <w:t xml:space="preserve"> (</w:t>
      </w:r>
      <w:r w:rsidR="00313C98">
        <w:rPr>
          <w:rFonts w:cs="Arial"/>
        </w:rPr>
        <w:t>USEPA</w:t>
      </w:r>
      <w:r w:rsidR="00B27C82" w:rsidRPr="6D54CAA8">
        <w:rPr>
          <w:rFonts w:cs="Arial"/>
        </w:rPr>
        <w:t xml:space="preserve"> 2002). The binomial test for listing</w:t>
      </w:r>
      <w:r w:rsidR="00A06307">
        <w:rPr>
          <w:rFonts w:cs="Arial"/>
        </w:rPr>
        <w:t xml:space="preserve"> </w:t>
      </w:r>
      <w:r w:rsidR="003C5BA6">
        <w:rPr>
          <w:rFonts w:cs="Arial"/>
        </w:rPr>
        <w:t>Decisions</w:t>
      </w:r>
      <w:r w:rsidR="003C5BA6" w:rsidRPr="6D54CAA8">
        <w:rPr>
          <w:rFonts w:cs="Arial"/>
        </w:rPr>
        <w:t xml:space="preserve"> </w:t>
      </w:r>
      <w:r w:rsidR="00B27C82" w:rsidRPr="6D54CAA8">
        <w:rPr>
          <w:rFonts w:cs="Arial"/>
        </w:rPr>
        <w:t xml:space="preserve">also maintains alpha error (false positive) and beta error (false negative) at or below a probability of 0.2 while minimizing the difference between these two errors so as not to show preference. </w:t>
      </w:r>
      <w:r w:rsidR="00A51E95" w:rsidRPr="3A9624A3">
        <w:rPr>
          <w:rFonts w:cs="Arial"/>
        </w:rPr>
        <w:t xml:space="preserve">The binomial test criteria used to establish the </w:t>
      </w:r>
      <w:r w:rsidR="00A51E95" w:rsidRPr="12E03312">
        <w:rPr>
          <w:rFonts w:cs="Arial"/>
        </w:rPr>
        <w:t>binomial table</w:t>
      </w:r>
      <w:r w:rsidR="00A51E95">
        <w:rPr>
          <w:rFonts w:cs="Arial"/>
        </w:rPr>
        <w:t>s</w:t>
      </w:r>
      <w:r w:rsidR="00A51E95" w:rsidRPr="3A9624A3">
        <w:rPr>
          <w:rFonts w:cs="Arial"/>
        </w:rPr>
        <w:t xml:space="preserve"> for </w:t>
      </w:r>
      <w:r w:rsidR="006C579F">
        <w:rPr>
          <w:rFonts w:cs="Arial"/>
        </w:rPr>
        <w:t>Decisions</w:t>
      </w:r>
      <w:r w:rsidR="006C579F" w:rsidRPr="3A9624A3">
        <w:rPr>
          <w:rFonts w:cs="Arial"/>
        </w:rPr>
        <w:t xml:space="preserve"> </w:t>
      </w:r>
      <w:r w:rsidR="00A51E95" w:rsidRPr="3A9624A3">
        <w:rPr>
          <w:rFonts w:cs="Arial"/>
        </w:rPr>
        <w:t>are provided in Table 2-2: Bi</w:t>
      </w:r>
      <w:r w:rsidR="001A738E" w:rsidRPr="3A9624A3">
        <w:rPr>
          <w:rFonts w:cs="Arial"/>
        </w:rPr>
        <w:t>nomial Test Criteria Used to Determine Placement of 303</w:t>
      </w:r>
      <w:r w:rsidR="004B499B" w:rsidRPr="3A9624A3">
        <w:rPr>
          <w:rFonts w:cs="Arial"/>
        </w:rPr>
        <w:t>(</w:t>
      </w:r>
      <w:r w:rsidR="001A738E" w:rsidRPr="3A9624A3">
        <w:rPr>
          <w:rFonts w:cs="Arial"/>
        </w:rPr>
        <w:t>d) List</w:t>
      </w:r>
      <w:r w:rsidR="00A51E95" w:rsidRPr="3A9624A3">
        <w:rPr>
          <w:rFonts w:cs="Arial"/>
        </w:rPr>
        <w:t xml:space="preserve">, below. </w:t>
      </w:r>
    </w:p>
    <w:p w14:paraId="17CCBE64" w14:textId="1DC8F7B8" w:rsidR="00BC7212" w:rsidRDefault="00BC7212" w:rsidP="0037777E">
      <w:pPr>
        <w:rPr>
          <w:rFonts w:cs="Arial"/>
        </w:rPr>
      </w:pPr>
      <w:r w:rsidRPr="0B47F341">
        <w:rPr>
          <w:rFonts w:cs="Arial"/>
        </w:rPr>
        <w:t>Tables 3.1 and 3.2 of the Listing Policy show that the minimum sample</w:t>
      </w:r>
      <w:r w:rsidR="00817063">
        <w:rPr>
          <w:rFonts w:cs="Arial"/>
        </w:rPr>
        <w:t xml:space="preserve"> size</w:t>
      </w:r>
      <w:r w:rsidRPr="0B47F341">
        <w:rPr>
          <w:rFonts w:cs="Arial"/>
        </w:rPr>
        <w:t xml:space="preserve"> needed </w:t>
      </w:r>
      <w:r w:rsidR="009A0E00">
        <w:rPr>
          <w:rFonts w:cs="Arial"/>
        </w:rPr>
        <w:t xml:space="preserve">to </w:t>
      </w:r>
      <w:r w:rsidR="008432B3">
        <w:rPr>
          <w:rFonts w:cs="Arial"/>
        </w:rPr>
        <w:t xml:space="preserve">make a listing </w:t>
      </w:r>
      <w:r w:rsidR="008810C2">
        <w:rPr>
          <w:rFonts w:cs="Arial"/>
        </w:rPr>
        <w:t>Decision</w:t>
      </w:r>
      <w:r w:rsidR="008810C2" w:rsidRPr="0B47F341">
        <w:rPr>
          <w:rFonts w:cs="Arial"/>
        </w:rPr>
        <w:t xml:space="preserve"> </w:t>
      </w:r>
      <w:r w:rsidR="007A20B3">
        <w:rPr>
          <w:rFonts w:cs="Arial"/>
        </w:rPr>
        <w:t>is</w:t>
      </w:r>
      <w:r w:rsidRPr="0B47F341">
        <w:rPr>
          <w:rFonts w:cs="Arial"/>
        </w:rPr>
        <w:t xml:space="preserve"> extended from 16 and 26 samples to two and five samples, respectively. This is so</w:t>
      </w:r>
      <w:r w:rsidRPr="0B47F341" w:rsidDel="00AF4FC6">
        <w:rPr>
          <w:rFonts w:cs="Arial"/>
        </w:rPr>
        <w:t xml:space="preserve"> </w:t>
      </w:r>
      <w:r w:rsidR="006823C7">
        <w:rPr>
          <w:rFonts w:cs="Arial"/>
        </w:rPr>
        <w:t xml:space="preserve">data with </w:t>
      </w:r>
      <w:r w:rsidRPr="0B47F341">
        <w:rPr>
          <w:rFonts w:cs="Arial"/>
        </w:rPr>
        <w:t xml:space="preserve">small sample populations are not excluded from assessments. In these instances, the frequency of the observed exceedances is high enough to support reliable </w:t>
      </w:r>
      <w:r w:rsidR="00C87855">
        <w:rPr>
          <w:rFonts w:cs="Arial"/>
        </w:rPr>
        <w:t>listing</w:t>
      </w:r>
      <w:r w:rsidR="00C87855" w:rsidDel="00552764">
        <w:rPr>
          <w:rFonts w:cs="Arial"/>
        </w:rPr>
        <w:t xml:space="preserve"> </w:t>
      </w:r>
      <w:r w:rsidR="00CB340C">
        <w:rPr>
          <w:rFonts w:cs="Arial"/>
        </w:rPr>
        <w:t>Decisions</w:t>
      </w:r>
      <w:r w:rsidR="00CB340C" w:rsidRPr="0B47F341">
        <w:rPr>
          <w:rFonts w:cs="Arial"/>
        </w:rPr>
        <w:t xml:space="preserve"> </w:t>
      </w:r>
      <w:r w:rsidRPr="0B47F341">
        <w:rPr>
          <w:rFonts w:cs="Arial"/>
        </w:rPr>
        <w:t>as long as the samples are spatially and temporally representative. For toxic pollutants</w:t>
      </w:r>
      <w:r>
        <w:rPr>
          <w:rFonts w:cs="Arial"/>
        </w:rPr>
        <w:t>,</w:t>
      </w:r>
      <w:r w:rsidRPr="0B47F341">
        <w:rPr>
          <w:rFonts w:cs="Arial"/>
        </w:rPr>
        <w:t xml:space="preserve"> the minimum sample size of two with two exceedances is supported by a </w:t>
      </w:r>
      <w:r w:rsidR="00313C98">
        <w:rPr>
          <w:rFonts w:cs="Arial"/>
        </w:rPr>
        <w:t>USEPA</w:t>
      </w:r>
      <w:r w:rsidRPr="0B47F341">
        <w:rPr>
          <w:rFonts w:cs="Arial"/>
        </w:rPr>
        <w:t xml:space="preserve"> interpretation of the California Toxics Rule (40 </w:t>
      </w:r>
      <w:r w:rsidR="00205E1C">
        <w:rPr>
          <w:rFonts w:cs="Arial"/>
        </w:rPr>
        <w:t>CFR</w:t>
      </w:r>
      <w:r w:rsidR="00494BDC">
        <w:rPr>
          <w:rFonts w:cs="Arial"/>
        </w:rPr>
        <w:t xml:space="preserve"> §</w:t>
      </w:r>
      <w:r w:rsidRPr="0B47F341">
        <w:rPr>
          <w:rFonts w:cs="Arial"/>
        </w:rPr>
        <w:t xml:space="preserve"> 131.38(c)(2)(iii)) to mean that waters must be listed if there are two or more independent exceedances of acute or chronic water quality standards within any three consecutive year time frame</w:t>
      </w:r>
      <w:r w:rsidR="00FA4CB9">
        <w:rPr>
          <w:rFonts w:cs="Arial"/>
        </w:rPr>
        <w:t xml:space="preserve"> (SWRCB 2004)</w:t>
      </w:r>
      <w:r w:rsidRPr="0B47F341">
        <w:rPr>
          <w:rFonts w:cs="Arial"/>
        </w:rPr>
        <w:t>.</w:t>
      </w:r>
    </w:p>
    <w:p w14:paraId="24B0BD4C" w14:textId="35E7D866" w:rsidR="00BC7212" w:rsidRPr="00F213A6" w:rsidRDefault="00BC7212" w:rsidP="00F213A6">
      <w:pPr>
        <w:pStyle w:val="Caption"/>
      </w:pPr>
      <w:r w:rsidRPr="00F213A6">
        <w:t xml:space="preserve">Table </w:t>
      </w:r>
      <w:r w:rsidR="00645074" w:rsidRPr="00F213A6">
        <w:t>2</w:t>
      </w:r>
      <w:r w:rsidRPr="00F213A6">
        <w:noBreakHyphen/>
      </w:r>
      <w:r w:rsidR="00645074" w:rsidRPr="00F213A6">
        <w:t>2</w:t>
      </w:r>
      <w:r w:rsidRPr="00F213A6">
        <w:t xml:space="preserve">: </w:t>
      </w:r>
      <w:r w:rsidR="00155EA0" w:rsidRPr="00F213A6">
        <w:t xml:space="preserve">Binomial </w:t>
      </w:r>
      <w:r w:rsidR="009A2249" w:rsidRPr="00F213A6">
        <w:t>T</w:t>
      </w:r>
      <w:r w:rsidR="00155EA0" w:rsidRPr="00F213A6">
        <w:t>est</w:t>
      </w:r>
      <w:r w:rsidRPr="00F213A6">
        <w:t xml:space="preserve"> </w:t>
      </w:r>
      <w:r w:rsidR="009A2249" w:rsidRPr="00F213A6">
        <w:t>C</w:t>
      </w:r>
      <w:r w:rsidRPr="00F213A6">
        <w:t xml:space="preserve">riteria </w:t>
      </w:r>
      <w:r w:rsidR="009A2249" w:rsidRPr="00F213A6">
        <w:t>U</w:t>
      </w:r>
      <w:r w:rsidRPr="00F213A6">
        <w:t xml:space="preserve">sed to </w:t>
      </w:r>
      <w:r w:rsidR="009A2249" w:rsidRPr="00F213A6">
        <w:t>D</w:t>
      </w:r>
      <w:r w:rsidRPr="00F213A6">
        <w:t xml:space="preserve">etermine </w:t>
      </w:r>
      <w:r w:rsidR="009A2249" w:rsidRPr="00F213A6">
        <w:t>P</w:t>
      </w:r>
      <w:r w:rsidRPr="00F213A6">
        <w:t xml:space="preserve">lacement on 303(d) </w:t>
      </w:r>
      <w:r w:rsidR="00374E82" w:rsidRPr="00F213A6">
        <w:t>L</w:t>
      </w:r>
      <w:r w:rsidRPr="00F213A6">
        <w:t>ist</w:t>
      </w:r>
    </w:p>
    <w:tbl>
      <w:tblPr>
        <w:tblStyle w:val="TableGrid"/>
        <w:tblW w:w="0" w:type="auto"/>
        <w:tblCellMar>
          <w:top w:w="58" w:type="dxa"/>
          <w:bottom w:w="58" w:type="dxa"/>
        </w:tblCellMar>
        <w:tblLook w:val="04A0" w:firstRow="1" w:lastRow="0" w:firstColumn="1" w:lastColumn="0" w:noHBand="0" w:noVBand="1"/>
        <w:tblCaption w:val="Binomial Test Criteria Used to Determine Placement on 303(d) List"/>
        <w:tblDescription w:val="This table provides the binomial test criteria used to establish the binomial tables for placing listings recommendations on the 303(d) list."/>
      </w:tblPr>
      <w:tblGrid>
        <w:gridCol w:w="2335"/>
        <w:gridCol w:w="3420"/>
        <w:gridCol w:w="3595"/>
      </w:tblGrid>
      <w:tr w:rsidR="00BC7212" w14:paraId="04ED38D0" w14:textId="77777777" w:rsidTr="00770AA3">
        <w:tc>
          <w:tcPr>
            <w:tcW w:w="2335" w:type="dxa"/>
            <w:shd w:val="clear" w:color="auto" w:fill="D9E2F3" w:themeFill="accent1" w:themeFillTint="33"/>
            <w:vAlign w:val="center"/>
          </w:tcPr>
          <w:p w14:paraId="2B5AE494" w14:textId="059DB4D8" w:rsidR="00BC7212" w:rsidRPr="008B21EF" w:rsidRDefault="00BC7212" w:rsidP="00770AA3">
            <w:pPr>
              <w:spacing w:after="0"/>
              <w:jc w:val="center"/>
              <w:rPr>
                <w:rFonts w:cs="Arial"/>
                <w:b/>
                <w:bCs/>
                <w:szCs w:val="24"/>
              </w:rPr>
            </w:pPr>
            <w:r w:rsidRPr="008B21EF">
              <w:rPr>
                <w:rFonts w:cs="Arial"/>
                <w:b/>
                <w:bCs/>
                <w:szCs w:val="24"/>
              </w:rPr>
              <w:t xml:space="preserve">Binomial </w:t>
            </w:r>
            <w:r w:rsidR="00155EA0">
              <w:rPr>
                <w:rFonts w:cs="Arial"/>
                <w:b/>
                <w:bCs/>
                <w:szCs w:val="24"/>
              </w:rPr>
              <w:t xml:space="preserve">Test </w:t>
            </w:r>
            <w:r>
              <w:rPr>
                <w:rFonts w:cs="Arial"/>
                <w:b/>
                <w:bCs/>
                <w:szCs w:val="24"/>
              </w:rPr>
              <w:t>Criteria</w:t>
            </w:r>
          </w:p>
        </w:tc>
        <w:tc>
          <w:tcPr>
            <w:tcW w:w="3420" w:type="dxa"/>
            <w:shd w:val="clear" w:color="auto" w:fill="D9E2F3" w:themeFill="accent1" w:themeFillTint="33"/>
            <w:vAlign w:val="center"/>
          </w:tcPr>
          <w:p w14:paraId="58FFBEAE" w14:textId="77777777" w:rsidR="00BC7212" w:rsidRDefault="00BC7212" w:rsidP="006879EF">
            <w:pPr>
              <w:spacing w:after="120" w:line="259" w:lineRule="auto"/>
              <w:jc w:val="center"/>
              <w:rPr>
                <w:rFonts w:cs="Arial"/>
                <w:b/>
                <w:bCs/>
                <w:szCs w:val="24"/>
              </w:rPr>
            </w:pPr>
            <w:r>
              <w:rPr>
                <w:rFonts w:cs="Arial"/>
                <w:b/>
                <w:bCs/>
                <w:szCs w:val="24"/>
              </w:rPr>
              <w:t>Toxic Pollutant</w:t>
            </w:r>
          </w:p>
          <w:p w14:paraId="66430CE6" w14:textId="77777777" w:rsidR="00BC7212" w:rsidRPr="008B21EF" w:rsidRDefault="00BC7212" w:rsidP="00770AA3">
            <w:pPr>
              <w:spacing w:after="0"/>
              <w:jc w:val="center"/>
              <w:rPr>
                <w:rFonts w:cs="Arial"/>
                <w:b/>
                <w:bCs/>
                <w:szCs w:val="24"/>
              </w:rPr>
            </w:pPr>
            <w:r>
              <w:rPr>
                <w:rFonts w:cs="Arial"/>
                <w:b/>
                <w:bCs/>
                <w:szCs w:val="24"/>
              </w:rPr>
              <w:t>(Table 3.1 of Listing Policy)</w:t>
            </w:r>
          </w:p>
        </w:tc>
        <w:tc>
          <w:tcPr>
            <w:tcW w:w="3595" w:type="dxa"/>
            <w:shd w:val="clear" w:color="auto" w:fill="D9E2F3" w:themeFill="accent1" w:themeFillTint="33"/>
            <w:vAlign w:val="center"/>
          </w:tcPr>
          <w:p w14:paraId="3552BEC7" w14:textId="236A7EAE" w:rsidR="00BC7212" w:rsidRDefault="00BC7212" w:rsidP="006879EF">
            <w:pPr>
              <w:spacing w:after="120" w:line="259" w:lineRule="auto"/>
              <w:jc w:val="center"/>
              <w:rPr>
                <w:rFonts w:cs="Arial"/>
                <w:b/>
                <w:bCs/>
                <w:szCs w:val="24"/>
              </w:rPr>
            </w:pPr>
            <w:r>
              <w:rPr>
                <w:rFonts w:cs="Arial"/>
                <w:b/>
                <w:bCs/>
                <w:szCs w:val="24"/>
              </w:rPr>
              <w:t xml:space="preserve">Conventional </w:t>
            </w:r>
            <w:r w:rsidR="00AB5BAB">
              <w:rPr>
                <w:rFonts w:cs="Arial"/>
                <w:b/>
                <w:bCs/>
                <w:szCs w:val="24"/>
              </w:rPr>
              <w:t>and</w:t>
            </w:r>
            <w:r>
              <w:rPr>
                <w:rFonts w:cs="Arial"/>
                <w:b/>
                <w:bCs/>
                <w:szCs w:val="24"/>
              </w:rPr>
              <w:t xml:space="preserve"> Other Pollutant</w:t>
            </w:r>
          </w:p>
          <w:p w14:paraId="426DAF5C" w14:textId="77777777" w:rsidR="00BC7212" w:rsidRPr="008B21EF" w:rsidRDefault="00BC7212" w:rsidP="00770AA3">
            <w:pPr>
              <w:spacing w:after="0"/>
              <w:jc w:val="center"/>
              <w:rPr>
                <w:rFonts w:cs="Arial"/>
                <w:b/>
                <w:bCs/>
                <w:szCs w:val="24"/>
              </w:rPr>
            </w:pPr>
            <w:r>
              <w:rPr>
                <w:rFonts w:cs="Arial"/>
                <w:b/>
                <w:bCs/>
                <w:szCs w:val="24"/>
              </w:rPr>
              <w:t>(Table 3.2 of Listing Policy)</w:t>
            </w:r>
          </w:p>
        </w:tc>
      </w:tr>
      <w:tr w:rsidR="00BC7212" w14:paraId="50A44A0A" w14:textId="77777777" w:rsidTr="00770AA3">
        <w:tc>
          <w:tcPr>
            <w:tcW w:w="2335" w:type="dxa"/>
            <w:vAlign w:val="center"/>
          </w:tcPr>
          <w:p w14:paraId="1BA9359E" w14:textId="77777777" w:rsidR="00BC7212" w:rsidRDefault="00BC7212" w:rsidP="008B1AD3">
            <w:pPr>
              <w:spacing w:after="0"/>
              <w:jc w:val="center"/>
              <w:rPr>
                <w:rFonts w:cs="Arial"/>
                <w:szCs w:val="24"/>
              </w:rPr>
            </w:pPr>
            <w:r>
              <w:rPr>
                <w:rFonts w:cs="Arial"/>
                <w:szCs w:val="24"/>
              </w:rPr>
              <w:t>Null Hypothesis</w:t>
            </w:r>
          </w:p>
        </w:tc>
        <w:tc>
          <w:tcPr>
            <w:tcW w:w="3420" w:type="dxa"/>
            <w:vAlign w:val="center"/>
          </w:tcPr>
          <w:p w14:paraId="457AAEC3" w14:textId="77777777" w:rsidR="00BC7212" w:rsidRDefault="00BC7212" w:rsidP="00770AA3">
            <w:pPr>
              <w:spacing w:after="120"/>
              <w:jc w:val="center"/>
              <w:rPr>
                <w:rFonts w:cs="Arial"/>
                <w:szCs w:val="24"/>
              </w:rPr>
            </w:pPr>
            <w:r>
              <w:rPr>
                <w:rFonts w:cs="Arial"/>
                <w:szCs w:val="24"/>
              </w:rPr>
              <w:t>Actual exceedance proportion &lt;0.03</w:t>
            </w:r>
          </w:p>
          <w:p w14:paraId="0E8F49CE" w14:textId="08C24C6C" w:rsidR="00BC7212" w:rsidRPr="008B21EF" w:rsidRDefault="006D5EDD" w:rsidP="008B1AD3">
            <w:pPr>
              <w:spacing w:after="0"/>
              <w:jc w:val="center"/>
              <w:rPr>
                <w:rFonts w:cs="Arial"/>
                <w:i/>
                <w:iCs/>
                <w:szCs w:val="24"/>
              </w:rPr>
            </w:pPr>
            <w:r>
              <w:rPr>
                <w:rFonts w:cs="Arial"/>
                <w:i/>
                <w:iCs/>
                <w:szCs w:val="24"/>
              </w:rPr>
              <w:t>If supported</w:t>
            </w:r>
            <w:r w:rsidR="00733DEC">
              <w:rPr>
                <w:rFonts w:cs="Arial"/>
                <w:i/>
                <w:iCs/>
                <w:szCs w:val="24"/>
              </w:rPr>
              <w:t xml:space="preserve">: </w:t>
            </w:r>
            <w:r w:rsidR="00BC7212" w:rsidRPr="008B21EF">
              <w:rPr>
                <w:rFonts w:cs="Arial"/>
                <w:i/>
                <w:iCs/>
                <w:szCs w:val="24"/>
              </w:rPr>
              <w:t xml:space="preserve">“Do not list on 303(d) </w:t>
            </w:r>
            <w:r w:rsidR="002E3F25">
              <w:rPr>
                <w:rFonts w:cs="Arial"/>
                <w:i/>
                <w:iCs/>
                <w:szCs w:val="24"/>
              </w:rPr>
              <w:t>l</w:t>
            </w:r>
            <w:r w:rsidR="00BC7212" w:rsidRPr="008B21EF">
              <w:rPr>
                <w:rFonts w:cs="Arial"/>
                <w:i/>
                <w:iCs/>
                <w:szCs w:val="24"/>
              </w:rPr>
              <w:t>ist”</w:t>
            </w:r>
          </w:p>
        </w:tc>
        <w:tc>
          <w:tcPr>
            <w:tcW w:w="3595" w:type="dxa"/>
            <w:vAlign w:val="center"/>
          </w:tcPr>
          <w:p w14:paraId="2A0F2AF2" w14:textId="77777777" w:rsidR="00BC7212" w:rsidRDefault="00BC7212" w:rsidP="00770AA3">
            <w:pPr>
              <w:spacing w:after="120"/>
              <w:jc w:val="center"/>
              <w:rPr>
                <w:rFonts w:cs="Arial"/>
                <w:szCs w:val="24"/>
              </w:rPr>
            </w:pPr>
            <w:r>
              <w:rPr>
                <w:rFonts w:cs="Arial"/>
                <w:szCs w:val="24"/>
              </w:rPr>
              <w:t>Actual exceedance proportion &lt;0.10</w:t>
            </w:r>
          </w:p>
          <w:p w14:paraId="22EF47DA" w14:textId="20FA7DAA" w:rsidR="00BC7212" w:rsidRPr="008B21EF" w:rsidRDefault="00733DEC" w:rsidP="00770AA3">
            <w:pPr>
              <w:spacing w:after="120"/>
              <w:jc w:val="center"/>
              <w:rPr>
                <w:rFonts w:cs="Arial"/>
                <w:i/>
                <w:iCs/>
                <w:szCs w:val="24"/>
              </w:rPr>
            </w:pPr>
            <w:r>
              <w:rPr>
                <w:rFonts w:cs="Arial"/>
                <w:i/>
                <w:iCs/>
                <w:szCs w:val="24"/>
              </w:rPr>
              <w:t xml:space="preserve">If supported: </w:t>
            </w:r>
            <w:r w:rsidR="00BC7212" w:rsidRPr="008B21EF">
              <w:rPr>
                <w:rFonts w:cs="Arial"/>
                <w:i/>
                <w:iCs/>
                <w:szCs w:val="24"/>
              </w:rPr>
              <w:t xml:space="preserve">“Do not list on 303(d) </w:t>
            </w:r>
            <w:r w:rsidR="002E3F25">
              <w:rPr>
                <w:rFonts w:cs="Arial"/>
                <w:i/>
                <w:iCs/>
                <w:szCs w:val="24"/>
              </w:rPr>
              <w:t>l</w:t>
            </w:r>
            <w:r w:rsidR="00BC7212" w:rsidRPr="008B21EF">
              <w:rPr>
                <w:rFonts w:cs="Arial"/>
                <w:i/>
                <w:iCs/>
                <w:szCs w:val="24"/>
              </w:rPr>
              <w:t>ist”</w:t>
            </w:r>
          </w:p>
        </w:tc>
      </w:tr>
      <w:tr w:rsidR="00BC7212" w14:paraId="57171CC4" w14:textId="77777777" w:rsidTr="00770AA3">
        <w:tc>
          <w:tcPr>
            <w:tcW w:w="2335" w:type="dxa"/>
            <w:vAlign w:val="center"/>
          </w:tcPr>
          <w:p w14:paraId="49B9454A" w14:textId="77777777" w:rsidR="00BC7212" w:rsidRDefault="00BC7212" w:rsidP="008B1AD3">
            <w:pPr>
              <w:spacing w:after="0"/>
              <w:jc w:val="center"/>
              <w:rPr>
                <w:rFonts w:cs="Arial"/>
                <w:szCs w:val="24"/>
              </w:rPr>
            </w:pPr>
            <w:r>
              <w:rPr>
                <w:rFonts w:cs="Arial"/>
                <w:szCs w:val="24"/>
              </w:rPr>
              <w:t>Alternate Hypothesis</w:t>
            </w:r>
          </w:p>
        </w:tc>
        <w:tc>
          <w:tcPr>
            <w:tcW w:w="3420" w:type="dxa"/>
            <w:vAlign w:val="center"/>
          </w:tcPr>
          <w:p w14:paraId="63A3F1AF" w14:textId="77777777" w:rsidR="00BC7212" w:rsidRDefault="00BC7212" w:rsidP="00770AA3">
            <w:pPr>
              <w:spacing w:after="120"/>
              <w:jc w:val="center"/>
              <w:rPr>
                <w:rFonts w:cs="Arial"/>
                <w:szCs w:val="24"/>
              </w:rPr>
            </w:pPr>
            <w:r>
              <w:rPr>
                <w:rFonts w:cs="Arial"/>
                <w:szCs w:val="24"/>
              </w:rPr>
              <w:t>Actual exceedance proportion &gt;0.18</w:t>
            </w:r>
          </w:p>
          <w:p w14:paraId="237BC38F" w14:textId="44B39F9A" w:rsidR="00BC7212" w:rsidRPr="008B21EF" w:rsidRDefault="00733DEC" w:rsidP="008B1AD3">
            <w:pPr>
              <w:spacing w:after="0"/>
              <w:jc w:val="center"/>
              <w:rPr>
                <w:rFonts w:cs="Arial"/>
                <w:i/>
                <w:iCs/>
                <w:szCs w:val="24"/>
              </w:rPr>
            </w:pPr>
            <w:r>
              <w:rPr>
                <w:rFonts w:cs="Arial"/>
                <w:i/>
                <w:iCs/>
                <w:szCs w:val="24"/>
              </w:rPr>
              <w:t xml:space="preserve">If supported: </w:t>
            </w:r>
            <w:r w:rsidR="00BC7212" w:rsidRPr="008B21EF">
              <w:rPr>
                <w:rFonts w:cs="Arial"/>
                <w:i/>
                <w:iCs/>
                <w:szCs w:val="24"/>
              </w:rPr>
              <w:t xml:space="preserve">“List on 303(d) </w:t>
            </w:r>
            <w:r w:rsidR="002E3F25">
              <w:rPr>
                <w:rFonts w:cs="Arial"/>
                <w:i/>
                <w:iCs/>
                <w:szCs w:val="24"/>
              </w:rPr>
              <w:t>l</w:t>
            </w:r>
            <w:r w:rsidR="00BC7212" w:rsidRPr="008B21EF">
              <w:rPr>
                <w:rFonts w:cs="Arial"/>
                <w:i/>
                <w:iCs/>
                <w:szCs w:val="24"/>
              </w:rPr>
              <w:t>ist”</w:t>
            </w:r>
          </w:p>
        </w:tc>
        <w:tc>
          <w:tcPr>
            <w:tcW w:w="3595" w:type="dxa"/>
            <w:vAlign w:val="center"/>
          </w:tcPr>
          <w:p w14:paraId="5E09F786" w14:textId="77777777" w:rsidR="00BC7212" w:rsidRDefault="00BC7212" w:rsidP="00770AA3">
            <w:pPr>
              <w:spacing w:after="120"/>
              <w:jc w:val="center"/>
              <w:rPr>
                <w:rFonts w:cs="Arial"/>
                <w:szCs w:val="24"/>
              </w:rPr>
            </w:pPr>
            <w:r>
              <w:rPr>
                <w:rFonts w:cs="Arial"/>
                <w:szCs w:val="24"/>
              </w:rPr>
              <w:t>Actual exceedance proportion &gt;0.25</w:t>
            </w:r>
          </w:p>
          <w:p w14:paraId="3F69C0D2" w14:textId="39FE9D4E" w:rsidR="00BC7212" w:rsidRPr="008B21EF" w:rsidRDefault="00733DEC" w:rsidP="008B1AD3">
            <w:pPr>
              <w:spacing w:after="0"/>
              <w:jc w:val="center"/>
              <w:rPr>
                <w:rFonts w:cs="Arial"/>
                <w:i/>
                <w:iCs/>
                <w:szCs w:val="24"/>
              </w:rPr>
            </w:pPr>
            <w:r>
              <w:rPr>
                <w:rFonts w:cs="Arial"/>
                <w:i/>
                <w:iCs/>
                <w:szCs w:val="24"/>
              </w:rPr>
              <w:t xml:space="preserve">If supported: </w:t>
            </w:r>
            <w:r w:rsidR="00BC7212" w:rsidRPr="008B21EF">
              <w:rPr>
                <w:rFonts w:cs="Arial"/>
                <w:i/>
                <w:iCs/>
                <w:szCs w:val="24"/>
              </w:rPr>
              <w:t xml:space="preserve">“List on 303(d) </w:t>
            </w:r>
            <w:r w:rsidR="002E3F25">
              <w:rPr>
                <w:rFonts w:cs="Arial"/>
                <w:i/>
                <w:iCs/>
                <w:szCs w:val="24"/>
              </w:rPr>
              <w:t>l</w:t>
            </w:r>
            <w:r w:rsidR="00BC7212" w:rsidRPr="008B21EF">
              <w:rPr>
                <w:rFonts w:cs="Arial"/>
                <w:i/>
                <w:iCs/>
                <w:szCs w:val="24"/>
              </w:rPr>
              <w:t>ist”</w:t>
            </w:r>
          </w:p>
        </w:tc>
      </w:tr>
      <w:tr w:rsidR="00BC7212" w14:paraId="1C4CD90A" w14:textId="77777777" w:rsidTr="00770AA3">
        <w:tc>
          <w:tcPr>
            <w:tcW w:w="2335" w:type="dxa"/>
            <w:vAlign w:val="center"/>
          </w:tcPr>
          <w:p w14:paraId="2CB77B4C" w14:textId="6957D2FE" w:rsidR="00BC7212" w:rsidRPr="008B21EF" w:rsidRDefault="00BC7212" w:rsidP="008B1AD3">
            <w:pPr>
              <w:spacing w:after="0"/>
              <w:jc w:val="center"/>
              <w:rPr>
                <w:rFonts w:cs="Arial"/>
                <w:szCs w:val="24"/>
                <w:vertAlign w:val="superscript"/>
              </w:rPr>
            </w:pPr>
            <w:r>
              <w:rPr>
                <w:rFonts w:cs="Arial"/>
                <w:szCs w:val="24"/>
              </w:rPr>
              <w:t>Effect Size</w:t>
            </w:r>
            <w:r>
              <w:rPr>
                <w:rFonts w:cs="Arial"/>
                <w:szCs w:val="24"/>
                <w:vertAlign w:val="superscript"/>
              </w:rPr>
              <w:t xml:space="preserve"> </w:t>
            </w:r>
          </w:p>
        </w:tc>
        <w:tc>
          <w:tcPr>
            <w:tcW w:w="3420" w:type="dxa"/>
            <w:vAlign w:val="center"/>
          </w:tcPr>
          <w:p w14:paraId="1601E243" w14:textId="687B7E8A" w:rsidR="00BC7212" w:rsidRDefault="00733DEC" w:rsidP="008B1AD3">
            <w:pPr>
              <w:spacing w:after="0"/>
              <w:jc w:val="center"/>
              <w:rPr>
                <w:rFonts w:cs="Arial"/>
                <w:szCs w:val="24"/>
              </w:rPr>
            </w:pPr>
            <w:r>
              <w:rPr>
                <w:rFonts w:cs="Arial"/>
                <w:szCs w:val="24"/>
              </w:rPr>
              <w:t>0.15</w:t>
            </w:r>
          </w:p>
        </w:tc>
        <w:tc>
          <w:tcPr>
            <w:tcW w:w="3595" w:type="dxa"/>
            <w:vAlign w:val="center"/>
          </w:tcPr>
          <w:p w14:paraId="6151DB09" w14:textId="6FBB7B23" w:rsidR="00BC7212" w:rsidRDefault="00733DEC" w:rsidP="008B1AD3">
            <w:pPr>
              <w:spacing w:after="0"/>
              <w:jc w:val="center"/>
              <w:rPr>
                <w:rFonts w:cs="Arial"/>
                <w:szCs w:val="24"/>
              </w:rPr>
            </w:pPr>
            <w:r>
              <w:rPr>
                <w:rFonts w:cs="Arial"/>
                <w:szCs w:val="24"/>
              </w:rPr>
              <w:t>0.15</w:t>
            </w:r>
          </w:p>
        </w:tc>
      </w:tr>
      <w:tr w:rsidR="00BC7212" w14:paraId="7AD97A77" w14:textId="77777777" w:rsidTr="00770AA3">
        <w:tc>
          <w:tcPr>
            <w:tcW w:w="2335" w:type="dxa"/>
            <w:vAlign w:val="center"/>
          </w:tcPr>
          <w:p w14:paraId="4B2F1645" w14:textId="77777777" w:rsidR="00BC7212" w:rsidRDefault="00BC7212" w:rsidP="008B1AD3">
            <w:pPr>
              <w:spacing w:after="0"/>
              <w:jc w:val="center"/>
              <w:rPr>
                <w:rFonts w:cs="Arial"/>
                <w:szCs w:val="24"/>
              </w:rPr>
            </w:pPr>
            <w:r>
              <w:rPr>
                <w:rFonts w:cs="Arial"/>
                <w:szCs w:val="24"/>
              </w:rPr>
              <w:t>Alpha Error</w:t>
            </w:r>
          </w:p>
        </w:tc>
        <w:tc>
          <w:tcPr>
            <w:tcW w:w="3420" w:type="dxa"/>
            <w:vAlign w:val="center"/>
          </w:tcPr>
          <w:p w14:paraId="68763366" w14:textId="77777777" w:rsidR="00BC7212" w:rsidRDefault="00BC7212" w:rsidP="008B1AD3">
            <w:pPr>
              <w:spacing w:after="0"/>
              <w:jc w:val="center"/>
              <w:rPr>
                <w:rFonts w:cs="Arial"/>
                <w:szCs w:val="24"/>
              </w:rPr>
            </w:pPr>
            <w:r>
              <w:rPr>
                <w:rFonts w:cs="Arial"/>
                <w:szCs w:val="24"/>
              </w:rPr>
              <w:t>≤0.20</w:t>
            </w:r>
          </w:p>
        </w:tc>
        <w:tc>
          <w:tcPr>
            <w:tcW w:w="3595" w:type="dxa"/>
            <w:vAlign w:val="center"/>
          </w:tcPr>
          <w:p w14:paraId="199EC432" w14:textId="77777777" w:rsidR="00BC7212" w:rsidRDefault="00BC7212" w:rsidP="008B1AD3">
            <w:pPr>
              <w:spacing w:after="0"/>
              <w:jc w:val="center"/>
              <w:rPr>
                <w:rFonts w:cs="Arial"/>
                <w:szCs w:val="24"/>
              </w:rPr>
            </w:pPr>
            <w:r>
              <w:rPr>
                <w:rFonts w:cs="Arial"/>
                <w:szCs w:val="24"/>
              </w:rPr>
              <w:t>≤0.20</w:t>
            </w:r>
          </w:p>
        </w:tc>
      </w:tr>
      <w:tr w:rsidR="00BC7212" w14:paraId="7CDF262A" w14:textId="77777777" w:rsidTr="00770AA3">
        <w:tc>
          <w:tcPr>
            <w:tcW w:w="2335" w:type="dxa"/>
            <w:vAlign w:val="center"/>
          </w:tcPr>
          <w:p w14:paraId="043C324D" w14:textId="77777777" w:rsidR="00BC7212" w:rsidRDefault="00BC7212" w:rsidP="008B1AD3">
            <w:pPr>
              <w:spacing w:after="0"/>
              <w:jc w:val="center"/>
              <w:rPr>
                <w:rFonts w:cs="Arial"/>
                <w:szCs w:val="24"/>
              </w:rPr>
            </w:pPr>
            <w:r>
              <w:rPr>
                <w:rFonts w:cs="Arial"/>
                <w:szCs w:val="24"/>
              </w:rPr>
              <w:t>Beta Error</w:t>
            </w:r>
          </w:p>
        </w:tc>
        <w:tc>
          <w:tcPr>
            <w:tcW w:w="3420" w:type="dxa"/>
            <w:vAlign w:val="center"/>
          </w:tcPr>
          <w:p w14:paraId="14626C3F" w14:textId="77777777" w:rsidR="00BC7212" w:rsidRDefault="00BC7212" w:rsidP="008B1AD3">
            <w:pPr>
              <w:spacing w:after="0"/>
              <w:jc w:val="center"/>
              <w:rPr>
                <w:rFonts w:cs="Arial"/>
                <w:szCs w:val="24"/>
              </w:rPr>
            </w:pPr>
            <w:r>
              <w:rPr>
                <w:rFonts w:cs="Arial"/>
                <w:szCs w:val="24"/>
              </w:rPr>
              <w:t>≤0.20</w:t>
            </w:r>
          </w:p>
        </w:tc>
        <w:tc>
          <w:tcPr>
            <w:tcW w:w="3595" w:type="dxa"/>
            <w:vAlign w:val="center"/>
          </w:tcPr>
          <w:p w14:paraId="1EDF702D" w14:textId="77777777" w:rsidR="00BC7212" w:rsidRDefault="00BC7212" w:rsidP="008B1AD3">
            <w:pPr>
              <w:spacing w:after="0"/>
              <w:jc w:val="center"/>
              <w:rPr>
                <w:rFonts w:cs="Arial"/>
                <w:szCs w:val="24"/>
              </w:rPr>
            </w:pPr>
            <w:r>
              <w:rPr>
                <w:rFonts w:cs="Arial"/>
                <w:szCs w:val="24"/>
              </w:rPr>
              <w:t>≤0.20</w:t>
            </w:r>
          </w:p>
        </w:tc>
      </w:tr>
    </w:tbl>
    <w:p w14:paraId="745FE033" w14:textId="2B3ED9D1" w:rsidR="00BC7212" w:rsidRDefault="00D10B45" w:rsidP="005632BC">
      <w:pPr>
        <w:pStyle w:val="Heading4"/>
      </w:pPr>
      <w:r>
        <w:t xml:space="preserve">Binomial Test Criteria for </w:t>
      </w:r>
      <w:r w:rsidR="7CFB5266">
        <w:t xml:space="preserve">Delisting </w:t>
      </w:r>
      <w:r w:rsidR="00A06307">
        <w:t xml:space="preserve">Decisions </w:t>
      </w:r>
    </w:p>
    <w:p w14:paraId="1C4BCA6E" w14:textId="7445B291" w:rsidR="007F2632" w:rsidRDefault="00BC7212" w:rsidP="007F2632">
      <w:pPr>
        <w:rPr>
          <w:rFonts w:cs="Arial"/>
          <w:szCs w:val="24"/>
        </w:rPr>
      </w:pPr>
      <w:r w:rsidRPr="00521369">
        <w:rPr>
          <w:rFonts w:cs="Arial"/>
          <w:szCs w:val="24"/>
        </w:rPr>
        <w:t xml:space="preserve">For </w:t>
      </w:r>
      <w:r>
        <w:rPr>
          <w:rFonts w:cs="Arial"/>
          <w:szCs w:val="24"/>
        </w:rPr>
        <w:t>de</w:t>
      </w:r>
      <w:r w:rsidRPr="00521369">
        <w:rPr>
          <w:rFonts w:cs="Arial"/>
          <w:szCs w:val="24"/>
        </w:rPr>
        <w:t xml:space="preserve">listing </w:t>
      </w:r>
      <w:r w:rsidR="00A06307">
        <w:rPr>
          <w:rFonts w:cs="Arial"/>
          <w:szCs w:val="24"/>
        </w:rPr>
        <w:t>Decisions</w:t>
      </w:r>
      <w:r>
        <w:rPr>
          <w:rFonts w:cs="Arial"/>
          <w:szCs w:val="24"/>
        </w:rPr>
        <w:t>,</w:t>
      </w:r>
      <w:r w:rsidRPr="00521369">
        <w:rPr>
          <w:rFonts w:cs="Arial"/>
          <w:szCs w:val="24"/>
        </w:rPr>
        <w:t xml:space="preserve"> the </w:t>
      </w:r>
      <w:r w:rsidR="00437027">
        <w:rPr>
          <w:rFonts w:cs="Arial"/>
          <w:szCs w:val="24"/>
        </w:rPr>
        <w:t xml:space="preserve">null </w:t>
      </w:r>
      <w:r w:rsidRPr="00521369">
        <w:rPr>
          <w:rFonts w:cs="Arial"/>
          <w:szCs w:val="24"/>
        </w:rPr>
        <w:t>hypothesis t</w:t>
      </w:r>
      <w:r w:rsidR="0096496B">
        <w:rPr>
          <w:rFonts w:cs="Arial"/>
          <w:szCs w:val="24"/>
        </w:rPr>
        <w:t xml:space="preserve">ests the statement that the exceedance proportion, given the data available, </w:t>
      </w:r>
      <w:r w:rsidR="004053DF">
        <w:rPr>
          <w:rFonts w:cs="Arial"/>
          <w:szCs w:val="24"/>
        </w:rPr>
        <w:t>is greater than the unacceptable exceedance proportion</w:t>
      </w:r>
      <w:r w:rsidR="00FA2358">
        <w:rPr>
          <w:rFonts w:cs="Arial"/>
          <w:szCs w:val="24"/>
        </w:rPr>
        <w:t xml:space="preserve"> for th</w:t>
      </w:r>
      <w:r w:rsidR="007C5931">
        <w:rPr>
          <w:rFonts w:cs="Arial"/>
          <w:szCs w:val="24"/>
        </w:rPr>
        <w:t>e</w:t>
      </w:r>
      <w:r w:rsidR="00FA2358">
        <w:rPr>
          <w:rFonts w:cs="Arial"/>
          <w:szCs w:val="24"/>
        </w:rPr>
        <w:t xml:space="preserve"> pollutant type.</w:t>
      </w:r>
      <w:r w:rsidR="00066597">
        <w:rPr>
          <w:rFonts w:cs="Arial"/>
          <w:szCs w:val="24"/>
        </w:rPr>
        <w:t xml:space="preserve"> </w:t>
      </w:r>
      <w:r w:rsidR="00EC7C7E">
        <w:rPr>
          <w:rFonts w:cs="Arial"/>
          <w:szCs w:val="24"/>
        </w:rPr>
        <w:t xml:space="preserve">The unacceptable exceedance proportions are 0.18 for toxic pollutants and 0.25 for convention and other </w:t>
      </w:r>
      <w:r w:rsidR="00AF64FF">
        <w:rPr>
          <w:rFonts w:cs="Arial"/>
          <w:szCs w:val="24"/>
        </w:rPr>
        <w:t xml:space="preserve">pollutants. </w:t>
      </w:r>
      <w:r w:rsidR="00B00F1C">
        <w:rPr>
          <w:rFonts w:cs="Arial"/>
          <w:szCs w:val="24"/>
        </w:rPr>
        <w:t>If evidence is sufficient to accept the null hypothesis</w:t>
      </w:r>
      <w:r w:rsidR="00801EE8">
        <w:rPr>
          <w:rFonts w:cs="Arial"/>
          <w:szCs w:val="24"/>
        </w:rPr>
        <w:t xml:space="preserve">, the </w:t>
      </w:r>
      <w:r w:rsidR="000F33DB">
        <w:rPr>
          <w:rFonts w:cs="Arial"/>
          <w:szCs w:val="24"/>
        </w:rPr>
        <w:t xml:space="preserve">Decision </w:t>
      </w:r>
      <w:r w:rsidR="00801EE8">
        <w:rPr>
          <w:rFonts w:cs="Arial"/>
          <w:szCs w:val="24"/>
        </w:rPr>
        <w:t xml:space="preserve">would be </w:t>
      </w:r>
      <w:r w:rsidR="00091428">
        <w:rPr>
          <w:rFonts w:cs="Arial"/>
          <w:szCs w:val="24"/>
        </w:rPr>
        <w:t>“</w:t>
      </w:r>
      <w:r w:rsidR="000F33DB">
        <w:rPr>
          <w:rFonts w:cs="Arial"/>
          <w:szCs w:val="24"/>
        </w:rPr>
        <w:t>Do N</w:t>
      </w:r>
      <w:r w:rsidR="00801EE8">
        <w:rPr>
          <w:rFonts w:cs="Arial"/>
          <w:szCs w:val="24"/>
        </w:rPr>
        <w:t xml:space="preserve">ot </w:t>
      </w:r>
      <w:r w:rsidR="000F33DB">
        <w:rPr>
          <w:rFonts w:cs="Arial"/>
          <w:szCs w:val="24"/>
        </w:rPr>
        <w:t>D</w:t>
      </w:r>
      <w:r w:rsidR="00801EE8">
        <w:rPr>
          <w:rFonts w:cs="Arial"/>
          <w:szCs w:val="24"/>
        </w:rPr>
        <w:t>elist</w:t>
      </w:r>
      <w:r w:rsidR="000F33DB">
        <w:rPr>
          <w:rFonts w:cs="Arial"/>
          <w:szCs w:val="24"/>
        </w:rPr>
        <w:t>”</w:t>
      </w:r>
      <w:r w:rsidR="00801EE8">
        <w:rPr>
          <w:rFonts w:cs="Arial"/>
          <w:szCs w:val="24"/>
        </w:rPr>
        <w:t xml:space="preserve"> the </w:t>
      </w:r>
      <w:r w:rsidR="00D637EF">
        <w:rPr>
          <w:rFonts w:cs="Arial"/>
          <w:szCs w:val="24"/>
        </w:rPr>
        <w:t>waterbody</w:t>
      </w:r>
      <w:r w:rsidR="00091428">
        <w:rPr>
          <w:rFonts w:cs="Arial"/>
          <w:szCs w:val="24"/>
        </w:rPr>
        <w:t xml:space="preserve"> segment</w:t>
      </w:r>
      <w:r w:rsidR="007E16BF">
        <w:rPr>
          <w:rFonts w:cs="Arial"/>
          <w:szCs w:val="24"/>
        </w:rPr>
        <w:t xml:space="preserve"> for the pollutant</w:t>
      </w:r>
      <w:r w:rsidR="007C5931">
        <w:rPr>
          <w:rFonts w:cs="Arial"/>
          <w:szCs w:val="24"/>
        </w:rPr>
        <w:t xml:space="preserve"> type</w:t>
      </w:r>
      <w:r w:rsidR="00D637EF">
        <w:rPr>
          <w:rFonts w:cs="Arial"/>
          <w:szCs w:val="24"/>
        </w:rPr>
        <w:t xml:space="preserve">. </w:t>
      </w:r>
      <w:r w:rsidR="007E16BF">
        <w:rPr>
          <w:rFonts w:cs="Arial"/>
          <w:szCs w:val="24"/>
        </w:rPr>
        <w:t xml:space="preserve">The alternative hypothesis states that the </w:t>
      </w:r>
      <w:r w:rsidR="008B63E7">
        <w:rPr>
          <w:rFonts w:cs="Arial"/>
          <w:szCs w:val="24"/>
        </w:rPr>
        <w:t xml:space="preserve">exceedance proportion, given the data available, is less than the </w:t>
      </w:r>
      <w:r w:rsidR="006853BB">
        <w:rPr>
          <w:rFonts w:cs="Arial"/>
          <w:szCs w:val="24"/>
        </w:rPr>
        <w:t xml:space="preserve">acceptable exceedance </w:t>
      </w:r>
      <w:r w:rsidR="007E053B">
        <w:rPr>
          <w:rFonts w:cs="Arial"/>
          <w:szCs w:val="24"/>
        </w:rPr>
        <w:t xml:space="preserve">proportion for </w:t>
      </w:r>
      <w:r w:rsidR="00E410C7">
        <w:rPr>
          <w:rFonts w:cs="Arial"/>
          <w:szCs w:val="24"/>
        </w:rPr>
        <w:t>th</w:t>
      </w:r>
      <w:r w:rsidR="00AB5BAB">
        <w:rPr>
          <w:rFonts w:cs="Arial"/>
          <w:szCs w:val="24"/>
        </w:rPr>
        <w:t>e pollutant. The acceptable exceedance proportions are 0.03 for toxic pollutants and 0.18 for conventional and other pollutants</w:t>
      </w:r>
      <w:r w:rsidR="00D3173E">
        <w:rPr>
          <w:rFonts w:cs="Arial"/>
          <w:szCs w:val="24"/>
        </w:rPr>
        <w:t>.</w:t>
      </w:r>
      <w:r w:rsidR="00351489">
        <w:rPr>
          <w:rFonts w:cs="Arial"/>
          <w:szCs w:val="24"/>
        </w:rPr>
        <w:t xml:space="preserve"> </w:t>
      </w:r>
      <w:r w:rsidR="00586ABC">
        <w:rPr>
          <w:rFonts w:cs="Arial"/>
          <w:szCs w:val="24"/>
        </w:rPr>
        <w:t xml:space="preserve">If evidence is sufficient to reject the null hypothesis and thereby accept the alternative hypothesis, then the </w:t>
      </w:r>
      <w:r w:rsidR="009F3326">
        <w:rPr>
          <w:rFonts w:cs="Arial"/>
          <w:szCs w:val="24"/>
        </w:rPr>
        <w:t xml:space="preserve">Decision </w:t>
      </w:r>
      <w:r w:rsidR="00586ABC">
        <w:rPr>
          <w:rFonts w:cs="Arial"/>
          <w:szCs w:val="24"/>
        </w:rPr>
        <w:t xml:space="preserve">would be to </w:t>
      </w:r>
      <w:r w:rsidR="009836F9">
        <w:rPr>
          <w:rFonts w:cs="Arial"/>
          <w:szCs w:val="24"/>
        </w:rPr>
        <w:t>“D</w:t>
      </w:r>
      <w:r w:rsidR="00586ABC">
        <w:rPr>
          <w:rFonts w:cs="Arial"/>
          <w:szCs w:val="24"/>
        </w:rPr>
        <w:t>elist</w:t>
      </w:r>
      <w:r w:rsidR="009836F9">
        <w:rPr>
          <w:rFonts w:cs="Arial"/>
          <w:szCs w:val="24"/>
        </w:rPr>
        <w:t>”</w:t>
      </w:r>
      <w:r w:rsidR="00586ABC">
        <w:rPr>
          <w:rFonts w:cs="Arial"/>
          <w:szCs w:val="24"/>
        </w:rPr>
        <w:t xml:space="preserve"> the waterbody </w:t>
      </w:r>
      <w:r w:rsidR="009836F9">
        <w:rPr>
          <w:rFonts w:cs="Arial"/>
          <w:szCs w:val="24"/>
        </w:rPr>
        <w:t xml:space="preserve">segment </w:t>
      </w:r>
      <w:r w:rsidR="00586ABC">
        <w:rPr>
          <w:rFonts w:cs="Arial"/>
          <w:szCs w:val="24"/>
        </w:rPr>
        <w:t>for the pollutant.</w:t>
      </w:r>
      <w:r w:rsidRPr="00521369">
        <w:rPr>
          <w:rFonts w:cs="Arial"/>
          <w:szCs w:val="24"/>
        </w:rPr>
        <w:t xml:space="preserve"> </w:t>
      </w:r>
    </w:p>
    <w:p w14:paraId="5A6E1BE7" w14:textId="77777777" w:rsidR="0081094E" w:rsidRDefault="009A54E7" w:rsidP="00275FDC">
      <w:pPr>
        <w:rPr>
          <w:rFonts w:cs="Arial"/>
          <w:szCs w:val="24"/>
        </w:rPr>
      </w:pPr>
      <w:r>
        <w:rPr>
          <w:rFonts w:cs="Arial"/>
          <w:szCs w:val="24"/>
        </w:rPr>
        <w:t xml:space="preserve">Similar to binomial test listing </w:t>
      </w:r>
      <w:r w:rsidR="009836F9">
        <w:rPr>
          <w:rFonts w:cs="Arial"/>
          <w:szCs w:val="24"/>
        </w:rPr>
        <w:t>Decisions</w:t>
      </w:r>
      <w:r>
        <w:rPr>
          <w:rFonts w:cs="Arial"/>
          <w:szCs w:val="24"/>
        </w:rPr>
        <w:t>, delisting</w:t>
      </w:r>
      <w:r w:rsidDel="009836F9">
        <w:rPr>
          <w:rFonts w:cs="Arial"/>
          <w:szCs w:val="24"/>
        </w:rPr>
        <w:t xml:space="preserve"> </w:t>
      </w:r>
      <w:r w:rsidR="009836F9">
        <w:rPr>
          <w:rFonts w:cs="Arial"/>
          <w:szCs w:val="24"/>
        </w:rPr>
        <w:t xml:space="preserve">Decisions </w:t>
      </w:r>
      <w:r>
        <w:rPr>
          <w:rFonts w:cs="Arial"/>
          <w:szCs w:val="24"/>
        </w:rPr>
        <w:t xml:space="preserve">effect size is shown by a 0.15 difference between the acceptable exceedance proportion and the unacceptable exceedance proportion. </w:t>
      </w:r>
    </w:p>
    <w:p w14:paraId="1D3FD19B" w14:textId="5788A83A" w:rsidR="00275FDC" w:rsidRDefault="00BC7212" w:rsidP="00275FDC">
      <w:pPr>
        <w:rPr>
          <w:rFonts w:cs="Arial"/>
          <w:szCs w:val="24"/>
        </w:rPr>
      </w:pPr>
      <w:r>
        <w:rPr>
          <w:rFonts w:cs="Arial"/>
          <w:szCs w:val="24"/>
        </w:rPr>
        <w:t xml:space="preserve">Compared to the listing </w:t>
      </w:r>
      <w:r w:rsidR="00D10B45">
        <w:rPr>
          <w:rFonts w:cs="Arial"/>
          <w:szCs w:val="24"/>
        </w:rPr>
        <w:t xml:space="preserve">binomial test </w:t>
      </w:r>
      <w:r>
        <w:rPr>
          <w:rFonts w:cs="Arial"/>
          <w:szCs w:val="24"/>
        </w:rPr>
        <w:t xml:space="preserve">criteria, the delisting criteria reduce the acceptable alpha </w:t>
      </w:r>
      <w:r w:rsidR="00ED2F14">
        <w:rPr>
          <w:rFonts w:cs="Arial"/>
          <w:szCs w:val="24"/>
        </w:rPr>
        <w:t>error (false positive)</w:t>
      </w:r>
      <w:r>
        <w:rPr>
          <w:rFonts w:cs="Arial"/>
          <w:szCs w:val="24"/>
        </w:rPr>
        <w:t xml:space="preserve"> and beta error</w:t>
      </w:r>
      <w:r w:rsidR="00ED2F14">
        <w:rPr>
          <w:rFonts w:cs="Arial"/>
          <w:szCs w:val="24"/>
        </w:rPr>
        <w:t xml:space="preserve"> (false negative)</w:t>
      </w:r>
      <w:r>
        <w:rPr>
          <w:rFonts w:cs="Arial"/>
          <w:szCs w:val="24"/>
        </w:rPr>
        <w:t xml:space="preserve"> potential from 0.2 to 0.1. By doing so, a higher degree of certainty is required when deciding if a waterbody </w:t>
      </w:r>
      <w:r w:rsidR="00065364">
        <w:rPr>
          <w:rFonts w:cs="Arial"/>
          <w:szCs w:val="24"/>
        </w:rPr>
        <w:t xml:space="preserve">segment </w:t>
      </w:r>
      <w:r>
        <w:rPr>
          <w:rFonts w:cs="Arial"/>
          <w:szCs w:val="24"/>
        </w:rPr>
        <w:t xml:space="preserve">should be delisted from the 303(d) </w:t>
      </w:r>
      <w:r w:rsidR="002E3F25">
        <w:rPr>
          <w:rFonts w:cs="Arial"/>
          <w:szCs w:val="24"/>
        </w:rPr>
        <w:t>l</w:t>
      </w:r>
      <w:r>
        <w:rPr>
          <w:rFonts w:cs="Arial"/>
          <w:szCs w:val="24"/>
        </w:rPr>
        <w:t>ist. The higher degree of certainty requires a larger sample size to support delisting; however, using this approach reduce</w:t>
      </w:r>
      <w:r w:rsidR="00BE218A">
        <w:rPr>
          <w:rFonts w:cs="Arial"/>
          <w:szCs w:val="24"/>
        </w:rPr>
        <w:t>s</w:t>
      </w:r>
      <w:r>
        <w:rPr>
          <w:rFonts w:cs="Arial"/>
          <w:szCs w:val="24"/>
        </w:rPr>
        <w:t xml:space="preserve"> the chances for removing pollutants from the list before </w:t>
      </w:r>
      <w:r w:rsidR="00333324">
        <w:rPr>
          <w:rFonts w:cs="Arial"/>
          <w:szCs w:val="24"/>
        </w:rPr>
        <w:t>standards</w:t>
      </w:r>
      <w:r w:rsidR="007C4D21">
        <w:rPr>
          <w:rFonts w:cs="Arial"/>
          <w:szCs w:val="24"/>
        </w:rPr>
        <w:t xml:space="preserve"> </w:t>
      </w:r>
      <w:r>
        <w:rPr>
          <w:rFonts w:cs="Arial"/>
          <w:szCs w:val="24"/>
        </w:rPr>
        <w:t>are truly achieved.</w:t>
      </w:r>
      <w:r w:rsidR="00275FDC" w:rsidRPr="00275FDC">
        <w:rPr>
          <w:rFonts w:cs="Arial"/>
          <w:szCs w:val="24"/>
        </w:rPr>
        <w:t xml:space="preserve"> </w:t>
      </w:r>
      <w:r w:rsidR="00275FDC">
        <w:rPr>
          <w:rFonts w:cs="Arial"/>
          <w:szCs w:val="24"/>
        </w:rPr>
        <w:t xml:space="preserve">The binomial test criteria used to establish the toxic pollutants and conventional and other pollutants for delisting determinations are provided in </w:t>
      </w:r>
      <w:r w:rsidR="00275FDC" w:rsidRPr="0021649C">
        <w:rPr>
          <w:rFonts w:cs="Arial"/>
          <w:szCs w:val="24"/>
        </w:rPr>
        <w:t>Table 2-</w:t>
      </w:r>
      <w:r w:rsidR="00275FDC">
        <w:rPr>
          <w:rFonts w:cs="Arial"/>
          <w:szCs w:val="24"/>
        </w:rPr>
        <w:t xml:space="preserve">3: Binomial Test Criteria used to Determine Removal </w:t>
      </w:r>
      <w:r w:rsidR="00E21D4E">
        <w:rPr>
          <w:rFonts w:cs="Arial"/>
          <w:szCs w:val="24"/>
        </w:rPr>
        <w:t>from 303(d) List,</w:t>
      </w:r>
      <w:r w:rsidR="00275FDC">
        <w:rPr>
          <w:rFonts w:cs="Arial"/>
          <w:szCs w:val="24"/>
        </w:rPr>
        <w:t xml:space="preserve"> below. </w:t>
      </w:r>
    </w:p>
    <w:p w14:paraId="4C6021A9" w14:textId="46EB7540" w:rsidR="00BC7212" w:rsidRPr="00F213A6" w:rsidRDefault="00BC7212" w:rsidP="00F213A6">
      <w:pPr>
        <w:pStyle w:val="Caption"/>
      </w:pPr>
      <w:r w:rsidRPr="00F213A6">
        <w:t xml:space="preserve">Table </w:t>
      </w:r>
      <w:r w:rsidR="0021649C" w:rsidRPr="00F213A6">
        <w:t>2</w:t>
      </w:r>
      <w:r w:rsidRPr="00F213A6">
        <w:noBreakHyphen/>
      </w:r>
      <w:r w:rsidR="0021649C" w:rsidRPr="00F213A6">
        <w:t>3</w:t>
      </w:r>
      <w:r w:rsidRPr="00F213A6">
        <w:t xml:space="preserve">: </w:t>
      </w:r>
      <w:r w:rsidR="007C4D21" w:rsidRPr="00F213A6">
        <w:t xml:space="preserve">Binomial </w:t>
      </w:r>
      <w:r w:rsidR="00EE2EE8" w:rsidRPr="00F213A6">
        <w:t>T</w:t>
      </w:r>
      <w:r w:rsidR="007C4D21" w:rsidRPr="00F213A6">
        <w:t>est</w:t>
      </w:r>
      <w:r w:rsidRPr="00F213A6">
        <w:t xml:space="preserve"> </w:t>
      </w:r>
      <w:r w:rsidR="00EE2EE8" w:rsidRPr="00F213A6">
        <w:t>C</w:t>
      </w:r>
      <w:r w:rsidRPr="00F213A6">
        <w:t xml:space="preserve">riteria used to </w:t>
      </w:r>
      <w:r w:rsidR="00EE2EE8" w:rsidRPr="00F213A6">
        <w:t>D</w:t>
      </w:r>
      <w:r w:rsidRPr="00F213A6">
        <w:t xml:space="preserve">etermine </w:t>
      </w:r>
      <w:r w:rsidR="00EE2EE8" w:rsidRPr="00F213A6">
        <w:t>R</w:t>
      </w:r>
      <w:r w:rsidRPr="00F213A6">
        <w:t xml:space="preserve">emoval from 303(d) </w:t>
      </w:r>
      <w:r w:rsidR="00374E82" w:rsidRPr="00F213A6">
        <w:t>L</w:t>
      </w:r>
      <w:r w:rsidRPr="00F213A6">
        <w:t>ist</w:t>
      </w:r>
    </w:p>
    <w:tbl>
      <w:tblPr>
        <w:tblStyle w:val="TableGrid"/>
        <w:tblW w:w="9625" w:type="dxa"/>
        <w:tblCellMar>
          <w:top w:w="58" w:type="dxa"/>
          <w:bottom w:w="58" w:type="dxa"/>
        </w:tblCellMar>
        <w:tblLook w:val="04A0" w:firstRow="1" w:lastRow="0" w:firstColumn="1" w:lastColumn="0" w:noHBand="0" w:noVBand="1"/>
        <w:tblCaption w:val="Binomial Test Criteria Used to Determine Removal from 303(d) List"/>
        <w:tblDescription w:val="This table provides the binomial test criteria used to establish the binomial tables for removing listing recommendations from the 303(d) list."/>
      </w:tblPr>
      <w:tblGrid>
        <w:gridCol w:w="2390"/>
        <w:gridCol w:w="3536"/>
        <w:gridCol w:w="3699"/>
      </w:tblGrid>
      <w:tr w:rsidR="00BC7212" w14:paraId="60287618" w14:textId="77777777" w:rsidTr="00770AA3">
        <w:tc>
          <w:tcPr>
            <w:tcW w:w="2390" w:type="dxa"/>
            <w:shd w:val="clear" w:color="auto" w:fill="D9E2F3" w:themeFill="accent1" w:themeFillTint="33"/>
            <w:vAlign w:val="center"/>
          </w:tcPr>
          <w:p w14:paraId="1EF82298" w14:textId="16CC534C" w:rsidR="00BC7212" w:rsidRPr="008B21EF" w:rsidRDefault="00BC7212" w:rsidP="00770AA3">
            <w:pPr>
              <w:spacing w:after="0"/>
              <w:jc w:val="center"/>
              <w:rPr>
                <w:rFonts w:cs="Arial"/>
                <w:b/>
                <w:bCs/>
                <w:szCs w:val="24"/>
              </w:rPr>
            </w:pPr>
            <w:r w:rsidRPr="008B21EF">
              <w:rPr>
                <w:rFonts w:cs="Arial"/>
                <w:b/>
                <w:bCs/>
                <w:szCs w:val="24"/>
              </w:rPr>
              <w:t xml:space="preserve">Binomial </w:t>
            </w:r>
            <w:r w:rsidR="007C4D21">
              <w:rPr>
                <w:rFonts w:cs="Arial"/>
                <w:b/>
                <w:bCs/>
                <w:szCs w:val="24"/>
              </w:rPr>
              <w:t xml:space="preserve">Test </w:t>
            </w:r>
            <w:r>
              <w:rPr>
                <w:rFonts w:cs="Arial"/>
                <w:b/>
                <w:bCs/>
                <w:szCs w:val="24"/>
              </w:rPr>
              <w:t>Criteria</w:t>
            </w:r>
          </w:p>
        </w:tc>
        <w:tc>
          <w:tcPr>
            <w:tcW w:w="3536" w:type="dxa"/>
            <w:shd w:val="clear" w:color="auto" w:fill="D9E2F3" w:themeFill="accent1" w:themeFillTint="33"/>
            <w:vAlign w:val="center"/>
          </w:tcPr>
          <w:p w14:paraId="3053DEA9" w14:textId="77777777" w:rsidR="00BC7212" w:rsidRDefault="00BC7212" w:rsidP="00770AA3">
            <w:pPr>
              <w:spacing w:after="0"/>
              <w:jc w:val="center"/>
              <w:rPr>
                <w:rFonts w:cs="Arial"/>
                <w:b/>
                <w:bCs/>
                <w:szCs w:val="24"/>
              </w:rPr>
            </w:pPr>
            <w:r>
              <w:rPr>
                <w:rFonts w:cs="Arial"/>
                <w:b/>
                <w:bCs/>
                <w:szCs w:val="24"/>
              </w:rPr>
              <w:t>Toxic Pollutant</w:t>
            </w:r>
          </w:p>
          <w:p w14:paraId="1C91D123" w14:textId="77777777" w:rsidR="00BC7212" w:rsidRPr="008B21EF" w:rsidRDefault="00BC7212" w:rsidP="00770AA3">
            <w:pPr>
              <w:spacing w:after="0"/>
              <w:jc w:val="center"/>
              <w:rPr>
                <w:rFonts w:cs="Arial"/>
                <w:b/>
                <w:bCs/>
                <w:szCs w:val="24"/>
              </w:rPr>
            </w:pPr>
            <w:r>
              <w:rPr>
                <w:rFonts w:cs="Arial"/>
                <w:b/>
                <w:bCs/>
                <w:szCs w:val="24"/>
              </w:rPr>
              <w:t>(Table 4.1 of Listing Policy)</w:t>
            </w:r>
          </w:p>
        </w:tc>
        <w:tc>
          <w:tcPr>
            <w:tcW w:w="3699" w:type="dxa"/>
            <w:shd w:val="clear" w:color="auto" w:fill="D9E2F3" w:themeFill="accent1" w:themeFillTint="33"/>
            <w:vAlign w:val="center"/>
          </w:tcPr>
          <w:p w14:paraId="2110FA18" w14:textId="77777777" w:rsidR="00BC7212" w:rsidRDefault="00BC7212" w:rsidP="00770AA3">
            <w:pPr>
              <w:spacing w:after="0"/>
              <w:jc w:val="center"/>
              <w:rPr>
                <w:rFonts w:cs="Arial"/>
                <w:b/>
                <w:bCs/>
                <w:szCs w:val="24"/>
              </w:rPr>
            </w:pPr>
            <w:r>
              <w:rPr>
                <w:rFonts w:cs="Arial"/>
                <w:b/>
                <w:bCs/>
                <w:szCs w:val="24"/>
              </w:rPr>
              <w:t>Conventional or Other Pollutant</w:t>
            </w:r>
          </w:p>
          <w:p w14:paraId="23571E0C" w14:textId="77777777" w:rsidR="00BC7212" w:rsidRPr="008B21EF" w:rsidRDefault="00BC7212" w:rsidP="00770AA3">
            <w:pPr>
              <w:spacing w:after="0"/>
              <w:jc w:val="center"/>
              <w:rPr>
                <w:rFonts w:cs="Arial"/>
                <w:b/>
                <w:bCs/>
                <w:szCs w:val="24"/>
              </w:rPr>
            </w:pPr>
            <w:r>
              <w:rPr>
                <w:rFonts w:cs="Arial"/>
                <w:b/>
                <w:bCs/>
                <w:szCs w:val="24"/>
              </w:rPr>
              <w:t>(Table 4.2 of Listing Policy)</w:t>
            </w:r>
          </w:p>
        </w:tc>
      </w:tr>
      <w:tr w:rsidR="00BC7212" w14:paraId="2747BBAA" w14:textId="77777777" w:rsidTr="00770AA3">
        <w:tc>
          <w:tcPr>
            <w:tcW w:w="2390" w:type="dxa"/>
            <w:vAlign w:val="center"/>
          </w:tcPr>
          <w:p w14:paraId="0B47585B" w14:textId="77777777" w:rsidR="00BC7212" w:rsidRDefault="00BC7212" w:rsidP="00770AA3">
            <w:pPr>
              <w:spacing w:after="0"/>
              <w:ind w:right="301"/>
              <w:jc w:val="center"/>
              <w:rPr>
                <w:rFonts w:cs="Arial"/>
                <w:szCs w:val="24"/>
              </w:rPr>
            </w:pPr>
            <w:r>
              <w:rPr>
                <w:rFonts w:cs="Arial"/>
                <w:szCs w:val="24"/>
              </w:rPr>
              <w:t>Null Hypothesis</w:t>
            </w:r>
          </w:p>
        </w:tc>
        <w:tc>
          <w:tcPr>
            <w:tcW w:w="3536" w:type="dxa"/>
            <w:vAlign w:val="center"/>
          </w:tcPr>
          <w:p w14:paraId="4B15422C" w14:textId="77777777" w:rsidR="00BC7212" w:rsidRDefault="00BC7212" w:rsidP="00770AA3">
            <w:pPr>
              <w:spacing w:after="120"/>
              <w:jc w:val="center"/>
              <w:rPr>
                <w:rFonts w:cs="Arial"/>
                <w:szCs w:val="24"/>
              </w:rPr>
            </w:pPr>
            <w:r>
              <w:rPr>
                <w:rFonts w:cs="Arial"/>
                <w:szCs w:val="24"/>
              </w:rPr>
              <w:t>Actual exceedance proportion &gt;0.18</w:t>
            </w:r>
          </w:p>
          <w:p w14:paraId="099864C9" w14:textId="3AC5341E" w:rsidR="00BC7212" w:rsidRPr="008B21EF" w:rsidRDefault="007C4D21" w:rsidP="00770AA3">
            <w:pPr>
              <w:spacing w:after="0"/>
              <w:jc w:val="center"/>
              <w:rPr>
                <w:rFonts w:cs="Arial"/>
                <w:i/>
                <w:iCs/>
                <w:szCs w:val="24"/>
              </w:rPr>
            </w:pPr>
            <w:r>
              <w:rPr>
                <w:rFonts w:cs="Arial"/>
                <w:i/>
                <w:iCs/>
                <w:szCs w:val="24"/>
              </w:rPr>
              <w:t xml:space="preserve">If supported: </w:t>
            </w:r>
            <w:r w:rsidR="00BC7212" w:rsidRPr="008B21EF">
              <w:rPr>
                <w:rFonts w:cs="Arial"/>
                <w:i/>
                <w:iCs/>
                <w:szCs w:val="24"/>
              </w:rPr>
              <w:t xml:space="preserve">“Do not delist from 303(d) </w:t>
            </w:r>
            <w:r w:rsidR="002E3F25">
              <w:rPr>
                <w:rFonts w:cs="Arial"/>
                <w:i/>
                <w:iCs/>
                <w:szCs w:val="24"/>
              </w:rPr>
              <w:t>l</w:t>
            </w:r>
            <w:r w:rsidR="00BC7212" w:rsidRPr="008B21EF">
              <w:rPr>
                <w:rFonts w:cs="Arial"/>
                <w:i/>
                <w:iCs/>
                <w:szCs w:val="24"/>
              </w:rPr>
              <w:t>ist”</w:t>
            </w:r>
          </w:p>
        </w:tc>
        <w:tc>
          <w:tcPr>
            <w:tcW w:w="3699" w:type="dxa"/>
            <w:vAlign w:val="center"/>
          </w:tcPr>
          <w:p w14:paraId="365F1B7B" w14:textId="77777777" w:rsidR="00BC7212" w:rsidRDefault="00BC7212" w:rsidP="00770AA3">
            <w:pPr>
              <w:spacing w:after="120"/>
              <w:jc w:val="center"/>
              <w:rPr>
                <w:rFonts w:cs="Arial"/>
                <w:szCs w:val="24"/>
              </w:rPr>
            </w:pPr>
            <w:r>
              <w:rPr>
                <w:rFonts w:cs="Arial"/>
                <w:szCs w:val="24"/>
              </w:rPr>
              <w:t>Actual exceedance proportion &gt;0.25</w:t>
            </w:r>
          </w:p>
          <w:p w14:paraId="79AE1AD1" w14:textId="7421EC64" w:rsidR="00BC7212" w:rsidRPr="008B21EF" w:rsidRDefault="007C4D21" w:rsidP="00770AA3">
            <w:pPr>
              <w:spacing w:after="0"/>
              <w:jc w:val="center"/>
              <w:rPr>
                <w:rFonts w:cs="Arial"/>
                <w:i/>
                <w:iCs/>
                <w:szCs w:val="24"/>
              </w:rPr>
            </w:pPr>
            <w:r>
              <w:rPr>
                <w:rFonts w:cs="Arial"/>
                <w:i/>
                <w:iCs/>
                <w:szCs w:val="24"/>
              </w:rPr>
              <w:t xml:space="preserve">If supported: </w:t>
            </w:r>
            <w:r w:rsidR="00BC7212" w:rsidRPr="008B21EF">
              <w:rPr>
                <w:rFonts w:cs="Arial"/>
                <w:i/>
                <w:iCs/>
                <w:szCs w:val="24"/>
              </w:rPr>
              <w:t xml:space="preserve">“Do not delist from 303(d) </w:t>
            </w:r>
            <w:r w:rsidR="002E3F25">
              <w:rPr>
                <w:rFonts w:cs="Arial"/>
                <w:i/>
                <w:iCs/>
                <w:szCs w:val="24"/>
              </w:rPr>
              <w:t>l</w:t>
            </w:r>
            <w:r w:rsidR="00BC7212" w:rsidRPr="008B21EF">
              <w:rPr>
                <w:rFonts w:cs="Arial"/>
                <w:i/>
                <w:iCs/>
                <w:szCs w:val="24"/>
              </w:rPr>
              <w:t>ist”</w:t>
            </w:r>
          </w:p>
        </w:tc>
      </w:tr>
      <w:tr w:rsidR="00BC7212" w14:paraId="2D3F1DB8" w14:textId="77777777" w:rsidTr="00770AA3">
        <w:tc>
          <w:tcPr>
            <w:tcW w:w="2390" w:type="dxa"/>
            <w:vAlign w:val="center"/>
          </w:tcPr>
          <w:p w14:paraId="05F7266D" w14:textId="77777777" w:rsidR="00BC7212" w:rsidRDefault="00BC7212" w:rsidP="00770AA3">
            <w:pPr>
              <w:spacing w:after="0"/>
              <w:jc w:val="center"/>
              <w:rPr>
                <w:rFonts w:cs="Arial"/>
                <w:szCs w:val="24"/>
              </w:rPr>
            </w:pPr>
            <w:r>
              <w:rPr>
                <w:rFonts w:cs="Arial"/>
                <w:szCs w:val="24"/>
              </w:rPr>
              <w:t>Alternate Hypothesis</w:t>
            </w:r>
          </w:p>
        </w:tc>
        <w:tc>
          <w:tcPr>
            <w:tcW w:w="3536" w:type="dxa"/>
            <w:vAlign w:val="center"/>
          </w:tcPr>
          <w:p w14:paraId="7589E9E1" w14:textId="77777777" w:rsidR="00BC7212" w:rsidRDefault="00BC7212" w:rsidP="00770AA3">
            <w:pPr>
              <w:spacing w:after="120"/>
              <w:jc w:val="center"/>
              <w:rPr>
                <w:rFonts w:cs="Arial"/>
                <w:szCs w:val="24"/>
              </w:rPr>
            </w:pPr>
            <w:r>
              <w:rPr>
                <w:rFonts w:cs="Arial"/>
                <w:szCs w:val="24"/>
              </w:rPr>
              <w:t>Actual exceedance proportion &lt;0.03</w:t>
            </w:r>
          </w:p>
          <w:p w14:paraId="46DE451D" w14:textId="0CABA5BB" w:rsidR="00BC7212" w:rsidRPr="008B21EF" w:rsidRDefault="007C4D21" w:rsidP="00770AA3">
            <w:pPr>
              <w:spacing w:after="0"/>
              <w:jc w:val="center"/>
              <w:rPr>
                <w:rFonts w:cs="Arial"/>
                <w:i/>
                <w:iCs/>
                <w:szCs w:val="24"/>
              </w:rPr>
            </w:pPr>
            <w:r>
              <w:rPr>
                <w:rFonts w:cs="Arial"/>
                <w:i/>
                <w:iCs/>
                <w:szCs w:val="24"/>
              </w:rPr>
              <w:t xml:space="preserve">If supported: </w:t>
            </w:r>
            <w:r w:rsidR="00BC7212" w:rsidRPr="008B21EF">
              <w:rPr>
                <w:rFonts w:cs="Arial"/>
                <w:i/>
                <w:iCs/>
                <w:szCs w:val="24"/>
              </w:rPr>
              <w:t xml:space="preserve">“Delist from 303(d) </w:t>
            </w:r>
            <w:r w:rsidR="002E3F25">
              <w:rPr>
                <w:rFonts w:cs="Arial"/>
                <w:i/>
                <w:iCs/>
                <w:szCs w:val="24"/>
              </w:rPr>
              <w:t>l</w:t>
            </w:r>
            <w:r w:rsidR="00BC7212" w:rsidRPr="008B21EF">
              <w:rPr>
                <w:rFonts w:cs="Arial"/>
                <w:i/>
                <w:iCs/>
                <w:szCs w:val="24"/>
              </w:rPr>
              <w:t>ist”</w:t>
            </w:r>
          </w:p>
        </w:tc>
        <w:tc>
          <w:tcPr>
            <w:tcW w:w="3699" w:type="dxa"/>
            <w:vAlign w:val="center"/>
          </w:tcPr>
          <w:p w14:paraId="580E446C" w14:textId="77777777" w:rsidR="00BC7212" w:rsidRDefault="00BC7212" w:rsidP="00770AA3">
            <w:pPr>
              <w:spacing w:after="120"/>
              <w:jc w:val="center"/>
              <w:rPr>
                <w:rFonts w:cs="Arial"/>
                <w:szCs w:val="24"/>
              </w:rPr>
            </w:pPr>
            <w:r>
              <w:rPr>
                <w:rFonts w:cs="Arial"/>
                <w:szCs w:val="24"/>
              </w:rPr>
              <w:t>Actual exceedance proportion &lt;0.10</w:t>
            </w:r>
          </w:p>
          <w:p w14:paraId="3663C9BD" w14:textId="3001B14E" w:rsidR="00BC7212" w:rsidRPr="008B21EF" w:rsidRDefault="007C4D21" w:rsidP="00770AA3">
            <w:pPr>
              <w:spacing w:after="0"/>
              <w:jc w:val="center"/>
              <w:rPr>
                <w:rFonts w:cs="Arial"/>
                <w:i/>
                <w:iCs/>
                <w:szCs w:val="24"/>
              </w:rPr>
            </w:pPr>
            <w:r>
              <w:rPr>
                <w:rFonts w:cs="Arial"/>
                <w:i/>
                <w:iCs/>
                <w:szCs w:val="24"/>
              </w:rPr>
              <w:t xml:space="preserve">If supported: </w:t>
            </w:r>
            <w:r w:rsidR="00BC7212" w:rsidRPr="008B21EF">
              <w:rPr>
                <w:rFonts w:cs="Arial"/>
                <w:i/>
                <w:iCs/>
                <w:szCs w:val="24"/>
              </w:rPr>
              <w:t xml:space="preserve">“Delist from 303(d) </w:t>
            </w:r>
            <w:r w:rsidR="002E3F25">
              <w:rPr>
                <w:rFonts w:cs="Arial"/>
                <w:i/>
                <w:iCs/>
                <w:szCs w:val="24"/>
              </w:rPr>
              <w:t>l</w:t>
            </w:r>
            <w:r w:rsidR="00BC7212" w:rsidRPr="008B21EF">
              <w:rPr>
                <w:rFonts w:cs="Arial"/>
                <w:i/>
                <w:iCs/>
                <w:szCs w:val="24"/>
              </w:rPr>
              <w:t>ist”</w:t>
            </w:r>
          </w:p>
        </w:tc>
      </w:tr>
      <w:tr w:rsidR="00BC7212" w14:paraId="17F81EC9" w14:textId="77777777" w:rsidTr="00770AA3">
        <w:tc>
          <w:tcPr>
            <w:tcW w:w="2390" w:type="dxa"/>
            <w:vAlign w:val="center"/>
          </w:tcPr>
          <w:p w14:paraId="6963EF50" w14:textId="5476B66E" w:rsidR="00BC7212" w:rsidRPr="008B21EF" w:rsidRDefault="004177C9" w:rsidP="00770AA3">
            <w:pPr>
              <w:spacing w:after="0"/>
              <w:jc w:val="center"/>
              <w:rPr>
                <w:rFonts w:cs="Arial"/>
                <w:szCs w:val="24"/>
                <w:vertAlign w:val="superscript"/>
              </w:rPr>
            </w:pPr>
            <w:r>
              <w:rPr>
                <w:rFonts w:cs="Arial"/>
                <w:szCs w:val="24"/>
              </w:rPr>
              <w:t>Effect Size</w:t>
            </w:r>
            <w:r>
              <w:rPr>
                <w:rFonts w:cs="Arial"/>
                <w:szCs w:val="24"/>
                <w:vertAlign w:val="superscript"/>
              </w:rPr>
              <w:t xml:space="preserve"> </w:t>
            </w:r>
          </w:p>
        </w:tc>
        <w:tc>
          <w:tcPr>
            <w:tcW w:w="3536" w:type="dxa"/>
            <w:vAlign w:val="center"/>
          </w:tcPr>
          <w:p w14:paraId="39E0B73D" w14:textId="65385F5D" w:rsidR="00BC7212" w:rsidRDefault="004177C9" w:rsidP="00770AA3">
            <w:pPr>
              <w:spacing w:after="0"/>
              <w:jc w:val="center"/>
              <w:rPr>
                <w:rFonts w:cs="Arial"/>
                <w:szCs w:val="24"/>
              </w:rPr>
            </w:pPr>
            <w:r>
              <w:rPr>
                <w:rFonts w:cs="Arial"/>
                <w:szCs w:val="24"/>
              </w:rPr>
              <w:t>0.15</w:t>
            </w:r>
          </w:p>
        </w:tc>
        <w:tc>
          <w:tcPr>
            <w:tcW w:w="3699" w:type="dxa"/>
            <w:vAlign w:val="center"/>
          </w:tcPr>
          <w:p w14:paraId="7CE27D91" w14:textId="7483CC0F" w:rsidR="00BC7212" w:rsidRDefault="004177C9" w:rsidP="00770AA3">
            <w:pPr>
              <w:spacing w:after="0"/>
              <w:jc w:val="center"/>
              <w:rPr>
                <w:rFonts w:cs="Arial"/>
                <w:szCs w:val="24"/>
              </w:rPr>
            </w:pPr>
            <w:r>
              <w:rPr>
                <w:rFonts w:cs="Arial"/>
                <w:szCs w:val="24"/>
              </w:rPr>
              <w:t>0.15</w:t>
            </w:r>
          </w:p>
        </w:tc>
      </w:tr>
      <w:tr w:rsidR="00BC7212" w14:paraId="4D8C3B80" w14:textId="77777777" w:rsidTr="00770AA3">
        <w:tc>
          <w:tcPr>
            <w:tcW w:w="2390" w:type="dxa"/>
            <w:vAlign w:val="center"/>
          </w:tcPr>
          <w:p w14:paraId="24C1C948" w14:textId="77777777" w:rsidR="00BC7212" w:rsidRDefault="00BC7212" w:rsidP="00770AA3">
            <w:pPr>
              <w:spacing w:after="0"/>
              <w:jc w:val="center"/>
              <w:rPr>
                <w:rFonts w:cs="Arial"/>
                <w:szCs w:val="24"/>
              </w:rPr>
            </w:pPr>
            <w:r>
              <w:rPr>
                <w:rFonts w:cs="Arial"/>
                <w:szCs w:val="24"/>
              </w:rPr>
              <w:t>Alpha Error</w:t>
            </w:r>
          </w:p>
        </w:tc>
        <w:tc>
          <w:tcPr>
            <w:tcW w:w="3536" w:type="dxa"/>
            <w:vAlign w:val="center"/>
          </w:tcPr>
          <w:p w14:paraId="395394D7" w14:textId="77777777" w:rsidR="00BC7212" w:rsidRDefault="00BC7212" w:rsidP="00770AA3">
            <w:pPr>
              <w:spacing w:after="0"/>
              <w:jc w:val="center"/>
              <w:rPr>
                <w:rFonts w:cs="Arial"/>
                <w:szCs w:val="24"/>
              </w:rPr>
            </w:pPr>
            <w:r>
              <w:rPr>
                <w:rFonts w:cs="Arial"/>
                <w:szCs w:val="24"/>
              </w:rPr>
              <w:t>≤0.10</w:t>
            </w:r>
          </w:p>
        </w:tc>
        <w:tc>
          <w:tcPr>
            <w:tcW w:w="3699" w:type="dxa"/>
            <w:vAlign w:val="center"/>
          </w:tcPr>
          <w:p w14:paraId="5681D319" w14:textId="77777777" w:rsidR="00BC7212" w:rsidRDefault="00BC7212" w:rsidP="00770AA3">
            <w:pPr>
              <w:spacing w:after="0"/>
              <w:jc w:val="center"/>
              <w:rPr>
                <w:rFonts w:cs="Arial"/>
                <w:szCs w:val="24"/>
              </w:rPr>
            </w:pPr>
            <w:r>
              <w:rPr>
                <w:rFonts w:cs="Arial"/>
                <w:szCs w:val="24"/>
              </w:rPr>
              <w:t>≤0.10</w:t>
            </w:r>
          </w:p>
        </w:tc>
      </w:tr>
      <w:tr w:rsidR="00BC7212" w14:paraId="69FACF99" w14:textId="77777777" w:rsidTr="00770AA3">
        <w:tc>
          <w:tcPr>
            <w:tcW w:w="2390" w:type="dxa"/>
            <w:vAlign w:val="center"/>
          </w:tcPr>
          <w:p w14:paraId="17D37A0A" w14:textId="77777777" w:rsidR="00BC7212" w:rsidRDefault="00BC7212" w:rsidP="00770AA3">
            <w:pPr>
              <w:spacing w:after="0"/>
              <w:jc w:val="center"/>
              <w:rPr>
                <w:rFonts w:cs="Arial"/>
                <w:szCs w:val="24"/>
              </w:rPr>
            </w:pPr>
            <w:r>
              <w:rPr>
                <w:rFonts w:cs="Arial"/>
                <w:szCs w:val="24"/>
              </w:rPr>
              <w:t>Beta Error</w:t>
            </w:r>
          </w:p>
        </w:tc>
        <w:tc>
          <w:tcPr>
            <w:tcW w:w="3536" w:type="dxa"/>
            <w:vAlign w:val="center"/>
          </w:tcPr>
          <w:p w14:paraId="26FD91A0" w14:textId="77777777" w:rsidR="00BC7212" w:rsidRDefault="00BC7212" w:rsidP="00770AA3">
            <w:pPr>
              <w:spacing w:after="0"/>
              <w:jc w:val="center"/>
              <w:rPr>
                <w:rFonts w:cs="Arial"/>
                <w:szCs w:val="24"/>
              </w:rPr>
            </w:pPr>
            <w:r>
              <w:rPr>
                <w:rFonts w:cs="Arial"/>
                <w:szCs w:val="24"/>
              </w:rPr>
              <w:t>≤0.10</w:t>
            </w:r>
          </w:p>
        </w:tc>
        <w:tc>
          <w:tcPr>
            <w:tcW w:w="3699" w:type="dxa"/>
            <w:vAlign w:val="center"/>
          </w:tcPr>
          <w:p w14:paraId="68C85F3E" w14:textId="77777777" w:rsidR="00BC7212" w:rsidRDefault="00BC7212" w:rsidP="00770AA3">
            <w:pPr>
              <w:spacing w:after="0"/>
              <w:jc w:val="center"/>
              <w:rPr>
                <w:rFonts w:cs="Arial"/>
                <w:szCs w:val="24"/>
              </w:rPr>
            </w:pPr>
            <w:r>
              <w:rPr>
                <w:rFonts w:cs="Arial"/>
                <w:szCs w:val="24"/>
              </w:rPr>
              <w:t>≤0.10</w:t>
            </w:r>
          </w:p>
        </w:tc>
      </w:tr>
    </w:tbl>
    <w:p w14:paraId="5EC14FB9" w14:textId="38CA1FC6" w:rsidR="008E64A9" w:rsidRPr="00433002" w:rsidRDefault="008E64A9" w:rsidP="00597DE8">
      <w:pPr>
        <w:pStyle w:val="Heading2"/>
      </w:pPr>
      <w:bookmarkStart w:id="66" w:name="_Toc189048561"/>
      <w:r w:rsidRPr="004502A9">
        <w:t>Waterbody Fact Sheets</w:t>
      </w:r>
      <w:bookmarkEnd w:id="66"/>
    </w:p>
    <w:p w14:paraId="0B3D866F" w14:textId="1BA1E53C" w:rsidR="00BD383A" w:rsidRDefault="008E64A9" w:rsidP="00BD383A">
      <w:r w:rsidRPr="0ADF81B3">
        <w:rPr>
          <w:rFonts w:eastAsia="Arial" w:cs="Arial"/>
        </w:rPr>
        <w:t xml:space="preserve">The LOEs and </w:t>
      </w:r>
      <w:r w:rsidR="00F207AB">
        <w:rPr>
          <w:rFonts w:eastAsia="Arial" w:cs="Arial"/>
        </w:rPr>
        <w:t>CalWQA</w:t>
      </w:r>
      <w:r w:rsidRPr="0ADF81B3">
        <w:rPr>
          <w:rFonts w:eastAsia="Arial" w:cs="Arial"/>
        </w:rPr>
        <w:t xml:space="preserve"> Decisions for each waterbody </w:t>
      </w:r>
      <w:r w:rsidR="00E91EB9">
        <w:rPr>
          <w:rFonts w:eastAsia="Arial" w:cs="Arial"/>
        </w:rPr>
        <w:t xml:space="preserve">segment </w:t>
      </w:r>
      <w:r w:rsidRPr="0ADF81B3">
        <w:rPr>
          <w:rFonts w:eastAsia="Arial" w:cs="Arial"/>
        </w:rPr>
        <w:t xml:space="preserve">are </w:t>
      </w:r>
      <w:r w:rsidR="000F4364">
        <w:rPr>
          <w:rFonts w:eastAsia="Arial" w:cs="Arial"/>
        </w:rPr>
        <w:t>detailed</w:t>
      </w:r>
      <w:r w:rsidRPr="0ADF81B3">
        <w:rPr>
          <w:rFonts w:eastAsia="Arial" w:cs="Arial"/>
        </w:rPr>
        <w:t xml:space="preserve"> in Waterbody Fact Sheets</w:t>
      </w:r>
      <w:r w:rsidR="001A6A7A">
        <w:rPr>
          <w:rFonts w:eastAsia="Arial" w:cs="Arial"/>
        </w:rPr>
        <w:t>.</w:t>
      </w:r>
      <w:r w:rsidRPr="0ADF81B3">
        <w:rPr>
          <w:rFonts w:eastAsia="Arial" w:cs="Arial"/>
        </w:rPr>
        <w:t xml:space="preserve"> </w:t>
      </w:r>
      <w:r w:rsidR="00202886" w:rsidRPr="0ADF81B3">
        <w:rPr>
          <w:rFonts w:eastAsia="Arial" w:cs="Arial"/>
        </w:rPr>
        <w:t xml:space="preserve">Detailed Waterbody Fact Sheets for all </w:t>
      </w:r>
      <w:r w:rsidR="009F2428" w:rsidRPr="0ADF81B3">
        <w:rPr>
          <w:rFonts w:eastAsia="Arial" w:cs="Arial"/>
        </w:rPr>
        <w:t>waterbod</w:t>
      </w:r>
      <w:r w:rsidR="009F2428">
        <w:rPr>
          <w:rFonts w:eastAsia="Arial" w:cs="Arial"/>
        </w:rPr>
        <w:t>y segments</w:t>
      </w:r>
      <w:r w:rsidR="009F2428" w:rsidRPr="0ADF81B3">
        <w:rPr>
          <w:rFonts w:eastAsia="Arial" w:cs="Arial"/>
        </w:rPr>
        <w:t xml:space="preserve"> </w:t>
      </w:r>
      <w:r w:rsidR="00202886" w:rsidRPr="0ADF81B3">
        <w:rPr>
          <w:rFonts w:eastAsia="Arial" w:cs="Arial"/>
        </w:rPr>
        <w:t xml:space="preserve">assessed for the </w:t>
      </w:r>
      <w:r w:rsidR="00202886">
        <w:rPr>
          <w:rFonts w:eastAsia="Arial" w:cs="Arial"/>
        </w:rPr>
        <w:t>2026</w:t>
      </w:r>
      <w:r w:rsidR="00202886" w:rsidRPr="004502A9">
        <w:rPr>
          <w:rFonts w:eastAsia="Arial" w:cs="Arial"/>
        </w:rPr>
        <w:t xml:space="preserve"> </w:t>
      </w:r>
      <w:r w:rsidR="00202886">
        <w:rPr>
          <w:rFonts w:eastAsia="Arial" w:cs="Arial"/>
        </w:rPr>
        <w:t xml:space="preserve">California </w:t>
      </w:r>
      <w:r w:rsidR="00202886" w:rsidRPr="0ADF81B3">
        <w:rPr>
          <w:rFonts w:eastAsia="Arial" w:cs="Arial"/>
        </w:rPr>
        <w:t xml:space="preserve">Integrated Report are available in </w:t>
      </w:r>
      <w:r w:rsidR="00202886" w:rsidRPr="1E938F64">
        <w:rPr>
          <w:rFonts w:eastAsia="Arial" w:cs="Arial"/>
        </w:rPr>
        <w:t>Appendices</w:t>
      </w:r>
      <w:r w:rsidR="00202886" w:rsidRPr="0ADF81B3">
        <w:rPr>
          <w:rFonts w:eastAsia="Arial" w:cs="Arial"/>
        </w:rPr>
        <w:t xml:space="preserve"> B and B1.</w:t>
      </w:r>
      <w:r w:rsidR="00202886">
        <w:rPr>
          <w:rFonts w:eastAsia="Arial" w:cs="Arial"/>
        </w:rPr>
        <w:t xml:space="preserve"> </w:t>
      </w:r>
      <w:r w:rsidR="00082149">
        <w:t xml:space="preserve">The </w:t>
      </w:r>
      <w:r w:rsidR="00082149" w:rsidRPr="0ADF81B3">
        <w:rPr>
          <w:rFonts w:eastAsia="Arial" w:cs="Arial"/>
        </w:rPr>
        <w:t>Waterbody Fact Sheets</w:t>
      </w:r>
      <w:r w:rsidR="00082149">
        <w:t xml:space="preserve"> provide the following</w:t>
      </w:r>
      <w:r w:rsidR="00400DB6">
        <w:t xml:space="preserve"> information</w:t>
      </w:r>
      <w:r w:rsidR="00082149">
        <w:t xml:space="preserve">: </w:t>
      </w:r>
    </w:p>
    <w:p w14:paraId="405BB58C" w14:textId="230615E3" w:rsidR="003C2967" w:rsidRDefault="003C2967" w:rsidP="003C2967">
      <w:pPr>
        <w:pStyle w:val="ListParagraph"/>
        <w:numPr>
          <w:ilvl w:val="0"/>
          <w:numId w:val="21"/>
        </w:numPr>
        <w:rPr>
          <w:rFonts w:eastAsia="Arial" w:cs="Arial"/>
        </w:rPr>
      </w:pPr>
      <w:r>
        <w:rPr>
          <w:rFonts w:eastAsia="Arial" w:cs="Arial"/>
        </w:rPr>
        <w:t>The beneficial use that was assessed.</w:t>
      </w:r>
    </w:p>
    <w:p w14:paraId="27045D3D" w14:textId="0AF14738" w:rsidR="003C2967" w:rsidRPr="003C2967" w:rsidRDefault="003C2967" w:rsidP="003C2967">
      <w:pPr>
        <w:pStyle w:val="ListParagraph"/>
        <w:numPr>
          <w:ilvl w:val="0"/>
          <w:numId w:val="21"/>
        </w:numPr>
        <w:rPr>
          <w:rFonts w:eastAsia="Arial" w:cs="Arial"/>
        </w:rPr>
      </w:pPr>
      <w:r w:rsidRPr="00400DB6">
        <w:rPr>
          <w:rFonts w:eastAsia="Arial" w:cs="Arial"/>
        </w:rPr>
        <w:t xml:space="preserve">The numeric water quality objectives, criteria or evaluation guidelines </w:t>
      </w:r>
      <w:r>
        <w:rPr>
          <w:rFonts w:eastAsia="Arial" w:cs="Arial"/>
        </w:rPr>
        <w:t xml:space="preserve">that were </w:t>
      </w:r>
      <w:r w:rsidRPr="00400DB6">
        <w:rPr>
          <w:rFonts w:eastAsia="Arial" w:cs="Arial"/>
        </w:rPr>
        <w:t xml:space="preserve">used to make </w:t>
      </w:r>
      <w:r>
        <w:rPr>
          <w:rFonts w:eastAsia="Arial" w:cs="Arial"/>
        </w:rPr>
        <w:t>the</w:t>
      </w:r>
      <w:r w:rsidRPr="00400DB6">
        <w:rPr>
          <w:rFonts w:eastAsia="Arial" w:cs="Arial"/>
        </w:rPr>
        <w:t xml:space="preserve"> listing </w:t>
      </w:r>
      <w:r>
        <w:rPr>
          <w:rFonts w:eastAsia="Arial" w:cs="Arial"/>
        </w:rPr>
        <w:t>Decision</w:t>
      </w:r>
      <w:r w:rsidRPr="00400DB6">
        <w:rPr>
          <w:rFonts w:eastAsia="Arial" w:cs="Arial"/>
        </w:rPr>
        <w:t>.</w:t>
      </w:r>
    </w:p>
    <w:p w14:paraId="37777004" w14:textId="0A57D398" w:rsidR="00CA5018" w:rsidRPr="00CA5018" w:rsidRDefault="00CA5018" w:rsidP="00CA5018">
      <w:pPr>
        <w:pStyle w:val="ListParagraph"/>
        <w:numPr>
          <w:ilvl w:val="0"/>
          <w:numId w:val="21"/>
        </w:numPr>
        <w:rPr>
          <w:rFonts w:eastAsia="Arial" w:cs="Arial"/>
        </w:rPr>
      </w:pPr>
      <w:r>
        <w:rPr>
          <w:rFonts w:eastAsia="Arial" w:cs="Arial"/>
        </w:rPr>
        <w:t>Number of samples and exceedances.</w:t>
      </w:r>
    </w:p>
    <w:p w14:paraId="4E864DE8" w14:textId="7DB26864" w:rsidR="002A3707" w:rsidRDefault="006917D6" w:rsidP="00010F69">
      <w:pPr>
        <w:pStyle w:val="ListParagraph"/>
        <w:numPr>
          <w:ilvl w:val="0"/>
          <w:numId w:val="21"/>
        </w:numPr>
        <w:rPr>
          <w:rFonts w:eastAsia="Arial" w:cs="Arial"/>
        </w:rPr>
      </w:pPr>
      <w:r>
        <w:rPr>
          <w:rFonts w:eastAsia="Arial" w:cs="Arial"/>
        </w:rPr>
        <w:t>The f</w:t>
      </w:r>
      <w:r w:rsidR="002A3707">
        <w:rPr>
          <w:rFonts w:eastAsia="Arial" w:cs="Arial"/>
        </w:rPr>
        <w:t xml:space="preserve">inal </w:t>
      </w:r>
      <w:r w:rsidR="0073593C">
        <w:rPr>
          <w:rFonts w:eastAsia="Arial" w:cs="Arial"/>
        </w:rPr>
        <w:t xml:space="preserve">Decision </w:t>
      </w:r>
      <w:r>
        <w:rPr>
          <w:rFonts w:eastAsia="Arial" w:cs="Arial"/>
        </w:rPr>
        <w:t>for a waterbody-pollutant</w:t>
      </w:r>
      <w:r w:rsidR="00E713A9">
        <w:rPr>
          <w:rFonts w:eastAsia="Arial" w:cs="Arial"/>
        </w:rPr>
        <w:t>.</w:t>
      </w:r>
    </w:p>
    <w:p w14:paraId="69FA76B3" w14:textId="77777777" w:rsidR="00FE00F5" w:rsidRDefault="00FE00F5" w:rsidP="00FE00F5">
      <w:pPr>
        <w:pStyle w:val="ListParagraph"/>
        <w:numPr>
          <w:ilvl w:val="0"/>
          <w:numId w:val="21"/>
        </w:numPr>
        <w:rPr>
          <w:rFonts w:eastAsia="Arial" w:cs="Arial"/>
        </w:rPr>
      </w:pPr>
      <w:r>
        <w:rPr>
          <w:rFonts w:eastAsia="Arial" w:cs="Arial"/>
        </w:rPr>
        <w:t>The State and/or Regional Water Board’s conclusion for the listing Decision.</w:t>
      </w:r>
    </w:p>
    <w:p w14:paraId="10A39F1B" w14:textId="2609DA9E" w:rsidR="00FE00F5" w:rsidRPr="00483D28" w:rsidRDefault="00483D28" w:rsidP="00483D28">
      <w:pPr>
        <w:pStyle w:val="ListParagraph"/>
        <w:numPr>
          <w:ilvl w:val="0"/>
          <w:numId w:val="21"/>
        </w:numPr>
        <w:rPr>
          <w:rFonts w:eastAsia="Arial" w:cs="Arial"/>
        </w:rPr>
      </w:pPr>
      <w:r>
        <w:rPr>
          <w:rFonts w:eastAsia="Arial" w:cs="Arial"/>
        </w:rPr>
        <w:t>Information on the dataset that was used to make the Decision including data references, and QA documentation.</w:t>
      </w:r>
    </w:p>
    <w:p w14:paraId="617F6928" w14:textId="5481BFB0" w:rsidR="001E0A87" w:rsidRDefault="001E0A87" w:rsidP="00010F69">
      <w:pPr>
        <w:pStyle w:val="ListParagraph"/>
        <w:numPr>
          <w:ilvl w:val="0"/>
          <w:numId w:val="21"/>
        </w:numPr>
        <w:rPr>
          <w:rFonts w:eastAsia="Arial" w:cs="Arial"/>
        </w:rPr>
      </w:pPr>
      <w:r>
        <w:rPr>
          <w:rFonts w:eastAsia="Arial" w:cs="Arial"/>
        </w:rPr>
        <w:t xml:space="preserve">TMDL </w:t>
      </w:r>
      <w:r w:rsidR="005320FC">
        <w:rPr>
          <w:rFonts w:eastAsia="Arial" w:cs="Arial"/>
        </w:rPr>
        <w:t>p</w:t>
      </w:r>
      <w:r>
        <w:rPr>
          <w:rFonts w:eastAsia="Arial" w:cs="Arial"/>
        </w:rPr>
        <w:t xml:space="preserve">riority </w:t>
      </w:r>
      <w:r w:rsidR="005320FC">
        <w:rPr>
          <w:rFonts w:eastAsia="Arial" w:cs="Arial"/>
        </w:rPr>
        <w:t>l</w:t>
      </w:r>
      <w:r>
        <w:rPr>
          <w:rFonts w:eastAsia="Arial" w:cs="Arial"/>
        </w:rPr>
        <w:t>evel, if applicable.</w:t>
      </w:r>
      <w:r w:rsidR="005320FC">
        <w:rPr>
          <w:rFonts w:eastAsia="Arial" w:cs="Arial"/>
        </w:rPr>
        <w:t xml:space="preserve"> See Section 2.6 for more information on TMDL priority levels.</w:t>
      </w:r>
    </w:p>
    <w:p w14:paraId="669880B9" w14:textId="7BA8D4ED" w:rsidR="003F6947" w:rsidRDefault="00610DFA" w:rsidP="00C271F6">
      <w:r>
        <w:rPr>
          <w:rFonts w:eastAsia="Arial" w:cs="Arial"/>
        </w:rPr>
        <w:t>For</w:t>
      </w:r>
      <w:r w:rsidRPr="0ADF81B3">
        <w:rPr>
          <w:rFonts w:eastAsia="Arial" w:cs="Arial"/>
        </w:rPr>
        <w:t xml:space="preserve"> </w:t>
      </w:r>
      <w:r w:rsidR="008E64A9" w:rsidRPr="0ADF81B3">
        <w:rPr>
          <w:rFonts w:eastAsia="Arial" w:cs="Arial"/>
        </w:rPr>
        <w:t>each waterbody</w:t>
      </w:r>
      <w:r>
        <w:rPr>
          <w:rFonts w:eastAsia="Arial" w:cs="Arial"/>
        </w:rPr>
        <w:t xml:space="preserve"> segment</w:t>
      </w:r>
      <w:r w:rsidR="008E64A9" w:rsidRPr="0ADF81B3">
        <w:rPr>
          <w:rFonts w:eastAsia="Arial" w:cs="Arial"/>
        </w:rPr>
        <w:t xml:space="preserve">, data from multiple pollutants may be assessed, resulting in more than one waterbody-pollutant </w:t>
      </w:r>
      <w:r w:rsidR="00F10546">
        <w:rPr>
          <w:rFonts w:eastAsia="Arial" w:cs="Arial"/>
        </w:rPr>
        <w:t xml:space="preserve">CalWQA </w:t>
      </w:r>
      <w:r w:rsidR="008E64A9" w:rsidRPr="0ADF81B3">
        <w:rPr>
          <w:rFonts w:eastAsia="Arial" w:cs="Arial"/>
        </w:rPr>
        <w:t>Decision</w:t>
      </w:r>
      <w:r w:rsidR="00DA377B">
        <w:rPr>
          <w:rFonts w:eastAsia="Arial" w:cs="Arial"/>
        </w:rPr>
        <w:t>.</w:t>
      </w:r>
      <w:r w:rsidR="00C271F6">
        <w:rPr>
          <w:rFonts w:eastAsia="Arial" w:cs="Arial"/>
        </w:rPr>
        <w:t xml:space="preserve"> </w:t>
      </w:r>
    </w:p>
    <w:p w14:paraId="4EC4AD29" w14:textId="79F3EAA2" w:rsidR="00BD383A" w:rsidRPr="004502A9" w:rsidRDefault="00BD383A" w:rsidP="008E64A9">
      <w:pPr>
        <w:rPr>
          <w:rFonts w:eastAsia="Arial" w:cs="Arial"/>
        </w:rPr>
      </w:pPr>
      <w:r>
        <w:t>Figure 2-2 illustrates the relationship between LOEs and a CalWQA Decision</w:t>
      </w:r>
      <w:r w:rsidR="00F860BD">
        <w:t>.</w:t>
      </w:r>
    </w:p>
    <w:p w14:paraId="1160F65D" w14:textId="07AC6F62" w:rsidR="008E64A9" w:rsidRDefault="008E64A9" w:rsidP="008E64A9">
      <w:pPr>
        <w:pStyle w:val="Caption"/>
        <w:keepNext/>
        <w:rPr>
          <w:rFonts w:cs="Arial"/>
        </w:rPr>
      </w:pPr>
      <w:r w:rsidRPr="00421856">
        <w:rPr>
          <w:rFonts w:cs="Arial"/>
        </w:rPr>
        <w:t xml:space="preserve">Figure </w:t>
      </w:r>
      <w:r w:rsidRPr="00421856">
        <w:rPr>
          <w:rFonts w:cs="Arial"/>
        </w:rPr>
        <w:fldChar w:fldCharType="begin"/>
      </w:r>
      <w:r w:rsidRPr="00421856">
        <w:rPr>
          <w:rFonts w:cs="Arial"/>
        </w:rPr>
        <w:instrText>STYLEREF 1 \s</w:instrText>
      </w:r>
      <w:r w:rsidRPr="00421856">
        <w:rPr>
          <w:rFonts w:cs="Arial"/>
        </w:rPr>
        <w:fldChar w:fldCharType="separate"/>
      </w:r>
      <w:r w:rsidR="00C93408">
        <w:rPr>
          <w:rFonts w:cs="Arial"/>
          <w:noProof/>
        </w:rPr>
        <w:t>2</w:t>
      </w:r>
      <w:r w:rsidRPr="00421856">
        <w:rPr>
          <w:rFonts w:cs="Arial"/>
        </w:rPr>
        <w:fldChar w:fldCharType="end"/>
      </w:r>
      <w:r w:rsidRPr="00421856">
        <w:rPr>
          <w:rFonts w:cs="Arial"/>
        </w:rPr>
        <w:noBreakHyphen/>
        <w:t>2</w:t>
      </w:r>
      <w:r w:rsidRPr="004502A9">
        <w:rPr>
          <w:rFonts w:cs="Arial"/>
        </w:rPr>
        <w:t xml:space="preserve">: </w:t>
      </w:r>
      <w:r w:rsidR="009C183E">
        <w:rPr>
          <w:rFonts w:cs="Arial"/>
        </w:rPr>
        <w:t xml:space="preserve">Waterbody Fact Sheet – Information Summary </w:t>
      </w:r>
      <w:r w:rsidRPr="004502A9">
        <w:rPr>
          <w:rFonts w:cs="Arial"/>
        </w:rPr>
        <w:t xml:space="preserve">  </w:t>
      </w:r>
    </w:p>
    <w:p w14:paraId="4CDB4EC9" w14:textId="146A5C80" w:rsidR="008E64A9" w:rsidRPr="008E64A9" w:rsidRDefault="008E64A9" w:rsidP="008E64A9">
      <w:r w:rsidRPr="004502A9">
        <w:rPr>
          <w:rFonts w:cs="Arial"/>
          <w:noProof/>
        </w:rPr>
        <w:drawing>
          <wp:inline distT="0" distB="0" distL="0" distR="0" wp14:anchorId="4F6B480E" wp14:editId="61B82BB5">
            <wp:extent cx="4657725" cy="2510494"/>
            <wp:effectExtent l="0" t="0" r="0" b="4445"/>
            <wp:docPr id="637821594" name="Picture 637821594" descr="A graphic showing how LOEs were combined into Decisions, which were combined into a waterbody fact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3">
                      <a:extLst>
                        <a:ext uri="{28A0092B-C50C-407E-A947-70E740481C1C}">
                          <a14:useLocalDpi xmlns:a14="http://schemas.microsoft.com/office/drawing/2010/main" val="0"/>
                        </a:ext>
                      </a:extLst>
                    </a:blip>
                    <a:stretch>
                      <a:fillRect/>
                    </a:stretch>
                  </pic:blipFill>
                  <pic:spPr>
                    <a:xfrm>
                      <a:off x="0" y="0"/>
                      <a:ext cx="4657725" cy="2510494"/>
                    </a:xfrm>
                    <a:prstGeom prst="rect">
                      <a:avLst/>
                    </a:prstGeom>
                  </pic:spPr>
                </pic:pic>
              </a:graphicData>
            </a:graphic>
          </wp:inline>
        </w:drawing>
      </w:r>
    </w:p>
    <w:p w14:paraId="6224BE6B" w14:textId="67D3ADD9" w:rsidR="007710C3" w:rsidRPr="004502A9" w:rsidRDefault="007710C3" w:rsidP="00597DE8">
      <w:pPr>
        <w:pStyle w:val="Heading2"/>
      </w:pPr>
      <w:bookmarkStart w:id="67" w:name="_Toc35339595"/>
      <w:bookmarkStart w:id="68" w:name="_Toc189048562"/>
      <w:r w:rsidRPr="004502A9">
        <w:t>Integrated Report Condition Categories</w:t>
      </w:r>
      <w:bookmarkEnd w:id="67"/>
      <w:bookmarkEnd w:id="68"/>
    </w:p>
    <w:p w14:paraId="687B54DF" w14:textId="0397FA2F" w:rsidR="0BA4A3BA" w:rsidRDefault="63DB3F71" w:rsidP="0049642E">
      <w:pPr>
        <w:rPr>
          <w:rFonts w:eastAsia="Arial" w:cs="Arial"/>
        </w:rPr>
      </w:pPr>
      <w:r w:rsidRPr="6926D172">
        <w:rPr>
          <w:rFonts w:eastAsia="Arial" w:cs="Arial"/>
        </w:rPr>
        <w:t>T</w:t>
      </w:r>
      <w:r w:rsidR="6E57D79B" w:rsidRPr="6926D172">
        <w:rPr>
          <w:rFonts w:eastAsia="Arial" w:cs="Arial"/>
        </w:rPr>
        <w:t>he</w:t>
      </w:r>
      <w:r w:rsidR="20D27E91" w:rsidRPr="6926D172">
        <w:rPr>
          <w:rFonts w:eastAsia="Arial" w:cs="Arial"/>
        </w:rPr>
        <w:t xml:space="preserve"> </w:t>
      </w:r>
      <w:r w:rsidR="00F354B6">
        <w:rPr>
          <w:rFonts w:eastAsia="Arial" w:cs="Arial"/>
        </w:rPr>
        <w:t xml:space="preserve">California </w:t>
      </w:r>
      <w:r w:rsidR="20D27E91" w:rsidRPr="6926D172">
        <w:rPr>
          <w:rFonts w:eastAsia="Arial" w:cs="Arial"/>
        </w:rPr>
        <w:t xml:space="preserve">Integrated Report </w:t>
      </w:r>
      <w:r w:rsidR="00D072D1">
        <w:rPr>
          <w:rFonts w:eastAsia="Arial" w:cs="Arial"/>
        </w:rPr>
        <w:t xml:space="preserve">consists of </w:t>
      </w:r>
      <w:r w:rsidR="5336E988" w:rsidRPr="6926D172">
        <w:rPr>
          <w:rFonts w:eastAsia="Arial" w:cs="Arial"/>
        </w:rPr>
        <w:t>assessed waterbod</w:t>
      </w:r>
      <w:r w:rsidR="00596791">
        <w:rPr>
          <w:rFonts w:eastAsia="Arial" w:cs="Arial"/>
        </w:rPr>
        <w:t>y segments</w:t>
      </w:r>
      <w:r w:rsidR="00D072D1">
        <w:rPr>
          <w:rFonts w:eastAsia="Arial" w:cs="Arial"/>
        </w:rPr>
        <w:t xml:space="preserve"> placed</w:t>
      </w:r>
      <w:r w:rsidR="20D27E91" w:rsidRPr="6926D172">
        <w:rPr>
          <w:rFonts w:eastAsia="Arial" w:cs="Arial"/>
        </w:rPr>
        <w:t xml:space="preserve"> into one of five “Integrated Report Condition Categories</w:t>
      </w:r>
      <w:r w:rsidR="16EDE0C2" w:rsidRPr="6926D172">
        <w:rPr>
          <w:rFonts w:eastAsia="Arial" w:cs="Arial"/>
        </w:rPr>
        <w:t>.</w:t>
      </w:r>
      <w:r w:rsidR="6E57D79B" w:rsidRPr="6926D172">
        <w:rPr>
          <w:rFonts w:eastAsia="Arial" w:cs="Arial"/>
        </w:rPr>
        <w:t xml:space="preserve">” </w:t>
      </w:r>
      <w:r w:rsidR="00F8393A">
        <w:rPr>
          <w:rFonts w:eastAsia="Arial" w:cs="Arial"/>
        </w:rPr>
        <w:t>The State Water Board’s</w:t>
      </w:r>
      <w:r w:rsidR="1E605C08" w:rsidRPr="6926D172">
        <w:rPr>
          <w:rFonts w:eastAsia="Arial" w:cs="Arial"/>
        </w:rPr>
        <w:t xml:space="preserve"> Integrated Report Condition Categories are assigned at the waterbody level</w:t>
      </w:r>
      <w:r w:rsidR="5578D5B2" w:rsidRPr="6926D172">
        <w:rPr>
          <w:rFonts w:eastAsia="Arial" w:cs="Arial"/>
        </w:rPr>
        <w:t xml:space="preserve">. </w:t>
      </w:r>
      <w:r w:rsidR="145EE963" w:rsidRPr="6926D172">
        <w:rPr>
          <w:rFonts w:eastAsia="Arial" w:cs="Arial"/>
        </w:rPr>
        <w:t>CalWQA</w:t>
      </w:r>
      <w:r w:rsidR="24BA194C" w:rsidRPr="6926D172">
        <w:rPr>
          <w:rFonts w:eastAsia="Arial" w:cs="Arial"/>
        </w:rPr>
        <w:t xml:space="preserve"> aggregate</w:t>
      </w:r>
      <w:r w:rsidR="16567B30" w:rsidRPr="6926D172">
        <w:rPr>
          <w:rFonts w:eastAsia="Arial" w:cs="Arial"/>
        </w:rPr>
        <w:t>s</w:t>
      </w:r>
      <w:r w:rsidR="5578D5B2" w:rsidRPr="6926D172">
        <w:rPr>
          <w:rFonts w:eastAsia="Arial" w:cs="Arial"/>
        </w:rPr>
        <w:t xml:space="preserve"> </w:t>
      </w:r>
      <w:r w:rsidR="1EC6666E" w:rsidRPr="6926D172">
        <w:rPr>
          <w:rFonts w:eastAsia="Arial" w:cs="Arial"/>
        </w:rPr>
        <w:t xml:space="preserve">the individual </w:t>
      </w:r>
      <w:r w:rsidR="006B4DFA">
        <w:rPr>
          <w:rFonts w:eastAsia="Arial" w:cs="Arial"/>
        </w:rPr>
        <w:t xml:space="preserve">CalWQA </w:t>
      </w:r>
      <w:r w:rsidR="1EC6666E" w:rsidRPr="6926D172">
        <w:rPr>
          <w:rFonts w:eastAsia="Arial" w:cs="Arial"/>
        </w:rPr>
        <w:t xml:space="preserve">Decisions </w:t>
      </w:r>
      <w:r w:rsidR="2982608B" w:rsidRPr="6926D172">
        <w:rPr>
          <w:rFonts w:eastAsia="Arial" w:cs="Arial"/>
        </w:rPr>
        <w:t>for all pollutants assessed</w:t>
      </w:r>
      <w:r w:rsidR="3FBBF4A9" w:rsidRPr="6926D172">
        <w:rPr>
          <w:rFonts w:eastAsia="Arial" w:cs="Arial"/>
        </w:rPr>
        <w:t xml:space="preserve"> </w:t>
      </w:r>
      <w:r w:rsidR="4F092F7F" w:rsidRPr="6926D172">
        <w:rPr>
          <w:rFonts w:eastAsia="Arial" w:cs="Arial"/>
        </w:rPr>
        <w:t>in the waterbody</w:t>
      </w:r>
      <w:r w:rsidR="5C3B9C82" w:rsidRPr="6926D172">
        <w:rPr>
          <w:rFonts w:eastAsia="Arial" w:cs="Arial"/>
        </w:rPr>
        <w:t xml:space="preserve"> </w:t>
      </w:r>
      <w:r w:rsidR="00596791">
        <w:rPr>
          <w:rFonts w:eastAsia="Arial" w:cs="Arial"/>
        </w:rPr>
        <w:t xml:space="preserve">segment </w:t>
      </w:r>
      <w:r w:rsidR="5C3B9C82" w:rsidRPr="6926D172">
        <w:rPr>
          <w:rFonts w:eastAsia="Arial" w:cs="Arial"/>
        </w:rPr>
        <w:t xml:space="preserve">and assigns a </w:t>
      </w:r>
      <w:r w:rsidR="33212375" w:rsidRPr="6926D172">
        <w:rPr>
          <w:rFonts w:eastAsia="Arial" w:cs="Arial"/>
        </w:rPr>
        <w:t>Condition C</w:t>
      </w:r>
      <w:r w:rsidR="5C3B9C82" w:rsidRPr="6926D172">
        <w:rPr>
          <w:rFonts w:eastAsia="Arial" w:cs="Arial"/>
        </w:rPr>
        <w:t>ategory</w:t>
      </w:r>
      <w:r w:rsidR="0EB6D1F7" w:rsidRPr="6926D172">
        <w:rPr>
          <w:rFonts w:eastAsia="Arial" w:cs="Arial"/>
        </w:rPr>
        <w:t xml:space="preserve"> to the waterbody</w:t>
      </w:r>
      <w:r w:rsidR="23705764" w:rsidRPr="6926D172">
        <w:rPr>
          <w:rFonts w:eastAsia="Arial" w:cs="Arial"/>
        </w:rPr>
        <w:t xml:space="preserve"> as </w:t>
      </w:r>
      <w:r w:rsidR="69D9D6EE" w:rsidRPr="6926D172">
        <w:rPr>
          <w:rFonts w:eastAsia="Arial" w:cs="Arial"/>
        </w:rPr>
        <w:t>described</w:t>
      </w:r>
      <w:r w:rsidR="23705764" w:rsidRPr="6926D172">
        <w:rPr>
          <w:rFonts w:eastAsia="Arial" w:cs="Arial"/>
        </w:rPr>
        <w:t xml:space="preserve"> in </w:t>
      </w:r>
      <w:r w:rsidR="23705764" w:rsidRPr="00787204">
        <w:rPr>
          <w:rFonts w:eastAsia="Arial" w:cs="Arial"/>
        </w:rPr>
        <w:t xml:space="preserve">Figure </w:t>
      </w:r>
      <w:r w:rsidR="004971CE" w:rsidRPr="00787204">
        <w:rPr>
          <w:rFonts w:eastAsia="Arial" w:cs="Arial"/>
        </w:rPr>
        <w:t>2-3</w:t>
      </w:r>
      <w:r w:rsidR="00787204">
        <w:rPr>
          <w:rFonts w:eastAsia="Arial" w:cs="Arial"/>
        </w:rPr>
        <w:t xml:space="preserve"> </w:t>
      </w:r>
      <w:r w:rsidR="23705764" w:rsidRPr="6926D172">
        <w:rPr>
          <w:rFonts w:eastAsia="Arial" w:cs="Arial"/>
        </w:rPr>
        <w:t>below</w:t>
      </w:r>
      <w:r w:rsidR="4F092F7F" w:rsidRPr="6926D172">
        <w:rPr>
          <w:rFonts w:eastAsia="Arial" w:cs="Arial"/>
        </w:rPr>
        <w:t>.</w:t>
      </w:r>
      <w:r w:rsidR="1EC6666E" w:rsidRPr="6926D172">
        <w:rPr>
          <w:rFonts w:eastAsia="Arial" w:cs="Arial"/>
        </w:rPr>
        <w:t xml:space="preserve"> </w:t>
      </w:r>
    </w:p>
    <w:p w14:paraId="3695DB4B" w14:textId="6B7E41DC" w:rsidR="0BA4A3BA" w:rsidRDefault="068387ED" w:rsidP="0049642E">
      <w:pPr>
        <w:rPr>
          <w:rFonts w:eastAsia="Arial" w:cs="Arial"/>
        </w:rPr>
      </w:pPr>
      <w:r w:rsidRPr="6926D172">
        <w:rPr>
          <w:rFonts w:eastAsia="Arial" w:cs="Arial"/>
        </w:rPr>
        <w:t>For example, a</w:t>
      </w:r>
      <w:r w:rsidR="0055496F">
        <w:rPr>
          <w:rFonts w:eastAsia="Arial" w:cs="Arial"/>
        </w:rPr>
        <w:t xml:space="preserve"> </w:t>
      </w:r>
      <w:r w:rsidR="00A04232">
        <w:rPr>
          <w:rFonts w:eastAsia="Arial" w:cs="Arial"/>
        </w:rPr>
        <w:t>CalWQA D</w:t>
      </w:r>
      <w:r w:rsidR="00A04232" w:rsidRPr="6926D172">
        <w:rPr>
          <w:rFonts w:eastAsia="Arial" w:cs="Arial"/>
        </w:rPr>
        <w:t>ecision</w:t>
      </w:r>
      <w:r w:rsidR="005E4088">
        <w:rPr>
          <w:rFonts w:eastAsia="Arial" w:cs="Arial"/>
        </w:rPr>
        <w:t xml:space="preserve"> </w:t>
      </w:r>
      <w:r w:rsidR="0055496F">
        <w:rPr>
          <w:rFonts w:eastAsia="Arial" w:cs="Arial"/>
        </w:rPr>
        <w:t>for a waterbody-pollutant combination</w:t>
      </w:r>
      <w:r w:rsidR="005E4088">
        <w:rPr>
          <w:rFonts w:eastAsia="Arial" w:cs="Arial"/>
        </w:rPr>
        <w:t xml:space="preserve"> </w:t>
      </w:r>
      <w:r w:rsidR="001F3FF0">
        <w:rPr>
          <w:rFonts w:eastAsia="Arial" w:cs="Arial"/>
        </w:rPr>
        <w:t xml:space="preserve">is </w:t>
      </w:r>
      <w:r w:rsidR="009C73C4">
        <w:rPr>
          <w:rFonts w:eastAsia="Arial" w:cs="Arial"/>
        </w:rPr>
        <w:t xml:space="preserve">placed in </w:t>
      </w:r>
      <w:r w:rsidRPr="6926D172">
        <w:rPr>
          <w:rFonts w:eastAsia="Arial" w:cs="Arial"/>
        </w:rPr>
        <w:t xml:space="preserve">Category 3 </w:t>
      </w:r>
      <w:r w:rsidR="002F1722">
        <w:rPr>
          <w:rFonts w:eastAsia="Arial" w:cs="Arial"/>
        </w:rPr>
        <w:t>if</w:t>
      </w:r>
      <w:r w:rsidRPr="6926D172">
        <w:rPr>
          <w:rFonts w:eastAsia="Arial" w:cs="Arial"/>
        </w:rPr>
        <w:t xml:space="preserve"> there is </w:t>
      </w:r>
      <w:r w:rsidR="008D6C5D">
        <w:t>i</w:t>
      </w:r>
      <w:r>
        <w:t xml:space="preserve">nsufficient data and/or information to make a beneficial use support determination but data and/or information indicates beneficial uses may be potentially threatened. </w:t>
      </w:r>
      <w:r w:rsidR="3866BBDA">
        <w:t xml:space="preserve">If there are no other </w:t>
      </w:r>
      <w:r w:rsidR="00986005" w:rsidRPr="6926D172">
        <w:rPr>
          <w:rFonts w:eastAsia="Arial" w:cs="Arial"/>
        </w:rPr>
        <w:t xml:space="preserve">CalWQA </w:t>
      </w:r>
      <w:r w:rsidR="00986005">
        <w:t>D</w:t>
      </w:r>
      <w:r w:rsidR="3866BBDA">
        <w:t xml:space="preserve">ecisions </w:t>
      </w:r>
      <w:r w:rsidR="00986005">
        <w:t>for</w:t>
      </w:r>
      <w:r w:rsidR="3866BBDA">
        <w:t xml:space="preserve"> the waterbody</w:t>
      </w:r>
      <w:r w:rsidR="00CE75C5">
        <w:t xml:space="preserve"> segment</w:t>
      </w:r>
      <w:r w:rsidR="3866BBDA">
        <w:t xml:space="preserve">, </w:t>
      </w:r>
      <w:r w:rsidR="6AD99F21">
        <w:t>the waterbody</w:t>
      </w:r>
      <w:r w:rsidR="3866BBDA">
        <w:t xml:space="preserve"> would be </w:t>
      </w:r>
      <w:r w:rsidR="0FF51A84">
        <w:t>placed in</w:t>
      </w:r>
      <w:r w:rsidR="3866BBDA">
        <w:t xml:space="preserve"> Category 3. </w:t>
      </w:r>
      <w:r w:rsidR="3C64EF3C">
        <w:t>However, i</w:t>
      </w:r>
      <w:r w:rsidR="79E99631">
        <w:t>f</w:t>
      </w:r>
      <w:r>
        <w:t xml:space="preserve"> there </w:t>
      </w:r>
      <w:r w:rsidR="00455BA8">
        <w:t>is another</w:t>
      </w:r>
      <w:r w:rsidR="00132B39">
        <w:t xml:space="preserve"> CalWQA Decision for </w:t>
      </w:r>
      <w:r w:rsidR="001272F3">
        <w:t>a</w:t>
      </w:r>
      <w:r w:rsidR="00132B39">
        <w:t xml:space="preserve"> </w:t>
      </w:r>
      <w:r w:rsidR="00455BA8">
        <w:t xml:space="preserve">different </w:t>
      </w:r>
      <w:r w:rsidR="001272F3">
        <w:t>pollutant</w:t>
      </w:r>
      <w:r w:rsidR="00455BA8">
        <w:t>,</w:t>
      </w:r>
      <w:r w:rsidR="003F30F7">
        <w:t xml:space="preserve"> and</w:t>
      </w:r>
      <w:r w:rsidR="00977F43">
        <w:t xml:space="preserve"> data indicate </w:t>
      </w:r>
      <w:r w:rsidR="00F33117">
        <w:t>standards are not attained,</w:t>
      </w:r>
      <w:r>
        <w:t xml:space="preserve"> the waterbody </w:t>
      </w:r>
      <w:r w:rsidR="00455BA8">
        <w:t xml:space="preserve">would </w:t>
      </w:r>
      <w:r>
        <w:t xml:space="preserve">be placed in Category 5. </w:t>
      </w:r>
    </w:p>
    <w:p w14:paraId="49167EF6" w14:textId="27DC33FD" w:rsidR="007B2E33" w:rsidRPr="004502A9" w:rsidRDefault="007B2E33" w:rsidP="0049642E">
      <w:pPr>
        <w:rPr>
          <w:rFonts w:cs="Arial"/>
        </w:rPr>
      </w:pPr>
      <w:r w:rsidRPr="00712856">
        <w:rPr>
          <w:rFonts w:cs="Arial"/>
        </w:rPr>
        <w:t xml:space="preserve">When the </w:t>
      </w:r>
      <w:r w:rsidR="00F42A86">
        <w:rPr>
          <w:rFonts w:cs="Arial"/>
        </w:rPr>
        <w:t>California</w:t>
      </w:r>
      <w:r w:rsidRPr="00712856">
        <w:rPr>
          <w:rFonts w:cs="Arial"/>
        </w:rPr>
        <w:t xml:space="preserve"> Integrated Report is submitted to </w:t>
      </w:r>
      <w:r w:rsidR="00313C98">
        <w:rPr>
          <w:rFonts w:cs="Arial"/>
        </w:rPr>
        <w:t>USEPA</w:t>
      </w:r>
      <w:r w:rsidRPr="00712856">
        <w:rPr>
          <w:rFonts w:cs="Arial"/>
        </w:rPr>
        <w:t xml:space="preserve"> via </w:t>
      </w:r>
      <w:r w:rsidR="00A324B9">
        <w:rPr>
          <w:rFonts w:eastAsia="Arial" w:cs="Arial"/>
          <w:szCs w:val="24"/>
        </w:rPr>
        <w:t>its</w:t>
      </w:r>
      <w:r>
        <w:rPr>
          <w:rFonts w:eastAsia="Arial" w:cs="Arial"/>
          <w:szCs w:val="24"/>
        </w:rPr>
        <w:t xml:space="preserve"> online system called the Assessment, Total Maximum Daily Load Tracking and Implementation System</w:t>
      </w:r>
      <w:r w:rsidRPr="00A036A7">
        <w:rPr>
          <w:rFonts w:eastAsia="Arial" w:cs="Arial"/>
          <w:szCs w:val="24"/>
        </w:rPr>
        <w:t xml:space="preserve"> </w:t>
      </w:r>
      <w:r>
        <w:rPr>
          <w:rFonts w:eastAsia="Arial" w:cs="Arial"/>
          <w:szCs w:val="24"/>
        </w:rPr>
        <w:t>(“</w:t>
      </w:r>
      <w:r w:rsidRPr="00A036A7">
        <w:rPr>
          <w:rFonts w:eastAsia="Arial" w:cs="Arial"/>
          <w:szCs w:val="24"/>
        </w:rPr>
        <w:t>ATTAINS</w:t>
      </w:r>
      <w:r>
        <w:rPr>
          <w:rFonts w:eastAsia="Arial" w:cs="Arial"/>
          <w:szCs w:val="24"/>
        </w:rPr>
        <w:t>”),</w:t>
      </w:r>
      <w:r w:rsidRPr="00712856">
        <w:rPr>
          <w:rFonts w:cs="Arial"/>
        </w:rPr>
        <w:t xml:space="preserve"> categories are calculated by ATTAINS using the </w:t>
      </w:r>
      <w:r w:rsidR="00313C98">
        <w:rPr>
          <w:rFonts w:cs="Arial"/>
        </w:rPr>
        <w:t>USEPA</w:t>
      </w:r>
      <w:r w:rsidRPr="00712856">
        <w:rPr>
          <w:rFonts w:cs="Arial"/>
        </w:rPr>
        <w:t xml:space="preserve">’s categorization scheme. ATTAINS applies condition categories to each </w:t>
      </w:r>
      <w:r w:rsidR="00995F58">
        <w:t>CalWQA</w:t>
      </w:r>
      <w:r w:rsidR="00995F58" w:rsidRPr="00712856">
        <w:rPr>
          <w:rFonts w:cs="Arial"/>
        </w:rPr>
        <w:t xml:space="preserve"> </w:t>
      </w:r>
      <w:r w:rsidR="00995F58">
        <w:rPr>
          <w:rFonts w:cs="Arial"/>
        </w:rPr>
        <w:t>Decision</w:t>
      </w:r>
      <w:r w:rsidRPr="00712856">
        <w:rPr>
          <w:rFonts w:cs="Arial"/>
        </w:rPr>
        <w:t xml:space="preserve">. CalWQA </w:t>
      </w:r>
      <w:r w:rsidR="0037128F">
        <w:rPr>
          <w:rFonts w:cs="Arial"/>
        </w:rPr>
        <w:t>assigns</w:t>
      </w:r>
      <w:r w:rsidR="0037128F" w:rsidRPr="00712856">
        <w:rPr>
          <w:rFonts w:cs="Arial"/>
        </w:rPr>
        <w:t xml:space="preserve"> </w:t>
      </w:r>
      <w:r w:rsidRPr="00712856">
        <w:rPr>
          <w:rFonts w:cs="Arial"/>
        </w:rPr>
        <w:t xml:space="preserve">condition categories at the waterbody </w:t>
      </w:r>
      <w:r w:rsidR="008848E0">
        <w:rPr>
          <w:rFonts w:cs="Arial"/>
        </w:rPr>
        <w:t xml:space="preserve">segment </w:t>
      </w:r>
      <w:r w:rsidRPr="00712856">
        <w:rPr>
          <w:rFonts w:cs="Arial"/>
        </w:rPr>
        <w:t xml:space="preserve">level. </w:t>
      </w:r>
      <w:r>
        <w:rPr>
          <w:rFonts w:cs="Arial"/>
        </w:rPr>
        <w:t xml:space="preserve">(See </w:t>
      </w:r>
      <w:r w:rsidR="00A2235F">
        <w:rPr>
          <w:rFonts w:cs="Arial"/>
        </w:rPr>
        <w:t>Staff Report,</w:t>
      </w:r>
      <w:r>
        <w:rPr>
          <w:rFonts w:cs="Arial"/>
        </w:rPr>
        <w:t xml:space="preserve"> </w:t>
      </w:r>
      <w:r w:rsidR="00155016">
        <w:rPr>
          <w:rFonts w:cs="Arial"/>
        </w:rPr>
        <w:t>s</w:t>
      </w:r>
      <w:r>
        <w:rPr>
          <w:rFonts w:cs="Arial"/>
        </w:rPr>
        <w:t xml:space="preserve">ection </w:t>
      </w:r>
      <w:r w:rsidRPr="00071C62">
        <w:rPr>
          <w:rFonts w:cs="Arial"/>
        </w:rPr>
        <w:t>2.</w:t>
      </w:r>
      <w:r w:rsidR="00071C62" w:rsidRPr="00071C62">
        <w:rPr>
          <w:rFonts w:cs="Arial"/>
        </w:rPr>
        <w:t>4</w:t>
      </w:r>
      <w:r>
        <w:rPr>
          <w:rFonts w:cs="Arial"/>
        </w:rPr>
        <w:t xml:space="preserve">, Waterbody Fact Sheets, for information on how Integrated Report Condition Categories are applied to a waterbody.) </w:t>
      </w:r>
      <w:r w:rsidRPr="00712856">
        <w:rPr>
          <w:rFonts w:cs="Arial"/>
        </w:rPr>
        <w:t xml:space="preserve">A comparison of </w:t>
      </w:r>
      <w:r w:rsidR="00313C98">
        <w:rPr>
          <w:rFonts w:cs="Arial"/>
        </w:rPr>
        <w:t>USEPA</w:t>
      </w:r>
      <w:r w:rsidRPr="00712856">
        <w:rPr>
          <w:rFonts w:cs="Arial"/>
        </w:rPr>
        <w:t xml:space="preserve">’s and State Water Board’s 305(b) Integrated Report Condition Categories is outlined below in </w:t>
      </w:r>
      <w:r>
        <w:rPr>
          <w:rFonts w:cs="Arial"/>
        </w:rPr>
        <w:t xml:space="preserve">Figure </w:t>
      </w:r>
      <w:r w:rsidR="00965DAA">
        <w:rPr>
          <w:rFonts w:cs="Arial"/>
        </w:rPr>
        <w:t>2</w:t>
      </w:r>
      <w:r w:rsidRPr="00C02DAB">
        <w:rPr>
          <w:rFonts w:cs="Arial"/>
        </w:rPr>
        <w:t>-</w:t>
      </w:r>
      <w:r w:rsidR="00C02DAB" w:rsidRPr="00C02DAB">
        <w:rPr>
          <w:rFonts w:cs="Arial"/>
        </w:rPr>
        <w:t>3</w:t>
      </w:r>
      <w:r w:rsidRPr="00712856">
        <w:rPr>
          <w:rFonts w:cs="Arial"/>
        </w:rPr>
        <w:t>.</w:t>
      </w:r>
    </w:p>
    <w:p w14:paraId="5B34207D" w14:textId="17E31A42" w:rsidR="007B2E33" w:rsidRDefault="007B2E33" w:rsidP="007B2E33">
      <w:pPr>
        <w:pStyle w:val="Caption"/>
        <w:keepNext/>
      </w:pPr>
      <w:r>
        <w:t xml:space="preserve">Figure </w:t>
      </w:r>
      <w:r w:rsidR="00041EEF">
        <w:t>2</w:t>
      </w:r>
      <w:r>
        <w:noBreakHyphen/>
      </w:r>
      <w:r w:rsidR="00A35AFE">
        <w:t>3</w:t>
      </w:r>
      <w:r>
        <w:t xml:space="preserve">: Comparison of </w:t>
      </w:r>
      <w:r w:rsidR="00313C98">
        <w:t>USEPA</w:t>
      </w:r>
      <w:r>
        <w:t xml:space="preserve">'s and </w:t>
      </w:r>
      <w:r w:rsidR="003C1B13">
        <w:rPr>
          <w:rFonts w:cs="Arial"/>
        </w:rPr>
        <w:t xml:space="preserve">State Water Board’s </w:t>
      </w:r>
      <w:r>
        <w:t>305(b) Integrated Report Condition Categories</w:t>
      </w:r>
    </w:p>
    <w:tbl>
      <w:tblPr>
        <w:tblStyle w:val="TableGrid"/>
        <w:tblW w:w="9265" w:type="dxa"/>
        <w:tblLayout w:type="fixed"/>
        <w:tblLook w:val="04A0" w:firstRow="1" w:lastRow="0" w:firstColumn="1" w:lastColumn="0" w:noHBand="0" w:noVBand="1"/>
        <w:tblCaption w:val="Comparison of U.S. EPA's and State Water Board’s 305(b) Integrated Report Condition Categories"/>
        <w:tblDescription w:val="This chart compares the definitions of the 305(b) integrated report condition categories between U.S.EPA and the State Water Board. Category 4 has three subcategories: 4a, 4b, and 4c."/>
      </w:tblPr>
      <w:tblGrid>
        <w:gridCol w:w="1500"/>
        <w:gridCol w:w="3805"/>
        <w:gridCol w:w="3960"/>
      </w:tblGrid>
      <w:tr w:rsidR="007B2E33" w:rsidRPr="00686CE2" w14:paraId="73CB0A1B" w14:textId="77777777" w:rsidTr="1EA2032A">
        <w:trPr>
          <w:tblHeader/>
        </w:trPr>
        <w:tc>
          <w:tcPr>
            <w:tcW w:w="1500" w:type="dxa"/>
            <w:shd w:val="clear" w:color="auto" w:fill="F2F2F2" w:themeFill="background1" w:themeFillShade="F2"/>
            <w:vAlign w:val="center"/>
          </w:tcPr>
          <w:p w14:paraId="79CF37F2" w14:textId="77777777" w:rsidR="007B2E33" w:rsidRPr="00686CE2" w:rsidRDefault="007B2E33">
            <w:pPr>
              <w:spacing w:after="0" w:line="259" w:lineRule="auto"/>
              <w:jc w:val="center"/>
              <w:rPr>
                <w:b/>
                <w:bCs/>
                <w:sz w:val="26"/>
                <w:szCs w:val="26"/>
              </w:rPr>
            </w:pPr>
            <w:r w:rsidRPr="00686CE2">
              <w:rPr>
                <w:b/>
                <w:bCs/>
                <w:sz w:val="26"/>
                <w:szCs w:val="26"/>
              </w:rPr>
              <w:t>Category</w:t>
            </w:r>
          </w:p>
        </w:tc>
        <w:tc>
          <w:tcPr>
            <w:tcW w:w="3805" w:type="dxa"/>
            <w:shd w:val="clear" w:color="auto" w:fill="F2F2F2" w:themeFill="background1" w:themeFillShade="F2"/>
            <w:vAlign w:val="center"/>
          </w:tcPr>
          <w:p w14:paraId="1DA22545" w14:textId="4DF9B920" w:rsidR="007B2E33" w:rsidRPr="00686CE2" w:rsidRDefault="00313C98">
            <w:pPr>
              <w:spacing w:before="120" w:after="0" w:line="259" w:lineRule="auto"/>
              <w:jc w:val="center"/>
              <w:rPr>
                <w:b/>
                <w:bCs/>
                <w:sz w:val="26"/>
                <w:szCs w:val="26"/>
              </w:rPr>
            </w:pPr>
            <w:r>
              <w:rPr>
                <w:b/>
                <w:bCs/>
                <w:sz w:val="26"/>
                <w:szCs w:val="26"/>
              </w:rPr>
              <w:t>USEPA</w:t>
            </w:r>
            <w:r w:rsidR="007B2E33">
              <w:rPr>
                <w:rStyle w:val="FootnoteReference"/>
                <w:b/>
                <w:bCs/>
                <w:sz w:val="26"/>
                <w:szCs w:val="26"/>
              </w:rPr>
              <w:footnoteReference w:id="4"/>
            </w:r>
          </w:p>
          <w:p w14:paraId="707C8056" w14:textId="77777777" w:rsidR="007B2E33" w:rsidRPr="00686CE2" w:rsidRDefault="007B2E33">
            <w:pPr>
              <w:spacing w:after="120" w:line="259" w:lineRule="auto"/>
              <w:jc w:val="center"/>
              <w:rPr>
                <w:i/>
                <w:iCs/>
                <w:sz w:val="26"/>
                <w:szCs w:val="26"/>
              </w:rPr>
            </w:pPr>
            <w:r w:rsidRPr="00686CE2">
              <w:rPr>
                <w:i/>
                <w:iCs/>
                <w:sz w:val="26"/>
                <w:szCs w:val="26"/>
              </w:rPr>
              <w:t>(waterbody-pollutant level)</w:t>
            </w:r>
          </w:p>
        </w:tc>
        <w:tc>
          <w:tcPr>
            <w:tcW w:w="3960" w:type="dxa"/>
            <w:shd w:val="clear" w:color="auto" w:fill="F2F2F2" w:themeFill="background1" w:themeFillShade="F2"/>
            <w:vAlign w:val="center"/>
          </w:tcPr>
          <w:p w14:paraId="73544CE3" w14:textId="65306213" w:rsidR="007B2E33" w:rsidRPr="00686CE2" w:rsidRDefault="007B2E33">
            <w:pPr>
              <w:spacing w:before="120" w:after="0" w:line="259" w:lineRule="auto"/>
              <w:jc w:val="center"/>
              <w:rPr>
                <w:b/>
                <w:bCs/>
                <w:sz w:val="26"/>
                <w:szCs w:val="26"/>
              </w:rPr>
            </w:pPr>
            <w:r w:rsidRPr="00686CE2">
              <w:rPr>
                <w:b/>
                <w:bCs/>
                <w:sz w:val="26"/>
                <w:szCs w:val="26"/>
              </w:rPr>
              <w:t>State Water Board</w:t>
            </w:r>
          </w:p>
          <w:p w14:paraId="0416A52B" w14:textId="7BCBAD54" w:rsidR="007B2E33" w:rsidRPr="00686CE2" w:rsidRDefault="007B2E33">
            <w:pPr>
              <w:spacing w:after="120" w:line="259" w:lineRule="auto"/>
              <w:jc w:val="center"/>
              <w:rPr>
                <w:i/>
                <w:iCs/>
                <w:sz w:val="26"/>
                <w:szCs w:val="26"/>
              </w:rPr>
            </w:pPr>
            <w:r w:rsidRPr="00686CE2">
              <w:rPr>
                <w:i/>
                <w:iCs/>
                <w:sz w:val="26"/>
                <w:szCs w:val="26"/>
              </w:rPr>
              <w:t>(waterbody level)</w:t>
            </w:r>
          </w:p>
        </w:tc>
      </w:tr>
      <w:tr w:rsidR="007B2E33" w:rsidRPr="00F0324C" w14:paraId="3EABA0DA" w14:textId="77777777" w:rsidTr="1EA2032A">
        <w:tc>
          <w:tcPr>
            <w:tcW w:w="1500" w:type="dxa"/>
            <w:shd w:val="clear" w:color="auto" w:fill="70AD47" w:themeFill="accent6"/>
            <w:vAlign w:val="center"/>
          </w:tcPr>
          <w:p w14:paraId="4F4FA372" w14:textId="77777777" w:rsidR="007B2E33" w:rsidRPr="00B3303B" w:rsidRDefault="007B2E33" w:rsidP="00631C8D">
            <w:pPr>
              <w:spacing w:after="0" w:line="259" w:lineRule="auto"/>
              <w:jc w:val="center"/>
              <w:rPr>
                <w:b/>
                <w:bCs/>
                <w:sz w:val="44"/>
                <w:szCs w:val="44"/>
              </w:rPr>
            </w:pPr>
            <w:r w:rsidRPr="00B3303B">
              <w:rPr>
                <w:b/>
                <w:bCs/>
                <w:sz w:val="44"/>
                <w:szCs w:val="44"/>
              </w:rPr>
              <w:t>1</w:t>
            </w:r>
          </w:p>
        </w:tc>
        <w:tc>
          <w:tcPr>
            <w:tcW w:w="3805" w:type="dxa"/>
          </w:tcPr>
          <w:p w14:paraId="3D3E2D26" w14:textId="77777777" w:rsidR="007B2E33" w:rsidRPr="00CE223F" w:rsidRDefault="007B2E33">
            <w:pPr>
              <w:spacing w:line="259" w:lineRule="auto"/>
              <w:rPr>
                <w:szCs w:val="22"/>
              </w:rPr>
            </w:pPr>
            <w:r w:rsidRPr="00CE223F">
              <w:rPr>
                <w:szCs w:val="22"/>
              </w:rPr>
              <w:t>All designated uses are supported, and no use is threatened.</w:t>
            </w:r>
          </w:p>
        </w:tc>
        <w:tc>
          <w:tcPr>
            <w:tcW w:w="3960" w:type="dxa"/>
          </w:tcPr>
          <w:p w14:paraId="1556D164" w14:textId="77777777" w:rsidR="007B2E33" w:rsidRPr="00CE223F" w:rsidRDefault="007B2E33">
            <w:pPr>
              <w:spacing w:line="259" w:lineRule="auto"/>
              <w:rPr>
                <w:szCs w:val="22"/>
              </w:rPr>
            </w:pPr>
            <w:r w:rsidRPr="00CE223F">
              <w:rPr>
                <w:szCs w:val="22"/>
              </w:rPr>
              <w:t xml:space="preserve">At least one </w:t>
            </w:r>
            <w:r w:rsidRPr="00CE223F">
              <w:rPr>
                <w:b/>
                <w:szCs w:val="22"/>
              </w:rPr>
              <w:t>core</w:t>
            </w:r>
            <w:r>
              <w:rPr>
                <w:rStyle w:val="FootnoteReference"/>
                <w:b/>
                <w:szCs w:val="22"/>
              </w:rPr>
              <w:footnoteReference w:id="5"/>
            </w:r>
            <w:r w:rsidRPr="00CE223F">
              <w:rPr>
                <w:szCs w:val="22"/>
              </w:rPr>
              <w:t xml:space="preserve"> beneficial use is supported, and no beneficial uses </w:t>
            </w:r>
            <w:r>
              <w:rPr>
                <w:szCs w:val="22"/>
              </w:rPr>
              <w:t xml:space="preserve">are </w:t>
            </w:r>
            <w:r w:rsidRPr="00CE223F">
              <w:rPr>
                <w:szCs w:val="22"/>
              </w:rPr>
              <w:t>known to be impaired.</w:t>
            </w:r>
          </w:p>
        </w:tc>
      </w:tr>
      <w:tr w:rsidR="007B2E33" w:rsidRPr="00F0324C" w14:paraId="0D33A2CF" w14:textId="77777777" w:rsidTr="1EA2032A">
        <w:trPr>
          <w:trHeight w:val="980"/>
        </w:trPr>
        <w:tc>
          <w:tcPr>
            <w:tcW w:w="1500" w:type="dxa"/>
            <w:shd w:val="clear" w:color="auto" w:fill="EAE51B"/>
            <w:vAlign w:val="center"/>
          </w:tcPr>
          <w:p w14:paraId="59469586" w14:textId="77777777" w:rsidR="007B2E33" w:rsidRPr="00B3303B" w:rsidRDefault="007B2E33" w:rsidP="00631C8D">
            <w:pPr>
              <w:spacing w:after="0" w:line="259" w:lineRule="auto"/>
              <w:jc w:val="center"/>
              <w:rPr>
                <w:b/>
                <w:bCs/>
                <w:sz w:val="44"/>
                <w:szCs w:val="44"/>
              </w:rPr>
            </w:pPr>
            <w:r w:rsidRPr="00B3303B">
              <w:rPr>
                <w:b/>
                <w:bCs/>
                <w:sz w:val="44"/>
                <w:szCs w:val="44"/>
              </w:rPr>
              <w:t>2</w:t>
            </w:r>
          </w:p>
        </w:tc>
        <w:tc>
          <w:tcPr>
            <w:tcW w:w="3805" w:type="dxa"/>
          </w:tcPr>
          <w:p w14:paraId="03E316B7" w14:textId="77777777" w:rsidR="007B2E33" w:rsidRPr="00CE223F" w:rsidRDefault="007B2E33">
            <w:pPr>
              <w:spacing w:line="259" w:lineRule="auto"/>
              <w:rPr>
                <w:szCs w:val="22"/>
              </w:rPr>
            </w:pPr>
            <w:r w:rsidRPr="00CE223F">
              <w:rPr>
                <w:szCs w:val="22"/>
              </w:rPr>
              <w:t>Available data and/or information indicate that some, but not all of the designated uses are supported.</w:t>
            </w:r>
          </w:p>
        </w:tc>
        <w:tc>
          <w:tcPr>
            <w:tcW w:w="3960" w:type="dxa"/>
          </w:tcPr>
          <w:p w14:paraId="39EB2693" w14:textId="77777777" w:rsidR="007B2E33" w:rsidRPr="00CE223F" w:rsidRDefault="007B2E33">
            <w:pPr>
              <w:spacing w:line="259" w:lineRule="auto"/>
              <w:rPr>
                <w:szCs w:val="22"/>
              </w:rPr>
            </w:pPr>
            <w:r w:rsidRPr="00CE223F">
              <w:rPr>
                <w:szCs w:val="22"/>
              </w:rPr>
              <w:t>Insufficient data and/or information to determine core beneficial use support</w:t>
            </w:r>
            <w:r w:rsidRPr="00CE223F">
              <w:rPr>
                <w:szCs w:val="22"/>
                <w:vertAlign w:val="superscript"/>
              </w:rPr>
              <w:footnoteReference w:id="6"/>
            </w:r>
          </w:p>
        </w:tc>
      </w:tr>
      <w:tr w:rsidR="007B2E33" w:rsidRPr="00F0324C" w14:paraId="3D7CAB10" w14:textId="77777777" w:rsidTr="1EA2032A">
        <w:tc>
          <w:tcPr>
            <w:tcW w:w="1500" w:type="dxa"/>
            <w:shd w:val="clear" w:color="auto" w:fill="FFC000" w:themeFill="accent4"/>
            <w:vAlign w:val="center"/>
          </w:tcPr>
          <w:p w14:paraId="10F984AB" w14:textId="77777777" w:rsidR="007B2E33" w:rsidRPr="00B3303B" w:rsidRDefault="007B2E33" w:rsidP="00631C8D">
            <w:pPr>
              <w:spacing w:after="0" w:line="259" w:lineRule="auto"/>
              <w:jc w:val="center"/>
              <w:rPr>
                <w:b/>
                <w:bCs/>
                <w:sz w:val="44"/>
                <w:szCs w:val="44"/>
              </w:rPr>
            </w:pPr>
            <w:r w:rsidRPr="00B3303B">
              <w:rPr>
                <w:b/>
                <w:bCs/>
                <w:sz w:val="44"/>
                <w:szCs w:val="44"/>
              </w:rPr>
              <w:t>3</w:t>
            </w:r>
          </w:p>
        </w:tc>
        <w:tc>
          <w:tcPr>
            <w:tcW w:w="3805" w:type="dxa"/>
          </w:tcPr>
          <w:p w14:paraId="4F6340B4" w14:textId="77777777" w:rsidR="007B2E33" w:rsidRPr="00CE223F" w:rsidRDefault="007B2E33">
            <w:pPr>
              <w:spacing w:line="259" w:lineRule="auto"/>
              <w:rPr>
                <w:szCs w:val="22"/>
              </w:rPr>
            </w:pPr>
            <w:r w:rsidRPr="00CE223F">
              <w:rPr>
                <w:szCs w:val="22"/>
              </w:rPr>
              <w:t>There is insufficient available data and/or information to make a use support determination.</w:t>
            </w:r>
          </w:p>
        </w:tc>
        <w:tc>
          <w:tcPr>
            <w:tcW w:w="3960" w:type="dxa"/>
          </w:tcPr>
          <w:p w14:paraId="2DB61627" w14:textId="77777777" w:rsidR="007B2E33" w:rsidRPr="00CE223F" w:rsidRDefault="007B2E33">
            <w:pPr>
              <w:spacing w:line="259" w:lineRule="auto"/>
              <w:rPr>
                <w:szCs w:val="22"/>
              </w:rPr>
            </w:pPr>
            <w:r w:rsidRPr="00CE223F">
              <w:rPr>
                <w:szCs w:val="22"/>
              </w:rPr>
              <w:t>Insufficient data and/or information to make a beneficial use support determination but data and/or information indicates beneficial uses may be potentially threatened.</w:t>
            </w:r>
          </w:p>
        </w:tc>
      </w:tr>
      <w:tr w:rsidR="007B2E33" w:rsidRPr="00F0324C" w14:paraId="157CF38C" w14:textId="77777777" w:rsidTr="1EA2032A">
        <w:tc>
          <w:tcPr>
            <w:tcW w:w="1500" w:type="dxa"/>
            <w:shd w:val="clear" w:color="auto" w:fill="ED7D31" w:themeFill="accent2"/>
            <w:vAlign w:val="center"/>
          </w:tcPr>
          <w:p w14:paraId="72BB56EE" w14:textId="77777777" w:rsidR="007B2E33" w:rsidRPr="00A538EA" w:rsidRDefault="007B2E33" w:rsidP="00631C8D">
            <w:pPr>
              <w:spacing w:after="0" w:line="259" w:lineRule="auto"/>
              <w:jc w:val="center"/>
              <w:rPr>
                <w:b/>
                <w:bCs/>
                <w:sz w:val="44"/>
                <w:szCs w:val="44"/>
              </w:rPr>
            </w:pPr>
            <w:r w:rsidRPr="00A538EA">
              <w:rPr>
                <w:b/>
                <w:bCs/>
                <w:sz w:val="44"/>
                <w:szCs w:val="44"/>
              </w:rPr>
              <w:t>4</w:t>
            </w:r>
          </w:p>
        </w:tc>
        <w:tc>
          <w:tcPr>
            <w:tcW w:w="3805" w:type="dxa"/>
          </w:tcPr>
          <w:p w14:paraId="1802EBAA" w14:textId="77777777" w:rsidR="007B2E33" w:rsidRPr="003945E3" w:rsidRDefault="007B2E33">
            <w:pPr>
              <w:spacing w:line="259" w:lineRule="auto"/>
              <w:rPr>
                <w:szCs w:val="22"/>
              </w:rPr>
            </w:pPr>
            <w:r w:rsidRPr="003945E3">
              <w:rPr>
                <w:szCs w:val="22"/>
              </w:rPr>
              <w:t>At least one designated use is not being supported or is threatened, but a TMDL is not needed.</w:t>
            </w:r>
          </w:p>
          <w:p w14:paraId="43178E55" w14:textId="7C6BBB35" w:rsidR="007B2E33" w:rsidRPr="003945E3" w:rsidRDefault="007B2E33">
            <w:pPr>
              <w:spacing w:line="259" w:lineRule="auto"/>
              <w:rPr>
                <w:szCs w:val="22"/>
              </w:rPr>
            </w:pPr>
            <w:r w:rsidRPr="003945E3">
              <w:rPr>
                <w:b/>
                <w:szCs w:val="22"/>
              </w:rPr>
              <w:t>4a</w:t>
            </w:r>
            <w:r w:rsidRPr="003945E3">
              <w:rPr>
                <w:szCs w:val="22"/>
              </w:rPr>
              <w:t xml:space="preserve">: A TMDL has been developed and approved by </w:t>
            </w:r>
            <w:r w:rsidR="00313C98">
              <w:rPr>
                <w:szCs w:val="22"/>
              </w:rPr>
              <w:t>USEPA</w:t>
            </w:r>
            <w:r w:rsidRPr="003945E3">
              <w:rPr>
                <w:szCs w:val="22"/>
              </w:rPr>
              <w:t xml:space="preserve"> for any waterbody-pollutant combination, and the </w:t>
            </w:r>
            <w:r w:rsidR="00596BC2">
              <w:rPr>
                <w:szCs w:val="22"/>
              </w:rPr>
              <w:t>s</w:t>
            </w:r>
            <w:r w:rsidR="00C212FE">
              <w:rPr>
                <w:szCs w:val="22"/>
              </w:rPr>
              <w:t>tate’s</w:t>
            </w:r>
            <w:r w:rsidRPr="003945E3">
              <w:rPr>
                <w:szCs w:val="22"/>
              </w:rPr>
              <w:t xml:space="preserve"> approved implementation plan is expected to result in full attainment of the water quality standard within a reasonable, specified time frame.</w:t>
            </w:r>
          </w:p>
          <w:p w14:paraId="79BC27D8" w14:textId="77777777" w:rsidR="007B2E33" w:rsidRPr="003945E3" w:rsidRDefault="007B2E33">
            <w:pPr>
              <w:spacing w:line="259" w:lineRule="auto"/>
              <w:rPr>
                <w:szCs w:val="22"/>
              </w:rPr>
            </w:pPr>
            <w:r w:rsidRPr="003945E3">
              <w:rPr>
                <w:b/>
                <w:szCs w:val="22"/>
              </w:rPr>
              <w:t>4b</w:t>
            </w:r>
            <w:r w:rsidRPr="003945E3">
              <w:rPr>
                <w:szCs w:val="22"/>
              </w:rPr>
              <w:t>: Another regulatory program is reasonably expected to result in attainment of the water quality standard within a reasonable, specified time frame.</w:t>
            </w:r>
          </w:p>
          <w:p w14:paraId="425188EC" w14:textId="77777777" w:rsidR="007B2E33" w:rsidRPr="003945E3" w:rsidRDefault="007B2E33">
            <w:pPr>
              <w:spacing w:line="259" w:lineRule="auto"/>
              <w:rPr>
                <w:szCs w:val="22"/>
              </w:rPr>
            </w:pPr>
            <w:r w:rsidRPr="003945E3">
              <w:rPr>
                <w:b/>
                <w:szCs w:val="22"/>
              </w:rPr>
              <w:t>4c</w:t>
            </w:r>
            <w:r w:rsidRPr="003945E3">
              <w:rPr>
                <w:szCs w:val="22"/>
              </w:rPr>
              <w:t>: The non-attainment of any applicable water quality standard for the waterbody segment is the result of pollution and is not caused by a pollutant.</w:t>
            </w:r>
          </w:p>
        </w:tc>
        <w:tc>
          <w:tcPr>
            <w:tcW w:w="3960" w:type="dxa"/>
          </w:tcPr>
          <w:p w14:paraId="4CFE9E86" w14:textId="77777777" w:rsidR="007B2E33" w:rsidRPr="003945E3" w:rsidRDefault="007B2E33">
            <w:pPr>
              <w:spacing w:line="259" w:lineRule="auto"/>
              <w:rPr>
                <w:szCs w:val="22"/>
              </w:rPr>
            </w:pPr>
            <w:r w:rsidRPr="003945E3">
              <w:rPr>
                <w:szCs w:val="22"/>
              </w:rPr>
              <w:t>At least one beneficial use is not supported but a TMDL is not needed.</w:t>
            </w:r>
          </w:p>
          <w:p w14:paraId="5F145DE2" w14:textId="097D2818" w:rsidR="007B2E33" w:rsidRPr="003945E3" w:rsidRDefault="007B2E33">
            <w:pPr>
              <w:spacing w:line="259" w:lineRule="auto"/>
              <w:rPr>
                <w:szCs w:val="22"/>
              </w:rPr>
            </w:pPr>
            <w:r w:rsidRPr="003945E3">
              <w:rPr>
                <w:b/>
                <w:szCs w:val="22"/>
              </w:rPr>
              <w:t>4a</w:t>
            </w:r>
            <w:r w:rsidRPr="003945E3">
              <w:rPr>
                <w:szCs w:val="22"/>
              </w:rPr>
              <w:t xml:space="preserve">: A TMDL has been developed and approved by </w:t>
            </w:r>
            <w:r w:rsidR="00313C98">
              <w:rPr>
                <w:szCs w:val="22"/>
              </w:rPr>
              <w:t>USEPA</w:t>
            </w:r>
            <w:r w:rsidRPr="003945E3">
              <w:rPr>
                <w:szCs w:val="22"/>
              </w:rPr>
              <w:t xml:space="preserve"> for at least one waterbody-pollutant combination listing, and the approved implementation plan is expected to result in full attainment of the water quality standard within a reasonable, specified time frame. All other listings in the waterbody are being addressed.</w:t>
            </w:r>
          </w:p>
          <w:p w14:paraId="2B6293D3" w14:textId="559E55B7" w:rsidR="007B2E33" w:rsidRPr="003945E3" w:rsidRDefault="007B2E33">
            <w:pPr>
              <w:spacing w:line="259" w:lineRule="auto"/>
              <w:rPr>
                <w:szCs w:val="22"/>
              </w:rPr>
            </w:pPr>
            <w:r w:rsidRPr="003945E3">
              <w:rPr>
                <w:b/>
                <w:szCs w:val="22"/>
              </w:rPr>
              <w:t>4b</w:t>
            </w:r>
            <w:r w:rsidRPr="003945E3">
              <w:rPr>
                <w:szCs w:val="22"/>
              </w:rPr>
              <w:t xml:space="preserve">: Another regulatory program is reasonably expected to result in attainment of the water quality standard within a reasonable, specified time frame. All </w:t>
            </w:r>
            <w:r>
              <w:rPr>
                <w:szCs w:val="22"/>
              </w:rPr>
              <w:t>other</w:t>
            </w:r>
            <w:r w:rsidRPr="003945E3">
              <w:rPr>
                <w:szCs w:val="22"/>
              </w:rPr>
              <w:t xml:space="preserve"> listings in the waterbody are being addressed by action(s) other than a TMDL.</w:t>
            </w:r>
          </w:p>
          <w:p w14:paraId="7FCDCEA1" w14:textId="77777777" w:rsidR="007B2E33" w:rsidRPr="003945E3" w:rsidRDefault="007B2E33">
            <w:pPr>
              <w:spacing w:line="259" w:lineRule="auto"/>
              <w:rPr>
                <w:b/>
                <w:szCs w:val="22"/>
              </w:rPr>
            </w:pPr>
            <w:r w:rsidRPr="003945E3">
              <w:rPr>
                <w:b/>
                <w:szCs w:val="22"/>
              </w:rPr>
              <w:t>4c</w:t>
            </w:r>
            <w:r w:rsidRPr="003945E3">
              <w:rPr>
                <w:szCs w:val="22"/>
              </w:rPr>
              <w:t>:</w:t>
            </w:r>
            <w:r w:rsidRPr="003945E3">
              <w:rPr>
                <w:b/>
                <w:szCs w:val="22"/>
              </w:rPr>
              <w:t xml:space="preserve"> </w:t>
            </w:r>
            <w:r w:rsidRPr="003945E3">
              <w:rPr>
                <w:szCs w:val="22"/>
              </w:rPr>
              <w:t>The non-attainment of any applicable water quality standard for the waterbody is the result of pollution and is not caused by a pollutant.</w:t>
            </w:r>
          </w:p>
        </w:tc>
      </w:tr>
      <w:tr w:rsidR="007B2E33" w:rsidRPr="00F0324C" w14:paraId="1A6AABF4" w14:textId="77777777" w:rsidTr="1EA2032A">
        <w:tc>
          <w:tcPr>
            <w:tcW w:w="1500" w:type="dxa"/>
            <w:shd w:val="clear" w:color="auto" w:fill="C00000"/>
            <w:vAlign w:val="center"/>
          </w:tcPr>
          <w:p w14:paraId="7597FB7A" w14:textId="77777777" w:rsidR="007B2E33" w:rsidRPr="00A535D5" w:rsidRDefault="007B2E33" w:rsidP="00631C8D">
            <w:pPr>
              <w:spacing w:after="0" w:line="259" w:lineRule="auto"/>
              <w:jc w:val="center"/>
              <w:rPr>
                <w:b/>
                <w:bCs/>
                <w:sz w:val="44"/>
                <w:szCs w:val="44"/>
              </w:rPr>
            </w:pPr>
            <w:r w:rsidRPr="00A535D5">
              <w:rPr>
                <w:b/>
                <w:bCs/>
                <w:color w:val="000000" w:themeColor="text1"/>
                <w:sz w:val="44"/>
                <w:szCs w:val="44"/>
              </w:rPr>
              <w:t>5</w:t>
            </w:r>
          </w:p>
        </w:tc>
        <w:tc>
          <w:tcPr>
            <w:tcW w:w="3805" w:type="dxa"/>
          </w:tcPr>
          <w:p w14:paraId="62976B4F" w14:textId="77777777" w:rsidR="007B2E33" w:rsidRPr="003945E3" w:rsidRDefault="007B2E33">
            <w:pPr>
              <w:spacing w:line="259" w:lineRule="auto"/>
              <w:rPr>
                <w:szCs w:val="22"/>
              </w:rPr>
            </w:pPr>
            <w:r w:rsidRPr="003945E3">
              <w:rPr>
                <w:b/>
                <w:szCs w:val="22"/>
              </w:rPr>
              <w:t>5</w:t>
            </w:r>
            <w:r w:rsidRPr="003945E3">
              <w:rPr>
                <w:szCs w:val="22"/>
              </w:rPr>
              <w:t xml:space="preserve">: At least one designated use is not supported or is threatened, and </w:t>
            </w:r>
            <w:r>
              <w:rPr>
                <w:szCs w:val="22"/>
              </w:rPr>
              <w:t xml:space="preserve">a </w:t>
            </w:r>
            <w:r w:rsidRPr="003945E3">
              <w:rPr>
                <w:szCs w:val="22"/>
              </w:rPr>
              <w:t>TMDL is needed.</w:t>
            </w:r>
          </w:p>
          <w:p w14:paraId="65FC966E" w14:textId="24F60B83" w:rsidR="007B2E33" w:rsidRPr="003945E3" w:rsidRDefault="007B2E33">
            <w:pPr>
              <w:spacing w:line="259" w:lineRule="auto"/>
              <w:rPr>
                <w:szCs w:val="22"/>
              </w:rPr>
            </w:pPr>
            <w:r w:rsidRPr="003945E3">
              <w:rPr>
                <w:b/>
                <w:szCs w:val="22"/>
              </w:rPr>
              <w:t>5</w:t>
            </w:r>
            <w:r w:rsidR="00E27783">
              <w:rPr>
                <w:b/>
                <w:szCs w:val="22"/>
              </w:rPr>
              <w:t>r</w:t>
            </w:r>
            <w:r w:rsidRPr="003945E3">
              <w:rPr>
                <w:szCs w:val="22"/>
              </w:rPr>
              <w:t xml:space="preserve">: At least one designated use is not supported and </w:t>
            </w:r>
            <w:r>
              <w:rPr>
                <w:szCs w:val="22"/>
              </w:rPr>
              <w:t xml:space="preserve">a </w:t>
            </w:r>
            <w:r w:rsidRPr="003945E3">
              <w:rPr>
                <w:szCs w:val="22"/>
              </w:rPr>
              <w:t xml:space="preserve">TMDL is needed, but assigned a low priority for TMDL development because an </w:t>
            </w:r>
            <w:r w:rsidR="00C119FC">
              <w:rPr>
                <w:szCs w:val="22"/>
              </w:rPr>
              <w:t>A</w:t>
            </w:r>
            <w:r w:rsidR="00AD6727">
              <w:rPr>
                <w:szCs w:val="22"/>
              </w:rPr>
              <w:t>dvance</w:t>
            </w:r>
            <w:r w:rsidRPr="003945E3">
              <w:rPr>
                <w:szCs w:val="22"/>
              </w:rPr>
              <w:t xml:space="preserve"> </w:t>
            </w:r>
            <w:r w:rsidR="00C119FC">
              <w:rPr>
                <w:szCs w:val="22"/>
              </w:rPr>
              <w:t>R</w:t>
            </w:r>
            <w:r w:rsidRPr="003945E3">
              <w:rPr>
                <w:szCs w:val="22"/>
              </w:rPr>
              <w:t xml:space="preserve">estoration </w:t>
            </w:r>
            <w:r w:rsidR="00C119FC">
              <w:rPr>
                <w:szCs w:val="22"/>
              </w:rPr>
              <w:t>Plan (“ARP”)</w:t>
            </w:r>
            <w:r w:rsidR="00C119FC" w:rsidRPr="003945E3">
              <w:rPr>
                <w:szCs w:val="22"/>
              </w:rPr>
              <w:t xml:space="preserve"> </w:t>
            </w:r>
            <w:r w:rsidRPr="003945E3">
              <w:rPr>
                <w:szCs w:val="22"/>
              </w:rPr>
              <w:t>is being pursued</w:t>
            </w:r>
            <w:r w:rsidRPr="003945E3">
              <w:rPr>
                <w:rStyle w:val="FootnoteReference"/>
                <w:szCs w:val="22"/>
              </w:rPr>
              <w:footnoteReference w:id="7"/>
            </w:r>
            <w:r w:rsidR="00B01AA0" w:rsidRPr="00B01AA0">
              <w:rPr>
                <w:szCs w:val="22"/>
                <w:vertAlign w:val="superscript"/>
              </w:rPr>
              <w:t>,</w:t>
            </w:r>
            <w:r w:rsidR="00B01AA0">
              <w:rPr>
                <w:rStyle w:val="FootnoteReference"/>
                <w:szCs w:val="22"/>
              </w:rPr>
              <w:footnoteReference w:id="8"/>
            </w:r>
            <w:r w:rsidRPr="003945E3">
              <w:rPr>
                <w:szCs w:val="22"/>
              </w:rPr>
              <w:t xml:space="preserve">. </w:t>
            </w:r>
          </w:p>
        </w:tc>
        <w:tc>
          <w:tcPr>
            <w:tcW w:w="3960" w:type="dxa"/>
          </w:tcPr>
          <w:p w14:paraId="2623E6E9" w14:textId="77777777" w:rsidR="007B2E33" w:rsidRDefault="007B2E33">
            <w:pPr>
              <w:spacing w:line="259" w:lineRule="auto"/>
              <w:rPr>
                <w:szCs w:val="22"/>
              </w:rPr>
            </w:pPr>
            <w:r w:rsidRPr="003945E3">
              <w:rPr>
                <w:b/>
                <w:szCs w:val="22"/>
              </w:rPr>
              <w:t>5:</w:t>
            </w:r>
            <w:r w:rsidRPr="003945E3">
              <w:rPr>
                <w:szCs w:val="22"/>
              </w:rPr>
              <w:t xml:space="preserve"> At least one beneficial use is not supported and</w:t>
            </w:r>
            <w:r>
              <w:rPr>
                <w:szCs w:val="22"/>
              </w:rPr>
              <w:t xml:space="preserve"> a</w:t>
            </w:r>
            <w:r w:rsidRPr="003945E3">
              <w:rPr>
                <w:szCs w:val="22"/>
              </w:rPr>
              <w:t xml:space="preserve"> TMDL is needed.</w:t>
            </w:r>
          </w:p>
          <w:p w14:paraId="7E6829FA" w14:textId="6DEE6F95" w:rsidR="009A46AC" w:rsidRPr="003945E3" w:rsidRDefault="009A46AC">
            <w:pPr>
              <w:spacing w:line="259" w:lineRule="auto"/>
              <w:rPr>
                <w:szCs w:val="22"/>
              </w:rPr>
            </w:pPr>
            <w:r>
              <w:rPr>
                <w:szCs w:val="22"/>
              </w:rPr>
              <w:t xml:space="preserve">Note that </w:t>
            </w:r>
            <w:r w:rsidR="000637FA">
              <w:rPr>
                <w:szCs w:val="22"/>
              </w:rPr>
              <w:t xml:space="preserve">CalWQA </w:t>
            </w:r>
            <w:r w:rsidR="009A48EC">
              <w:rPr>
                <w:szCs w:val="22"/>
              </w:rPr>
              <w:t xml:space="preserve">applies a </w:t>
            </w:r>
            <w:r w:rsidR="009A48EC">
              <w:rPr>
                <w:rFonts w:cs="Arial"/>
              </w:rPr>
              <w:t>TMDL requirement status for each waterbody-pollutant combination.</w:t>
            </w:r>
            <w:r w:rsidR="007049B9">
              <w:rPr>
                <w:rFonts w:cs="Arial"/>
              </w:rPr>
              <w:t xml:space="preserve"> </w:t>
            </w:r>
            <w:r w:rsidR="0037404C">
              <w:rPr>
                <w:rFonts w:cs="Arial"/>
              </w:rPr>
              <w:t>Waterbody-</w:t>
            </w:r>
            <w:r w:rsidR="0013043C">
              <w:rPr>
                <w:rFonts w:cs="Arial"/>
              </w:rPr>
              <w:t>pollutant</w:t>
            </w:r>
            <w:r w:rsidR="0037404C">
              <w:rPr>
                <w:rFonts w:cs="Arial"/>
              </w:rPr>
              <w:t xml:space="preserve"> combinations </w:t>
            </w:r>
            <w:r w:rsidR="00ED58BA">
              <w:rPr>
                <w:rFonts w:cs="Arial"/>
              </w:rPr>
              <w:t xml:space="preserve">being addressed </w:t>
            </w:r>
            <w:r w:rsidR="000853CF">
              <w:rPr>
                <w:rFonts w:cs="Arial"/>
              </w:rPr>
              <w:t>by a</w:t>
            </w:r>
            <w:r w:rsidR="008349A8">
              <w:rPr>
                <w:rFonts w:cs="Arial"/>
              </w:rPr>
              <w:t xml:space="preserve">n ARP </w:t>
            </w:r>
            <w:r w:rsidR="00F37C1D">
              <w:rPr>
                <w:rFonts w:cs="Arial"/>
              </w:rPr>
              <w:t xml:space="preserve">are assigned a TMDL requirement status of </w:t>
            </w:r>
            <w:r w:rsidR="0013043C">
              <w:rPr>
                <w:rFonts w:cs="Arial"/>
              </w:rPr>
              <w:t>5r.</w:t>
            </w:r>
            <w:r w:rsidR="009A48EC">
              <w:rPr>
                <w:rFonts w:cs="Arial"/>
              </w:rPr>
              <w:t xml:space="preserve"> Please see below for more details. </w:t>
            </w:r>
          </w:p>
          <w:p w14:paraId="4A5E302B" w14:textId="69D755E4" w:rsidR="007B2E33" w:rsidRPr="003945E3" w:rsidRDefault="007B2E33">
            <w:pPr>
              <w:spacing w:line="259" w:lineRule="auto"/>
              <w:rPr>
                <w:szCs w:val="22"/>
              </w:rPr>
            </w:pPr>
          </w:p>
        </w:tc>
      </w:tr>
    </w:tbl>
    <w:p w14:paraId="7FF54528" w14:textId="77777777" w:rsidR="007D7015" w:rsidRDefault="007D7015" w:rsidP="00477E1E">
      <w:pPr>
        <w:spacing w:line="259" w:lineRule="auto"/>
        <w:rPr>
          <w:rFonts w:eastAsia="Arial" w:cs="Arial"/>
        </w:rPr>
      </w:pPr>
    </w:p>
    <w:p w14:paraId="0D49BD87" w14:textId="1449B63F" w:rsidR="00477E1E" w:rsidRPr="00CE223F" w:rsidRDefault="005D18D6" w:rsidP="00477E1E">
      <w:pPr>
        <w:spacing w:line="259" w:lineRule="auto"/>
        <w:rPr>
          <w:szCs w:val="22"/>
        </w:rPr>
      </w:pPr>
      <w:r>
        <w:rPr>
          <w:rFonts w:eastAsia="Arial" w:cs="Arial"/>
        </w:rPr>
        <w:t>Waterbod</w:t>
      </w:r>
      <w:r w:rsidR="0031723A">
        <w:rPr>
          <w:rFonts w:eastAsia="Arial" w:cs="Arial"/>
        </w:rPr>
        <w:t>ies</w:t>
      </w:r>
      <w:r>
        <w:rPr>
          <w:rFonts w:eastAsia="Arial" w:cs="Arial"/>
        </w:rPr>
        <w:t xml:space="preserve"> that are placed in Category 1 are those that</w:t>
      </w:r>
      <w:r w:rsidR="00571EBB" w:rsidRPr="004502A9">
        <w:rPr>
          <w:rFonts w:eastAsia="Arial" w:cs="Arial"/>
        </w:rPr>
        <w:t xml:space="preserve"> had no existing or proposed impairment and at least one </w:t>
      </w:r>
      <w:r w:rsidR="00571EBB">
        <w:rPr>
          <w:rFonts w:eastAsia="Arial" w:cs="Arial"/>
        </w:rPr>
        <w:t xml:space="preserve">core </w:t>
      </w:r>
      <w:r w:rsidR="00571EBB" w:rsidRPr="004502A9">
        <w:rPr>
          <w:rFonts w:eastAsia="Arial" w:cs="Arial"/>
        </w:rPr>
        <w:t>beneficial use was fully supported. If use support could not be determined for any beneficial uses, the waterbody was placed into Category 2</w:t>
      </w:r>
      <w:r w:rsidR="00477E1E">
        <w:rPr>
          <w:rFonts w:eastAsia="Arial" w:cs="Arial"/>
        </w:rPr>
        <w:t xml:space="preserve"> indicating that there is</w:t>
      </w:r>
      <w:r w:rsidR="00745BAB">
        <w:rPr>
          <w:rFonts w:eastAsia="Arial" w:cs="Arial"/>
        </w:rPr>
        <w:t xml:space="preserve"> </w:t>
      </w:r>
      <w:r w:rsidR="00477E1E">
        <w:rPr>
          <w:rFonts w:eastAsia="Arial" w:cs="Arial"/>
        </w:rPr>
        <w:t>i</w:t>
      </w:r>
      <w:r w:rsidR="00477E1E" w:rsidRPr="00CE223F">
        <w:rPr>
          <w:szCs w:val="22"/>
        </w:rPr>
        <w:t>nsufficient data and/or information to determine core beneficial use support</w:t>
      </w:r>
      <w:r w:rsidR="00745BAB">
        <w:rPr>
          <w:szCs w:val="22"/>
        </w:rPr>
        <w:t>.</w:t>
      </w:r>
      <w:r w:rsidR="00745BAB">
        <w:rPr>
          <w:szCs w:val="22"/>
          <w:vertAlign w:val="superscript"/>
        </w:rPr>
        <w:t>.</w:t>
      </w:r>
    </w:p>
    <w:p w14:paraId="699378BF" w14:textId="1D8E925D" w:rsidR="009A2158" w:rsidRDefault="00571EBB" w:rsidP="00C552D7">
      <w:pPr>
        <w:spacing w:before="29" w:line="243" w:lineRule="auto"/>
        <w:ind w:right="64"/>
        <w:rPr>
          <w:rFonts w:cs="Arial"/>
        </w:rPr>
      </w:pPr>
      <w:r w:rsidRPr="004502A9">
        <w:rPr>
          <w:rFonts w:eastAsia="Arial" w:cs="Arial"/>
        </w:rPr>
        <w:t xml:space="preserve">If there was indication of impairment but there were insufficient data to </w:t>
      </w:r>
      <w:r>
        <w:rPr>
          <w:rFonts w:eastAsia="Arial" w:cs="Arial"/>
        </w:rPr>
        <w:t>determine beneficial use support (i.e., monitoring data have poor quality assurance, not enough samples in the dataset, the information alone cannot support an assessment)</w:t>
      </w:r>
      <w:r w:rsidRPr="004502A9">
        <w:rPr>
          <w:rFonts w:eastAsia="Arial" w:cs="Arial"/>
        </w:rPr>
        <w:t>, the waterbody was placed in Category 3. This approach was taken to prevent waterbod</w:t>
      </w:r>
      <w:r w:rsidR="00F17F33">
        <w:rPr>
          <w:rFonts w:eastAsia="Arial" w:cs="Arial"/>
        </w:rPr>
        <w:t>ies</w:t>
      </w:r>
      <w:r w:rsidR="000F004F">
        <w:rPr>
          <w:rFonts w:eastAsia="Arial" w:cs="Arial"/>
        </w:rPr>
        <w:t xml:space="preserve"> </w:t>
      </w:r>
      <w:r w:rsidRPr="004502A9">
        <w:rPr>
          <w:rFonts w:eastAsia="Arial" w:cs="Arial"/>
        </w:rPr>
        <w:t xml:space="preserve">with insufficient data from being classified as fully attaining standards and to indicate the need for a more thorough assessment in future </w:t>
      </w:r>
      <w:r w:rsidR="00540545">
        <w:rPr>
          <w:rFonts w:eastAsia="Arial" w:cs="Arial"/>
        </w:rPr>
        <w:t xml:space="preserve">monitoring programs and </w:t>
      </w:r>
      <w:r w:rsidRPr="004502A9">
        <w:rPr>
          <w:rFonts w:eastAsia="Arial" w:cs="Arial"/>
        </w:rPr>
        <w:t>listing cycles.</w:t>
      </w:r>
    </w:p>
    <w:p w14:paraId="5B9BDB6F" w14:textId="1891E101" w:rsidR="005A075F" w:rsidRPr="00817E68" w:rsidRDefault="005A075F" w:rsidP="00C552D7">
      <w:pPr>
        <w:spacing w:before="29" w:line="243" w:lineRule="auto"/>
        <w:ind w:right="64"/>
      </w:pPr>
      <w:r>
        <w:t>Waterbod</w:t>
      </w:r>
      <w:r w:rsidR="00F17F33">
        <w:t>ies</w:t>
      </w:r>
      <w:r w:rsidR="000F004F">
        <w:t xml:space="preserve"> </w:t>
      </w:r>
      <w:r>
        <w:t xml:space="preserve">that are placed in Category 4a are </w:t>
      </w:r>
      <w:r w:rsidR="00A022C1">
        <w:t>waterbod</w:t>
      </w:r>
      <w:r w:rsidR="00F17F33">
        <w:t>ies</w:t>
      </w:r>
      <w:r w:rsidR="00A022C1">
        <w:t xml:space="preserve"> </w:t>
      </w:r>
      <w:r w:rsidR="000F14A6">
        <w:t xml:space="preserve">that </w:t>
      </w:r>
      <w:r w:rsidR="003A42BA">
        <w:t>have been identified as</w:t>
      </w:r>
      <w:r w:rsidR="000F14A6">
        <w:t xml:space="preserve"> impaired per Listing Policy </w:t>
      </w:r>
      <w:r w:rsidR="001E3898">
        <w:t>s</w:t>
      </w:r>
      <w:r w:rsidR="000F14A6">
        <w:t>ections 3.1 t</w:t>
      </w:r>
      <w:r w:rsidR="000625C3">
        <w:t>hrough</w:t>
      </w:r>
      <w:r w:rsidR="000F14A6">
        <w:t xml:space="preserve"> 3.11</w:t>
      </w:r>
      <w:r w:rsidR="00817E68">
        <w:t xml:space="preserve">, </w:t>
      </w:r>
      <w:r w:rsidR="003A42BA">
        <w:t xml:space="preserve">have a </w:t>
      </w:r>
      <w:r w:rsidR="00313C98">
        <w:t>USEPA</w:t>
      </w:r>
      <w:r w:rsidR="003A42BA">
        <w:t xml:space="preserve"> approved TMDL, and the approved implementation plan is expected to result in full attainment of the standard within a specified timeframe (Listing Policy, section 2.2).</w:t>
      </w:r>
      <w:r w:rsidR="00817E68">
        <w:rPr>
          <w:rFonts w:cs="Arial"/>
        </w:rPr>
        <w:t xml:space="preserve"> </w:t>
      </w:r>
      <w:r w:rsidR="00817E68" w:rsidRPr="00F004D7">
        <w:rPr>
          <w:rFonts w:cs="Arial"/>
        </w:rPr>
        <w:t xml:space="preserve">The TMDL adoption process is a separate and distinct process than that of the development of the </w:t>
      </w:r>
      <w:r w:rsidR="00972DA7">
        <w:rPr>
          <w:rFonts w:cs="Arial"/>
        </w:rPr>
        <w:t>i</w:t>
      </w:r>
      <w:r w:rsidR="00972DA7" w:rsidRPr="00F004D7">
        <w:rPr>
          <w:rFonts w:cs="Arial"/>
        </w:rPr>
        <w:t xml:space="preserve">ntegrated </w:t>
      </w:r>
      <w:r w:rsidR="00972DA7">
        <w:rPr>
          <w:rFonts w:cs="Arial"/>
        </w:rPr>
        <w:t>r</w:t>
      </w:r>
      <w:r w:rsidR="00972DA7" w:rsidRPr="00F004D7">
        <w:rPr>
          <w:rFonts w:cs="Arial"/>
        </w:rPr>
        <w:t>eport</w:t>
      </w:r>
      <w:r w:rsidR="00817E68" w:rsidRPr="00F004D7">
        <w:rPr>
          <w:rFonts w:cs="Arial"/>
        </w:rPr>
        <w:t xml:space="preserve">. However, </w:t>
      </w:r>
      <w:r w:rsidR="00817E68">
        <w:rPr>
          <w:rFonts w:cs="Arial"/>
        </w:rPr>
        <w:t xml:space="preserve">the </w:t>
      </w:r>
      <w:r w:rsidR="00817E68" w:rsidRPr="00F004D7">
        <w:rPr>
          <w:rFonts w:cs="Arial"/>
        </w:rPr>
        <w:t>California</w:t>
      </w:r>
      <w:r w:rsidR="00817E68">
        <w:rPr>
          <w:rFonts w:cs="Arial"/>
        </w:rPr>
        <w:t xml:space="preserve"> </w:t>
      </w:r>
      <w:r w:rsidR="00817E68" w:rsidRPr="00F004D7">
        <w:rPr>
          <w:rFonts w:cs="Arial"/>
        </w:rPr>
        <w:t>Integrated Report reflect</w:t>
      </w:r>
      <w:r w:rsidR="00817E68">
        <w:rPr>
          <w:rFonts w:cs="Arial"/>
        </w:rPr>
        <w:t>s</w:t>
      </w:r>
      <w:r w:rsidR="00817E68" w:rsidRPr="00F004D7">
        <w:rPr>
          <w:rFonts w:cs="Arial"/>
        </w:rPr>
        <w:t xml:space="preserve"> the most recent information on adopted and approved TMDLs as well as Regional </w:t>
      </w:r>
      <w:r w:rsidR="00817E68">
        <w:rPr>
          <w:rFonts w:cs="Arial"/>
        </w:rPr>
        <w:t xml:space="preserve">Water </w:t>
      </w:r>
      <w:r w:rsidR="00817E68" w:rsidRPr="00F004D7">
        <w:rPr>
          <w:rFonts w:cs="Arial"/>
        </w:rPr>
        <w:t>Board prioritization of TMDLs</w:t>
      </w:r>
      <w:r w:rsidR="001E3898">
        <w:rPr>
          <w:rFonts w:cs="Arial"/>
        </w:rPr>
        <w:t>,</w:t>
      </w:r>
      <w:r w:rsidR="00817E68" w:rsidRPr="00F004D7">
        <w:rPr>
          <w:rFonts w:cs="Arial"/>
        </w:rPr>
        <w:t xml:space="preserve"> which is a requirement of the CWA</w:t>
      </w:r>
      <w:r w:rsidR="00817E68">
        <w:rPr>
          <w:rFonts w:cs="Arial"/>
        </w:rPr>
        <w:t xml:space="preserve"> </w:t>
      </w:r>
      <w:r w:rsidR="00817E68" w:rsidRPr="00F004D7">
        <w:rPr>
          <w:rFonts w:cs="Arial"/>
        </w:rPr>
        <w:t xml:space="preserve">(40 </w:t>
      </w:r>
      <w:r w:rsidR="00974E7D">
        <w:rPr>
          <w:rFonts w:cs="Arial"/>
        </w:rPr>
        <w:t>CFR</w:t>
      </w:r>
      <w:r w:rsidR="00817E68" w:rsidRPr="00F004D7">
        <w:rPr>
          <w:rFonts w:cs="Arial"/>
        </w:rPr>
        <w:t xml:space="preserve"> § 130.7(b))</w:t>
      </w:r>
      <w:r w:rsidR="00817E68">
        <w:rPr>
          <w:rFonts w:cs="Arial"/>
        </w:rPr>
        <w:t>.</w:t>
      </w:r>
    </w:p>
    <w:p w14:paraId="598C1CC3" w14:textId="7B2380A2" w:rsidR="009A2158" w:rsidRDefault="000625C3" w:rsidP="009A2158">
      <w:r>
        <w:t>Waterbod</w:t>
      </w:r>
      <w:r w:rsidR="000F004F">
        <w:t xml:space="preserve">ies </w:t>
      </w:r>
      <w:r>
        <w:t>that are placed in Category 4b are waterbod</w:t>
      </w:r>
      <w:r w:rsidR="000F004F">
        <w:t>ies</w:t>
      </w:r>
      <w:r>
        <w:t xml:space="preserve"> that have been identified as impaired per Listing Policy </w:t>
      </w:r>
      <w:r w:rsidR="001E3898">
        <w:t>s</w:t>
      </w:r>
      <w:r>
        <w:t xml:space="preserve">ections 3.1 through 3.11, </w:t>
      </w:r>
      <w:r w:rsidR="002B3B8E">
        <w:t>and</w:t>
      </w:r>
      <w:r w:rsidR="000023CA">
        <w:t xml:space="preserve"> an existing regulatory program is reasonably expected to result in the attainment of the water quality standard within a reasonable, specified timeframe (Lis</w:t>
      </w:r>
      <w:r w:rsidR="00336314">
        <w:t>t</w:t>
      </w:r>
      <w:r w:rsidR="000023CA">
        <w:t xml:space="preserve">ing Policy, </w:t>
      </w:r>
      <w:r w:rsidR="00DE2953">
        <w:t xml:space="preserve">section </w:t>
      </w:r>
      <w:r w:rsidR="000023CA">
        <w:t>2.2).</w:t>
      </w:r>
      <w:r w:rsidR="009A2158" w:rsidRPr="000E6166">
        <w:t xml:space="preserve"> </w:t>
      </w:r>
      <w:r w:rsidR="00313C98">
        <w:t>USEPA</w:t>
      </w:r>
      <w:r w:rsidR="009A2158" w:rsidRPr="000E6166">
        <w:t xml:space="preserve"> regulations recognize that alternative pollution control requirements </w:t>
      </w:r>
      <w:r w:rsidR="009A2158">
        <w:t>implemented by another regulatory program</w:t>
      </w:r>
      <w:r w:rsidR="009A2158" w:rsidRPr="000E6166">
        <w:t xml:space="preserve"> may obviate the need for a TMDL. </w:t>
      </w:r>
      <w:r w:rsidR="007727DF">
        <w:rPr>
          <w:rStyle w:val="normaltextrun"/>
          <w:color w:val="000000"/>
          <w:shd w:val="clear" w:color="auto" w:fill="FFFFFF"/>
        </w:rPr>
        <w:t xml:space="preserve">The Water Boards provide </w:t>
      </w:r>
      <w:r w:rsidR="0075050D">
        <w:rPr>
          <w:rStyle w:val="normaltextrun"/>
          <w:color w:val="000000"/>
          <w:shd w:val="clear" w:color="auto" w:fill="FFFFFF"/>
        </w:rPr>
        <w:t xml:space="preserve">evidence, often in the form of </w:t>
      </w:r>
      <w:r w:rsidR="00F374C3">
        <w:rPr>
          <w:rStyle w:val="normaltextrun"/>
          <w:color w:val="000000"/>
          <w:shd w:val="clear" w:color="auto" w:fill="FFFFFF"/>
        </w:rPr>
        <w:t xml:space="preserve">information provided in </w:t>
      </w:r>
      <w:r w:rsidR="0075050D">
        <w:rPr>
          <w:rStyle w:val="normaltextrun"/>
          <w:color w:val="000000"/>
          <w:shd w:val="clear" w:color="auto" w:fill="FFFFFF"/>
        </w:rPr>
        <w:t>a document called</w:t>
      </w:r>
      <w:r w:rsidR="007727DF">
        <w:rPr>
          <w:rStyle w:val="normaltextrun"/>
          <w:color w:val="000000"/>
          <w:shd w:val="clear" w:color="auto" w:fill="FFFFFF"/>
        </w:rPr>
        <w:t xml:space="preserve"> a 4b Demonstration</w:t>
      </w:r>
      <w:r w:rsidR="0075050D">
        <w:rPr>
          <w:rStyle w:val="normaltextrun"/>
          <w:color w:val="000000"/>
          <w:shd w:val="clear" w:color="auto" w:fill="FFFFFF"/>
        </w:rPr>
        <w:t>,</w:t>
      </w:r>
      <w:r w:rsidR="007727DF">
        <w:rPr>
          <w:rStyle w:val="normaltextrun"/>
          <w:color w:val="000000"/>
          <w:shd w:val="clear" w:color="auto" w:fill="FFFFFF"/>
        </w:rPr>
        <w:t xml:space="preserve"> to the </w:t>
      </w:r>
      <w:r w:rsidR="00313C98">
        <w:rPr>
          <w:rStyle w:val="normaltextrun"/>
          <w:color w:val="000000"/>
          <w:shd w:val="clear" w:color="auto" w:fill="FFFFFF"/>
        </w:rPr>
        <w:t>USEPA</w:t>
      </w:r>
      <w:r w:rsidR="007727DF">
        <w:rPr>
          <w:rStyle w:val="normaltextrun"/>
          <w:color w:val="000000"/>
          <w:shd w:val="clear" w:color="auto" w:fill="FFFFFF"/>
        </w:rPr>
        <w:t xml:space="preserve"> to justify the placement of a waterbody-pollutant </w:t>
      </w:r>
      <w:r w:rsidR="00A62D15">
        <w:rPr>
          <w:rStyle w:val="normaltextrun"/>
          <w:color w:val="000000"/>
          <w:shd w:val="clear" w:color="auto" w:fill="FFFFFF"/>
        </w:rPr>
        <w:t>combination</w:t>
      </w:r>
      <w:r w:rsidR="007727DF">
        <w:rPr>
          <w:rStyle w:val="normaltextrun"/>
          <w:color w:val="000000"/>
          <w:shd w:val="clear" w:color="auto" w:fill="FFFFFF"/>
        </w:rPr>
        <w:t xml:space="preserve"> in Category 4b.</w:t>
      </w:r>
      <w:r w:rsidR="007727DF">
        <w:t xml:space="preserve"> </w:t>
      </w:r>
      <w:r w:rsidR="00F82EF9">
        <w:t>A</w:t>
      </w:r>
      <w:r w:rsidR="004315F5">
        <w:t xml:space="preserve"> “4b Demonstration” is </w:t>
      </w:r>
      <w:r w:rsidR="002F7A62">
        <w:t xml:space="preserve">included in the </w:t>
      </w:r>
      <w:r w:rsidR="00E5084D">
        <w:t xml:space="preserve">applicable </w:t>
      </w:r>
      <w:r w:rsidR="001D1D18">
        <w:t xml:space="preserve">CalWQA </w:t>
      </w:r>
      <w:r w:rsidR="00935B8D" w:rsidDel="002F7A62">
        <w:t>Decision</w:t>
      </w:r>
      <w:r w:rsidR="002F7A62">
        <w:t>.</w:t>
      </w:r>
      <w:r w:rsidR="009A2158" w:rsidRPr="000E6166" w:rsidDel="002F7A62">
        <w:t xml:space="preserve"> </w:t>
      </w:r>
      <w:r w:rsidR="009A2158" w:rsidRPr="000E6166">
        <w:t xml:space="preserve">A Category 4b Demonstration </w:t>
      </w:r>
      <w:r w:rsidR="00F31E96">
        <w:t>addresses</w:t>
      </w:r>
      <w:r w:rsidR="009A2158" w:rsidRPr="000E6166">
        <w:t xml:space="preserve"> </w:t>
      </w:r>
      <w:r w:rsidR="009962FF">
        <w:t xml:space="preserve">the following </w:t>
      </w:r>
      <w:r w:rsidR="009A2158" w:rsidRPr="000E6166">
        <w:t>six specific elements:</w:t>
      </w:r>
    </w:p>
    <w:p w14:paraId="6F385BD3" w14:textId="4427FF79" w:rsidR="009A2158" w:rsidRDefault="009A2158" w:rsidP="00010F69">
      <w:pPr>
        <w:pStyle w:val="ListParagraph"/>
        <w:numPr>
          <w:ilvl w:val="0"/>
          <w:numId w:val="15"/>
        </w:numPr>
      </w:pPr>
      <w:r w:rsidRPr="63410B63">
        <w:t xml:space="preserve">Identification of the </w:t>
      </w:r>
      <w:r w:rsidR="00CF7A33">
        <w:t xml:space="preserve">waterbody </w:t>
      </w:r>
      <w:r w:rsidRPr="63410B63">
        <w:t xml:space="preserve">and statement of the problem causing the impairment. </w:t>
      </w:r>
    </w:p>
    <w:p w14:paraId="60279893" w14:textId="77777777" w:rsidR="009A2158" w:rsidRDefault="009A2158" w:rsidP="00010F69">
      <w:pPr>
        <w:pStyle w:val="ListParagraph"/>
        <w:numPr>
          <w:ilvl w:val="0"/>
          <w:numId w:val="15"/>
        </w:numPr>
      </w:pPr>
      <w:r>
        <w:t xml:space="preserve">Description of pollution controls and how they will achieve water quality standards. </w:t>
      </w:r>
    </w:p>
    <w:p w14:paraId="6A152108" w14:textId="77777777" w:rsidR="009A2158" w:rsidRDefault="009A2158" w:rsidP="00010F69">
      <w:pPr>
        <w:pStyle w:val="ListParagraph"/>
        <w:numPr>
          <w:ilvl w:val="0"/>
          <w:numId w:val="15"/>
        </w:numPr>
      </w:pPr>
      <w:r>
        <w:t xml:space="preserve">An estimate or projection of the time when water quality standards will be met. </w:t>
      </w:r>
    </w:p>
    <w:p w14:paraId="47A123BF" w14:textId="77777777" w:rsidR="009A2158" w:rsidRDefault="009A2158" w:rsidP="00010F69">
      <w:pPr>
        <w:pStyle w:val="ListParagraph"/>
        <w:numPr>
          <w:ilvl w:val="0"/>
          <w:numId w:val="15"/>
        </w:numPr>
      </w:pPr>
      <w:r>
        <w:t xml:space="preserve">Schedule for implementing pollution controls. </w:t>
      </w:r>
    </w:p>
    <w:p w14:paraId="0BE52930" w14:textId="3CF73817" w:rsidR="009A2158" w:rsidRDefault="009A2158" w:rsidP="00010F69">
      <w:pPr>
        <w:pStyle w:val="ListParagraph"/>
        <w:numPr>
          <w:ilvl w:val="0"/>
          <w:numId w:val="15"/>
        </w:numPr>
      </w:pPr>
      <w:r>
        <w:t>Monitoring plan to track effectiveness of pollution controls</w:t>
      </w:r>
      <w:r w:rsidR="00EA3C50">
        <w:t>.</w:t>
      </w:r>
    </w:p>
    <w:p w14:paraId="7169BEE5" w14:textId="6239D256" w:rsidR="009A2158" w:rsidRPr="00E212F8" w:rsidRDefault="009A2158" w:rsidP="00010F69">
      <w:pPr>
        <w:pStyle w:val="ListParagraph"/>
        <w:numPr>
          <w:ilvl w:val="0"/>
          <w:numId w:val="15"/>
        </w:numPr>
      </w:pPr>
      <w:r>
        <w:t xml:space="preserve">Commitment to revise pollution controls, as necessary. </w:t>
      </w:r>
    </w:p>
    <w:p w14:paraId="00CD5AB2" w14:textId="706DF63D" w:rsidR="009A2158" w:rsidRPr="00D22E2A" w:rsidRDefault="009A2158" w:rsidP="009A2158">
      <w:pPr>
        <w:widowControl w:val="0"/>
        <w:autoSpaceDE w:val="0"/>
        <w:autoSpaceDN w:val="0"/>
        <w:spacing w:before="120" w:line="259" w:lineRule="auto"/>
        <w:rPr>
          <w:rFonts w:eastAsia="Times New Roman"/>
          <w:color w:val="000000"/>
          <w:kern w:val="24"/>
          <w:szCs w:val="24"/>
        </w:rPr>
      </w:pPr>
      <w:r w:rsidRPr="0FC0A87B">
        <w:rPr>
          <w:rFonts w:eastAsia="Times New Roman"/>
          <w:color w:val="000000" w:themeColor="text1"/>
        </w:rPr>
        <w:t>Waterbod</w:t>
      </w:r>
      <w:r w:rsidR="006B1147">
        <w:rPr>
          <w:rFonts w:eastAsia="Times New Roman"/>
          <w:color w:val="000000" w:themeColor="text1"/>
        </w:rPr>
        <w:t>ies</w:t>
      </w:r>
      <w:r w:rsidRPr="0FC0A87B">
        <w:rPr>
          <w:rFonts w:eastAsia="Times New Roman"/>
          <w:color w:val="000000" w:themeColor="text1"/>
        </w:rPr>
        <w:t xml:space="preserve"> where the water quality standard is not attained as a result of pollution </w:t>
      </w:r>
      <w:r w:rsidR="00EB059D">
        <w:rPr>
          <w:rFonts w:eastAsia="Times New Roman"/>
          <w:color w:val="000000" w:themeColor="text1"/>
        </w:rPr>
        <w:t>r</w:t>
      </w:r>
      <w:r w:rsidRPr="0FC0A87B">
        <w:rPr>
          <w:rFonts w:eastAsia="Times New Roman"/>
          <w:color w:val="000000" w:themeColor="text1"/>
        </w:rPr>
        <w:t xml:space="preserve">ather than a pollutant (e.g., the aquatic life beneficial use is not supported due to hydrologic alteration or habitat alteration) are placed in Category 4c. </w:t>
      </w:r>
      <w:r w:rsidR="00721139">
        <w:t>“</w:t>
      </w:r>
      <w:r w:rsidR="00721139" w:rsidRPr="00685336">
        <w:t>Pollution</w:t>
      </w:r>
      <w:r w:rsidR="00721139">
        <w:t>”</w:t>
      </w:r>
      <w:r w:rsidR="00721139" w:rsidRPr="00685336">
        <w:t xml:space="preserve"> is defined as “the man-made or man-induced alteration of the chemical, physical, biological, and radiological integrity of water</w:t>
      </w:r>
      <w:r w:rsidR="00721139">
        <w:t>.</w:t>
      </w:r>
      <w:r w:rsidR="00721139" w:rsidRPr="00685336">
        <w:t>”</w:t>
      </w:r>
      <w:r w:rsidR="00721139">
        <w:t xml:space="preserve"> </w:t>
      </w:r>
      <w:r w:rsidR="00721139" w:rsidRPr="00685336">
        <w:t>(40 C.F.R §130.2(c)</w:t>
      </w:r>
      <w:r w:rsidR="00721139">
        <w:t>.</w:t>
      </w:r>
      <w:r w:rsidR="00721139" w:rsidRPr="00685336">
        <w:t>)</w:t>
      </w:r>
      <w:r w:rsidR="00721139">
        <w:t xml:space="preserve"> “</w:t>
      </w:r>
      <w:r w:rsidR="00721139" w:rsidRPr="008B5E05">
        <w:t>Pollutant</w:t>
      </w:r>
      <w:r w:rsidR="00721139">
        <w:t>”</w:t>
      </w:r>
      <w:r w:rsidR="00721139" w:rsidRPr="008B5E05">
        <w:t xml:space="preserve"> is defined as “dredged spoil, solid waste, incinerator residue, filter backwash, sewage, garbage, sewage sludge, munitions, chemical wasters, biological materials, radioactive materials (except those regulated under the Atomic Energy Act of 1954, and as amended, heat wrecked or discarded equipment, rock, sand, cellar dirt and industrial, municipal, and agricultural waste discharged into water)</w:t>
      </w:r>
      <w:r w:rsidR="00721139">
        <w:t xml:space="preserve">.” </w:t>
      </w:r>
      <w:r w:rsidR="00721139" w:rsidRPr="008B5E05">
        <w:t xml:space="preserve">(40 </w:t>
      </w:r>
      <w:r w:rsidR="00721139">
        <w:t>CFR</w:t>
      </w:r>
      <w:r w:rsidR="00721139" w:rsidRPr="008B5E05">
        <w:t xml:space="preserve"> § 122.2</w:t>
      </w:r>
      <w:r w:rsidR="00721139">
        <w:t>.</w:t>
      </w:r>
      <w:r w:rsidR="00721139" w:rsidRPr="008B5E05">
        <w:t>)</w:t>
      </w:r>
    </w:p>
    <w:p w14:paraId="6F5CF80A" w14:textId="77777777" w:rsidR="00AC6EFA" w:rsidRDefault="009A2158" w:rsidP="009565F3">
      <w:pPr>
        <w:autoSpaceDE w:val="0"/>
        <w:autoSpaceDN w:val="0"/>
        <w:adjustRightInd w:val="0"/>
      </w:pPr>
      <w:r>
        <w:t>Waterbod</w:t>
      </w:r>
      <w:r w:rsidR="00731249">
        <w:t>ies</w:t>
      </w:r>
      <w:r>
        <w:t xml:space="preserve"> placed in </w:t>
      </w:r>
      <w:r w:rsidRPr="000E6166">
        <w:t xml:space="preserve">Category </w:t>
      </w:r>
      <w:r>
        <w:t>5</w:t>
      </w:r>
      <w:r w:rsidRPr="000E6166">
        <w:t xml:space="preserve"> </w:t>
      </w:r>
      <w:r>
        <w:t xml:space="preserve">are those for which the water quality standard is not attained for at least one </w:t>
      </w:r>
      <w:r w:rsidRPr="000E6166">
        <w:t xml:space="preserve">waterbody-pollutant </w:t>
      </w:r>
      <w:r>
        <w:t>combination and a TMDL is required.</w:t>
      </w:r>
      <w:r w:rsidRPr="000E6166">
        <w:t xml:space="preserve"> </w:t>
      </w:r>
      <w:r>
        <w:t xml:space="preserve">While </w:t>
      </w:r>
      <w:r w:rsidR="002A2870">
        <w:t xml:space="preserve">the </w:t>
      </w:r>
      <w:r w:rsidRPr="00712856">
        <w:rPr>
          <w:rFonts w:cs="Arial"/>
        </w:rPr>
        <w:t>condition</w:t>
      </w:r>
      <w:r>
        <w:t xml:space="preserve"> categor</w:t>
      </w:r>
      <w:r w:rsidR="0059304D">
        <w:t xml:space="preserve">y </w:t>
      </w:r>
      <w:r w:rsidR="002A2870">
        <w:t xml:space="preserve">5 </w:t>
      </w:r>
      <w:r w:rsidR="0059304D">
        <w:t>is applied</w:t>
      </w:r>
      <w:r w:rsidRPr="00712856">
        <w:rPr>
          <w:rFonts w:cs="Arial"/>
        </w:rPr>
        <w:t xml:space="preserve"> at the waterbody</w:t>
      </w:r>
      <w:r w:rsidR="0022378A">
        <w:rPr>
          <w:rFonts w:cs="Arial"/>
        </w:rPr>
        <w:t xml:space="preserve"> segment</w:t>
      </w:r>
      <w:r w:rsidRPr="00712856">
        <w:rPr>
          <w:rFonts w:cs="Arial"/>
        </w:rPr>
        <w:t xml:space="preserve"> level</w:t>
      </w:r>
      <w:r w:rsidR="0059304D">
        <w:rPr>
          <w:rFonts w:cs="Arial"/>
        </w:rPr>
        <w:t xml:space="preserve">, </w:t>
      </w:r>
      <w:r w:rsidR="00E516C6">
        <w:rPr>
          <w:rFonts w:cs="Arial"/>
        </w:rPr>
        <w:t>a TMDL requirement status is</w:t>
      </w:r>
      <w:r w:rsidR="00CE2C34">
        <w:rPr>
          <w:rFonts w:cs="Arial"/>
        </w:rPr>
        <w:t xml:space="preserve"> applied at the waterbody-pollutant level</w:t>
      </w:r>
      <w:r>
        <w:rPr>
          <w:rFonts w:cs="Arial"/>
        </w:rPr>
        <w:t xml:space="preserve"> </w:t>
      </w:r>
      <w:r w:rsidR="00B330FC">
        <w:rPr>
          <w:rFonts w:cs="Arial"/>
        </w:rPr>
        <w:t xml:space="preserve">to track the TMDL requirement status of each waterbody-pollutant combination. The </w:t>
      </w:r>
      <w:r w:rsidR="00590312">
        <w:t>TMDL requirement status</w:t>
      </w:r>
      <w:r w:rsidR="00B330FC">
        <w:t xml:space="preserve"> </w:t>
      </w:r>
      <w:r w:rsidR="00BA58C9">
        <w:t xml:space="preserve">options </w:t>
      </w:r>
      <w:r w:rsidR="00B330FC">
        <w:rPr>
          <w:rFonts w:cs="Arial"/>
        </w:rPr>
        <w:t xml:space="preserve">are </w:t>
      </w:r>
      <w:r>
        <w:t xml:space="preserve">5A, 5B, 5C, </w:t>
      </w:r>
      <w:r w:rsidR="009C63BD">
        <w:t>and</w:t>
      </w:r>
      <w:r>
        <w:t xml:space="preserve"> 5</w:t>
      </w:r>
      <w:r w:rsidR="00E90F75">
        <w:t>r</w:t>
      </w:r>
      <w:r w:rsidR="00CA2336">
        <w:t xml:space="preserve"> are listed in </w:t>
      </w:r>
      <w:r>
        <w:t xml:space="preserve">Appendix </w:t>
      </w:r>
      <w:r w:rsidR="0076687E">
        <w:t>C</w:t>
      </w:r>
      <w:r>
        <w:t xml:space="preserve">5: Category 5 Waterbody Segments. TMDL requirement </w:t>
      </w:r>
      <w:r w:rsidR="00140627">
        <w:t>status</w:t>
      </w:r>
      <w:r w:rsidR="00AC6EFA">
        <w:t xml:space="preserve">es are defined as follows: </w:t>
      </w:r>
    </w:p>
    <w:p w14:paraId="7CF4BD09" w14:textId="49F36FCD" w:rsidR="0051657D" w:rsidRPr="0051657D" w:rsidRDefault="00AF11CF" w:rsidP="006D14F9">
      <w:pPr>
        <w:pStyle w:val="ListParagraph"/>
        <w:numPr>
          <w:ilvl w:val="0"/>
          <w:numId w:val="52"/>
        </w:numPr>
        <w:autoSpaceDE w:val="0"/>
        <w:autoSpaceDN w:val="0"/>
        <w:adjustRightInd w:val="0"/>
      </w:pPr>
      <w:r>
        <w:t>Status</w:t>
      </w:r>
      <w:r w:rsidR="009A2158">
        <w:t xml:space="preserve"> 5A </w:t>
      </w:r>
      <w:r w:rsidR="00CA2336">
        <w:t>applies to</w:t>
      </w:r>
      <w:r w:rsidR="009A2158">
        <w:t xml:space="preserve"> waterbody-pollutant combination</w:t>
      </w:r>
      <w:r w:rsidR="00040CEF">
        <w:t>s</w:t>
      </w:r>
      <w:r w:rsidR="009A2158">
        <w:t xml:space="preserve"> where water quality standard</w:t>
      </w:r>
      <w:r w:rsidR="00CF7904">
        <w:t>s</w:t>
      </w:r>
      <w:r w:rsidR="009A2158">
        <w:t xml:space="preserve"> </w:t>
      </w:r>
      <w:r w:rsidR="00CF7904">
        <w:t>are</w:t>
      </w:r>
      <w:r w:rsidR="009A2158">
        <w:t xml:space="preserve"> not attained and a TMDL is required. </w:t>
      </w:r>
      <w:r w:rsidR="00322D5C" w:rsidRPr="004502A9">
        <w:rPr>
          <w:rFonts w:cs="Arial"/>
        </w:rPr>
        <w:t xml:space="preserve">In some circumstances, TMDLs have been adopted by the Water Boards but approval from </w:t>
      </w:r>
      <w:r w:rsidR="00313C98">
        <w:rPr>
          <w:rFonts w:cs="Arial"/>
        </w:rPr>
        <w:t>USEPA</w:t>
      </w:r>
      <w:r w:rsidR="00322D5C" w:rsidRPr="004502A9">
        <w:rPr>
          <w:rFonts w:cs="Arial"/>
        </w:rPr>
        <w:t xml:space="preserve"> is pending. In these cases, the </w:t>
      </w:r>
      <w:r w:rsidR="00AE2C28">
        <w:rPr>
          <w:rFonts w:cs="Arial"/>
        </w:rPr>
        <w:t>TMDL requirement status</w:t>
      </w:r>
      <w:r w:rsidR="00322D5C" w:rsidRPr="00AC6EFA">
        <w:rPr>
          <w:rFonts w:cs="Arial"/>
        </w:rPr>
        <w:t xml:space="preserve"> </w:t>
      </w:r>
      <w:r w:rsidR="00322D5C" w:rsidRPr="004502A9">
        <w:rPr>
          <w:rFonts w:cs="Arial"/>
        </w:rPr>
        <w:t>remains 5</w:t>
      </w:r>
      <w:r w:rsidR="002B27FF">
        <w:rPr>
          <w:rFonts w:cs="Arial"/>
        </w:rPr>
        <w:t>A</w:t>
      </w:r>
      <w:r w:rsidR="00322D5C" w:rsidRPr="004502A9">
        <w:rPr>
          <w:rFonts w:cs="Arial"/>
        </w:rPr>
        <w:t xml:space="preserve">. </w:t>
      </w:r>
    </w:p>
    <w:p w14:paraId="477B3E18" w14:textId="2C21F36E" w:rsidR="0051657D" w:rsidRDefault="004F48D2" w:rsidP="006D14F9">
      <w:pPr>
        <w:pStyle w:val="ListParagraph"/>
        <w:numPr>
          <w:ilvl w:val="0"/>
          <w:numId w:val="52"/>
        </w:numPr>
        <w:autoSpaceDE w:val="0"/>
        <w:autoSpaceDN w:val="0"/>
        <w:adjustRightInd w:val="0"/>
      </w:pPr>
      <w:r>
        <w:t>S</w:t>
      </w:r>
      <w:r w:rsidR="009A2158">
        <w:t xml:space="preserve">tatus 5B </w:t>
      </w:r>
      <w:r w:rsidR="00B72D80">
        <w:t>applies to</w:t>
      </w:r>
      <w:r w:rsidR="009A2158">
        <w:t xml:space="preserve"> waterbody-pollutant combination</w:t>
      </w:r>
      <w:r w:rsidR="00543473">
        <w:t>s</w:t>
      </w:r>
      <w:r w:rsidR="00B72D80">
        <w:t xml:space="preserve"> </w:t>
      </w:r>
      <w:r w:rsidR="00543473">
        <w:t>where</w:t>
      </w:r>
      <w:r w:rsidR="0096170B">
        <w:t xml:space="preserve"> water quality standards are</w:t>
      </w:r>
      <w:r w:rsidR="00B72D80">
        <w:t xml:space="preserve"> not </w:t>
      </w:r>
      <w:r w:rsidR="004A3871">
        <w:t>attained</w:t>
      </w:r>
      <w:r w:rsidR="009A2158">
        <w:t xml:space="preserve">, but the listing is being addressed by a </w:t>
      </w:r>
      <w:r w:rsidR="00313C98">
        <w:t>USEPA</w:t>
      </w:r>
      <w:r w:rsidR="00A66510">
        <w:t>-</w:t>
      </w:r>
      <w:r w:rsidR="009A2158">
        <w:t xml:space="preserve">approved TMDL. </w:t>
      </w:r>
      <w:r w:rsidR="00E06A8C">
        <w:t xml:space="preserve">Please note that the TMDL requirement status of 5B </w:t>
      </w:r>
      <w:r w:rsidR="00DC083D">
        <w:t>corresponds</w:t>
      </w:r>
      <w:r w:rsidR="00E06A8C">
        <w:t xml:space="preserve"> with condition category </w:t>
      </w:r>
      <w:r w:rsidR="00DC083D">
        <w:t xml:space="preserve">5A. </w:t>
      </w:r>
    </w:p>
    <w:p w14:paraId="1536996A" w14:textId="77777777" w:rsidR="000243CF" w:rsidRDefault="00DC083D" w:rsidP="00A97141">
      <w:pPr>
        <w:pStyle w:val="ListParagraph"/>
        <w:numPr>
          <w:ilvl w:val="0"/>
          <w:numId w:val="52"/>
        </w:numPr>
        <w:autoSpaceDE w:val="0"/>
        <w:autoSpaceDN w:val="0"/>
        <w:adjustRightInd w:val="0"/>
      </w:pPr>
      <w:r>
        <w:t>S</w:t>
      </w:r>
      <w:r w:rsidR="009A2158">
        <w:t xml:space="preserve">tatus 5C </w:t>
      </w:r>
      <w:r w:rsidR="00A66510">
        <w:t>applies to</w:t>
      </w:r>
      <w:r w:rsidR="009A2158">
        <w:t xml:space="preserve"> waterbody-pollutant combination</w:t>
      </w:r>
      <w:r>
        <w:t>s</w:t>
      </w:r>
      <w:r w:rsidR="00135097">
        <w:t xml:space="preserve"> </w:t>
      </w:r>
      <w:r w:rsidR="00D137E6">
        <w:t>where water quality standards are</w:t>
      </w:r>
      <w:r w:rsidR="00135097">
        <w:t xml:space="preserve"> not </w:t>
      </w:r>
      <w:r w:rsidR="00D137E6">
        <w:t xml:space="preserve">attained </w:t>
      </w:r>
      <w:r w:rsidR="00135097">
        <w:t>standards, but</w:t>
      </w:r>
      <w:r w:rsidR="009A2158" w:rsidDel="00135097">
        <w:t xml:space="preserve"> </w:t>
      </w:r>
      <w:r w:rsidR="00135097">
        <w:t xml:space="preserve">the listing is </w:t>
      </w:r>
      <w:r w:rsidR="009A2158">
        <w:t>being addressed by actions other than a TMDL</w:t>
      </w:r>
      <w:r w:rsidR="008E0BA8">
        <w:t xml:space="preserve"> (such as a </w:t>
      </w:r>
      <w:r w:rsidR="000D6019">
        <w:t>4b determination)</w:t>
      </w:r>
      <w:r w:rsidR="009A2158">
        <w:t>.</w:t>
      </w:r>
      <w:r w:rsidR="00BE4710">
        <w:t xml:space="preserve"> </w:t>
      </w:r>
    </w:p>
    <w:p w14:paraId="5C8E4C70" w14:textId="119B7DD2" w:rsidR="00D5473A" w:rsidRDefault="00A97141" w:rsidP="00A97141">
      <w:pPr>
        <w:pStyle w:val="ListParagraph"/>
        <w:numPr>
          <w:ilvl w:val="0"/>
          <w:numId w:val="52"/>
        </w:numPr>
        <w:autoSpaceDE w:val="0"/>
        <w:autoSpaceDN w:val="0"/>
        <w:adjustRightInd w:val="0"/>
      </w:pPr>
      <w:r>
        <w:t xml:space="preserve">A status of 5r applies to a waterbody-pollutant combination that is being addressed by a TMDL </w:t>
      </w:r>
      <w:r w:rsidR="00917C9B">
        <w:t>ARP</w:t>
      </w:r>
      <w:r>
        <w:t xml:space="preserve">. </w:t>
      </w:r>
      <w:r w:rsidR="009A2158" w:rsidRPr="00D90ED8">
        <w:t xml:space="preserve">This subcategory is used to </w:t>
      </w:r>
      <w:r w:rsidR="003E6497" w:rsidRPr="00D90ED8">
        <w:t>organize,</w:t>
      </w:r>
      <w:r w:rsidR="009A2158" w:rsidRPr="00D90ED8">
        <w:t xml:space="preserve"> and clearly articulate</w:t>
      </w:r>
      <w:r w:rsidR="003E6497">
        <w:t>,</w:t>
      </w:r>
      <w:r w:rsidR="009A2158" w:rsidRPr="00D90ED8">
        <w:t xml:space="preserve"> which waterbod</w:t>
      </w:r>
      <w:r w:rsidR="00130A01">
        <w:t>y-pollutants combinations</w:t>
      </w:r>
      <w:r w:rsidR="009A2158" w:rsidRPr="00D90ED8">
        <w:t xml:space="preserve"> are listed as impaired </w:t>
      </w:r>
      <w:r w:rsidR="009A2158">
        <w:t>but are being addressed by</w:t>
      </w:r>
      <w:r w:rsidR="009A2158" w:rsidRPr="00D90ED8">
        <w:t xml:space="preserve"> an </w:t>
      </w:r>
      <w:r w:rsidR="00C119FC">
        <w:t>ARP</w:t>
      </w:r>
      <w:r w:rsidR="009A2158" w:rsidRPr="00D90ED8">
        <w:t xml:space="preserve">. </w:t>
      </w:r>
    </w:p>
    <w:p w14:paraId="320BCF3D" w14:textId="51D7BD84" w:rsidR="009726AD" w:rsidRPr="009726AD" w:rsidRDefault="009A2158" w:rsidP="00A97141">
      <w:pPr>
        <w:autoSpaceDE w:val="0"/>
        <w:autoSpaceDN w:val="0"/>
        <w:adjustRightInd w:val="0"/>
      </w:pPr>
      <w:r w:rsidRPr="00D90ED8">
        <w:t xml:space="preserve">This subcategorization process provides transparency to the public and facilitates tracking of </w:t>
      </w:r>
      <w:r w:rsidR="00C119FC" w:rsidRPr="001D6C74">
        <w:rPr>
          <w:szCs w:val="24"/>
        </w:rPr>
        <w:t>ARP</w:t>
      </w:r>
      <w:r w:rsidRPr="001D6C74" w:rsidDel="00C119FC">
        <w:rPr>
          <w:szCs w:val="24"/>
        </w:rPr>
        <w:t xml:space="preserve"> projects</w:t>
      </w:r>
      <w:r w:rsidRPr="001D6C74">
        <w:rPr>
          <w:szCs w:val="24"/>
        </w:rPr>
        <w:t xml:space="preserve"> that are consistent with the </w:t>
      </w:r>
      <w:r w:rsidR="00313C98" w:rsidRPr="001D6C74">
        <w:rPr>
          <w:szCs w:val="24"/>
        </w:rPr>
        <w:t>USEPA</w:t>
      </w:r>
      <w:r w:rsidRPr="001D6C74">
        <w:rPr>
          <w:szCs w:val="24"/>
        </w:rPr>
        <w:t>’s 2018 Program Vision. The 2018 Program Vision states that while TMDLs are the dominant analytic and informational tool for addressing impaired waters, there are other tools that may be more immediately beneficial or practicable to achieving water quality standards under certain circumstances</w:t>
      </w:r>
      <w:r w:rsidR="000A403E" w:rsidRPr="001D6C74">
        <w:rPr>
          <w:szCs w:val="24"/>
        </w:rPr>
        <w:t xml:space="preserve">, including the implementation of a </w:t>
      </w:r>
      <w:r w:rsidR="00622AED" w:rsidRPr="001D6C74">
        <w:rPr>
          <w:szCs w:val="24"/>
        </w:rPr>
        <w:t>near-term plan or description of actions, with a schedule and milestones</w:t>
      </w:r>
      <w:r w:rsidR="00FA7738" w:rsidRPr="001D6C74">
        <w:rPr>
          <w:szCs w:val="24"/>
        </w:rPr>
        <w:t>.</w:t>
      </w:r>
      <w:r w:rsidRPr="001D6C74">
        <w:rPr>
          <w:szCs w:val="24"/>
        </w:rPr>
        <w:t xml:space="preserve"> If a waterbody is categorized under 5</w:t>
      </w:r>
      <w:r w:rsidR="00E27783" w:rsidRPr="001D6C74">
        <w:rPr>
          <w:szCs w:val="24"/>
        </w:rPr>
        <w:t>r</w:t>
      </w:r>
      <w:r w:rsidRPr="001D6C74">
        <w:rPr>
          <w:szCs w:val="24"/>
        </w:rPr>
        <w:t xml:space="preserve">, the legal obligation to develop a TMDL </w:t>
      </w:r>
      <w:r w:rsidR="00113031" w:rsidRPr="001D6C74">
        <w:rPr>
          <w:szCs w:val="24"/>
        </w:rPr>
        <w:t>remains</w:t>
      </w:r>
      <w:r w:rsidR="00FA7738" w:rsidRPr="001D6C74">
        <w:rPr>
          <w:szCs w:val="24"/>
        </w:rPr>
        <w:t xml:space="preserve"> </w:t>
      </w:r>
      <w:r w:rsidR="005601A2" w:rsidRPr="001D6C74">
        <w:rPr>
          <w:szCs w:val="24"/>
        </w:rPr>
        <w:t>until the water quality standard is achieved</w:t>
      </w:r>
      <w:r w:rsidRPr="001D6C74">
        <w:rPr>
          <w:szCs w:val="24"/>
        </w:rPr>
        <w:t xml:space="preserve">; however, </w:t>
      </w:r>
      <w:r w:rsidR="007776F7" w:rsidRPr="001D6C74">
        <w:rPr>
          <w:szCs w:val="24"/>
        </w:rPr>
        <w:t>s</w:t>
      </w:r>
      <w:r w:rsidRPr="001D6C74">
        <w:rPr>
          <w:szCs w:val="24"/>
        </w:rPr>
        <w:t xml:space="preserve">tates may justify deprioritizing the development of a TMDL should an </w:t>
      </w:r>
      <w:r w:rsidR="00C119FC" w:rsidRPr="001D6C74">
        <w:rPr>
          <w:szCs w:val="24"/>
        </w:rPr>
        <w:t>ARP</w:t>
      </w:r>
      <w:r w:rsidRPr="001D6C74" w:rsidDel="00690012">
        <w:rPr>
          <w:szCs w:val="24"/>
        </w:rPr>
        <w:t xml:space="preserve"> </w:t>
      </w:r>
      <w:r w:rsidRPr="001D6C74">
        <w:rPr>
          <w:szCs w:val="24"/>
        </w:rPr>
        <w:t xml:space="preserve">be implemented for that waterbody. Should an </w:t>
      </w:r>
      <w:r w:rsidR="00C119FC" w:rsidRPr="001D6C74">
        <w:rPr>
          <w:szCs w:val="24"/>
        </w:rPr>
        <w:t>ARP</w:t>
      </w:r>
      <w:r w:rsidRPr="001D6C74">
        <w:rPr>
          <w:szCs w:val="24"/>
        </w:rPr>
        <w:t xml:space="preserve"> result in attainment of water quality standards, a waterbody could be removed from the 303(d) </w:t>
      </w:r>
      <w:r w:rsidR="00442FBD" w:rsidRPr="001D6C74">
        <w:rPr>
          <w:szCs w:val="24"/>
        </w:rPr>
        <w:t>l</w:t>
      </w:r>
      <w:r w:rsidRPr="001D6C74">
        <w:rPr>
          <w:szCs w:val="24"/>
        </w:rPr>
        <w:t>ist without the need to develop a TMDL. Finally, because</w:t>
      </w:r>
      <w:r w:rsidRPr="00D90ED8">
        <w:t xml:space="preserve"> waters for which </w:t>
      </w:r>
      <w:r w:rsidR="003C062F">
        <w:t>ARPs</w:t>
      </w:r>
      <w:r w:rsidRPr="00D90ED8">
        <w:t xml:space="preserve"> are pursued remain on the 303(d) </w:t>
      </w:r>
      <w:r w:rsidR="002E3F25">
        <w:t>l</w:t>
      </w:r>
      <w:r w:rsidRPr="00D90ED8">
        <w:t xml:space="preserve">ist, the </w:t>
      </w:r>
      <w:r w:rsidR="00313C98">
        <w:t>USEPA</w:t>
      </w:r>
      <w:r w:rsidRPr="00D90ED8">
        <w:t xml:space="preserve"> will not take action to approve or disapprove a </w:t>
      </w:r>
      <w:r w:rsidR="00312029">
        <w:t>s</w:t>
      </w:r>
      <w:r w:rsidRPr="00D90ED8">
        <w:t xml:space="preserve">tate’s </w:t>
      </w:r>
      <w:r w:rsidR="00C0183A">
        <w:t>ARP</w:t>
      </w:r>
      <w:r w:rsidRPr="00D90ED8">
        <w:t xml:space="preserve">. </w:t>
      </w:r>
      <w:r w:rsidR="00D640ED">
        <w:t xml:space="preserve">See Figure </w:t>
      </w:r>
      <w:r w:rsidR="00D640ED" w:rsidRPr="00B85858">
        <w:t>2-</w:t>
      </w:r>
      <w:r w:rsidR="006A7AFA" w:rsidRPr="006A7AFA">
        <w:t>4</w:t>
      </w:r>
      <w:r w:rsidR="006A7AFA">
        <w:t xml:space="preserve"> </w:t>
      </w:r>
      <w:r w:rsidR="00D640ED">
        <w:t xml:space="preserve">for Examples of Integrated Report Condition Categories. </w:t>
      </w:r>
    </w:p>
    <w:p w14:paraId="72278651" w14:textId="710AED2B" w:rsidR="00AF06F1" w:rsidRDefault="00AF06F1" w:rsidP="00AF06F1">
      <w:pPr>
        <w:rPr>
          <w:rFonts w:eastAsia="Times New Roman"/>
          <w:color w:val="000000"/>
          <w:kern w:val="24"/>
          <w:szCs w:val="24"/>
        </w:rPr>
      </w:pPr>
      <w:r w:rsidRPr="004502A9">
        <w:rPr>
          <w:rFonts w:cs="Arial"/>
        </w:rPr>
        <w:t xml:space="preserve">Regional Water Boards have adopted a total of </w:t>
      </w:r>
      <w:r w:rsidR="00FD62D5">
        <w:rPr>
          <w:rFonts w:cs="Arial"/>
        </w:rPr>
        <w:t>12</w:t>
      </w:r>
      <w:r w:rsidR="005A147E">
        <w:rPr>
          <w:rFonts w:cs="Arial"/>
        </w:rPr>
        <w:t>1</w:t>
      </w:r>
      <w:r>
        <w:rPr>
          <w:rFonts w:cs="Arial"/>
        </w:rPr>
        <w:t xml:space="preserve"> </w:t>
      </w:r>
      <w:r w:rsidRPr="004502A9">
        <w:rPr>
          <w:rFonts w:cs="Arial"/>
        </w:rPr>
        <w:t xml:space="preserve">TMDL </w:t>
      </w:r>
      <w:r>
        <w:rPr>
          <w:rFonts w:cs="Arial"/>
        </w:rPr>
        <w:t>p</w:t>
      </w:r>
      <w:r w:rsidRPr="004502A9">
        <w:rPr>
          <w:rFonts w:cs="Arial"/>
        </w:rPr>
        <w:t>rojects to address water quality impairments</w:t>
      </w:r>
      <w:r>
        <w:rPr>
          <w:rFonts w:cs="Arial"/>
        </w:rPr>
        <w:t xml:space="preserve"> since 2009</w:t>
      </w:r>
      <w:r w:rsidRPr="004502A9">
        <w:rPr>
          <w:rFonts w:cs="Arial"/>
        </w:rPr>
        <w:t xml:space="preserve">. A summary table of TMDL </w:t>
      </w:r>
      <w:r>
        <w:rPr>
          <w:rFonts w:cs="Arial"/>
        </w:rPr>
        <w:t>p</w:t>
      </w:r>
      <w:r w:rsidRPr="004502A9">
        <w:rPr>
          <w:rFonts w:cs="Arial"/>
        </w:rPr>
        <w:t xml:space="preserve">rojects adopted by each of the nine </w:t>
      </w:r>
      <w:r>
        <w:rPr>
          <w:rFonts w:cs="Arial"/>
        </w:rPr>
        <w:t>Regional Water Boards</w:t>
      </w:r>
      <w:r w:rsidRPr="004502A9">
        <w:rPr>
          <w:rFonts w:cs="Arial"/>
        </w:rPr>
        <w:t xml:space="preserve"> since 2009 can be found in Appendix </w:t>
      </w:r>
      <w:r>
        <w:rPr>
          <w:rFonts w:cs="Arial"/>
        </w:rPr>
        <w:t xml:space="preserve">E: </w:t>
      </w:r>
      <w:r w:rsidRPr="004502A9">
        <w:rPr>
          <w:rFonts w:cs="Arial"/>
          <w:szCs w:val="24"/>
        </w:rPr>
        <w:t>TMDLs</w:t>
      </w:r>
      <w:r>
        <w:rPr>
          <w:rFonts w:cs="Arial"/>
        </w:rPr>
        <w:t xml:space="preserve"> Adopted </w:t>
      </w:r>
      <w:r>
        <w:rPr>
          <w:rFonts w:cs="Arial"/>
          <w:szCs w:val="24"/>
        </w:rPr>
        <w:t>by Regional Water Boards since January 2009</w:t>
      </w:r>
      <w:r w:rsidRPr="004502A9">
        <w:rPr>
          <w:rFonts w:cs="Arial"/>
        </w:rPr>
        <w:t>.</w:t>
      </w:r>
      <w:r>
        <w:rPr>
          <w:rFonts w:cs="Arial"/>
        </w:rPr>
        <w:t xml:space="preserve"> </w:t>
      </w:r>
      <w:r w:rsidRPr="008C729D">
        <w:rPr>
          <w:rFonts w:eastAsia="Times New Roman"/>
          <w:color w:val="000000"/>
          <w:kern w:val="24"/>
          <w:szCs w:val="24"/>
        </w:rPr>
        <w:t xml:space="preserve">For more on TMDL prioritization </w:t>
      </w:r>
      <w:r>
        <w:rPr>
          <w:rFonts w:eastAsia="Times New Roman"/>
          <w:color w:val="000000"/>
          <w:kern w:val="24"/>
          <w:szCs w:val="24"/>
        </w:rPr>
        <w:t>of high priority TMDLs</w:t>
      </w:r>
      <w:r w:rsidRPr="008C729D">
        <w:rPr>
          <w:rFonts w:eastAsia="Times New Roman"/>
          <w:color w:val="000000"/>
          <w:kern w:val="24"/>
          <w:szCs w:val="24"/>
        </w:rPr>
        <w:t xml:space="preserve"> for on-cycle Regional Water Board’s, see sections </w:t>
      </w:r>
      <w:r w:rsidR="002111B8">
        <w:rPr>
          <w:rFonts w:eastAsia="Times New Roman"/>
          <w:color w:val="000000"/>
          <w:kern w:val="24"/>
          <w:szCs w:val="24"/>
        </w:rPr>
        <w:t>6</w:t>
      </w:r>
      <w:r w:rsidRPr="008C729D">
        <w:rPr>
          <w:rFonts w:eastAsia="Times New Roman"/>
          <w:color w:val="000000"/>
          <w:kern w:val="24"/>
          <w:szCs w:val="24"/>
        </w:rPr>
        <w:t xml:space="preserve"> through </w:t>
      </w:r>
      <w:r w:rsidR="002111B8">
        <w:rPr>
          <w:rFonts w:eastAsia="Times New Roman"/>
          <w:color w:val="000000"/>
          <w:kern w:val="24"/>
          <w:szCs w:val="24"/>
        </w:rPr>
        <w:t>9</w:t>
      </w:r>
      <w:r w:rsidRPr="008C729D">
        <w:rPr>
          <w:rFonts w:eastAsia="Times New Roman"/>
          <w:color w:val="000000"/>
          <w:kern w:val="24"/>
          <w:szCs w:val="24"/>
        </w:rPr>
        <w:t>.</w:t>
      </w:r>
    </w:p>
    <w:p w14:paraId="6610E13C" w14:textId="28A67EFA" w:rsidR="000A176B" w:rsidRPr="00827010" w:rsidRDefault="007710C3" w:rsidP="00827010">
      <w:pPr>
        <w:pStyle w:val="Caption"/>
        <w:keepNext/>
        <w:rPr>
          <w:rFonts w:cs="Arial"/>
        </w:rPr>
      </w:pPr>
      <w:r w:rsidRPr="004502A9">
        <w:rPr>
          <w:rFonts w:cs="Arial"/>
        </w:rPr>
        <w:t xml:space="preserve">Figure </w:t>
      </w:r>
      <w:bookmarkStart w:id="69" w:name="_Toc31794586"/>
      <w:bookmarkStart w:id="70" w:name="_Toc31794630"/>
      <w:bookmarkStart w:id="71" w:name="_Toc31794664"/>
      <w:bookmarkStart w:id="72" w:name="_Toc60214665"/>
      <w:r w:rsidRPr="00B85858">
        <w:rPr>
          <w:rFonts w:cs="Arial"/>
        </w:rPr>
        <w:fldChar w:fldCharType="begin"/>
      </w:r>
      <w:r w:rsidRPr="00B85858">
        <w:rPr>
          <w:rFonts w:cs="Arial"/>
        </w:rPr>
        <w:instrText>STYLEREF 1 \s</w:instrText>
      </w:r>
      <w:r w:rsidRPr="00B85858">
        <w:rPr>
          <w:rFonts w:cs="Arial"/>
        </w:rPr>
        <w:fldChar w:fldCharType="separate"/>
      </w:r>
      <w:r w:rsidR="00C93408">
        <w:rPr>
          <w:rFonts w:cs="Arial"/>
          <w:noProof/>
        </w:rPr>
        <w:t>2</w:t>
      </w:r>
      <w:r w:rsidRPr="00B85858">
        <w:rPr>
          <w:rFonts w:cs="Arial"/>
        </w:rPr>
        <w:fldChar w:fldCharType="end"/>
      </w:r>
      <w:r w:rsidRPr="00B85858">
        <w:rPr>
          <w:rFonts w:cs="Arial"/>
        </w:rPr>
        <w:noBreakHyphen/>
      </w:r>
      <w:r w:rsidR="006A7AFA">
        <w:rPr>
          <w:rFonts w:cs="Arial"/>
        </w:rPr>
        <w:t>4</w:t>
      </w:r>
      <w:r w:rsidRPr="004502A9">
        <w:rPr>
          <w:rFonts w:cs="Arial"/>
        </w:rPr>
        <w:t>: Ex</w:t>
      </w:r>
      <w:r w:rsidRPr="00B75C3F">
        <w:t>amples of Integrated Report Condition Category Determination</w:t>
      </w:r>
      <w:bookmarkEnd w:id="69"/>
      <w:bookmarkEnd w:id="70"/>
      <w:bookmarkEnd w:id="71"/>
      <w:bookmarkEnd w:id="72"/>
    </w:p>
    <w:p w14:paraId="584F5F7E" w14:textId="0853A5E0" w:rsidR="007710C3" w:rsidRPr="004502A9" w:rsidRDefault="0081303F" w:rsidP="007710C3">
      <w:pPr>
        <w:rPr>
          <w:rFonts w:cs="Arial"/>
        </w:rPr>
      </w:pPr>
      <w:r>
        <w:rPr>
          <w:rFonts w:cs="Arial"/>
          <w:noProof/>
        </w:rPr>
        <w:drawing>
          <wp:inline distT="0" distB="0" distL="0" distR="0" wp14:anchorId="0C0F2945" wp14:editId="5C9DD691">
            <wp:extent cx="5943600" cy="6283960"/>
            <wp:effectExtent l="19050" t="19050" r="19050" b="21590"/>
            <wp:docPr id="1" name="Picture 1" descr="A graphic with examples of how condition categories were assigned based on beneficial use attainment at the decis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ic with examples of how condition categories were assigned based on beneficial use attainment at the decision level."/>
                    <pic:cNvPicPr/>
                  </pic:nvPicPr>
                  <pic:blipFill>
                    <a:blip r:embed="rId44">
                      <a:extLst>
                        <a:ext uri="{28A0092B-C50C-407E-A947-70E740481C1C}">
                          <a14:useLocalDpi xmlns:a14="http://schemas.microsoft.com/office/drawing/2010/main" val="0"/>
                        </a:ext>
                      </a:extLst>
                    </a:blip>
                    <a:stretch>
                      <a:fillRect/>
                    </a:stretch>
                  </pic:blipFill>
                  <pic:spPr>
                    <a:xfrm>
                      <a:off x="0" y="0"/>
                      <a:ext cx="5943600" cy="6283960"/>
                    </a:xfrm>
                    <a:prstGeom prst="rect">
                      <a:avLst/>
                    </a:prstGeom>
                    <a:ln>
                      <a:solidFill>
                        <a:schemeClr val="tx1"/>
                      </a:solidFill>
                    </a:ln>
                  </pic:spPr>
                </pic:pic>
              </a:graphicData>
            </a:graphic>
          </wp:inline>
        </w:drawing>
      </w:r>
    </w:p>
    <w:p w14:paraId="0D38047F" w14:textId="17F6E43B" w:rsidR="00883806" w:rsidRPr="004502A9" w:rsidRDefault="00B069D6" w:rsidP="00597DE8">
      <w:pPr>
        <w:pStyle w:val="Heading2"/>
      </w:pPr>
      <w:bookmarkStart w:id="73" w:name="_Toc19788818"/>
      <w:bookmarkStart w:id="74" w:name="_Toc35339597"/>
      <w:bookmarkStart w:id="75" w:name="_Toc189048563"/>
      <w:bookmarkEnd w:id="40"/>
      <w:r>
        <w:t xml:space="preserve">TMDLs </w:t>
      </w:r>
      <w:r w:rsidR="00883806" w:rsidRPr="004502A9">
        <w:t xml:space="preserve">and </w:t>
      </w:r>
      <w:r>
        <w:t>Other Effor</w:t>
      </w:r>
      <w:r w:rsidR="002771C7">
        <w:t>ts to Address Impaired Waters</w:t>
      </w:r>
      <w:bookmarkEnd w:id="75"/>
      <w:r w:rsidR="002771C7">
        <w:t xml:space="preserve"> </w:t>
      </w:r>
      <w:r w:rsidRPr="004502A9">
        <w:t xml:space="preserve"> </w:t>
      </w:r>
    </w:p>
    <w:p w14:paraId="5716DEA3" w14:textId="469AA9BF" w:rsidR="00393696" w:rsidRPr="00E263E5" w:rsidRDefault="00393696" w:rsidP="00393696">
      <w:pPr>
        <w:autoSpaceDE w:val="0"/>
        <w:autoSpaceDN w:val="0"/>
        <w:rPr>
          <w:rFonts w:ascii="Aptos" w:hAnsi="Aptos"/>
          <w:szCs w:val="24"/>
        </w:rPr>
      </w:pPr>
      <w:r w:rsidRPr="00E263E5">
        <w:rPr>
          <w:szCs w:val="24"/>
        </w:rPr>
        <w:t>The CWA states that when a state prepares its 303(d) list, it must establish a priority ranking for impaired waters, “taking into account the severity of the pollution and the uses to be made of such waters</w:t>
      </w:r>
      <w:r w:rsidR="004E55E9">
        <w:rPr>
          <w:szCs w:val="24"/>
        </w:rPr>
        <w:t>.</w:t>
      </w:r>
      <w:r w:rsidRPr="00E263E5">
        <w:rPr>
          <w:szCs w:val="24"/>
        </w:rPr>
        <w:t>” (33 U.S.C. § 1313(d)(1)(A)</w:t>
      </w:r>
      <w:r w:rsidR="004E55E9">
        <w:rPr>
          <w:szCs w:val="24"/>
        </w:rPr>
        <w:t>.</w:t>
      </w:r>
      <w:r w:rsidRPr="00E263E5">
        <w:rPr>
          <w:szCs w:val="24"/>
        </w:rPr>
        <w:t xml:space="preserve">) </w:t>
      </w:r>
      <w:r w:rsidR="00E263E5" w:rsidRPr="00E263E5">
        <w:rPr>
          <w:szCs w:val="24"/>
        </w:rPr>
        <w:t xml:space="preserve">Federal </w:t>
      </w:r>
      <w:r w:rsidRPr="00E263E5">
        <w:rPr>
          <w:szCs w:val="24"/>
        </w:rPr>
        <w:t>regulations further require the ranking to “includ[e] waters targeted for TMDL development within the next two years.” (40 C.F.R. § 130.7(d)(1).)</w:t>
      </w:r>
      <w:r w:rsidRPr="00E263E5">
        <w:rPr>
          <w:i/>
          <w:iCs/>
          <w:szCs w:val="24"/>
        </w:rPr>
        <w:t xml:space="preserve"> </w:t>
      </w:r>
      <w:r w:rsidRPr="00E263E5">
        <w:rPr>
          <w:szCs w:val="24"/>
        </w:rPr>
        <w:t>The priority ranking itself must include all waters that need a TMDL. (</w:t>
      </w:r>
      <w:r w:rsidRPr="00E263E5">
        <w:rPr>
          <w:i/>
          <w:iCs/>
          <w:szCs w:val="24"/>
        </w:rPr>
        <w:t xml:space="preserve">Id. </w:t>
      </w:r>
      <w:r w:rsidRPr="00E263E5">
        <w:rPr>
          <w:szCs w:val="24"/>
        </w:rPr>
        <w:t xml:space="preserve">§ 130.7(b).) </w:t>
      </w:r>
    </w:p>
    <w:p w14:paraId="60A4DAA8" w14:textId="3C04A2F1" w:rsidR="00137013" w:rsidRDefault="00E82EFB" w:rsidP="00883806">
      <w:pPr>
        <w:autoSpaceDE w:val="0"/>
        <w:autoSpaceDN w:val="0"/>
        <w:adjustRightInd w:val="0"/>
        <w:rPr>
          <w:rFonts w:cs="Arial"/>
          <w:szCs w:val="24"/>
        </w:rPr>
      </w:pPr>
      <w:r w:rsidRPr="00E82EFB">
        <w:rPr>
          <w:rFonts w:eastAsia="Arial" w:cs="Arial"/>
        </w:rPr>
        <w:t xml:space="preserve">In September 2022, the </w:t>
      </w:r>
      <w:r w:rsidR="00313C98">
        <w:rPr>
          <w:rFonts w:eastAsia="Arial" w:cs="Arial"/>
        </w:rPr>
        <w:t>USEPA</w:t>
      </w:r>
      <w:r w:rsidRPr="00E82EFB">
        <w:rPr>
          <w:rFonts w:eastAsia="Arial" w:cs="Arial"/>
        </w:rPr>
        <w:t xml:space="preserve"> released the </w:t>
      </w:r>
      <w:r w:rsidR="0055595A">
        <w:rPr>
          <w:rFonts w:eastAsia="Arial" w:cs="Arial"/>
        </w:rPr>
        <w:t>2022-2032 Vision</w:t>
      </w:r>
      <w:r w:rsidR="00557A40">
        <w:rPr>
          <w:rFonts w:eastAsia="Arial" w:cs="Arial"/>
        </w:rPr>
        <w:t xml:space="preserve"> </w:t>
      </w:r>
      <w:r w:rsidR="001104B7">
        <w:rPr>
          <w:rFonts w:eastAsia="Arial" w:cs="Arial"/>
        </w:rPr>
        <w:t>which</w:t>
      </w:r>
      <w:r w:rsidR="00B1630B">
        <w:rPr>
          <w:rFonts w:eastAsia="Arial" w:cs="Arial"/>
        </w:rPr>
        <w:t xml:space="preserve"> </w:t>
      </w:r>
      <w:r w:rsidR="005273D0" w:rsidRPr="5143D8AB">
        <w:rPr>
          <w:rFonts w:eastAsia="Arial" w:cs="Arial"/>
        </w:rPr>
        <w:t>encourages</w:t>
      </w:r>
      <w:r w:rsidR="00137B84" w:rsidRPr="00137B84">
        <w:rPr>
          <w:rFonts w:eastAsia="Arial" w:cs="Arial"/>
        </w:rPr>
        <w:t xml:space="preserve"> states to </w:t>
      </w:r>
      <w:r w:rsidR="005273D0" w:rsidRPr="709A452A">
        <w:rPr>
          <w:rFonts w:eastAsia="Arial" w:cs="Arial"/>
        </w:rPr>
        <w:t>coordinate program activities and identify priorities</w:t>
      </w:r>
      <w:r w:rsidR="00137B84" w:rsidRPr="00137B84">
        <w:rPr>
          <w:rFonts w:eastAsia="Arial" w:cs="Arial"/>
        </w:rPr>
        <w:t xml:space="preserve"> that </w:t>
      </w:r>
      <w:r w:rsidR="005273D0" w:rsidRPr="709A452A">
        <w:rPr>
          <w:rFonts w:eastAsia="Arial" w:cs="Arial"/>
        </w:rPr>
        <w:t xml:space="preserve">align with objectives of these programs. The </w:t>
      </w:r>
      <w:r w:rsidR="00313C98">
        <w:rPr>
          <w:rFonts w:eastAsia="Arial" w:cs="Arial"/>
        </w:rPr>
        <w:t>USEPA</w:t>
      </w:r>
      <w:r w:rsidR="005273D0" w:rsidRPr="709A452A">
        <w:rPr>
          <w:rFonts w:eastAsia="Arial" w:cs="Arial"/>
        </w:rPr>
        <w:t xml:space="preserve"> </w:t>
      </w:r>
      <w:r w:rsidR="005273D0" w:rsidRPr="5143D8AB">
        <w:rPr>
          <w:rFonts w:eastAsia="Arial" w:cs="Arial"/>
        </w:rPr>
        <w:t>encouraged</w:t>
      </w:r>
      <w:r w:rsidR="005273D0" w:rsidRPr="709A452A">
        <w:rPr>
          <w:rFonts w:eastAsia="Arial" w:cs="Arial"/>
        </w:rPr>
        <w:t xml:space="preserve"> states </w:t>
      </w:r>
      <w:r w:rsidR="0071157E">
        <w:rPr>
          <w:rFonts w:eastAsia="Arial" w:cs="Arial"/>
        </w:rPr>
        <w:t xml:space="preserve">to </w:t>
      </w:r>
      <w:r w:rsidR="005273D0" w:rsidRPr="709A452A">
        <w:rPr>
          <w:rFonts w:eastAsia="Arial" w:cs="Arial"/>
        </w:rPr>
        <w:t>submit a Prioritization Framework document that outlines long-term priorities to fulfill the CWA Section 303(d) program.</w:t>
      </w:r>
    </w:p>
    <w:p w14:paraId="4B69E12B" w14:textId="61221BE3" w:rsidR="00BE4E2D" w:rsidRPr="00AA5CDF" w:rsidRDefault="003979B8" w:rsidP="00883806">
      <w:pPr>
        <w:autoSpaceDE w:val="0"/>
        <w:autoSpaceDN w:val="0"/>
        <w:adjustRightInd w:val="0"/>
        <w:rPr>
          <w:rFonts w:cs="Arial"/>
          <w:szCs w:val="24"/>
        </w:rPr>
      </w:pPr>
      <w:r>
        <w:rPr>
          <w:rFonts w:eastAsia="Arial" w:cs="Arial"/>
        </w:rPr>
        <w:t>The</w:t>
      </w:r>
      <w:r w:rsidR="005C27D9" w:rsidRPr="005C27D9">
        <w:rPr>
          <w:rFonts w:eastAsia="Arial" w:cs="Arial"/>
        </w:rPr>
        <w:t xml:space="preserve"> State Water Board, in collaboration with the Regional Water Boards, developed </w:t>
      </w:r>
      <w:r w:rsidR="005C27D9" w:rsidRPr="00423C20">
        <w:rPr>
          <w:rFonts w:eastAsia="Arial" w:cs="Arial"/>
        </w:rPr>
        <w:t>California’s Prioritization Framework for Plans to Restore Impaired Waterbodies</w:t>
      </w:r>
      <w:r w:rsidR="005C27D9">
        <w:rPr>
          <w:rFonts w:eastAsia="Arial" w:cs="Arial"/>
        </w:rPr>
        <w:t xml:space="preserve"> (“</w:t>
      </w:r>
      <w:bookmarkStart w:id="76" w:name="_Hlk174356335"/>
      <w:r w:rsidR="005C27D9">
        <w:rPr>
          <w:rFonts w:eastAsia="Arial" w:cs="Arial"/>
        </w:rPr>
        <w:t xml:space="preserve">Prioritization </w:t>
      </w:r>
      <w:bookmarkEnd w:id="76"/>
      <w:r w:rsidR="005C27D9">
        <w:rPr>
          <w:rFonts w:eastAsia="Arial" w:cs="Arial"/>
        </w:rPr>
        <w:t>Framework”)</w:t>
      </w:r>
      <w:r w:rsidR="005C27D9" w:rsidRPr="005C27D9">
        <w:rPr>
          <w:rFonts w:eastAsia="Arial" w:cs="Arial"/>
        </w:rPr>
        <w:t xml:space="preserve"> to </w:t>
      </w:r>
      <w:r w:rsidR="005C27D9">
        <w:rPr>
          <w:rFonts w:eastAsia="Arial" w:cs="Arial"/>
        </w:rPr>
        <w:t>fulfill</w:t>
      </w:r>
      <w:r w:rsidR="005C27D9" w:rsidRPr="005C27D9">
        <w:rPr>
          <w:rFonts w:eastAsia="Arial" w:cs="Arial"/>
        </w:rPr>
        <w:t xml:space="preserve"> the goals of the 2022-2032 Vision. Refer to </w:t>
      </w:r>
      <w:r w:rsidR="005C27D9" w:rsidRPr="00EE4E75">
        <w:rPr>
          <w:rFonts w:eastAsia="Arial" w:cs="Arial"/>
        </w:rPr>
        <w:t xml:space="preserve">Appendix </w:t>
      </w:r>
      <w:r w:rsidR="00A76542">
        <w:rPr>
          <w:rFonts w:eastAsia="Arial" w:cs="Arial"/>
        </w:rPr>
        <w:t>L</w:t>
      </w:r>
      <w:r w:rsidR="005C27D9" w:rsidRPr="00EE4E75">
        <w:rPr>
          <w:rFonts w:eastAsia="Arial" w:cs="Arial"/>
        </w:rPr>
        <w:t>:</w:t>
      </w:r>
      <w:r w:rsidR="005C27D9" w:rsidRPr="005C27D9">
        <w:rPr>
          <w:rFonts w:eastAsia="Arial" w:cs="Arial"/>
        </w:rPr>
        <w:t xml:space="preserve"> </w:t>
      </w:r>
      <w:bookmarkStart w:id="77" w:name="_Hlk174537485"/>
      <w:r w:rsidR="005C27D9" w:rsidRPr="005C27D9">
        <w:rPr>
          <w:rFonts w:eastAsia="Arial" w:cs="Arial"/>
        </w:rPr>
        <w:t>California’s Prioritization Framework for Plans to Restore Impaired Waterbodies</w:t>
      </w:r>
      <w:bookmarkEnd w:id="77"/>
      <w:r w:rsidR="005C27D9" w:rsidRPr="005C27D9">
        <w:rPr>
          <w:rFonts w:eastAsia="Arial" w:cs="Arial"/>
        </w:rPr>
        <w:t xml:space="preserve"> for details. The</w:t>
      </w:r>
      <w:r w:rsidR="00971F46">
        <w:rPr>
          <w:rFonts w:eastAsia="Arial" w:cs="Arial"/>
        </w:rPr>
        <w:t xml:space="preserve"> Prioritization</w:t>
      </w:r>
      <w:r w:rsidR="005C27D9" w:rsidRPr="005C27D9">
        <w:rPr>
          <w:rFonts w:eastAsia="Arial" w:cs="Arial"/>
        </w:rPr>
        <w:t xml:space="preserve"> Framework provide</w:t>
      </w:r>
      <w:r w:rsidR="00AF4C59">
        <w:rPr>
          <w:rFonts w:eastAsia="Arial" w:cs="Arial"/>
        </w:rPr>
        <w:t>s</w:t>
      </w:r>
      <w:r w:rsidR="005C27D9" w:rsidRPr="005C27D9">
        <w:rPr>
          <w:rFonts w:eastAsia="Arial" w:cs="Arial"/>
        </w:rPr>
        <w:t xml:space="preserve"> guidance for prioritizing the development of TMDLs</w:t>
      </w:r>
      <w:r w:rsidR="008F79E3">
        <w:rPr>
          <w:rFonts w:eastAsia="Arial" w:cs="Arial"/>
        </w:rPr>
        <w:t xml:space="preserve"> and other </w:t>
      </w:r>
      <w:r w:rsidR="00301F72">
        <w:rPr>
          <w:rFonts w:eastAsia="Arial" w:cs="Arial"/>
        </w:rPr>
        <w:t>plans</w:t>
      </w:r>
      <w:r w:rsidR="008F79E3">
        <w:rPr>
          <w:rFonts w:eastAsia="Arial" w:cs="Arial"/>
        </w:rPr>
        <w:t xml:space="preserve"> to restore impaired waterbodies. </w:t>
      </w:r>
      <w:r w:rsidR="00395714">
        <w:rPr>
          <w:rFonts w:eastAsia="Arial" w:cs="Arial"/>
        </w:rPr>
        <w:t xml:space="preserve">The Prioritization Framework combined, organized, and expanded upon factors that </w:t>
      </w:r>
      <w:r w:rsidR="00076EBF">
        <w:rPr>
          <w:rFonts w:eastAsia="Arial" w:cs="Arial"/>
        </w:rPr>
        <w:t>the</w:t>
      </w:r>
      <w:r w:rsidR="00FD7474">
        <w:rPr>
          <w:rFonts w:eastAsia="Arial" w:cs="Arial"/>
        </w:rPr>
        <w:t xml:space="preserve"> Water Boards </w:t>
      </w:r>
      <w:r w:rsidR="00395714">
        <w:rPr>
          <w:rFonts w:eastAsia="Arial" w:cs="Arial"/>
        </w:rPr>
        <w:t xml:space="preserve">have used to </w:t>
      </w:r>
      <w:r w:rsidR="00F268BD">
        <w:rPr>
          <w:rFonts w:eastAsia="Arial" w:cs="Arial"/>
        </w:rPr>
        <w:t>prioritize</w:t>
      </w:r>
      <w:r w:rsidR="00FD7474">
        <w:rPr>
          <w:rFonts w:eastAsia="Arial" w:cs="Arial"/>
        </w:rPr>
        <w:t xml:space="preserve"> efforts to restore impaired waters for many years</w:t>
      </w:r>
      <w:r w:rsidR="00F268BD">
        <w:rPr>
          <w:rFonts w:eastAsia="Arial" w:cs="Arial"/>
        </w:rPr>
        <w:t>.</w:t>
      </w:r>
      <w:r w:rsidR="00930DB6">
        <w:rPr>
          <w:rFonts w:eastAsia="Arial" w:cs="Arial"/>
        </w:rPr>
        <w:t xml:space="preserve"> </w:t>
      </w:r>
      <w:r w:rsidR="001C4CFB" w:rsidRPr="0024743D">
        <w:rPr>
          <w:rFonts w:cs="Arial"/>
          <w:szCs w:val="24"/>
        </w:rPr>
        <w:t>Table 2-4</w:t>
      </w:r>
      <w:r w:rsidR="008302B2">
        <w:rPr>
          <w:rFonts w:cs="Arial"/>
          <w:szCs w:val="24"/>
        </w:rPr>
        <w:t xml:space="preserve"> below</w:t>
      </w:r>
      <w:r w:rsidR="001C4CFB" w:rsidRPr="0024743D">
        <w:rPr>
          <w:rFonts w:cs="Arial"/>
          <w:szCs w:val="24"/>
        </w:rPr>
        <w:t xml:space="preserve"> outlines the Prioritization Framework's categories and factors.</w:t>
      </w:r>
      <w:r w:rsidR="000F317C">
        <w:rPr>
          <w:rFonts w:cs="Arial"/>
          <w:szCs w:val="24"/>
        </w:rPr>
        <w:t xml:space="preserve"> </w:t>
      </w:r>
    </w:p>
    <w:p w14:paraId="60C81E7F" w14:textId="68165262" w:rsidR="00956D6D" w:rsidRPr="00F213A6" w:rsidRDefault="00956D6D" w:rsidP="00F213A6">
      <w:pPr>
        <w:pStyle w:val="Caption"/>
      </w:pPr>
      <w:r w:rsidRPr="00F213A6">
        <w:t xml:space="preserve">Table </w:t>
      </w:r>
      <w:r w:rsidR="00BA7D60" w:rsidRPr="00F213A6">
        <w:t>2</w:t>
      </w:r>
      <w:r w:rsidRPr="00F213A6">
        <w:t>-</w:t>
      </w:r>
      <w:r w:rsidR="00436A81" w:rsidRPr="00F213A6">
        <w:t>4</w:t>
      </w:r>
      <w:r w:rsidRPr="00F213A6">
        <w:t xml:space="preserve">: </w:t>
      </w:r>
      <w:r w:rsidR="004A51FB" w:rsidRPr="00F213A6">
        <w:t xml:space="preserve">Prioritization Factors from the </w:t>
      </w:r>
      <w:r w:rsidR="00136409" w:rsidRPr="00F213A6">
        <w:t>California’s Prioritization Framework for Plans to Restore Impaired Waterbodies</w:t>
      </w:r>
    </w:p>
    <w:tbl>
      <w:tblPr>
        <w:tblStyle w:val="TableGrid"/>
        <w:tblW w:w="9900" w:type="dxa"/>
        <w:tblInd w:w="-95" w:type="dxa"/>
        <w:tblCellMar>
          <w:top w:w="58" w:type="dxa"/>
          <w:bottom w:w="58" w:type="dxa"/>
        </w:tblCellMar>
        <w:tblLook w:val="04A0" w:firstRow="1" w:lastRow="0" w:firstColumn="1" w:lastColumn="0" w:noHBand="0" w:noVBand="1"/>
        <w:tblCaption w:val="TMDL Prioritization Framework Factors"/>
        <w:tblDescription w:val="This table provides provides the categories and factors for the State and Regional Water Boards to consider when prioritizing efforts to address impaired waters"/>
      </w:tblPr>
      <w:tblGrid>
        <w:gridCol w:w="1751"/>
        <w:gridCol w:w="8149"/>
      </w:tblGrid>
      <w:tr w:rsidR="00707D10" w:rsidRPr="00D62F5C" w14:paraId="26D7FAE5" w14:textId="77777777" w:rsidTr="001C4CFB">
        <w:trPr>
          <w:cantSplit/>
          <w:trHeight w:val="553"/>
          <w:tblHeader/>
        </w:trPr>
        <w:tc>
          <w:tcPr>
            <w:tcW w:w="1751" w:type="dxa"/>
            <w:shd w:val="clear" w:color="auto" w:fill="D9E2F3" w:themeFill="accent1" w:themeFillTint="33"/>
            <w:vAlign w:val="center"/>
          </w:tcPr>
          <w:p w14:paraId="5DB36275" w14:textId="092BA952" w:rsidR="00973BE4" w:rsidRPr="00D62F5C" w:rsidRDefault="00973BE4">
            <w:pPr>
              <w:spacing w:after="0"/>
              <w:jc w:val="center"/>
              <w:rPr>
                <w:rFonts w:cs="Arial"/>
                <w:b/>
                <w:bCs/>
                <w:szCs w:val="24"/>
              </w:rPr>
            </w:pPr>
            <w:r w:rsidRPr="00D62F5C">
              <w:rPr>
                <w:rFonts w:cs="Arial"/>
                <w:b/>
                <w:bCs/>
                <w:szCs w:val="24"/>
              </w:rPr>
              <w:t>Category</w:t>
            </w:r>
          </w:p>
        </w:tc>
        <w:tc>
          <w:tcPr>
            <w:tcW w:w="8149" w:type="dxa"/>
            <w:shd w:val="clear" w:color="auto" w:fill="D9E2F3" w:themeFill="accent1" w:themeFillTint="33"/>
            <w:vAlign w:val="center"/>
          </w:tcPr>
          <w:p w14:paraId="17D022E9" w14:textId="7FC0706E" w:rsidR="00973BE4" w:rsidRPr="00D62F5C" w:rsidRDefault="00973BE4">
            <w:pPr>
              <w:spacing w:after="0"/>
              <w:jc w:val="center"/>
              <w:rPr>
                <w:rFonts w:cs="Arial"/>
                <w:b/>
                <w:bCs/>
                <w:szCs w:val="24"/>
              </w:rPr>
            </w:pPr>
            <w:r w:rsidRPr="00D62F5C">
              <w:rPr>
                <w:rFonts w:cs="Arial"/>
                <w:b/>
                <w:bCs/>
                <w:szCs w:val="24"/>
              </w:rPr>
              <w:t>Factors</w:t>
            </w:r>
          </w:p>
        </w:tc>
      </w:tr>
      <w:tr w:rsidR="00D62F5C" w:rsidRPr="00D62F5C" w14:paraId="44E4A2E1" w14:textId="77777777" w:rsidTr="001C4CFB">
        <w:trPr>
          <w:cantSplit/>
        </w:trPr>
        <w:tc>
          <w:tcPr>
            <w:tcW w:w="1751" w:type="dxa"/>
          </w:tcPr>
          <w:p w14:paraId="41D1E3B5" w14:textId="56CE8809" w:rsidR="00D62F5C" w:rsidRPr="00B911D2" w:rsidRDefault="00D62F5C" w:rsidP="00B911D2">
            <w:pPr>
              <w:autoSpaceDE w:val="0"/>
              <w:autoSpaceDN w:val="0"/>
              <w:adjustRightInd w:val="0"/>
              <w:jc w:val="center"/>
              <w:rPr>
                <w:rFonts w:cs="Arial"/>
                <w:szCs w:val="24"/>
              </w:rPr>
            </w:pPr>
            <w:r w:rsidRPr="00D62F5C">
              <w:rPr>
                <w:rFonts w:cs="Arial"/>
                <w:szCs w:val="24"/>
              </w:rPr>
              <w:t>Significance and Severity of Impairment</w:t>
            </w:r>
          </w:p>
        </w:tc>
        <w:tc>
          <w:tcPr>
            <w:tcW w:w="8149" w:type="dxa"/>
          </w:tcPr>
          <w:p w14:paraId="48FC78C5" w14:textId="659CD200" w:rsidR="00D62F5C" w:rsidRPr="00D62F5C" w:rsidRDefault="00D62F5C" w:rsidP="003050FB">
            <w:pPr>
              <w:pStyle w:val="ListParagraph"/>
              <w:numPr>
                <w:ilvl w:val="0"/>
                <w:numId w:val="25"/>
              </w:numPr>
              <w:autoSpaceDE w:val="0"/>
              <w:autoSpaceDN w:val="0"/>
              <w:adjustRightInd w:val="0"/>
              <w:ind w:left="397"/>
              <w:rPr>
                <w:rFonts w:cs="Arial"/>
                <w:szCs w:val="24"/>
              </w:rPr>
            </w:pPr>
            <w:r w:rsidRPr="00D62F5C">
              <w:rPr>
                <w:rFonts w:cs="Arial"/>
                <w:szCs w:val="24"/>
              </w:rPr>
              <w:t>Severity that water quality objectives are not met, or beneficial uses are not attained or threatened (such as the severity of the pollution or number of pollutants/stressors of concern).</w:t>
            </w:r>
          </w:p>
          <w:p w14:paraId="18B1E952" w14:textId="77777777" w:rsidR="00D62F5C" w:rsidRPr="00D62F5C" w:rsidRDefault="00D62F5C" w:rsidP="003050FB">
            <w:pPr>
              <w:pStyle w:val="ListParagraph"/>
              <w:numPr>
                <w:ilvl w:val="0"/>
                <w:numId w:val="25"/>
              </w:numPr>
              <w:autoSpaceDE w:val="0"/>
              <w:autoSpaceDN w:val="0"/>
              <w:adjustRightInd w:val="0"/>
              <w:ind w:left="397"/>
              <w:rPr>
                <w:rFonts w:cs="Arial"/>
                <w:szCs w:val="24"/>
              </w:rPr>
            </w:pPr>
            <w:r w:rsidRPr="00D62F5C">
              <w:rPr>
                <w:rFonts w:cs="Arial"/>
                <w:szCs w:val="24"/>
              </w:rPr>
              <w:t>Ecologically important areas.  </w:t>
            </w:r>
          </w:p>
          <w:p w14:paraId="7C50BAC3" w14:textId="77777777" w:rsidR="00D62F5C" w:rsidRPr="00D62F5C" w:rsidRDefault="00D62F5C" w:rsidP="003050FB">
            <w:pPr>
              <w:pStyle w:val="ListParagraph"/>
              <w:numPr>
                <w:ilvl w:val="0"/>
                <w:numId w:val="25"/>
              </w:numPr>
              <w:autoSpaceDE w:val="0"/>
              <w:autoSpaceDN w:val="0"/>
              <w:adjustRightInd w:val="0"/>
              <w:ind w:left="397"/>
              <w:rPr>
                <w:rFonts w:cs="Arial"/>
                <w:szCs w:val="24"/>
              </w:rPr>
            </w:pPr>
            <w:r w:rsidRPr="00D62F5C">
              <w:rPr>
                <w:rFonts w:cs="Arial"/>
                <w:szCs w:val="24"/>
              </w:rPr>
              <w:t>Relevance to human health protection.</w:t>
            </w:r>
          </w:p>
          <w:p w14:paraId="4019D216" w14:textId="77777777" w:rsidR="00D62F5C" w:rsidRPr="00D62F5C" w:rsidRDefault="00D62F5C" w:rsidP="003050FB">
            <w:pPr>
              <w:pStyle w:val="ListParagraph"/>
              <w:numPr>
                <w:ilvl w:val="0"/>
                <w:numId w:val="25"/>
              </w:numPr>
              <w:autoSpaceDE w:val="0"/>
              <w:autoSpaceDN w:val="0"/>
              <w:adjustRightInd w:val="0"/>
              <w:ind w:left="397"/>
              <w:rPr>
                <w:rFonts w:cs="Arial"/>
                <w:szCs w:val="24"/>
              </w:rPr>
            </w:pPr>
            <w:r w:rsidRPr="00D62F5C">
              <w:rPr>
                <w:rFonts w:cs="Arial"/>
                <w:szCs w:val="24"/>
              </w:rPr>
              <w:t>Relevance to threatened and endangered species protection.  </w:t>
            </w:r>
          </w:p>
          <w:p w14:paraId="399D6A96" w14:textId="50D8F889" w:rsidR="00D62F5C" w:rsidRPr="00D62F5C" w:rsidRDefault="00D62F5C" w:rsidP="003050FB">
            <w:pPr>
              <w:pStyle w:val="ListParagraph"/>
              <w:numPr>
                <w:ilvl w:val="0"/>
                <w:numId w:val="25"/>
              </w:numPr>
              <w:autoSpaceDE w:val="0"/>
              <w:autoSpaceDN w:val="0"/>
              <w:adjustRightInd w:val="0"/>
              <w:ind w:left="397"/>
              <w:rPr>
                <w:rFonts w:cs="Arial"/>
                <w:szCs w:val="24"/>
              </w:rPr>
            </w:pPr>
            <w:r w:rsidRPr="00D62F5C">
              <w:rPr>
                <w:rFonts w:cs="Arial"/>
                <w:szCs w:val="24"/>
              </w:rPr>
              <w:t>Intensity of use of the waterbody</w:t>
            </w:r>
            <w:r w:rsidR="00641935">
              <w:rPr>
                <w:rFonts w:cs="Arial"/>
                <w:szCs w:val="24"/>
              </w:rPr>
              <w:t xml:space="preserve"> segment</w:t>
            </w:r>
            <w:r w:rsidR="00C546CE">
              <w:rPr>
                <w:rFonts w:cs="Arial"/>
                <w:szCs w:val="24"/>
              </w:rPr>
              <w:t>, such as frequency</w:t>
            </w:r>
            <w:r w:rsidR="00536589">
              <w:rPr>
                <w:rFonts w:cs="Arial"/>
                <w:szCs w:val="24"/>
              </w:rPr>
              <w:t xml:space="preserve"> of use and number of users</w:t>
            </w:r>
            <w:r w:rsidRPr="00D62F5C">
              <w:rPr>
                <w:rFonts w:cs="Arial"/>
                <w:szCs w:val="24"/>
              </w:rPr>
              <w:t xml:space="preserve">. </w:t>
            </w:r>
          </w:p>
          <w:p w14:paraId="685FF91C" w14:textId="09444F00" w:rsidR="00D62F5C" w:rsidRPr="00D62F5C" w:rsidRDefault="00D62F5C" w:rsidP="003050FB">
            <w:pPr>
              <w:pStyle w:val="ListParagraph"/>
              <w:numPr>
                <w:ilvl w:val="0"/>
                <w:numId w:val="25"/>
              </w:numPr>
              <w:autoSpaceDE w:val="0"/>
              <w:autoSpaceDN w:val="0"/>
              <w:adjustRightInd w:val="0"/>
              <w:ind w:left="397"/>
              <w:rPr>
                <w:rFonts w:cs="Arial"/>
                <w:szCs w:val="24"/>
              </w:rPr>
            </w:pPr>
            <w:r w:rsidRPr="00D62F5C">
              <w:rPr>
                <w:rFonts w:cs="Arial"/>
                <w:szCs w:val="24"/>
              </w:rPr>
              <w:t>Number of beneficial uses impacted.</w:t>
            </w:r>
          </w:p>
        </w:tc>
      </w:tr>
      <w:tr w:rsidR="00D62F5C" w:rsidRPr="00D62F5C" w14:paraId="4A2B374C" w14:textId="77777777" w:rsidTr="001C4CFB">
        <w:trPr>
          <w:cantSplit/>
        </w:trPr>
        <w:tc>
          <w:tcPr>
            <w:tcW w:w="1751" w:type="dxa"/>
          </w:tcPr>
          <w:p w14:paraId="7FA4B44E" w14:textId="173EEF04" w:rsidR="00D62F5C" w:rsidRPr="00D62F5C" w:rsidRDefault="00D62F5C" w:rsidP="00D62F5C">
            <w:pPr>
              <w:spacing w:after="0"/>
              <w:jc w:val="center"/>
              <w:rPr>
                <w:rFonts w:cs="Arial"/>
                <w:i/>
                <w:iCs/>
                <w:szCs w:val="24"/>
              </w:rPr>
            </w:pPr>
            <w:r w:rsidRPr="002179BC">
              <w:rPr>
                <w:rFonts w:cs="Arial"/>
                <w:szCs w:val="24"/>
              </w:rPr>
              <w:t>Environmental Justice </w:t>
            </w:r>
          </w:p>
        </w:tc>
        <w:tc>
          <w:tcPr>
            <w:tcW w:w="8149" w:type="dxa"/>
          </w:tcPr>
          <w:p w14:paraId="2A93CC43" w14:textId="3A3F8D5A" w:rsidR="00D62F5C" w:rsidRPr="00D62F5C" w:rsidRDefault="00D62F5C" w:rsidP="003050FB">
            <w:pPr>
              <w:pStyle w:val="ListParagraph"/>
              <w:numPr>
                <w:ilvl w:val="0"/>
                <w:numId w:val="22"/>
              </w:numPr>
              <w:autoSpaceDE w:val="0"/>
              <w:autoSpaceDN w:val="0"/>
              <w:adjustRightInd w:val="0"/>
              <w:ind w:left="397"/>
              <w:rPr>
                <w:rFonts w:cs="Arial"/>
                <w:szCs w:val="24"/>
              </w:rPr>
            </w:pPr>
            <w:r w:rsidRPr="00D62F5C">
              <w:rPr>
                <w:rFonts w:cs="Arial"/>
                <w:szCs w:val="24"/>
              </w:rPr>
              <w:t xml:space="preserve">Use of the waterbody </w:t>
            </w:r>
            <w:r w:rsidR="00641935">
              <w:rPr>
                <w:rFonts w:cs="Arial"/>
                <w:szCs w:val="24"/>
              </w:rPr>
              <w:t xml:space="preserve">segment </w:t>
            </w:r>
            <w:r w:rsidRPr="00D62F5C">
              <w:rPr>
                <w:rFonts w:cs="Arial"/>
                <w:szCs w:val="24"/>
              </w:rPr>
              <w:t>by California Native American Tribes.</w:t>
            </w:r>
          </w:p>
          <w:p w14:paraId="41326845" w14:textId="2AD7C448" w:rsidR="00D62F5C" w:rsidRPr="00D62F5C" w:rsidRDefault="00D62F5C" w:rsidP="003050FB">
            <w:pPr>
              <w:pStyle w:val="ListParagraph"/>
              <w:numPr>
                <w:ilvl w:val="0"/>
                <w:numId w:val="22"/>
              </w:numPr>
              <w:autoSpaceDE w:val="0"/>
              <w:autoSpaceDN w:val="0"/>
              <w:adjustRightInd w:val="0"/>
              <w:ind w:left="397"/>
              <w:rPr>
                <w:rFonts w:cs="Arial"/>
                <w:szCs w:val="24"/>
              </w:rPr>
            </w:pPr>
            <w:r w:rsidRPr="00D62F5C">
              <w:rPr>
                <w:rFonts w:cs="Arial"/>
                <w:szCs w:val="24"/>
              </w:rPr>
              <w:t xml:space="preserve">Use of the waterbody </w:t>
            </w:r>
            <w:r w:rsidR="00641935">
              <w:rPr>
                <w:rFonts w:cs="Arial"/>
                <w:szCs w:val="24"/>
              </w:rPr>
              <w:t>segment</w:t>
            </w:r>
            <w:r w:rsidRPr="00D62F5C">
              <w:rPr>
                <w:rFonts w:cs="Arial"/>
                <w:szCs w:val="24"/>
              </w:rPr>
              <w:t xml:space="preserve"> by disadvantaged or underserved communities.</w:t>
            </w:r>
          </w:p>
          <w:p w14:paraId="3B3DBA92" w14:textId="77C0F98C" w:rsidR="00D62F5C" w:rsidRPr="00D62F5C" w:rsidRDefault="00D62F5C" w:rsidP="003050FB">
            <w:pPr>
              <w:pStyle w:val="ListParagraph"/>
              <w:numPr>
                <w:ilvl w:val="0"/>
                <w:numId w:val="22"/>
              </w:numPr>
              <w:autoSpaceDE w:val="0"/>
              <w:autoSpaceDN w:val="0"/>
              <w:adjustRightInd w:val="0"/>
              <w:ind w:left="397"/>
              <w:rPr>
                <w:rFonts w:cs="Arial"/>
                <w:szCs w:val="24"/>
              </w:rPr>
            </w:pPr>
            <w:r w:rsidRPr="00D62F5C">
              <w:rPr>
                <w:rFonts w:cs="Arial"/>
                <w:szCs w:val="24"/>
              </w:rPr>
              <w:t>Actions that promote equity.</w:t>
            </w:r>
          </w:p>
        </w:tc>
      </w:tr>
      <w:tr w:rsidR="00D62F5C" w:rsidRPr="00D62F5C" w14:paraId="494D2EFD" w14:textId="77777777" w:rsidTr="001C4CFB">
        <w:trPr>
          <w:cantSplit/>
        </w:trPr>
        <w:tc>
          <w:tcPr>
            <w:tcW w:w="1751" w:type="dxa"/>
          </w:tcPr>
          <w:p w14:paraId="3B3DE606" w14:textId="65385F06" w:rsidR="00D62F5C" w:rsidRPr="00D62F5C" w:rsidRDefault="00D62F5C" w:rsidP="00D62F5C">
            <w:pPr>
              <w:spacing w:after="0"/>
              <w:jc w:val="center"/>
              <w:rPr>
                <w:rFonts w:cs="Arial"/>
                <w:szCs w:val="24"/>
              </w:rPr>
            </w:pPr>
            <w:r w:rsidRPr="002179BC">
              <w:rPr>
                <w:rFonts w:cs="Arial"/>
                <w:szCs w:val="24"/>
              </w:rPr>
              <w:t>Climate Change </w:t>
            </w:r>
          </w:p>
        </w:tc>
        <w:tc>
          <w:tcPr>
            <w:tcW w:w="8149" w:type="dxa"/>
          </w:tcPr>
          <w:p w14:paraId="4464C861" w14:textId="6BDA1026" w:rsidR="00D62F5C" w:rsidRPr="00D62F5C" w:rsidRDefault="00D62F5C" w:rsidP="003050FB">
            <w:pPr>
              <w:pStyle w:val="ListParagraph"/>
              <w:numPr>
                <w:ilvl w:val="0"/>
                <w:numId w:val="23"/>
              </w:numPr>
              <w:autoSpaceDE w:val="0"/>
              <w:autoSpaceDN w:val="0"/>
              <w:adjustRightInd w:val="0"/>
              <w:ind w:left="397"/>
              <w:rPr>
                <w:rFonts w:cs="Arial"/>
                <w:szCs w:val="24"/>
              </w:rPr>
            </w:pPr>
            <w:r w:rsidRPr="00D62F5C">
              <w:rPr>
                <w:rFonts w:cs="Arial"/>
                <w:szCs w:val="24"/>
              </w:rPr>
              <w:t>Actions taken to build resilience and to adjust to the impacts of climate change. Decisions that don’t worsen the situation or transfer the challenge from one area, sector, or social group to another. </w:t>
            </w:r>
          </w:p>
          <w:p w14:paraId="696805E8" w14:textId="4FCF4090" w:rsidR="00D62F5C" w:rsidRPr="00D62F5C" w:rsidRDefault="00D62F5C" w:rsidP="003050FB">
            <w:pPr>
              <w:pStyle w:val="ListParagraph"/>
              <w:numPr>
                <w:ilvl w:val="0"/>
                <w:numId w:val="23"/>
              </w:numPr>
              <w:autoSpaceDE w:val="0"/>
              <w:autoSpaceDN w:val="0"/>
              <w:adjustRightInd w:val="0"/>
              <w:ind w:left="397"/>
              <w:rPr>
                <w:rFonts w:cs="Arial"/>
                <w:szCs w:val="24"/>
              </w:rPr>
            </w:pPr>
            <w:r w:rsidRPr="00D62F5C">
              <w:rPr>
                <w:rFonts w:cs="Arial"/>
                <w:szCs w:val="24"/>
              </w:rPr>
              <w:t>Capacity to prepare for, recover from, and grow from disruptions.  </w:t>
            </w:r>
          </w:p>
          <w:p w14:paraId="56B778DC" w14:textId="0196A0AD" w:rsidR="00D62F5C" w:rsidRPr="00D62F5C" w:rsidRDefault="001338D7" w:rsidP="003050FB">
            <w:pPr>
              <w:pStyle w:val="ListParagraph"/>
              <w:numPr>
                <w:ilvl w:val="0"/>
                <w:numId w:val="23"/>
              </w:numPr>
              <w:autoSpaceDE w:val="0"/>
              <w:autoSpaceDN w:val="0"/>
              <w:adjustRightInd w:val="0"/>
              <w:ind w:left="397"/>
              <w:rPr>
                <w:rFonts w:cs="Arial"/>
                <w:szCs w:val="24"/>
              </w:rPr>
            </w:pPr>
            <w:r>
              <w:rPr>
                <w:rFonts w:cs="Arial"/>
                <w:szCs w:val="24"/>
              </w:rPr>
              <w:t>A</w:t>
            </w:r>
            <w:r w:rsidRPr="00D62F5C">
              <w:rPr>
                <w:rFonts w:cs="Arial"/>
                <w:szCs w:val="24"/>
              </w:rPr>
              <w:t xml:space="preserve">ctions </w:t>
            </w:r>
            <w:r w:rsidR="00D62F5C" w:rsidRPr="00D62F5C">
              <w:rPr>
                <w:rFonts w:cs="Arial"/>
                <w:szCs w:val="24"/>
              </w:rPr>
              <w:t>taken to reduce the concentration of greenhouse gases in the atmosphere. </w:t>
            </w:r>
          </w:p>
          <w:p w14:paraId="57A4791F" w14:textId="07D79B3C" w:rsidR="00D62F5C" w:rsidRPr="00D62F5C" w:rsidRDefault="00D62F5C" w:rsidP="003050FB">
            <w:pPr>
              <w:pStyle w:val="ListParagraph"/>
              <w:numPr>
                <w:ilvl w:val="0"/>
                <w:numId w:val="23"/>
              </w:numPr>
              <w:autoSpaceDE w:val="0"/>
              <w:autoSpaceDN w:val="0"/>
              <w:adjustRightInd w:val="0"/>
              <w:ind w:left="397"/>
              <w:rPr>
                <w:rFonts w:cs="Arial"/>
                <w:szCs w:val="24"/>
              </w:rPr>
            </w:pPr>
            <w:r w:rsidRPr="00D62F5C">
              <w:rPr>
                <w:rFonts w:cs="Arial"/>
                <w:szCs w:val="24"/>
              </w:rPr>
              <w:t>Actions to decrease heightened risk and decrease sensitivity to climate change. Measures to support communities with less capacity and fewer resources to cope with, adapt to, or recover from climate impacts. </w:t>
            </w:r>
          </w:p>
          <w:p w14:paraId="5BC77500" w14:textId="77777777" w:rsidR="00D62F5C" w:rsidRPr="00D62F5C" w:rsidRDefault="00D62F5C" w:rsidP="003050FB">
            <w:pPr>
              <w:pStyle w:val="ListParagraph"/>
              <w:numPr>
                <w:ilvl w:val="0"/>
                <w:numId w:val="23"/>
              </w:numPr>
              <w:autoSpaceDE w:val="0"/>
              <w:autoSpaceDN w:val="0"/>
              <w:adjustRightInd w:val="0"/>
              <w:ind w:left="397"/>
              <w:rPr>
                <w:rFonts w:cs="Arial"/>
                <w:szCs w:val="24"/>
              </w:rPr>
            </w:pPr>
            <w:r w:rsidRPr="00D62F5C">
              <w:rPr>
                <w:rFonts w:cs="Arial"/>
                <w:szCs w:val="24"/>
              </w:rPr>
              <w:t>Natural and green infrastructure solutions to enhance and protect natural resources. </w:t>
            </w:r>
          </w:p>
          <w:p w14:paraId="0DE05992" w14:textId="77777777" w:rsidR="00D62F5C" w:rsidRPr="00D62F5C" w:rsidRDefault="00D62F5C" w:rsidP="003050FB">
            <w:pPr>
              <w:pStyle w:val="ListParagraph"/>
              <w:numPr>
                <w:ilvl w:val="0"/>
                <w:numId w:val="23"/>
              </w:numPr>
              <w:autoSpaceDE w:val="0"/>
              <w:autoSpaceDN w:val="0"/>
              <w:adjustRightInd w:val="0"/>
              <w:ind w:left="397"/>
              <w:rPr>
                <w:rFonts w:cs="Arial"/>
                <w:szCs w:val="24"/>
              </w:rPr>
            </w:pPr>
            <w:r w:rsidRPr="00D62F5C">
              <w:rPr>
                <w:rFonts w:cs="Arial"/>
                <w:szCs w:val="24"/>
              </w:rPr>
              <w:t>Consideration of future climate conditions. </w:t>
            </w:r>
          </w:p>
          <w:p w14:paraId="50AE49AC" w14:textId="2DECDD78" w:rsidR="00D62F5C" w:rsidRPr="00D62F5C" w:rsidRDefault="00D62F5C" w:rsidP="003050FB">
            <w:pPr>
              <w:pStyle w:val="ListParagraph"/>
              <w:numPr>
                <w:ilvl w:val="0"/>
                <w:numId w:val="23"/>
              </w:numPr>
              <w:autoSpaceDE w:val="0"/>
              <w:autoSpaceDN w:val="0"/>
              <w:adjustRightInd w:val="0"/>
              <w:ind w:left="397"/>
              <w:rPr>
                <w:rFonts w:cs="Arial"/>
                <w:szCs w:val="24"/>
              </w:rPr>
            </w:pPr>
            <w:r w:rsidRPr="00D62F5C">
              <w:rPr>
                <w:rFonts w:cs="Arial"/>
                <w:szCs w:val="24"/>
              </w:rPr>
              <w:t>Actions likely to reduce present and near future (within 20 years) climate change risks for all Californians.</w:t>
            </w:r>
          </w:p>
        </w:tc>
      </w:tr>
      <w:tr w:rsidR="00D62F5C" w:rsidRPr="00D62F5C" w14:paraId="7540B30F" w14:textId="77777777" w:rsidTr="001C4CFB">
        <w:trPr>
          <w:cantSplit/>
        </w:trPr>
        <w:tc>
          <w:tcPr>
            <w:tcW w:w="1751" w:type="dxa"/>
          </w:tcPr>
          <w:p w14:paraId="615D7DF0" w14:textId="37B3FF0F" w:rsidR="00D62F5C" w:rsidRPr="00D62F5C" w:rsidRDefault="00D62F5C" w:rsidP="00D62F5C">
            <w:pPr>
              <w:spacing w:after="0"/>
              <w:jc w:val="center"/>
              <w:rPr>
                <w:rFonts w:cs="Arial"/>
                <w:szCs w:val="24"/>
              </w:rPr>
            </w:pPr>
            <w:r w:rsidRPr="002179BC">
              <w:rPr>
                <w:rFonts w:cs="Arial"/>
                <w:szCs w:val="24"/>
              </w:rPr>
              <w:t>Readiness and Potential for Success  </w:t>
            </w:r>
          </w:p>
        </w:tc>
        <w:tc>
          <w:tcPr>
            <w:tcW w:w="8149" w:type="dxa"/>
          </w:tcPr>
          <w:p w14:paraId="17D57E5A" w14:textId="77777777" w:rsidR="00D62F5C" w:rsidRPr="00D62F5C" w:rsidRDefault="00D62F5C" w:rsidP="003050FB">
            <w:pPr>
              <w:pStyle w:val="ListParagraph"/>
              <w:numPr>
                <w:ilvl w:val="0"/>
                <w:numId w:val="24"/>
              </w:numPr>
              <w:autoSpaceDE w:val="0"/>
              <w:autoSpaceDN w:val="0"/>
              <w:adjustRightInd w:val="0"/>
              <w:ind w:left="397"/>
              <w:rPr>
                <w:rFonts w:cs="Arial"/>
                <w:szCs w:val="24"/>
              </w:rPr>
            </w:pPr>
            <w:r w:rsidRPr="00D62F5C">
              <w:rPr>
                <w:rFonts w:cs="Arial"/>
                <w:szCs w:val="24"/>
              </w:rPr>
              <w:t>Water quality benefits of activities ongoing in the watershed.</w:t>
            </w:r>
          </w:p>
          <w:p w14:paraId="745D0B13" w14:textId="77777777" w:rsidR="00D62F5C" w:rsidRPr="00D62F5C" w:rsidRDefault="00D62F5C" w:rsidP="003050FB">
            <w:pPr>
              <w:pStyle w:val="ListParagraph"/>
              <w:numPr>
                <w:ilvl w:val="0"/>
                <w:numId w:val="24"/>
              </w:numPr>
              <w:autoSpaceDE w:val="0"/>
              <w:autoSpaceDN w:val="0"/>
              <w:adjustRightInd w:val="0"/>
              <w:ind w:left="397"/>
              <w:rPr>
                <w:rFonts w:cs="Arial"/>
                <w:szCs w:val="24"/>
              </w:rPr>
            </w:pPr>
            <w:r w:rsidRPr="00D62F5C">
              <w:rPr>
                <w:rFonts w:cs="Arial"/>
                <w:szCs w:val="24"/>
              </w:rPr>
              <w:t>Potential for beneficial use protection and recovery.</w:t>
            </w:r>
          </w:p>
          <w:p w14:paraId="307EC393" w14:textId="77777777" w:rsidR="00D62F5C" w:rsidRPr="00D62F5C" w:rsidRDefault="00D62F5C" w:rsidP="003050FB">
            <w:pPr>
              <w:pStyle w:val="ListParagraph"/>
              <w:numPr>
                <w:ilvl w:val="0"/>
                <w:numId w:val="24"/>
              </w:numPr>
              <w:autoSpaceDE w:val="0"/>
              <w:autoSpaceDN w:val="0"/>
              <w:adjustRightInd w:val="0"/>
              <w:ind w:left="397"/>
              <w:rPr>
                <w:rFonts w:cs="Arial"/>
                <w:szCs w:val="24"/>
              </w:rPr>
            </w:pPr>
            <w:r w:rsidRPr="00D62F5C">
              <w:rPr>
                <w:rFonts w:cs="Arial"/>
                <w:szCs w:val="24"/>
              </w:rPr>
              <w:t>Availability of data and information to address the water quality problem. </w:t>
            </w:r>
          </w:p>
          <w:p w14:paraId="0A21B8FF" w14:textId="77777777" w:rsidR="00D62F5C" w:rsidRPr="00D62F5C" w:rsidRDefault="00D62F5C" w:rsidP="003050FB">
            <w:pPr>
              <w:pStyle w:val="ListParagraph"/>
              <w:numPr>
                <w:ilvl w:val="0"/>
                <w:numId w:val="24"/>
              </w:numPr>
              <w:autoSpaceDE w:val="0"/>
              <w:autoSpaceDN w:val="0"/>
              <w:adjustRightInd w:val="0"/>
              <w:ind w:left="397"/>
              <w:rPr>
                <w:rFonts w:cs="Arial"/>
                <w:szCs w:val="24"/>
              </w:rPr>
            </w:pPr>
            <w:r w:rsidRPr="00D62F5C">
              <w:rPr>
                <w:rFonts w:cs="Arial"/>
                <w:szCs w:val="24"/>
              </w:rPr>
              <w:t>Water quality impacts and benefits. </w:t>
            </w:r>
          </w:p>
          <w:p w14:paraId="4AC2B2E7" w14:textId="77777777" w:rsidR="00D62F5C" w:rsidRPr="00D62F5C" w:rsidRDefault="00D62F5C" w:rsidP="003050FB">
            <w:pPr>
              <w:pStyle w:val="ListParagraph"/>
              <w:numPr>
                <w:ilvl w:val="0"/>
                <w:numId w:val="24"/>
              </w:numPr>
              <w:autoSpaceDE w:val="0"/>
              <w:autoSpaceDN w:val="0"/>
              <w:adjustRightInd w:val="0"/>
              <w:ind w:left="397"/>
              <w:rPr>
                <w:rFonts w:cs="Arial"/>
                <w:szCs w:val="24"/>
              </w:rPr>
            </w:pPr>
            <w:r w:rsidRPr="00D62F5C">
              <w:rPr>
                <w:rFonts w:cs="Arial"/>
                <w:szCs w:val="24"/>
              </w:rPr>
              <w:t>Feasibility </w:t>
            </w:r>
          </w:p>
          <w:p w14:paraId="397145BE" w14:textId="77777777" w:rsidR="00D62F5C" w:rsidRPr="00D62F5C" w:rsidRDefault="00D62F5C" w:rsidP="003050FB">
            <w:pPr>
              <w:pStyle w:val="ListParagraph"/>
              <w:numPr>
                <w:ilvl w:val="0"/>
                <w:numId w:val="24"/>
              </w:numPr>
              <w:autoSpaceDE w:val="0"/>
              <w:autoSpaceDN w:val="0"/>
              <w:adjustRightInd w:val="0"/>
              <w:ind w:left="397"/>
              <w:rPr>
                <w:rFonts w:cs="Arial"/>
                <w:szCs w:val="24"/>
              </w:rPr>
            </w:pPr>
            <w:r w:rsidRPr="00D62F5C">
              <w:rPr>
                <w:rFonts w:cs="Arial"/>
                <w:szCs w:val="24"/>
              </w:rPr>
              <w:t>Have multi-benefit outcomes, such as addressing multiple impairments. </w:t>
            </w:r>
          </w:p>
          <w:p w14:paraId="5AB53860" w14:textId="30EE1A3C" w:rsidR="00D62F5C" w:rsidRPr="00D62F5C" w:rsidRDefault="00D62F5C" w:rsidP="003050FB">
            <w:pPr>
              <w:pStyle w:val="ListParagraph"/>
              <w:numPr>
                <w:ilvl w:val="0"/>
                <w:numId w:val="24"/>
              </w:numPr>
              <w:autoSpaceDE w:val="0"/>
              <w:autoSpaceDN w:val="0"/>
              <w:adjustRightInd w:val="0"/>
              <w:ind w:left="397"/>
              <w:rPr>
                <w:rFonts w:cs="Arial"/>
                <w:szCs w:val="24"/>
              </w:rPr>
            </w:pPr>
            <w:r w:rsidRPr="00D62F5C">
              <w:rPr>
                <w:rFonts w:cs="Arial"/>
                <w:szCs w:val="24"/>
              </w:rPr>
              <w:t>Ability to leverage ongoing implementation.</w:t>
            </w:r>
          </w:p>
        </w:tc>
      </w:tr>
      <w:tr w:rsidR="00D62F5C" w:rsidRPr="00D62F5C" w14:paraId="5AFE7B6F" w14:textId="77777777" w:rsidTr="001C4CFB">
        <w:trPr>
          <w:cantSplit/>
        </w:trPr>
        <w:tc>
          <w:tcPr>
            <w:tcW w:w="1751" w:type="dxa"/>
          </w:tcPr>
          <w:p w14:paraId="1042F15B" w14:textId="25026F55" w:rsidR="00D62F5C" w:rsidRPr="00D62F5C" w:rsidRDefault="00D62F5C" w:rsidP="00D62F5C">
            <w:pPr>
              <w:spacing w:after="0"/>
              <w:jc w:val="center"/>
              <w:rPr>
                <w:rFonts w:cs="Arial"/>
                <w:szCs w:val="24"/>
              </w:rPr>
            </w:pPr>
            <w:r w:rsidRPr="002179BC">
              <w:rPr>
                <w:rFonts w:cs="Arial"/>
                <w:szCs w:val="24"/>
              </w:rPr>
              <w:t>Resource Availability</w:t>
            </w:r>
          </w:p>
        </w:tc>
        <w:tc>
          <w:tcPr>
            <w:tcW w:w="8149" w:type="dxa"/>
          </w:tcPr>
          <w:p w14:paraId="73BFD771" w14:textId="77777777" w:rsidR="00D62F5C" w:rsidRPr="00D62F5C" w:rsidRDefault="00D62F5C" w:rsidP="003050FB">
            <w:pPr>
              <w:pStyle w:val="ListParagraph"/>
              <w:numPr>
                <w:ilvl w:val="1"/>
                <w:numId w:val="26"/>
              </w:numPr>
              <w:spacing w:after="0"/>
              <w:ind w:left="397"/>
              <w:rPr>
                <w:rStyle w:val="normaltextrun"/>
                <w:rFonts w:eastAsia="Arial" w:cs="Arial"/>
                <w:color w:val="000000" w:themeColor="text1"/>
              </w:rPr>
            </w:pPr>
            <w:r w:rsidRPr="00D62F5C">
              <w:rPr>
                <w:rStyle w:val="normaltextrun"/>
                <w:rFonts w:eastAsia="Arial" w:cs="Arial"/>
                <w:color w:val="000000" w:themeColor="text1"/>
              </w:rPr>
              <w:t>Availability of funding</w:t>
            </w:r>
          </w:p>
          <w:p w14:paraId="4827A5C9" w14:textId="77777777" w:rsidR="00D62F5C" w:rsidRPr="00D62F5C" w:rsidRDefault="00D62F5C" w:rsidP="003050FB">
            <w:pPr>
              <w:pStyle w:val="ListParagraph"/>
              <w:numPr>
                <w:ilvl w:val="1"/>
                <w:numId w:val="26"/>
              </w:numPr>
              <w:spacing w:after="0"/>
              <w:ind w:left="397"/>
              <w:rPr>
                <w:rStyle w:val="normaltextrun"/>
                <w:rFonts w:eastAsia="Arial" w:cs="Arial"/>
                <w:color w:val="000000" w:themeColor="text1"/>
              </w:rPr>
            </w:pPr>
            <w:r w:rsidRPr="00D62F5C">
              <w:rPr>
                <w:rStyle w:val="normaltextrun"/>
                <w:rFonts w:eastAsia="Arial" w:cs="Arial"/>
                <w:color w:val="000000" w:themeColor="text1"/>
              </w:rPr>
              <w:t>Ongoing projects with allocated resources.</w:t>
            </w:r>
          </w:p>
          <w:p w14:paraId="7331DD2A" w14:textId="6E838F91" w:rsidR="00D62F5C" w:rsidRPr="00D62F5C" w:rsidRDefault="00D62F5C" w:rsidP="003050FB">
            <w:pPr>
              <w:pStyle w:val="ListParagraph"/>
              <w:numPr>
                <w:ilvl w:val="1"/>
                <w:numId w:val="26"/>
              </w:numPr>
              <w:spacing w:after="0"/>
              <w:ind w:left="397"/>
              <w:rPr>
                <w:rFonts w:eastAsia="Arial" w:cs="Arial"/>
                <w:color w:val="000000" w:themeColor="text1"/>
              </w:rPr>
            </w:pPr>
            <w:r w:rsidRPr="00D62F5C">
              <w:rPr>
                <w:rStyle w:val="normaltextrun"/>
                <w:rFonts w:eastAsia="Arial" w:cs="Arial"/>
                <w:color w:val="000000" w:themeColor="text1"/>
              </w:rPr>
              <w:t>Availability of staff capacity, necessary expertise, and other resources.</w:t>
            </w:r>
          </w:p>
        </w:tc>
      </w:tr>
      <w:tr w:rsidR="00D62F5C" w:rsidRPr="00D62F5C" w14:paraId="11903934" w14:textId="77777777" w:rsidTr="001C4CFB">
        <w:trPr>
          <w:cantSplit/>
        </w:trPr>
        <w:tc>
          <w:tcPr>
            <w:tcW w:w="1751" w:type="dxa"/>
          </w:tcPr>
          <w:p w14:paraId="7F7E7ABB" w14:textId="5F3C6617" w:rsidR="00D62F5C" w:rsidRPr="00D62F5C" w:rsidRDefault="00D62F5C" w:rsidP="00D62F5C">
            <w:pPr>
              <w:spacing w:after="0"/>
              <w:jc w:val="center"/>
              <w:rPr>
                <w:rFonts w:cs="Arial"/>
                <w:szCs w:val="24"/>
              </w:rPr>
            </w:pPr>
            <w:r w:rsidRPr="002179BC">
              <w:rPr>
                <w:rFonts w:cs="Arial"/>
                <w:szCs w:val="24"/>
              </w:rPr>
              <w:t>Public Interest and Commitment</w:t>
            </w:r>
          </w:p>
        </w:tc>
        <w:tc>
          <w:tcPr>
            <w:tcW w:w="8149" w:type="dxa"/>
          </w:tcPr>
          <w:p w14:paraId="7FED28B5" w14:textId="77777777" w:rsidR="00D62F5C" w:rsidRPr="00D62F5C" w:rsidRDefault="00D62F5C" w:rsidP="003050FB">
            <w:pPr>
              <w:pStyle w:val="ListParagraph"/>
              <w:numPr>
                <w:ilvl w:val="1"/>
                <w:numId w:val="26"/>
              </w:numPr>
              <w:spacing w:after="0"/>
              <w:ind w:left="397"/>
              <w:rPr>
                <w:rStyle w:val="normaltextrun"/>
                <w:rFonts w:eastAsia="Arial" w:cs="Arial"/>
              </w:rPr>
            </w:pPr>
            <w:r w:rsidRPr="00D62F5C">
              <w:rPr>
                <w:rStyle w:val="normaltextrun"/>
                <w:rFonts w:eastAsia="Arial" w:cs="Arial"/>
                <w:color w:val="000000" w:themeColor="text1"/>
              </w:rPr>
              <w:t>Degree of public concern.</w:t>
            </w:r>
          </w:p>
          <w:p w14:paraId="76F19611" w14:textId="77777777" w:rsidR="00D62F5C" w:rsidRPr="00D62F5C" w:rsidRDefault="00D62F5C" w:rsidP="003050FB">
            <w:pPr>
              <w:pStyle w:val="ListParagraph"/>
              <w:numPr>
                <w:ilvl w:val="1"/>
                <w:numId w:val="26"/>
              </w:numPr>
              <w:spacing w:after="0"/>
              <w:ind w:left="397"/>
              <w:rPr>
                <w:rStyle w:val="normaltextrun"/>
                <w:rFonts w:eastAsia="Arial" w:cs="Arial"/>
                <w:color w:val="000000" w:themeColor="text1"/>
              </w:rPr>
            </w:pPr>
            <w:r w:rsidRPr="00D62F5C">
              <w:rPr>
                <w:rStyle w:val="normaltextrun"/>
                <w:rFonts w:eastAsia="Arial" w:cs="Arial"/>
                <w:color w:val="000000" w:themeColor="text1"/>
              </w:rPr>
              <w:t>Public interest, internal and external commitments.</w:t>
            </w:r>
          </w:p>
          <w:p w14:paraId="323760FB" w14:textId="224CCA17" w:rsidR="00D62F5C" w:rsidRPr="00D62F5C" w:rsidRDefault="00D62F5C" w:rsidP="003050FB">
            <w:pPr>
              <w:pStyle w:val="ListParagraph"/>
              <w:numPr>
                <w:ilvl w:val="1"/>
                <w:numId w:val="26"/>
              </w:numPr>
              <w:spacing w:after="0"/>
              <w:ind w:left="397"/>
              <w:rPr>
                <w:rFonts w:eastAsia="Arial" w:cs="Arial"/>
                <w:color w:val="000000" w:themeColor="text1"/>
              </w:rPr>
            </w:pPr>
            <w:r w:rsidRPr="00D62F5C">
              <w:rPr>
                <w:rStyle w:val="normaltextrun"/>
                <w:rFonts w:eastAsia="Arial" w:cs="Arial"/>
                <w:color w:val="000000" w:themeColor="text1"/>
              </w:rPr>
              <w:t>Requests of interested parties.</w:t>
            </w:r>
          </w:p>
        </w:tc>
      </w:tr>
      <w:tr w:rsidR="00D62F5C" w:rsidRPr="00D62F5C" w14:paraId="1C435381" w14:textId="77777777" w:rsidTr="001C4CFB">
        <w:trPr>
          <w:cantSplit/>
        </w:trPr>
        <w:tc>
          <w:tcPr>
            <w:tcW w:w="1751" w:type="dxa"/>
          </w:tcPr>
          <w:p w14:paraId="3CFCE8CC" w14:textId="4B0A28DC" w:rsidR="00D62F5C" w:rsidRPr="00D62F5C" w:rsidRDefault="00D62F5C" w:rsidP="00D62F5C">
            <w:pPr>
              <w:spacing w:after="0"/>
              <w:jc w:val="center"/>
              <w:rPr>
                <w:rFonts w:cs="Arial"/>
                <w:szCs w:val="24"/>
              </w:rPr>
            </w:pPr>
            <w:r w:rsidRPr="002179BC">
              <w:rPr>
                <w:rFonts w:cs="Arial"/>
                <w:szCs w:val="24"/>
              </w:rPr>
              <w:t>Regulatory and Policy Alignment</w:t>
            </w:r>
          </w:p>
        </w:tc>
        <w:tc>
          <w:tcPr>
            <w:tcW w:w="8149" w:type="dxa"/>
          </w:tcPr>
          <w:p w14:paraId="1CE58726" w14:textId="77777777" w:rsidR="00D62F5C" w:rsidRPr="00D62F5C" w:rsidRDefault="00D62F5C" w:rsidP="003050FB">
            <w:pPr>
              <w:pStyle w:val="ListParagraph"/>
              <w:numPr>
                <w:ilvl w:val="1"/>
                <w:numId w:val="26"/>
              </w:numPr>
              <w:spacing w:after="0"/>
              <w:ind w:left="397"/>
              <w:rPr>
                <w:rStyle w:val="normaltextrun"/>
                <w:rFonts w:eastAsia="Arial" w:cs="Arial"/>
                <w:color w:val="000000" w:themeColor="text1"/>
              </w:rPr>
            </w:pPr>
            <w:r w:rsidRPr="00D62F5C">
              <w:rPr>
                <w:rStyle w:val="normaltextrun"/>
                <w:rFonts w:eastAsia="Arial" w:cs="Arial"/>
                <w:color w:val="000000" w:themeColor="text1"/>
              </w:rPr>
              <w:t>Importance to the implementation of other Regional Water Board programs.</w:t>
            </w:r>
          </w:p>
          <w:p w14:paraId="4D7BAA5B" w14:textId="2A32CE6F" w:rsidR="00D62F5C" w:rsidRPr="00D62F5C" w:rsidRDefault="00D62F5C" w:rsidP="003050FB">
            <w:pPr>
              <w:pStyle w:val="ListParagraph"/>
              <w:numPr>
                <w:ilvl w:val="1"/>
                <w:numId w:val="26"/>
              </w:numPr>
              <w:spacing w:after="0"/>
              <w:ind w:left="397"/>
              <w:rPr>
                <w:rFonts w:eastAsia="Arial" w:cs="Arial"/>
                <w:color w:val="000000" w:themeColor="text1"/>
              </w:rPr>
            </w:pPr>
            <w:r w:rsidRPr="00D62F5C">
              <w:rPr>
                <w:rStyle w:val="normaltextrun"/>
                <w:rFonts w:eastAsia="Arial" w:cs="Arial"/>
                <w:color w:val="000000" w:themeColor="text1"/>
              </w:rPr>
              <w:t xml:space="preserve">Projects aligned with the stated priorities of the State Water Board or the </w:t>
            </w:r>
            <w:r w:rsidR="00313C98">
              <w:rPr>
                <w:rStyle w:val="normaltextrun"/>
                <w:rFonts w:eastAsia="Arial" w:cs="Arial"/>
                <w:color w:val="000000" w:themeColor="text1"/>
              </w:rPr>
              <w:t>USEPA</w:t>
            </w:r>
            <w:r w:rsidRPr="00D62F5C">
              <w:rPr>
                <w:rStyle w:val="normaltextrun"/>
                <w:rFonts w:eastAsia="Arial" w:cs="Arial"/>
                <w:color w:val="000000" w:themeColor="text1"/>
              </w:rPr>
              <w:t>.</w:t>
            </w:r>
          </w:p>
        </w:tc>
      </w:tr>
    </w:tbl>
    <w:p w14:paraId="41C2B0FF" w14:textId="1A06C6D9" w:rsidR="00477485" w:rsidRDefault="00952822" w:rsidP="00B77DFE">
      <w:pPr>
        <w:pStyle w:val="Heading2"/>
      </w:pPr>
      <w:bookmarkStart w:id="78" w:name="_Toc189048564"/>
      <w:r>
        <w:t>Impaired Water</w:t>
      </w:r>
      <w:r w:rsidR="00367FF8">
        <w:t>body Segments</w:t>
      </w:r>
      <w:r>
        <w:t xml:space="preserve"> &amp; </w:t>
      </w:r>
      <w:r w:rsidR="000E482D">
        <w:t>TMDL Development</w:t>
      </w:r>
      <w:r w:rsidR="004F5135">
        <w:t xml:space="preserve"> Priority Rankings</w:t>
      </w:r>
      <w:bookmarkEnd w:id="78"/>
      <w:r w:rsidR="004F5135">
        <w:t xml:space="preserve"> </w:t>
      </w:r>
    </w:p>
    <w:p w14:paraId="336FF4DD" w14:textId="3D52AFC6" w:rsidR="00651F9C" w:rsidRDefault="00651F9C" w:rsidP="00FE53E3">
      <w:pPr>
        <w:rPr>
          <w:rFonts w:eastAsia="Arial" w:cs="Arial"/>
        </w:rPr>
      </w:pPr>
      <w:r>
        <w:rPr>
          <w:rFonts w:eastAsia="Arial" w:cs="Arial"/>
        </w:rPr>
        <w:t>Regional Water Boards establish</w:t>
      </w:r>
      <w:r w:rsidR="00FE4AB2">
        <w:rPr>
          <w:rFonts w:eastAsia="Arial" w:cs="Arial"/>
        </w:rPr>
        <w:t>ed</w:t>
      </w:r>
      <w:r>
        <w:rPr>
          <w:rFonts w:eastAsia="Arial" w:cs="Arial"/>
        </w:rPr>
        <w:t xml:space="preserve"> priority rankings for impaired water</w:t>
      </w:r>
      <w:r w:rsidR="00840781">
        <w:rPr>
          <w:rFonts w:eastAsia="Arial" w:cs="Arial"/>
        </w:rPr>
        <w:t>body segments</w:t>
      </w:r>
      <w:r>
        <w:rPr>
          <w:rFonts w:eastAsia="Arial" w:cs="Arial"/>
        </w:rPr>
        <w:t xml:space="preserve"> and identified water</w:t>
      </w:r>
      <w:r w:rsidR="00840781">
        <w:rPr>
          <w:rFonts w:eastAsia="Arial" w:cs="Arial"/>
        </w:rPr>
        <w:t>body segments</w:t>
      </w:r>
      <w:r>
        <w:rPr>
          <w:rFonts w:eastAsia="Arial" w:cs="Arial"/>
        </w:rPr>
        <w:t xml:space="preserve"> targeted for TMDL development in the next two years by considering the severity of the pollution, the beneficial uses</w:t>
      </w:r>
      <w:r w:rsidR="009B1267">
        <w:rPr>
          <w:rFonts w:eastAsia="Arial" w:cs="Arial"/>
        </w:rPr>
        <w:t xml:space="preserve"> to be made of the waters</w:t>
      </w:r>
      <w:r>
        <w:rPr>
          <w:rFonts w:eastAsia="Arial" w:cs="Arial"/>
        </w:rPr>
        <w:t xml:space="preserve">, </w:t>
      </w:r>
      <w:r w:rsidR="00D84A50">
        <w:rPr>
          <w:rFonts w:eastAsia="Arial" w:cs="Arial"/>
        </w:rPr>
        <w:t xml:space="preserve">available resources, </w:t>
      </w:r>
      <w:r>
        <w:rPr>
          <w:rFonts w:eastAsia="Arial" w:cs="Arial"/>
        </w:rPr>
        <w:t>and, in many cases, the other factors listed in the Prioritization Framework. Generally, an impaired water</w:t>
      </w:r>
      <w:r w:rsidR="00FE5097">
        <w:rPr>
          <w:rFonts w:eastAsia="Arial" w:cs="Arial"/>
        </w:rPr>
        <w:t>body segment</w:t>
      </w:r>
      <w:r>
        <w:rPr>
          <w:rFonts w:eastAsia="Arial" w:cs="Arial"/>
        </w:rPr>
        <w:t xml:space="preserve"> </w:t>
      </w:r>
      <w:r w:rsidR="00FE4AB2">
        <w:rPr>
          <w:rFonts w:eastAsia="Arial" w:cs="Arial"/>
        </w:rPr>
        <w:t>was</w:t>
      </w:r>
      <w:r>
        <w:rPr>
          <w:rFonts w:eastAsia="Arial" w:cs="Arial"/>
        </w:rPr>
        <w:t xml:space="preserve"> given a higher priority when multiple pollutants </w:t>
      </w:r>
      <w:r w:rsidR="00FE4AB2">
        <w:rPr>
          <w:rFonts w:eastAsia="Arial" w:cs="Arial"/>
        </w:rPr>
        <w:t>are</w:t>
      </w:r>
      <w:r>
        <w:rPr>
          <w:rFonts w:eastAsia="Arial" w:cs="Arial"/>
        </w:rPr>
        <w:t xml:space="preserve"> impairing uses, when pollutants impair human</w:t>
      </w:r>
      <w:r w:rsidR="00D37514">
        <w:rPr>
          <w:rFonts w:eastAsia="Arial" w:cs="Arial"/>
        </w:rPr>
        <w:t xml:space="preserve"> </w:t>
      </w:r>
      <w:r>
        <w:rPr>
          <w:rFonts w:eastAsia="Arial" w:cs="Arial"/>
        </w:rPr>
        <w:t>health or a threatened or endangered species, and when addressing the impair</w:t>
      </w:r>
      <w:r w:rsidR="00D37514">
        <w:rPr>
          <w:rFonts w:eastAsia="Arial" w:cs="Arial"/>
        </w:rPr>
        <w:t>ment</w:t>
      </w:r>
      <w:r>
        <w:rPr>
          <w:rFonts w:eastAsia="Arial" w:cs="Arial"/>
        </w:rPr>
        <w:t xml:space="preserve"> would address many of the other factors listed in Table 2-4</w:t>
      </w:r>
      <w:r w:rsidR="008302B2">
        <w:rPr>
          <w:rFonts w:eastAsia="Arial" w:cs="Arial"/>
        </w:rPr>
        <w:t>:</w:t>
      </w:r>
      <w:r w:rsidR="008302B2" w:rsidRPr="008302B2">
        <w:t xml:space="preserve"> </w:t>
      </w:r>
      <w:r w:rsidR="008302B2" w:rsidRPr="008302B2">
        <w:rPr>
          <w:rFonts w:eastAsia="Arial" w:cs="Arial"/>
        </w:rPr>
        <w:t>Prioritization Factors from the California’s Prioritization Framework for Plans to Restore Impaired Waterbodies</w:t>
      </w:r>
      <w:r w:rsidR="00385AB0">
        <w:rPr>
          <w:rFonts w:eastAsia="Arial" w:cs="Arial"/>
        </w:rPr>
        <w:t xml:space="preserve"> in Section 2.6 </w:t>
      </w:r>
      <w:r w:rsidR="00385AB0" w:rsidRPr="00385AB0">
        <w:rPr>
          <w:rFonts w:eastAsia="Arial" w:cs="Arial"/>
        </w:rPr>
        <w:t>TMDLs and Other Efforts to Address Impaired Waters</w:t>
      </w:r>
      <w:r w:rsidR="00385AB0">
        <w:rPr>
          <w:rFonts w:eastAsia="Arial" w:cs="Arial"/>
        </w:rPr>
        <w:t>.</w:t>
      </w:r>
      <w:r>
        <w:rPr>
          <w:rFonts w:eastAsia="Arial" w:cs="Arial"/>
        </w:rPr>
        <w:t xml:space="preserve"> Regional Water Board</w:t>
      </w:r>
      <w:r w:rsidR="00FE4AB2">
        <w:rPr>
          <w:rFonts w:eastAsia="Arial" w:cs="Arial"/>
        </w:rPr>
        <w:t>s</w:t>
      </w:r>
      <w:r>
        <w:rPr>
          <w:rFonts w:eastAsia="Arial" w:cs="Arial"/>
        </w:rPr>
        <w:t xml:space="preserve"> also often consider</w:t>
      </w:r>
      <w:r w:rsidR="00FE4AB2">
        <w:rPr>
          <w:rFonts w:eastAsia="Arial" w:cs="Arial"/>
        </w:rPr>
        <w:t>ed</w:t>
      </w:r>
      <w:r>
        <w:rPr>
          <w:rFonts w:eastAsia="Arial" w:cs="Arial"/>
        </w:rPr>
        <w:t xml:space="preserve"> priorities from the most recent regional water quality control plan triennial review. </w:t>
      </w:r>
      <w:r w:rsidR="00CE469D">
        <w:rPr>
          <w:rFonts w:eastAsia="Arial" w:cs="Arial"/>
        </w:rPr>
        <w:t>Regional Water Boards limited the number of priorities based on available staff and resources</w:t>
      </w:r>
      <w:r w:rsidR="00FE53E3">
        <w:rPr>
          <w:rFonts w:eastAsia="Arial" w:cs="Arial"/>
        </w:rPr>
        <w:t>, and i</w:t>
      </w:r>
      <w:r w:rsidR="00CC554D" w:rsidRPr="00B658B3">
        <w:rPr>
          <w:rFonts w:eastAsia="Arial" w:cs="Arial"/>
        </w:rPr>
        <w:t>t</w:t>
      </w:r>
      <w:r w:rsidR="00FE53E3">
        <w:rPr>
          <w:rFonts w:eastAsia="Arial" w:cs="Arial"/>
        </w:rPr>
        <w:t xml:space="preserve"> is </w:t>
      </w:r>
      <w:r w:rsidR="00CC554D" w:rsidRPr="00B658B3">
        <w:rPr>
          <w:rFonts w:eastAsia="Arial" w:cs="Arial"/>
        </w:rPr>
        <w:t xml:space="preserve">important to note that the </w:t>
      </w:r>
      <w:r w:rsidR="00CC554D">
        <w:rPr>
          <w:rFonts w:eastAsia="Arial" w:cs="Arial"/>
        </w:rPr>
        <w:t>assignment</w:t>
      </w:r>
      <w:r w:rsidR="00CC554D" w:rsidRPr="00B658B3">
        <w:rPr>
          <w:rFonts w:eastAsia="Arial" w:cs="Arial"/>
        </w:rPr>
        <w:t xml:space="preserve"> of low priority does not imply that </w:t>
      </w:r>
      <w:r w:rsidR="00FE53E3">
        <w:rPr>
          <w:rFonts w:eastAsia="Arial" w:cs="Arial"/>
        </w:rPr>
        <w:t xml:space="preserve">waterbody is of </w:t>
      </w:r>
      <w:r w:rsidR="00CC554D">
        <w:rPr>
          <w:rFonts w:eastAsia="Arial" w:cs="Arial"/>
        </w:rPr>
        <w:t>low importance</w:t>
      </w:r>
      <w:r w:rsidR="00CC554D" w:rsidRPr="00B658B3">
        <w:rPr>
          <w:rFonts w:eastAsia="Arial" w:cs="Arial"/>
        </w:rPr>
        <w:t xml:space="preserve">. Rather, it reflects the current allocation of staff resources and the strategic need to prioritize more immediate and critical </w:t>
      </w:r>
      <w:r w:rsidR="00CC554D">
        <w:rPr>
          <w:rFonts w:eastAsia="Arial" w:cs="Arial"/>
        </w:rPr>
        <w:t>impairments</w:t>
      </w:r>
      <w:r w:rsidR="00CC554D" w:rsidRPr="00B658B3">
        <w:rPr>
          <w:rFonts w:eastAsia="Arial" w:cs="Arial"/>
        </w:rPr>
        <w:t>.</w:t>
      </w:r>
      <w:r w:rsidR="00CC554D">
        <w:rPr>
          <w:rFonts w:eastAsia="Arial" w:cs="Arial"/>
        </w:rPr>
        <w:t xml:space="preserve"> </w:t>
      </w:r>
    </w:p>
    <w:p w14:paraId="69118EEF" w14:textId="1B5D4E54" w:rsidR="00651F9C" w:rsidRDefault="00651F9C" w:rsidP="00651F9C">
      <w:pPr>
        <w:autoSpaceDE w:val="0"/>
        <w:autoSpaceDN w:val="0"/>
        <w:adjustRightInd w:val="0"/>
        <w:rPr>
          <w:rFonts w:eastAsia="Arial" w:cs="Arial"/>
        </w:rPr>
      </w:pPr>
      <w:r>
        <w:rPr>
          <w:rFonts w:eastAsia="Arial" w:cs="Arial"/>
        </w:rPr>
        <w:t xml:space="preserve">Waters </w:t>
      </w:r>
      <w:r w:rsidR="00FE4AB2">
        <w:rPr>
          <w:rFonts w:eastAsia="Arial" w:cs="Arial"/>
        </w:rPr>
        <w:t>were</w:t>
      </w:r>
      <w:r>
        <w:rPr>
          <w:rFonts w:eastAsia="Arial" w:cs="Arial"/>
        </w:rPr>
        <w:t xml:space="preserve"> often ranked with a low priority for impairments based on </w:t>
      </w:r>
      <w:r w:rsidRPr="001A56EC">
        <w:rPr>
          <w:rFonts w:eastAsia="Arial" w:cs="Arial"/>
        </w:rPr>
        <w:t>outdated numeric water quality objectives, criteria, or evaluation guidelines that may no longer reflect the best available science or current standards. Addressing the outdated</w:t>
      </w:r>
      <w:r w:rsidR="001E1A54">
        <w:rPr>
          <w:rFonts w:eastAsia="Arial" w:cs="Arial"/>
        </w:rPr>
        <w:t xml:space="preserve"> numeric</w:t>
      </w:r>
      <w:r w:rsidRPr="001A56EC">
        <w:rPr>
          <w:rFonts w:eastAsia="Arial" w:cs="Arial"/>
        </w:rPr>
        <w:t xml:space="preserve"> water quality objectives, criteria, or evaluation guidelines </w:t>
      </w:r>
      <w:r>
        <w:rPr>
          <w:rFonts w:eastAsia="Arial" w:cs="Arial"/>
        </w:rPr>
        <w:t>should be undertak</w:t>
      </w:r>
      <w:r w:rsidR="005911EB">
        <w:rPr>
          <w:rFonts w:eastAsia="Arial" w:cs="Arial"/>
        </w:rPr>
        <w:t>en</w:t>
      </w:r>
      <w:r>
        <w:rPr>
          <w:rFonts w:eastAsia="Arial" w:cs="Arial"/>
        </w:rPr>
        <w:t xml:space="preserve"> prior to developing a TMDL. For example, </w:t>
      </w:r>
      <w:r>
        <w:t>o</w:t>
      </w:r>
      <w:r w:rsidRPr="003B14C4">
        <w:t>cean waterbody segment</w:t>
      </w:r>
      <w:r>
        <w:t>s</w:t>
      </w:r>
      <w:r w:rsidRPr="003B14C4">
        <w:t xml:space="preserve"> listed as impaired by indicator bacteria for the protection of shellfish harvesting </w:t>
      </w:r>
      <w:r>
        <w:t>were often placed in the low priority category due to the need</w:t>
      </w:r>
      <w:r w:rsidR="005911EB">
        <w:t xml:space="preserve"> to first complete</w:t>
      </w:r>
      <w:r>
        <w:t xml:space="preserve"> a project to consider and, if needed, amend the water quality objective. Waters were also ranked with a low priority </w:t>
      </w:r>
      <w:r w:rsidRPr="00D91AC3">
        <w:rPr>
          <w:rFonts w:eastAsia="Arial" w:cs="Arial"/>
        </w:rPr>
        <w:t>where evidence suggests that the applicable numeric water quality standard may not be appropriate due to natural conditions</w:t>
      </w:r>
      <w:r>
        <w:rPr>
          <w:rFonts w:eastAsia="Arial" w:cs="Arial"/>
        </w:rPr>
        <w:t xml:space="preserve"> and a site-specific numeric water quality objective may be more appropriate to determine attainment</w:t>
      </w:r>
      <w:r w:rsidR="00175788">
        <w:rPr>
          <w:rFonts w:eastAsia="Arial" w:cs="Arial"/>
        </w:rPr>
        <w:t xml:space="preserve"> of the standard</w:t>
      </w:r>
      <w:r>
        <w:rPr>
          <w:rFonts w:eastAsia="Arial" w:cs="Arial"/>
        </w:rPr>
        <w:t>.</w:t>
      </w:r>
    </w:p>
    <w:p w14:paraId="71F29312" w14:textId="2A51EAB6" w:rsidR="00DF3986" w:rsidRDefault="00042793" w:rsidP="00E4596E">
      <w:pPr>
        <w:rPr>
          <w:rFonts w:eastAsia="Arial" w:cs="Arial"/>
        </w:rPr>
      </w:pPr>
      <w:r>
        <w:rPr>
          <w:rFonts w:eastAsia="Arial" w:cs="Arial"/>
        </w:rPr>
        <w:t>To</w:t>
      </w:r>
      <w:r w:rsidR="009F738E">
        <w:rPr>
          <w:rFonts w:eastAsia="Arial" w:cs="Arial"/>
        </w:rPr>
        <w:t xml:space="preserve"> </w:t>
      </w:r>
      <w:r w:rsidR="00447528" w:rsidRPr="1EA2032A">
        <w:rPr>
          <w:rFonts w:eastAsia="Arial" w:cs="Arial"/>
        </w:rPr>
        <w:t>fulfil</w:t>
      </w:r>
      <w:r w:rsidR="501EBF37" w:rsidRPr="1EA2032A">
        <w:rPr>
          <w:rFonts w:eastAsia="Arial" w:cs="Arial"/>
        </w:rPr>
        <w:t>l</w:t>
      </w:r>
      <w:r w:rsidR="00447528">
        <w:rPr>
          <w:rFonts w:eastAsia="Arial" w:cs="Arial"/>
        </w:rPr>
        <w:t xml:space="preserve"> statutory and regulatory requirements,</w:t>
      </w:r>
      <w:r w:rsidR="009F738E">
        <w:rPr>
          <w:rFonts w:eastAsia="Arial" w:cs="Arial"/>
        </w:rPr>
        <w:t xml:space="preserve"> further refine </w:t>
      </w:r>
      <w:r w:rsidR="00EE62CC">
        <w:rPr>
          <w:rFonts w:eastAsia="Arial" w:cs="Arial"/>
        </w:rPr>
        <w:t>how</w:t>
      </w:r>
      <w:r w:rsidR="002334D6">
        <w:rPr>
          <w:rFonts w:eastAsia="Arial" w:cs="Arial"/>
        </w:rPr>
        <w:t xml:space="preserve"> </w:t>
      </w:r>
      <w:r w:rsidR="00E44BD8">
        <w:rPr>
          <w:rFonts w:eastAsia="Arial" w:cs="Arial"/>
        </w:rPr>
        <w:t>TMDL</w:t>
      </w:r>
      <w:r w:rsidR="00AB0AB4">
        <w:rPr>
          <w:rFonts w:eastAsia="Arial" w:cs="Arial"/>
        </w:rPr>
        <w:t xml:space="preserve"> development i</w:t>
      </w:r>
      <w:r w:rsidR="00FD6437">
        <w:rPr>
          <w:rFonts w:eastAsia="Arial" w:cs="Arial"/>
        </w:rPr>
        <w:t>s</w:t>
      </w:r>
      <w:r w:rsidR="00E44BD8">
        <w:rPr>
          <w:rFonts w:eastAsia="Arial" w:cs="Arial"/>
        </w:rPr>
        <w:t xml:space="preserve"> </w:t>
      </w:r>
      <w:r w:rsidR="005D611B">
        <w:rPr>
          <w:rFonts w:eastAsia="Arial" w:cs="Arial"/>
        </w:rPr>
        <w:t>prioritized, fulfill</w:t>
      </w:r>
      <w:r w:rsidR="00FC28B0">
        <w:rPr>
          <w:rFonts w:eastAsia="Arial" w:cs="Arial"/>
        </w:rPr>
        <w:t xml:space="preserve"> the goals in the</w:t>
      </w:r>
      <w:r w:rsidR="009318DF">
        <w:rPr>
          <w:rFonts w:eastAsia="Arial" w:cs="Arial"/>
        </w:rPr>
        <w:t xml:space="preserve"> </w:t>
      </w:r>
      <w:r w:rsidR="00FC28B0">
        <w:rPr>
          <w:rFonts w:eastAsia="Arial" w:cs="Arial"/>
        </w:rPr>
        <w:t>Prioritization Framework</w:t>
      </w:r>
      <w:r w:rsidR="00115185">
        <w:rPr>
          <w:rFonts w:eastAsia="Arial" w:cs="Arial"/>
        </w:rPr>
        <w:t xml:space="preserve">, </w:t>
      </w:r>
      <w:r w:rsidR="001C347F">
        <w:rPr>
          <w:rFonts w:eastAsia="Arial" w:cs="Arial"/>
        </w:rPr>
        <w:t xml:space="preserve">and communicate goals to the public, </w:t>
      </w:r>
      <w:r w:rsidR="005B5E1B">
        <w:rPr>
          <w:rFonts w:eastAsia="Arial" w:cs="Arial"/>
        </w:rPr>
        <w:t xml:space="preserve">each </w:t>
      </w:r>
      <w:r w:rsidR="003309C3">
        <w:rPr>
          <w:rFonts w:eastAsia="Arial" w:cs="Arial"/>
        </w:rPr>
        <w:t>impaired</w:t>
      </w:r>
      <w:r w:rsidR="004631CB">
        <w:rPr>
          <w:rFonts w:eastAsia="Arial" w:cs="Arial"/>
        </w:rPr>
        <w:t xml:space="preserve"> waterbody</w:t>
      </w:r>
      <w:r w:rsidR="00F8680A">
        <w:rPr>
          <w:rFonts w:eastAsia="Arial" w:cs="Arial"/>
        </w:rPr>
        <w:t>-pollutant combination</w:t>
      </w:r>
      <w:r w:rsidR="004631CB">
        <w:rPr>
          <w:rFonts w:eastAsia="Arial" w:cs="Arial"/>
        </w:rPr>
        <w:t xml:space="preserve"> </w:t>
      </w:r>
      <w:r w:rsidR="00231B15">
        <w:rPr>
          <w:rFonts w:eastAsia="Arial" w:cs="Arial"/>
        </w:rPr>
        <w:t xml:space="preserve">in </w:t>
      </w:r>
      <w:r w:rsidR="00E3760F">
        <w:rPr>
          <w:rFonts w:eastAsia="Arial" w:cs="Arial"/>
        </w:rPr>
        <w:t>C</w:t>
      </w:r>
      <w:r w:rsidR="00231B15">
        <w:rPr>
          <w:rFonts w:eastAsia="Arial" w:cs="Arial"/>
        </w:rPr>
        <w:t xml:space="preserve">ategory </w:t>
      </w:r>
      <w:r w:rsidR="00721DA1">
        <w:rPr>
          <w:rFonts w:eastAsia="Arial" w:cs="Arial"/>
        </w:rPr>
        <w:t>5 (</w:t>
      </w:r>
      <w:r w:rsidR="00883268">
        <w:t xml:space="preserve">the water quality standard is not attained for at least one </w:t>
      </w:r>
      <w:r w:rsidR="00883268" w:rsidRPr="000E6166">
        <w:t xml:space="preserve">waterbody-pollutant </w:t>
      </w:r>
      <w:r w:rsidR="00883268">
        <w:t>combination and a TMDL is required</w:t>
      </w:r>
      <w:r w:rsidR="00721DA1">
        <w:rPr>
          <w:rFonts w:eastAsia="Arial" w:cs="Arial"/>
        </w:rPr>
        <w:t xml:space="preserve">) </w:t>
      </w:r>
      <w:r w:rsidR="00035A7B">
        <w:rPr>
          <w:rFonts w:eastAsia="Arial" w:cs="Arial"/>
        </w:rPr>
        <w:t xml:space="preserve">is assigned a </w:t>
      </w:r>
      <w:r w:rsidR="00222D04">
        <w:rPr>
          <w:rFonts w:eastAsia="Arial" w:cs="Arial"/>
        </w:rPr>
        <w:t>high, medium, or low priority.</w:t>
      </w:r>
      <w:r w:rsidR="00721DA1">
        <w:rPr>
          <w:rFonts w:eastAsia="Arial" w:cs="Arial"/>
        </w:rPr>
        <w:t xml:space="preserve"> </w:t>
      </w:r>
      <w:r w:rsidR="00BD4610">
        <w:rPr>
          <w:rFonts w:eastAsia="Arial" w:cs="Arial"/>
        </w:rPr>
        <w:t>The three</w:t>
      </w:r>
      <w:r w:rsidR="006F295D">
        <w:rPr>
          <w:rFonts w:eastAsia="Arial" w:cs="Arial"/>
        </w:rPr>
        <w:t xml:space="preserve"> TMDL</w:t>
      </w:r>
      <w:r w:rsidR="00BD4610">
        <w:rPr>
          <w:rFonts w:eastAsia="Arial" w:cs="Arial"/>
        </w:rPr>
        <w:t xml:space="preserve"> priority levels are defined as follows:</w:t>
      </w:r>
    </w:p>
    <w:p w14:paraId="0CDD545B" w14:textId="7503D584" w:rsidR="00D46994" w:rsidRPr="007B328C" w:rsidRDefault="00947C8A" w:rsidP="007B328C">
      <w:pPr>
        <w:rPr>
          <w:rFonts w:eastAsia="Arial" w:cs="Arial"/>
        </w:rPr>
      </w:pPr>
      <w:r>
        <w:rPr>
          <w:rFonts w:eastAsia="Arial" w:cs="Arial"/>
          <w:b/>
          <w:bCs/>
        </w:rPr>
        <w:t>Priority</w:t>
      </w:r>
      <w:r w:rsidR="00574FD1">
        <w:rPr>
          <w:rFonts w:eastAsia="Arial" w:cs="Arial"/>
          <w:b/>
          <w:bCs/>
        </w:rPr>
        <w:t xml:space="preserve"> Level </w:t>
      </w:r>
      <w:r w:rsidR="006C78E0" w:rsidRPr="009E7000">
        <w:rPr>
          <w:rFonts w:eastAsia="Arial" w:cs="Arial"/>
          <w:b/>
          <w:bCs/>
        </w:rPr>
        <w:t>High</w:t>
      </w:r>
      <w:r w:rsidR="000333EB" w:rsidRPr="009E7000">
        <w:rPr>
          <w:rFonts w:eastAsia="Arial" w:cs="Arial"/>
          <w:b/>
          <w:bCs/>
        </w:rPr>
        <w:t>:</w:t>
      </w:r>
      <w:r w:rsidR="007B328C">
        <w:rPr>
          <w:rFonts w:eastAsia="Arial" w:cs="Arial"/>
        </w:rPr>
        <w:t xml:space="preserve"> </w:t>
      </w:r>
      <w:r w:rsidR="005F35CE">
        <w:rPr>
          <w:rFonts w:eastAsia="Arial" w:cs="Arial"/>
        </w:rPr>
        <w:t>Waterbody-pollutant combination</w:t>
      </w:r>
      <w:r w:rsidR="004E190D" w:rsidRPr="005F35CE">
        <w:rPr>
          <w:rFonts w:eastAsia="Arial" w:cs="Arial"/>
        </w:rPr>
        <w:t>s</w:t>
      </w:r>
      <w:r w:rsidR="006C6C4F" w:rsidRPr="006C6C4F">
        <w:rPr>
          <w:rFonts w:eastAsia="Arial" w:cs="Arial"/>
        </w:rPr>
        <w:t xml:space="preserve"> identified as a high priority are those for which TMDLs are planned for development within the next two years. </w:t>
      </w:r>
    </w:p>
    <w:p w14:paraId="3F4EF88F" w14:textId="349F8F91" w:rsidR="00014FAD" w:rsidRPr="009E7000" w:rsidRDefault="00574FD1" w:rsidP="009E7000">
      <w:pPr>
        <w:rPr>
          <w:rFonts w:eastAsia="Arial" w:cs="Arial"/>
        </w:rPr>
      </w:pPr>
      <w:r>
        <w:rPr>
          <w:rFonts w:eastAsia="Arial" w:cs="Arial"/>
          <w:b/>
          <w:bCs/>
        </w:rPr>
        <w:t xml:space="preserve">Priority Level </w:t>
      </w:r>
      <w:r w:rsidR="006C78E0" w:rsidRPr="009E7000">
        <w:rPr>
          <w:rFonts w:eastAsia="Arial" w:cs="Arial"/>
          <w:b/>
          <w:bCs/>
        </w:rPr>
        <w:t>Medium:</w:t>
      </w:r>
      <w:bookmarkStart w:id="79" w:name="_Hlk172281101"/>
      <w:r w:rsidR="009E7000">
        <w:rPr>
          <w:rFonts w:eastAsia="Arial" w:cs="Arial"/>
        </w:rPr>
        <w:t xml:space="preserve"> </w:t>
      </w:r>
      <w:r w:rsidR="005F35CE">
        <w:rPr>
          <w:rFonts w:eastAsia="Arial" w:cs="Arial"/>
        </w:rPr>
        <w:t>Waterbody-pollutant combination</w:t>
      </w:r>
      <w:r w:rsidR="005F35CE" w:rsidRPr="005F35CE">
        <w:rPr>
          <w:rFonts w:eastAsia="Arial" w:cs="Arial"/>
        </w:rPr>
        <w:t>s</w:t>
      </w:r>
      <w:r w:rsidR="004E190D">
        <w:rPr>
          <w:rFonts w:cs="Arial"/>
          <w:szCs w:val="24"/>
        </w:rPr>
        <w:t xml:space="preserve"> identified</w:t>
      </w:r>
      <w:r w:rsidR="004E190D" w:rsidRPr="004E190D">
        <w:rPr>
          <w:rFonts w:cs="Arial"/>
          <w:szCs w:val="24"/>
        </w:rPr>
        <w:t xml:space="preserve"> as a medium priority are those </w:t>
      </w:r>
      <w:r w:rsidR="003849B8">
        <w:rPr>
          <w:rFonts w:cs="Arial"/>
          <w:szCs w:val="24"/>
        </w:rPr>
        <w:t xml:space="preserve">for which </w:t>
      </w:r>
      <w:r w:rsidR="00C740F4" w:rsidRPr="004039CF">
        <w:rPr>
          <w:rFonts w:cs="Arial"/>
          <w:szCs w:val="24"/>
        </w:rPr>
        <w:t xml:space="preserve">TMDLs </w:t>
      </w:r>
      <w:r w:rsidR="004E190D" w:rsidRPr="004E190D">
        <w:rPr>
          <w:rFonts w:cs="Arial"/>
          <w:szCs w:val="24"/>
        </w:rPr>
        <w:t xml:space="preserve">are </w:t>
      </w:r>
      <w:r w:rsidR="00B55AAB">
        <w:rPr>
          <w:rFonts w:cs="Arial"/>
          <w:szCs w:val="24"/>
        </w:rPr>
        <w:t>planned for</w:t>
      </w:r>
      <w:r w:rsidR="00C740F4" w:rsidRPr="004039CF">
        <w:rPr>
          <w:rFonts w:cs="Arial"/>
          <w:szCs w:val="24"/>
        </w:rPr>
        <w:t xml:space="preserve"> development</w:t>
      </w:r>
      <w:bookmarkEnd w:id="79"/>
      <w:r w:rsidR="004E190D" w:rsidRPr="004E190D">
        <w:rPr>
          <w:rFonts w:cs="Arial"/>
          <w:szCs w:val="24"/>
        </w:rPr>
        <w:t xml:space="preserve"> within 2 to 10 years. </w:t>
      </w:r>
    </w:p>
    <w:p w14:paraId="5F037530" w14:textId="644EF4D7" w:rsidR="00047668" w:rsidRDefault="00574FD1" w:rsidP="00FD5D62">
      <w:pPr>
        <w:rPr>
          <w:rFonts w:eastAsia="Arial" w:cs="Arial"/>
        </w:rPr>
      </w:pPr>
      <w:r>
        <w:rPr>
          <w:rFonts w:eastAsia="Arial" w:cs="Arial"/>
          <w:b/>
          <w:bCs/>
        </w:rPr>
        <w:t xml:space="preserve">Priority Level </w:t>
      </w:r>
      <w:r w:rsidR="006C78E0" w:rsidRPr="00701799">
        <w:rPr>
          <w:rFonts w:eastAsia="Arial" w:cs="Arial"/>
          <w:b/>
          <w:bCs/>
        </w:rPr>
        <w:t>Low:</w:t>
      </w:r>
      <w:r w:rsidR="009E7000">
        <w:rPr>
          <w:rFonts w:eastAsia="Arial" w:cs="Arial"/>
        </w:rPr>
        <w:t xml:space="preserve"> </w:t>
      </w:r>
      <w:r w:rsidR="00DA420F">
        <w:rPr>
          <w:rFonts w:eastAsia="Arial" w:cs="Arial"/>
        </w:rPr>
        <w:t>Waterbody-pollutant combinations are</w:t>
      </w:r>
      <w:r w:rsidR="00D91AC3" w:rsidRPr="00D91AC3">
        <w:rPr>
          <w:rFonts w:eastAsia="Arial" w:cs="Arial"/>
        </w:rPr>
        <w:t xml:space="preserve"> </w:t>
      </w:r>
      <w:r w:rsidR="00D91AC3" w:rsidRPr="050C67CF">
        <w:rPr>
          <w:rFonts w:cs="Arial"/>
        </w:rPr>
        <w:t>identified as a</w:t>
      </w:r>
      <w:r w:rsidR="00D91AC3" w:rsidRPr="00D91AC3">
        <w:rPr>
          <w:rFonts w:eastAsia="Arial" w:cs="Arial"/>
        </w:rPr>
        <w:t xml:space="preserve"> </w:t>
      </w:r>
      <w:r w:rsidR="00D91AC3">
        <w:rPr>
          <w:rFonts w:eastAsia="Arial" w:cs="Arial"/>
        </w:rPr>
        <w:t xml:space="preserve">low priority </w:t>
      </w:r>
      <w:r w:rsidR="00D91AC3" w:rsidRPr="00D91AC3">
        <w:rPr>
          <w:rFonts w:eastAsia="Arial" w:cs="Arial"/>
        </w:rPr>
        <w:t xml:space="preserve">are those </w:t>
      </w:r>
      <w:r w:rsidR="00047668">
        <w:rPr>
          <w:rFonts w:eastAsia="Arial" w:cs="Arial"/>
        </w:rPr>
        <w:t>for which</w:t>
      </w:r>
      <w:r w:rsidR="00D91AC3" w:rsidRPr="00D91AC3">
        <w:rPr>
          <w:rFonts w:eastAsia="Arial" w:cs="Arial"/>
        </w:rPr>
        <w:t xml:space="preserve"> </w:t>
      </w:r>
      <w:r w:rsidR="00D91AC3">
        <w:rPr>
          <w:rFonts w:eastAsia="Arial" w:cs="Arial"/>
        </w:rPr>
        <w:t>TMDLs</w:t>
      </w:r>
      <w:r w:rsidR="00D91AC3" w:rsidRPr="00D91AC3">
        <w:rPr>
          <w:rFonts w:eastAsia="Arial" w:cs="Arial"/>
        </w:rPr>
        <w:t xml:space="preserve"> are </w:t>
      </w:r>
      <w:r w:rsidR="003454A0">
        <w:rPr>
          <w:rFonts w:eastAsia="Arial" w:cs="Arial"/>
        </w:rPr>
        <w:t>planned for development</w:t>
      </w:r>
      <w:r w:rsidR="00D91AC3" w:rsidRPr="00D91AC3">
        <w:rPr>
          <w:rFonts w:eastAsia="Arial" w:cs="Arial"/>
        </w:rPr>
        <w:t xml:space="preserve"> in over 10 years. </w:t>
      </w:r>
    </w:p>
    <w:p w14:paraId="4AE87A68" w14:textId="52CE23D0" w:rsidR="00790441" w:rsidRDefault="00F86A65" w:rsidP="009E7000">
      <w:pPr>
        <w:rPr>
          <w:rFonts w:eastAsia="Arial" w:cs="Arial"/>
        </w:rPr>
      </w:pPr>
      <w:r>
        <w:rPr>
          <w:rFonts w:eastAsia="Arial" w:cs="Arial"/>
        </w:rPr>
        <w:t>Priority level low</w:t>
      </w:r>
      <w:r w:rsidR="00D91AC3" w:rsidRPr="00D91AC3">
        <w:rPr>
          <w:rFonts w:eastAsia="Arial" w:cs="Arial"/>
        </w:rPr>
        <w:t xml:space="preserve"> also includes </w:t>
      </w:r>
      <w:r w:rsidR="00DA420F">
        <w:rPr>
          <w:rFonts w:eastAsia="Arial" w:cs="Arial"/>
        </w:rPr>
        <w:t>waterbody-pollutant combinations</w:t>
      </w:r>
      <w:r w:rsidR="00DA420F" w:rsidRPr="00D91AC3">
        <w:rPr>
          <w:rFonts w:eastAsia="Arial" w:cs="Arial"/>
        </w:rPr>
        <w:t xml:space="preserve"> </w:t>
      </w:r>
      <w:r w:rsidR="00D91AC3" w:rsidRPr="00D91AC3">
        <w:rPr>
          <w:rFonts w:eastAsia="Arial" w:cs="Arial"/>
        </w:rPr>
        <w:t xml:space="preserve">that </w:t>
      </w:r>
      <w:r w:rsidR="006324F3">
        <w:rPr>
          <w:rFonts w:eastAsia="Arial" w:cs="Arial"/>
        </w:rPr>
        <w:t>are planned to be addressed</w:t>
      </w:r>
      <w:r w:rsidR="00D91AC3" w:rsidRPr="00D91AC3">
        <w:rPr>
          <w:rFonts w:eastAsia="Arial" w:cs="Arial"/>
        </w:rPr>
        <w:t xml:space="preserve"> by an ARP</w:t>
      </w:r>
      <w:r w:rsidR="00075788">
        <w:rPr>
          <w:rFonts w:eastAsia="Arial" w:cs="Arial"/>
        </w:rPr>
        <w:t xml:space="preserve"> (Condition Category 5r)</w:t>
      </w:r>
      <w:r w:rsidR="00C84C84">
        <w:rPr>
          <w:rFonts w:eastAsia="Arial" w:cs="Arial"/>
        </w:rPr>
        <w:t xml:space="preserve"> or a Category 4b Demonstration</w:t>
      </w:r>
      <w:r w:rsidR="000E4B5F">
        <w:rPr>
          <w:rFonts w:eastAsia="Arial" w:cs="Arial"/>
        </w:rPr>
        <w:t>.</w:t>
      </w:r>
      <w:r w:rsidR="0014325B">
        <w:rPr>
          <w:rFonts w:eastAsia="Arial" w:cs="Arial"/>
        </w:rPr>
        <w:t xml:space="preserve"> </w:t>
      </w:r>
      <w:r w:rsidR="000F15FA" w:rsidRPr="00D90ED8">
        <w:t>If a waterbody</w:t>
      </w:r>
      <w:r w:rsidR="002A15EC">
        <w:t xml:space="preserve"> segment</w:t>
      </w:r>
      <w:r w:rsidR="000F15FA" w:rsidRPr="00D90ED8">
        <w:t xml:space="preserve"> is categorized under 5</w:t>
      </w:r>
      <w:r w:rsidR="000F15FA">
        <w:t>r</w:t>
      </w:r>
      <w:r w:rsidR="000F15FA" w:rsidRPr="00D90ED8">
        <w:t xml:space="preserve">, the legal obligation to develop a TMDL </w:t>
      </w:r>
      <w:r w:rsidR="000F15FA">
        <w:t>remains until the water quality standard is achieved</w:t>
      </w:r>
      <w:r w:rsidR="000F15FA" w:rsidRPr="00D90ED8">
        <w:t xml:space="preserve">; however, </w:t>
      </w:r>
      <w:r w:rsidR="000F15FA">
        <w:t>s</w:t>
      </w:r>
      <w:r w:rsidR="000F15FA" w:rsidRPr="00D90ED8">
        <w:t xml:space="preserve">tates may justify deprioritizing the development of a TMDL should an </w:t>
      </w:r>
      <w:r w:rsidR="000F15FA">
        <w:t>ARP</w:t>
      </w:r>
      <w:r w:rsidR="000F15FA" w:rsidRPr="00D90ED8" w:rsidDel="00690012">
        <w:t xml:space="preserve"> </w:t>
      </w:r>
      <w:r w:rsidR="000F15FA" w:rsidRPr="00D90ED8">
        <w:t>be implemented for that waterbody.</w:t>
      </w:r>
      <w:r w:rsidR="00270545">
        <w:t xml:space="preserve"> </w:t>
      </w:r>
      <w:r w:rsidR="00895DCD">
        <w:t>A waterbody-pollutant combination may also be assigned low priority for TMDL development i</w:t>
      </w:r>
      <w:r w:rsidR="00136208">
        <w:t>f</w:t>
      </w:r>
      <w:r w:rsidR="00895DCD">
        <w:t xml:space="preserve"> </w:t>
      </w:r>
      <w:r w:rsidR="00F01417">
        <w:t xml:space="preserve">a </w:t>
      </w:r>
      <w:r w:rsidR="00F01417">
        <w:rPr>
          <w:rFonts w:eastAsia="Arial" w:cs="Arial"/>
        </w:rPr>
        <w:t>4</w:t>
      </w:r>
      <w:r w:rsidR="0014325B">
        <w:rPr>
          <w:rFonts w:eastAsia="Arial" w:cs="Arial"/>
        </w:rPr>
        <w:t>b</w:t>
      </w:r>
      <w:r w:rsidR="00ED1D08">
        <w:rPr>
          <w:rFonts w:eastAsia="Arial" w:cs="Arial"/>
        </w:rPr>
        <w:t xml:space="preserve"> Demonstration</w:t>
      </w:r>
      <w:r w:rsidR="00C108E4">
        <w:rPr>
          <w:rFonts w:eastAsia="Arial" w:cs="Arial"/>
        </w:rPr>
        <w:t xml:space="preserve"> </w:t>
      </w:r>
      <w:r w:rsidR="0028166A">
        <w:rPr>
          <w:rFonts w:eastAsia="Arial" w:cs="Arial"/>
        </w:rPr>
        <w:t xml:space="preserve">is in development. Once a 4b </w:t>
      </w:r>
      <w:r w:rsidR="00C108E4">
        <w:rPr>
          <w:rFonts w:eastAsia="Arial" w:cs="Arial"/>
        </w:rPr>
        <w:t>Demonstration</w:t>
      </w:r>
      <w:r w:rsidR="0028166A">
        <w:rPr>
          <w:rFonts w:eastAsia="Arial" w:cs="Arial"/>
        </w:rPr>
        <w:t xml:space="preserve"> is completed and approved by USEPA, </w:t>
      </w:r>
      <w:r w:rsidR="00C108E4">
        <w:rPr>
          <w:rFonts w:eastAsia="Arial" w:cs="Arial"/>
        </w:rPr>
        <w:t xml:space="preserve">the waterbody-pollutant combination will be placed in </w:t>
      </w:r>
      <w:r w:rsidR="00DF2E33">
        <w:rPr>
          <w:rFonts w:eastAsia="Arial" w:cs="Arial"/>
        </w:rPr>
        <w:t>C</w:t>
      </w:r>
      <w:r w:rsidR="00C108E4">
        <w:rPr>
          <w:rFonts w:eastAsia="Arial" w:cs="Arial"/>
        </w:rPr>
        <w:t xml:space="preserve">ategory 4b. </w:t>
      </w:r>
    </w:p>
    <w:p w14:paraId="2BF47779" w14:textId="58C2D534" w:rsidR="00CE5947" w:rsidRDefault="00892F4A" w:rsidP="006C0563">
      <w:pPr>
        <w:rPr>
          <w:rFonts w:cs="Arial"/>
        </w:rPr>
      </w:pPr>
      <w:r w:rsidRPr="1EA2032A">
        <w:rPr>
          <w:rFonts w:cs="Arial"/>
        </w:rPr>
        <w:t>If a Regional Water Board</w:t>
      </w:r>
      <w:r w:rsidR="00710EB6" w:rsidRPr="1EA2032A">
        <w:rPr>
          <w:rFonts w:cs="Arial"/>
        </w:rPr>
        <w:t xml:space="preserve"> identified </w:t>
      </w:r>
      <w:r w:rsidR="009A4887" w:rsidRPr="1EA2032A">
        <w:rPr>
          <w:rFonts w:cs="Arial"/>
        </w:rPr>
        <w:t>a</w:t>
      </w:r>
      <w:r w:rsidR="00A852C0" w:rsidRPr="1EA2032A">
        <w:rPr>
          <w:rFonts w:cs="Arial"/>
        </w:rPr>
        <w:t xml:space="preserve"> </w:t>
      </w:r>
      <w:r w:rsidR="002019AA">
        <w:rPr>
          <w:rFonts w:eastAsia="Arial" w:cs="Arial"/>
        </w:rPr>
        <w:t xml:space="preserve">waterbody-pollutant combination as </w:t>
      </w:r>
      <w:r w:rsidR="0086679D" w:rsidRPr="1EA2032A">
        <w:rPr>
          <w:rFonts w:cs="Arial"/>
        </w:rPr>
        <w:t xml:space="preserve">TMDL </w:t>
      </w:r>
      <w:r w:rsidR="002019AA" w:rsidRPr="1EA2032A">
        <w:rPr>
          <w:rFonts w:cs="Arial"/>
        </w:rPr>
        <w:t>Priority Level High</w:t>
      </w:r>
      <w:r w:rsidR="00BC3348" w:rsidRPr="1EA2032A">
        <w:rPr>
          <w:rFonts w:cs="Arial"/>
        </w:rPr>
        <w:t xml:space="preserve">, those TMDLs are listed in the </w:t>
      </w:r>
      <w:r w:rsidR="00EB0C03" w:rsidRPr="1EA2032A">
        <w:rPr>
          <w:rFonts w:cs="Arial"/>
        </w:rPr>
        <w:t xml:space="preserve">applicable </w:t>
      </w:r>
      <w:r w:rsidR="006259F8" w:rsidRPr="1EA2032A">
        <w:rPr>
          <w:rFonts w:cs="Arial"/>
        </w:rPr>
        <w:t>region -spe</w:t>
      </w:r>
      <w:r w:rsidR="008E1C41" w:rsidRPr="1EA2032A">
        <w:rPr>
          <w:rFonts w:cs="Arial"/>
        </w:rPr>
        <w:t>cific</w:t>
      </w:r>
      <w:r w:rsidR="00E82B76" w:rsidRPr="1EA2032A">
        <w:rPr>
          <w:rFonts w:cs="Arial"/>
        </w:rPr>
        <w:t xml:space="preserve"> section of the staff report. </w:t>
      </w:r>
      <w:r w:rsidR="00F260C1" w:rsidRPr="1EA2032A">
        <w:rPr>
          <w:rFonts w:cs="Arial"/>
        </w:rPr>
        <w:t>The region</w:t>
      </w:r>
      <w:r w:rsidR="00815899" w:rsidRPr="1EA2032A">
        <w:rPr>
          <w:rFonts w:cs="Arial"/>
        </w:rPr>
        <w:t xml:space="preserve">-specific sections of the staff report also describe other actions that the Regional Waters Boards are considering </w:t>
      </w:r>
      <w:bookmarkStart w:id="80" w:name="_Int_cZPEyp6y"/>
      <w:r w:rsidR="00815899" w:rsidRPr="1EA2032A">
        <w:rPr>
          <w:rFonts w:cs="Arial"/>
        </w:rPr>
        <w:t>to address</w:t>
      </w:r>
      <w:bookmarkEnd w:id="80"/>
      <w:r w:rsidR="00815899" w:rsidRPr="1EA2032A">
        <w:rPr>
          <w:rFonts w:cs="Arial"/>
        </w:rPr>
        <w:t xml:space="preserve"> </w:t>
      </w:r>
      <w:r w:rsidR="00524E06" w:rsidRPr="1EA2032A">
        <w:rPr>
          <w:rFonts w:cs="Arial"/>
        </w:rPr>
        <w:t>impairments</w:t>
      </w:r>
      <w:r w:rsidR="003405CD" w:rsidRPr="1EA2032A">
        <w:rPr>
          <w:rFonts w:cs="Arial"/>
        </w:rPr>
        <w:t xml:space="preserve">. Those </w:t>
      </w:r>
      <w:r w:rsidR="00B72762">
        <w:rPr>
          <w:rFonts w:eastAsia="Arial" w:cs="Arial"/>
        </w:rPr>
        <w:t xml:space="preserve">waterbody-pollutant combinations </w:t>
      </w:r>
      <w:r w:rsidR="00524E06">
        <w:rPr>
          <w:rFonts w:eastAsia="Arial" w:cs="Arial"/>
        </w:rPr>
        <w:t xml:space="preserve">may be assigned a </w:t>
      </w:r>
      <w:r w:rsidR="00E4782C">
        <w:rPr>
          <w:rFonts w:eastAsia="Arial" w:cs="Arial"/>
        </w:rPr>
        <w:t>P</w:t>
      </w:r>
      <w:r w:rsidR="0085691D">
        <w:rPr>
          <w:rFonts w:eastAsia="Arial" w:cs="Arial"/>
        </w:rPr>
        <w:t xml:space="preserve">riority </w:t>
      </w:r>
      <w:r w:rsidR="00E4782C">
        <w:rPr>
          <w:rFonts w:eastAsia="Arial" w:cs="Arial"/>
        </w:rPr>
        <w:t>L</w:t>
      </w:r>
      <w:r w:rsidR="0085691D">
        <w:rPr>
          <w:rFonts w:eastAsia="Arial" w:cs="Arial"/>
        </w:rPr>
        <w:t xml:space="preserve">evel of </w:t>
      </w:r>
      <w:r w:rsidR="00E4782C">
        <w:rPr>
          <w:rFonts w:eastAsia="Arial" w:cs="Arial"/>
        </w:rPr>
        <w:t>M</w:t>
      </w:r>
      <w:r w:rsidR="0085691D">
        <w:rPr>
          <w:rFonts w:eastAsia="Arial" w:cs="Arial"/>
        </w:rPr>
        <w:t xml:space="preserve">edium or </w:t>
      </w:r>
      <w:r w:rsidR="00E4782C">
        <w:rPr>
          <w:rFonts w:eastAsia="Arial" w:cs="Arial"/>
        </w:rPr>
        <w:t>Low</w:t>
      </w:r>
      <w:r w:rsidR="00DD4CCA">
        <w:rPr>
          <w:rFonts w:eastAsia="Arial" w:cs="Arial"/>
        </w:rPr>
        <w:t>.</w:t>
      </w:r>
      <w:r w:rsidR="00B72762">
        <w:rPr>
          <w:rFonts w:eastAsia="Arial" w:cs="Arial"/>
        </w:rPr>
        <w:t xml:space="preserve"> </w:t>
      </w:r>
    </w:p>
    <w:p w14:paraId="7ACEC298" w14:textId="459F76DD" w:rsidR="006C0563" w:rsidRDefault="00651F9C" w:rsidP="006C0563">
      <w:pPr>
        <w:rPr>
          <w:rFonts w:eastAsia="Arial" w:cs="Arial"/>
        </w:rPr>
      </w:pPr>
      <w:r>
        <w:rPr>
          <w:rFonts w:eastAsia="Arial" w:cs="Arial"/>
        </w:rPr>
        <w:t xml:space="preserve">The TMDL priority levels for </w:t>
      </w:r>
      <w:r w:rsidR="0096703F">
        <w:rPr>
          <w:rFonts w:eastAsia="Arial" w:cs="Arial"/>
        </w:rPr>
        <w:t xml:space="preserve">all </w:t>
      </w:r>
      <w:r>
        <w:rPr>
          <w:rFonts w:eastAsia="Arial" w:cs="Arial"/>
        </w:rPr>
        <w:t>waterbody-pollutant combinations</w:t>
      </w:r>
      <w:r w:rsidR="0036037E">
        <w:rPr>
          <w:rFonts w:eastAsia="Arial" w:cs="Arial"/>
        </w:rPr>
        <w:t xml:space="preserve"> in Category 5</w:t>
      </w:r>
      <w:r>
        <w:rPr>
          <w:rFonts w:eastAsia="Arial" w:cs="Arial"/>
        </w:rPr>
        <w:t xml:space="preserve"> can be found in </w:t>
      </w:r>
      <w:r w:rsidR="00984AA2">
        <w:rPr>
          <w:rFonts w:eastAsia="Arial" w:cs="Arial"/>
        </w:rPr>
        <w:t xml:space="preserve">the </w:t>
      </w:r>
      <w:r>
        <w:rPr>
          <w:rFonts w:eastAsia="Arial" w:cs="Arial"/>
        </w:rPr>
        <w:t>Waterbody Factsheets and A</w:t>
      </w:r>
      <w:r w:rsidRPr="00D405C2">
        <w:rPr>
          <w:rFonts w:eastAsia="Arial" w:cs="Arial"/>
        </w:rPr>
        <w:t>ppendix C</w:t>
      </w:r>
      <w:r>
        <w:rPr>
          <w:rFonts w:eastAsia="Arial" w:cs="Arial"/>
        </w:rPr>
        <w:t>5</w:t>
      </w:r>
      <w:r w:rsidRPr="00D405C2">
        <w:rPr>
          <w:rFonts w:eastAsia="Arial" w:cs="Arial"/>
        </w:rPr>
        <w:t xml:space="preserve">: </w:t>
      </w:r>
      <w:r w:rsidRPr="00B31401">
        <w:rPr>
          <w:rFonts w:cs="Arial"/>
          <w:shd w:val="clear" w:color="auto" w:fill="FFFFFF"/>
        </w:rPr>
        <w:t>Category 5 Waterbody Segments</w:t>
      </w:r>
      <w:r w:rsidRPr="00D405C2">
        <w:rPr>
          <w:rFonts w:eastAsia="Arial" w:cs="Arial"/>
        </w:rPr>
        <w:t>.</w:t>
      </w:r>
      <w:r w:rsidR="0036037E">
        <w:rPr>
          <w:rFonts w:eastAsia="Arial" w:cs="Arial"/>
        </w:rPr>
        <w:t xml:space="preserve"> Note that </w:t>
      </w:r>
      <w:r w:rsidR="008A514D">
        <w:rPr>
          <w:rFonts w:eastAsia="Arial" w:cs="Arial"/>
        </w:rPr>
        <w:t>the</w:t>
      </w:r>
      <w:r w:rsidR="007524C4">
        <w:rPr>
          <w:rFonts w:eastAsia="Arial" w:cs="Arial"/>
        </w:rPr>
        <w:t>re is no</w:t>
      </w:r>
      <w:r w:rsidR="008A514D">
        <w:rPr>
          <w:rFonts w:eastAsia="Arial" w:cs="Arial"/>
        </w:rPr>
        <w:t xml:space="preserve"> TMDL priority </w:t>
      </w:r>
      <w:r w:rsidR="007524C4">
        <w:rPr>
          <w:rFonts w:eastAsia="Arial" w:cs="Arial"/>
        </w:rPr>
        <w:t xml:space="preserve">for waterbody-pollutant combinations </w:t>
      </w:r>
      <w:r w:rsidR="00800DB3">
        <w:rPr>
          <w:rFonts w:eastAsia="Arial" w:cs="Arial"/>
        </w:rPr>
        <w:t xml:space="preserve">in Category 4a </w:t>
      </w:r>
      <w:r w:rsidR="00FE0C5C">
        <w:rPr>
          <w:rFonts w:eastAsia="Arial" w:cs="Arial"/>
        </w:rPr>
        <w:t xml:space="preserve">because </w:t>
      </w:r>
      <w:r w:rsidR="00C21B17">
        <w:rPr>
          <w:rFonts w:eastAsia="Arial" w:cs="Arial"/>
        </w:rPr>
        <w:t xml:space="preserve">a TMDL has already been developed or for waters in Category 4b </w:t>
      </w:r>
      <w:r w:rsidR="00FE0C5C">
        <w:rPr>
          <w:rFonts w:eastAsia="Arial" w:cs="Arial"/>
        </w:rPr>
        <w:t>because</w:t>
      </w:r>
      <w:r w:rsidR="00C21B17">
        <w:rPr>
          <w:rFonts w:eastAsia="Arial" w:cs="Arial"/>
        </w:rPr>
        <w:t xml:space="preserve"> </w:t>
      </w:r>
      <w:r w:rsidR="00C21B17">
        <w:rPr>
          <w:rFonts w:cs="Arial"/>
          <w:szCs w:val="24"/>
        </w:rPr>
        <w:t xml:space="preserve">another regulatory program is reasonably expected to result in the attainment of standard within a reasonable, specified timeframe. </w:t>
      </w:r>
    </w:p>
    <w:p w14:paraId="03C9CD44" w14:textId="73EAA78E" w:rsidR="007710C3" w:rsidRPr="004502A9" w:rsidRDefault="007710C3" w:rsidP="00597DE8">
      <w:pPr>
        <w:pStyle w:val="Heading1"/>
      </w:pPr>
      <w:bookmarkStart w:id="81" w:name="_Toc189048565"/>
      <w:r w:rsidRPr="004502A9">
        <w:t>Pollutant Assessment Methods</w:t>
      </w:r>
      <w:bookmarkEnd w:id="73"/>
      <w:bookmarkEnd w:id="74"/>
      <w:bookmarkEnd w:id="81"/>
      <w:r w:rsidR="007802F8">
        <w:t xml:space="preserve"> </w:t>
      </w:r>
    </w:p>
    <w:p w14:paraId="46F29773" w14:textId="17F0168C" w:rsidR="00B1468E" w:rsidRPr="004502A9" w:rsidRDefault="007710C3" w:rsidP="007710C3">
      <w:pPr>
        <w:rPr>
          <w:rFonts w:cs="Arial"/>
        </w:rPr>
      </w:pPr>
      <w:r w:rsidRPr="004502A9">
        <w:rPr>
          <w:rFonts w:cs="Arial"/>
        </w:rPr>
        <w:t xml:space="preserve">This section explains how data </w:t>
      </w:r>
      <w:r w:rsidR="003E0EFA">
        <w:rPr>
          <w:rFonts w:cs="Arial"/>
        </w:rPr>
        <w:t xml:space="preserve">and information </w:t>
      </w:r>
      <w:r w:rsidR="00B6225F">
        <w:rPr>
          <w:rFonts w:cs="Arial"/>
        </w:rPr>
        <w:t xml:space="preserve">were assessed for </w:t>
      </w:r>
      <w:r w:rsidR="00E40DD2">
        <w:rPr>
          <w:rFonts w:cs="Arial"/>
        </w:rPr>
        <w:t xml:space="preserve">selected complex or significant pollutants that applied </w:t>
      </w:r>
      <w:r w:rsidR="006A04B2">
        <w:rPr>
          <w:rFonts w:cs="Arial"/>
        </w:rPr>
        <w:t xml:space="preserve">to waters </w:t>
      </w:r>
      <w:r w:rsidR="005B3938">
        <w:rPr>
          <w:rFonts w:cs="Arial"/>
        </w:rPr>
        <w:t xml:space="preserve">statewide or </w:t>
      </w:r>
      <w:r w:rsidR="006A04B2">
        <w:rPr>
          <w:rFonts w:cs="Arial"/>
        </w:rPr>
        <w:t xml:space="preserve">in </w:t>
      </w:r>
      <w:r w:rsidR="005B3938">
        <w:rPr>
          <w:rFonts w:cs="Arial"/>
        </w:rPr>
        <w:t>multiple regions</w:t>
      </w:r>
      <w:r w:rsidRPr="004502A9">
        <w:rPr>
          <w:rFonts w:cs="Arial"/>
        </w:rPr>
        <w:t xml:space="preserve">. Region-specific assessments or assessments using </w:t>
      </w:r>
      <w:r w:rsidR="00CB1C4A">
        <w:rPr>
          <w:rFonts w:cs="Arial"/>
        </w:rPr>
        <w:t>site-specific objectives (“</w:t>
      </w:r>
      <w:r w:rsidRPr="004502A9">
        <w:rPr>
          <w:rFonts w:cs="Arial"/>
        </w:rPr>
        <w:t>SSOs</w:t>
      </w:r>
      <w:r w:rsidR="00CB1C4A">
        <w:rPr>
          <w:rFonts w:cs="Arial"/>
        </w:rPr>
        <w:t>”)</w:t>
      </w:r>
      <w:r w:rsidRPr="004502A9">
        <w:rPr>
          <w:rFonts w:cs="Arial"/>
        </w:rPr>
        <w:t xml:space="preserve">, are described in </w:t>
      </w:r>
      <w:r w:rsidR="00155016">
        <w:rPr>
          <w:rFonts w:cs="Arial"/>
        </w:rPr>
        <w:t>s</w:t>
      </w:r>
      <w:r w:rsidRPr="004502A9">
        <w:rPr>
          <w:rFonts w:cs="Arial"/>
        </w:rPr>
        <w:t xml:space="preserve">ections </w:t>
      </w:r>
      <w:r w:rsidR="00EF34F5">
        <w:rPr>
          <w:rFonts w:cs="Arial"/>
        </w:rPr>
        <w:t xml:space="preserve">6 </w:t>
      </w:r>
      <w:r w:rsidR="001739E0">
        <w:rPr>
          <w:rFonts w:cs="Arial"/>
        </w:rPr>
        <w:t xml:space="preserve">through </w:t>
      </w:r>
      <w:r w:rsidR="00FE582D">
        <w:rPr>
          <w:rFonts w:cs="Arial"/>
        </w:rPr>
        <w:t>10</w:t>
      </w:r>
      <w:r w:rsidRPr="004502A9">
        <w:rPr>
          <w:rFonts w:cs="Arial"/>
        </w:rPr>
        <w:t xml:space="preserve"> of the staff report.</w:t>
      </w:r>
      <w:r w:rsidR="0013411B">
        <w:rPr>
          <w:rFonts w:cs="Arial"/>
        </w:rPr>
        <w:t xml:space="preserve"> </w:t>
      </w:r>
    </w:p>
    <w:p w14:paraId="23F339C3" w14:textId="451478B0" w:rsidR="00E91A80" w:rsidRPr="0018460D" w:rsidRDefault="00CE2A72" w:rsidP="00597DE8">
      <w:pPr>
        <w:pStyle w:val="Heading2"/>
      </w:pPr>
      <w:bookmarkStart w:id="82" w:name="_Toc189048566"/>
      <w:r w:rsidRPr="0018460D">
        <w:t>Aluminum</w:t>
      </w:r>
      <w:r w:rsidR="006D46B0">
        <w:t xml:space="preserve"> - Water Matrix</w:t>
      </w:r>
      <w:bookmarkEnd w:id="82"/>
    </w:p>
    <w:p w14:paraId="41EB9D5C" w14:textId="3D9381BD" w:rsidR="00157E30" w:rsidRDefault="00E07872" w:rsidP="00C424BF">
      <w:pPr>
        <w:rPr>
          <w:rFonts w:cs="Arial"/>
        </w:rPr>
      </w:pPr>
      <w:r w:rsidRPr="004502A9">
        <w:rPr>
          <w:rFonts w:cs="Arial"/>
        </w:rPr>
        <w:t>Aluminum data from</w:t>
      </w:r>
      <w:r w:rsidRPr="004502A9" w:rsidDel="00595F36">
        <w:rPr>
          <w:rFonts w:cs="Arial"/>
        </w:rPr>
        <w:t xml:space="preserve"> </w:t>
      </w:r>
      <w:r w:rsidR="00595F36" w:rsidRPr="004502A9">
        <w:rPr>
          <w:rFonts w:cs="Arial"/>
        </w:rPr>
        <w:t>waterbod</w:t>
      </w:r>
      <w:r w:rsidR="00595F36">
        <w:rPr>
          <w:rFonts w:cs="Arial"/>
        </w:rPr>
        <w:t>y segments</w:t>
      </w:r>
      <w:r w:rsidR="00595F36" w:rsidRPr="004502A9">
        <w:rPr>
          <w:rFonts w:cs="Arial"/>
        </w:rPr>
        <w:t xml:space="preserve"> </w:t>
      </w:r>
      <w:r w:rsidRPr="004502A9">
        <w:rPr>
          <w:rFonts w:cs="Arial"/>
        </w:rPr>
        <w:t>with the Warm Fresh</w:t>
      </w:r>
      <w:r w:rsidR="00F758D2">
        <w:rPr>
          <w:rFonts w:cs="Arial"/>
        </w:rPr>
        <w:t>w</w:t>
      </w:r>
      <w:r w:rsidRPr="004502A9">
        <w:rPr>
          <w:rFonts w:cs="Arial"/>
        </w:rPr>
        <w:t>ater Habitat (</w:t>
      </w:r>
      <w:r w:rsidR="0067049E" w:rsidRPr="004502A9">
        <w:rPr>
          <w:rFonts w:cs="Arial"/>
        </w:rPr>
        <w:t>“</w:t>
      </w:r>
      <w:r w:rsidRPr="004502A9">
        <w:rPr>
          <w:rFonts w:cs="Arial"/>
        </w:rPr>
        <w:t>WARM</w:t>
      </w:r>
      <w:r w:rsidR="0067049E" w:rsidRPr="004502A9">
        <w:rPr>
          <w:rFonts w:cs="Arial"/>
        </w:rPr>
        <w:t>”</w:t>
      </w:r>
      <w:r w:rsidRPr="004502A9">
        <w:rPr>
          <w:rFonts w:cs="Arial"/>
        </w:rPr>
        <w:t>), and Cold Fresh</w:t>
      </w:r>
      <w:r w:rsidR="00F758D2">
        <w:rPr>
          <w:rFonts w:cs="Arial"/>
        </w:rPr>
        <w:t>w</w:t>
      </w:r>
      <w:r w:rsidRPr="004502A9">
        <w:rPr>
          <w:rFonts w:cs="Arial"/>
        </w:rPr>
        <w:t>ater Habitat (</w:t>
      </w:r>
      <w:r w:rsidR="0067049E" w:rsidRPr="004502A9">
        <w:rPr>
          <w:rFonts w:cs="Arial"/>
        </w:rPr>
        <w:t>“</w:t>
      </w:r>
      <w:r w:rsidRPr="004502A9">
        <w:rPr>
          <w:rFonts w:cs="Arial"/>
        </w:rPr>
        <w:t>COLD</w:t>
      </w:r>
      <w:r w:rsidR="0067049E" w:rsidRPr="004502A9">
        <w:rPr>
          <w:rFonts w:cs="Arial"/>
        </w:rPr>
        <w:t>”</w:t>
      </w:r>
      <w:r w:rsidRPr="004502A9">
        <w:rPr>
          <w:rFonts w:cs="Arial"/>
        </w:rPr>
        <w:t xml:space="preserve">) beneficial use were assessed </w:t>
      </w:r>
      <w:r w:rsidR="00597358">
        <w:rPr>
          <w:rFonts w:cs="Arial"/>
        </w:rPr>
        <w:t>using</w:t>
      </w:r>
      <w:r w:rsidRPr="004502A9">
        <w:rPr>
          <w:rFonts w:cs="Arial"/>
        </w:rPr>
        <w:t xml:space="preserve"> the 2018</w:t>
      </w:r>
      <w:r w:rsidR="009C62B2" w:rsidRPr="004502A9">
        <w:rPr>
          <w:rFonts w:cs="Arial"/>
        </w:rPr>
        <w:t xml:space="preserve"> </w:t>
      </w:r>
      <w:r w:rsidR="00313C98">
        <w:rPr>
          <w:rFonts w:cs="Arial"/>
        </w:rPr>
        <w:t>USEPA</w:t>
      </w:r>
      <w:r w:rsidRPr="004502A9">
        <w:rPr>
          <w:rFonts w:cs="Arial"/>
        </w:rPr>
        <w:t xml:space="preserve"> Final Aquatic Life Criteria for Aluminum in Freshwater</w:t>
      </w:r>
      <w:r w:rsidR="002854E2">
        <w:rPr>
          <w:rFonts w:cs="Arial"/>
        </w:rPr>
        <w:t xml:space="preserve"> (</w:t>
      </w:r>
      <w:r w:rsidR="008E324F">
        <w:rPr>
          <w:rFonts w:cs="Arial"/>
        </w:rPr>
        <w:t>“2018 Criteria”)</w:t>
      </w:r>
      <w:r w:rsidR="00FD0E65">
        <w:rPr>
          <w:rFonts w:cs="Arial"/>
        </w:rPr>
        <w:t>,</w:t>
      </w:r>
      <w:r w:rsidR="00007453">
        <w:rPr>
          <w:rFonts w:cs="Arial"/>
        </w:rPr>
        <w:t xml:space="preserve"> in accordance with </w:t>
      </w:r>
      <w:r w:rsidR="00C3542B">
        <w:rPr>
          <w:rFonts w:cs="Arial"/>
        </w:rPr>
        <w:t xml:space="preserve">the following narrative water </w:t>
      </w:r>
      <w:r w:rsidR="001678EA">
        <w:rPr>
          <w:rFonts w:cs="Arial"/>
        </w:rPr>
        <w:t>qual</w:t>
      </w:r>
      <w:r w:rsidR="000B5EE9">
        <w:rPr>
          <w:rFonts w:cs="Arial"/>
        </w:rPr>
        <w:t>ity objective</w:t>
      </w:r>
      <w:r w:rsidR="00FB753C">
        <w:rPr>
          <w:rFonts w:cs="Arial"/>
        </w:rPr>
        <w:t xml:space="preserve"> for toxicity</w:t>
      </w:r>
      <w:r w:rsidR="000B5EE9">
        <w:rPr>
          <w:rFonts w:cs="Arial"/>
        </w:rPr>
        <w:t>:</w:t>
      </w:r>
    </w:p>
    <w:p w14:paraId="7CCD2B5E" w14:textId="77777777" w:rsidR="00157E30" w:rsidRDefault="00157E30" w:rsidP="00157E30">
      <w:pPr>
        <w:ind w:left="720"/>
        <w:rPr>
          <w:rFonts w:cs="Arial"/>
        </w:rPr>
      </w:pPr>
      <w:r>
        <w:rPr>
          <w:rFonts w:cs="Arial"/>
        </w:rPr>
        <w:t xml:space="preserve">All waters </w:t>
      </w:r>
      <w:r w:rsidRPr="00157E30">
        <w:rPr>
          <w:rFonts w:cs="Arial"/>
        </w:rPr>
        <w:t>shall be maintained free of toxic substances in concentrations that produce detrimental physiological responses in human, plant, animal, or aquatic life.</w:t>
      </w:r>
      <w:r w:rsidR="00C424BF" w:rsidRPr="004502A9">
        <w:rPr>
          <w:rFonts w:cs="Arial"/>
        </w:rPr>
        <w:t xml:space="preserve"> </w:t>
      </w:r>
    </w:p>
    <w:p w14:paraId="7FB67780" w14:textId="01A01249" w:rsidR="00F41F18" w:rsidRDefault="00185C41" w:rsidP="00157E30">
      <w:pPr>
        <w:rPr>
          <w:rFonts w:cs="Arial"/>
        </w:rPr>
      </w:pPr>
      <w:r>
        <w:rPr>
          <w:rFonts w:cs="Arial"/>
        </w:rPr>
        <w:t xml:space="preserve">Each Regional Water Board </w:t>
      </w:r>
      <w:r w:rsidR="00FB75A5">
        <w:rPr>
          <w:rFonts w:cs="Arial"/>
        </w:rPr>
        <w:t>B</w:t>
      </w:r>
      <w:r>
        <w:rPr>
          <w:rFonts w:cs="Arial"/>
        </w:rPr>
        <w:t xml:space="preserve">asin </w:t>
      </w:r>
      <w:r w:rsidR="00FB75A5">
        <w:rPr>
          <w:rFonts w:cs="Arial"/>
        </w:rPr>
        <w:t>P</w:t>
      </w:r>
      <w:r>
        <w:rPr>
          <w:rFonts w:cs="Arial"/>
        </w:rPr>
        <w:t>lan has a narrative water quality objective for toxicity similar to the above</w:t>
      </w:r>
      <w:r w:rsidR="001D2EE0">
        <w:rPr>
          <w:rFonts w:cs="Arial"/>
        </w:rPr>
        <w:t xml:space="preserve"> objective</w:t>
      </w:r>
      <w:r>
        <w:rPr>
          <w:rFonts w:cs="Arial"/>
        </w:rPr>
        <w:t xml:space="preserve">. </w:t>
      </w:r>
      <w:r w:rsidR="0000173D">
        <w:rPr>
          <w:rFonts w:cs="Arial"/>
        </w:rPr>
        <w:t xml:space="preserve">The narrative water quality objective </w:t>
      </w:r>
      <w:r w:rsidR="00EF7058">
        <w:rPr>
          <w:rFonts w:cs="Arial"/>
        </w:rPr>
        <w:t xml:space="preserve">is evaluated by selecting an appropriate numeric evaluation guideline, in accordance with </w:t>
      </w:r>
      <w:r w:rsidR="009B2D9A">
        <w:rPr>
          <w:rFonts w:cs="Arial"/>
        </w:rPr>
        <w:t>s</w:t>
      </w:r>
      <w:r w:rsidR="00383E9B">
        <w:rPr>
          <w:rFonts w:cs="Arial"/>
        </w:rPr>
        <w:t>ection 6.1.3 of the Listing Policy</w:t>
      </w:r>
      <w:r w:rsidR="00F564B0">
        <w:rPr>
          <w:rFonts w:cs="Arial"/>
        </w:rPr>
        <w:t>.</w:t>
      </w:r>
      <w:r w:rsidR="000C320B">
        <w:rPr>
          <w:rFonts w:cs="Arial"/>
        </w:rPr>
        <w:t xml:space="preserve"> The 2018 Criteria </w:t>
      </w:r>
      <w:r w:rsidR="00127A85">
        <w:rPr>
          <w:rFonts w:cs="Arial"/>
        </w:rPr>
        <w:t>are</w:t>
      </w:r>
      <w:r w:rsidR="00F70013">
        <w:rPr>
          <w:rFonts w:cs="Arial"/>
        </w:rPr>
        <w:t xml:space="preserve"> the appropriate </w:t>
      </w:r>
      <w:r w:rsidR="00DF5ED6">
        <w:rPr>
          <w:rFonts w:cs="Arial"/>
        </w:rPr>
        <w:t>numeric evaluation guideline</w:t>
      </w:r>
      <w:r w:rsidR="004D2507">
        <w:rPr>
          <w:rFonts w:cs="Arial"/>
        </w:rPr>
        <w:t>s</w:t>
      </w:r>
      <w:r w:rsidR="003F1E8A">
        <w:rPr>
          <w:rFonts w:cs="Arial"/>
        </w:rPr>
        <w:t xml:space="preserve"> to evaluate the </w:t>
      </w:r>
      <w:r w:rsidR="00422274">
        <w:rPr>
          <w:rFonts w:cs="Arial"/>
        </w:rPr>
        <w:t xml:space="preserve">narrative water quality objective. </w:t>
      </w:r>
    </w:p>
    <w:p w14:paraId="29F3AE6B" w14:textId="5B2D102B" w:rsidR="007F4ACF" w:rsidRDefault="000477CA" w:rsidP="00C424BF">
      <w:pPr>
        <w:rPr>
          <w:rFonts w:cs="Arial"/>
        </w:rPr>
      </w:pPr>
      <w:r>
        <w:rPr>
          <w:rFonts w:cs="Arial"/>
        </w:rPr>
        <w:t xml:space="preserve">The 2018 Criteria </w:t>
      </w:r>
      <w:r w:rsidR="002B0255">
        <w:rPr>
          <w:rFonts w:cs="Arial"/>
        </w:rPr>
        <w:t>recognize</w:t>
      </w:r>
      <w:r>
        <w:rPr>
          <w:rFonts w:cs="Arial"/>
        </w:rPr>
        <w:t xml:space="preserve"> that the toxicity of aluminum is dependent on water chemistry conditions.</w:t>
      </w:r>
      <w:r w:rsidR="00C424BF" w:rsidRPr="004502A9">
        <w:rPr>
          <w:rFonts w:cs="Arial"/>
        </w:rPr>
        <w:t xml:space="preserve"> </w:t>
      </w:r>
      <w:r w:rsidR="00151EB3">
        <w:rPr>
          <w:rFonts w:cs="Arial"/>
        </w:rPr>
        <w:t>T</w:t>
      </w:r>
      <w:r w:rsidR="009C62B2" w:rsidRPr="004502A9">
        <w:rPr>
          <w:rFonts w:cs="Arial"/>
        </w:rPr>
        <w:t xml:space="preserve">he </w:t>
      </w:r>
      <w:r w:rsidR="00C0245E">
        <w:rPr>
          <w:rFonts w:cs="Arial"/>
        </w:rPr>
        <w:t>2018 Criteria</w:t>
      </w:r>
      <w:r w:rsidR="005C2BC7">
        <w:rPr>
          <w:rFonts w:cs="Arial"/>
        </w:rPr>
        <w:t xml:space="preserve"> </w:t>
      </w:r>
      <w:r w:rsidR="00393882">
        <w:rPr>
          <w:rFonts w:cs="Arial"/>
        </w:rPr>
        <w:t>take into account</w:t>
      </w:r>
      <w:r w:rsidR="004B104D">
        <w:rPr>
          <w:rFonts w:cs="Arial"/>
        </w:rPr>
        <w:t xml:space="preserve"> </w:t>
      </w:r>
      <w:r w:rsidR="009C62B2" w:rsidRPr="004502A9">
        <w:rPr>
          <w:rFonts w:cs="Arial"/>
        </w:rPr>
        <w:t xml:space="preserve">three water chemistry parameters – </w:t>
      </w:r>
      <w:r w:rsidR="00FB6C39">
        <w:rPr>
          <w:rFonts w:cs="Arial"/>
        </w:rPr>
        <w:t>p</w:t>
      </w:r>
      <w:r w:rsidR="009C62B2" w:rsidRPr="004502A9">
        <w:rPr>
          <w:rFonts w:cs="Arial"/>
        </w:rPr>
        <w:t>H</w:t>
      </w:r>
      <w:r w:rsidR="00FB6C39">
        <w:rPr>
          <w:rFonts w:cs="Arial"/>
        </w:rPr>
        <w:t>,</w:t>
      </w:r>
      <w:r w:rsidR="009C62B2" w:rsidRPr="004502A9">
        <w:rPr>
          <w:rFonts w:cs="Arial"/>
        </w:rPr>
        <w:t xml:space="preserve"> total hardness, and dissolved organic carbon (</w:t>
      </w:r>
      <w:r w:rsidR="00C57E07">
        <w:rPr>
          <w:rFonts w:cs="Arial"/>
        </w:rPr>
        <w:t>“</w:t>
      </w:r>
      <w:r w:rsidR="009C62B2" w:rsidRPr="004502A9">
        <w:rPr>
          <w:rFonts w:cs="Arial"/>
        </w:rPr>
        <w:t>DOC</w:t>
      </w:r>
      <w:r w:rsidR="00C57E07">
        <w:rPr>
          <w:rFonts w:cs="Arial"/>
        </w:rPr>
        <w:t>”</w:t>
      </w:r>
      <w:r w:rsidR="009C62B2" w:rsidRPr="004502A9">
        <w:rPr>
          <w:rFonts w:cs="Arial"/>
        </w:rPr>
        <w:t>)</w:t>
      </w:r>
      <w:r w:rsidR="00443D7B">
        <w:rPr>
          <w:rFonts w:cs="Arial"/>
        </w:rPr>
        <w:t xml:space="preserve"> –</w:t>
      </w:r>
      <w:r w:rsidR="009C62B2" w:rsidRPr="004502A9">
        <w:rPr>
          <w:rFonts w:cs="Arial"/>
        </w:rPr>
        <w:t xml:space="preserve"> </w:t>
      </w:r>
      <w:r w:rsidR="004B104D">
        <w:rPr>
          <w:rFonts w:cs="Arial"/>
        </w:rPr>
        <w:t>known</w:t>
      </w:r>
      <w:r w:rsidR="009C62B2" w:rsidRPr="004502A9">
        <w:rPr>
          <w:rFonts w:cs="Arial"/>
        </w:rPr>
        <w:t xml:space="preserve"> to alter the toxicity of aluminum by affecting the bioavailability</w:t>
      </w:r>
      <w:r w:rsidR="00A5443D">
        <w:rPr>
          <w:rStyle w:val="FootnoteReference"/>
          <w:rFonts w:cs="Arial"/>
        </w:rPr>
        <w:footnoteReference w:id="9"/>
      </w:r>
      <w:r w:rsidR="009C62B2" w:rsidRPr="004502A9">
        <w:rPr>
          <w:rFonts w:cs="Arial"/>
        </w:rPr>
        <w:t xml:space="preserve"> of aluminum in the water </w:t>
      </w:r>
      <w:r w:rsidR="5B88D50D" w:rsidRPr="0FC0A87B">
        <w:rPr>
          <w:rFonts w:cs="Arial"/>
        </w:rPr>
        <w:t>column</w:t>
      </w:r>
      <w:r w:rsidR="0017527C">
        <w:rPr>
          <w:rFonts w:cs="Arial"/>
        </w:rPr>
        <w:t xml:space="preserve"> (i.e., </w:t>
      </w:r>
      <w:r w:rsidR="00B51AF8">
        <w:rPr>
          <w:rFonts w:cs="Arial"/>
        </w:rPr>
        <w:t>some</w:t>
      </w:r>
      <w:r w:rsidR="0017527C">
        <w:rPr>
          <w:rFonts w:cs="Arial"/>
        </w:rPr>
        <w:t xml:space="preserve"> forms of aluminum </w:t>
      </w:r>
      <w:r w:rsidR="00B51AF8">
        <w:rPr>
          <w:rFonts w:cs="Arial"/>
        </w:rPr>
        <w:t>are more</w:t>
      </w:r>
      <w:r w:rsidR="0017527C">
        <w:rPr>
          <w:rFonts w:cs="Arial"/>
        </w:rPr>
        <w:t xml:space="preserve"> bioavailable</w:t>
      </w:r>
      <w:r w:rsidR="00B51AF8">
        <w:rPr>
          <w:rFonts w:cs="Arial"/>
        </w:rPr>
        <w:t xml:space="preserve"> than others</w:t>
      </w:r>
      <w:r w:rsidR="0017527C">
        <w:rPr>
          <w:rFonts w:cs="Arial"/>
        </w:rPr>
        <w:t>)</w:t>
      </w:r>
      <w:r w:rsidR="7CCD5D60" w:rsidRPr="0FC0A87B">
        <w:rPr>
          <w:rFonts w:cs="Arial"/>
        </w:rPr>
        <w:t>.</w:t>
      </w:r>
      <w:r w:rsidR="7CCD5D60" w:rsidRPr="71F54D87">
        <w:rPr>
          <w:rFonts w:cs="Arial"/>
        </w:rPr>
        <w:t xml:space="preserve"> </w:t>
      </w:r>
      <w:r w:rsidR="00C12107">
        <w:rPr>
          <w:rFonts w:cs="Arial"/>
        </w:rPr>
        <w:t>The more bioavailable the aluminum is, the more likely it is to cause a toxic effect to aquatic life.</w:t>
      </w:r>
      <w:r w:rsidR="00E321AD" w:rsidRPr="00E321AD">
        <w:rPr>
          <w:rFonts w:eastAsia="Times New Roman" w:cs="Arial"/>
        </w:rPr>
        <w:t xml:space="preserve"> </w:t>
      </w:r>
      <w:r w:rsidR="00E321AD">
        <w:rPr>
          <w:rFonts w:eastAsia="Times New Roman" w:cs="Arial"/>
        </w:rPr>
        <w:t>Accordingly, the 2018 Criteria were adopted in the form of criteria calculator</w:t>
      </w:r>
      <w:r w:rsidR="00BA00AF">
        <w:rPr>
          <w:rFonts w:eastAsia="Times New Roman" w:cs="Arial"/>
        </w:rPr>
        <w:t>s</w:t>
      </w:r>
      <w:r w:rsidR="00E321AD">
        <w:rPr>
          <w:rFonts w:eastAsia="Times New Roman" w:cs="Arial"/>
        </w:rPr>
        <w:t xml:space="preserve"> dependent on inputs of the three parameters and were not adopted in the form of a specific numeric value.</w:t>
      </w:r>
    </w:p>
    <w:p w14:paraId="246269CA" w14:textId="4C29EF83" w:rsidR="00107D31" w:rsidRDefault="763E1D59" w:rsidP="00C424BF">
      <w:pPr>
        <w:rPr>
          <w:rFonts w:eastAsia="Times New Roman" w:cs="Arial"/>
        </w:rPr>
      </w:pPr>
      <w:r w:rsidRPr="05DB257D">
        <w:rPr>
          <w:rFonts w:eastAsia="Arial" w:cs="Arial"/>
          <w:color w:val="000000" w:themeColor="text1"/>
        </w:rPr>
        <w:t xml:space="preserve">To determine the appropriate aluminum </w:t>
      </w:r>
      <w:r w:rsidR="00DE0328">
        <w:rPr>
          <w:rFonts w:eastAsia="Arial" w:cs="Arial"/>
          <w:color w:val="000000" w:themeColor="text1"/>
        </w:rPr>
        <w:t xml:space="preserve">numeric </w:t>
      </w:r>
      <w:r w:rsidR="000E258D">
        <w:rPr>
          <w:rFonts w:eastAsia="Arial" w:cs="Arial"/>
          <w:color w:val="000000" w:themeColor="text1"/>
        </w:rPr>
        <w:t>criterion</w:t>
      </w:r>
      <w:r w:rsidR="00151EB3" w:rsidRPr="05DB257D">
        <w:rPr>
          <w:rFonts w:eastAsia="Arial" w:cs="Arial"/>
          <w:color w:val="000000" w:themeColor="text1"/>
        </w:rPr>
        <w:t xml:space="preserve"> </w:t>
      </w:r>
      <w:r w:rsidRPr="05DB257D">
        <w:rPr>
          <w:rFonts w:eastAsia="Arial" w:cs="Arial"/>
          <w:color w:val="000000" w:themeColor="text1"/>
        </w:rPr>
        <w:t xml:space="preserve">for </w:t>
      </w:r>
      <w:r w:rsidR="00C1523F">
        <w:rPr>
          <w:rFonts w:eastAsia="Arial" w:cs="Arial"/>
          <w:color w:val="000000" w:themeColor="text1"/>
        </w:rPr>
        <w:t>a</w:t>
      </w:r>
      <w:r w:rsidR="00C1523F" w:rsidRPr="05DB257D">
        <w:rPr>
          <w:rFonts w:eastAsia="Arial" w:cs="Arial"/>
          <w:color w:val="000000" w:themeColor="text1"/>
        </w:rPr>
        <w:t xml:space="preserve"> </w:t>
      </w:r>
      <w:r w:rsidRPr="05DB257D">
        <w:rPr>
          <w:rFonts w:eastAsia="Arial" w:cs="Arial"/>
          <w:color w:val="000000" w:themeColor="text1"/>
        </w:rPr>
        <w:t>waterbody</w:t>
      </w:r>
      <w:r w:rsidR="002F2997">
        <w:rPr>
          <w:rFonts w:eastAsia="Arial" w:cs="Arial"/>
          <w:color w:val="000000" w:themeColor="text1"/>
        </w:rPr>
        <w:t xml:space="preserve"> </w:t>
      </w:r>
      <w:r w:rsidR="00747865">
        <w:rPr>
          <w:rFonts w:eastAsia="Arial" w:cs="Arial"/>
          <w:color w:val="000000" w:themeColor="text1"/>
        </w:rPr>
        <w:t xml:space="preserve">segment </w:t>
      </w:r>
      <w:r w:rsidR="002F2997">
        <w:rPr>
          <w:rFonts w:eastAsia="Arial" w:cs="Arial"/>
          <w:color w:val="000000" w:themeColor="text1"/>
        </w:rPr>
        <w:t>that reflects water quality standards attainment</w:t>
      </w:r>
      <w:r w:rsidRPr="05DB257D">
        <w:rPr>
          <w:rFonts w:eastAsia="Arial" w:cs="Arial"/>
          <w:color w:val="000000" w:themeColor="text1"/>
        </w:rPr>
        <w:t>,</w:t>
      </w:r>
      <w:r w:rsidR="005B479C">
        <w:rPr>
          <w:rFonts w:eastAsia="Arial" w:cs="Arial"/>
          <w:color w:val="000000" w:themeColor="text1"/>
        </w:rPr>
        <w:t xml:space="preserve"> the measurements for</w:t>
      </w:r>
      <w:r w:rsidRPr="05DB257D">
        <w:rPr>
          <w:rFonts w:eastAsia="Arial" w:cs="Arial"/>
          <w:color w:val="000000" w:themeColor="text1"/>
        </w:rPr>
        <w:t xml:space="preserve"> </w:t>
      </w:r>
      <w:r w:rsidR="00865625">
        <w:rPr>
          <w:rFonts w:eastAsia="Arial" w:cs="Arial"/>
          <w:color w:val="000000" w:themeColor="text1"/>
        </w:rPr>
        <w:t>data for</w:t>
      </w:r>
      <w:r w:rsidRPr="05DB257D">
        <w:rPr>
          <w:rFonts w:eastAsia="Arial" w:cs="Arial"/>
          <w:color w:val="000000" w:themeColor="text1"/>
        </w:rPr>
        <w:t xml:space="preserve"> pH, total hardness, and DOC </w:t>
      </w:r>
      <w:r w:rsidR="0093121E">
        <w:rPr>
          <w:rFonts w:eastAsia="Arial" w:cs="Arial"/>
          <w:color w:val="000000" w:themeColor="text1"/>
        </w:rPr>
        <w:t xml:space="preserve">were </w:t>
      </w:r>
      <w:r w:rsidRPr="05DB257D">
        <w:rPr>
          <w:rFonts w:eastAsia="Arial" w:cs="Arial"/>
          <w:color w:val="000000" w:themeColor="text1"/>
        </w:rPr>
        <w:t xml:space="preserve">inputted </w:t>
      </w:r>
      <w:r w:rsidR="000010B3">
        <w:rPr>
          <w:rFonts w:eastAsia="Arial" w:cs="Arial"/>
          <w:color w:val="000000" w:themeColor="text1"/>
        </w:rPr>
        <w:t>for a given site</w:t>
      </w:r>
      <w:r w:rsidRPr="05DB257D">
        <w:rPr>
          <w:rFonts w:eastAsia="Arial" w:cs="Arial"/>
          <w:color w:val="000000" w:themeColor="text1"/>
        </w:rPr>
        <w:t xml:space="preserve"> into a calculator created by </w:t>
      </w:r>
      <w:r w:rsidR="00313C98">
        <w:rPr>
          <w:rFonts w:eastAsia="Arial" w:cs="Arial"/>
          <w:color w:val="000000" w:themeColor="text1"/>
        </w:rPr>
        <w:t>USEPA</w:t>
      </w:r>
      <w:r w:rsidRPr="05DB257D">
        <w:rPr>
          <w:rFonts w:eastAsia="Arial" w:cs="Arial"/>
          <w:color w:val="000000" w:themeColor="text1"/>
        </w:rPr>
        <w:t xml:space="preserve">: </w:t>
      </w:r>
      <w:hyperlink r:id="rId45" w:anchor="2018">
        <w:r w:rsidR="5A1B609F" w:rsidRPr="05DB257D">
          <w:rPr>
            <w:rStyle w:val="Hyperlink"/>
            <w:rFonts w:eastAsia="Arial" w:cs="Arial"/>
          </w:rPr>
          <w:t>Aluminum Criteria Calculator V.2.0.xlsm</w:t>
        </w:r>
      </w:hyperlink>
      <w:r w:rsidR="2E76B590">
        <w:t xml:space="preserve"> (</w:t>
      </w:r>
      <w:hyperlink r:id="rId46" w:anchor="2018" w:history="1">
        <w:r w:rsidR="17074721" w:rsidRPr="003C17C7">
          <w:rPr>
            <w:rStyle w:val="Hyperlink"/>
          </w:rPr>
          <w:t>https://www.epa.gov/wqc/aquatic-life-criteria-aluminum#2018</w:t>
        </w:r>
      </w:hyperlink>
      <w:r w:rsidR="2E76B590">
        <w:t>)</w:t>
      </w:r>
      <w:r w:rsidR="17074721">
        <w:t xml:space="preserve">. </w:t>
      </w:r>
    </w:p>
    <w:p w14:paraId="01EB61EB" w14:textId="0996BC67" w:rsidR="00C424BF" w:rsidRPr="004502A9" w:rsidRDefault="00C424BF" w:rsidP="00C424BF">
      <w:pPr>
        <w:rPr>
          <w:rFonts w:eastAsia="Times New Roman" w:cs="Arial"/>
        </w:rPr>
      </w:pPr>
      <w:r w:rsidRPr="2621D2EF">
        <w:rPr>
          <w:rFonts w:eastAsia="Times New Roman" w:cs="Arial"/>
        </w:rPr>
        <w:t>The 2018 Criteria ha</w:t>
      </w:r>
      <w:r w:rsidR="00BA00AF">
        <w:rPr>
          <w:rFonts w:eastAsia="Times New Roman" w:cs="Arial"/>
        </w:rPr>
        <w:t>ve</w:t>
      </w:r>
      <w:r w:rsidRPr="2621D2EF">
        <w:rPr>
          <w:rFonts w:eastAsia="Times New Roman" w:cs="Arial"/>
        </w:rPr>
        <w:t xml:space="preserve"> both chronic</w:t>
      </w:r>
      <w:r w:rsidR="009C62B2" w:rsidRPr="2621D2EF">
        <w:rPr>
          <w:rFonts w:eastAsia="Times New Roman" w:cs="Arial"/>
        </w:rPr>
        <w:t xml:space="preserve"> and</w:t>
      </w:r>
      <w:r w:rsidRPr="2621D2EF">
        <w:rPr>
          <w:rFonts w:eastAsia="Times New Roman" w:cs="Arial"/>
        </w:rPr>
        <w:t xml:space="preserve"> acute </w:t>
      </w:r>
      <w:r w:rsidR="00FD344A">
        <w:rPr>
          <w:rFonts w:eastAsia="Times New Roman" w:cs="Arial"/>
        </w:rPr>
        <w:t>range</w:t>
      </w:r>
      <w:r w:rsidR="006C5E35">
        <w:rPr>
          <w:rFonts w:eastAsia="Times New Roman" w:cs="Arial"/>
        </w:rPr>
        <w:t>s</w:t>
      </w:r>
      <w:r w:rsidRPr="7DB16088">
        <w:rPr>
          <w:rFonts w:eastAsia="Times New Roman" w:cs="Arial"/>
        </w:rPr>
        <w:t>:</w:t>
      </w:r>
    </w:p>
    <w:p w14:paraId="3E182201" w14:textId="0A8CB559" w:rsidR="00C424BF" w:rsidRPr="00BC5D6E" w:rsidRDefault="00C424BF" w:rsidP="00BC5D6E">
      <w:pPr>
        <w:pStyle w:val="ListParagraph"/>
        <w:numPr>
          <w:ilvl w:val="0"/>
          <w:numId w:val="53"/>
        </w:numPr>
        <w:spacing w:after="0"/>
        <w:textAlignment w:val="baseline"/>
        <w:rPr>
          <w:rFonts w:eastAsia="Times New Roman" w:cs="Arial"/>
        </w:rPr>
      </w:pPr>
      <w:r w:rsidRPr="1EA2032A">
        <w:rPr>
          <w:rFonts w:eastAsia="Times New Roman" w:cs="Arial"/>
        </w:rPr>
        <w:t>Chronic: 0.63 – 3,200 ug/L (</w:t>
      </w:r>
      <w:r w:rsidR="00B748ED" w:rsidRPr="1EA2032A">
        <w:rPr>
          <w:rFonts w:eastAsia="Times New Roman" w:cs="Arial"/>
        </w:rPr>
        <w:t>Four</w:t>
      </w:r>
      <w:r w:rsidRPr="1EA2032A">
        <w:rPr>
          <w:rFonts w:eastAsia="Times New Roman" w:cs="Arial"/>
        </w:rPr>
        <w:t>-day average, total recoverable aluminum)</w:t>
      </w:r>
      <w:r w:rsidR="007A68E4" w:rsidRPr="1EA2032A">
        <w:rPr>
          <w:rFonts w:eastAsia="Times New Roman" w:cs="Arial"/>
        </w:rPr>
        <w:t xml:space="preserve"> </w:t>
      </w:r>
      <w:r w:rsidR="00207B54" w:rsidRPr="1EA2032A">
        <w:rPr>
          <w:rFonts w:eastAsia="Times New Roman" w:cs="Arial"/>
        </w:rPr>
        <w:t xml:space="preserve">to protect against long-term effects on survival, growth, and </w:t>
      </w:r>
      <w:r w:rsidR="0066672B" w:rsidRPr="1EA2032A">
        <w:rPr>
          <w:rFonts w:eastAsia="Times New Roman" w:cs="Arial"/>
        </w:rPr>
        <w:t>reproduction due to longer-term exposure</w:t>
      </w:r>
      <w:r w:rsidR="22328614" w:rsidRPr="1EA2032A">
        <w:rPr>
          <w:rFonts w:eastAsia="Times New Roman" w:cs="Arial"/>
        </w:rPr>
        <w:t>.</w:t>
      </w:r>
      <w:r w:rsidR="0066672B" w:rsidRPr="1EA2032A">
        <w:rPr>
          <w:rFonts w:eastAsia="Times New Roman" w:cs="Arial"/>
        </w:rPr>
        <w:t xml:space="preserve"> </w:t>
      </w:r>
    </w:p>
    <w:p w14:paraId="3EDD4B98" w14:textId="028A2F15" w:rsidR="00C424BF" w:rsidRPr="00BC5D6E" w:rsidRDefault="00C424BF" w:rsidP="00BC5D6E">
      <w:pPr>
        <w:pStyle w:val="ListParagraph"/>
        <w:numPr>
          <w:ilvl w:val="0"/>
          <w:numId w:val="53"/>
        </w:numPr>
        <w:spacing w:after="0"/>
        <w:textAlignment w:val="baseline"/>
        <w:rPr>
          <w:rFonts w:eastAsia="Times New Roman" w:cs="Arial"/>
          <w:szCs w:val="24"/>
        </w:rPr>
      </w:pPr>
      <w:r w:rsidRPr="00BC5D6E">
        <w:rPr>
          <w:rFonts w:eastAsia="Times New Roman" w:cs="Arial"/>
          <w:szCs w:val="24"/>
        </w:rPr>
        <w:t>Acute: 1 – 4,800 ug/L (</w:t>
      </w:r>
      <w:r w:rsidR="00B748ED" w:rsidRPr="00BC5D6E">
        <w:rPr>
          <w:rFonts w:eastAsia="Times New Roman" w:cs="Arial"/>
          <w:szCs w:val="24"/>
        </w:rPr>
        <w:t>One</w:t>
      </w:r>
      <w:r w:rsidRPr="00BC5D6E">
        <w:rPr>
          <w:rFonts w:eastAsia="Times New Roman" w:cs="Arial"/>
          <w:szCs w:val="24"/>
        </w:rPr>
        <w:t>-hour</w:t>
      </w:r>
      <w:r w:rsidR="00FA54A0" w:rsidRPr="00BC5D6E">
        <w:rPr>
          <w:rFonts w:eastAsia="Times New Roman" w:cs="Arial"/>
          <w:szCs w:val="24"/>
        </w:rPr>
        <w:t xml:space="preserve"> average</w:t>
      </w:r>
      <w:r w:rsidRPr="00BC5D6E">
        <w:rPr>
          <w:rFonts w:eastAsia="Times New Roman" w:cs="Arial"/>
          <w:szCs w:val="24"/>
        </w:rPr>
        <w:t>, total recoverable aluminum)</w:t>
      </w:r>
      <w:r w:rsidR="009D36B8" w:rsidRPr="00BC5D6E">
        <w:rPr>
          <w:rFonts w:eastAsia="Times New Roman" w:cs="Arial"/>
          <w:szCs w:val="24"/>
        </w:rPr>
        <w:t xml:space="preserve"> to protect against mortality due to short-term exposure.</w:t>
      </w:r>
    </w:p>
    <w:p w14:paraId="4AA9DEC9" w14:textId="5443BF0F" w:rsidR="00C424BF" w:rsidRPr="004502A9" w:rsidRDefault="00C424BF" w:rsidP="00FF5A90">
      <w:pPr>
        <w:spacing w:before="240"/>
        <w:textAlignment w:val="baseline"/>
        <w:rPr>
          <w:rFonts w:eastAsia="Times New Roman" w:cs="Arial"/>
          <w:sz w:val="18"/>
          <w:szCs w:val="18"/>
        </w:rPr>
      </w:pPr>
      <w:r w:rsidRPr="40B97395">
        <w:rPr>
          <w:rFonts w:eastAsia="Times New Roman" w:cs="Arial"/>
        </w:rPr>
        <w:t xml:space="preserve">For </w:t>
      </w:r>
      <w:r w:rsidR="00F65610">
        <w:rPr>
          <w:rFonts w:eastAsia="Times New Roman" w:cs="Arial"/>
        </w:rPr>
        <w:t>chronic and acute</w:t>
      </w:r>
      <w:r w:rsidR="006067C4">
        <w:rPr>
          <w:rFonts w:eastAsia="Times New Roman" w:cs="Arial"/>
        </w:rPr>
        <w:t xml:space="preserve"> criteria</w:t>
      </w:r>
      <w:r w:rsidRPr="40B97395">
        <w:rPr>
          <w:rFonts w:eastAsia="Times New Roman" w:cs="Arial"/>
        </w:rPr>
        <w:t xml:space="preserve">, the recommended </w:t>
      </w:r>
      <w:r w:rsidR="0066672B">
        <w:rPr>
          <w:rFonts w:eastAsia="Times New Roman" w:cs="Arial"/>
        </w:rPr>
        <w:t xml:space="preserve">numeric </w:t>
      </w:r>
      <w:r w:rsidRPr="40B97395">
        <w:rPr>
          <w:rFonts w:eastAsia="Times New Roman" w:cs="Arial"/>
        </w:rPr>
        <w:t>values are not to be exceeded more than once every three years on average.</w:t>
      </w:r>
    </w:p>
    <w:p w14:paraId="21AD0D6B" w14:textId="25B79769" w:rsidR="00BC3580" w:rsidRDefault="005B6561" w:rsidP="002E5B4A">
      <w:pPr>
        <w:rPr>
          <w:rFonts w:cs="Arial"/>
        </w:rPr>
      </w:pPr>
      <w:r>
        <w:rPr>
          <w:rFonts w:cs="Arial"/>
        </w:rPr>
        <w:t>T</w:t>
      </w:r>
      <w:r w:rsidR="00987F12" w:rsidRPr="00987F12">
        <w:rPr>
          <w:rFonts w:cs="Arial"/>
        </w:rPr>
        <w:t xml:space="preserve">he chronic </w:t>
      </w:r>
      <w:r w:rsidR="00A14564">
        <w:rPr>
          <w:rFonts w:cs="Arial"/>
        </w:rPr>
        <w:t>criterion</w:t>
      </w:r>
      <w:r w:rsidR="00987F12" w:rsidRPr="00987F12">
        <w:rPr>
          <w:rFonts w:cs="Arial"/>
        </w:rPr>
        <w:t xml:space="preserve"> </w:t>
      </w:r>
      <w:r w:rsidR="005C33E9">
        <w:rPr>
          <w:rFonts w:cs="Arial"/>
        </w:rPr>
        <w:t xml:space="preserve">was used to determine </w:t>
      </w:r>
      <w:r w:rsidR="008842B5">
        <w:rPr>
          <w:rFonts w:cs="Arial"/>
        </w:rPr>
        <w:t>beneficial use attainment because</w:t>
      </w:r>
      <w:r w:rsidR="00203115">
        <w:rPr>
          <w:rFonts w:cs="Arial"/>
        </w:rPr>
        <w:t xml:space="preserve"> it</w:t>
      </w:r>
      <w:r w:rsidR="00987F12" w:rsidRPr="4F81D968">
        <w:rPr>
          <w:rFonts w:cs="Arial"/>
        </w:rPr>
        <w:t xml:space="preserve"> </w:t>
      </w:r>
      <w:r w:rsidR="00987F12" w:rsidRPr="00987F12">
        <w:rPr>
          <w:rFonts w:cs="Arial"/>
        </w:rPr>
        <w:t>is based on the survival</w:t>
      </w:r>
      <w:r w:rsidR="00996F94">
        <w:rPr>
          <w:rFonts w:cs="Arial"/>
        </w:rPr>
        <w:t xml:space="preserve">, </w:t>
      </w:r>
      <w:r w:rsidR="00987F12" w:rsidRPr="00987F12">
        <w:rPr>
          <w:rFonts w:cs="Arial"/>
        </w:rPr>
        <w:t>growth</w:t>
      </w:r>
      <w:r w:rsidR="00996F94">
        <w:rPr>
          <w:rFonts w:cs="Arial"/>
        </w:rPr>
        <w:t>, and reproduction</w:t>
      </w:r>
      <w:r w:rsidR="00B80424">
        <w:rPr>
          <w:rFonts w:cs="Arial"/>
        </w:rPr>
        <w:t xml:space="preserve"> due to longer-term exposure</w:t>
      </w:r>
      <w:r w:rsidR="00987F12" w:rsidRPr="00987F12">
        <w:rPr>
          <w:rFonts w:cs="Arial"/>
        </w:rPr>
        <w:t xml:space="preserve"> of test</w:t>
      </w:r>
      <w:r>
        <w:rPr>
          <w:rFonts w:cs="Arial"/>
        </w:rPr>
        <w:t>ed aquatic</w:t>
      </w:r>
      <w:r w:rsidR="00987F12" w:rsidRPr="00987F12">
        <w:rPr>
          <w:rFonts w:cs="Arial"/>
        </w:rPr>
        <w:t xml:space="preserve"> organisms and provides a way to assess for long-term impacts of </w:t>
      </w:r>
      <w:r w:rsidR="00AB66B0">
        <w:rPr>
          <w:rFonts w:cs="Arial"/>
        </w:rPr>
        <w:t>aluminum</w:t>
      </w:r>
      <w:r w:rsidR="00987F12" w:rsidRPr="00987F12">
        <w:rPr>
          <w:rFonts w:cs="Arial"/>
        </w:rPr>
        <w:t xml:space="preserve"> on organisms.</w:t>
      </w:r>
      <w:r w:rsidR="004F0D75">
        <w:rPr>
          <w:rFonts w:cs="Arial"/>
        </w:rPr>
        <w:t xml:space="preserve"> </w:t>
      </w:r>
      <w:r w:rsidR="006433E8">
        <w:rPr>
          <w:rFonts w:cs="Arial"/>
        </w:rPr>
        <w:t xml:space="preserve">The exceedance frequency </w:t>
      </w:r>
      <w:r w:rsidR="002C20E1">
        <w:rPr>
          <w:rFonts w:cs="Arial"/>
        </w:rPr>
        <w:t xml:space="preserve">for toxicants </w:t>
      </w:r>
      <w:r w:rsidR="00C3250B">
        <w:rPr>
          <w:rFonts w:cs="Arial"/>
        </w:rPr>
        <w:t xml:space="preserve">specified in Table 3.1 and Table 4.1 of the Listing Policy was used when applying the 2018 Criteria. </w:t>
      </w:r>
    </w:p>
    <w:p w14:paraId="792D886D" w14:textId="692D1DDF" w:rsidR="002E5B4A" w:rsidRPr="008E4EAA" w:rsidRDefault="00BC3580" w:rsidP="002E5B4A">
      <w:pPr>
        <w:rPr>
          <w:rFonts w:cs="Arial"/>
        </w:rPr>
      </w:pPr>
      <w:r>
        <w:rPr>
          <w:rFonts w:cs="Arial"/>
        </w:rPr>
        <w:t xml:space="preserve">As discussed in the following sections, </w:t>
      </w:r>
      <w:r w:rsidR="00585904">
        <w:rPr>
          <w:rFonts w:cs="Arial"/>
        </w:rPr>
        <w:t>i</w:t>
      </w:r>
      <w:r w:rsidR="000B5E2F">
        <w:rPr>
          <w:rFonts w:cs="Arial"/>
        </w:rPr>
        <w:t xml:space="preserve">n most instances, </w:t>
      </w:r>
      <w:r w:rsidR="00C161AB">
        <w:rPr>
          <w:rFonts w:cs="Arial"/>
        </w:rPr>
        <w:t>listing factor</w:t>
      </w:r>
      <w:r w:rsidR="000B5E2F">
        <w:rPr>
          <w:rFonts w:cs="Arial"/>
        </w:rPr>
        <w:t xml:space="preserve"> </w:t>
      </w:r>
      <w:r w:rsidR="00431402">
        <w:rPr>
          <w:rFonts w:cs="Arial"/>
        </w:rPr>
        <w:t xml:space="preserve">3.1 and </w:t>
      </w:r>
      <w:r w:rsidR="00C161AB">
        <w:rPr>
          <w:rFonts w:cs="Arial"/>
        </w:rPr>
        <w:t xml:space="preserve">delisting factor </w:t>
      </w:r>
      <w:r w:rsidR="00431402">
        <w:rPr>
          <w:rFonts w:cs="Arial"/>
        </w:rPr>
        <w:t>4.1 of the Listing Policy</w:t>
      </w:r>
      <w:r w:rsidR="009D49B2">
        <w:rPr>
          <w:rFonts w:cs="Arial"/>
        </w:rPr>
        <w:t>, as applicable,</w:t>
      </w:r>
      <w:r w:rsidR="00431402">
        <w:rPr>
          <w:rFonts w:cs="Arial"/>
        </w:rPr>
        <w:t xml:space="preserve"> </w:t>
      </w:r>
      <w:r w:rsidR="00314CF7">
        <w:rPr>
          <w:rFonts w:cs="Arial"/>
        </w:rPr>
        <w:t>were</w:t>
      </w:r>
      <w:r w:rsidR="00431402">
        <w:rPr>
          <w:rFonts w:cs="Arial"/>
        </w:rPr>
        <w:t xml:space="preserve"> used to assess aluminum data. </w:t>
      </w:r>
      <w:r w:rsidR="008C3EE9">
        <w:rPr>
          <w:rFonts w:cs="Arial"/>
        </w:rPr>
        <w:t xml:space="preserve">However, when there </w:t>
      </w:r>
      <w:r w:rsidR="00E87BE1">
        <w:rPr>
          <w:rFonts w:cs="Arial"/>
        </w:rPr>
        <w:t>were</w:t>
      </w:r>
      <w:r w:rsidR="008C3EE9">
        <w:rPr>
          <w:rFonts w:cs="Arial"/>
        </w:rPr>
        <w:t xml:space="preserve"> insufficient pH data</w:t>
      </w:r>
      <w:r w:rsidR="00AE7AF7">
        <w:rPr>
          <w:rFonts w:cs="Arial"/>
        </w:rPr>
        <w:t xml:space="preserve">, </w:t>
      </w:r>
      <w:r w:rsidR="00B0597D">
        <w:rPr>
          <w:rFonts w:cs="Arial"/>
        </w:rPr>
        <w:t xml:space="preserve">the </w:t>
      </w:r>
      <w:r w:rsidR="00490E20">
        <w:rPr>
          <w:rFonts w:cs="Arial"/>
        </w:rPr>
        <w:t>situation-specific</w:t>
      </w:r>
      <w:r w:rsidR="007C08BB">
        <w:rPr>
          <w:rFonts w:cs="Arial"/>
        </w:rPr>
        <w:t xml:space="preserve"> weight of evidence listing factor</w:t>
      </w:r>
      <w:r w:rsidR="006F20AB">
        <w:rPr>
          <w:rFonts w:cs="Arial"/>
        </w:rPr>
        <w:t xml:space="preserve"> </w:t>
      </w:r>
      <w:r w:rsidR="00AF6172">
        <w:rPr>
          <w:rFonts w:cs="Arial"/>
        </w:rPr>
        <w:t xml:space="preserve">was </w:t>
      </w:r>
      <w:r w:rsidR="006F20AB">
        <w:rPr>
          <w:rFonts w:cs="Arial"/>
        </w:rPr>
        <w:t>app</w:t>
      </w:r>
      <w:r w:rsidR="00ED7A4C">
        <w:rPr>
          <w:rFonts w:cs="Arial"/>
        </w:rPr>
        <w:t xml:space="preserve">lied (Listing Policy </w:t>
      </w:r>
      <w:r w:rsidR="00155016">
        <w:rPr>
          <w:rFonts w:cs="Arial"/>
        </w:rPr>
        <w:t>s</w:t>
      </w:r>
      <w:r w:rsidR="00AE7AF7">
        <w:rPr>
          <w:rFonts w:cs="Arial"/>
        </w:rPr>
        <w:t>ection</w:t>
      </w:r>
      <w:r w:rsidR="000E36A8">
        <w:rPr>
          <w:rFonts w:cs="Arial"/>
        </w:rPr>
        <w:t>s</w:t>
      </w:r>
      <w:r w:rsidR="00AE7AF7">
        <w:rPr>
          <w:rFonts w:cs="Arial"/>
        </w:rPr>
        <w:t xml:space="preserve"> 3.11 or 4.11</w:t>
      </w:r>
      <w:r w:rsidR="000E36A8">
        <w:rPr>
          <w:rFonts w:cs="Arial"/>
        </w:rPr>
        <w:t>)</w:t>
      </w:r>
      <w:r w:rsidR="00AE7AF7">
        <w:rPr>
          <w:rFonts w:cs="Arial"/>
        </w:rPr>
        <w:t xml:space="preserve"> and a default pH value</w:t>
      </w:r>
      <w:r w:rsidR="00142F79">
        <w:rPr>
          <w:rFonts w:cs="Arial"/>
        </w:rPr>
        <w:t xml:space="preserve"> </w:t>
      </w:r>
      <w:r w:rsidR="00AF6172">
        <w:rPr>
          <w:rFonts w:cs="Arial"/>
        </w:rPr>
        <w:t>was</w:t>
      </w:r>
      <w:r w:rsidR="00D72148">
        <w:rPr>
          <w:rFonts w:cs="Arial"/>
        </w:rPr>
        <w:t xml:space="preserve"> used to apply the 2018 Criteria</w:t>
      </w:r>
      <w:r w:rsidR="00C621A5">
        <w:rPr>
          <w:rFonts w:cs="Arial"/>
        </w:rPr>
        <w:t xml:space="preserve"> as described below</w:t>
      </w:r>
      <w:r w:rsidR="00D72148">
        <w:rPr>
          <w:rFonts w:cs="Arial"/>
        </w:rPr>
        <w:t>.</w:t>
      </w:r>
    </w:p>
    <w:p w14:paraId="5A0224F0" w14:textId="112C043F" w:rsidR="003B1E59" w:rsidRPr="008E4EAA" w:rsidRDefault="3EDDBEC8" w:rsidP="005632BC">
      <w:pPr>
        <w:pStyle w:val="Heading3"/>
      </w:pPr>
      <w:bookmarkStart w:id="83" w:name="_Toc189048567"/>
      <w:r>
        <w:t xml:space="preserve">Insufficient </w:t>
      </w:r>
      <w:r w:rsidR="67670FE6">
        <w:t xml:space="preserve">Total Hardness </w:t>
      </w:r>
      <w:r w:rsidR="11595700">
        <w:t xml:space="preserve">and </w:t>
      </w:r>
      <w:r w:rsidR="0097652F">
        <w:t>DOC Data</w:t>
      </w:r>
      <w:bookmarkEnd w:id="83"/>
    </w:p>
    <w:p w14:paraId="43B29EB4" w14:textId="6CABC7A2" w:rsidR="002103EA" w:rsidRDefault="00F511F3" w:rsidP="00DD69DB">
      <w:r>
        <w:t>Ideally,</w:t>
      </w:r>
      <w:r w:rsidR="00041CA9">
        <w:t xml:space="preserve"> site-specific measurements of </w:t>
      </w:r>
      <w:r w:rsidR="0027145E">
        <w:t>total hardness and DOC</w:t>
      </w:r>
      <w:r w:rsidR="00041CA9">
        <w:t xml:space="preserve"> should be used</w:t>
      </w:r>
      <w:r w:rsidR="00DB75CE">
        <w:t xml:space="preserve"> to apply the 2018 Criteria </w:t>
      </w:r>
      <w:r w:rsidR="00800FB8">
        <w:t xml:space="preserve">in </w:t>
      </w:r>
      <w:r w:rsidR="00313C98">
        <w:t>USEPA</w:t>
      </w:r>
      <w:r w:rsidR="00800FB8">
        <w:t xml:space="preserve">’s </w:t>
      </w:r>
      <w:r w:rsidR="00BC5C0F">
        <w:t>A</w:t>
      </w:r>
      <w:r w:rsidR="00800FB8">
        <w:t xml:space="preserve">luminum </w:t>
      </w:r>
      <w:r w:rsidR="00BC5C0F">
        <w:t>C</w:t>
      </w:r>
      <w:r w:rsidR="00800FB8">
        <w:t>riteria cal</w:t>
      </w:r>
      <w:r w:rsidR="00BC5C0F">
        <w:t>culator</w:t>
      </w:r>
      <w:r w:rsidR="00041CA9">
        <w:t xml:space="preserve">, when available. </w:t>
      </w:r>
      <w:r w:rsidR="00591FB0">
        <w:t>W</w:t>
      </w:r>
      <w:r w:rsidR="00DB0539">
        <w:t xml:space="preserve">hen there were insufficient total hardness or DOC data to input into the calculator used for the 2018 Criteria, </w:t>
      </w:r>
      <w:r w:rsidR="00127A8D">
        <w:t xml:space="preserve">total hardness and DOC default values provided by </w:t>
      </w:r>
      <w:r w:rsidR="00313C98">
        <w:t>USEPA</w:t>
      </w:r>
      <w:r w:rsidR="00127A8D">
        <w:t xml:space="preserve"> were used. </w:t>
      </w:r>
      <w:r w:rsidR="009413C9">
        <w:t xml:space="preserve">As discussed in </w:t>
      </w:r>
      <w:r w:rsidR="00313C98">
        <w:t>USEPA</w:t>
      </w:r>
      <w:r w:rsidR="003A5108">
        <w:t>’s Draft Technical Support Document: Implementing the 2018 Recommended Aquatic Life Water Quality Criteria for Aluminum</w:t>
      </w:r>
      <w:r w:rsidR="00041CA9">
        <w:t xml:space="preserve">, when site-specific total hardness and DOC data are not available, USEPA </w:t>
      </w:r>
      <w:r w:rsidR="00EB5531">
        <w:t>provided</w:t>
      </w:r>
      <w:r w:rsidR="00041CA9">
        <w:t xml:space="preserve"> default values for total hardness and DOC based on </w:t>
      </w:r>
      <w:r w:rsidR="00313C98">
        <w:t>USEPA</w:t>
      </w:r>
      <w:r w:rsidR="00041CA9">
        <w:t xml:space="preserve">’s Level III </w:t>
      </w:r>
      <w:r w:rsidR="7924F91D">
        <w:t>E</w:t>
      </w:r>
      <w:r w:rsidR="00041CA9">
        <w:t>coregions</w:t>
      </w:r>
      <w:r w:rsidR="00BD1539">
        <w:t xml:space="preserve"> (</w:t>
      </w:r>
      <w:r w:rsidR="000C7C8C">
        <w:t xml:space="preserve">Table </w:t>
      </w:r>
      <w:r w:rsidR="009C495D">
        <w:t>3-</w:t>
      </w:r>
      <w:r w:rsidR="00E50CD6">
        <w:t>1</w:t>
      </w:r>
      <w:r w:rsidR="00C121F7">
        <w:t>: Total Hardness, DOC</w:t>
      </w:r>
      <w:r w:rsidR="00D12B9D">
        <w:t>, and pH Default Values for each Level III Eco</w:t>
      </w:r>
      <w:r w:rsidR="00384341">
        <w:t>region</w:t>
      </w:r>
      <w:r w:rsidR="000C7C8C">
        <w:t>)</w:t>
      </w:r>
      <w:r w:rsidR="00041CA9">
        <w:t xml:space="preserve">. The default values provided by </w:t>
      </w:r>
      <w:r w:rsidR="00313C98">
        <w:t>USEPA</w:t>
      </w:r>
      <w:r w:rsidR="00041CA9">
        <w:t xml:space="preserve"> to use in the calculator </w:t>
      </w:r>
      <w:r w:rsidR="00383DFC">
        <w:t xml:space="preserve">are </w:t>
      </w:r>
      <w:r w:rsidR="00041CA9">
        <w:t xml:space="preserve">in the following document - </w:t>
      </w:r>
      <w:hyperlink r:id="rId47" w:history="1">
        <w:r w:rsidR="00041CA9" w:rsidRPr="008A0A51">
          <w:rPr>
            <w:rStyle w:val="Hyperlink"/>
          </w:rPr>
          <w:t>Draft Technical Support Document: Recommended Estimates for Missing Water Quality Parameters for Application in EPA’s Biotic Ligand Model</w:t>
        </w:r>
      </w:hyperlink>
      <w:r w:rsidR="00E77351">
        <w:t xml:space="preserve"> (</w:t>
      </w:r>
      <w:hyperlink r:id="rId48" w:history="1">
        <w:r w:rsidR="00E77351" w:rsidRPr="008A0A51">
          <w:rPr>
            <w:rStyle w:val="Hyperlink"/>
          </w:rPr>
          <w:t>https://archive.epa.gov/epa/sites/production/files/2016-02/documents/draft-tsd-recommended-blm-parameters.pdf</w:t>
        </w:r>
      </w:hyperlink>
      <w:r w:rsidR="00E77351">
        <w:t>)</w:t>
      </w:r>
      <w:r w:rsidR="00041CA9">
        <w:t xml:space="preserve">. </w:t>
      </w:r>
    </w:p>
    <w:p w14:paraId="30EDD142" w14:textId="09B4378E" w:rsidR="0007656B" w:rsidRDefault="57F8585A" w:rsidP="005632BC">
      <w:pPr>
        <w:pStyle w:val="Heading3"/>
      </w:pPr>
      <w:bookmarkStart w:id="84" w:name="_Toc189048568"/>
      <w:r>
        <w:t xml:space="preserve">Insufficient pH </w:t>
      </w:r>
      <w:r w:rsidR="00FB75A5">
        <w:t>Data</w:t>
      </w:r>
      <w:bookmarkEnd w:id="84"/>
    </w:p>
    <w:p w14:paraId="6C69A87F" w14:textId="303A7F00" w:rsidR="004C74FE" w:rsidRDefault="00B319E7" w:rsidP="0045371F">
      <w:r>
        <w:t>Similar to</w:t>
      </w:r>
      <w:r w:rsidR="00D20E6A">
        <w:t xml:space="preserve"> total hardness and DOC, s</w:t>
      </w:r>
      <w:r w:rsidR="004C74FE" w:rsidRPr="0087687D">
        <w:t>ite-specific measurements of pH should be used</w:t>
      </w:r>
      <w:r w:rsidR="00F9650E">
        <w:t xml:space="preserve"> to assess aluminum data</w:t>
      </w:r>
      <w:r w:rsidR="004C74FE" w:rsidRPr="0087687D">
        <w:t xml:space="preserve">, when available. </w:t>
      </w:r>
      <w:r w:rsidR="00D20E6A">
        <w:t xml:space="preserve">However, </w:t>
      </w:r>
      <w:r w:rsidR="00383DFC">
        <w:t>i</w:t>
      </w:r>
      <w:r w:rsidR="00206721">
        <w:t xml:space="preserve">n the absence of pH data or an established default value, the calculator upon which the 2018 Criteria </w:t>
      </w:r>
      <w:r w:rsidR="006B7D2F">
        <w:t>are</w:t>
      </w:r>
      <w:r w:rsidR="00206721">
        <w:t xml:space="preserve"> based cannot be used</w:t>
      </w:r>
      <w:r w:rsidR="00AA64BC">
        <w:t xml:space="preserve"> in accordance with </w:t>
      </w:r>
      <w:r w:rsidR="00081587">
        <w:t>(de)</w:t>
      </w:r>
      <w:r w:rsidR="004B770F">
        <w:t xml:space="preserve">listing factors 3.1 or </w:t>
      </w:r>
      <w:r w:rsidR="00DE703B">
        <w:t>4.1</w:t>
      </w:r>
      <w:r w:rsidR="00206721">
        <w:t>.</w:t>
      </w:r>
      <w:r w:rsidR="34D16160">
        <w:t xml:space="preserve"> </w:t>
      </w:r>
      <w:r w:rsidR="0080521F">
        <w:t>As a result, i</w:t>
      </w:r>
      <w:r w:rsidR="004C74FE" w:rsidRPr="0087687D">
        <w:t xml:space="preserve">f pH data </w:t>
      </w:r>
      <w:r w:rsidR="00872D6D">
        <w:t>were</w:t>
      </w:r>
      <w:r w:rsidR="004C74FE" w:rsidRPr="0087687D">
        <w:t xml:space="preserve"> not available, the </w:t>
      </w:r>
      <w:r w:rsidR="00462DF7">
        <w:t xml:space="preserve">aluminum data for a </w:t>
      </w:r>
      <w:r w:rsidR="004C74FE" w:rsidRPr="0087687D">
        <w:t xml:space="preserve">waterbody </w:t>
      </w:r>
      <w:r w:rsidR="00354B99">
        <w:t xml:space="preserve">segment </w:t>
      </w:r>
      <w:r w:rsidR="00462DF7">
        <w:t>were</w:t>
      </w:r>
      <w:r w:rsidR="004C74FE" w:rsidRPr="0087687D">
        <w:t xml:space="preserve"> assessed in accordance with </w:t>
      </w:r>
      <w:r w:rsidR="00872D6D">
        <w:t>the situ</w:t>
      </w:r>
      <w:r w:rsidR="00D9316C">
        <w:t xml:space="preserve">ation-specific weight of evidence factor </w:t>
      </w:r>
      <w:r w:rsidR="00CB45DE">
        <w:t xml:space="preserve">per </w:t>
      </w:r>
      <w:r w:rsidR="00155016">
        <w:t>s</w:t>
      </w:r>
      <w:r w:rsidR="004C74FE" w:rsidRPr="0087687D">
        <w:t xml:space="preserve">ection 3.11 or 4.11 of the Listing Policy </w:t>
      </w:r>
      <w:r w:rsidR="00CB45DE">
        <w:t>using</w:t>
      </w:r>
      <w:r w:rsidR="004C74FE" w:rsidRPr="0087687D">
        <w:t xml:space="preserve"> the exceedance frequency for toxicants in Table 3.1 or Table 4.1</w:t>
      </w:r>
      <w:r w:rsidR="00112ACD">
        <w:t xml:space="preserve"> of the Listing Policy</w:t>
      </w:r>
      <w:r w:rsidR="004C74FE" w:rsidRPr="0087687D">
        <w:t xml:space="preserve">. </w:t>
      </w:r>
      <w:r w:rsidR="004B2A30">
        <w:t xml:space="preserve">Additionally, </w:t>
      </w:r>
      <w:r w:rsidR="0055453E">
        <w:t>a</w:t>
      </w:r>
      <w:r w:rsidR="004C74FE" w:rsidRPr="0087687D">
        <w:t xml:space="preserve"> default pH value per </w:t>
      </w:r>
      <w:r w:rsidR="7E4322AB">
        <w:t>L</w:t>
      </w:r>
      <w:r w:rsidR="00874CFE">
        <w:t xml:space="preserve">evel III </w:t>
      </w:r>
      <w:r w:rsidR="78033C89">
        <w:t>E</w:t>
      </w:r>
      <w:r w:rsidR="004C74FE">
        <w:t>coregion</w:t>
      </w:r>
      <w:r w:rsidR="004C74FE" w:rsidRPr="0087687D">
        <w:t xml:space="preserve"> developed by the State Water Board</w:t>
      </w:r>
      <w:r w:rsidR="00003A1E">
        <w:t xml:space="preserve"> was used to </w:t>
      </w:r>
      <w:r w:rsidR="006235A7">
        <w:t>calculate the 2018 Criteria</w:t>
      </w:r>
      <w:r w:rsidR="00E70497">
        <w:t xml:space="preserve"> (Table </w:t>
      </w:r>
      <w:r w:rsidR="006146C5">
        <w:t>3-</w:t>
      </w:r>
      <w:r w:rsidR="00942493">
        <w:t>1</w:t>
      </w:r>
      <w:r w:rsidR="00E70497">
        <w:t>)</w:t>
      </w:r>
      <w:r w:rsidR="0087687D" w:rsidRPr="0087687D">
        <w:t>.</w:t>
      </w:r>
      <w:r w:rsidR="00832382">
        <w:t xml:space="preserve"> </w:t>
      </w:r>
      <w:r w:rsidR="00AE6D4A">
        <w:t xml:space="preserve">This </w:t>
      </w:r>
      <w:r w:rsidR="00902FEB">
        <w:t xml:space="preserve">default pH value was developed by </w:t>
      </w:r>
      <w:r w:rsidR="00741280">
        <w:t xml:space="preserve">assigning </w:t>
      </w:r>
      <w:r w:rsidR="00B9115F">
        <w:t>a</w:t>
      </w:r>
      <w:r w:rsidR="00556DD1">
        <w:t xml:space="preserve"> Level III Ecoregion to</w:t>
      </w:r>
      <w:r w:rsidR="00741280">
        <w:t xml:space="preserve"> each station</w:t>
      </w:r>
      <w:r w:rsidR="00902FEB">
        <w:t xml:space="preserve"> with pH data and an approved QAPP</w:t>
      </w:r>
      <w:r w:rsidR="00556DD1">
        <w:t>.</w:t>
      </w:r>
      <w:r w:rsidR="00A4460A">
        <w:t xml:space="preserve"> The pH dat</w:t>
      </w:r>
      <w:r w:rsidR="00B9115F">
        <w:t>a</w:t>
      </w:r>
      <w:r w:rsidR="00A4460A">
        <w:t xml:space="preserve"> </w:t>
      </w:r>
      <w:r w:rsidR="001E1252">
        <w:t>were</w:t>
      </w:r>
      <w:r w:rsidR="00A4460A">
        <w:t xml:space="preserve"> then </w:t>
      </w:r>
      <w:r w:rsidR="00B9115F">
        <w:t>converted</w:t>
      </w:r>
      <w:r w:rsidR="00A4460A">
        <w:t xml:space="preserve"> to the </w:t>
      </w:r>
      <w:r w:rsidR="002F5BA0">
        <w:t xml:space="preserve">hydrogen ion </w:t>
      </w:r>
      <w:r w:rsidR="00177F03">
        <w:t>(</w:t>
      </w:r>
      <w:r w:rsidR="00A4460A">
        <w:t>H+</w:t>
      </w:r>
      <w:r w:rsidR="00177F03">
        <w:t>)</w:t>
      </w:r>
      <w:r w:rsidR="00A4460A">
        <w:t xml:space="preserve"> concentrations before the median value was calculated for each </w:t>
      </w:r>
      <w:r w:rsidR="00380A6F">
        <w:t>Level III Ecoregion.</w:t>
      </w:r>
      <w:r w:rsidR="002C77E7">
        <w:t xml:space="preserve"> The median value was </w:t>
      </w:r>
      <w:r w:rsidR="00AB1DE8">
        <w:t>used</w:t>
      </w:r>
      <w:r w:rsidR="002C77E7">
        <w:t xml:space="preserve"> as </w:t>
      </w:r>
      <w:r w:rsidR="00AB1DE8">
        <w:t>the</w:t>
      </w:r>
      <w:r w:rsidR="002C77E7">
        <w:t xml:space="preserve"> default</w:t>
      </w:r>
      <w:r w:rsidR="00AB1DE8">
        <w:t xml:space="preserve"> value in the 2018 Criteria</w:t>
      </w:r>
      <w:r w:rsidR="002C77E7">
        <w:t xml:space="preserve"> to </w:t>
      </w:r>
      <w:r w:rsidR="00B67253">
        <w:t xml:space="preserve">reduce the effect of outliers </w:t>
      </w:r>
      <w:r w:rsidR="00132E91">
        <w:t xml:space="preserve">and </w:t>
      </w:r>
      <w:r w:rsidR="004047A2">
        <w:t>skewed data</w:t>
      </w:r>
      <w:r w:rsidR="00804CD1">
        <w:t>.</w:t>
      </w:r>
    </w:p>
    <w:p w14:paraId="740C0F75" w14:textId="3A81502D" w:rsidR="004B36E4" w:rsidRDefault="00E640D6" w:rsidP="0045371F">
      <w:r>
        <w:t xml:space="preserve">In October of 2022 </w:t>
      </w:r>
      <w:r w:rsidR="004B36E4">
        <w:t xml:space="preserve">USEPA provided default pH values based on Level III </w:t>
      </w:r>
      <w:r w:rsidR="002C373B" w:rsidRPr="002C373B">
        <w:t>Ecoregion</w:t>
      </w:r>
      <w:r>
        <w:t>s</w:t>
      </w:r>
      <w:r w:rsidR="004B36E4">
        <w:t>; however, these default values were not used for 2026 California Integrated Report Assessments.</w:t>
      </w:r>
      <w:r w:rsidR="004B36E4" w:rsidDel="00706677">
        <w:t xml:space="preserve"> </w:t>
      </w:r>
      <w:r w:rsidR="00311FDB">
        <w:t xml:space="preserve">Starting </w:t>
      </w:r>
      <w:r w:rsidR="00001AD6">
        <w:t>with</w:t>
      </w:r>
      <w:r w:rsidR="00311FDB">
        <w:t xml:space="preserve"> the 2028 California Integrated Report, a</w:t>
      </w:r>
      <w:r w:rsidR="002C373B" w:rsidRPr="002C373B">
        <w:t>ny</w:t>
      </w:r>
      <w:r w:rsidR="004B36E4">
        <w:t xml:space="preserve"> new aluminum data will be assessed using the most up to date default values developed by USEPA</w:t>
      </w:r>
      <w:r w:rsidR="002C373B" w:rsidRPr="002C373B">
        <w:t>.</w:t>
      </w:r>
      <w:r w:rsidR="00970AED">
        <w:t xml:space="preserve"> </w:t>
      </w:r>
      <w:r w:rsidR="00311FDB">
        <w:t xml:space="preserve">This </w:t>
      </w:r>
      <w:r w:rsidR="00454ECA">
        <w:t xml:space="preserve">will allow for a consistent assessment approach </w:t>
      </w:r>
      <w:r w:rsidR="002637B6">
        <w:t>for aluminum data across California</w:t>
      </w:r>
      <w:r w:rsidR="009B11AF">
        <w:t>.</w:t>
      </w:r>
    </w:p>
    <w:p w14:paraId="6A2B1142" w14:textId="48185097" w:rsidR="006146C5" w:rsidRDefault="006146C5" w:rsidP="006146C5">
      <w:pPr>
        <w:pStyle w:val="Caption"/>
        <w:keepNext/>
      </w:pPr>
      <w:bookmarkStart w:id="85" w:name="_Toc118386787"/>
      <w:bookmarkStart w:id="86" w:name="_Toc118386819"/>
      <w:r>
        <w:t xml:space="preserve">Table </w:t>
      </w:r>
      <w:r>
        <w:fldChar w:fldCharType="begin"/>
      </w:r>
      <w:r>
        <w:instrText>STYLEREF 1 \s</w:instrText>
      </w:r>
      <w:r>
        <w:fldChar w:fldCharType="separate"/>
      </w:r>
      <w:r w:rsidR="00C93408">
        <w:rPr>
          <w:noProof/>
        </w:rPr>
        <w:t>3</w:t>
      </w:r>
      <w:r>
        <w:fldChar w:fldCharType="end"/>
      </w:r>
      <w:r>
        <w:noBreakHyphen/>
      </w:r>
      <w:r w:rsidR="00384341">
        <w:t>1</w:t>
      </w:r>
      <w:r>
        <w:t xml:space="preserve">: </w:t>
      </w:r>
      <w:r w:rsidRPr="009D6C97">
        <w:t>Total Hardness, DOC, and pH Default Values for each Level III Ecoregion</w:t>
      </w:r>
      <w:bookmarkEnd w:id="85"/>
      <w:bookmarkEnd w:id="86"/>
    </w:p>
    <w:tbl>
      <w:tblPr>
        <w:tblStyle w:val="TableGrid"/>
        <w:tblW w:w="9586" w:type="dxa"/>
        <w:tblLook w:val="04A0" w:firstRow="1" w:lastRow="0" w:firstColumn="1" w:lastColumn="0" w:noHBand="0" w:noVBand="1"/>
        <w:tblCaption w:val="Total Hardness, DOC, and pH Default Values for each Level III Ecoregion"/>
        <w:tblDescription w:val="This table shows the default values for total hardness, DOC, and pH for each Level III Ecoregion."/>
      </w:tblPr>
      <w:tblGrid>
        <w:gridCol w:w="1390"/>
        <w:gridCol w:w="4275"/>
        <w:gridCol w:w="2160"/>
        <w:gridCol w:w="990"/>
        <w:gridCol w:w="771"/>
      </w:tblGrid>
      <w:tr w:rsidR="00737AA5" w:rsidRPr="00737AA5" w14:paraId="659B9A79" w14:textId="77777777" w:rsidTr="009F78BF">
        <w:trPr>
          <w:trHeight w:val="864"/>
        </w:trPr>
        <w:tc>
          <w:tcPr>
            <w:tcW w:w="1390" w:type="dxa"/>
            <w:shd w:val="clear" w:color="auto" w:fill="D9E2F3" w:themeFill="accent1" w:themeFillTint="33"/>
            <w:vAlign w:val="center"/>
            <w:hideMark/>
          </w:tcPr>
          <w:p w14:paraId="6986526B" w14:textId="77777777" w:rsidR="00737AA5" w:rsidRPr="00737AA5" w:rsidRDefault="00737AA5" w:rsidP="00BA3FBF">
            <w:pPr>
              <w:spacing w:after="0"/>
              <w:jc w:val="center"/>
              <w:rPr>
                <w:b/>
                <w:bCs/>
              </w:rPr>
            </w:pPr>
            <w:r w:rsidRPr="00737AA5">
              <w:rPr>
                <w:b/>
                <w:bCs/>
              </w:rPr>
              <w:t>Ecoregion Number</w:t>
            </w:r>
          </w:p>
        </w:tc>
        <w:tc>
          <w:tcPr>
            <w:tcW w:w="4275" w:type="dxa"/>
            <w:shd w:val="clear" w:color="auto" w:fill="D9E2F3" w:themeFill="accent1" w:themeFillTint="33"/>
            <w:vAlign w:val="center"/>
            <w:hideMark/>
          </w:tcPr>
          <w:p w14:paraId="6114BE9E" w14:textId="77777777" w:rsidR="00737AA5" w:rsidRPr="00737AA5" w:rsidRDefault="00737AA5" w:rsidP="00BA3FBF">
            <w:pPr>
              <w:spacing w:after="0"/>
              <w:jc w:val="center"/>
              <w:rPr>
                <w:b/>
                <w:bCs/>
              </w:rPr>
            </w:pPr>
            <w:r w:rsidRPr="00737AA5">
              <w:rPr>
                <w:b/>
                <w:bCs/>
              </w:rPr>
              <w:t>Ecoregion Name</w:t>
            </w:r>
          </w:p>
        </w:tc>
        <w:tc>
          <w:tcPr>
            <w:tcW w:w="2160" w:type="dxa"/>
            <w:shd w:val="clear" w:color="auto" w:fill="D9E2F3" w:themeFill="accent1" w:themeFillTint="33"/>
            <w:vAlign w:val="center"/>
            <w:hideMark/>
          </w:tcPr>
          <w:p w14:paraId="73E194E1" w14:textId="77777777" w:rsidR="00737AA5" w:rsidRPr="00737AA5" w:rsidRDefault="00737AA5" w:rsidP="00BA3FBF">
            <w:pPr>
              <w:spacing w:after="0"/>
              <w:jc w:val="center"/>
              <w:rPr>
                <w:b/>
                <w:bCs/>
              </w:rPr>
            </w:pPr>
            <w:r w:rsidRPr="00737AA5">
              <w:rPr>
                <w:b/>
                <w:bCs/>
              </w:rPr>
              <w:t>Total Hardness (mg/L as CaCO3)</w:t>
            </w:r>
          </w:p>
        </w:tc>
        <w:tc>
          <w:tcPr>
            <w:tcW w:w="990" w:type="dxa"/>
            <w:shd w:val="clear" w:color="auto" w:fill="D9E2F3" w:themeFill="accent1" w:themeFillTint="33"/>
            <w:vAlign w:val="center"/>
            <w:hideMark/>
          </w:tcPr>
          <w:p w14:paraId="301961A4" w14:textId="77777777" w:rsidR="00737AA5" w:rsidRPr="00737AA5" w:rsidRDefault="00737AA5" w:rsidP="00BA3FBF">
            <w:pPr>
              <w:spacing w:after="0"/>
              <w:jc w:val="center"/>
              <w:rPr>
                <w:b/>
                <w:bCs/>
              </w:rPr>
            </w:pPr>
            <w:r w:rsidRPr="00737AA5">
              <w:rPr>
                <w:b/>
                <w:bCs/>
              </w:rPr>
              <w:t>DOC (mg/L)</w:t>
            </w:r>
          </w:p>
        </w:tc>
        <w:tc>
          <w:tcPr>
            <w:tcW w:w="771" w:type="dxa"/>
            <w:shd w:val="clear" w:color="auto" w:fill="D9E2F3" w:themeFill="accent1" w:themeFillTint="33"/>
            <w:vAlign w:val="center"/>
            <w:hideMark/>
          </w:tcPr>
          <w:p w14:paraId="58C3AB9D" w14:textId="77777777" w:rsidR="00737AA5" w:rsidRPr="00737AA5" w:rsidRDefault="00737AA5" w:rsidP="00BA3FBF">
            <w:pPr>
              <w:spacing w:after="0"/>
              <w:jc w:val="center"/>
              <w:rPr>
                <w:b/>
                <w:bCs/>
              </w:rPr>
            </w:pPr>
            <w:r w:rsidRPr="00737AA5">
              <w:rPr>
                <w:b/>
                <w:bCs/>
              </w:rPr>
              <w:t>pH</w:t>
            </w:r>
          </w:p>
        </w:tc>
      </w:tr>
      <w:tr w:rsidR="00737AA5" w:rsidRPr="00737AA5" w14:paraId="0D0EFBF5" w14:textId="77777777" w:rsidTr="00BA3FBF">
        <w:trPr>
          <w:trHeight w:val="576"/>
        </w:trPr>
        <w:tc>
          <w:tcPr>
            <w:tcW w:w="1390" w:type="dxa"/>
            <w:vAlign w:val="center"/>
            <w:hideMark/>
          </w:tcPr>
          <w:p w14:paraId="1D81F823" w14:textId="77777777" w:rsidR="00737AA5" w:rsidRPr="00737AA5" w:rsidRDefault="00737AA5" w:rsidP="00BA3FBF">
            <w:pPr>
              <w:spacing w:after="0"/>
              <w:jc w:val="center"/>
            </w:pPr>
            <w:r w:rsidRPr="00737AA5">
              <w:t>1</w:t>
            </w:r>
          </w:p>
        </w:tc>
        <w:tc>
          <w:tcPr>
            <w:tcW w:w="4275" w:type="dxa"/>
            <w:vAlign w:val="center"/>
            <w:hideMark/>
          </w:tcPr>
          <w:p w14:paraId="1E192AF0" w14:textId="77777777" w:rsidR="00737AA5" w:rsidRPr="00737AA5" w:rsidRDefault="00737AA5" w:rsidP="00BA3FBF">
            <w:pPr>
              <w:spacing w:after="0"/>
            </w:pPr>
            <w:r w:rsidRPr="00737AA5">
              <w:t>Coast Range</w:t>
            </w:r>
          </w:p>
        </w:tc>
        <w:tc>
          <w:tcPr>
            <w:tcW w:w="2160" w:type="dxa"/>
            <w:vAlign w:val="center"/>
            <w:hideMark/>
          </w:tcPr>
          <w:p w14:paraId="4690F2F5" w14:textId="77777777" w:rsidR="00737AA5" w:rsidRPr="00737AA5" w:rsidRDefault="00737AA5" w:rsidP="00BA3FBF">
            <w:pPr>
              <w:spacing w:after="0"/>
              <w:jc w:val="center"/>
            </w:pPr>
            <w:r w:rsidRPr="00737AA5">
              <w:t>34.12</w:t>
            </w:r>
          </w:p>
        </w:tc>
        <w:tc>
          <w:tcPr>
            <w:tcW w:w="990" w:type="dxa"/>
            <w:vAlign w:val="center"/>
            <w:hideMark/>
          </w:tcPr>
          <w:p w14:paraId="41C57C91" w14:textId="77777777" w:rsidR="00737AA5" w:rsidRPr="00737AA5" w:rsidRDefault="00737AA5" w:rsidP="00BA3FBF">
            <w:pPr>
              <w:spacing w:after="0"/>
              <w:jc w:val="center"/>
            </w:pPr>
            <w:r w:rsidRPr="00737AA5">
              <w:t>0.7</w:t>
            </w:r>
          </w:p>
        </w:tc>
        <w:tc>
          <w:tcPr>
            <w:tcW w:w="771" w:type="dxa"/>
            <w:vAlign w:val="center"/>
            <w:hideMark/>
          </w:tcPr>
          <w:p w14:paraId="50489F2A" w14:textId="77777777" w:rsidR="00737AA5" w:rsidRPr="00737AA5" w:rsidRDefault="00737AA5" w:rsidP="00BA3FBF">
            <w:pPr>
              <w:spacing w:after="0"/>
              <w:jc w:val="center"/>
            </w:pPr>
            <w:r w:rsidRPr="00737AA5">
              <w:t>8</w:t>
            </w:r>
          </w:p>
        </w:tc>
      </w:tr>
      <w:tr w:rsidR="00737AA5" w:rsidRPr="00737AA5" w14:paraId="7853EB9D" w14:textId="77777777" w:rsidTr="00BA3FBF">
        <w:trPr>
          <w:trHeight w:val="576"/>
        </w:trPr>
        <w:tc>
          <w:tcPr>
            <w:tcW w:w="1390" w:type="dxa"/>
            <w:vAlign w:val="center"/>
            <w:hideMark/>
          </w:tcPr>
          <w:p w14:paraId="12E4967C" w14:textId="77777777" w:rsidR="00737AA5" w:rsidRPr="00737AA5" w:rsidRDefault="00737AA5" w:rsidP="00BA3FBF">
            <w:pPr>
              <w:spacing w:after="0"/>
              <w:jc w:val="center"/>
            </w:pPr>
            <w:r w:rsidRPr="00737AA5">
              <w:t>4</w:t>
            </w:r>
          </w:p>
        </w:tc>
        <w:tc>
          <w:tcPr>
            <w:tcW w:w="4275" w:type="dxa"/>
            <w:vAlign w:val="center"/>
            <w:hideMark/>
          </w:tcPr>
          <w:p w14:paraId="666DDA87" w14:textId="77777777" w:rsidR="00737AA5" w:rsidRPr="00737AA5" w:rsidRDefault="00737AA5" w:rsidP="00BA3FBF">
            <w:pPr>
              <w:spacing w:after="0"/>
            </w:pPr>
            <w:r w:rsidRPr="00737AA5">
              <w:t>Cascades</w:t>
            </w:r>
          </w:p>
        </w:tc>
        <w:tc>
          <w:tcPr>
            <w:tcW w:w="2160" w:type="dxa"/>
            <w:vAlign w:val="center"/>
            <w:hideMark/>
          </w:tcPr>
          <w:p w14:paraId="1F6551D3" w14:textId="77777777" w:rsidR="00737AA5" w:rsidRPr="00737AA5" w:rsidRDefault="00737AA5" w:rsidP="00BA3FBF">
            <w:pPr>
              <w:spacing w:after="0"/>
              <w:jc w:val="center"/>
            </w:pPr>
            <w:r w:rsidRPr="00737AA5">
              <w:t>28.39</w:t>
            </w:r>
          </w:p>
        </w:tc>
        <w:tc>
          <w:tcPr>
            <w:tcW w:w="990" w:type="dxa"/>
            <w:vAlign w:val="center"/>
            <w:hideMark/>
          </w:tcPr>
          <w:p w14:paraId="0D00CAE5" w14:textId="77777777" w:rsidR="00737AA5" w:rsidRPr="00737AA5" w:rsidRDefault="00737AA5" w:rsidP="00BA3FBF">
            <w:pPr>
              <w:spacing w:after="0"/>
              <w:jc w:val="center"/>
            </w:pPr>
            <w:r w:rsidRPr="00737AA5">
              <w:t>0.3</w:t>
            </w:r>
          </w:p>
        </w:tc>
        <w:tc>
          <w:tcPr>
            <w:tcW w:w="771" w:type="dxa"/>
            <w:vAlign w:val="center"/>
            <w:hideMark/>
          </w:tcPr>
          <w:p w14:paraId="7274725A" w14:textId="77777777" w:rsidR="00737AA5" w:rsidRPr="00737AA5" w:rsidRDefault="00737AA5" w:rsidP="00BA3FBF">
            <w:pPr>
              <w:spacing w:after="0"/>
              <w:jc w:val="center"/>
            </w:pPr>
            <w:r w:rsidRPr="00737AA5">
              <w:t>8.1</w:t>
            </w:r>
          </w:p>
        </w:tc>
      </w:tr>
      <w:tr w:rsidR="00737AA5" w:rsidRPr="00737AA5" w14:paraId="36A629FD" w14:textId="77777777" w:rsidTr="00BA3FBF">
        <w:trPr>
          <w:trHeight w:val="576"/>
        </w:trPr>
        <w:tc>
          <w:tcPr>
            <w:tcW w:w="1390" w:type="dxa"/>
            <w:vAlign w:val="center"/>
            <w:hideMark/>
          </w:tcPr>
          <w:p w14:paraId="4682EF3B" w14:textId="77777777" w:rsidR="00737AA5" w:rsidRPr="00737AA5" w:rsidRDefault="00737AA5" w:rsidP="00BA3FBF">
            <w:pPr>
              <w:spacing w:after="0"/>
              <w:jc w:val="center"/>
            </w:pPr>
            <w:r w:rsidRPr="00737AA5">
              <w:t>5</w:t>
            </w:r>
          </w:p>
        </w:tc>
        <w:tc>
          <w:tcPr>
            <w:tcW w:w="4275" w:type="dxa"/>
            <w:vAlign w:val="center"/>
            <w:hideMark/>
          </w:tcPr>
          <w:p w14:paraId="28207464" w14:textId="77777777" w:rsidR="00737AA5" w:rsidRPr="00737AA5" w:rsidRDefault="00737AA5" w:rsidP="00BA3FBF">
            <w:pPr>
              <w:spacing w:after="0"/>
            </w:pPr>
            <w:r w:rsidRPr="00737AA5">
              <w:t>Sierra Nevada</w:t>
            </w:r>
          </w:p>
        </w:tc>
        <w:tc>
          <w:tcPr>
            <w:tcW w:w="2160" w:type="dxa"/>
            <w:vAlign w:val="center"/>
            <w:hideMark/>
          </w:tcPr>
          <w:p w14:paraId="001DDE86" w14:textId="77777777" w:rsidR="00737AA5" w:rsidRPr="00737AA5" w:rsidRDefault="00737AA5" w:rsidP="00BA3FBF">
            <w:pPr>
              <w:spacing w:after="0"/>
              <w:jc w:val="center"/>
            </w:pPr>
            <w:r w:rsidRPr="00737AA5">
              <w:t>40.02</w:t>
            </w:r>
          </w:p>
        </w:tc>
        <w:tc>
          <w:tcPr>
            <w:tcW w:w="990" w:type="dxa"/>
            <w:vAlign w:val="center"/>
            <w:hideMark/>
          </w:tcPr>
          <w:p w14:paraId="14EE6504" w14:textId="77777777" w:rsidR="00737AA5" w:rsidRPr="00737AA5" w:rsidRDefault="00737AA5" w:rsidP="00BA3FBF">
            <w:pPr>
              <w:spacing w:after="0"/>
              <w:jc w:val="center"/>
            </w:pPr>
            <w:r w:rsidRPr="00737AA5">
              <w:t>0.5</w:t>
            </w:r>
          </w:p>
        </w:tc>
        <w:tc>
          <w:tcPr>
            <w:tcW w:w="771" w:type="dxa"/>
            <w:vAlign w:val="center"/>
            <w:hideMark/>
          </w:tcPr>
          <w:p w14:paraId="18A615FC" w14:textId="77777777" w:rsidR="00737AA5" w:rsidRPr="00737AA5" w:rsidRDefault="00737AA5" w:rsidP="00BA3FBF">
            <w:pPr>
              <w:spacing w:after="0"/>
              <w:jc w:val="center"/>
            </w:pPr>
            <w:r w:rsidRPr="00737AA5">
              <w:t>7.7</w:t>
            </w:r>
          </w:p>
        </w:tc>
      </w:tr>
      <w:tr w:rsidR="00737AA5" w:rsidRPr="00737AA5" w14:paraId="3F056BB5" w14:textId="77777777" w:rsidTr="00BA3FBF">
        <w:trPr>
          <w:trHeight w:val="576"/>
        </w:trPr>
        <w:tc>
          <w:tcPr>
            <w:tcW w:w="1390" w:type="dxa"/>
            <w:vAlign w:val="center"/>
            <w:hideMark/>
          </w:tcPr>
          <w:p w14:paraId="1FA598D9" w14:textId="77777777" w:rsidR="00737AA5" w:rsidRPr="00737AA5" w:rsidRDefault="00737AA5" w:rsidP="00BA3FBF">
            <w:pPr>
              <w:spacing w:after="0"/>
              <w:jc w:val="center"/>
            </w:pPr>
            <w:r w:rsidRPr="00737AA5">
              <w:t>6</w:t>
            </w:r>
          </w:p>
        </w:tc>
        <w:tc>
          <w:tcPr>
            <w:tcW w:w="4275" w:type="dxa"/>
            <w:vAlign w:val="center"/>
            <w:hideMark/>
          </w:tcPr>
          <w:p w14:paraId="2EE582E4" w14:textId="77777777" w:rsidR="00737AA5" w:rsidRPr="00737AA5" w:rsidRDefault="00737AA5" w:rsidP="00BA3FBF">
            <w:pPr>
              <w:spacing w:after="0"/>
            </w:pPr>
            <w:r w:rsidRPr="00737AA5">
              <w:t>Central California Foothills and Coastal Mountains</w:t>
            </w:r>
          </w:p>
        </w:tc>
        <w:tc>
          <w:tcPr>
            <w:tcW w:w="2160" w:type="dxa"/>
            <w:vAlign w:val="center"/>
            <w:hideMark/>
          </w:tcPr>
          <w:p w14:paraId="35DB384D" w14:textId="77777777" w:rsidR="00737AA5" w:rsidRPr="00737AA5" w:rsidRDefault="00737AA5" w:rsidP="00BA3FBF">
            <w:pPr>
              <w:spacing w:after="0"/>
              <w:jc w:val="center"/>
            </w:pPr>
            <w:r w:rsidRPr="00737AA5">
              <w:t>203.4</w:t>
            </w:r>
          </w:p>
        </w:tc>
        <w:tc>
          <w:tcPr>
            <w:tcW w:w="990" w:type="dxa"/>
            <w:vAlign w:val="center"/>
            <w:hideMark/>
          </w:tcPr>
          <w:p w14:paraId="360BA2C9" w14:textId="77777777" w:rsidR="00737AA5" w:rsidRPr="00737AA5" w:rsidRDefault="00737AA5" w:rsidP="00BA3FBF">
            <w:pPr>
              <w:spacing w:after="0"/>
              <w:jc w:val="center"/>
            </w:pPr>
            <w:r w:rsidRPr="00737AA5">
              <w:t>0.8</w:t>
            </w:r>
          </w:p>
        </w:tc>
        <w:tc>
          <w:tcPr>
            <w:tcW w:w="771" w:type="dxa"/>
            <w:vAlign w:val="center"/>
            <w:hideMark/>
          </w:tcPr>
          <w:p w14:paraId="7770D76D" w14:textId="77777777" w:rsidR="00737AA5" w:rsidRPr="00737AA5" w:rsidRDefault="00737AA5" w:rsidP="00BA3FBF">
            <w:pPr>
              <w:spacing w:after="0"/>
              <w:jc w:val="center"/>
            </w:pPr>
            <w:r w:rsidRPr="00737AA5">
              <w:t>7.4</w:t>
            </w:r>
          </w:p>
        </w:tc>
      </w:tr>
      <w:tr w:rsidR="00737AA5" w:rsidRPr="00737AA5" w14:paraId="4C65D4AB" w14:textId="77777777" w:rsidTr="00BA3FBF">
        <w:trPr>
          <w:trHeight w:val="576"/>
        </w:trPr>
        <w:tc>
          <w:tcPr>
            <w:tcW w:w="1390" w:type="dxa"/>
            <w:vAlign w:val="center"/>
            <w:hideMark/>
          </w:tcPr>
          <w:p w14:paraId="4E01C303" w14:textId="77777777" w:rsidR="00737AA5" w:rsidRPr="00737AA5" w:rsidRDefault="00737AA5" w:rsidP="00BA3FBF">
            <w:pPr>
              <w:spacing w:after="0"/>
              <w:jc w:val="center"/>
            </w:pPr>
            <w:r w:rsidRPr="00737AA5">
              <w:t>7</w:t>
            </w:r>
          </w:p>
        </w:tc>
        <w:tc>
          <w:tcPr>
            <w:tcW w:w="4275" w:type="dxa"/>
            <w:vAlign w:val="center"/>
            <w:hideMark/>
          </w:tcPr>
          <w:p w14:paraId="34A33623" w14:textId="77777777" w:rsidR="00737AA5" w:rsidRPr="00737AA5" w:rsidRDefault="00737AA5" w:rsidP="00BA3FBF">
            <w:pPr>
              <w:spacing w:after="0"/>
            </w:pPr>
            <w:r w:rsidRPr="00737AA5">
              <w:t>Central California Valley</w:t>
            </w:r>
          </w:p>
        </w:tc>
        <w:tc>
          <w:tcPr>
            <w:tcW w:w="2160" w:type="dxa"/>
            <w:vAlign w:val="center"/>
            <w:hideMark/>
          </w:tcPr>
          <w:p w14:paraId="7460B3B4" w14:textId="77777777" w:rsidR="00737AA5" w:rsidRPr="00737AA5" w:rsidRDefault="00737AA5" w:rsidP="00BA3FBF">
            <w:pPr>
              <w:spacing w:after="0"/>
              <w:jc w:val="center"/>
            </w:pPr>
            <w:r w:rsidRPr="00737AA5">
              <w:t>118.1</w:t>
            </w:r>
          </w:p>
        </w:tc>
        <w:tc>
          <w:tcPr>
            <w:tcW w:w="990" w:type="dxa"/>
            <w:vAlign w:val="center"/>
            <w:hideMark/>
          </w:tcPr>
          <w:p w14:paraId="3CDAFC2C" w14:textId="77777777" w:rsidR="00737AA5" w:rsidRPr="00737AA5" w:rsidRDefault="00737AA5" w:rsidP="00BA3FBF">
            <w:pPr>
              <w:spacing w:after="0"/>
              <w:jc w:val="center"/>
            </w:pPr>
            <w:r w:rsidRPr="00737AA5">
              <w:t>1.1</w:t>
            </w:r>
          </w:p>
        </w:tc>
        <w:tc>
          <w:tcPr>
            <w:tcW w:w="771" w:type="dxa"/>
            <w:vAlign w:val="center"/>
            <w:hideMark/>
          </w:tcPr>
          <w:p w14:paraId="38090086" w14:textId="77777777" w:rsidR="00737AA5" w:rsidRPr="00737AA5" w:rsidRDefault="00737AA5" w:rsidP="00BA3FBF">
            <w:pPr>
              <w:spacing w:after="0"/>
              <w:jc w:val="center"/>
            </w:pPr>
            <w:r w:rsidRPr="00737AA5">
              <w:t>7.6</w:t>
            </w:r>
          </w:p>
        </w:tc>
      </w:tr>
      <w:tr w:rsidR="00737AA5" w:rsidRPr="00737AA5" w14:paraId="7BB56DF1" w14:textId="77777777" w:rsidTr="00BA3FBF">
        <w:trPr>
          <w:trHeight w:val="576"/>
        </w:trPr>
        <w:tc>
          <w:tcPr>
            <w:tcW w:w="1390" w:type="dxa"/>
            <w:vAlign w:val="center"/>
            <w:hideMark/>
          </w:tcPr>
          <w:p w14:paraId="799C829A" w14:textId="77777777" w:rsidR="00737AA5" w:rsidRPr="00737AA5" w:rsidRDefault="00737AA5" w:rsidP="00BA3FBF">
            <w:pPr>
              <w:spacing w:after="0"/>
              <w:jc w:val="center"/>
            </w:pPr>
            <w:r w:rsidRPr="00737AA5">
              <w:t>8</w:t>
            </w:r>
          </w:p>
        </w:tc>
        <w:tc>
          <w:tcPr>
            <w:tcW w:w="4275" w:type="dxa"/>
            <w:vAlign w:val="center"/>
            <w:hideMark/>
          </w:tcPr>
          <w:p w14:paraId="044B5006" w14:textId="77777777" w:rsidR="00737AA5" w:rsidRPr="00737AA5" w:rsidRDefault="00737AA5" w:rsidP="00BA3FBF">
            <w:pPr>
              <w:spacing w:after="0"/>
            </w:pPr>
            <w:r w:rsidRPr="00737AA5">
              <w:t>Southern California Mountains</w:t>
            </w:r>
          </w:p>
        </w:tc>
        <w:tc>
          <w:tcPr>
            <w:tcW w:w="2160" w:type="dxa"/>
            <w:vAlign w:val="center"/>
            <w:hideMark/>
          </w:tcPr>
          <w:p w14:paraId="5849B63E" w14:textId="77777777" w:rsidR="00737AA5" w:rsidRPr="00737AA5" w:rsidRDefault="00737AA5" w:rsidP="00BA3FBF">
            <w:pPr>
              <w:spacing w:after="0"/>
              <w:jc w:val="center"/>
            </w:pPr>
            <w:r w:rsidRPr="00737AA5">
              <w:t>260</w:t>
            </w:r>
          </w:p>
        </w:tc>
        <w:tc>
          <w:tcPr>
            <w:tcW w:w="990" w:type="dxa"/>
            <w:vAlign w:val="center"/>
            <w:hideMark/>
          </w:tcPr>
          <w:p w14:paraId="1EE14DFB" w14:textId="77777777" w:rsidR="00737AA5" w:rsidRPr="00737AA5" w:rsidRDefault="00737AA5" w:rsidP="00BA3FBF">
            <w:pPr>
              <w:spacing w:after="0"/>
              <w:jc w:val="center"/>
            </w:pPr>
            <w:r w:rsidRPr="00737AA5">
              <w:t>0.7</w:t>
            </w:r>
          </w:p>
        </w:tc>
        <w:tc>
          <w:tcPr>
            <w:tcW w:w="771" w:type="dxa"/>
            <w:vAlign w:val="center"/>
            <w:hideMark/>
          </w:tcPr>
          <w:p w14:paraId="44794769" w14:textId="77777777" w:rsidR="00737AA5" w:rsidRPr="00737AA5" w:rsidRDefault="00737AA5" w:rsidP="00BA3FBF">
            <w:pPr>
              <w:spacing w:after="0"/>
              <w:jc w:val="center"/>
            </w:pPr>
            <w:r w:rsidRPr="00737AA5">
              <w:t>8.2</w:t>
            </w:r>
          </w:p>
        </w:tc>
      </w:tr>
      <w:tr w:rsidR="00737AA5" w:rsidRPr="00737AA5" w14:paraId="093B02E5" w14:textId="77777777" w:rsidTr="00BA3FBF">
        <w:trPr>
          <w:trHeight w:val="576"/>
        </w:trPr>
        <w:tc>
          <w:tcPr>
            <w:tcW w:w="1390" w:type="dxa"/>
            <w:vAlign w:val="center"/>
            <w:hideMark/>
          </w:tcPr>
          <w:p w14:paraId="7A47BED8" w14:textId="77777777" w:rsidR="00737AA5" w:rsidRPr="00737AA5" w:rsidRDefault="00737AA5" w:rsidP="00BA3FBF">
            <w:pPr>
              <w:spacing w:after="0"/>
              <w:jc w:val="center"/>
            </w:pPr>
            <w:r w:rsidRPr="00737AA5">
              <w:t>9</w:t>
            </w:r>
          </w:p>
        </w:tc>
        <w:tc>
          <w:tcPr>
            <w:tcW w:w="4275" w:type="dxa"/>
            <w:vAlign w:val="center"/>
            <w:hideMark/>
          </w:tcPr>
          <w:p w14:paraId="2D714DE5" w14:textId="77777777" w:rsidR="00737AA5" w:rsidRPr="00737AA5" w:rsidRDefault="00737AA5" w:rsidP="00BA3FBF">
            <w:pPr>
              <w:spacing w:after="0"/>
            </w:pPr>
            <w:r w:rsidRPr="00737AA5">
              <w:t>Eastern Cascades Slopes and Foothills</w:t>
            </w:r>
          </w:p>
        </w:tc>
        <w:tc>
          <w:tcPr>
            <w:tcW w:w="2160" w:type="dxa"/>
            <w:vAlign w:val="center"/>
            <w:hideMark/>
          </w:tcPr>
          <w:p w14:paraId="6EC6138B" w14:textId="77777777" w:rsidR="00737AA5" w:rsidRPr="00737AA5" w:rsidRDefault="00737AA5" w:rsidP="00BA3FBF">
            <w:pPr>
              <w:spacing w:after="0"/>
              <w:jc w:val="center"/>
            </w:pPr>
            <w:r w:rsidRPr="00737AA5">
              <w:t>36.08</w:t>
            </w:r>
          </w:p>
        </w:tc>
        <w:tc>
          <w:tcPr>
            <w:tcW w:w="990" w:type="dxa"/>
            <w:vAlign w:val="center"/>
            <w:hideMark/>
          </w:tcPr>
          <w:p w14:paraId="3FE8B508" w14:textId="77777777" w:rsidR="00737AA5" w:rsidRPr="00737AA5" w:rsidRDefault="00737AA5" w:rsidP="00BA3FBF">
            <w:pPr>
              <w:spacing w:after="0"/>
              <w:jc w:val="center"/>
            </w:pPr>
            <w:r w:rsidRPr="00737AA5">
              <w:t>0.5</w:t>
            </w:r>
          </w:p>
        </w:tc>
        <w:tc>
          <w:tcPr>
            <w:tcW w:w="771" w:type="dxa"/>
            <w:vAlign w:val="center"/>
            <w:hideMark/>
          </w:tcPr>
          <w:p w14:paraId="5D75BF5C" w14:textId="77777777" w:rsidR="00737AA5" w:rsidRPr="00737AA5" w:rsidRDefault="00737AA5" w:rsidP="00BA3FBF">
            <w:pPr>
              <w:spacing w:after="0"/>
              <w:jc w:val="center"/>
            </w:pPr>
            <w:r w:rsidRPr="00737AA5">
              <w:t>8</w:t>
            </w:r>
          </w:p>
        </w:tc>
      </w:tr>
      <w:tr w:rsidR="00737AA5" w:rsidRPr="00737AA5" w14:paraId="09D64DEB" w14:textId="77777777" w:rsidTr="00BA3FBF">
        <w:trPr>
          <w:trHeight w:val="576"/>
        </w:trPr>
        <w:tc>
          <w:tcPr>
            <w:tcW w:w="1390" w:type="dxa"/>
            <w:vAlign w:val="center"/>
            <w:hideMark/>
          </w:tcPr>
          <w:p w14:paraId="37EAAFD5" w14:textId="77777777" w:rsidR="00737AA5" w:rsidRPr="00737AA5" w:rsidRDefault="00737AA5" w:rsidP="00BA3FBF">
            <w:pPr>
              <w:spacing w:after="0"/>
              <w:jc w:val="center"/>
            </w:pPr>
            <w:r w:rsidRPr="00737AA5">
              <w:t>13</w:t>
            </w:r>
          </w:p>
        </w:tc>
        <w:tc>
          <w:tcPr>
            <w:tcW w:w="4275" w:type="dxa"/>
            <w:vAlign w:val="center"/>
            <w:hideMark/>
          </w:tcPr>
          <w:p w14:paraId="41685166" w14:textId="77777777" w:rsidR="00737AA5" w:rsidRPr="00737AA5" w:rsidRDefault="00737AA5" w:rsidP="00BA3FBF">
            <w:pPr>
              <w:spacing w:after="0"/>
            </w:pPr>
            <w:r w:rsidRPr="00737AA5">
              <w:t>Central Basin and Range</w:t>
            </w:r>
          </w:p>
        </w:tc>
        <w:tc>
          <w:tcPr>
            <w:tcW w:w="2160" w:type="dxa"/>
            <w:vAlign w:val="center"/>
            <w:hideMark/>
          </w:tcPr>
          <w:p w14:paraId="5A0799C8" w14:textId="77777777" w:rsidR="00737AA5" w:rsidRPr="00737AA5" w:rsidRDefault="00737AA5" w:rsidP="00BA3FBF">
            <w:pPr>
              <w:spacing w:after="0"/>
              <w:jc w:val="center"/>
            </w:pPr>
            <w:r w:rsidRPr="00737AA5">
              <w:t>173.1</w:t>
            </w:r>
          </w:p>
        </w:tc>
        <w:tc>
          <w:tcPr>
            <w:tcW w:w="990" w:type="dxa"/>
            <w:vAlign w:val="center"/>
            <w:hideMark/>
          </w:tcPr>
          <w:p w14:paraId="70A384CA" w14:textId="77777777" w:rsidR="00737AA5" w:rsidRPr="00737AA5" w:rsidRDefault="00737AA5" w:rsidP="00BA3FBF">
            <w:pPr>
              <w:spacing w:after="0"/>
              <w:jc w:val="center"/>
            </w:pPr>
            <w:r w:rsidRPr="00737AA5">
              <w:t>0.7</w:t>
            </w:r>
          </w:p>
        </w:tc>
        <w:tc>
          <w:tcPr>
            <w:tcW w:w="771" w:type="dxa"/>
            <w:vAlign w:val="center"/>
            <w:hideMark/>
          </w:tcPr>
          <w:p w14:paraId="4C2A323E" w14:textId="77777777" w:rsidR="00737AA5" w:rsidRPr="00737AA5" w:rsidRDefault="00737AA5" w:rsidP="00BA3FBF">
            <w:pPr>
              <w:spacing w:after="0"/>
              <w:jc w:val="center"/>
            </w:pPr>
            <w:r w:rsidRPr="00737AA5">
              <w:t>7.9</w:t>
            </w:r>
          </w:p>
        </w:tc>
      </w:tr>
      <w:tr w:rsidR="00737AA5" w:rsidRPr="00737AA5" w14:paraId="22D378A5" w14:textId="77777777" w:rsidTr="00BA3FBF">
        <w:trPr>
          <w:trHeight w:val="576"/>
        </w:trPr>
        <w:tc>
          <w:tcPr>
            <w:tcW w:w="1390" w:type="dxa"/>
            <w:vAlign w:val="center"/>
            <w:hideMark/>
          </w:tcPr>
          <w:p w14:paraId="7D77D83B" w14:textId="77777777" w:rsidR="00737AA5" w:rsidRPr="00737AA5" w:rsidRDefault="00737AA5" w:rsidP="00BA3FBF">
            <w:pPr>
              <w:spacing w:after="0"/>
              <w:jc w:val="center"/>
            </w:pPr>
            <w:r w:rsidRPr="00737AA5">
              <w:t>14</w:t>
            </w:r>
          </w:p>
        </w:tc>
        <w:tc>
          <w:tcPr>
            <w:tcW w:w="4275" w:type="dxa"/>
            <w:vAlign w:val="center"/>
            <w:hideMark/>
          </w:tcPr>
          <w:p w14:paraId="79AF418C" w14:textId="77777777" w:rsidR="00737AA5" w:rsidRPr="00737AA5" w:rsidRDefault="00737AA5" w:rsidP="00BA3FBF">
            <w:pPr>
              <w:spacing w:after="0"/>
            </w:pPr>
            <w:r w:rsidRPr="00737AA5">
              <w:t>Mojave Basin and Range</w:t>
            </w:r>
          </w:p>
        </w:tc>
        <w:tc>
          <w:tcPr>
            <w:tcW w:w="2160" w:type="dxa"/>
            <w:vAlign w:val="center"/>
            <w:hideMark/>
          </w:tcPr>
          <w:p w14:paraId="53728A46" w14:textId="77777777" w:rsidR="00737AA5" w:rsidRPr="00737AA5" w:rsidRDefault="00737AA5" w:rsidP="00BA3FBF">
            <w:pPr>
              <w:spacing w:after="0"/>
              <w:jc w:val="center"/>
            </w:pPr>
            <w:r w:rsidRPr="00737AA5">
              <w:t>283.2</w:t>
            </w:r>
          </w:p>
        </w:tc>
        <w:tc>
          <w:tcPr>
            <w:tcW w:w="990" w:type="dxa"/>
            <w:vAlign w:val="center"/>
            <w:hideMark/>
          </w:tcPr>
          <w:p w14:paraId="6C2F875A" w14:textId="77777777" w:rsidR="00737AA5" w:rsidRPr="00737AA5" w:rsidRDefault="00737AA5" w:rsidP="00BA3FBF">
            <w:pPr>
              <w:spacing w:after="0"/>
              <w:jc w:val="center"/>
            </w:pPr>
            <w:r w:rsidRPr="00737AA5">
              <w:t>0.8</w:t>
            </w:r>
          </w:p>
        </w:tc>
        <w:tc>
          <w:tcPr>
            <w:tcW w:w="771" w:type="dxa"/>
            <w:vAlign w:val="center"/>
            <w:hideMark/>
          </w:tcPr>
          <w:p w14:paraId="7668856C" w14:textId="77777777" w:rsidR="00737AA5" w:rsidRPr="00737AA5" w:rsidRDefault="00737AA5" w:rsidP="00BA3FBF">
            <w:pPr>
              <w:spacing w:after="0"/>
              <w:jc w:val="center"/>
            </w:pPr>
            <w:r w:rsidRPr="00737AA5">
              <w:t>7.6</w:t>
            </w:r>
          </w:p>
        </w:tc>
      </w:tr>
      <w:tr w:rsidR="00737AA5" w:rsidRPr="00737AA5" w14:paraId="2CFDC607" w14:textId="77777777" w:rsidTr="00BA3FBF">
        <w:trPr>
          <w:trHeight w:val="576"/>
        </w:trPr>
        <w:tc>
          <w:tcPr>
            <w:tcW w:w="1390" w:type="dxa"/>
            <w:vAlign w:val="center"/>
            <w:hideMark/>
          </w:tcPr>
          <w:p w14:paraId="25C827E3" w14:textId="77777777" w:rsidR="00737AA5" w:rsidRPr="00737AA5" w:rsidRDefault="00737AA5" w:rsidP="00BA3FBF">
            <w:pPr>
              <w:spacing w:after="0"/>
              <w:jc w:val="center"/>
            </w:pPr>
            <w:r w:rsidRPr="00737AA5">
              <w:t>78</w:t>
            </w:r>
          </w:p>
        </w:tc>
        <w:tc>
          <w:tcPr>
            <w:tcW w:w="4275" w:type="dxa"/>
            <w:vAlign w:val="center"/>
            <w:hideMark/>
          </w:tcPr>
          <w:p w14:paraId="0AAEF00E" w14:textId="77777777" w:rsidR="00737AA5" w:rsidRPr="00737AA5" w:rsidRDefault="00737AA5" w:rsidP="00BA3FBF">
            <w:pPr>
              <w:spacing w:after="0"/>
            </w:pPr>
            <w:r w:rsidRPr="00737AA5">
              <w:t>Klamath Mountains and California High North Coast Ranges</w:t>
            </w:r>
          </w:p>
        </w:tc>
        <w:tc>
          <w:tcPr>
            <w:tcW w:w="2160" w:type="dxa"/>
            <w:vAlign w:val="center"/>
            <w:hideMark/>
          </w:tcPr>
          <w:p w14:paraId="743C1296" w14:textId="77777777" w:rsidR="00737AA5" w:rsidRPr="00737AA5" w:rsidRDefault="00737AA5" w:rsidP="00BA3FBF">
            <w:pPr>
              <w:spacing w:after="0"/>
              <w:jc w:val="center"/>
            </w:pPr>
            <w:r w:rsidRPr="00737AA5">
              <w:t>40.61</w:t>
            </w:r>
          </w:p>
        </w:tc>
        <w:tc>
          <w:tcPr>
            <w:tcW w:w="990" w:type="dxa"/>
            <w:vAlign w:val="center"/>
            <w:hideMark/>
          </w:tcPr>
          <w:p w14:paraId="3FA20BF6" w14:textId="77777777" w:rsidR="00737AA5" w:rsidRPr="00737AA5" w:rsidRDefault="00737AA5" w:rsidP="00BA3FBF">
            <w:pPr>
              <w:spacing w:after="0"/>
              <w:jc w:val="center"/>
            </w:pPr>
            <w:r w:rsidRPr="00737AA5">
              <w:t>0.6</w:t>
            </w:r>
          </w:p>
        </w:tc>
        <w:tc>
          <w:tcPr>
            <w:tcW w:w="771" w:type="dxa"/>
            <w:vAlign w:val="center"/>
            <w:hideMark/>
          </w:tcPr>
          <w:p w14:paraId="46B1C5CB" w14:textId="77777777" w:rsidR="00737AA5" w:rsidRPr="00737AA5" w:rsidRDefault="00737AA5" w:rsidP="00BA3FBF">
            <w:pPr>
              <w:spacing w:after="0"/>
              <w:jc w:val="center"/>
            </w:pPr>
            <w:r w:rsidRPr="00737AA5">
              <w:t>7.8</w:t>
            </w:r>
          </w:p>
        </w:tc>
      </w:tr>
      <w:tr w:rsidR="00737AA5" w:rsidRPr="00737AA5" w14:paraId="11FAFAD6" w14:textId="77777777" w:rsidTr="00BA3FBF">
        <w:trPr>
          <w:trHeight w:val="576"/>
        </w:trPr>
        <w:tc>
          <w:tcPr>
            <w:tcW w:w="1390" w:type="dxa"/>
            <w:vAlign w:val="center"/>
            <w:hideMark/>
          </w:tcPr>
          <w:p w14:paraId="1EA2C6BF" w14:textId="77777777" w:rsidR="00737AA5" w:rsidRPr="00737AA5" w:rsidRDefault="00737AA5" w:rsidP="00BA3FBF">
            <w:pPr>
              <w:spacing w:after="0"/>
              <w:jc w:val="center"/>
            </w:pPr>
            <w:r w:rsidRPr="00737AA5">
              <w:t>80</w:t>
            </w:r>
          </w:p>
        </w:tc>
        <w:tc>
          <w:tcPr>
            <w:tcW w:w="4275" w:type="dxa"/>
            <w:vAlign w:val="center"/>
            <w:hideMark/>
          </w:tcPr>
          <w:p w14:paraId="65AF5CCF" w14:textId="77777777" w:rsidR="00737AA5" w:rsidRPr="00737AA5" w:rsidRDefault="00737AA5" w:rsidP="00BA3FBF">
            <w:pPr>
              <w:spacing w:after="0"/>
            </w:pPr>
            <w:r w:rsidRPr="00737AA5">
              <w:t>Northern Basin and Range</w:t>
            </w:r>
          </w:p>
        </w:tc>
        <w:tc>
          <w:tcPr>
            <w:tcW w:w="2160" w:type="dxa"/>
            <w:vAlign w:val="center"/>
            <w:hideMark/>
          </w:tcPr>
          <w:p w14:paraId="13885FB9" w14:textId="77777777" w:rsidR="00737AA5" w:rsidRPr="00737AA5" w:rsidRDefault="00737AA5" w:rsidP="00BA3FBF">
            <w:pPr>
              <w:spacing w:after="0"/>
              <w:jc w:val="center"/>
            </w:pPr>
            <w:r w:rsidRPr="00737AA5">
              <w:t>98.62</w:t>
            </w:r>
          </w:p>
        </w:tc>
        <w:tc>
          <w:tcPr>
            <w:tcW w:w="990" w:type="dxa"/>
            <w:vAlign w:val="center"/>
            <w:hideMark/>
          </w:tcPr>
          <w:p w14:paraId="71CCEC9C" w14:textId="77777777" w:rsidR="00737AA5" w:rsidRPr="00737AA5" w:rsidRDefault="00737AA5" w:rsidP="00BA3FBF">
            <w:pPr>
              <w:spacing w:after="0"/>
              <w:jc w:val="center"/>
            </w:pPr>
            <w:r w:rsidRPr="00737AA5">
              <w:t>1</w:t>
            </w:r>
          </w:p>
        </w:tc>
        <w:tc>
          <w:tcPr>
            <w:tcW w:w="771" w:type="dxa"/>
            <w:vAlign w:val="center"/>
            <w:hideMark/>
          </w:tcPr>
          <w:p w14:paraId="5D9E038C" w14:textId="77777777" w:rsidR="00737AA5" w:rsidRPr="00737AA5" w:rsidRDefault="00737AA5" w:rsidP="00BA3FBF">
            <w:pPr>
              <w:spacing w:after="0"/>
              <w:jc w:val="center"/>
            </w:pPr>
            <w:r w:rsidRPr="00737AA5">
              <w:t>7.9</w:t>
            </w:r>
          </w:p>
        </w:tc>
      </w:tr>
      <w:tr w:rsidR="00737AA5" w:rsidRPr="00737AA5" w14:paraId="0336FBCD" w14:textId="77777777" w:rsidTr="00BA3FBF">
        <w:trPr>
          <w:trHeight w:val="576"/>
        </w:trPr>
        <w:tc>
          <w:tcPr>
            <w:tcW w:w="1390" w:type="dxa"/>
            <w:vAlign w:val="center"/>
            <w:hideMark/>
          </w:tcPr>
          <w:p w14:paraId="6475A993" w14:textId="77777777" w:rsidR="00737AA5" w:rsidRPr="00737AA5" w:rsidRDefault="00737AA5" w:rsidP="00BA3FBF">
            <w:pPr>
              <w:spacing w:after="0"/>
              <w:jc w:val="center"/>
            </w:pPr>
            <w:r w:rsidRPr="00737AA5">
              <w:t>81</w:t>
            </w:r>
          </w:p>
        </w:tc>
        <w:tc>
          <w:tcPr>
            <w:tcW w:w="4275" w:type="dxa"/>
            <w:vAlign w:val="center"/>
            <w:hideMark/>
          </w:tcPr>
          <w:p w14:paraId="10F75155" w14:textId="77777777" w:rsidR="00737AA5" w:rsidRPr="00737AA5" w:rsidRDefault="00737AA5" w:rsidP="00BA3FBF">
            <w:pPr>
              <w:spacing w:after="0"/>
            </w:pPr>
            <w:r w:rsidRPr="00737AA5">
              <w:t>Sonoran Basin and Range</w:t>
            </w:r>
          </w:p>
        </w:tc>
        <w:tc>
          <w:tcPr>
            <w:tcW w:w="2160" w:type="dxa"/>
            <w:vAlign w:val="center"/>
            <w:hideMark/>
          </w:tcPr>
          <w:p w14:paraId="7AF7F70D" w14:textId="77777777" w:rsidR="00737AA5" w:rsidRPr="00737AA5" w:rsidRDefault="00737AA5" w:rsidP="00BA3FBF">
            <w:pPr>
              <w:spacing w:after="0"/>
              <w:jc w:val="center"/>
            </w:pPr>
            <w:r w:rsidRPr="00737AA5">
              <w:t>258.4</w:t>
            </w:r>
          </w:p>
        </w:tc>
        <w:tc>
          <w:tcPr>
            <w:tcW w:w="990" w:type="dxa"/>
            <w:vAlign w:val="center"/>
            <w:hideMark/>
          </w:tcPr>
          <w:p w14:paraId="15CDB160" w14:textId="77777777" w:rsidR="00737AA5" w:rsidRPr="00737AA5" w:rsidRDefault="00737AA5" w:rsidP="00BA3FBF">
            <w:pPr>
              <w:spacing w:after="0"/>
              <w:jc w:val="center"/>
            </w:pPr>
            <w:r w:rsidRPr="00737AA5">
              <w:t>1</w:t>
            </w:r>
          </w:p>
        </w:tc>
        <w:tc>
          <w:tcPr>
            <w:tcW w:w="771" w:type="dxa"/>
            <w:vAlign w:val="center"/>
            <w:hideMark/>
          </w:tcPr>
          <w:p w14:paraId="0F1A68E6" w14:textId="77777777" w:rsidR="00737AA5" w:rsidRPr="00737AA5" w:rsidRDefault="00737AA5" w:rsidP="00BA3FBF">
            <w:pPr>
              <w:spacing w:after="0"/>
              <w:jc w:val="center"/>
            </w:pPr>
            <w:r w:rsidRPr="00737AA5">
              <w:t>7.9</w:t>
            </w:r>
          </w:p>
        </w:tc>
      </w:tr>
      <w:tr w:rsidR="00737AA5" w:rsidRPr="00737AA5" w14:paraId="7D1B948C" w14:textId="77777777" w:rsidTr="00BA3FBF">
        <w:trPr>
          <w:trHeight w:val="576"/>
        </w:trPr>
        <w:tc>
          <w:tcPr>
            <w:tcW w:w="1390" w:type="dxa"/>
            <w:vAlign w:val="center"/>
            <w:hideMark/>
          </w:tcPr>
          <w:p w14:paraId="6F669C72" w14:textId="77777777" w:rsidR="00737AA5" w:rsidRPr="00737AA5" w:rsidRDefault="00737AA5" w:rsidP="00BA3FBF">
            <w:pPr>
              <w:spacing w:after="0"/>
              <w:jc w:val="center"/>
            </w:pPr>
            <w:r w:rsidRPr="00737AA5">
              <w:t>85</w:t>
            </w:r>
          </w:p>
        </w:tc>
        <w:tc>
          <w:tcPr>
            <w:tcW w:w="4275" w:type="dxa"/>
            <w:vAlign w:val="center"/>
            <w:hideMark/>
          </w:tcPr>
          <w:p w14:paraId="4E8CAB5D" w14:textId="77777777" w:rsidR="00737AA5" w:rsidRPr="00737AA5" w:rsidRDefault="00737AA5" w:rsidP="00BA3FBF">
            <w:pPr>
              <w:spacing w:after="0"/>
            </w:pPr>
            <w:r w:rsidRPr="00737AA5">
              <w:t>Southern California/Northern Baja Coast</w:t>
            </w:r>
          </w:p>
        </w:tc>
        <w:tc>
          <w:tcPr>
            <w:tcW w:w="2160" w:type="dxa"/>
            <w:vAlign w:val="center"/>
            <w:hideMark/>
          </w:tcPr>
          <w:p w14:paraId="0596F990" w14:textId="77777777" w:rsidR="00737AA5" w:rsidRPr="00737AA5" w:rsidRDefault="00737AA5" w:rsidP="00BA3FBF">
            <w:pPr>
              <w:spacing w:after="0"/>
              <w:jc w:val="center"/>
            </w:pPr>
            <w:r w:rsidRPr="00737AA5">
              <w:t>203.4</w:t>
            </w:r>
          </w:p>
        </w:tc>
        <w:tc>
          <w:tcPr>
            <w:tcW w:w="990" w:type="dxa"/>
            <w:vAlign w:val="center"/>
            <w:hideMark/>
          </w:tcPr>
          <w:p w14:paraId="0BF0B693" w14:textId="77777777" w:rsidR="00737AA5" w:rsidRPr="00737AA5" w:rsidRDefault="00737AA5" w:rsidP="00BA3FBF">
            <w:pPr>
              <w:spacing w:after="0"/>
              <w:jc w:val="center"/>
            </w:pPr>
            <w:r w:rsidRPr="00737AA5">
              <w:t>0.8</w:t>
            </w:r>
          </w:p>
        </w:tc>
        <w:tc>
          <w:tcPr>
            <w:tcW w:w="771" w:type="dxa"/>
            <w:vAlign w:val="center"/>
            <w:hideMark/>
          </w:tcPr>
          <w:p w14:paraId="2C98CDCA" w14:textId="77777777" w:rsidR="00737AA5" w:rsidRPr="00737AA5" w:rsidRDefault="00737AA5" w:rsidP="00BA3FBF">
            <w:pPr>
              <w:spacing w:after="0"/>
              <w:jc w:val="center"/>
            </w:pPr>
            <w:r w:rsidRPr="00737AA5">
              <w:t>7.8</w:t>
            </w:r>
          </w:p>
        </w:tc>
      </w:tr>
    </w:tbl>
    <w:p w14:paraId="379B4A2D" w14:textId="16051161" w:rsidR="00915DE6" w:rsidRDefault="001C7269" w:rsidP="005632BC">
      <w:pPr>
        <w:pStyle w:val="Heading3"/>
      </w:pPr>
      <w:bookmarkStart w:id="87" w:name="_Toc189048569"/>
      <w:r>
        <w:t>Use of Total Recoverable Fraction Aluminum Data</w:t>
      </w:r>
      <w:bookmarkEnd w:id="87"/>
      <w:r>
        <w:t xml:space="preserve"> </w:t>
      </w:r>
    </w:p>
    <w:p w14:paraId="795513E6" w14:textId="05B8F0F2" w:rsidR="00D66F61" w:rsidRDefault="00DB1188" w:rsidP="00DB1188">
      <w:r>
        <w:t xml:space="preserve">The </w:t>
      </w:r>
      <w:r w:rsidR="00313C98">
        <w:t>USEPA</w:t>
      </w:r>
      <w:r>
        <w:t xml:space="preserve"> developed the </w:t>
      </w:r>
      <w:r>
        <w:rPr>
          <w:rFonts w:cs="Arial"/>
        </w:rPr>
        <w:t>2018 Criteria</w:t>
      </w:r>
      <w:r>
        <w:rPr>
          <w:rStyle w:val="CommentReference"/>
        </w:rPr>
        <w:t xml:space="preserve"> </w:t>
      </w:r>
      <w:r>
        <w:t xml:space="preserve">using </w:t>
      </w:r>
      <w:r w:rsidR="00BC3E58">
        <w:t xml:space="preserve">aluminum data </w:t>
      </w:r>
      <w:r w:rsidR="0017045B">
        <w:t xml:space="preserve">from laboratory tests </w:t>
      </w:r>
      <w:r w:rsidR="00BC3E58">
        <w:t>expre</w:t>
      </w:r>
      <w:r w:rsidR="00D74D8D">
        <w:t xml:space="preserve">ssed in </w:t>
      </w:r>
      <w:r>
        <w:t>the total recoverable fraction</w:t>
      </w:r>
      <w:r w:rsidR="39B0CFA3">
        <w:t xml:space="preserve"> or total fraction</w:t>
      </w:r>
      <w:r>
        <w:t xml:space="preserve">. </w:t>
      </w:r>
      <w:r w:rsidR="00B558EF">
        <w:t xml:space="preserve">Dissolved, </w:t>
      </w:r>
      <w:r w:rsidR="00620A3F">
        <w:t>colloidal, precipitated</w:t>
      </w:r>
      <w:r w:rsidR="00F928CE">
        <w:t xml:space="preserve">, and </w:t>
      </w:r>
      <w:r w:rsidR="00F928CE" w:rsidRPr="00F928CE">
        <w:t>particulate</w:t>
      </w:r>
      <w:r w:rsidR="00B558EF">
        <w:t xml:space="preserve"> forms of aluminum</w:t>
      </w:r>
      <w:r w:rsidR="00EA15BF">
        <w:t xml:space="preserve"> that are found in total fraction aluminum data</w:t>
      </w:r>
      <w:r w:rsidR="00B558EF">
        <w:t xml:space="preserve"> are all bioavailable </w:t>
      </w:r>
      <w:r w:rsidR="00B3220A">
        <w:t>and toxic</w:t>
      </w:r>
      <w:r w:rsidR="00B558EF">
        <w:t xml:space="preserve"> to aquatic organisms, which supports the criteria as total fraction aluminum.</w:t>
      </w:r>
      <w:r w:rsidR="000D2848">
        <w:t xml:space="preserve"> </w:t>
      </w:r>
      <w:r w:rsidR="006842B0">
        <w:t xml:space="preserve">Therefore, </w:t>
      </w:r>
      <w:r w:rsidR="00154F24">
        <w:t xml:space="preserve">total fraction aluminum data were used to make </w:t>
      </w:r>
      <w:r w:rsidR="00AD1010">
        <w:t>Decisions</w:t>
      </w:r>
      <w:r w:rsidR="00D66F61">
        <w:t>.</w:t>
      </w:r>
    </w:p>
    <w:p w14:paraId="3DDDDF01" w14:textId="4DFA8D49" w:rsidR="007E0179" w:rsidRPr="00707458" w:rsidRDefault="00B239E1" w:rsidP="002870B3">
      <w:pPr>
        <w:rPr>
          <w:rFonts w:eastAsia="Times New Roman" w:cs="Arial"/>
        </w:rPr>
      </w:pPr>
      <w:r>
        <w:t xml:space="preserve">Because total fraction aluminum data </w:t>
      </w:r>
      <w:r w:rsidR="00F143A1">
        <w:t xml:space="preserve">were used </w:t>
      </w:r>
      <w:r w:rsidR="004B470B">
        <w:t xml:space="preserve">to make </w:t>
      </w:r>
      <w:r w:rsidR="008A663D">
        <w:t>Decisions</w:t>
      </w:r>
      <w:r w:rsidR="001057DC">
        <w:t>, r</w:t>
      </w:r>
      <w:r w:rsidR="00877CCE">
        <w:t xml:space="preserve">eadily available </w:t>
      </w:r>
      <w:r w:rsidR="00E677D6">
        <w:t xml:space="preserve">dissolved aluminum </w:t>
      </w:r>
      <w:r w:rsidR="006F3FA0">
        <w:t>data</w:t>
      </w:r>
      <w:r w:rsidR="00A261F4">
        <w:t xml:space="preserve"> were </w:t>
      </w:r>
      <w:r w:rsidR="00D66F61">
        <w:t xml:space="preserve">evaluated </w:t>
      </w:r>
      <w:r w:rsidR="00A261F4" w:rsidRPr="00F20753">
        <w:t>f</w:t>
      </w:r>
      <w:r w:rsidR="00A261F4">
        <w:t xml:space="preserve">or </w:t>
      </w:r>
      <w:r w:rsidR="00CB6CD9">
        <w:t xml:space="preserve">the </w:t>
      </w:r>
      <w:r w:rsidR="00C6428D">
        <w:t>2026</w:t>
      </w:r>
      <w:r w:rsidR="00A261F4">
        <w:t xml:space="preserve"> California Integrated Report</w:t>
      </w:r>
      <w:r w:rsidR="00D66F61">
        <w:t xml:space="preserve"> but not used to make </w:t>
      </w:r>
      <w:r w:rsidR="00ED6A0D">
        <w:t>Decisions</w:t>
      </w:r>
      <w:r w:rsidR="00A261F4">
        <w:t xml:space="preserve">. </w:t>
      </w:r>
      <w:r w:rsidR="00F94F8D">
        <w:t>The use of</w:t>
      </w:r>
      <w:r w:rsidR="008B4484">
        <w:t xml:space="preserve"> dissolved </w:t>
      </w:r>
      <w:r w:rsidR="00912656">
        <w:t>fraction data</w:t>
      </w:r>
      <w:r w:rsidR="008B4484">
        <w:t xml:space="preserve"> </w:t>
      </w:r>
      <w:r w:rsidR="00985FB7">
        <w:t>when</w:t>
      </w:r>
      <w:r w:rsidR="008B4484">
        <w:t xml:space="preserve"> compared to th</w:t>
      </w:r>
      <w:r w:rsidR="00AD434B">
        <w:t>e</w:t>
      </w:r>
      <w:r w:rsidR="008B4484">
        <w:t xml:space="preserve"> 2018 Criteria</w:t>
      </w:r>
      <w:r w:rsidR="00985FB7">
        <w:t xml:space="preserve"> </w:t>
      </w:r>
      <w:r w:rsidR="00C50FF0">
        <w:t>may</w:t>
      </w:r>
      <w:r w:rsidR="00985FB7">
        <w:t xml:space="preserve"> underestimate</w:t>
      </w:r>
      <w:r w:rsidR="008B4484">
        <w:t xml:space="preserve"> </w:t>
      </w:r>
      <w:r w:rsidR="00124003">
        <w:t xml:space="preserve">aquatic life toxicity </w:t>
      </w:r>
      <w:r w:rsidR="00E15566">
        <w:t xml:space="preserve">since dissolved </w:t>
      </w:r>
      <w:r w:rsidR="00A22284">
        <w:t>fraction</w:t>
      </w:r>
      <w:r w:rsidR="00E15566">
        <w:t xml:space="preserve"> data </w:t>
      </w:r>
      <w:r w:rsidR="00A22284">
        <w:t>do not</w:t>
      </w:r>
      <w:r w:rsidR="00E15566">
        <w:t xml:space="preserve"> reflect the full spectrum of form</w:t>
      </w:r>
      <w:r w:rsidR="00C21793">
        <w:t xml:space="preserve">s </w:t>
      </w:r>
      <w:r w:rsidR="00E15566">
        <w:t>of aluminum that</w:t>
      </w:r>
      <w:r w:rsidR="00782EA9">
        <w:t xml:space="preserve"> results in</w:t>
      </w:r>
      <w:r w:rsidR="00985FB7">
        <w:t xml:space="preserve"> aquatic</w:t>
      </w:r>
      <w:r w:rsidR="00782EA9">
        <w:t xml:space="preserve"> toxicity. </w:t>
      </w:r>
      <w:r w:rsidR="0010161B">
        <w:t>By way of illustration</w:t>
      </w:r>
      <w:r w:rsidR="00DA6C70">
        <w:t>, t</w:t>
      </w:r>
      <w:r w:rsidR="00DB1188">
        <w:t xml:space="preserve">he </w:t>
      </w:r>
      <w:r w:rsidR="00313C98">
        <w:t>USEPA</w:t>
      </w:r>
      <w:r w:rsidR="00DB1188">
        <w:t xml:space="preserve"> determined that dissolved </w:t>
      </w:r>
      <w:r w:rsidR="00143DB8">
        <w:t xml:space="preserve">fraction </w:t>
      </w:r>
      <w:r w:rsidR="00DB1188">
        <w:t>aluminum</w:t>
      </w:r>
      <w:r w:rsidR="00B80CBC">
        <w:t xml:space="preserve"> </w:t>
      </w:r>
      <w:r w:rsidR="00143DB8">
        <w:t xml:space="preserve">data </w:t>
      </w:r>
      <w:r w:rsidR="00B80CBC">
        <w:t>are</w:t>
      </w:r>
      <w:r w:rsidR="00DB1188">
        <w:t xml:space="preserve"> not appropriate for comparison to the </w:t>
      </w:r>
      <w:r w:rsidR="001E7E59">
        <w:t xml:space="preserve">2021 </w:t>
      </w:r>
      <w:r w:rsidR="00F11C04">
        <w:t xml:space="preserve">Federal </w:t>
      </w:r>
      <w:r w:rsidR="007163DA">
        <w:t xml:space="preserve">Aluminum Aquatic Life </w:t>
      </w:r>
      <w:r w:rsidR="001E7E59">
        <w:t xml:space="preserve">Criteria </w:t>
      </w:r>
      <w:r w:rsidR="007163DA">
        <w:t>Applicable to Oreg</w:t>
      </w:r>
      <w:r w:rsidR="0045036E">
        <w:t xml:space="preserve">on </w:t>
      </w:r>
      <w:r w:rsidR="00FB62CF">
        <w:t>(“2021 Oregon Criteria”)</w:t>
      </w:r>
      <w:r w:rsidR="0045036E">
        <w:t xml:space="preserve"> </w:t>
      </w:r>
      <w:r w:rsidR="00313C98">
        <w:t>USEPA</w:t>
      </w:r>
      <w:r w:rsidR="001E7E59">
        <w:t xml:space="preserve"> </w:t>
      </w:r>
      <w:r w:rsidR="000859F3">
        <w:t>established for Oregon</w:t>
      </w:r>
      <w:r w:rsidR="00DA15C4">
        <w:t>, which is identical to the</w:t>
      </w:r>
      <w:r w:rsidR="00DB1188">
        <w:t xml:space="preserve"> 2018 Criteria</w:t>
      </w:r>
      <w:r w:rsidR="009D4EB0">
        <w:t xml:space="preserve"> in all matters except for allowing Oregon the option </w:t>
      </w:r>
      <w:r w:rsidR="00B9542A">
        <w:t xml:space="preserve">to use a bioavailable analytical method for characterizing aluminum concentration in </w:t>
      </w:r>
      <w:r w:rsidR="00A578EE">
        <w:t>ambient waters</w:t>
      </w:r>
      <w:r w:rsidR="004B0FA4">
        <w:t xml:space="preserve"> </w:t>
      </w:r>
      <w:r w:rsidR="00F258CB">
        <w:rPr>
          <w:rFonts w:eastAsia="Times New Roman" w:cs="Arial"/>
        </w:rPr>
        <w:t>explaining</w:t>
      </w:r>
      <w:r w:rsidR="007E0179" w:rsidRPr="00707458">
        <w:rPr>
          <w:rFonts w:eastAsia="Times New Roman" w:cs="Arial"/>
        </w:rPr>
        <w:t>: </w:t>
      </w:r>
    </w:p>
    <w:p w14:paraId="197F0472" w14:textId="6BBB404D" w:rsidR="0097575D" w:rsidRPr="00F04BBC" w:rsidRDefault="007E0179" w:rsidP="00F04BBC">
      <w:pPr>
        <w:ind w:left="720"/>
        <w:textAlignment w:val="baseline"/>
        <w:rPr>
          <w:rFonts w:ascii="Segoe UI" w:eastAsia="Times New Roman" w:hAnsi="Segoe UI" w:cs="Segoe UI"/>
          <w:sz w:val="18"/>
          <w:szCs w:val="18"/>
        </w:rPr>
      </w:pPr>
      <w:r w:rsidRPr="005C5339">
        <w:rPr>
          <w:rFonts w:eastAsia="Times New Roman" w:cs="Arial"/>
          <w:szCs w:val="24"/>
        </w:rPr>
        <w:t>Methods to determine dissolved concentrations of aluminum, therefore, may underestimate the toxicity of the aluminum in a sample if the particulate forms including aluminum hydroxide precipitates that contribute to toxicity are not measured. In conclusion, dissolved aluminum measurements are not appropriate for comparison to the aluminum criteria that EPA is promulgating for Oregon.</w:t>
      </w:r>
      <w:r w:rsidRPr="007E0179">
        <w:rPr>
          <w:rFonts w:eastAsia="Times New Roman" w:cs="Arial"/>
          <w:szCs w:val="24"/>
        </w:rPr>
        <w:t> </w:t>
      </w:r>
    </w:p>
    <w:p w14:paraId="13447CAD" w14:textId="4BF237E4" w:rsidR="00825DB3" w:rsidRDefault="004B075C" w:rsidP="00775EB9">
      <w:pPr>
        <w:textAlignment w:val="baseline"/>
        <w:rPr>
          <w:rFonts w:eastAsia="Times New Roman" w:cs="Arial"/>
        </w:rPr>
      </w:pPr>
      <w:r>
        <w:t>(</w:t>
      </w:r>
      <w:r w:rsidR="00545503">
        <w:t xml:space="preserve">86 Fed. Reg. </w:t>
      </w:r>
      <w:r w:rsidR="00C228C3">
        <w:t xml:space="preserve">14834, </w:t>
      </w:r>
      <w:r w:rsidR="009A730B">
        <w:t xml:space="preserve">14836, col. 3 </w:t>
      </w:r>
      <w:r w:rsidR="00545503">
        <w:t>(</w:t>
      </w:r>
      <w:r w:rsidR="00993008">
        <w:t xml:space="preserve">March 19, 2021) </w:t>
      </w:r>
      <w:r w:rsidR="00A50596">
        <w:t xml:space="preserve">(promulgating </w:t>
      </w:r>
      <w:r w:rsidR="00F258CB" w:rsidRPr="007E0179">
        <w:rPr>
          <w:rFonts w:eastAsia="Times New Roman" w:cs="Arial"/>
        </w:rPr>
        <w:t>Federal Aluminum Aquatic Life Criteria Applicable to Oregon</w:t>
      </w:r>
      <w:r w:rsidR="009A730B">
        <w:rPr>
          <w:rFonts w:eastAsia="Times New Roman" w:cs="Arial"/>
        </w:rPr>
        <w:t xml:space="preserve">) </w:t>
      </w:r>
      <w:r w:rsidR="0079638F">
        <w:rPr>
          <w:rFonts w:eastAsia="Times New Roman" w:cs="Arial"/>
        </w:rPr>
        <w:t>(</w:t>
      </w:r>
      <w:r w:rsidR="009A730B">
        <w:rPr>
          <w:rFonts w:eastAsia="Times New Roman" w:cs="Arial"/>
        </w:rPr>
        <w:t xml:space="preserve">available at </w:t>
      </w:r>
      <w:hyperlink r:id="rId49" w:history="1">
        <w:r w:rsidR="009A730B" w:rsidRPr="00E77528">
          <w:rPr>
            <w:rStyle w:val="Hyperlink"/>
            <w:rFonts w:eastAsia="Times New Roman" w:cs="Arial"/>
          </w:rPr>
          <w:t>https://www.govinfo.gov/content/pkg/FR-2021-03-19/pdf/2021-05428.pdf)</w:t>
        </w:r>
      </w:hyperlink>
      <w:r w:rsidR="009A730B">
        <w:rPr>
          <w:rFonts w:eastAsia="Times New Roman" w:cs="Arial"/>
        </w:rPr>
        <w:t>.)</w:t>
      </w:r>
      <w:r w:rsidR="00B937B0">
        <w:rPr>
          <w:rFonts w:eastAsia="Times New Roman" w:cs="Arial"/>
        </w:rPr>
        <w:t xml:space="preserve"> </w:t>
      </w:r>
    </w:p>
    <w:p w14:paraId="3DF17A7B" w14:textId="090B147F" w:rsidR="00F17895" w:rsidRDefault="00717888" w:rsidP="00D47DCA">
      <w:pPr>
        <w:textAlignment w:val="baseline"/>
        <w:rPr>
          <w:rFonts w:eastAsia="Times New Roman" w:cs="Arial"/>
          <w:color w:val="000000" w:themeColor="text1"/>
        </w:rPr>
      </w:pPr>
      <w:r>
        <w:rPr>
          <w:rFonts w:eastAsia="Times New Roman" w:cs="Arial"/>
        </w:rPr>
        <w:t xml:space="preserve">Although </w:t>
      </w:r>
      <w:r w:rsidR="00BF37F7">
        <w:rPr>
          <w:rFonts w:eastAsia="Times New Roman" w:cs="Arial"/>
        </w:rPr>
        <w:t xml:space="preserve">total fraction aluminum data </w:t>
      </w:r>
      <w:r w:rsidR="00A5315B">
        <w:rPr>
          <w:rFonts w:eastAsia="Times New Roman" w:cs="Arial"/>
        </w:rPr>
        <w:t>represents</w:t>
      </w:r>
      <w:r w:rsidR="00B45DBF">
        <w:rPr>
          <w:rFonts w:eastAsia="Times New Roman" w:cs="Arial"/>
        </w:rPr>
        <w:t xml:space="preserve"> the full spectrum of aquatic toxicity and </w:t>
      </w:r>
      <w:r w:rsidR="00BF37F7">
        <w:rPr>
          <w:rFonts w:eastAsia="Times New Roman" w:cs="Arial"/>
        </w:rPr>
        <w:t xml:space="preserve">were used to make </w:t>
      </w:r>
      <w:r w:rsidR="00A379AE">
        <w:rPr>
          <w:rFonts w:eastAsia="Times New Roman" w:cs="Arial"/>
        </w:rPr>
        <w:t>Decisions</w:t>
      </w:r>
      <w:r w:rsidR="6E9330F4" w:rsidRPr="2C59FFEE">
        <w:rPr>
          <w:rFonts w:eastAsia="Times New Roman" w:cs="Arial"/>
        </w:rPr>
        <w:t>,</w:t>
      </w:r>
      <w:r w:rsidR="004F06DC">
        <w:rPr>
          <w:rFonts w:eastAsia="Times New Roman" w:cs="Arial"/>
        </w:rPr>
        <w:t xml:space="preserve"> use of</w:t>
      </w:r>
      <w:r w:rsidR="6E9330F4" w:rsidRPr="2C59FFEE">
        <w:rPr>
          <w:rFonts w:eastAsia="Times New Roman" w:cs="Arial"/>
        </w:rPr>
        <w:t xml:space="preserve"> t</w:t>
      </w:r>
      <w:r w:rsidR="00775EB9" w:rsidRPr="2C59FFEE">
        <w:rPr>
          <w:rFonts w:eastAsia="Times New Roman" w:cs="Arial"/>
        </w:rPr>
        <w:t xml:space="preserve">he </w:t>
      </w:r>
      <w:r w:rsidR="00C11192">
        <w:rPr>
          <w:rFonts w:eastAsia="Times New Roman" w:cs="Arial"/>
        </w:rPr>
        <w:t xml:space="preserve">total fraction </w:t>
      </w:r>
      <w:r w:rsidR="000A4298">
        <w:rPr>
          <w:rFonts w:eastAsia="Times New Roman" w:cs="Arial"/>
        </w:rPr>
        <w:t xml:space="preserve">may overestimate the </w:t>
      </w:r>
      <w:r w:rsidR="009F3869">
        <w:rPr>
          <w:rFonts w:eastAsia="Times New Roman" w:cs="Arial"/>
        </w:rPr>
        <w:t>biological available aluminum that is toxic to aquatic lif</w:t>
      </w:r>
      <w:r w:rsidR="00E42A8F">
        <w:rPr>
          <w:rFonts w:eastAsia="Times New Roman" w:cs="Arial"/>
        </w:rPr>
        <w:t xml:space="preserve">e </w:t>
      </w:r>
      <w:r w:rsidR="0049467A">
        <w:rPr>
          <w:rFonts w:eastAsia="Times New Roman" w:cs="Arial"/>
        </w:rPr>
        <w:t>when the most common laboratory methods are used</w:t>
      </w:r>
      <w:r w:rsidR="00D54508">
        <w:rPr>
          <w:rFonts w:eastAsia="Times New Roman" w:cs="Arial"/>
        </w:rPr>
        <w:t xml:space="preserve"> </w:t>
      </w:r>
      <w:r w:rsidR="00D54508" w:rsidRPr="2C59FFEE">
        <w:rPr>
          <w:rFonts w:eastAsia="Times New Roman" w:cs="Arial"/>
        </w:rPr>
        <w:t>(He and Ziemkiewics 2016; Ryan et al. 2019)</w:t>
      </w:r>
      <w:r w:rsidR="0049467A">
        <w:rPr>
          <w:rFonts w:eastAsia="Times New Roman" w:cs="Arial"/>
        </w:rPr>
        <w:t>. Th</w:t>
      </w:r>
      <w:r w:rsidR="002B4B0B">
        <w:rPr>
          <w:rFonts w:eastAsia="Times New Roman" w:cs="Arial"/>
        </w:rPr>
        <w:t>e</w:t>
      </w:r>
      <w:r w:rsidR="00775EB9" w:rsidRPr="2C59FFEE">
        <w:rPr>
          <w:rFonts w:eastAsia="Times New Roman" w:cs="Arial"/>
        </w:rPr>
        <w:t xml:space="preserve"> 2018 Criteria state that methods 200.7 and 200.8 are currently the only two approved methods for measuring aluminum in natural waters.</w:t>
      </w:r>
      <w:r w:rsidR="003D5E6E">
        <w:rPr>
          <w:rFonts w:eastAsia="Times New Roman" w:cs="Arial"/>
        </w:rPr>
        <w:t xml:space="preserve"> </w:t>
      </w:r>
      <w:r w:rsidR="001A5C37">
        <w:rPr>
          <w:rFonts w:eastAsia="Times New Roman" w:cs="Arial"/>
        </w:rPr>
        <w:t>In</w:t>
      </w:r>
      <w:r w:rsidR="003D5E6E">
        <w:rPr>
          <w:rFonts w:eastAsia="Times New Roman" w:cs="Arial"/>
        </w:rPr>
        <w:t xml:space="preserve"> establishing the 2021</w:t>
      </w:r>
      <w:r w:rsidR="003B27CE">
        <w:rPr>
          <w:rFonts w:eastAsia="Times New Roman" w:cs="Arial"/>
        </w:rPr>
        <w:t xml:space="preserve"> Oregon</w:t>
      </w:r>
      <w:r w:rsidR="003D5E6E">
        <w:rPr>
          <w:rFonts w:eastAsia="Times New Roman" w:cs="Arial"/>
        </w:rPr>
        <w:t xml:space="preserve"> Criteria, the</w:t>
      </w:r>
      <w:r w:rsidR="00FB75A5">
        <w:rPr>
          <w:rFonts w:eastAsia="Times New Roman" w:cs="Arial"/>
        </w:rPr>
        <w:t xml:space="preserve"> </w:t>
      </w:r>
      <w:r w:rsidR="00313C98">
        <w:rPr>
          <w:rFonts w:eastAsia="Times New Roman" w:cs="Arial"/>
        </w:rPr>
        <w:t>USEPA</w:t>
      </w:r>
      <w:r w:rsidR="00775EB9" w:rsidRPr="2C59FFEE">
        <w:rPr>
          <w:rFonts w:eastAsia="Times New Roman" w:cs="Arial"/>
        </w:rPr>
        <w:t xml:space="preserve"> a</w:t>
      </w:r>
      <w:r w:rsidR="003D5E6E">
        <w:rPr>
          <w:rFonts w:eastAsia="Times New Roman" w:cs="Arial"/>
        </w:rPr>
        <w:t>ckno</w:t>
      </w:r>
      <w:r w:rsidR="003B27CE">
        <w:rPr>
          <w:rFonts w:eastAsia="Times New Roman" w:cs="Arial"/>
        </w:rPr>
        <w:t>wledges</w:t>
      </w:r>
      <w:r w:rsidR="00775EB9" w:rsidRPr="2C59FFEE">
        <w:rPr>
          <w:rFonts w:eastAsia="Times New Roman" w:cs="Arial"/>
        </w:rPr>
        <w:t xml:space="preserve"> that t</w:t>
      </w:r>
      <w:r w:rsidR="00775EB9" w:rsidRPr="2C59FFEE">
        <w:rPr>
          <w:rFonts w:eastAsia="Times New Roman" w:cs="Arial"/>
          <w:color w:val="000000" w:themeColor="text1"/>
        </w:rPr>
        <w:t xml:space="preserve">he </w:t>
      </w:r>
      <w:r w:rsidR="00F01B1E">
        <w:rPr>
          <w:rFonts w:eastAsia="Times New Roman" w:cs="Arial"/>
          <w:color w:val="000000" w:themeColor="text1"/>
        </w:rPr>
        <w:t>steps</w:t>
      </w:r>
      <w:r w:rsidR="00775EB9" w:rsidRPr="2C59FFEE">
        <w:rPr>
          <w:rFonts w:eastAsia="Times New Roman" w:cs="Arial"/>
          <w:color w:val="000000" w:themeColor="text1"/>
        </w:rPr>
        <w:t xml:space="preserve"> used to analyze </w:t>
      </w:r>
      <w:r w:rsidR="00F657A9">
        <w:rPr>
          <w:rFonts w:eastAsia="Times New Roman" w:cs="Arial"/>
          <w:color w:val="000000" w:themeColor="text1"/>
        </w:rPr>
        <w:t>t</w:t>
      </w:r>
      <w:r w:rsidR="00775EB9" w:rsidRPr="2C59FFEE">
        <w:rPr>
          <w:rFonts w:eastAsia="Times New Roman" w:cs="Arial"/>
          <w:color w:val="000000" w:themeColor="text1"/>
        </w:rPr>
        <w:t>otal fraction aluminum data, which dissolved aluminosilicates through the use</w:t>
      </w:r>
      <w:r w:rsidR="00775EB9" w:rsidRPr="2C59FFEE">
        <w:rPr>
          <w:rFonts w:eastAsia="Times New Roman" w:cs="Arial"/>
        </w:rPr>
        <w:t xml:space="preserve"> of a strong acid (pH&lt;2) digestion step to prepare the sample for measurement</w:t>
      </w:r>
      <w:r w:rsidR="00775EB9" w:rsidRPr="2C59FFEE">
        <w:rPr>
          <w:rFonts w:eastAsia="Times New Roman" w:cs="Arial"/>
          <w:color w:val="000000" w:themeColor="text1"/>
        </w:rPr>
        <w:t>, may overestimate</w:t>
      </w:r>
      <w:r w:rsidR="00775EB9" w:rsidRPr="2C59FFEE">
        <w:rPr>
          <w:rFonts w:eastAsia="Times New Roman" w:cs="Arial"/>
        </w:rPr>
        <w:t xml:space="preserve"> the biologically available fraction that is toxic to aquatic life</w:t>
      </w:r>
      <w:r w:rsidR="00775EB9" w:rsidRPr="00514280">
        <w:rPr>
          <w:rFonts w:eastAsia="Times New Roman" w:cs="Arial"/>
          <w:color w:val="A4262C"/>
        </w:rPr>
        <w:t xml:space="preserve"> </w:t>
      </w:r>
      <w:bookmarkStart w:id="88" w:name="_Hlk152760105"/>
      <w:r w:rsidR="009013B3">
        <w:rPr>
          <w:rFonts w:eastAsia="Times New Roman" w:cs="Arial"/>
          <w:color w:val="000000" w:themeColor="text1"/>
        </w:rPr>
        <w:t>(86</w:t>
      </w:r>
      <w:r w:rsidR="005B0E81">
        <w:rPr>
          <w:rFonts w:eastAsia="Times New Roman" w:cs="Arial"/>
          <w:color w:val="000000" w:themeColor="text1"/>
        </w:rPr>
        <w:t xml:space="preserve"> </w:t>
      </w:r>
      <w:r w:rsidR="009013B3">
        <w:rPr>
          <w:rFonts w:eastAsia="Times New Roman" w:cs="Arial"/>
          <w:color w:val="000000" w:themeColor="text1"/>
        </w:rPr>
        <w:t>Fed. Reg. at 14840, col. 3</w:t>
      </w:r>
      <w:bookmarkEnd w:id="88"/>
      <w:r w:rsidR="009013B3">
        <w:rPr>
          <w:rFonts w:eastAsia="Times New Roman" w:cs="Arial"/>
          <w:color w:val="000000" w:themeColor="text1"/>
        </w:rPr>
        <w:t>.)</w:t>
      </w:r>
      <w:r w:rsidR="00FB75A5">
        <w:rPr>
          <w:rFonts w:eastAsia="Times New Roman" w:cs="Arial"/>
          <w:color w:val="000000" w:themeColor="text1"/>
        </w:rPr>
        <w:t>.</w:t>
      </w:r>
      <w:r w:rsidR="0071007D">
        <w:rPr>
          <w:rFonts w:eastAsia="Times New Roman" w:cs="Arial"/>
          <w:color w:val="000000" w:themeColor="text1"/>
        </w:rPr>
        <w:t xml:space="preserve"> </w:t>
      </w:r>
      <w:r w:rsidR="00EB0791">
        <w:rPr>
          <w:rFonts w:eastAsia="Times New Roman" w:cs="Arial"/>
          <w:color w:val="000000" w:themeColor="text1"/>
        </w:rPr>
        <w:t xml:space="preserve">Alternative laboratory </w:t>
      </w:r>
      <w:r w:rsidR="00775EB9">
        <w:rPr>
          <w:rFonts w:eastAsia="Times New Roman" w:cs="Arial"/>
          <w:color w:val="000000" w:themeColor="text1"/>
        </w:rPr>
        <w:t xml:space="preserve">sample </w:t>
      </w:r>
      <w:r w:rsidR="00EB0791">
        <w:rPr>
          <w:rFonts w:eastAsia="Times New Roman" w:cs="Arial"/>
          <w:color w:val="000000" w:themeColor="text1"/>
        </w:rPr>
        <w:t xml:space="preserve">process steps using a </w:t>
      </w:r>
      <w:r w:rsidR="00775EB9">
        <w:rPr>
          <w:rFonts w:eastAsia="Times New Roman" w:cs="Arial"/>
          <w:color w:val="000000" w:themeColor="text1"/>
        </w:rPr>
        <w:t xml:space="preserve">higher pH to more accurately </w:t>
      </w:r>
      <w:r w:rsidR="009F39B5">
        <w:rPr>
          <w:rFonts w:eastAsia="Times New Roman" w:cs="Arial"/>
          <w:color w:val="000000" w:themeColor="text1"/>
        </w:rPr>
        <w:t xml:space="preserve">extract and </w:t>
      </w:r>
      <w:r w:rsidR="00775EB9">
        <w:rPr>
          <w:rFonts w:eastAsia="Times New Roman" w:cs="Arial"/>
          <w:color w:val="000000" w:themeColor="text1"/>
        </w:rPr>
        <w:t xml:space="preserve">measure bioavailable aluminum </w:t>
      </w:r>
      <w:r w:rsidR="00EB0791">
        <w:rPr>
          <w:rFonts w:eastAsia="Times New Roman" w:cs="Arial"/>
          <w:color w:val="000000" w:themeColor="text1"/>
        </w:rPr>
        <w:t xml:space="preserve">are being developed. These </w:t>
      </w:r>
      <w:r w:rsidR="009F39B5">
        <w:rPr>
          <w:rFonts w:eastAsia="Times New Roman" w:cs="Arial"/>
          <w:color w:val="000000" w:themeColor="text1"/>
        </w:rPr>
        <w:t xml:space="preserve">extraction </w:t>
      </w:r>
      <w:r w:rsidR="00EB0791">
        <w:rPr>
          <w:rFonts w:eastAsia="Times New Roman" w:cs="Arial"/>
          <w:color w:val="000000" w:themeColor="text1"/>
        </w:rPr>
        <w:t xml:space="preserve">steps may be able </w:t>
      </w:r>
      <w:r w:rsidR="00A52EDB">
        <w:rPr>
          <w:rFonts w:eastAsia="Times New Roman" w:cs="Arial"/>
          <w:color w:val="000000" w:themeColor="text1"/>
        </w:rPr>
        <w:t xml:space="preserve">optional steps within the scope of the current </w:t>
      </w:r>
      <w:r w:rsidR="00313C98">
        <w:rPr>
          <w:rFonts w:eastAsia="Times New Roman" w:cs="Arial"/>
          <w:color w:val="000000" w:themeColor="text1"/>
        </w:rPr>
        <w:t>USEPA</w:t>
      </w:r>
      <w:r w:rsidR="00A52EDB">
        <w:rPr>
          <w:rFonts w:eastAsia="Times New Roman" w:cs="Arial"/>
          <w:color w:val="000000" w:themeColor="text1"/>
        </w:rPr>
        <w:t xml:space="preserve">-approved methods, or an alternative </w:t>
      </w:r>
      <w:r w:rsidR="00DF321A">
        <w:rPr>
          <w:rFonts w:eastAsia="Times New Roman" w:cs="Arial"/>
          <w:color w:val="000000" w:themeColor="text1"/>
        </w:rPr>
        <w:t>test</w:t>
      </w:r>
      <w:r w:rsidR="00A52EDB">
        <w:rPr>
          <w:rFonts w:eastAsia="Times New Roman" w:cs="Arial"/>
          <w:color w:val="000000" w:themeColor="text1"/>
        </w:rPr>
        <w:t xml:space="preserve"> procedure </w:t>
      </w:r>
      <w:r w:rsidR="00DF321A">
        <w:rPr>
          <w:rFonts w:eastAsia="Times New Roman" w:cs="Arial"/>
          <w:color w:val="000000" w:themeColor="text1"/>
        </w:rPr>
        <w:t xml:space="preserve">may be </w:t>
      </w:r>
      <w:r w:rsidR="00F14C11">
        <w:rPr>
          <w:rFonts w:eastAsia="Times New Roman" w:cs="Arial"/>
          <w:color w:val="000000" w:themeColor="text1"/>
        </w:rPr>
        <w:t xml:space="preserve">needed. </w:t>
      </w:r>
      <w:r w:rsidR="00775EB9" w:rsidRPr="2C59FFEE">
        <w:rPr>
          <w:rFonts w:eastAsia="Times New Roman" w:cs="Arial"/>
        </w:rPr>
        <w:t xml:space="preserve">Such </w:t>
      </w:r>
      <w:r w:rsidR="009F39B5">
        <w:rPr>
          <w:rFonts w:eastAsia="Times New Roman" w:cs="Arial"/>
        </w:rPr>
        <w:t>extraction</w:t>
      </w:r>
      <w:r w:rsidR="00F14C11">
        <w:rPr>
          <w:rFonts w:eastAsia="Times New Roman" w:cs="Arial"/>
        </w:rPr>
        <w:t xml:space="preserve"> steps are described </w:t>
      </w:r>
      <w:r w:rsidR="00775EB9" w:rsidRPr="2C59FFEE">
        <w:rPr>
          <w:rFonts w:eastAsia="Times New Roman" w:cs="Arial"/>
        </w:rPr>
        <w:t xml:space="preserve">by Rodriguez et al. </w:t>
      </w:r>
      <w:r w:rsidR="00D32E44">
        <w:rPr>
          <w:rFonts w:eastAsia="Times New Roman" w:cs="Arial"/>
        </w:rPr>
        <w:t xml:space="preserve">(2019) </w:t>
      </w:r>
      <w:r w:rsidR="00CC21D7">
        <w:rPr>
          <w:rFonts w:eastAsia="Times New Roman" w:cs="Arial"/>
        </w:rPr>
        <w:t>in</w:t>
      </w:r>
      <w:r w:rsidR="00F474ED" w:rsidRPr="2C59FFEE">
        <w:rPr>
          <w:rFonts w:eastAsia="Times New Roman" w:cs="Arial"/>
        </w:rPr>
        <w:t xml:space="preserve"> </w:t>
      </w:r>
      <w:r w:rsidR="00775EB9" w:rsidRPr="00B957D1">
        <w:rPr>
          <w:rFonts w:eastAsia="Times New Roman" w:cs="Arial"/>
          <w:i/>
        </w:rPr>
        <w:t>Determination of Bioavailable Aluminum in Natural Waters in the Presence of Suspended Solids</w:t>
      </w:r>
      <w:r w:rsidR="003149C3">
        <w:rPr>
          <w:rFonts w:eastAsia="Times New Roman" w:cs="Arial"/>
        </w:rPr>
        <w:t>;</w:t>
      </w:r>
      <w:r w:rsidR="00FA2D22">
        <w:rPr>
          <w:rFonts w:eastAsia="Times New Roman" w:cs="Arial"/>
          <w:color w:val="000000" w:themeColor="text1"/>
        </w:rPr>
        <w:t xml:space="preserve"> h</w:t>
      </w:r>
      <w:r w:rsidR="00775EB9" w:rsidRPr="2C59FFEE">
        <w:rPr>
          <w:rFonts w:eastAsia="Times New Roman" w:cs="Arial"/>
          <w:color w:val="000000" w:themeColor="text1"/>
        </w:rPr>
        <w:t xml:space="preserve">owever, </w:t>
      </w:r>
      <w:r w:rsidR="003149C3">
        <w:rPr>
          <w:rFonts w:eastAsia="Times New Roman" w:cs="Arial"/>
          <w:color w:val="000000" w:themeColor="text1"/>
        </w:rPr>
        <w:t xml:space="preserve">the alternative </w:t>
      </w:r>
      <w:r w:rsidR="00AD2626">
        <w:rPr>
          <w:rFonts w:eastAsia="Times New Roman" w:cs="Arial"/>
          <w:color w:val="000000" w:themeColor="text1"/>
        </w:rPr>
        <w:t>process</w:t>
      </w:r>
      <w:r w:rsidR="003B7497">
        <w:rPr>
          <w:rFonts w:eastAsia="Times New Roman" w:cs="Arial"/>
          <w:color w:val="000000" w:themeColor="text1"/>
        </w:rPr>
        <w:t xml:space="preserve"> is</w:t>
      </w:r>
      <w:r w:rsidR="00775EB9" w:rsidRPr="2C59FFEE">
        <w:rPr>
          <w:rFonts w:eastAsia="Times New Roman" w:cs="Arial"/>
          <w:color w:val="000000" w:themeColor="text1"/>
        </w:rPr>
        <w:t xml:space="preserve"> still being researched and developed and is not yet approved by the </w:t>
      </w:r>
      <w:r w:rsidR="00313C98">
        <w:rPr>
          <w:rFonts w:eastAsia="Times New Roman" w:cs="Arial"/>
          <w:color w:val="000000" w:themeColor="text1"/>
        </w:rPr>
        <w:t>USEPA</w:t>
      </w:r>
      <w:r w:rsidR="00775EB9" w:rsidRPr="2C59FFEE">
        <w:rPr>
          <w:rFonts w:eastAsia="Times New Roman" w:cs="Arial"/>
          <w:color w:val="000000" w:themeColor="text1"/>
        </w:rPr>
        <w:t xml:space="preserve"> or considered for use in California. </w:t>
      </w:r>
      <w:r w:rsidR="0023525B">
        <w:rPr>
          <w:rFonts w:eastAsia="Times New Roman" w:cs="Arial"/>
          <w:color w:val="000000" w:themeColor="text1"/>
        </w:rPr>
        <w:t xml:space="preserve">If </w:t>
      </w:r>
      <w:r w:rsidR="0096721C">
        <w:rPr>
          <w:rFonts w:eastAsia="Times New Roman" w:cs="Arial"/>
          <w:color w:val="000000" w:themeColor="text1"/>
        </w:rPr>
        <w:t xml:space="preserve">data </w:t>
      </w:r>
      <w:r w:rsidR="00CC32FC">
        <w:rPr>
          <w:rFonts w:eastAsia="Times New Roman" w:cs="Arial"/>
          <w:color w:val="000000" w:themeColor="text1"/>
        </w:rPr>
        <w:t xml:space="preserve">measured using </w:t>
      </w:r>
      <w:r w:rsidR="007B3AC1">
        <w:rPr>
          <w:rFonts w:eastAsia="Times New Roman" w:cs="Arial"/>
          <w:color w:val="000000" w:themeColor="text1"/>
        </w:rPr>
        <w:t>alternative</w:t>
      </w:r>
      <w:r w:rsidR="0023525B">
        <w:rPr>
          <w:rFonts w:eastAsia="Times New Roman" w:cs="Arial"/>
          <w:color w:val="000000" w:themeColor="text1"/>
        </w:rPr>
        <w:t xml:space="preserve"> </w:t>
      </w:r>
      <w:r w:rsidR="009F39B5">
        <w:rPr>
          <w:rFonts w:eastAsia="Times New Roman" w:cs="Arial"/>
          <w:color w:val="000000" w:themeColor="text1"/>
        </w:rPr>
        <w:t>extraction steps</w:t>
      </w:r>
      <w:r w:rsidR="002E436E">
        <w:rPr>
          <w:rFonts w:eastAsia="Times New Roman" w:cs="Arial"/>
          <w:color w:val="000000" w:themeColor="text1"/>
        </w:rPr>
        <w:t xml:space="preserve"> </w:t>
      </w:r>
      <w:r w:rsidR="0013489A">
        <w:rPr>
          <w:rFonts w:eastAsia="Times New Roman" w:cs="Arial"/>
          <w:color w:val="000000" w:themeColor="text1"/>
        </w:rPr>
        <w:t xml:space="preserve">to better measure </w:t>
      </w:r>
      <w:r w:rsidR="004A3194">
        <w:rPr>
          <w:rFonts w:eastAsia="Times New Roman" w:cs="Arial"/>
          <w:color w:val="000000" w:themeColor="text1"/>
        </w:rPr>
        <w:t xml:space="preserve">bioavailable </w:t>
      </w:r>
      <w:r w:rsidR="007B3AC1">
        <w:rPr>
          <w:rFonts w:eastAsia="Times New Roman" w:cs="Arial"/>
          <w:color w:val="000000" w:themeColor="text1"/>
        </w:rPr>
        <w:t xml:space="preserve">aluminum </w:t>
      </w:r>
      <w:r w:rsidR="002E436E">
        <w:rPr>
          <w:rFonts w:eastAsia="Times New Roman" w:cs="Arial"/>
          <w:color w:val="000000" w:themeColor="text1"/>
        </w:rPr>
        <w:t>become available</w:t>
      </w:r>
      <w:r w:rsidR="007B3AC1">
        <w:rPr>
          <w:rFonts w:eastAsia="Times New Roman" w:cs="Arial"/>
          <w:color w:val="000000" w:themeColor="text1"/>
        </w:rPr>
        <w:t xml:space="preserve">, </w:t>
      </w:r>
      <w:r w:rsidR="002E436E">
        <w:rPr>
          <w:rFonts w:eastAsia="Times New Roman" w:cs="Arial"/>
          <w:color w:val="000000" w:themeColor="text1"/>
        </w:rPr>
        <w:t>the</w:t>
      </w:r>
      <w:r w:rsidR="007B3AC1">
        <w:rPr>
          <w:rFonts w:eastAsia="Times New Roman" w:cs="Arial"/>
          <w:color w:val="000000" w:themeColor="text1"/>
        </w:rPr>
        <w:t xml:space="preserve"> data</w:t>
      </w:r>
      <w:r w:rsidR="00523EE3">
        <w:rPr>
          <w:rFonts w:eastAsia="Times New Roman" w:cs="Arial"/>
          <w:color w:val="000000" w:themeColor="text1"/>
        </w:rPr>
        <w:t xml:space="preserve"> would still be assessed using the 2018 Criteria</w:t>
      </w:r>
      <w:r w:rsidR="002E436E">
        <w:rPr>
          <w:rFonts w:eastAsia="Times New Roman" w:cs="Arial"/>
          <w:color w:val="000000" w:themeColor="text1"/>
        </w:rPr>
        <w:t xml:space="preserve">. </w:t>
      </w:r>
      <w:r w:rsidR="008E00C0">
        <w:rPr>
          <w:rFonts w:eastAsia="Times New Roman" w:cs="Arial"/>
          <w:color w:val="000000" w:themeColor="text1"/>
        </w:rPr>
        <w:t>With regard to the development of the 2021 Oregon Criteria, the</w:t>
      </w:r>
      <w:r w:rsidR="009D26BF">
        <w:rPr>
          <w:rFonts w:eastAsia="Times New Roman" w:cs="Arial"/>
          <w:color w:val="000000" w:themeColor="text1"/>
        </w:rPr>
        <w:t xml:space="preserve"> </w:t>
      </w:r>
      <w:r w:rsidR="00313C98">
        <w:rPr>
          <w:rFonts w:eastAsia="Times New Roman" w:cs="Arial"/>
          <w:color w:val="000000" w:themeColor="text1"/>
        </w:rPr>
        <w:t>USEPA</w:t>
      </w:r>
      <w:r w:rsidR="002E436E">
        <w:rPr>
          <w:rFonts w:eastAsia="Times New Roman" w:cs="Arial"/>
          <w:color w:val="000000" w:themeColor="text1"/>
        </w:rPr>
        <w:t xml:space="preserve"> </w:t>
      </w:r>
      <w:r w:rsidR="009D26BF">
        <w:rPr>
          <w:rFonts w:eastAsia="Times New Roman" w:cs="Arial"/>
          <w:color w:val="000000" w:themeColor="text1"/>
        </w:rPr>
        <w:t>explains</w:t>
      </w:r>
      <w:r w:rsidR="00F17895">
        <w:rPr>
          <w:rFonts w:eastAsia="Times New Roman" w:cs="Arial"/>
          <w:color w:val="000000" w:themeColor="text1"/>
        </w:rPr>
        <w:t>:</w:t>
      </w:r>
    </w:p>
    <w:p w14:paraId="0057A0E7" w14:textId="6C01FBB5" w:rsidR="007F78F7" w:rsidRDefault="007F78F7" w:rsidP="007F78F7">
      <w:pPr>
        <w:ind w:left="720"/>
        <w:textAlignment w:val="baseline"/>
        <w:rPr>
          <w:rFonts w:eastAsia="Times New Roman" w:cs="Arial"/>
          <w:color w:val="000000" w:themeColor="text1"/>
        </w:rPr>
      </w:pPr>
      <w:r w:rsidRPr="007F78F7">
        <w:rPr>
          <w:rFonts w:eastAsia="Times New Roman" w:cs="Arial"/>
          <w:color w:val="000000" w:themeColor="text1"/>
        </w:rPr>
        <w:t>It is not necessary to apply a conversion or translation factor to compare field measurements using a bioavailable method against the promulgated aluminum total recoverable criteria. This is because both bioavailable and total recoverable analytical methods quantify the toxic fraction of aluminum equivalently in laboratory test waters given that standard toxicity test waters do not include suspended solids or clays per test protocols. For</w:t>
      </w:r>
      <w:r w:rsidRPr="007F78F7" w:rsidDel="00D60C4D">
        <w:rPr>
          <w:rFonts w:eastAsia="Times New Roman" w:cs="Arial"/>
          <w:color w:val="000000" w:themeColor="text1"/>
        </w:rPr>
        <w:t xml:space="preserve"> </w:t>
      </w:r>
      <w:r w:rsidR="00D60C4D">
        <w:rPr>
          <w:rFonts w:eastAsia="Times New Roman" w:cs="Arial"/>
          <w:color w:val="000000" w:themeColor="text1"/>
        </w:rPr>
        <w:t>National Pollutant Discharge Elimination System</w:t>
      </w:r>
      <w:r w:rsidRPr="007F78F7">
        <w:rPr>
          <w:rFonts w:eastAsia="Times New Roman" w:cs="Arial"/>
          <w:color w:val="000000" w:themeColor="text1"/>
        </w:rPr>
        <w:t xml:space="preserve"> compliance monitoring and reporting, total recoverable measurements for metals are required.</w:t>
      </w:r>
    </w:p>
    <w:p w14:paraId="1A10E932" w14:textId="76BB5EE1" w:rsidR="00F77EB7" w:rsidRDefault="00F77EB7" w:rsidP="00997E9C">
      <w:pPr>
        <w:spacing w:before="240" w:after="0"/>
        <w:rPr>
          <w:rFonts w:eastAsia="Times New Roman" w:cs="Arial"/>
        </w:rPr>
      </w:pPr>
      <w:r>
        <w:rPr>
          <w:rFonts w:eastAsia="Times New Roman" w:cs="Arial"/>
        </w:rPr>
        <w:t>(</w:t>
      </w:r>
      <w:r w:rsidR="005B0E81">
        <w:rPr>
          <w:rFonts w:eastAsia="Times New Roman" w:cs="Arial"/>
          <w:color w:val="000000" w:themeColor="text1"/>
        </w:rPr>
        <w:t>86 Fed. Reg. at 14840, col. 3.)</w:t>
      </w:r>
    </w:p>
    <w:p w14:paraId="71C62152" w14:textId="25E82914" w:rsidR="00775EB9" w:rsidRPr="00775EB9" w:rsidRDefault="006D4ADA" w:rsidP="00997E9C">
      <w:pPr>
        <w:spacing w:before="240" w:after="0"/>
        <w:rPr>
          <w:rFonts w:ascii="Segoe UI" w:eastAsia="Times New Roman" w:hAnsi="Segoe UI" w:cs="Segoe UI"/>
          <w:sz w:val="18"/>
          <w:szCs w:val="18"/>
        </w:rPr>
      </w:pPr>
      <w:r>
        <w:rPr>
          <w:rFonts w:eastAsia="Times New Roman" w:cs="Arial"/>
        </w:rPr>
        <w:t xml:space="preserve">Currently, </w:t>
      </w:r>
      <w:r w:rsidR="00775EB9" w:rsidRPr="166AC04C">
        <w:rPr>
          <w:rFonts w:eastAsia="Times New Roman" w:cs="Arial"/>
        </w:rPr>
        <w:t xml:space="preserve">the </w:t>
      </w:r>
      <w:r w:rsidR="00313C98">
        <w:rPr>
          <w:rFonts w:eastAsia="Times New Roman" w:cs="Arial"/>
        </w:rPr>
        <w:t>USEPA</w:t>
      </w:r>
      <w:r w:rsidR="00775EB9" w:rsidRPr="166AC04C">
        <w:rPr>
          <w:rFonts w:eastAsia="Times New Roman" w:cs="Arial"/>
        </w:rPr>
        <w:t xml:space="preserve"> </w:t>
      </w:r>
      <w:r>
        <w:rPr>
          <w:rFonts w:eastAsia="Times New Roman" w:cs="Arial"/>
        </w:rPr>
        <w:t>does</w:t>
      </w:r>
      <w:r w:rsidR="00775EB9" w:rsidRPr="166AC04C">
        <w:rPr>
          <w:rFonts w:eastAsia="Times New Roman" w:cs="Arial"/>
        </w:rPr>
        <w:t xml:space="preserve"> not have a timeline for </w:t>
      </w:r>
      <w:r w:rsidR="00950025">
        <w:rPr>
          <w:rFonts w:eastAsia="Times New Roman" w:cs="Arial"/>
        </w:rPr>
        <w:t>consideration of</w:t>
      </w:r>
      <w:r w:rsidR="00775EB9" w:rsidRPr="166AC04C">
        <w:rPr>
          <w:rFonts w:eastAsia="Times New Roman" w:cs="Arial"/>
        </w:rPr>
        <w:t xml:space="preserve"> an analytical method that uses a less aggressive acid digestion step such as the one described in Rodriguez et al. (2019). As a result, the State Water Board is conducting additional research to consider and potentially scale a bioavailable-focused analytical method to ensure that the extraction </w:t>
      </w:r>
      <w:r w:rsidR="009F39B5">
        <w:rPr>
          <w:rFonts w:eastAsia="Times New Roman" w:cs="Arial"/>
        </w:rPr>
        <w:t>step</w:t>
      </w:r>
      <w:r w:rsidR="00243D0A">
        <w:rPr>
          <w:rFonts w:eastAsia="Times New Roman" w:cs="Arial"/>
        </w:rPr>
        <w:t>s</w:t>
      </w:r>
      <w:r w:rsidR="00775EB9" w:rsidRPr="166AC04C">
        <w:rPr>
          <w:rFonts w:eastAsia="Times New Roman" w:cs="Arial"/>
        </w:rPr>
        <w:t xml:space="preserve"> accurately capture bioavailable aluminum, and that any laboratory conducting the test could achieve similar results. Once a bioavailable-focused analytical method becomes available, and new data gathered per the bioavailable method are available, existing aluminum aquatic life integrated report decisions will be reassessed using the new data. </w:t>
      </w:r>
      <w:r w:rsidR="0048797F">
        <w:rPr>
          <w:rFonts w:eastAsia="Times New Roman" w:cs="Arial"/>
        </w:rPr>
        <w:t>Decisions</w:t>
      </w:r>
      <w:r w:rsidR="00775EB9" w:rsidRPr="166AC04C">
        <w:rPr>
          <w:rFonts w:eastAsia="Times New Roman" w:cs="Arial"/>
        </w:rPr>
        <w:t xml:space="preserve"> would be revised if appropriate according to section 3.1 of the Listing Policy: Numeric Water Quality Objectives and Criteria for Toxicants in Water.</w:t>
      </w:r>
      <w:r w:rsidR="00FB75A5">
        <w:rPr>
          <w:rFonts w:eastAsia="Times New Roman" w:cs="Arial"/>
        </w:rPr>
        <w:t xml:space="preserve"> </w:t>
      </w:r>
    </w:p>
    <w:p w14:paraId="074A4276" w14:textId="49E02940" w:rsidR="00F422B4" w:rsidRPr="004502A9" w:rsidRDefault="6AB6AA25" w:rsidP="005632BC">
      <w:pPr>
        <w:pStyle w:val="Heading3"/>
      </w:pPr>
      <w:bookmarkStart w:id="89" w:name="_Toc189048570"/>
      <w:r>
        <w:t>Aluminum Reassessment</w:t>
      </w:r>
      <w:bookmarkEnd w:id="89"/>
    </w:p>
    <w:p w14:paraId="6C9247E6" w14:textId="5A6F5771" w:rsidR="00FE426C" w:rsidRPr="00142B8A" w:rsidRDefault="002E3FF2" w:rsidP="00142B8A">
      <w:pPr>
        <w:rPr>
          <w:rFonts w:cs="Arial"/>
        </w:rPr>
      </w:pPr>
      <w:r>
        <w:t xml:space="preserve">In </w:t>
      </w:r>
      <w:r w:rsidR="00E82381">
        <w:t>accordance</w:t>
      </w:r>
      <w:r>
        <w:t xml:space="preserve"> with </w:t>
      </w:r>
      <w:r w:rsidR="000506DF">
        <w:t xml:space="preserve">State Water Board </w:t>
      </w:r>
      <w:r>
        <w:t>R</w:t>
      </w:r>
      <w:r w:rsidR="00594919">
        <w:t xml:space="preserve">esolution </w:t>
      </w:r>
      <w:r w:rsidR="00E82381">
        <w:t xml:space="preserve">No. </w:t>
      </w:r>
      <w:r w:rsidR="00C26EBE">
        <w:t>2022-</w:t>
      </w:r>
      <w:r w:rsidR="00F8525D">
        <w:t>0</w:t>
      </w:r>
      <w:r w:rsidR="00C26EBE">
        <w:t>006</w:t>
      </w:r>
      <w:r w:rsidR="0026071D">
        <w:t>,</w:t>
      </w:r>
      <w:r w:rsidR="00480913">
        <w:t xml:space="preserve"> </w:t>
      </w:r>
      <w:r w:rsidR="00872DB5">
        <w:t xml:space="preserve">which </w:t>
      </w:r>
      <w:r w:rsidR="00594919">
        <w:t>adopt</w:t>
      </w:r>
      <w:r w:rsidR="00872DB5">
        <w:t>ed</w:t>
      </w:r>
      <w:r w:rsidR="00594919">
        <w:t xml:space="preserve"> the 303(d) </w:t>
      </w:r>
      <w:r w:rsidR="009C5799">
        <w:t>l</w:t>
      </w:r>
      <w:r w:rsidR="00594919">
        <w:t>ist</w:t>
      </w:r>
      <w:r w:rsidR="00594919" w:rsidDel="004F255C">
        <w:t xml:space="preserve"> </w:t>
      </w:r>
      <w:r w:rsidR="00594919">
        <w:t xml:space="preserve">for the 2020-2022 </w:t>
      </w:r>
      <w:r w:rsidR="00323611">
        <w:t xml:space="preserve">California </w:t>
      </w:r>
      <w:r w:rsidR="005D2322">
        <w:t>Integrated</w:t>
      </w:r>
      <w:r w:rsidR="00594919">
        <w:t xml:space="preserve"> Report</w:t>
      </w:r>
      <w:r w:rsidR="00A912C6">
        <w:t xml:space="preserve">, aluminum data </w:t>
      </w:r>
      <w:r w:rsidR="004E6C49">
        <w:t>from waterbod</w:t>
      </w:r>
      <w:r w:rsidR="009A53C3">
        <w:t>y segments</w:t>
      </w:r>
      <w:r w:rsidR="004E6C49">
        <w:t xml:space="preserve"> </w:t>
      </w:r>
      <w:r w:rsidR="00BE7BD9">
        <w:t>with</w:t>
      </w:r>
      <w:r w:rsidR="004E6C49">
        <w:t xml:space="preserve"> the </w:t>
      </w:r>
      <w:r w:rsidR="00BE7BD9">
        <w:t>WARM</w:t>
      </w:r>
      <w:r w:rsidR="00E3667E">
        <w:t xml:space="preserve"> and </w:t>
      </w:r>
      <w:r w:rsidR="00BE7BD9">
        <w:t>COLD beneficial use</w:t>
      </w:r>
      <w:r w:rsidR="00831DD5">
        <w:t xml:space="preserve"> </w:t>
      </w:r>
      <w:r w:rsidR="001B5446">
        <w:t>in Regional Water Boards</w:t>
      </w:r>
      <w:r w:rsidR="003A6AC4">
        <w:t xml:space="preserve"> that are on</w:t>
      </w:r>
      <w:r w:rsidR="00E239CA">
        <w:t>-</w:t>
      </w:r>
      <w:r w:rsidR="003A6AC4">
        <w:t>cycle for the</w:t>
      </w:r>
      <w:r w:rsidR="00831DD5">
        <w:t xml:space="preserve"> </w:t>
      </w:r>
      <w:r w:rsidR="00C6428D">
        <w:t>2026</w:t>
      </w:r>
      <w:r w:rsidR="00831DD5">
        <w:t xml:space="preserve"> </w:t>
      </w:r>
      <w:r w:rsidR="00323611">
        <w:t xml:space="preserve">California </w:t>
      </w:r>
      <w:r w:rsidR="00831DD5">
        <w:t>Integrated Report</w:t>
      </w:r>
      <w:r w:rsidR="003A6AC4">
        <w:t xml:space="preserve"> </w:t>
      </w:r>
      <w:r w:rsidR="00E3667E">
        <w:t>(</w:t>
      </w:r>
      <w:r w:rsidR="00142B8A">
        <w:rPr>
          <w:rFonts w:cs="Arial"/>
        </w:rPr>
        <w:t>North Coast, Lahontan, and Colorado River Basin</w:t>
      </w:r>
      <w:r w:rsidR="00E3667E">
        <w:t xml:space="preserve">) </w:t>
      </w:r>
      <w:r w:rsidR="003A6AC4">
        <w:t xml:space="preserve">were </w:t>
      </w:r>
      <w:r w:rsidR="00CF71EF">
        <w:t>re</w:t>
      </w:r>
      <w:r w:rsidR="003A6AC4">
        <w:t>assessed using the 2018 Criteria</w:t>
      </w:r>
      <w:r w:rsidR="001630A5">
        <w:t>.</w:t>
      </w:r>
      <w:r w:rsidR="00ED072E">
        <w:t xml:space="preserve"> </w:t>
      </w:r>
      <w:r w:rsidR="0000162C">
        <w:t>However</w:t>
      </w:r>
      <w:r w:rsidR="00E9731E">
        <w:t>, o</w:t>
      </w:r>
      <w:r w:rsidR="004D7D42">
        <w:t xml:space="preserve">nly the Lahontan Regional Water Board had aluminum data </w:t>
      </w:r>
      <w:r w:rsidR="00590837">
        <w:t xml:space="preserve">from </w:t>
      </w:r>
      <w:r w:rsidR="005175BC">
        <w:t xml:space="preserve">waterbody segments </w:t>
      </w:r>
      <w:r w:rsidR="00590837">
        <w:t>with the WARM and COLD beneficial use</w:t>
      </w:r>
      <w:r w:rsidR="006C7045">
        <w:t xml:space="preserve">. </w:t>
      </w:r>
      <w:r w:rsidR="00F54E4C">
        <w:t>A</w:t>
      </w:r>
      <w:r w:rsidR="0022012B">
        <w:t xml:space="preserve">ll </w:t>
      </w:r>
      <w:r w:rsidR="00F54E4C">
        <w:t xml:space="preserve">existing </w:t>
      </w:r>
      <w:r w:rsidR="0022012B">
        <w:t xml:space="preserve">aluminum data </w:t>
      </w:r>
      <w:r w:rsidR="000506DF">
        <w:t>were</w:t>
      </w:r>
      <w:r w:rsidR="00186850">
        <w:t xml:space="preserve"> </w:t>
      </w:r>
      <w:r w:rsidR="00F54E4C">
        <w:t>re</w:t>
      </w:r>
      <w:r w:rsidR="002C5980">
        <w:t>assessed using the 2018 Criteria.</w:t>
      </w:r>
      <w:r w:rsidR="008D6DA5">
        <w:t xml:space="preserve"> </w:t>
      </w:r>
      <w:r w:rsidR="00EF6D08">
        <w:rPr>
          <w:rFonts w:eastAsia="Arial" w:cs="Arial"/>
          <w:color w:val="000000" w:themeColor="text1"/>
        </w:rPr>
        <w:t xml:space="preserve">In some instances, LOEs from previous </w:t>
      </w:r>
      <w:r w:rsidR="00C370CD">
        <w:rPr>
          <w:rFonts w:eastAsia="Arial" w:cs="Arial"/>
          <w:color w:val="000000" w:themeColor="text1"/>
        </w:rPr>
        <w:t>listing cycles</w:t>
      </w:r>
      <w:r w:rsidR="00400F87">
        <w:rPr>
          <w:rFonts w:eastAsia="Arial" w:cs="Arial"/>
          <w:color w:val="000000" w:themeColor="text1"/>
        </w:rPr>
        <w:t xml:space="preserve"> </w:t>
      </w:r>
      <w:r w:rsidR="00EF6D08">
        <w:rPr>
          <w:rFonts w:eastAsia="Arial" w:cs="Arial"/>
          <w:color w:val="000000" w:themeColor="text1"/>
        </w:rPr>
        <w:t>were retired. For more information</w:t>
      </w:r>
      <w:r w:rsidR="00C529CF">
        <w:rPr>
          <w:rFonts w:eastAsia="Arial" w:cs="Arial"/>
          <w:color w:val="000000" w:themeColor="text1"/>
        </w:rPr>
        <w:t xml:space="preserve"> on retiring lines of evidence</w:t>
      </w:r>
      <w:r w:rsidR="00EF6D08">
        <w:rPr>
          <w:rFonts w:eastAsia="Arial" w:cs="Arial"/>
          <w:color w:val="000000" w:themeColor="text1"/>
        </w:rPr>
        <w:t xml:space="preserve">, see </w:t>
      </w:r>
      <w:r w:rsidR="00155016">
        <w:rPr>
          <w:rFonts w:eastAsia="Arial" w:cs="Arial"/>
          <w:color w:val="000000" w:themeColor="text1"/>
        </w:rPr>
        <w:t>s</w:t>
      </w:r>
      <w:r w:rsidR="00EF6D08">
        <w:rPr>
          <w:rFonts w:eastAsia="Arial" w:cs="Arial"/>
          <w:color w:val="000000" w:themeColor="text1"/>
        </w:rPr>
        <w:t xml:space="preserve">ection 2.3.2 and Appendix </w:t>
      </w:r>
      <w:r w:rsidR="00616E28">
        <w:rPr>
          <w:rFonts w:eastAsia="Arial" w:cs="Arial"/>
          <w:color w:val="000000" w:themeColor="text1"/>
        </w:rPr>
        <w:t>J</w:t>
      </w:r>
      <w:r w:rsidR="00EF6D08">
        <w:rPr>
          <w:rFonts w:eastAsia="Arial" w:cs="Arial"/>
          <w:color w:val="000000" w:themeColor="text1"/>
        </w:rPr>
        <w:t xml:space="preserve">: List of Retired Lines of Evidence. </w:t>
      </w:r>
    </w:p>
    <w:p w14:paraId="120E21F9" w14:textId="0D9202DC" w:rsidR="006D6424" w:rsidRDefault="006D6424" w:rsidP="00597DE8">
      <w:pPr>
        <w:pStyle w:val="Heading2"/>
      </w:pPr>
      <w:bookmarkStart w:id="90" w:name="_Toc35339599"/>
      <w:bookmarkStart w:id="91" w:name="_Toc189048571"/>
      <w:r>
        <w:t xml:space="preserve">CTR </w:t>
      </w:r>
      <w:r w:rsidR="00756F75">
        <w:t xml:space="preserve">Hardness-Dependent </w:t>
      </w:r>
      <w:r>
        <w:t>Metals</w:t>
      </w:r>
      <w:r w:rsidR="00E5524A">
        <w:t xml:space="preserve"> – Water Matrix</w:t>
      </w:r>
      <w:bookmarkEnd w:id="91"/>
    </w:p>
    <w:p w14:paraId="247648FC" w14:textId="0B0763CE" w:rsidR="00952189" w:rsidRDefault="00F66B75" w:rsidP="009751EC">
      <w:pPr>
        <w:rPr>
          <w:rFonts w:cs="Arial"/>
        </w:rPr>
      </w:pPr>
      <w:r>
        <w:rPr>
          <w:rFonts w:cs="Arial"/>
        </w:rPr>
        <w:t>D</w:t>
      </w:r>
      <w:r w:rsidR="004C6072">
        <w:rPr>
          <w:rFonts w:cs="Arial"/>
        </w:rPr>
        <w:t xml:space="preserve">ata </w:t>
      </w:r>
      <w:r>
        <w:rPr>
          <w:rFonts w:cs="Arial"/>
        </w:rPr>
        <w:t xml:space="preserve">for </w:t>
      </w:r>
      <w:r w:rsidRPr="405AFBFB">
        <w:rPr>
          <w:rFonts w:cs="Arial"/>
        </w:rPr>
        <w:t>cadmium, copper, chromium III, lead, nickel, silver</w:t>
      </w:r>
      <w:r>
        <w:rPr>
          <w:rFonts w:cs="Arial"/>
        </w:rPr>
        <w:t xml:space="preserve">, and </w:t>
      </w:r>
      <w:r w:rsidRPr="405AFBFB">
        <w:rPr>
          <w:rFonts w:cs="Arial"/>
        </w:rPr>
        <w:t>zinc</w:t>
      </w:r>
      <w:r>
        <w:rPr>
          <w:rFonts w:cs="Arial"/>
        </w:rPr>
        <w:t xml:space="preserve"> </w:t>
      </w:r>
      <w:r w:rsidR="004C6072">
        <w:rPr>
          <w:rFonts w:cs="Arial"/>
        </w:rPr>
        <w:t xml:space="preserve">were compared to CTR </w:t>
      </w:r>
      <w:r w:rsidR="001A3C06">
        <w:rPr>
          <w:rFonts w:cs="Arial"/>
        </w:rPr>
        <w:t>hardness</w:t>
      </w:r>
      <w:r w:rsidR="00804AFF">
        <w:rPr>
          <w:rFonts w:cs="Arial"/>
        </w:rPr>
        <w:t>-</w:t>
      </w:r>
      <w:r w:rsidR="001A3C06">
        <w:rPr>
          <w:rFonts w:cs="Arial"/>
        </w:rPr>
        <w:t xml:space="preserve">dependent </w:t>
      </w:r>
      <w:r w:rsidR="004C6072">
        <w:rPr>
          <w:rFonts w:cs="Arial"/>
        </w:rPr>
        <w:t xml:space="preserve">criteria (freshwater only). </w:t>
      </w:r>
      <w:r w:rsidR="00727BF6">
        <w:rPr>
          <w:rFonts w:cs="Arial"/>
        </w:rPr>
        <w:t>D</w:t>
      </w:r>
      <w:r w:rsidR="00DC5223">
        <w:rPr>
          <w:rFonts w:cs="Arial"/>
        </w:rPr>
        <w:t>ata</w:t>
      </w:r>
      <w:r w:rsidR="00D50298" w:rsidRPr="004502A9">
        <w:rPr>
          <w:rFonts w:cs="Arial"/>
        </w:rPr>
        <w:t xml:space="preserve"> </w:t>
      </w:r>
      <w:r w:rsidR="00727BF6">
        <w:rPr>
          <w:rFonts w:cs="Arial"/>
        </w:rPr>
        <w:t>were used to assess</w:t>
      </w:r>
      <w:r w:rsidR="00D50298" w:rsidRPr="004502A9">
        <w:rPr>
          <w:rFonts w:cs="Arial"/>
        </w:rPr>
        <w:t xml:space="preserve"> the Warm Fresh</w:t>
      </w:r>
      <w:r w:rsidR="00F758D2">
        <w:rPr>
          <w:rFonts w:cs="Arial"/>
        </w:rPr>
        <w:t>w</w:t>
      </w:r>
      <w:r w:rsidR="00D50298" w:rsidRPr="004502A9">
        <w:rPr>
          <w:rFonts w:cs="Arial"/>
        </w:rPr>
        <w:t>ater Habitat (“WARM”) and Cold Fresh</w:t>
      </w:r>
      <w:r w:rsidR="00F758D2">
        <w:rPr>
          <w:rFonts w:cs="Arial"/>
        </w:rPr>
        <w:t>w</w:t>
      </w:r>
      <w:r w:rsidR="00D50298" w:rsidRPr="004502A9">
        <w:rPr>
          <w:rFonts w:cs="Arial"/>
        </w:rPr>
        <w:t>ater Habitat (“COLD”) beneficial use</w:t>
      </w:r>
      <w:r w:rsidR="00F464F7">
        <w:rPr>
          <w:rFonts w:cs="Arial"/>
        </w:rPr>
        <w:t>s</w:t>
      </w:r>
      <w:r w:rsidR="00D50298" w:rsidRPr="004502A9">
        <w:rPr>
          <w:rFonts w:cs="Arial"/>
        </w:rPr>
        <w:t xml:space="preserve"> </w:t>
      </w:r>
      <w:r w:rsidR="00D50298">
        <w:rPr>
          <w:rFonts w:cs="Arial"/>
        </w:rPr>
        <w:t>using</w:t>
      </w:r>
      <w:r w:rsidR="00D50298" w:rsidRPr="004502A9">
        <w:rPr>
          <w:rFonts w:cs="Arial"/>
        </w:rPr>
        <w:t xml:space="preserve"> the </w:t>
      </w:r>
      <w:r w:rsidR="00B93D13">
        <w:rPr>
          <w:rFonts w:cs="Arial"/>
        </w:rPr>
        <w:t>CTR criteria</w:t>
      </w:r>
      <w:r w:rsidR="00D14D08">
        <w:rPr>
          <w:rFonts w:cs="Arial"/>
        </w:rPr>
        <w:t xml:space="preserve"> as </w:t>
      </w:r>
      <w:r w:rsidR="000951E8">
        <w:rPr>
          <w:rFonts w:cs="Arial"/>
        </w:rPr>
        <w:t xml:space="preserve">directed by </w:t>
      </w:r>
      <w:r w:rsidR="00CA27CB">
        <w:rPr>
          <w:rFonts w:cs="Arial"/>
        </w:rPr>
        <w:t xml:space="preserve">section 3.1 </w:t>
      </w:r>
      <w:r w:rsidR="000506DF">
        <w:rPr>
          <w:rFonts w:cs="Arial"/>
        </w:rPr>
        <w:t>or 4.1</w:t>
      </w:r>
      <w:r w:rsidR="00CA27CB">
        <w:rPr>
          <w:rFonts w:cs="Arial"/>
        </w:rPr>
        <w:t xml:space="preserve"> of the Listing Policy. </w:t>
      </w:r>
    </w:p>
    <w:p w14:paraId="77220327" w14:textId="70ECCEEE" w:rsidR="00950869" w:rsidRDefault="009751EC" w:rsidP="009751EC">
      <w:pPr>
        <w:rPr>
          <w:rFonts w:cs="Arial"/>
        </w:rPr>
      </w:pPr>
      <w:r w:rsidRPr="405AFBFB">
        <w:rPr>
          <w:rFonts w:cs="Arial"/>
        </w:rPr>
        <w:t>The cadmium, copper, chromium III, lead, nickel, silver</w:t>
      </w:r>
      <w:r>
        <w:rPr>
          <w:rFonts w:cs="Arial"/>
        </w:rPr>
        <w:t xml:space="preserve">, and </w:t>
      </w:r>
      <w:r w:rsidRPr="405AFBFB">
        <w:rPr>
          <w:rFonts w:cs="Arial"/>
        </w:rPr>
        <w:t>zinc</w:t>
      </w:r>
      <w:r>
        <w:rPr>
          <w:rFonts w:cs="Arial"/>
        </w:rPr>
        <w:t xml:space="preserve"> freshwater </w:t>
      </w:r>
      <w:r w:rsidR="00833A4E">
        <w:rPr>
          <w:rFonts w:cs="Arial"/>
        </w:rPr>
        <w:t xml:space="preserve">CTR </w:t>
      </w:r>
      <w:r>
        <w:rPr>
          <w:rFonts w:cs="Arial"/>
        </w:rPr>
        <w:t>c</w:t>
      </w:r>
      <w:r w:rsidRPr="405AFBFB">
        <w:rPr>
          <w:rFonts w:cs="Arial"/>
        </w:rPr>
        <w:t xml:space="preserve">riteria are </w:t>
      </w:r>
      <w:r w:rsidR="002A346B">
        <w:rPr>
          <w:rFonts w:cs="Arial"/>
        </w:rPr>
        <w:t xml:space="preserve">mathematical </w:t>
      </w:r>
      <w:r w:rsidR="00833A4E">
        <w:rPr>
          <w:rFonts w:cs="Arial"/>
        </w:rPr>
        <w:t xml:space="preserve">equations </w:t>
      </w:r>
      <w:r w:rsidR="00BD5EE3">
        <w:rPr>
          <w:rFonts w:cs="Arial"/>
        </w:rPr>
        <w:t>that require</w:t>
      </w:r>
      <w:r w:rsidR="00CE755E">
        <w:rPr>
          <w:rFonts w:cs="Arial"/>
        </w:rPr>
        <w:t xml:space="preserve"> </w:t>
      </w:r>
      <w:r w:rsidRPr="405AFBFB">
        <w:rPr>
          <w:rFonts w:cs="Arial"/>
        </w:rPr>
        <w:t>a water effects ratio (“WER”)</w:t>
      </w:r>
      <w:r>
        <w:rPr>
          <w:rFonts w:cs="Arial"/>
        </w:rPr>
        <w:t xml:space="preserve"> and hardness concentration </w:t>
      </w:r>
      <w:r w:rsidR="004C14E5">
        <w:rPr>
          <w:rFonts w:cs="Arial"/>
        </w:rPr>
        <w:t xml:space="preserve">to </w:t>
      </w:r>
      <w:r w:rsidR="00C74669">
        <w:rPr>
          <w:rFonts w:cs="Arial"/>
        </w:rPr>
        <w:t xml:space="preserve">calculate the </w:t>
      </w:r>
      <w:r w:rsidR="00D665F1">
        <w:rPr>
          <w:rFonts w:cs="Arial"/>
        </w:rPr>
        <w:t>criteria</w:t>
      </w:r>
      <w:r w:rsidR="00C23714">
        <w:rPr>
          <w:rFonts w:cs="Arial"/>
        </w:rPr>
        <w:t xml:space="preserve"> </w:t>
      </w:r>
      <w:r w:rsidR="00C23714" w:rsidRPr="4BAC61BD">
        <w:rPr>
          <w:rFonts w:cs="Arial"/>
        </w:rPr>
        <w:t xml:space="preserve">(40 </w:t>
      </w:r>
      <w:r w:rsidR="0090140D">
        <w:rPr>
          <w:rFonts w:cs="Arial"/>
        </w:rPr>
        <w:t>CFR</w:t>
      </w:r>
      <w:r w:rsidR="00C23714" w:rsidRPr="4BAC61BD">
        <w:rPr>
          <w:rFonts w:cs="Arial"/>
        </w:rPr>
        <w:t xml:space="preserve"> § 131.38</w:t>
      </w:r>
      <w:r w:rsidR="00C23714">
        <w:rPr>
          <w:rFonts w:cs="Arial"/>
        </w:rPr>
        <w:t>(b)(2)</w:t>
      </w:r>
      <w:r w:rsidR="00C23714" w:rsidRPr="4BAC61BD">
        <w:rPr>
          <w:rFonts w:cs="Arial"/>
        </w:rPr>
        <w:t>)</w:t>
      </w:r>
      <w:r w:rsidR="00D665F1">
        <w:rPr>
          <w:rFonts w:cs="Arial"/>
        </w:rPr>
        <w:t xml:space="preserve">. </w:t>
      </w:r>
      <w:r w:rsidR="00C07A50">
        <w:rPr>
          <w:rFonts w:cs="Arial"/>
        </w:rPr>
        <w:t xml:space="preserve">By incorporating </w:t>
      </w:r>
      <w:r w:rsidR="00A65652">
        <w:rPr>
          <w:rFonts w:cs="Arial"/>
        </w:rPr>
        <w:t xml:space="preserve">a WER and hardness </w:t>
      </w:r>
      <w:r w:rsidR="004C14E5">
        <w:rPr>
          <w:rFonts w:cs="Arial"/>
        </w:rPr>
        <w:t>concentration the CTR criteria</w:t>
      </w:r>
      <w:r>
        <w:rPr>
          <w:rFonts w:cs="Arial"/>
        </w:rPr>
        <w:t xml:space="preserve"> account for the </w:t>
      </w:r>
      <w:r w:rsidR="00112362">
        <w:rPr>
          <w:rFonts w:cs="Arial"/>
        </w:rPr>
        <w:t>effect of</w:t>
      </w:r>
      <w:r>
        <w:rPr>
          <w:rFonts w:cs="Arial"/>
        </w:rPr>
        <w:t xml:space="preserve"> water hardness </w:t>
      </w:r>
      <w:r w:rsidR="00815F5D">
        <w:rPr>
          <w:rFonts w:cs="Arial"/>
        </w:rPr>
        <w:t>on</w:t>
      </w:r>
      <w:r>
        <w:rPr>
          <w:rFonts w:cs="Arial"/>
        </w:rPr>
        <w:t xml:space="preserve"> </w:t>
      </w:r>
      <w:r w:rsidR="00DA05B4">
        <w:rPr>
          <w:rFonts w:cs="Arial"/>
        </w:rPr>
        <w:t>metal</w:t>
      </w:r>
      <w:r>
        <w:rPr>
          <w:rFonts w:cs="Arial"/>
        </w:rPr>
        <w:t xml:space="preserve"> toxicity (i.e., </w:t>
      </w:r>
      <w:r w:rsidR="00350C0C">
        <w:rPr>
          <w:rFonts w:cs="Arial"/>
        </w:rPr>
        <w:t>a</w:t>
      </w:r>
      <w:r w:rsidR="004C14E5">
        <w:rPr>
          <w:rFonts w:cs="Arial"/>
        </w:rPr>
        <w:t>s</w:t>
      </w:r>
      <w:r>
        <w:rPr>
          <w:rFonts w:cs="Arial"/>
        </w:rPr>
        <w:t xml:space="preserve"> hardness </w:t>
      </w:r>
      <w:r w:rsidR="008E6C11">
        <w:rPr>
          <w:rFonts w:cs="Arial"/>
        </w:rPr>
        <w:t>concentration</w:t>
      </w:r>
      <w:r w:rsidR="00C232BF">
        <w:rPr>
          <w:rFonts w:cs="Arial"/>
        </w:rPr>
        <w:t xml:space="preserve"> </w:t>
      </w:r>
      <w:r w:rsidR="004C14E5">
        <w:rPr>
          <w:rFonts w:cs="Arial"/>
        </w:rPr>
        <w:t>increases,</w:t>
      </w:r>
      <w:r w:rsidR="008E6C11">
        <w:rPr>
          <w:rFonts w:cs="Arial"/>
        </w:rPr>
        <w:t xml:space="preserve"> </w:t>
      </w:r>
      <w:r w:rsidR="006A2C94">
        <w:rPr>
          <w:rFonts w:cs="Arial"/>
        </w:rPr>
        <w:t xml:space="preserve">metal </w:t>
      </w:r>
      <w:r>
        <w:rPr>
          <w:rFonts w:cs="Arial"/>
        </w:rPr>
        <w:t>toxicity</w:t>
      </w:r>
      <w:r w:rsidR="004C14E5">
        <w:rPr>
          <w:rFonts w:cs="Arial"/>
        </w:rPr>
        <w:t xml:space="preserve"> decreases</w:t>
      </w:r>
      <w:r w:rsidR="006A2C94">
        <w:rPr>
          <w:rFonts w:cs="Arial"/>
        </w:rPr>
        <w:t>).</w:t>
      </w:r>
      <w:r>
        <w:rPr>
          <w:rFonts w:cs="Arial"/>
        </w:rPr>
        <w:t xml:space="preserve"> </w:t>
      </w:r>
      <w:r w:rsidR="00BC0734">
        <w:rPr>
          <w:rFonts w:cs="Arial"/>
        </w:rPr>
        <w:t xml:space="preserve">The following methodology was used to calculate CTR </w:t>
      </w:r>
      <w:r w:rsidR="00491478">
        <w:rPr>
          <w:rFonts w:cs="Arial"/>
        </w:rPr>
        <w:t>hardness dependent criteria:</w:t>
      </w:r>
    </w:p>
    <w:p w14:paraId="01D9B947" w14:textId="4627073D" w:rsidR="00F57882" w:rsidRDefault="00491478" w:rsidP="00010F69">
      <w:pPr>
        <w:pStyle w:val="ListParagraph"/>
        <w:numPr>
          <w:ilvl w:val="0"/>
          <w:numId w:val="27"/>
        </w:numPr>
        <w:rPr>
          <w:rFonts w:cs="Arial"/>
        </w:rPr>
      </w:pPr>
      <w:r w:rsidRPr="00F57882">
        <w:rPr>
          <w:rFonts w:cs="Arial"/>
          <w:u w:val="single"/>
        </w:rPr>
        <w:t xml:space="preserve">Measured hardness data </w:t>
      </w:r>
      <w:r w:rsidR="00421F1A">
        <w:rPr>
          <w:rFonts w:cs="Arial"/>
          <w:u w:val="single"/>
        </w:rPr>
        <w:t>were</w:t>
      </w:r>
      <w:r w:rsidRPr="00F57882">
        <w:rPr>
          <w:rFonts w:cs="Arial"/>
          <w:u w:val="single"/>
        </w:rPr>
        <w:t xml:space="preserve"> available</w:t>
      </w:r>
      <w:r>
        <w:rPr>
          <w:rFonts w:cs="Arial"/>
        </w:rPr>
        <w:t xml:space="preserve">: </w:t>
      </w:r>
      <w:r w:rsidR="00F57882">
        <w:rPr>
          <w:rFonts w:cs="Arial"/>
        </w:rPr>
        <w:t>In accordance with the CTR, if</w:t>
      </w:r>
      <w:r w:rsidR="00B236F9" w:rsidRPr="00491478">
        <w:rPr>
          <w:rFonts w:cs="Arial"/>
        </w:rPr>
        <w:t xml:space="preserve"> </w:t>
      </w:r>
      <w:r w:rsidR="00F57882">
        <w:rPr>
          <w:rFonts w:cs="Arial"/>
        </w:rPr>
        <w:t xml:space="preserve">measured </w:t>
      </w:r>
      <w:r w:rsidR="00775666">
        <w:rPr>
          <w:rFonts w:cs="Arial"/>
        </w:rPr>
        <w:t>har</w:t>
      </w:r>
      <w:r w:rsidR="00E60001">
        <w:rPr>
          <w:rFonts w:cs="Arial"/>
        </w:rPr>
        <w:t xml:space="preserve">dness data </w:t>
      </w:r>
      <w:r w:rsidR="00406EED">
        <w:rPr>
          <w:rFonts w:cs="Arial"/>
        </w:rPr>
        <w:t xml:space="preserve">are </w:t>
      </w:r>
      <w:r w:rsidR="00B33813">
        <w:rPr>
          <w:rFonts w:cs="Arial"/>
        </w:rPr>
        <w:t xml:space="preserve">less than </w:t>
      </w:r>
      <w:r w:rsidR="00FA2447">
        <w:rPr>
          <w:rFonts w:cs="Arial"/>
        </w:rPr>
        <w:t xml:space="preserve">or equal to </w:t>
      </w:r>
      <w:r w:rsidR="00BC7680">
        <w:rPr>
          <w:rFonts w:cs="Arial"/>
        </w:rPr>
        <w:t>400 mg/L calcium carbonate, the measured hardness value was used</w:t>
      </w:r>
      <w:r w:rsidR="007C6426">
        <w:rPr>
          <w:rFonts w:cs="Arial"/>
        </w:rPr>
        <w:t xml:space="preserve"> to calculate </w:t>
      </w:r>
      <w:r w:rsidR="00E262C0">
        <w:rPr>
          <w:rFonts w:cs="Arial"/>
        </w:rPr>
        <w:t xml:space="preserve">the </w:t>
      </w:r>
      <w:r w:rsidR="007C6426">
        <w:rPr>
          <w:rFonts w:cs="Arial"/>
        </w:rPr>
        <w:t>criteria</w:t>
      </w:r>
      <w:r w:rsidR="009169A7" w:rsidRPr="00491478">
        <w:rPr>
          <w:rFonts w:cs="Arial"/>
        </w:rPr>
        <w:t>.</w:t>
      </w:r>
      <w:r w:rsidR="009169A7">
        <w:rPr>
          <w:rFonts w:cs="Arial"/>
        </w:rPr>
        <w:t xml:space="preserve"> Where the </w:t>
      </w:r>
      <w:r w:rsidR="00CF60BA">
        <w:rPr>
          <w:rFonts w:cs="Arial"/>
        </w:rPr>
        <w:t>measured hardness concentration exceeded 400 mg/L calcium carbonat</w:t>
      </w:r>
      <w:r w:rsidR="00C3278C">
        <w:rPr>
          <w:rFonts w:cs="Arial"/>
        </w:rPr>
        <w:t>e</w:t>
      </w:r>
      <w:r w:rsidR="00E262C0">
        <w:rPr>
          <w:rFonts w:cs="Arial"/>
        </w:rPr>
        <w:t>,</w:t>
      </w:r>
      <w:r w:rsidR="00C3278C">
        <w:rPr>
          <w:rFonts w:cs="Arial"/>
        </w:rPr>
        <w:t xml:space="preserve"> a value of 400</w:t>
      </w:r>
      <w:r w:rsidR="00E262C0">
        <w:rPr>
          <w:rFonts w:cs="Arial"/>
        </w:rPr>
        <w:t xml:space="preserve"> </w:t>
      </w:r>
      <w:r w:rsidR="00C3278C">
        <w:rPr>
          <w:rFonts w:cs="Arial"/>
        </w:rPr>
        <w:t>mg/L was used.</w:t>
      </w:r>
    </w:p>
    <w:p w14:paraId="3A236145" w14:textId="7FEC2162" w:rsidR="009751EC" w:rsidRDefault="00F57882" w:rsidP="00010F69">
      <w:pPr>
        <w:pStyle w:val="ListParagraph"/>
        <w:numPr>
          <w:ilvl w:val="0"/>
          <w:numId w:val="27"/>
        </w:numPr>
        <w:rPr>
          <w:rFonts w:cs="Arial"/>
        </w:rPr>
      </w:pPr>
      <w:r>
        <w:rPr>
          <w:rFonts w:cs="Arial"/>
          <w:u w:val="single"/>
        </w:rPr>
        <w:t xml:space="preserve">Measured </w:t>
      </w:r>
      <w:r w:rsidR="00434106">
        <w:rPr>
          <w:rFonts w:cs="Arial"/>
          <w:u w:val="single"/>
        </w:rPr>
        <w:t xml:space="preserve">hardness data </w:t>
      </w:r>
      <w:r w:rsidR="00421F1A">
        <w:rPr>
          <w:rFonts w:cs="Arial"/>
          <w:u w:val="single"/>
        </w:rPr>
        <w:t>were</w:t>
      </w:r>
      <w:r w:rsidR="00434106">
        <w:rPr>
          <w:rFonts w:cs="Arial"/>
          <w:u w:val="single"/>
        </w:rPr>
        <w:t xml:space="preserve"> unavailable</w:t>
      </w:r>
      <w:r w:rsidR="00434106" w:rsidRPr="00434106">
        <w:rPr>
          <w:rFonts w:cs="Arial"/>
        </w:rPr>
        <w:t>:</w:t>
      </w:r>
      <w:r w:rsidR="00A479DD" w:rsidRPr="00491478">
        <w:rPr>
          <w:rFonts w:cs="Arial"/>
        </w:rPr>
        <w:t xml:space="preserve"> </w:t>
      </w:r>
      <w:r w:rsidR="00434106">
        <w:rPr>
          <w:rFonts w:cs="Arial"/>
        </w:rPr>
        <w:t>W</w:t>
      </w:r>
      <w:r w:rsidR="00A479DD" w:rsidRPr="00491478">
        <w:rPr>
          <w:rFonts w:cs="Arial"/>
        </w:rPr>
        <w:t>here</w:t>
      </w:r>
      <w:r w:rsidR="00CA1152">
        <w:rPr>
          <w:rFonts w:cs="Arial"/>
        </w:rPr>
        <w:t xml:space="preserve"> </w:t>
      </w:r>
      <w:r w:rsidR="00D8201F">
        <w:rPr>
          <w:rFonts w:cs="Arial"/>
        </w:rPr>
        <w:t xml:space="preserve">measured </w:t>
      </w:r>
      <w:r w:rsidR="00131C01">
        <w:rPr>
          <w:rFonts w:cs="Arial"/>
        </w:rPr>
        <w:t>hardness data were unavailable</w:t>
      </w:r>
      <w:r w:rsidR="00E262C0">
        <w:rPr>
          <w:rFonts w:cs="Arial"/>
        </w:rPr>
        <w:t>,</w:t>
      </w:r>
      <w:r w:rsidR="00131C01">
        <w:rPr>
          <w:rFonts w:cs="Arial"/>
        </w:rPr>
        <w:t xml:space="preserve"> </w:t>
      </w:r>
      <w:r w:rsidR="00434106">
        <w:rPr>
          <w:rFonts w:cs="Arial"/>
        </w:rPr>
        <w:t xml:space="preserve">a hardness </w:t>
      </w:r>
      <w:r w:rsidR="00FF33D3">
        <w:rPr>
          <w:rFonts w:cs="Arial"/>
        </w:rPr>
        <w:t>default</w:t>
      </w:r>
      <w:r w:rsidR="00434106">
        <w:rPr>
          <w:rFonts w:cs="Arial"/>
        </w:rPr>
        <w:t xml:space="preserve"> value of 100</w:t>
      </w:r>
      <w:r w:rsidR="00E262C0">
        <w:rPr>
          <w:rFonts w:cs="Arial"/>
        </w:rPr>
        <w:t xml:space="preserve"> </w:t>
      </w:r>
      <w:r w:rsidR="00434106">
        <w:rPr>
          <w:rFonts w:cs="Arial"/>
        </w:rPr>
        <w:t>mg/L hardness calciu</w:t>
      </w:r>
      <w:r w:rsidR="00D6167A">
        <w:rPr>
          <w:rFonts w:cs="Arial"/>
        </w:rPr>
        <w:t xml:space="preserve">m carbonate was used </w:t>
      </w:r>
      <w:r w:rsidR="00084610">
        <w:rPr>
          <w:rFonts w:cs="Arial"/>
        </w:rPr>
        <w:t xml:space="preserve">to </w:t>
      </w:r>
      <w:r w:rsidR="007C6426">
        <w:rPr>
          <w:rFonts w:cs="Arial"/>
        </w:rPr>
        <w:t>cal</w:t>
      </w:r>
      <w:r w:rsidR="00834745">
        <w:rPr>
          <w:rFonts w:cs="Arial"/>
        </w:rPr>
        <w:t>culate criteria.</w:t>
      </w:r>
      <w:r w:rsidR="003B3070" w:rsidRPr="00491478">
        <w:rPr>
          <w:rFonts w:cs="Arial"/>
        </w:rPr>
        <w:t xml:space="preserve"> </w:t>
      </w:r>
      <w:r w:rsidR="009751EC">
        <w:rPr>
          <w:rFonts w:cs="Arial"/>
        </w:rPr>
        <w:t xml:space="preserve"> </w:t>
      </w:r>
    </w:p>
    <w:p w14:paraId="6F689C5C" w14:textId="1FDC92EB" w:rsidR="00EF5E90" w:rsidRDefault="00D01D8F" w:rsidP="00010F69">
      <w:pPr>
        <w:pStyle w:val="ListParagraph"/>
        <w:numPr>
          <w:ilvl w:val="0"/>
          <w:numId w:val="27"/>
        </w:numPr>
        <w:rPr>
          <w:rFonts w:cs="Arial"/>
        </w:rPr>
      </w:pPr>
      <w:r>
        <w:rPr>
          <w:rFonts w:cs="Arial"/>
          <w:u w:val="single"/>
        </w:rPr>
        <w:t>WER</w:t>
      </w:r>
      <w:r w:rsidR="00C17053">
        <w:rPr>
          <w:rFonts w:cs="Arial"/>
          <w:u w:val="single"/>
        </w:rPr>
        <w:t xml:space="preserve"> study </w:t>
      </w:r>
      <w:r w:rsidR="00E50C28">
        <w:rPr>
          <w:rFonts w:cs="Arial"/>
          <w:u w:val="single"/>
        </w:rPr>
        <w:t>results:</w:t>
      </w:r>
      <w:r w:rsidR="004B1A20">
        <w:rPr>
          <w:rFonts w:cs="Arial"/>
        </w:rPr>
        <w:t xml:space="preserve"> In accordance with the CTR</w:t>
      </w:r>
      <w:r w:rsidR="00B878BE">
        <w:rPr>
          <w:rFonts w:cs="Arial"/>
        </w:rPr>
        <w:t xml:space="preserve">, </w:t>
      </w:r>
      <w:r w:rsidR="005776F9">
        <w:rPr>
          <w:rFonts w:cs="Arial"/>
        </w:rPr>
        <w:t xml:space="preserve">a default </w:t>
      </w:r>
      <w:r w:rsidR="00EA0205">
        <w:rPr>
          <w:rFonts w:cs="Arial"/>
        </w:rPr>
        <w:t>WER of 1.0</w:t>
      </w:r>
      <w:r w:rsidR="005776F9">
        <w:rPr>
          <w:rFonts w:cs="Arial"/>
        </w:rPr>
        <w:t xml:space="preserve"> </w:t>
      </w:r>
      <w:r w:rsidR="00EC3F4C">
        <w:rPr>
          <w:rFonts w:cs="Arial"/>
        </w:rPr>
        <w:t>is used if no</w:t>
      </w:r>
      <w:r w:rsidR="00B57B8F">
        <w:rPr>
          <w:rFonts w:cs="Arial"/>
        </w:rPr>
        <w:t xml:space="preserve"> WER has been determined </w:t>
      </w:r>
      <w:r w:rsidR="00F57172">
        <w:rPr>
          <w:rFonts w:cs="Arial"/>
        </w:rPr>
        <w:t>for the waterbody</w:t>
      </w:r>
      <w:r w:rsidR="00767D88">
        <w:rPr>
          <w:rFonts w:cs="Arial"/>
        </w:rPr>
        <w:t xml:space="preserve"> segment</w:t>
      </w:r>
      <w:r w:rsidR="00F57172">
        <w:rPr>
          <w:rFonts w:cs="Arial"/>
        </w:rPr>
        <w:t>.</w:t>
      </w:r>
      <w:r w:rsidR="00B57B8F">
        <w:rPr>
          <w:rFonts w:cs="Arial"/>
        </w:rPr>
        <w:t xml:space="preserve"> </w:t>
      </w:r>
    </w:p>
    <w:p w14:paraId="56EDABCC" w14:textId="77777777" w:rsidR="00347B1F" w:rsidRDefault="009751EC" w:rsidP="0071753B">
      <w:pPr>
        <w:rPr>
          <w:rFonts w:cs="Arial"/>
        </w:rPr>
      </w:pPr>
      <w:r w:rsidRPr="4A2E51C7">
        <w:rPr>
          <w:rFonts w:cs="Arial"/>
        </w:rPr>
        <w:t>The CTR also provides conversion factors for metals</w:t>
      </w:r>
      <w:r w:rsidRPr="058C2A3A">
        <w:rPr>
          <w:rFonts w:cs="Arial"/>
        </w:rPr>
        <w:t xml:space="preserve"> that can be used</w:t>
      </w:r>
      <w:r w:rsidRPr="4A2E51C7">
        <w:rPr>
          <w:rFonts w:cs="Arial"/>
        </w:rPr>
        <w:t xml:space="preserve"> to convert total recoverable samples to the dissolved fraction, thus allowing for the comparison of data </w:t>
      </w:r>
      <w:r w:rsidR="002D3B85">
        <w:rPr>
          <w:rFonts w:cs="Arial"/>
        </w:rPr>
        <w:t>reported as</w:t>
      </w:r>
      <w:r w:rsidRPr="4A2E51C7">
        <w:rPr>
          <w:rFonts w:cs="Arial"/>
        </w:rPr>
        <w:t xml:space="preserve"> total fraction to the appropriate dissolved criteria. </w:t>
      </w:r>
      <w:r w:rsidRPr="058C2A3A">
        <w:rPr>
          <w:rFonts w:cs="Arial"/>
        </w:rPr>
        <w:t xml:space="preserve">The total recoverable fraction of a metal refers to the concentration of </w:t>
      </w:r>
      <w:r>
        <w:rPr>
          <w:rFonts w:cs="Arial"/>
        </w:rPr>
        <w:t xml:space="preserve">an </w:t>
      </w:r>
      <w:r w:rsidRPr="058C2A3A">
        <w:rPr>
          <w:rFonts w:cs="Arial"/>
        </w:rPr>
        <w:t xml:space="preserve">analyte measured in an unfiltered water sample, while the dissolved metal concentration is determined by filtering the sample, leaving out particulate matter. </w:t>
      </w:r>
    </w:p>
    <w:p w14:paraId="11E67DE3" w14:textId="08F468BC" w:rsidR="00302D59" w:rsidRDefault="008316CF" w:rsidP="0071753B">
      <w:pPr>
        <w:rPr>
          <w:rFonts w:cs="Arial"/>
        </w:rPr>
      </w:pPr>
      <w:r>
        <w:rPr>
          <w:rFonts w:cs="Arial"/>
        </w:rPr>
        <w:t>Calculated</w:t>
      </w:r>
      <w:r w:rsidR="000D01BE">
        <w:rPr>
          <w:rFonts w:cs="Arial"/>
        </w:rPr>
        <w:t xml:space="preserve"> </w:t>
      </w:r>
      <w:r w:rsidR="00215402">
        <w:rPr>
          <w:rFonts w:cs="Arial"/>
        </w:rPr>
        <w:t xml:space="preserve">hardness-dependent criteria </w:t>
      </w:r>
      <w:r>
        <w:rPr>
          <w:rFonts w:cs="Arial"/>
        </w:rPr>
        <w:t>and</w:t>
      </w:r>
      <w:r w:rsidR="000D01BE">
        <w:rPr>
          <w:rFonts w:cs="Arial"/>
        </w:rPr>
        <w:t xml:space="preserve"> </w:t>
      </w:r>
      <w:r w:rsidR="004568E6">
        <w:rPr>
          <w:rFonts w:cs="Arial"/>
        </w:rPr>
        <w:t xml:space="preserve">the </w:t>
      </w:r>
      <w:r w:rsidR="009751EC" w:rsidRPr="4A2E51C7">
        <w:rPr>
          <w:rFonts w:cs="Arial"/>
        </w:rPr>
        <w:t>conversion</w:t>
      </w:r>
      <w:r w:rsidR="004568E6">
        <w:rPr>
          <w:rFonts w:cs="Arial"/>
        </w:rPr>
        <w:t xml:space="preserve"> of total </w:t>
      </w:r>
      <w:r w:rsidR="009657BE">
        <w:rPr>
          <w:rFonts w:cs="Arial"/>
        </w:rPr>
        <w:t>recoverable data to the dissolved fraction</w:t>
      </w:r>
      <w:r w:rsidR="009751EC" w:rsidRPr="00834745">
        <w:rPr>
          <w:rFonts w:cs="Arial"/>
        </w:rPr>
        <w:t xml:space="preserve"> w</w:t>
      </w:r>
      <w:r w:rsidR="009657BE">
        <w:rPr>
          <w:rFonts w:cs="Arial"/>
        </w:rPr>
        <w:t>ere</w:t>
      </w:r>
      <w:r w:rsidR="009751EC" w:rsidRPr="4A2E51C7">
        <w:rPr>
          <w:rFonts w:cs="Arial"/>
        </w:rPr>
        <w:t xml:space="preserve"> completed by </w:t>
      </w:r>
      <w:r w:rsidR="009751EC">
        <w:rPr>
          <w:rFonts w:cs="Arial"/>
        </w:rPr>
        <w:t>an</w:t>
      </w:r>
      <w:r w:rsidR="009751EC" w:rsidRPr="4A2E51C7">
        <w:rPr>
          <w:rFonts w:cs="Arial"/>
        </w:rPr>
        <w:t xml:space="preserve"> assessment data processing tool and </w:t>
      </w:r>
      <w:r w:rsidR="009657BE">
        <w:rPr>
          <w:rFonts w:cs="Arial"/>
        </w:rPr>
        <w:t>are</w:t>
      </w:r>
      <w:r w:rsidR="009751EC" w:rsidRPr="4A2E51C7">
        <w:rPr>
          <w:rFonts w:cs="Arial"/>
        </w:rPr>
        <w:t xml:space="preserve"> not displayed in </w:t>
      </w:r>
      <w:r w:rsidR="009751EC">
        <w:rPr>
          <w:rFonts w:cs="Arial"/>
        </w:rPr>
        <w:t>LOE</w:t>
      </w:r>
      <w:r w:rsidR="003F259F">
        <w:rPr>
          <w:rFonts w:cs="Arial"/>
        </w:rPr>
        <w:t>s</w:t>
      </w:r>
      <w:r w:rsidR="009751EC" w:rsidRPr="7FE535E4">
        <w:rPr>
          <w:rFonts w:cs="Arial"/>
        </w:rPr>
        <w:t xml:space="preserve"> or the</w:t>
      </w:r>
      <w:r w:rsidR="009751EC" w:rsidRPr="4A2E51C7">
        <w:rPr>
          <w:rFonts w:cs="Arial"/>
        </w:rPr>
        <w:t xml:space="preserve"> raw data files attached to </w:t>
      </w:r>
      <w:r w:rsidR="00B445F1">
        <w:rPr>
          <w:rFonts w:cs="Arial"/>
        </w:rPr>
        <w:t>W</w:t>
      </w:r>
      <w:r w:rsidR="00B445F1" w:rsidRPr="4A2E51C7">
        <w:rPr>
          <w:rFonts w:cs="Arial"/>
        </w:rPr>
        <w:t>ater</w:t>
      </w:r>
      <w:r w:rsidR="00B445F1">
        <w:rPr>
          <w:rFonts w:cs="Arial"/>
        </w:rPr>
        <w:t>b</w:t>
      </w:r>
      <w:r w:rsidR="00B445F1" w:rsidRPr="4A2E51C7">
        <w:rPr>
          <w:rFonts w:cs="Arial"/>
        </w:rPr>
        <w:t xml:space="preserve">ody </w:t>
      </w:r>
      <w:r w:rsidR="00B445F1">
        <w:rPr>
          <w:rFonts w:cs="Arial"/>
        </w:rPr>
        <w:t>F</w:t>
      </w:r>
      <w:r w:rsidR="00B445F1" w:rsidRPr="4A2E51C7">
        <w:rPr>
          <w:rFonts w:cs="Arial"/>
        </w:rPr>
        <w:t xml:space="preserve">act </w:t>
      </w:r>
      <w:r w:rsidR="00B445F1">
        <w:rPr>
          <w:rFonts w:cs="Arial"/>
        </w:rPr>
        <w:t>S</w:t>
      </w:r>
      <w:r w:rsidR="00B445F1" w:rsidRPr="4A2E51C7">
        <w:rPr>
          <w:rFonts w:cs="Arial"/>
        </w:rPr>
        <w:t>heets</w:t>
      </w:r>
      <w:r w:rsidR="009751EC" w:rsidRPr="4A2E51C7">
        <w:rPr>
          <w:rFonts w:cs="Arial"/>
        </w:rPr>
        <w:t>.</w:t>
      </w:r>
      <w:r w:rsidR="009751EC">
        <w:rPr>
          <w:rFonts w:cs="Arial"/>
        </w:rPr>
        <w:t xml:space="preserve"> The assessment data processing tool is an internal tool used to develop the California Integrated Report. It performs steps to group data for a specific waterbody-pollutant combination, performs data transformations (e.g., averaging periods, unit conversions)</w:t>
      </w:r>
      <w:r w:rsidR="003F259F">
        <w:rPr>
          <w:rFonts w:cs="Arial"/>
        </w:rPr>
        <w:t>;</w:t>
      </w:r>
      <w:r w:rsidR="009751EC">
        <w:rPr>
          <w:rFonts w:cs="Arial"/>
        </w:rPr>
        <w:t xml:space="preserve"> counts exceedances and samples</w:t>
      </w:r>
      <w:r w:rsidR="009751EC" w:rsidRPr="00FD1E4A">
        <w:rPr>
          <w:rFonts w:cs="Arial"/>
        </w:rPr>
        <w:t xml:space="preserve"> </w:t>
      </w:r>
      <w:r w:rsidR="009751EC">
        <w:rPr>
          <w:rFonts w:cs="Arial"/>
        </w:rPr>
        <w:t>when comparing data to water quality objectives,</w:t>
      </w:r>
      <w:r w:rsidR="003D7253">
        <w:rPr>
          <w:rFonts w:cs="Arial"/>
        </w:rPr>
        <w:t xml:space="preserve"> criteria</w:t>
      </w:r>
      <w:r w:rsidR="00302D59">
        <w:rPr>
          <w:rFonts w:cs="Arial"/>
        </w:rPr>
        <w:t>,</w:t>
      </w:r>
      <w:r w:rsidR="003D7253">
        <w:rPr>
          <w:rFonts w:cs="Arial"/>
        </w:rPr>
        <w:t xml:space="preserve"> or evaluation guidelines</w:t>
      </w:r>
      <w:r w:rsidR="00302D59">
        <w:rPr>
          <w:rFonts w:cs="Arial"/>
        </w:rPr>
        <w:t>;</w:t>
      </w:r>
      <w:r w:rsidR="009751EC">
        <w:rPr>
          <w:rFonts w:cs="Arial"/>
        </w:rPr>
        <w:t xml:space="preserve"> and populates LOEs. </w:t>
      </w:r>
    </w:p>
    <w:p w14:paraId="6E922D6F" w14:textId="7F26B7C0" w:rsidR="006D6424" w:rsidRPr="00B45A5C" w:rsidRDefault="00302D59" w:rsidP="0071753B">
      <w:pPr>
        <w:rPr>
          <w:rFonts w:cs="Arial"/>
        </w:rPr>
      </w:pPr>
      <w:r>
        <w:rPr>
          <w:rFonts w:cs="Arial"/>
        </w:rPr>
        <w:t xml:space="preserve">Please contact </w:t>
      </w:r>
      <w:r w:rsidR="00952D56">
        <w:rPr>
          <w:rFonts w:cs="Arial"/>
        </w:rPr>
        <w:t>wq</w:t>
      </w:r>
      <w:r w:rsidR="00726106">
        <w:rPr>
          <w:rFonts w:cs="Arial"/>
        </w:rPr>
        <w:t>assessment@waterboards.ca.gov</w:t>
      </w:r>
      <w:r>
        <w:rPr>
          <w:rFonts w:cs="Arial"/>
        </w:rPr>
        <w:t xml:space="preserve"> </w:t>
      </w:r>
      <w:r w:rsidR="004D66E3">
        <w:rPr>
          <w:rFonts w:cs="Arial"/>
        </w:rPr>
        <w:t>to request outputs from the data process</w:t>
      </w:r>
      <w:r w:rsidR="00EF07E4">
        <w:rPr>
          <w:rFonts w:cs="Arial"/>
        </w:rPr>
        <w:t>ing</w:t>
      </w:r>
      <w:r w:rsidR="004D66E3">
        <w:rPr>
          <w:rFonts w:cs="Arial"/>
        </w:rPr>
        <w:t xml:space="preserve"> tool for a waterbody segment</w:t>
      </w:r>
      <w:r w:rsidR="00EF07E4">
        <w:rPr>
          <w:rFonts w:cs="Arial"/>
        </w:rPr>
        <w:t xml:space="preserve"> for data assessed as part of the 2026 Integrated Report. </w:t>
      </w:r>
      <w:r w:rsidR="6B8B2DA6" w:rsidRPr="4E2C19A7">
        <w:rPr>
          <w:rFonts w:cs="Arial"/>
        </w:rPr>
        <w:t xml:space="preserve">Beginning with the 2028 California Integrated Report, </w:t>
      </w:r>
      <w:r w:rsidR="419F2806" w:rsidRPr="4E2C19A7">
        <w:rPr>
          <w:rFonts w:cs="Arial"/>
        </w:rPr>
        <w:t xml:space="preserve">the calculated criteria for </w:t>
      </w:r>
      <w:r w:rsidR="6B8B2DA6" w:rsidRPr="4E2C19A7">
        <w:rPr>
          <w:rFonts w:cs="Arial"/>
        </w:rPr>
        <w:t xml:space="preserve">assessed </w:t>
      </w:r>
      <w:r w:rsidR="4CA9E54C" w:rsidRPr="4E2C19A7">
        <w:rPr>
          <w:rFonts w:cs="Arial"/>
        </w:rPr>
        <w:t xml:space="preserve">CTR hardness dependent metal samples </w:t>
      </w:r>
      <w:r w:rsidR="7DF1B622" w:rsidRPr="4E2C19A7">
        <w:rPr>
          <w:rFonts w:cs="Arial"/>
        </w:rPr>
        <w:t xml:space="preserve">will be </w:t>
      </w:r>
      <w:r w:rsidR="1C37BE49" w:rsidRPr="4E2C19A7">
        <w:rPr>
          <w:rFonts w:cs="Arial"/>
        </w:rPr>
        <w:t>made publicly available</w:t>
      </w:r>
      <w:r w:rsidR="51A846CD" w:rsidRPr="4E2C19A7">
        <w:rPr>
          <w:rFonts w:cs="Arial"/>
        </w:rPr>
        <w:t>.</w:t>
      </w:r>
      <w:r w:rsidR="535DC7D0" w:rsidRPr="4E2C19A7">
        <w:rPr>
          <w:rFonts w:cs="Arial"/>
        </w:rPr>
        <w:t xml:space="preserve"> </w:t>
      </w:r>
    </w:p>
    <w:p w14:paraId="331490AB" w14:textId="09E75E29" w:rsidR="0022726C" w:rsidRDefault="00044C33" w:rsidP="00597DE8">
      <w:pPr>
        <w:pStyle w:val="Heading2"/>
      </w:pPr>
      <w:bookmarkStart w:id="92" w:name="_Toc189048572"/>
      <w:r>
        <w:t>Iron</w:t>
      </w:r>
      <w:r w:rsidR="00310B01">
        <w:t xml:space="preserve"> – Water Matrix</w:t>
      </w:r>
      <w:bookmarkEnd w:id="92"/>
    </w:p>
    <w:p w14:paraId="0BEE7776" w14:textId="2B0B8930" w:rsidR="00F938BA" w:rsidRDefault="00F938BA" w:rsidP="00F938BA">
      <w:pPr>
        <w:rPr>
          <w:rFonts w:cs="Arial"/>
        </w:rPr>
      </w:pPr>
      <w:r>
        <w:rPr>
          <w:rFonts w:cs="Arial"/>
        </w:rPr>
        <w:t>I</w:t>
      </w:r>
      <w:r w:rsidR="00857B59" w:rsidRPr="00857B59">
        <w:rPr>
          <w:rFonts w:cs="Arial"/>
        </w:rPr>
        <w:t>ron data</w:t>
      </w:r>
      <w:r>
        <w:rPr>
          <w:rFonts w:cs="Arial"/>
        </w:rPr>
        <w:t xml:space="preserve"> in water</w:t>
      </w:r>
      <w:r w:rsidR="00857B59" w:rsidRPr="00857B59">
        <w:rPr>
          <w:rFonts w:cs="Arial"/>
        </w:rPr>
        <w:t xml:space="preserve"> were compared to the USEPA National Recommended Aquatic Life Criteri</w:t>
      </w:r>
      <w:r w:rsidR="00036877">
        <w:rPr>
          <w:rFonts w:cs="Arial"/>
        </w:rPr>
        <w:t>on</w:t>
      </w:r>
      <w:r w:rsidR="00857B59" w:rsidRPr="00857B59">
        <w:rPr>
          <w:rFonts w:cs="Arial"/>
        </w:rPr>
        <w:t xml:space="preserve"> ("USEPA Criteri</w:t>
      </w:r>
      <w:r w:rsidR="00036877">
        <w:rPr>
          <w:rFonts w:cs="Arial"/>
        </w:rPr>
        <w:t>on</w:t>
      </w:r>
      <w:r w:rsidR="00857B59" w:rsidRPr="00857B59">
        <w:rPr>
          <w:rFonts w:cs="Arial"/>
        </w:rPr>
        <w:t>") for iron to assess the Warm Freshwater Habitat (</w:t>
      </w:r>
      <w:r w:rsidR="001E100C">
        <w:rPr>
          <w:rFonts w:cs="Arial"/>
        </w:rPr>
        <w:t>“</w:t>
      </w:r>
      <w:r w:rsidR="00857B59" w:rsidRPr="00857B59">
        <w:rPr>
          <w:rFonts w:cs="Arial"/>
        </w:rPr>
        <w:t>WARM</w:t>
      </w:r>
      <w:r w:rsidR="001E100C">
        <w:rPr>
          <w:rFonts w:cs="Arial"/>
        </w:rPr>
        <w:t>”</w:t>
      </w:r>
      <w:r w:rsidR="00857B59" w:rsidRPr="00857B59">
        <w:rPr>
          <w:rFonts w:cs="Arial"/>
        </w:rPr>
        <w:t>) and Cold Freshwater Habitat (</w:t>
      </w:r>
      <w:r w:rsidR="001E100C">
        <w:rPr>
          <w:rFonts w:cs="Arial"/>
        </w:rPr>
        <w:t>“</w:t>
      </w:r>
      <w:r w:rsidR="00857B59" w:rsidRPr="00857B59">
        <w:rPr>
          <w:rFonts w:cs="Arial"/>
        </w:rPr>
        <w:t>COLD</w:t>
      </w:r>
      <w:r w:rsidR="001E100C">
        <w:rPr>
          <w:rFonts w:cs="Arial"/>
        </w:rPr>
        <w:t>”</w:t>
      </w:r>
      <w:r w:rsidR="00857B59" w:rsidRPr="00857B59">
        <w:rPr>
          <w:rFonts w:cs="Arial"/>
        </w:rPr>
        <w:t>) beneficial uses</w:t>
      </w:r>
      <w:r>
        <w:rPr>
          <w:rFonts w:cs="Arial"/>
        </w:rPr>
        <w:t>, in accordance with the following narrative water quality objective for toxicity:</w:t>
      </w:r>
    </w:p>
    <w:p w14:paraId="0BA2E97A" w14:textId="77777777" w:rsidR="00F938BA" w:rsidRDefault="00F938BA" w:rsidP="00F938BA">
      <w:pPr>
        <w:ind w:left="720"/>
        <w:rPr>
          <w:rFonts w:cs="Arial"/>
        </w:rPr>
      </w:pPr>
      <w:r>
        <w:rPr>
          <w:rFonts w:cs="Arial"/>
        </w:rPr>
        <w:t xml:space="preserve">All waters </w:t>
      </w:r>
      <w:r w:rsidRPr="00157E30">
        <w:rPr>
          <w:rFonts w:cs="Arial"/>
        </w:rPr>
        <w:t>shall be maintained free of toxic substances in concentrations that produce detrimental physiological responses in human, plant, animal, or aquatic life.</w:t>
      </w:r>
      <w:r w:rsidRPr="004502A9">
        <w:rPr>
          <w:rFonts w:cs="Arial"/>
        </w:rPr>
        <w:t xml:space="preserve"> </w:t>
      </w:r>
    </w:p>
    <w:p w14:paraId="4637A6CF" w14:textId="4542E7CF" w:rsidR="00F938BA" w:rsidRDefault="00F938BA" w:rsidP="00FA322D">
      <w:pPr>
        <w:rPr>
          <w:rFonts w:cs="Arial"/>
        </w:rPr>
      </w:pPr>
      <w:r>
        <w:rPr>
          <w:rFonts w:cs="Arial"/>
        </w:rPr>
        <w:t xml:space="preserve">Each Regional Water Board Basin Plan has a narrative water quality objective for toxicity similar to the above objective. The narrative water quality objective is evaluated by selecting an appropriate numeric evaluation guideline, in accordance with section 6.1.3 of the Listing Policy. The </w:t>
      </w:r>
      <w:r w:rsidR="00090DAF">
        <w:rPr>
          <w:rFonts w:cs="Arial"/>
        </w:rPr>
        <w:t>USEPA</w:t>
      </w:r>
      <w:r>
        <w:rPr>
          <w:rFonts w:cs="Arial"/>
        </w:rPr>
        <w:t xml:space="preserve"> Criteri</w:t>
      </w:r>
      <w:r w:rsidR="009426F0">
        <w:rPr>
          <w:rFonts w:cs="Arial"/>
        </w:rPr>
        <w:t>on</w:t>
      </w:r>
      <w:r>
        <w:rPr>
          <w:rFonts w:cs="Arial"/>
        </w:rPr>
        <w:t xml:space="preserve"> </w:t>
      </w:r>
      <w:r w:rsidR="0063015C">
        <w:rPr>
          <w:rFonts w:cs="Arial"/>
        </w:rPr>
        <w:t>for iron</w:t>
      </w:r>
      <w:r>
        <w:rPr>
          <w:rFonts w:cs="Arial"/>
        </w:rPr>
        <w:t xml:space="preserve"> is the appropriate numeric evaluation guideline to evaluate the narrative water quality objective. T</w:t>
      </w:r>
      <w:r w:rsidRPr="00353ECB">
        <w:rPr>
          <w:rFonts w:cs="Arial"/>
        </w:rPr>
        <w:t xml:space="preserve">he USEPA criterion </w:t>
      </w:r>
      <w:r>
        <w:rPr>
          <w:rFonts w:cs="Arial"/>
        </w:rPr>
        <w:t>(</w:t>
      </w:r>
      <w:r w:rsidRPr="00353ECB">
        <w:rPr>
          <w:rFonts w:cs="Arial"/>
        </w:rPr>
        <w:t>1,000 µg/L</w:t>
      </w:r>
      <w:r>
        <w:rPr>
          <w:rFonts w:cs="Arial"/>
        </w:rPr>
        <w:t>)</w:t>
      </w:r>
      <w:r w:rsidRPr="00353ECB">
        <w:rPr>
          <w:rFonts w:cs="Arial"/>
        </w:rPr>
        <w:t xml:space="preserve"> is based on a 4-day average concentration to protect freshwater aquatic organisms from chronic exposure. </w:t>
      </w:r>
      <w:r w:rsidRPr="0082247E">
        <w:rPr>
          <w:rFonts w:cs="Arial"/>
        </w:rPr>
        <w:t>Assessments were conducted using the total fraction</w:t>
      </w:r>
      <w:r>
        <w:rPr>
          <w:rFonts w:cs="Arial"/>
        </w:rPr>
        <w:t>.</w:t>
      </w:r>
    </w:p>
    <w:p w14:paraId="79B2845B" w14:textId="47009C8C" w:rsidR="00EF6F06" w:rsidRDefault="00EF6F06" w:rsidP="00FA322D">
      <w:pPr>
        <w:rPr>
          <w:rFonts w:cs="Arial"/>
        </w:rPr>
      </w:pPr>
      <w:r>
        <w:rPr>
          <w:rFonts w:cs="Arial"/>
        </w:rPr>
        <w:t>I</w:t>
      </w:r>
      <w:r w:rsidRPr="00EF6F06">
        <w:rPr>
          <w:rFonts w:cs="Arial"/>
        </w:rPr>
        <w:t xml:space="preserve">t should be noted that while the </w:t>
      </w:r>
      <w:r w:rsidR="00313C98">
        <w:rPr>
          <w:rFonts w:cs="Arial"/>
        </w:rPr>
        <w:t>USEPA</w:t>
      </w:r>
      <w:r w:rsidRPr="00EF6F06">
        <w:rPr>
          <w:rFonts w:cs="Arial"/>
        </w:rPr>
        <w:t xml:space="preserve">’s </w:t>
      </w:r>
      <w:hyperlink r:id="rId50" w:history="1">
        <w:r w:rsidR="00EE302C" w:rsidRPr="00F21F82">
          <w:rPr>
            <w:rStyle w:val="Hyperlink"/>
            <w:rFonts w:cs="Arial"/>
          </w:rPr>
          <w:t>1993 Technical Guidance on Interpretation and Implementation of Aquatic Life Metals Criteria</w:t>
        </w:r>
      </w:hyperlink>
      <w:r w:rsidR="00EE302C">
        <w:rPr>
          <w:rFonts w:cs="Arial"/>
        </w:rPr>
        <w:t xml:space="preserve"> (</w:t>
      </w:r>
      <w:hyperlink r:id="rId51" w:history="1">
        <w:r w:rsidR="00EE302C" w:rsidRPr="00F21F82">
          <w:rPr>
            <w:rStyle w:val="Hyperlink"/>
            <w:rFonts w:cs="Arial"/>
          </w:rPr>
          <w:t>https://www.epa.gov/sites/default/files/2019-03/documents/metals-criteria-interpret-aqlife-memo.pdf</w:t>
        </w:r>
      </w:hyperlink>
      <w:r w:rsidR="00EE302C">
        <w:rPr>
          <w:rFonts w:cs="Arial"/>
        </w:rPr>
        <w:t>)</w:t>
      </w:r>
      <w:r w:rsidRPr="00EF6F06">
        <w:rPr>
          <w:rFonts w:cs="Arial"/>
        </w:rPr>
        <w:t xml:space="preserve"> offers detailed guidance for </w:t>
      </w:r>
      <w:r w:rsidR="00015854">
        <w:rPr>
          <w:rFonts w:cs="Arial"/>
        </w:rPr>
        <w:t>other</w:t>
      </w:r>
      <w:r w:rsidR="00015854" w:rsidRPr="00EF6F06">
        <w:rPr>
          <w:rFonts w:cs="Arial"/>
        </w:rPr>
        <w:t xml:space="preserve"> </w:t>
      </w:r>
      <w:r w:rsidRPr="00EF6F06">
        <w:rPr>
          <w:rFonts w:cs="Arial"/>
        </w:rPr>
        <w:t>metals, it does not specifically address iron. Furthermore, the guidance memo lacks a conversion factor for translating total fraction iron data to the dissolved fraction</w:t>
      </w:r>
      <w:r w:rsidR="00EE302C">
        <w:rPr>
          <w:rFonts w:cs="Arial"/>
        </w:rPr>
        <w:t>.</w:t>
      </w:r>
      <w:r w:rsidR="004555C4">
        <w:rPr>
          <w:rFonts w:cs="Arial"/>
        </w:rPr>
        <w:t xml:space="preserve"> </w:t>
      </w:r>
      <w:r w:rsidR="001B33F4">
        <w:rPr>
          <w:rFonts w:cs="Arial"/>
        </w:rPr>
        <w:t xml:space="preserve">Therefore, </w:t>
      </w:r>
      <w:r w:rsidR="00C323EA">
        <w:rPr>
          <w:rFonts w:cs="Arial"/>
        </w:rPr>
        <w:t xml:space="preserve">the guidance is not applied to </w:t>
      </w:r>
      <w:r w:rsidR="00B75FB5">
        <w:rPr>
          <w:rFonts w:cs="Arial"/>
        </w:rPr>
        <w:t xml:space="preserve">California Integrated Report assessments. </w:t>
      </w:r>
    </w:p>
    <w:p w14:paraId="013E52E7" w14:textId="2D9B0FD4" w:rsidR="008B4C6C" w:rsidRPr="008B4C6C" w:rsidRDefault="008B4C6C" w:rsidP="008B4C6C">
      <w:pPr>
        <w:pStyle w:val="Heading2"/>
      </w:pPr>
      <w:bookmarkStart w:id="93" w:name="_Toc189048573"/>
      <w:r>
        <w:t xml:space="preserve">Mercury </w:t>
      </w:r>
      <w:r w:rsidR="00310B01">
        <w:t>– Fish Tissue Matrix</w:t>
      </w:r>
      <w:bookmarkEnd w:id="93"/>
    </w:p>
    <w:p w14:paraId="28BA06AC" w14:textId="6370A9B9" w:rsidR="008B4C6C" w:rsidRPr="004502A9" w:rsidRDefault="008B4C6C" w:rsidP="0067588E">
      <w:r w:rsidRPr="7BB9BA65">
        <w:rPr>
          <w:rFonts w:eastAsia="Arial" w:cs="Arial"/>
        </w:rPr>
        <w:t xml:space="preserve">Statewide </w:t>
      </w:r>
      <w:r>
        <w:rPr>
          <w:rFonts w:eastAsia="Arial" w:cs="Arial"/>
        </w:rPr>
        <w:t xml:space="preserve">numeric </w:t>
      </w:r>
      <w:r w:rsidRPr="7BB9BA65">
        <w:rPr>
          <w:rFonts w:eastAsia="Arial" w:cs="Arial"/>
        </w:rPr>
        <w:t>mercury</w:t>
      </w:r>
      <w:r>
        <w:rPr>
          <w:rFonts w:eastAsia="Arial" w:cs="Arial"/>
        </w:rPr>
        <w:t xml:space="preserve"> water quality</w:t>
      </w:r>
      <w:r w:rsidRPr="7BB9BA65">
        <w:rPr>
          <w:rFonts w:eastAsia="Arial" w:cs="Arial"/>
        </w:rPr>
        <w:t xml:space="preserve"> objectives for fish tissue were established in Part 2 of the ISWEBE Plan in 2017 (SWRCB 2017). </w:t>
      </w:r>
      <w:r w:rsidRPr="004502A9">
        <w:t xml:space="preserve">Mercury concentrations in fish tissue were reported in terms of individual fish or multiple fish per composite sample. Annual composite averages were weighted when composites </w:t>
      </w:r>
      <w:r>
        <w:t>had</w:t>
      </w:r>
      <w:r w:rsidRPr="004502A9">
        <w:t xml:space="preserve"> an unequal number of fish or samples were a mix of composites and individuals. F</w:t>
      </w:r>
      <w:r w:rsidRPr="004502A9">
        <w:rPr>
          <w:rStyle w:val="normaltextrun"/>
          <w:rFonts w:cs="Arial"/>
          <w:color w:val="000000" w:themeColor="text1"/>
        </w:rPr>
        <w:t>ork lengths were used in place of total lengths when the total length was unknown.</w:t>
      </w:r>
      <w:r>
        <w:rPr>
          <w:rStyle w:val="normaltextrun"/>
          <w:rFonts w:cs="Arial"/>
          <w:color w:val="000000" w:themeColor="text1"/>
        </w:rPr>
        <w:t xml:space="preserve"> </w:t>
      </w:r>
      <w:r w:rsidRPr="004502A9">
        <w:t>The total length of a fish was assumed to be at least as long as the fork length. In addition, data from fish with lengths smaller or larger than the California Department of Fish and Wildlife’s fishing regulation legal size limits were not used to determine attainment with the Commercial and Sport Fishing beneficial use.</w:t>
      </w:r>
    </w:p>
    <w:p w14:paraId="039EBF7E" w14:textId="6AAE78B5" w:rsidR="008B4C6C" w:rsidRPr="004502A9" w:rsidRDefault="008B4C6C" w:rsidP="008B4C6C">
      <w:pPr>
        <w:spacing w:after="160"/>
        <w:rPr>
          <w:rFonts w:cs="Arial"/>
        </w:rPr>
      </w:pPr>
      <w:r w:rsidRPr="004502A9">
        <w:rPr>
          <w:rFonts w:cs="Arial"/>
        </w:rPr>
        <w:t>For comparison with the mercury objectives, mercury data were assessed as datasets. Each dataset grouped all fish tissue data collected in a waterbody</w:t>
      </w:r>
      <w:r w:rsidR="005972C8">
        <w:rPr>
          <w:rFonts w:cs="Arial"/>
        </w:rPr>
        <w:t xml:space="preserve"> segment</w:t>
      </w:r>
      <w:r w:rsidRPr="004502A9">
        <w:rPr>
          <w:rFonts w:cs="Arial"/>
        </w:rPr>
        <w:t xml:space="preserve"> </w:t>
      </w:r>
      <w:r w:rsidRPr="5DAB522E">
        <w:rPr>
          <w:rFonts w:cs="Arial"/>
        </w:rPr>
        <w:t>for</w:t>
      </w:r>
      <w:r w:rsidRPr="004502A9">
        <w:rPr>
          <w:rFonts w:cs="Arial"/>
        </w:rPr>
        <w:t xml:space="preserve"> a calendar year by trophic level</w:t>
      </w:r>
      <w:r>
        <w:rPr>
          <w:rStyle w:val="FootnoteReference"/>
          <w:rFonts w:cs="Arial"/>
        </w:rPr>
        <w:footnoteReference w:id="10"/>
      </w:r>
      <w:r w:rsidRPr="004502A9">
        <w:rPr>
          <w:rFonts w:cs="Arial"/>
        </w:rPr>
        <w:t xml:space="preserve"> </w:t>
      </w:r>
      <w:r>
        <w:rPr>
          <w:rFonts w:cs="Arial"/>
        </w:rPr>
        <w:t>(“TL”)</w:t>
      </w:r>
      <w:r w:rsidRPr="004502A9">
        <w:rPr>
          <w:rFonts w:cs="Arial"/>
        </w:rPr>
        <w:t xml:space="preserve"> and an annual average value was calculated. Each annual average was considered one sample. </w:t>
      </w:r>
    </w:p>
    <w:p w14:paraId="7C24F16D" w14:textId="077DCD03" w:rsidR="008B4C6C" w:rsidRPr="004502A9" w:rsidRDefault="008B4C6C" w:rsidP="008B4C6C">
      <w:pPr>
        <w:spacing w:after="160"/>
        <w:rPr>
          <w:rFonts w:cs="Arial"/>
        </w:rPr>
      </w:pPr>
      <w:r w:rsidRPr="004502A9">
        <w:rPr>
          <w:rFonts w:eastAsiaTheme="minorEastAsia" w:cs="Arial"/>
        </w:rPr>
        <w:t xml:space="preserve">The mercury annual average value was then compared to the appropriate </w:t>
      </w:r>
      <w:r>
        <w:rPr>
          <w:rFonts w:eastAsiaTheme="minorEastAsia" w:cs="Arial"/>
        </w:rPr>
        <w:t xml:space="preserve">water quality </w:t>
      </w:r>
      <w:r w:rsidRPr="004502A9">
        <w:rPr>
          <w:rFonts w:eastAsiaTheme="minorEastAsia" w:cs="Arial"/>
        </w:rPr>
        <w:t xml:space="preserve">objective applied to </w:t>
      </w:r>
      <w:r>
        <w:rPr>
          <w:rFonts w:eastAsiaTheme="minorEastAsia" w:cs="Arial"/>
        </w:rPr>
        <w:t>the</w:t>
      </w:r>
      <w:r w:rsidRPr="004502A9">
        <w:rPr>
          <w:rFonts w:eastAsiaTheme="minorEastAsia" w:cs="Arial"/>
        </w:rPr>
        <w:t xml:space="preserve"> beneficial use for a waterbody</w:t>
      </w:r>
      <w:r w:rsidR="00C62E03">
        <w:rPr>
          <w:rFonts w:eastAsiaTheme="minorEastAsia" w:cs="Arial"/>
        </w:rPr>
        <w:t xml:space="preserve"> segment</w:t>
      </w:r>
      <w:r w:rsidRPr="004502A9">
        <w:rPr>
          <w:rFonts w:eastAsiaTheme="minorEastAsia" w:cs="Arial"/>
        </w:rPr>
        <w:t xml:space="preserve">. Three mercury </w:t>
      </w:r>
      <w:r>
        <w:rPr>
          <w:rFonts w:eastAsiaTheme="minorEastAsia" w:cs="Arial"/>
        </w:rPr>
        <w:t>water quality</w:t>
      </w:r>
      <w:r w:rsidRPr="004502A9">
        <w:rPr>
          <w:rFonts w:eastAsiaTheme="minorEastAsia" w:cs="Arial"/>
        </w:rPr>
        <w:t xml:space="preserve"> objectives were used</w:t>
      </w:r>
      <w:r>
        <w:rPr>
          <w:rFonts w:eastAsiaTheme="minorEastAsia" w:cs="Arial"/>
        </w:rPr>
        <w:t xml:space="preserve"> to evaluate applicable beneficial uses</w:t>
      </w:r>
      <w:r w:rsidRPr="004502A9">
        <w:rPr>
          <w:rFonts w:eastAsiaTheme="minorEastAsia" w:cs="Arial"/>
        </w:rPr>
        <w:t>: the sport fish objective, the prey fish objective, and the California least tern objective. The</w:t>
      </w:r>
      <w:r>
        <w:rPr>
          <w:rFonts w:eastAsiaTheme="minorEastAsia" w:cs="Arial"/>
        </w:rPr>
        <w:t xml:space="preserve"> water quality</w:t>
      </w:r>
      <w:r w:rsidRPr="004502A9">
        <w:rPr>
          <w:rFonts w:eastAsiaTheme="minorEastAsia" w:cs="Arial"/>
        </w:rPr>
        <w:t xml:space="preserve"> objectives were established to protect one or more beneficial uses </w:t>
      </w:r>
      <w:r>
        <w:rPr>
          <w:rFonts w:eastAsiaTheme="minorEastAsia" w:cs="Arial"/>
        </w:rPr>
        <w:t>and reflect</w:t>
      </w:r>
      <w:r w:rsidRPr="004502A9">
        <w:rPr>
          <w:rFonts w:eastAsiaTheme="minorEastAsia" w:cs="Arial"/>
        </w:rPr>
        <w:t xml:space="preserve"> the </w:t>
      </w:r>
      <w:r>
        <w:rPr>
          <w:rFonts w:eastAsiaTheme="minorEastAsia" w:cs="Arial"/>
        </w:rPr>
        <w:t xml:space="preserve">applicable </w:t>
      </w:r>
      <w:r w:rsidRPr="004502A9">
        <w:rPr>
          <w:rFonts w:eastAsiaTheme="minorEastAsia" w:cs="Arial"/>
        </w:rPr>
        <w:t>consumption pattern (which includes consumption rate, fish size, and species) by individuals and wildlife. The sport fish objective applies to waters with the beneficial uses of Commercial and Sport Fishing (“COMM”), Wildlife Habitat (“WILD”), Marine Habitat (“MAR”), or Tribal Tradition and Culture (“CUL”). The prey fish objective applies to waters with the beneficial uses of WILD or MAR. The California least tern objective applies to waters with the beneficial uses of WILD, MAR, or Rare, Threatened, or Endangered Species (“RARE</w:t>
      </w:r>
      <w:r w:rsidRPr="10899079">
        <w:rPr>
          <w:rFonts w:eastAsiaTheme="minorEastAsia" w:cs="Arial"/>
        </w:rPr>
        <w:t xml:space="preserve">”) </w:t>
      </w:r>
      <w:r>
        <w:rPr>
          <w:rFonts w:eastAsiaTheme="minorEastAsia" w:cs="Arial"/>
        </w:rPr>
        <w:t xml:space="preserve">and </w:t>
      </w:r>
      <w:r w:rsidRPr="2FFA63BE">
        <w:rPr>
          <w:rFonts w:eastAsiaTheme="minorEastAsia" w:cs="Arial"/>
        </w:rPr>
        <w:t>where the least tern or least tern habitat</w:t>
      </w:r>
      <w:r w:rsidRPr="35B9DD1F">
        <w:rPr>
          <w:rFonts w:eastAsiaTheme="minorEastAsia" w:cs="Arial"/>
        </w:rPr>
        <w:t xml:space="preserve"> exists</w:t>
      </w:r>
      <w:r w:rsidRPr="6257DE49">
        <w:rPr>
          <w:rFonts w:eastAsiaTheme="minorEastAsia" w:cs="Arial"/>
        </w:rPr>
        <w:t xml:space="preserve">, </w:t>
      </w:r>
      <w:r w:rsidRPr="0D34FE1C">
        <w:rPr>
          <w:rFonts w:eastAsiaTheme="minorEastAsia" w:cs="Arial"/>
        </w:rPr>
        <w:t>including</w:t>
      </w:r>
      <w:r w:rsidRPr="6257DE49">
        <w:rPr>
          <w:rFonts w:eastAsiaTheme="minorEastAsia" w:cs="Arial"/>
        </w:rPr>
        <w:t xml:space="preserve"> but not limited to </w:t>
      </w:r>
      <w:r w:rsidRPr="662946FA">
        <w:rPr>
          <w:rFonts w:eastAsiaTheme="minorEastAsia" w:cs="Arial"/>
        </w:rPr>
        <w:t>the waterbod</w:t>
      </w:r>
      <w:r w:rsidR="005F466F">
        <w:rPr>
          <w:rFonts w:eastAsiaTheme="minorEastAsia" w:cs="Arial"/>
        </w:rPr>
        <w:t>y segments</w:t>
      </w:r>
      <w:r w:rsidRPr="662946FA">
        <w:rPr>
          <w:rFonts w:eastAsiaTheme="minorEastAsia" w:cs="Arial"/>
        </w:rPr>
        <w:t xml:space="preserve"> identified in </w:t>
      </w:r>
      <w:r w:rsidRPr="3ED142DC">
        <w:rPr>
          <w:rFonts w:eastAsiaTheme="minorEastAsia" w:cs="Arial"/>
        </w:rPr>
        <w:t xml:space="preserve">Attachment D of </w:t>
      </w:r>
      <w:r w:rsidRPr="0EC1273D">
        <w:rPr>
          <w:rFonts w:eastAsiaTheme="minorEastAsia" w:cs="Arial"/>
        </w:rPr>
        <w:t>Part 2 of the ISWEBE (SWRCB 2017).</w:t>
      </w:r>
      <w:r>
        <w:rPr>
          <w:rFonts w:eastAsiaTheme="minorEastAsia" w:cs="Arial"/>
        </w:rPr>
        <w:t xml:space="preserve"> </w:t>
      </w:r>
      <w:r w:rsidRPr="004502A9">
        <w:rPr>
          <w:rFonts w:cs="Arial"/>
        </w:rPr>
        <w:t>Additional information on trophic levels and fish lengths is located in Tables C-1 and C-2 of Part 2 of the ISWEBE Plan (SWRCB 2017).</w:t>
      </w:r>
      <w:r>
        <w:rPr>
          <w:rFonts w:cs="Arial"/>
        </w:rPr>
        <w:t xml:space="preserve"> See </w:t>
      </w:r>
      <w:r w:rsidRPr="004502A9">
        <w:rPr>
          <w:rFonts w:cs="Arial"/>
        </w:rPr>
        <w:t>Table 3</w:t>
      </w:r>
      <w:r w:rsidRPr="00783350">
        <w:rPr>
          <w:rFonts w:cs="Arial"/>
        </w:rPr>
        <w:t>-</w:t>
      </w:r>
      <w:r>
        <w:rPr>
          <w:rFonts w:cs="Arial"/>
        </w:rPr>
        <w:t xml:space="preserve">2: Mercury Water Quality Objectives by Category, Beneficial Uses, and Fish Size. </w:t>
      </w:r>
    </w:p>
    <w:p w14:paraId="304EECB1" w14:textId="77777777" w:rsidR="008B4C6C" w:rsidRDefault="008B4C6C" w:rsidP="008B4C6C">
      <w:pPr>
        <w:pStyle w:val="Caption"/>
        <w:keepNext/>
      </w:pPr>
      <w:r>
        <w:t>Table 3</w:t>
      </w:r>
      <w:r>
        <w:fldChar w:fldCharType="begin"/>
      </w:r>
      <w:r>
        <w:fldChar w:fldCharType="separate"/>
      </w:r>
      <w:r>
        <w:rPr>
          <w:noProof/>
        </w:rPr>
        <w:t>3</w:t>
      </w:r>
      <w:r>
        <w:fldChar w:fldCharType="end"/>
      </w:r>
      <w:r>
        <w:noBreakHyphen/>
        <w:t xml:space="preserve">2: </w:t>
      </w:r>
      <w:r w:rsidRPr="005E105A">
        <w:t xml:space="preserve">Mercury Water Quality Objectives </w:t>
      </w:r>
      <w:r>
        <w:t>b</w:t>
      </w:r>
      <w:r w:rsidRPr="005E105A">
        <w:t>y Category, Beneficial Uses, and Fish Size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ercury Water Quality Objectives by Category, Beneficial Uses, and Fish Size"/>
        <w:tblDescription w:val="This table shows the mercury objective categories for fish, the beneficial use the categories apply to, the range of the length of the fish in the category in millimeters, and the limit of concentration of mercury in the fish tissue in milligrams per kilogram."/>
      </w:tblPr>
      <w:tblGrid>
        <w:gridCol w:w="2337"/>
        <w:gridCol w:w="2337"/>
        <w:gridCol w:w="2338"/>
        <w:gridCol w:w="2338"/>
      </w:tblGrid>
      <w:tr w:rsidR="008B4C6C" w:rsidRPr="004502A9" w14:paraId="14A3CFD0" w14:textId="77777777">
        <w:tc>
          <w:tcPr>
            <w:tcW w:w="2337" w:type="dxa"/>
            <w:shd w:val="clear" w:color="auto" w:fill="D9E2F3" w:themeFill="accent1" w:themeFillTint="33"/>
            <w:vAlign w:val="center"/>
          </w:tcPr>
          <w:p w14:paraId="5EDB1326" w14:textId="77777777" w:rsidR="008B4C6C" w:rsidRPr="00062C10" w:rsidRDefault="008B4C6C">
            <w:pPr>
              <w:spacing w:before="120" w:after="120"/>
              <w:jc w:val="center"/>
              <w:rPr>
                <w:rFonts w:cs="Arial"/>
                <w:b/>
              </w:rPr>
            </w:pPr>
            <w:r w:rsidRPr="00062C10">
              <w:rPr>
                <w:rFonts w:cs="Arial"/>
                <w:b/>
              </w:rPr>
              <w:t>Mercury Objective Category</w:t>
            </w:r>
          </w:p>
        </w:tc>
        <w:tc>
          <w:tcPr>
            <w:tcW w:w="2337" w:type="dxa"/>
            <w:shd w:val="clear" w:color="auto" w:fill="D9E2F3" w:themeFill="accent1" w:themeFillTint="33"/>
            <w:vAlign w:val="center"/>
          </w:tcPr>
          <w:p w14:paraId="157A7246" w14:textId="77777777" w:rsidR="008B4C6C" w:rsidRPr="00062C10" w:rsidRDefault="008B4C6C">
            <w:pPr>
              <w:spacing w:before="120" w:after="120"/>
              <w:jc w:val="center"/>
              <w:rPr>
                <w:rFonts w:cs="Arial"/>
                <w:b/>
              </w:rPr>
            </w:pPr>
            <w:r w:rsidRPr="00062C10">
              <w:rPr>
                <w:rFonts w:cs="Arial"/>
                <w:b/>
              </w:rPr>
              <w:t>Beneficial Use</w:t>
            </w:r>
          </w:p>
        </w:tc>
        <w:tc>
          <w:tcPr>
            <w:tcW w:w="2338" w:type="dxa"/>
            <w:shd w:val="clear" w:color="auto" w:fill="D9E2F3" w:themeFill="accent1" w:themeFillTint="33"/>
            <w:vAlign w:val="center"/>
          </w:tcPr>
          <w:p w14:paraId="157E9643" w14:textId="77777777" w:rsidR="008B4C6C" w:rsidRPr="00062C10" w:rsidRDefault="008B4C6C">
            <w:pPr>
              <w:spacing w:before="120" w:after="120"/>
              <w:jc w:val="center"/>
              <w:rPr>
                <w:rFonts w:cs="Arial"/>
                <w:b/>
              </w:rPr>
            </w:pPr>
            <w:r w:rsidRPr="00062C10">
              <w:rPr>
                <w:rFonts w:cs="Arial"/>
                <w:b/>
              </w:rPr>
              <w:t>Fish Length (total length in mm)</w:t>
            </w:r>
          </w:p>
        </w:tc>
        <w:tc>
          <w:tcPr>
            <w:tcW w:w="2338" w:type="dxa"/>
            <w:shd w:val="clear" w:color="auto" w:fill="D9E2F3" w:themeFill="accent1" w:themeFillTint="33"/>
            <w:vAlign w:val="center"/>
          </w:tcPr>
          <w:p w14:paraId="34574FF9" w14:textId="77777777" w:rsidR="008B4C6C" w:rsidRPr="00062C10" w:rsidRDefault="008B4C6C">
            <w:pPr>
              <w:spacing w:before="120" w:after="120"/>
              <w:jc w:val="center"/>
              <w:rPr>
                <w:rFonts w:cs="Arial"/>
                <w:b/>
              </w:rPr>
            </w:pPr>
            <w:r w:rsidRPr="00062C10">
              <w:rPr>
                <w:rFonts w:cs="Arial"/>
                <w:b/>
              </w:rPr>
              <w:t>Mercury Objective (mg/kg)</w:t>
            </w:r>
          </w:p>
        </w:tc>
      </w:tr>
      <w:tr w:rsidR="008B4C6C" w:rsidRPr="004502A9" w14:paraId="0B9B0319" w14:textId="77777777">
        <w:tc>
          <w:tcPr>
            <w:tcW w:w="2337" w:type="dxa"/>
            <w:vAlign w:val="center"/>
          </w:tcPr>
          <w:p w14:paraId="6B68158F" w14:textId="77777777" w:rsidR="008B4C6C" w:rsidRPr="004502A9" w:rsidRDefault="008B4C6C">
            <w:pPr>
              <w:spacing w:before="120" w:after="120"/>
              <w:rPr>
                <w:rFonts w:cs="Arial"/>
              </w:rPr>
            </w:pPr>
            <w:r w:rsidRPr="004502A9">
              <w:rPr>
                <w:rFonts w:cs="Arial"/>
              </w:rPr>
              <w:t>Sport Fish TL4</w:t>
            </w:r>
          </w:p>
        </w:tc>
        <w:tc>
          <w:tcPr>
            <w:tcW w:w="2337" w:type="dxa"/>
          </w:tcPr>
          <w:p w14:paraId="130FF53B" w14:textId="77777777" w:rsidR="008B4C6C" w:rsidRPr="004502A9" w:rsidRDefault="008B4C6C">
            <w:pPr>
              <w:spacing w:before="120" w:after="120"/>
              <w:rPr>
                <w:rFonts w:cs="Arial"/>
              </w:rPr>
            </w:pPr>
            <w:r w:rsidRPr="004502A9">
              <w:rPr>
                <w:rFonts w:cs="Arial"/>
              </w:rPr>
              <w:t>COMM, WILD, MAR, CUL</w:t>
            </w:r>
          </w:p>
        </w:tc>
        <w:tc>
          <w:tcPr>
            <w:tcW w:w="2338" w:type="dxa"/>
            <w:vAlign w:val="center"/>
          </w:tcPr>
          <w:p w14:paraId="663F89A9" w14:textId="77777777" w:rsidR="008B4C6C" w:rsidRPr="004502A9" w:rsidRDefault="008B4C6C">
            <w:pPr>
              <w:spacing w:before="120" w:after="120"/>
              <w:jc w:val="center"/>
              <w:rPr>
                <w:rFonts w:cs="Arial"/>
              </w:rPr>
            </w:pPr>
            <w:r w:rsidRPr="004502A9">
              <w:rPr>
                <w:rFonts w:cs="Arial"/>
              </w:rPr>
              <w:t>200-500</w:t>
            </w:r>
          </w:p>
        </w:tc>
        <w:tc>
          <w:tcPr>
            <w:tcW w:w="2338" w:type="dxa"/>
            <w:vAlign w:val="center"/>
          </w:tcPr>
          <w:p w14:paraId="2E90FF33" w14:textId="77777777" w:rsidR="008B4C6C" w:rsidRPr="004502A9" w:rsidRDefault="008B4C6C">
            <w:pPr>
              <w:spacing w:before="120" w:after="120"/>
              <w:jc w:val="center"/>
              <w:rPr>
                <w:rFonts w:cs="Arial"/>
              </w:rPr>
            </w:pPr>
            <w:r w:rsidRPr="004502A9">
              <w:rPr>
                <w:rFonts w:cs="Arial"/>
              </w:rPr>
              <w:t>0.2</w:t>
            </w:r>
          </w:p>
        </w:tc>
      </w:tr>
      <w:tr w:rsidR="008B4C6C" w:rsidRPr="004502A9" w14:paraId="52FD4AE6" w14:textId="77777777">
        <w:tc>
          <w:tcPr>
            <w:tcW w:w="2337" w:type="dxa"/>
            <w:vAlign w:val="center"/>
          </w:tcPr>
          <w:p w14:paraId="54D29911" w14:textId="77777777" w:rsidR="008B4C6C" w:rsidRPr="004502A9" w:rsidRDefault="008B4C6C">
            <w:pPr>
              <w:spacing w:before="120" w:after="120"/>
              <w:rPr>
                <w:rFonts w:cs="Arial"/>
              </w:rPr>
            </w:pPr>
            <w:r w:rsidRPr="004502A9">
              <w:rPr>
                <w:rFonts w:cs="Arial"/>
              </w:rPr>
              <w:t>Sport Fish TL3</w:t>
            </w:r>
          </w:p>
        </w:tc>
        <w:tc>
          <w:tcPr>
            <w:tcW w:w="2337" w:type="dxa"/>
          </w:tcPr>
          <w:p w14:paraId="2E4709DA" w14:textId="77777777" w:rsidR="008B4C6C" w:rsidRPr="004502A9" w:rsidRDefault="008B4C6C">
            <w:pPr>
              <w:spacing w:before="120" w:after="120"/>
              <w:rPr>
                <w:rFonts w:cs="Arial"/>
              </w:rPr>
            </w:pPr>
            <w:r w:rsidRPr="004502A9">
              <w:rPr>
                <w:rFonts w:cs="Arial"/>
              </w:rPr>
              <w:t>COMM, WILD, MAR, CUL</w:t>
            </w:r>
          </w:p>
        </w:tc>
        <w:tc>
          <w:tcPr>
            <w:tcW w:w="2338" w:type="dxa"/>
            <w:vAlign w:val="center"/>
          </w:tcPr>
          <w:p w14:paraId="7651C084" w14:textId="77777777" w:rsidR="008B4C6C" w:rsidRPr="004502A9" w:rsidRDefault="008B4C6C">
            <w:pPr>
              <w:spacing w:before="120" w:after="120"/>
              <w:jc w:val="center"/>
              <w:rPr>
                <w:rFonts w:cs="Arial"/>
              </w:rPr>
            </w:pPr>
            <w:r w:rsidRPr="004502A9">
              <w:rPr>
                <w:rFonts w:cs="Arial"/>
              </w:rPr>
              <w:t>150-500</w:t>
            </w:r>
          </w:p>
        </w:tc>
        <w:tc>
          <w:tcPr>
            <w:tcW w:w="2338" w:type="dxa"/>
            <w:vAlign w:val="center"/>
          </w:tcPr>
          <w:p w14:paraId="39537D5E" w14:textId="77777777" w:rsidR="008B4C6C" w:rsidRPr="004502A9" w:rsidRDefault="008B4C6C">
            <w:pPr>
              <w:spacing w:before="120" w:after="120"/>
              <w:jc w:val="center"/>
              <w:rPr>
                <w:rFonts w:cs="Arial"/>
              </w:rPr>
            </w:pPr>
            <w:r w:rsidRPr="004502A9">
              <w:rPr>
                <w:rFonts w:cs="Arial"/>
              </w:rPr>
              <w:t>0.2</w:t>
            </w:r>
          </w:p>
        </w:tc>
      </w:tr>
      <w:tr w:rsidR="008B4C6C" w:rsidRPr="004502A9" w14:paraId="4D1E00D1" w14:textId="77777777">
        <w:tc>
          <w:tcPr>
            <w:tcW w:w="2337" w:type="dxa"/>
            <w:vAlign w:val="center"/>
          </w:tcPr>
          <w:p w14:paraId="5A2F4BE5" w14:textId="77777777" w:rsidR="008B4C6C" w:rsidRPr="004502A9" w:rsidRDefault="008B4C6C">
            <w:pPr>
              <w:spacing w:before="120" w:after="120"/>
              <w:rPr>
                <w:rFonts w:cs="Arial"/>
              </w:rPr>
            </w:pPr>
            <w:r w:rsidRPr="004502A9">
              <w:rPr>
                <w:rFonts w:cs="Arial"/>
              </w:rPr>
              <w:t>Prey Fish (any species)</w:t>
            </w:r>
          </w:p>
        </w:tc>
        <w:tc>
          <w:tcPr>
            <w:tcW w:w="2337" w:type="dxa"/>
          </w:tcPr>
          <w:p w14:paraId="637F7112" w14:textId="77777777" w:rsidR="008B4C6C" w:rsidRPr="004502A9" w:rsidRDefault="008B4C6C">
            <w:pPr>
              <w:spacing w:before="120" w:after="120"/>
              <w:rPr>
                <w:rFonts w:cs="Arial"/>
              </w:rPr>
            </w:pPr>
            <w:r w:rsidRPr="004502A9">
              <w:rPr>
                <w:rFonts w:cs="Arial"/>
              </w:rPr>
              <w:t>WILD, MAR</w:t>
            </w:r>
          </w:p>
        </w:tc>
        <w:tc>
          <w:tcPr>
            <w:tcW w:w="2338" w:type="dxa"/>
            <w:vAlign w:val="center"/>
          </w:tcPr>
          <w:p w14:paraId="2B21BA6C" w14:textId="77777777" w:rsidR="008B4C6C" w:rsidRPr="004502A9" w:rsidRDefault="008B4C6C">
            <w:pPr>
              <w:spacing w:before="120" w:after="120"/>
              <w:jc w:val="center"/>
              <w:rPr>
                <w:rFonts w:cs="Arial"/>
              </w:rPr>
            </w:pPr>
            <w:r w:rsidRPr="004502A9">
              <w:rPr>
                <w:rFonts w:cs="Arial"/>
              </w:rPr>
              <w:t>50-150</w:t>
            </w:r>
          </w:p>
        </w:tc>
        <w:tc>
          <w:tcPr>
            <w:tcW w:w="2338" w:type="dxa"/>
            <w:vAlign w:val="center"/>
          </w:tcPr>
          <w:p w14:paraId="47F996E1" w14:textId="77777777" w:rsidR="008B4C6C" w:rsidRPr="004502A9" w:rsidRDefault="008B4C6C">
            <w:pPr>
              <w:spacing w:before="120" w:after="120"/>
              <w:jc w:val="center"/>
              <w:rPr>
                <w:rFonts w:cs="Arial"/>
              </w:rPr>
            </w:pPr>
            <w:r w:rsidRPr="004502A9">
              <w:rPr>
                <w:rFonts w:cs="Arial"/>
              </w:rPr>
              <w:t>0.05</w:t>
            </w:r>
          </w:p>
        </w:tc>
      </w:tr>
      <w:tr w:rsidR="008B4C6C" w:rsidRPr="004502A9" w14:paraId="49879474" w14:textId="77777777">
        <w:tc>
          <w:tcPr>
            <w:tcW w:w="2337" w:type="dxa"/>
            <w:vAlign w:val="center"/>
          </w:tcPr>
          <w:p w14:paraId="13122BEB" w14:textId="77777777" w:rsidR="008B4C6C" w:rsidRPr="004502A9" w:rsidRDefault="008B4C6C">
            <w:pPr>
              <w:spacing w:before="120" w:after="120"/>
              <w:rPr>
                <w:rFonts w:cs="Arial"/>
              </w:rPr>
            </w:pPr>
            <w:r w:rsidRPr="004502A9">
              <w:rPr>
                <w:rFonts w:cs="Arial"/>
              </w:rPr>
              <w:t xml:space="preserve">California Least Tern </w:t>
            </w:r>
          </w:p>
        </w:tc>
        <w:tc>
          <w:tcPr>
            <w:tcW w:w="2337" w:type="dxa"/>
          </w:tcPr>
          <w:p w14:paraId="3B2B8F9E" w14:textId="77777777" w:rsidR="008B4C6C" w:rsidRPr="004502A9" w:rsidRDefault="008B4C6C">
            <w:pPr>
              <w:spacing w:before="120" w:after="120"/>
              <w:rPr>
                <w:rFonts w:cs="Arial"/>
              </w:rPr>
            </w:pPr>
            <w:r w:rsidRPr="004502A9">
              <w:rPr>
                <w:rFonts w:cs="Arial"/>
              </w:rPr>
              <w:t>RARE, WILD, MAR where least tern habitat exists</w:t>
            </w:r>
          </w:p>
        </w:tc>
        <w:tc>
          <w:tcPr>
            <w:tcW w:w="2338" w:type="dxa"/>
            <w:vAlign w:val="center"/>
          </w:tcPr>
          <w:p w14:paraId="1131718D" w14:textId="77777777" w:rsidR="008B4C6C" w:rsidRPr="004502A9" w:rsidRDefault="008B4C6C">
            <w:pPr>
              <w:spacing w:before="120" w:after="120"/>
              <w:jc w:val="center"/>
              <w:rPr>
                <w:rFonts w:cs="Arial"/>
              </w:rPr>
            </w:pPr>
            <w:r w:rsidRPr="004502A9">
              <w:rPr>
                <w:rFonts w:cs="Arial"/>
              </w:rPr>
              <w:t>&lt;50</w:t>
            </w:r>
          </w:p>
        </w:tc>
        <w:tc>
          <w:tcPr>
            <w:tcW w:w="2338" w:type="dxa"/>
            <w:vAlign w:val="center"/>
          </w:tcPr>
          <w:p w14:paraId="30DDD6D6" w14:textId="77777777" w:rsidR="008B4C6C" w:rsidRPr="004502A9" w:rsidRDefault="008B4C6C">
            <w:pPr>
              <w:spacing w:before="120" w:after="120"/>
              <w:jc w:val="center"/>
              <w:rPr>
                <w:rFonts w:cs="Arial"/>
              </w:rPr>
            </w:pPr>
            <w:r w:rsidRPr="004502A9">
              <w:rPr>
                <w:rFonts w:cs="Arial"/>
              </w:rPr>
              <w:t>0.03</w:t>
            </w:r>
          </w:p>
        </w:tc>
      </w:tr>
    </w:tbl>
    <w:p w14:paraId="7156EF45" w14:textId="77777777" w:rsidR="008B4C6C" w:rsidRPr="004502A9" w:rsidRDefault="008B4C6C" w:rsidP="008B4C6C">
      <w:pPr>
        <w:spacing w:before="240" w:after="160"/>
        <w:rPr>
          <w:rFonts w:cs="Arial"/>
        </w:rPr>
      </w:pPr>
      <w:r w:rsidRPr="004502A9">
        <w:rPr>
          <w:rFonts w:cs="Arial"/>
        </w:rPr>
        <w:t>The</w:t>
      </w:r>
      <w:r>
        <w:rPr>
          <w:rFonts w:cs="Arial"/>
        </w:rPr>
        <w:t xml:space="preserve"> water quality</w:t>
      </w:r>
      <w:r w:rsidRPr="004502A9">
        <w:rPr>
          <w:rFonts w:cs="Arial"/>
        </w:rPr>
        <w:t xml:space="preserve"> objectives are interpreted as an absolute value and are not assigned a designated number of significant figures.</w:t>
      </w:r>
    </w:p>
    <w:p w14:paraId="620E9A67" w14:textId="35332C28" w:rsidR="008B4C6C" w:rsidRPr="004502A9" w:rsidRDefault="008B4C6C" w:rsidP="008B4C6C">
      <w:pPr>
        <w:spacing w:after="160"/>
        <w:rPr>
          <w:rFonts w:eastAsia="Arial" w:cs="Arial"/>
          <w:color w:val="000000" w:themeColor="text1"/>
          <w:szCs w:val="24"/>
        </w:rPr>
      </w:pPr>
      <w:r w:rsidRPr="004502A9">
        <w:rPr>
          <w:rFonts w:cs="Arial"/>
        </w:rPr>
        <w:t xml:space="preserve">For the sport fish </w:t>
      </w:r>
      <w:r>
        <w:rPr>
          <w:rFonts w:cs="Arial"/>
        </w:rPr>
        <w:t xml:space="preserve">water quality </w:t>
      </w:r>
      <w:r w:rsidRPr="004502A9">
        <w:rPr>
          <w:rFonts w:cs="Arial"/>
        </w:rPr>
        <w:t xml:space="preserve">objective, data from TL3 and TL4 fish species were used for assessment of </w:t>
      </w:r>
      <w:r>
        <w:rPr>
          <w:rFonts w:cs="Arial"/>
        </w:rPr>
        <w:t xml:space="preserve">the </w:t>
      </w:r>
      <w:r w:rsidRPr="004502A9">
        <w:rPr>
          <w:rFonts w:cs="Arial"/>
        </w:rPr>
        <w:t>COMM</w:t>
      </w:r>
      <w:r>
        <w:rPr>
          <w:rFonts w:cs="Arial"/>
        </w:rPr>
        <w:t xml:space="preserve"> beneficial use</w:t>
      </w:r>
      <w:r w:rsidRPr="004502A9">
        <w:rPr>
          <w:rFonts w:cs="Arial"/>
        </w:rPr>
        <w:t xml:space="preserve">. </w:t>
      </w:r>
      <w:r w:rsidRPr="004502A9">
        <w:rPr>
          <w:rFonts w:cs="Arial"/>
          <w:szCs w:val="24"/>
        </w:rPr>
        <w:t xml:space="preserve">Assessment of data from TL4 fish were used to evaluate whether all species are supported with respect to the WILD and MAR beneficial uses. If data from just TL3 fish were used, protection of all </w:t>
      </w:r>
      <w:r>
        <w:rPr>
          <w:rFonts w:cs="Arial"/>
          <w:szCs w:val="24"/>
        </w:rPr>
        <w:t>s</w:t>
      </w:r>
      <w:r w:rsidRPr="004502A9">
        <w:rPr>
          <w:rFonts w:cs="Arial"/>
          <w:szCs w:val="24"/>
        </w:rPr>
        <w:t xml:space="preserve">pecies within the WILD and MAR beneficial uses is not ensured. Therefore, if data from TL3 fish were used, then the prey fish </w:t>
      </w:r>
      <w:r>
        <w:rPr>
          <w:rFonts w:cs="Arial"/>
          <w:szCs w:val="24"/>
        </w:rPr>
        <w:t xml:space="preserve">water quality </w:t>
      </w:r>
      <w:r w:rsidRPr="004502A9">
        <w:rPr>
          <w:rFonts w:cs="Arial"/>
          <w:szCs w:val="24"/>
        </w:rPr>
        <w:t xml:space="preserve">objective was used instead of the sport fish </w:t>
      </w:r>
      <w:r>
        <w:rPr>
          <w:rFonts w:cs="Arial"/>
          <w:szCs w:val="24"/>
        </w:rPr>
        <w:t>water quality</w:t>
      </w:r>
      <w:r w:rsidRPr="004502A9">
        <w:rPr>
          <w:rFonts w:cs="Arial"/>
          <w:szCs w:val="24"/>
        </w:rPr>
        <w:t xml:space="preserve"> objective. If the waterbody</w:t>
      </w:r>
      <w:r w:rsidR="006B4231">
        <w:rPr>
          <w:rFonts w:cs="Arial"/>
          <w:szCs w:val="24"/>
        </w:rPr>
        <w:t xml:space="preserve"> segment</w:t>
      </w:r>
      <w:r w:rsidRPr="004502A9">
        <w:rPr>
          <w:rFonts w:cs="Arial"/>
          <w:szCs w:val="24"/>
        </w:rPr>
        <w:t xml:space="preserve"> is habitat for the California least tern, then the least tern </w:t>
      </w:r>
      <w:r>
        <w:rPr>
          <w:rFonts w:cs="Arial"/>
          <w:szCs w:val="24"/>
        </w:rPr>
        <w:t xml:space="preserve">water quality </w:t>
      </w:r>
      <w:r w:rsidRPr="004502A9">
        <w:rPr>
          <w:rFonts w:cs="Arial"/>
          <w:szCs w:val="24"/>
        </w:rPr>
        <w:t xml:space="preserve">objective was used. However, if the data from TL3 fish indicate non-attainment of the sport fish </w:t>
      </w:r>
      <w:r>
        <w:rPr>
          <w:rFonts w:cs="Arial"/>
          <w:szCs w:val="24"/>
        </w:rPr>
        <w:t xml:space="preserve">water quality </w:t>
      </w:r>
      <w:r w:rsidRPr="004502A9">
        <w:rPr>
          <w:rFonts w:cs="Arial"/>
          <w:szCs w:val="24"/>
        </w:rPr>
        <w:t xml:space="preserve">objective, there is sufficient evidence to indicate that the prey fish </w:t>
      </w:r>
      <w:r>
        <w:rPr>
          <w:rFonts w:cs="Arial"/>
          <w:szCs w:val="24"/>
        </w:rPr>
        <w:t>water quality</w:t>
      </w:r>
      <w:r w:rsidRPr="004502A9">
        <w:rPr>
          <w:rFonts w:cs="Arial"/>
          <w:szCs w:val="24"/>
        </w:rPr>
        <w:t xml:space="preserve"> objective (or the least tern objective, if applicable) is not attained. </w:t>
      </w:r>
      <w:r w:rsidRPr="004502A9">
        <w:rPr>
          <w:rFonts w:eastAsia="Arial" w:cs="Arial"/>
          <w:color w:val="000000" w:themeColor="text1"/>
          <w:szCs w:val="24"/>
        </w:rPr>
        <w:t xml:space="preserve">Exceedance of the prey fish </w:t>
      </w:r>
      <w:r>
        <w:rPr>
          <w:rFonts w:eastAsia="Arial" w:cs="Arial"/>
          <w:color w:val="000000" w:themeColor="text1"/>
          <w:szCs w:val="24"/>
        </w:rPr>
        <w:t xml:space="preserve">water quality </w:t>
      </w:r>
      <w:r w:rsidRPr="004502A9">
        <w:rPr>
          <w:rFonts w:eastAsia="Arial" w:cs="Arial"/>
          <w:color w:val="000000" w:themeColor="text1"/>
          <w:szCs w:val="24"/>
        </w:rPr>
        <w:t xml:space="preserve">objective indicates impairment of the WILD and MAR beneficial uses. Non-exceeding TL3 fish provide insufficient information for the assessment of the WILD and MAR beneficial uses. </w:t>
      </w:r>
    </w:p>
    <w:p w14:paraId="65465627" w14:textId="61D763B4" w:rsidR="008B4C6C" w:rsidRPr="004502A9" w:rsidRDefault="008B4C6C" w:rsidP="008B4C6C">
      <w:pPr>
        <w:spacing w:after="0"/>
        <w:rPr>
          <w:rFonts w:cs="Arial"/>
        </w:rPr>
      </w:pPr>
      <w:r w:rsidRPr="004502A9">
        <w:rPr>
          <w:rFonts w:cs="Arial"/>
        </w:rPr>
        <w:t xml:space="preserve">For the prey fish objective, data from any fish species and trophic level were used for assessment of </w:t>
      </w:r>
      <w:r>
        <w:rPr>
          <w:rFonts w:cs="Arial"/>
        </w:rPr>
        <w:t xml:space="preserve">the </w:t>
      </w:r>
      <w:r w:rsidRPr="004502A9">
        <w:rPr>
          <w:rFonts w:cs="Arial"/>
        </w:rPr>
        <w:t>WILD or MAR</w:t>
      </w:r>
      <w:r>
        <w:rPr>
          <w:rFonts w:cs="Arial"/>
        </w:rPr>
        <w:t xml:space="preserve"> beneficial use</w:t>
      </w:r>
      <w:r w:rsidRPr="004502A9">
        <w:rPr>
          <w:rFonts w:cs="Arial"/>
        </w:rPr>
        <w:t xml:space="preserve">. The prey fish </w:t>
      </w:r>
      <w:r>
        <w:rPr>
          <w:rFonts w:cs="Arial"/>
        </w:rPr>
        <w:t>water quality</w:t>
      </w:r>
      <w:r w:rsidRPr="004502A9">
        <w:rPr>
          <w:rFonts w:cs="Arial"/>
        </w:rPr>
        <w:t xml:space="preserve"> objective applies during the breeding season, which is February 1 through July 31 unless site-specific information indicates another appropriate breeding period. For the purpose of the </w:t>
      </w:r>
      <w:r>
        <w:rPr>
          <w:rFonts w:cs="Arial"/>
        </w:rPr>
        <w:t>2026</w:t>
      </w:r>
      <w:r w:rsidRPr="004502A9">
        <w:rPr>
          <w:rFonts w:cs="Arial"/>
        </w:rPr>
        <w:t xml:space="preserve"> </w:t>
      </w:r>
      <w:r>
        <w:rPr>
          <w:rFonts w:cs="Arial"/>
        </w:rPr>
        <w:t>California</w:t>
      </w:r>
      <w:r w:rsidRPr="004502A9">
        <w:rPr>
          <w:rFonts w:cs="Arial"/>
        </w:rPr>
        <w:t xml:space="preserve"> Integrated Report, data from all prey fish sample results collected throughout the year were compared to the prey fish objective. </w:t>
      </w:r>
    </w:p>
    <w:p w14:paraId="56641638" w14:textId="15DB85AC" w:rsidR="008B4C6C" w:rsidRPr="004502A9" w:rsidRDefault="008B4C6C" w:rsidP="008B4C6C">
      <w:pPr>
        <w:spacing w:before="240" w:after="0"/>
        <w:rPr>
          <w:rFonts w:cs="Arial"/>
        </w:rPr>
      </w:pPr>
      <w:r>
        <w:rPr>
          <w:rFonts w:cs="Arial"/>
        </w:rPr>
        <w:t xml:space="preserve">The conditions for which a </w:t>
      </w:r>
      <w:r w:rsidRPr="004502A9">
        <w:rPr>
          <w:rFonts w:cs="Arial"/>
        </w:rPr>
        <w:t>waterbody</w:t>
      </w:r>
      <w:r w:rsidR="00B35970">
        <w:rPr>
          <w:rFonts w:cs="Arial"/>
        </w:rPr>
        <w:t xml:space="preserve"> segment</w:t>
      </w:r>
      <w:r w:rsidDel="00E6020B">
        <w:rPr>
          <w:rFonts w:cs="Arial"/>
        </w:rPr>
        <w:t xml:space="preserve"> </w:t>
      </w:r>
      <w:r w:rsidR="00E6020B">
        <w:rPr>
          <w:rFonts w:cs="Arial"/>
        </w:rPr>
        <w:t>was</w:t>
      </w:r>
      <w:r>
        <w:rPr>
          <w:rFonts w:cs="Arial"/>
        </w:rPr>
        <w:t xml:space="preserve"> </w:t>
      </w:r>
      <w:r w:rsidRPr="004502A9">
        <w:rPr>
          <w:rFonts w:cs="Arial"/>
        </w:rPr>
        <w:t>place</w:t>
      </w:r>
      <w:r>
        <w:rPr>
          <w:rFonts w:cs="Arial"/>
        </w:rPr>
        <w:t xml:space="preserve">d </w:t>
      </w:r>
      <w:r w:rsidRPr="004502A9">
        <w:rPr>
          <w:rFonts w:cs="Arial"/>
        </w:rPr>
        <w:t>on the 303(d)</w:t>
      </w:r>
      <w:r>
        <w:rPr>
          <w:rFonts w:cs="Arial"/>
        </w:rPr>
        <w:t xml:space="preserve"> </w:t>
      </w:r>
      <w:r w:rsidRPr="004502A9">
        <w:rPr>
          <w:rFonts w:cs="Arial"/>
        </w:rPr>
        <w:t xml:space="preserve">list based on tissue is described in </w:t>
      </w:r>
      <w:r>
        <w:rPr>
          <w:rFonts w:cs="Arial"/>
        </w:rPr>
        <w:t>s</w:t>
      </w:r>
      <w:r w:rsidRPr="004502A9">
        <w:rPr>
          <w:rFonts w:cs="Arial"/>
        </w:rPr>
        <w:t xml:space="preserve">ections 3.4 and 3.5 of the Listing Policy. Listing Policy </w:t>
      </w:r>
      <w:r>
        <w:rPr>
          <w:rFonts w:cs="Arial"/>
        </w:rPr>
        <w:t>s</w:t>
      </w:r>
      <w:r w:rsidRPr="004502A9">
        <w:rPr>
          <w:rFonts w:cs="Arial"/>
        </w:rPr>
        <w:t xml:space="preserve">ection 3.11 (the situation specific weight of evidence </w:t>
      </w:r>
      <w:r>
        <w:rPr>
          <w:rFonts w:cs="Arial"/>
        </w:rPr>
        <w:t>listing factor</w:t>
      </w:r>
      <w:r w:rsidRPr="004502A9">
        <w:rPr>
          <w:rFonts w:cs="Arial"/>
        </w:rPr>
        <w:t xml:space="preserve">) may be utilized to determine placement on the 303(d) </w:t>
      </w:r>
      <w:r>
        <w:rPr>
          <w:rFonts w:cs="Arial"/>
        </w:rPr>
        <w:t>l</w:t>
      </w:r>
      <w:r w:rsidRPr="004502A9">
        <w:rPr>
          <w:rFonts w:cs="Arial"/>
        </w:rPr>
        <w:t xml:space="preserve">ist if information indicates non-attainment of standards. For a flow chart illustrating fish tissue mercury assessments for the </w:t>
      </w:r>
      <w:r>
        <w:rPr>
          <w:rFonts w:eastAsia="Arial" w:cs="Arial"/>
        </w:rPr>
        <w:t>2026</w:t>
      </w:r>
      <w:r w:rsidRPr="004502A9">
        <w:rPr>
          <w:rFonts w:eastAsia="Arial" w:cs="Arial"/>
        </w:rPr>
        <w:t xml:space="preserve"> </w:t>
      </w:r>
      <w:r>
        <w:rPr>
          <w:rFonts w:eastAsia="Arial" w:cs="Arial"/>
        </w:rPr>
        <w:t xml:space="preserve">California </w:t>
      </w:r>
      <w:r w:rsidRPr="004502A9">
        <w:rPr>
          <w:rFonts w:cs="Arial"/>
        </w:rPr>
        <w:t xml:space="preserve">Integrated Report, see </w:t>
      </w:r>
      <w:r w:rsidRPr="00B85858">
        <w:rPr>
          <w:rFonts w:cs="Arial"/>
        </w:rPr>
        <w:t xml:space="preserve">Appendix </w:t>
      </w:r>
      <w:r>
        <w:rPr>
          <w:rFonts w:cs="Arial"/>
        </w:rPr>
        <w:t>F: Generalized Flow Chart for Fish Tissue Mercury Assessments for the 2026 California Integrated Report.</w:t>
      </w:r>
    </w:p>
    <w:p w14:paraId="55E113C8" w14:textId="27A5E565" w:rsidR="00176C9E" w:rsidRDefault="000277DC" w:rsidP="00176C9E">
      <w:pPr>
        <w:pStyle w:val="Heading2"/>
      </w:pPr>
      <w:bookmarkStart w:id="94" w:name="_Toc189048574"/>
      <w:bookmarkEnd w:id="90"/>
      <w:r w:rsidRPr="00BF6076">
        <w:t>Pesticides</w:t>
      </w:r>
      <w:r w:rsidR="00463601">
        <w:t>,</w:t>
      </w:r>
      <w:r w:rsidR="007C18CA">
        <w:t xml:space="preserve"> Organic Chemicals</w:t>
      </w:r>
      <w:r w:rsidR="00463601">
        <w:t>, and Non-hardness Dependent Metals – Water Matrix</w:t>
      </w:r>
      <w:bookmarkEnd w:id="94"/>
      <w:r w:rsidR="00463601">
        <w:t xml:space="preserve"> </w:t>
      </w:r>
    </w:p>
    <w:p w14:paraId="55BAC049" w14:textId="493F2310" w:rsidR="00854139" w:rsidRDefault="00854139" w:rsidP="00854139">
      <w:r>
        <w:t>Data with pollutant concentrations for pesticides, other organic chemicals, and non-hardness dependent metals in water were assessed with applicable water quality objectives, criteria, and evaluation guidelines. Basin</w:t>
      </w:r>
      <w:r w:rsidDel="00A7007B">
        <w:t xml:space="preserve"> </w:t>
      </w:r>
      <w:r w:rsidR="00A7007B">
        <w:t xml:space="preserve">plan </w:t>
      </w:r>
      <w:r>
        <w:t>objectives, CTR criteria, USEPA National Recommended Water Quality Criteria (</w:t>
      </w:r>
      <w:r w:rsidR="00BE34BB">
        <w:t>“</w:t>
      </w:r>
      <w:r>
        <w:t>NRWQC</w:t>
      </w:r>
      <w:r w:rsidR="00BE34BB">
        <w:t>”</w:t>
      </w:r>
      <w:r>
        <w:t xml:space="preserve">) and MCLs were prioritized for use in assessments. If </w:t>
      </w:r>
      <w:r w:rsidR="00B80C93">
        <w:t>basin plan objectives, CTR</w:t>
      </w:r>
      <w:r w:rsidR="008C736C">
        <w:t xml:space="preserve"> criteria</w:t>
      </w:r>
      <w:r w:rsidR="00343B58">
        <w:t>,</w:t>
      </w:r>
      <w:r w:rsidR="008C736C">
        <w:t xml:space="preserve"> or NRWQC</w:t>
      </w:r>
      <w:r>
        <w:t xml:space="preserve"> </w:t>
      </w:r>
      <w:r w:rsidR="008C736C">
        <w:t xml:space="preserve">were </w:t>
      </w:r>
      <w:r>
        <w:t>not available, a</w:t>
      </w:r>
      <w:r w:rsidR="00623FCE">
        <w:t>n</w:t>
      </w:r>
      <w:r w:rsidDel="00623FCE">
        <w:t xml:space="preserve"> </w:t>
      </w:r>
      <w:r w:rsidR="00623FCE">
        <w:t xml:space="preserve">evaluation </w:t>
      </w:r>
      <w:r w:rsidR="00C668DC">
        <w:t>guideline</w:t>
      </w:r>
      <w:r w:rsidR="00623FCE">
        <w:t xml:space="preserve"> </w:t>
      </w:r>
      <w:r>
        <w:t>was selected from the USEPA Aquatic Life Benchmarks (“</w:t>
      </w:r>
      <w:r w:rsidR="00E6489B">
        <w:t xml:space="preserve">Aquatic Life </w:t>
      </w:r>
      <w:r w:rsidR="00C668DC">
        <w:t>Benchmarks</w:t>
      </w:r>
      <w:r>
        <w:t>”), USEPA Office of Pesticide Programs’ Pesticide Ecotoxicity Database (“Ecotoxicity Database”)</w:t>
      </w:r>
      <w:r w:rsidR="00343B58">
        <w:t>,</w:t>
      </w:r>
      <w:r>
        <w:t xml:space="preserve"> or other source. The </w:t>
      </w:r>
      <w:r w:rsidR="00CC1267">
        <w:t xml:space="preserve">evaluation guidelines </w:t>
      </w:r>
      <w:r>
        <w:t xml:space="preserve">from these sources meet the requirements of </w:t>
      </w:r>
      <w:r w:rsidR="00F81194">
        <w:t>Listing Policy</w:t>
      </w:r>
      <w:r w:rsidR="00F81194" w:rsidDel="00B202BC">
        <w:t xml:space="preserve"> </w:t>
      </w:r>
      <w:r w:rsidR="00B202BC">
        <w:t xml:space="preserve">section </w:t>
      </w:r>
      <w:r>
        <w:t xml:space="preserve">6.1.3. The following exemplifies how the narrative water quality objective language varies by </w:t>
      </w:r>
      <w:r w:rsidR="008178CE">
        <w:t>b</w:t>
      </w:r>
      <w:r>
        <w:t xml:space="preserve">asin </w:t>
      </w:r>
      <w:r w:rsidR="008178CE">
        <w:t>plan</w:t>
      </w:r>
      <w:r>
        <w:t xml:space="preserve">: </w:t>
      </w:r>
    </w:p>
    <w:p w14:paraId="786F8D21" w14:textId="77777777" w:rsidR="00854139" w:rsidRDefault="00854139" w:rsidP="00D06BC4">
      <w:pPr>
        <w:ind w:left="720"/>
      </w:pPr>
      <w:r>
        <w:t>All waters shall be maintained free of toxic substances in concentrations that are toxic to, or that produce detrimental physiological responses in human, plant, animal, or aquatic life.</w:t>
      </w:r>
    </w:p>
    <w:p w14:paraId="6A86184E" w14:textId="77777777" w:rsidR="00854139" w:rsidRDefault="00854139" w:rsidP="00D06BC4">
      <w:pPr>
        <w:ind w:left="720"/>
      </w:pPr>
      <w:r>
        <w:t>No individual pesticide or combination of pesticides shall be present in concentrations that adversely affect beneficial uses.</w:t>
      </w:r>
    </w:p>
    <w:p w14:paraId="31CAE92A" w14:textId="0DEA73F0" w:rsidR="00854139" w:rsidRPr="00854139" w:rsidRDefault="00854139" w:rsidP="00854139">
      <w:r>
        <w:t xml:space="preserve">Most assessments were a direct comparison of the data </w:t>
      </w:r>
      <w:r w:rsidR="00C01EDB">
        <w:t>to</w:t>
      </w:r>
      <w:r>
        <w:t xml:space="preserve"> a</w:t>
      </w:r>
      <w:r w:rsidDel="00C25757">
        <w:t xml:space="preserve"> </w:t>
      </w:r>
      <w:r w:rsidR="00C25757">
        <w:t>water quality objective</w:t>
      </w:r>
      <w:r w:rsidR="00343B58">
        <w:t>, criterion,</w:t>
      </w:r>
      <w:r w:rsidR="00C25757">
        <w:t xml:space="preserve"> or evaluation guideline </w:t>
      </w:r>
      <w:r>
        <w:t>(e.g., toxaphene)</w:t>
      </w:r>
      <w:r w:rsidR="005120BE">
        <w:t xml:space="preserve">. </w:t>
      </w:r>
      <w:r w:rsidR="00C25757">
        <w:t>However,</w:t>
      </w:r>
      <w:r>
        <w:t xml:space="preserve"> some assessments required data manipulation, such as summation of parent compound, isomers, metabolites, or alky groups, before comparison with </w:t>
      </w:r>
      <w:r w:rsidR="00295130">
        <w:t>a water quality objective or evaluation guideline</w:t>
      </w:r>
      <w:r w:rsidR="00295130" w:rsidDel="00295130">
        <w:t xml:space="preserve"> </w:t>
      </w:r>
      <w:r>
        <w:t xml:space="preserve">(e.g., summed pollutants). </w:t>
      </w:r>
      <w:r w:rsidRPr="005C3C0C">
        <w:t xml:space="preserve">See Appendix </w:t>
      </w:r>
      <w:r w:rsidR="00C72385">
        <w:t>K</w:t>
      </w:r>
      <w:r>
        <w:t xml:space="preserve"> for a </w:t>
      </w:r>
      <w:r w:rsidR="00A234C9">
        <w:t xml:space="preserve">list </w:t>
      </w:r>
      <w:r>
        <w:t xml:space="preserve">of pollutants that were summed for comparison with a </w:t>
      </w:r>
      <w:r w:rsidR="006E3DE8">
        <w:t>water quality objective or evaluation guideline</w:t>
      </w:r>
      <w:r>
        <w:t xml:space="preserve">. Additionally, some </w:t>
      </w:r>
      <w:r w:rsidR="007C44C2">
        <w:t>evaluation guideline</w:t>
      </w:r>
      <w:r>
        <w:t xml:space="preserve"> sources provided multiple chronic </w:t>
      </w:r>
      <w:r w:rsidR="00C7770A">
        <w:t xml:space="preserve">criteria </w:t>
      </w:r>
      <w:r>
        <w:t xml:space="preserve">from which one </w:t>
      </w:r>
      <w:r w:rsidR="003A6F6E">
        <w:t xml:space="preserve">evaluation guideline was </w:t>
      </w:r>
      <w:r>
        <w:t>selected for assessment. The following subsections provide information on data manipulation for specific pollutants and selection of evaluation guidelines.</w:t>
      </w:r>
      <w:r w:rsidR="006E3DE8">
        <w:t xml:space="preserve"> </w:t>
      </w:r>
      <w:r w:rsidR="002C2D87">
        <w:t xml:space="preserve"> </w:t>
      </w:r>
    </w:p>
    <w:p w14:paraId="17EA4BC2" w14:textId="7E3FE009" w:rsidR="006027C6" w:rsidRPr="006027C6" w:rsidRDefault="00AC7373" w:rsidP="006027C6">
      <w:pPr>
        <w:pStyle w:val="Heading3"/>
      </w:pPr>
      <w:bookmarkStart w:id="95" w:name="_Toc189048575"/>
      <w:r>
        <w:t>Pesticides</w:t>
      </w:r>
      <w:r w:rsidR="001C51EA">
        <w:t xml:space="preserve"> </w:t>
      </w:r>
      <w:r w:rsidR="006E0B4F">
        <w:t>and Other Organic Chemicals</w:t>
      </w:r>
      <w:bookmarkEnd w:id="95"/>
    </w:p>
    <w:p w14:paraId="45951FA9" w14:textId="05A28546" w:rsidR="00A05144" w:rsidRPr="00240EA4" w:rsidRDefault="00EB5334" w:rsidP="00A05144">
      <w:pPr>
        <w:rPr>
          <w:rStyle w:val="IntenseEmphasis"/>
        </w:rPr>
      </w:pPr>
      <w:r w:rsidRPr="00240EA4">
        <w:rPr>
          <w:rStyle w:val="IntenseEmphasis"/>
        </w:rPr>
        <w:t>USEPA Aquatic Life Benchmarks</w:t>
      </w:r>
    </w:p>
    <w:p w14:paraId="06CDDDC5" w14:textId="13B7343E" w:rsidR="00AF37AA" w:rsidRDefault="00AF37AA" w:rsidP="00AF37AA">
      <w:pPr>
        <w:rPr>
          <w:rFonts w:eastAsia="Arial" w:cs="Arial"/>
          <w:color w:val="000000" w:themeColor="text1"/>
          <w:szCs w:val="24"/>
        </w:rPr>
      </w:pPr>
      <w:r w:rsidRPr="003E3C5A">
        <w:rPr>
          <w:rFonts w:cs="Arial"/>
          <w:color w:val="000000" w:themeColor="text1"/>
          <w:szCs w:val="24"/>
        </w:rPr>
        <w:t>Aquatic Life Benchmarks are based on toxicity values from scientific studies reviewed by the USEPA and a risk assessment process for pesticides. The Aquatic Life Benchmarks are estimate</w:t>
      </w:r>
      <w:r w:rsidR="003735FB">
        <w:rPr>
          <w:rFonts w:cs="Arial"/>
          <w:color w:val="000000" w:themeColor="text1"/>
          <w:szCs w:val="24"/>
        </w:rPr>
        <w:t>s</w:t>
      </w:r>
      <w:r w:rsidRPr="003E3C5A">
        <w:rPr>
          <w:rFonts w:cs="Arial"/>
          <w:color w:val="000000" w:themeColor="text1"/>
          <w:szCs w:val="24"/>
        </w:rPr>
        <w:t xml:space="preserve"> of pesticide concentration</w:t>
      </w:r>
      <w:r w:rsidR="003735FB">
        <w:rPr>
          <w:rFonts w:cs="Arial"/>
          <w:color w:val="000000" w:themeColor="text1"/>
          <w:szCs w:val="24"/>
        </w:rPr>
        <w:t>s</w:t>
      </w:r>
      <w:r w:rsidRPr="003E3C5A">
        <w:rPr>
          <w:rFonts w:cs="Arial"/>
          <w:color w:val="000000" w:themeColor="text1"/>
          <w:szCs w:val="24"/>
        </w:rPr>
        <w:t xml:space="preserve"> below which there </w:t>
      </w:r>
      <w:r w:rsidR="003735FB">
        <w:rPr>
          <w:rFonts w:cs="Arial"/>
          <w:color w:val="000000" w:themeColor="text1"/>
          <w:szCs w:val="24"/>
        </w:rPr>
        <w:t>are</w:t>
      </w:r>
      <w:r w:rsidRPr="003E3C5A">
        <w:rPr>
          <w:rFonts w:cs="Arial"/>
          <w:color w:val="000000" w:themeColor="text1"/>
          <w:szCs w:val="24"/>
        </w:rPr>
        <w:t xml:space="preserve"> not expected to be a risk of concern to aquatic life. Chronic and acute </w:t>
      </w:r>
      <w:r w:rsidR="00FA264E" w:rsidRPr="003E3C5A">
        <w:rPr>
          <w:rFonts w:cs="Arial"/>
          <w:color w:val="000000" w:themeColor="text1"/>
          <w:szCs w:val="24"/>
        </w:rPr>
        <w:t xml:space="preserve">Aquatic Life Benchmarks </w:t>
      </w:r>
      <w:r w:rsidRPr="003E3C5A">
        <w:rPr>
          <w:rFonts w:cs="Arial"/>
          <w:color w:val="000000" w:themeColor="text1"/>
          <w:szCs w:val="24"/>
        </w:rPr>
        <w:t>were available for nonvascular and vascular plants, invertebrates, and fish. For each pesticide, the lowest (i.e., most stringent) Aquatic Life Benchmark</w:t>
      </w:r>
      <w:r w:rsidR="003167E5">
        <w:rPr>
          <w:rFonts w:cs="Arial"/>
          <w:color w:val="000000" w:themeColor="text1"/>
          <w:szCs w:val="24"/>
        </w:rPr>
        <w:t xml:space="preserve"> was</w:t>
      </w:r>
      <w:r w:rsidRPr="003E3C5A">
        <w:rPr>
          <w:rFonts w:cs="Arial"/>
          <w:color w:val="000000" w:themeColor="text1"/>
          <w:szCs w:val="24"/>
        </w:rPr>
        <w:t xml:space="preserve"> selected as an evaluation guideline in accordance with Listing Policy section 6.1.3.</w:t>
      </w:r>
    </w:p>
    <w:p w14:paraId="418D2105" w14:textId="77777777" w:rsidR="007B729D" w:rsidRPr="00240EA4" w:rsidRDefault="007B729D" w:rsidP="007B729D">
      <w:pPr>
        <w:rPr>
          <w:rStyle w:val="IntenseEmphasis"/>
        </w:rPr>
      </w:pPr>
      <w:r w:rsidRPr="00240EA4">
        <w:rPr>
          <w:rStyle w:val="IntenseEmphasis"/>
        </w:rPr>
        <w:t xml:space="preserve">USEPA Ecotoxicity Database </w:t>
      </w:r>
    </w:p>
    <w:p w14:paraId="5E389BF9" w14:textId="6AF3D53B" w:rsidR="007B729D" w:rsidRPr="00950E2A" w:rsidRDefault="007B729D" w:rsidP="007B729D">
      <w:pPr>
        <w:rPr>
          <w:rFonts w:eastAsia="Arial" w:cs="Arial"/>
          <w:color w:val="000000" w:themeColor="text1"/>
          <w:szCs w:val="24"/>
        </w:rPr>
      </w:pPr>
      <w:r w:rsidRPr="00950E2A">
        <w:rPr>
          <w:rFonts w:eastAsia="Arial" w:cs="Arial"/>
          <w:color w:val="000000" w:themeColor="text1"/>
          <w:szCs w:val="24"/>
        </w:rPr>
        <w:t>The</w:t>
      </w:r>
      <w:r w:rsidR="00B42521" w:rsidDel="00800AAD">
        <w:rPr>
          <w:rFonts w:eastAsia="Arial" w:cs="Arial"/>
          <w:color w:val="000000" w:themeColor="text1"/>
          <w:szCs w:val="24"/>
        </w:rPr>
        <w:t xml:space="preserve"> </w:t>
      </w:r>
      <w:r w:rsidRPr="00950E2A">
        <w:rPr>
          <w:rFonts w:eastAsia="Arial" w:cs="Arial"/>
          <w:color w:val="000000" w:themeColor="text1"/>
          <w:szCs w:val="24"/>
        </w:rPr>
        <w:t xml:space="preserve">Ecotoxicity Database </w:t>
      </w:r>
      <w:r>
        <w:rPr>
          <w:rFonts w:eastAsia="Arial" w:cs="Arial"/>
          <w:color w:val="000000" w:themeColor="text1"/>
          <w:szCs w:val="24"/>
        </w:rPr>
        <w:t>stores toxicity studies for individual chemical</w:t>
      </w:r>
      <w:r w:rsidR="001B2CE6">
        <w:rPr>
          <w:rFonts w:eastAsia="Arial" w:cs="Arial"/>
          <w:color w:val="000000" w:themeColor="text1"/>
          <w:szCs w:val="24"/>
        </w:rPr>
        <w:t>s</w:t>
      </w:r>
      <w:r w:rsidRPr="00950E2A">
        <w:rPr>
          <w:rFonts w:eastAsia="Arial" w:cs="Arial"/>
          <w:color w:val="000000" w:themeColor="text1"/>
          <w:szCs w:val="24"/>
        </w:rPr>
        <w:t>. A</w:t>
      </w:r>
      <w:r w:rsidR="00D85E56">
        <w:rPr>
          <w:rFonts w:eastAsia="Arial" w:cs="Arial"/>
          <w:color w:val="000000" w:themeColor="text1"/>
          <w:szCs w:val="24"/>
        </w:rPr>
        <w:t>n</w:t>
      </w:r>
      <w:r w:rsidRPr="00950E2A" w:rsidDel="00D85E56">
        <w:rPr>
          <w:rFonts w:eastAsia="Arial" w:cs="Arial"/>
          <w:color w:val="000000" w:themeColor="text1"/>
          <w:szCs w:val="24"/>
        </w:rPr>
        <w:t xml:space="preserve"> </w:t>
      </w:r>
      <w:r w:rsidR="00D85E56">
        <w:rPr>
          <w:rFonts w:eastAsia="Arial" w:cs="Arial"/>
          <w:color w:val="000000" w:themeColor="text1"/>
          <w:szCs w:val="24"/>
        </w:rPr>
        <w:t>evaluation guideline</w:t>
      </w:r>
      <w:r w:rsidR="00281635">
        <w:rPr>
          <w:rFonts w:eastAsia="Arial" w:cs="Arial"/>
          <w:color w:val="000000" w:themeColor="text1"/>
          <w:szCs w:val="24"/>
        </w:rPr>
        <w:t xml:space="preserve"> selected</w:t>
      </w:r>
      <w:r w:rsidR="00D85E56" w:rsidRPr="00950E2A">
        <w:rPr>
          <w:rFonts w:eastAsia="Arial" w:cs="Arial"/>
          <w:color w:val="000000" w:themeColor="text1"/>
          <w:szCs w:val="24"/>
        </w:rPr>
        <w:t xml:space="preserve"> </w:t>
      </w:r>
      <w:r w:rsidRPr="00950E2A">
        <w:rPr>
          <w:rFonts w:eastAsia="Arial" w:cs="Arial"/>
          <w:color w:val="000000" w:themeColor="text1"/>
          <w:szCs w:val="24"/>
        </w:rPr>
        <w:t xml:space="preserve">from the Ecotoxicity Database may be based on a single study or on multiple studies combined as a geomean or maximum acceptable toxicant concentration. The lowest (i.e., most stringent) studies that met the following parameters was selected </w:t>
      </w:r>
      <w:r w:rsidR="00926535">
        <w:rPr>
          <w:rFonts w:eastAsia="Arial" w:cs="Arial"/>
          <w:color w:val="000000" w:themeColor="text1"/>
          <w:szCs w:val="24"/>
        </w:rPr>
        <w:t>as evaluation guidelines</w:t>
      </w:r>
      <w:r w:rsidRPr="00950E2A">
        <w:rPr>
          <w:rFonts w:eastAsia="Arial" w:cs="Arial"/>
          <w:color w:val="000000" w:themeColor="text1"/>
          <w:szCs w:val="24"/>
        </w:rPr>
        <w:t>:</w:t>
      </w:r>
    </w:p>
    <w:p w14:paraId="3CC49385" w14:textId="77777777" w:rsidR="007B729D" w:rsidRPr="00950E2A" w:rsidRDefault="007B729D" w:rsidP="007B729D">
      <w:pPr>
        <w:pStyle w:val="ListParagraph"/>
        <w:numPr>
          <w:ilvl w:val="0"/>
          <w:numId w:val="5"/>
        </w:numPr>
        <w:rPr>
          <w:rFonts w:eastAsia="Arial" w:cs="Arial"/>
          <w:color w:val="000000" w:themeColor="text1"/>
          <w:szCs w:val="24"/>
        </w:rPr>
      </w:pPr>
      <w:r w:rsidRPr="00950E2A">
        <w:rPr>
          <w:rFonts w:eastAsia="Arial" w:cs="Arial"/>
          <w:color w:val="000000" w:themeColor="text1"/>
          <w:szCs w:val="24"/>
        </w:rPr>
        <w:t>The study was classified as a core study</w:t>
      </w:r>
    </w:p>
    <w:p w14:paraId="5C5C3D04" w14:textId="77777777" w:rsidR="007B729D" w:rsidRPr="00950E2A" w:rsidRDefault="007B729D" w:rsidP="007B729D">
      <w:pPr>
        <w:pStyle w:val="ListParagraph"/>
        <w:numPr>
          <w:ilvl w:val="0"/>
          <w:numId w:val="5"/>
        </w:numPr>
        <w:rPr>
          <w:rFonts w:eastAsia="Arial" w:cs="Arial"/>
          <w:color w:val="000000" w:themeColor="text1"/>
          <w:szCs w:val="24"/>
        </w:rPr>
      </w:pPr>
      <w:r w:rsidRPr="00950E2A">
        <w:rPr>
          <w:rFonts w:eastAsia="Arial" w:cs="Arial"/>
          <w:color w:val="000000" w:themeColor="text1"/>
          <w:szCs w:val="24"/>
        </w:rPr>
        <w:t>The study was conducted on freshwater</w:t>
      </w:r>
    </w:p>
    <w:p w14:paraId="599DAB47" w14:textId="77777777" w:rsidR="007B729D" w:rsidRPr="00950E2A" w:rsidRDefault="007B729D" w:rsidP="007B729D">
      <w:pPr>
        <w:pStyle w:val="ListParagraph"/>
        <w:numPr>
          <w:ilvl w:val="0"/>
          <w:numId w:val="5"/>
        </w:numPr>
        <w:rPr>
          <w:rFonts w:eastAsia="Arial" w:cs="Arial"/>
          <w:color w:val="000000" w:themeColor="text1"/>
          <w:szCs w:val="24"/>
        </w:rPr>
      </w:pPr>
      <w:r w:rsidRPr="00950E2A">
        <w:rPr>
          <w:rFonts w:eastAsia="Arial" w:cs="Arial"/>
          <w:color w:val="000000" w:themeColor="text1"/>
          <w:szCs w:val="24"/>
        </w:rPr>
        <w:t>The chemical used in the study was greater than 80% pure</w:t>
      </w:r>
    </w:p>
    <w:p w14:paraId="10C0A10E" w14:textId="77777777" w:rsidR="007B729D" w:rsidRPr="00950E2A" w:rsidRDefault="007B729D" w:rsidP="007B729D">
      <w:pPr>
        <w:pStyle w:val="ListParagraph"/>
        <w:numPr>
          <w:ilvl w:val="0"/>
          <w:numId w:val="5"/>
        </w:numPr>
        <w:rPr>
          <w:rFonts w:eastAsia="Arial" w:cs="Arial"/>
          <w:color w:val="000000" w:themeColor="text1"/>
          <w:szCs w:val="24"/>
        </w:rPr>
      </w:pPr>
      <w:r w:rsidRPr="00950E2A">
        <w:rPr>
          <w:rFonts w:eastAsia="Arial" w:cs="Arial"/>
          <w:color w:val="000000" w:themeColor="text1"/>
          <w:szCs w:val="24"/>
        </w:rPr>
        <w:t>The endpoint in the study was linked to survival, growth, or reproduction</w:t>
      </w:r>
    </w:p>
    <w:p w14:paraId="48EF5CE5" w14:textId="523F05B6" w:rsidR="007B729D" w:rsidRPr="00950E2A" w:rsidRDefault="007B729D" w:rsidP="007B729D">
      <w:pPr>
        <w:pStyle w:val="ListParagraph"/>
        <w:numPr>
          <w:ilvl w:val="0"/>
          <w:numId w:val="5"/>
        </w:numPr>
        <w:rPr>
          <w:rFonts w:eastAsia="Arial" w:cs="Arial"/>
          <w:color w:val="000000" w:themeColor="text1"/>
          <w:szCs w:val="24"/>
        </w:rPr>
      </w:pPr>
      <w:r w:rsidRPr="00950E2A">
        <w:rPr>
          <w:rFonts w:eastAsia="Arial" w:cs="Arial"/>
          <w:color w:val="000000" w:themeColor="text1"/>
          <w:szCs w:val="24"/>
        </w:rPr>
        <w:t>The species studied was in a family that resides in North America</w:t>
      </w:r>
    </w:p>
    <w:p w14:paraId="21CB899F" w14:textId="77777777" w:rsidR="007B729D" w:rsidRPr="00950E2A" w:rsidRDefault="007B729D" w:rsidP="007B729D">
      <w:pPr>
        <w:pStyle w:val="ListParagraph"/>
        <w:numPr>
          <w:ilvl w:val="0"/>
          <w:numId w:val="5"/>
        </w:numPr>
        <w:rPr>
          <w:rFonts w:eastAsia="Arial" w:cs="Arial"/>
          <w:color w:val="000000" w:themeColor="text1"/>
          <w:szCs w:val="24"/>
        </w:rPr>
      </w:pPr>
      <w:r w:rsidRPr="00950E2A">
        <w:rPr>
          <w:rFonts w:eastAsia="Arial" w:cs="Arial"/>
          <w:color w:val="000000" w:themeColor="text1"/>
          <w:szCs w:val="24"/>
        </w:rPr>
        <w:t>The acceptable standard or equivalent method was used</w:t>
      </w:r>
    </w:p>
    <w:p w14:paraId="5066DA8F" w14:textId="5FC85825" w:rsidR="00D74265" w:rsidRPr="00FF4B1B" w:rsidRDefault="007B729D" w:rsidP="00D74265">
      <w:pPr>
        <w:pStyle w:val="ListParagraph"/>
        <w:numPr>
          <w:ilvl w:val="0"/>
          <w:numId w:val="5"/>
        </w:numPr>
        <w:rPr>
          <w:rFonts w:eastAsia="Arial" w:cs="Arial"/>
          <w:color w:val="000000" w:themeColor="text1"/>
        </w:rPr>
      </w:pPr>
      <w:r w:rsidRPr="75C0A92C">
        <w:rPr>
          <w:rFonts w:eastAsia="Arial" w:cs="Arial"/>
          <w:color w:val="000000" w:themeColor="text1"/>
        </w:rPr>
        <w:t>The toxicity values were calculated or were calculable (</w:t>
      </w:r>
      <w:r w:rsidR="00AC26DA">
        <w:rPr>
          <w:rFonts w:eastAsia="Arial" w:cs="Arial"/>
          <w:color w:val="000000" w:themeColor="text1"/>
        </w:rPr>
        <w:t>e.g</w:t>
      </w:r>
      <w:r w:rsidRPr="75C0A92C">
        <w:rPr>
          <w:rFonts w:eastAsia="Arial" w:cs="Arial"/>
          <w:color w:val="000000" w:themeColor="text1"/>
        </w:rPr>
        <w:t>., LC50)</w:t>
      </w:r>
    </w:p>
    <w:p w14:paraId="6182D229" w14:textId="77777777" w:rsidR="00D74265" w:rsidRPr="005E7C5B" w:rsidRDefault="00D74265" w:rsidP="00D74265">
      <w:pPr>
        <w:rPr>
          <w:rStyle w:val="IntenseEmphasis"/>
        </w:rPr>
      </w:pPr>
      <w:r w:rsidRPr="005E7C5B">
        <w:rPr>
          <w:rStyle w:val="IntenseEmphasis"/>
        </w:rPr>
        <w:t>Pyrethroids</w:t>
      </w:r>
    </w:p>
    <w:p w14:paraId="3A052A38" w14:textId="73480A7A" w:rsidR="00790527" w:rsidRPr="00950E2A" w:rsidRDefault="00790527" w:rsidP="00790527">
      <w:pPr>
        <w:spacing w:line="257" w:lineRule="auto"/>
        <w:rPr>
          <w:rFonts w:eastAsia="Arial" w:cs="Arial"/>
          <w:color w:val="000000" w:themeColor="text1"/>
          <w:szCs w:val="24"/>
        </w:rPr>
      </w:pPr>
      <w:r w:rsidRPr="00950E2A">
        <w:rPr>
          <w:rFonts w:eastAsia="Arial" w:cs="Arial"/>
          <w:color w:val="000000" w:themeColor="text1"/>
          <w:szCs w:val="24"/>
        </w:rPr>
        <w:t xml:space="preserve">Water matrix pyrethroid data for bifenthrin, cyfluthrin, cypermethrin, lambda cyhalothrin, esfenvalerate, and permethrin were compared to numeric pyrethroid chronic concentration goals from the Central Valley Water Quality Control Plan, as amended by Resolution R5-2017-0057, </w:t>
      </w:r>
      <w:r w:rsidRPr="00950E2A">
        <w:rPr>
          <w:rFonts w:cs="Arial"/>
          <w:szCs w:val="24"/>
        </w:rPr>
        <w:t>to assess the Warm Freshwater Habitat (“WARM”) and Cold Freshwater Habitat (“COLD”) beneficial uses</w:t>
      </w:r>
      <w:r w:rsidRPr="00950E2A">
        <w:rPr>
          <w:rFonts w:eastAsia="Arial" w:cs="Arial"/>
          <w:color w:val="000000" w:themeColor="text1"/>
          <w:szCs w:val="24"/>
        </w:rPr>
        <w:t xml:space="preserve">. </w:t>
      </w:r>
      <w:r w:rsidR="00655913">
        <w:rPr>
          <w:rFonts w:eastAsia="Arial" w:cs="Arial"/>
          <w:color w:val="000000" w:themeColor="text1"/>
          <w:szCs w:val="24"/>
        </w:rPr>
        <w:t xml:space="preserve">The </w:t>
      </w:r>
      <w:r w:rsidR="00655913" w:rsidRPr="00950E2A">
        <w:rPr>
          <w:rFonts w:eastAsia="Arial" w:cs="Arial"/>
          <w:color w:val="000000" w:themeColor="text1"/>
          <w:szCs w:val="24"/>
        </w:rPr>
        <w:t>numeric pyrethroid chronic concentration goals</w:t>
      </w:r>
      <w:r w:rsidR="00A53274">
        <w:rPr>
          <w:rFonts w:eastAsia="Arial" w:cs="Arial"/>
          <w:color w:val="000000" w:themeColor="text1"/>
          <w:szCs w:val="24"/>
        </w:rPr>
        <w:t xml:space="preserve"> are used as evaluation guidelines consistent with Listing Policy section </w:t>
      </w:r>
      <w:r w:rsidR="00A53274" w:rsidRPr="003E3C5A">
        <w:rPr>
          <w:rFonts w:cs="Arial"/>
          <w:color w:val="000000" w:themeColor="text1"/>
          <w:szCs w:val="24"/>
        </w:rPr>
        <w:t>6.1.3</w:t>
      </w:r>
      <w:r w:rsidR="00A53274">
        <w:rPr>
          <w:rFonts w:cs="Arial"/>
          <w:color w:val="000000" w:themeColor="text1"/>
          <w:szCs w:val="24"/>
        </w:rPr>
        <w:t xml:space="preserve">. </w:t>
      </w:r>
    </w:p>
    <w:p w14:paraId="5F620D32" w14:textId="30AD3DEA" w:rsidR="00790527" w:rsidRPr="00D74265" w:rsidRDefault="00790527" w:rsidP="00BE219A">
      <w:pPr>
        <w:rPr>
          <w:rFonts w:eastAsia="Arial" w:cs="Arial"/>
          <w:color w:val="000000" w:themeColor="text1"/>
          <w:szCs w:val="24"/>
        </w:rPr>
      </w:pPr>
      <w:r w:rsidRPr="00950E2A">
        <w:rPr>
          <w:rFonts w:eastAsia="Arial" w:cs="Arial"/>
          <w:color w:val="000000" w:themeColor="text1"/>
          <w:szCs w:val="24"/>
        </w:rPr>
        <w:t>The pyrethroid evaluation guidelines were originally presented in a series of six updated water quality criteria reports released in 2015 that used the University of California Davis Methodology for Derivation of Pesticide Water Quality Criteria for the Protection of Aquatic Life (Tenbrook et al., 2010) to develop freshwater chronic criteria for the protection of aquatic life for each pyrethroid pesticide (bifenthrin, cyfluthrin, cypermethrin, esfenvalerate, lambda-cyhalothrin, and permethrin). The University of Davis Methodology (“UCDM”) is used to develop freshwater aquatic life criteria based on smaller datasets than what is allowed by the USEPA criteria methodology (USEPA 1985). In the Sacramento River Basin and the San Joaquin River Basin Water Quality Control Plans</w:t>
      </w:r>
      <w:r w:rsidR="00150EAC">
        <w:rPr>
          <w:rFonts w:eastAsia="Arial" w:cs="Arial"/>
          <w:color w:val="000000" w:themeColor="text1"/>
          <w:szCs w:val="24"/>
        </w:rPr>
        <w:t>,</w:t>
      </w:r>
      <w:r w:rsidR="00BE219A" w:rsidRPr="00950E2A">
        <w:rPr>
          <w:rFonts w:eastAsia="Arial" w:cs="Arial"/>
          <w:color w:val="000000" w:themeColor="text1"/>
          <w:szCs w:val="24"/>
        </w:rPr>
        <w:t xml:space="preserve"> the</w:t>
      </w:r>
      <w:r w:rsidRPr="00950E2A">
        <w:rPr>
          <w:rFonts w:eastAsia="Arial" w:cs="Arial"/>
          <w:color w:val="000000" w:themeColor="text1"/>
          <w:szCs w:val="24"/>
        </w:rPr>
        <w:t xml:space="preserve"> 4-day average 5</w:t>
      </w:r>
      <w:r w:rsidRPr="00950E2A">
        <w:rPr>
          <w:rFonts w:eastAsia="Arial" w:cs="Arial"/>
          <w:color w:val="000000" w:themeColor="text1"/>
          <w:szCs w:val="24"/>
          <w:vertAlign w:val="superscript"/>
        </w:rPr>
        <w:t>th</w:t>
      </w:r>
      <w:r w:rsidRPr="00950E2A">
        <w:rPr>
          <w:rFonts w:eastAsia="Arial" w:cs="Arial"/>
          <w:color w:val="000000" w:themeColor="text1"/>
          <w:szCs w:val="24"/>
        </w:rPr>
        <w:t xml:space="preserve"> percentile chronic criteria are used for aquatic life chronic concentration </w:t>
      </w:r>
      <w:r w:rsidR="00BE219A" w:rsidRPr="00950E2A">
        <w:rPr>
          <w:rFonts w:eastAsia="Arial" w:cs="Arial"/>
          <w:color w:val="000000" w:themeColor="text1"/>
          <w:szCs w:val="24"/>
        </w:rPr>
        <w:t>goal</w:t>
      </w:r>
      <w:r w:rsidR="00DB4B6B">
        <w:rPr>
          <w:rFonts w:eastAsia="Arial" w:cs="Arial"/>
          <w:color w:val="000000" w:themeColor="text1"/>
          <w:szCs w:val="24"/>
        </w:rPr>
        <w:t>s</w:t>
      </w:r>
      <w:r w:rsidR="00BE219A" w:rsidRPr="00950E2A">
        <w:rPr>
          <w:rFonts w:eastAsia="Arial" w:cs="Arial"/>
          <w:color w:val="000000" w:themeColor="text1"/>
          <w:szCs w:val="24"/>
        </w:rPr>
        <w:t xml:space="preserve"> </w:t>
      </w:r>
      <w:r w:rsidR="00DB4B6B" w:rsidRPr="00950E2A">
        <w:rPr>
          <w:rFonts w:eastAsia="Arial" w:cs="Arial"/>
          <w:color w:val="000000" w:themeColor="text1"/>
          <w:szCs w:val="24"/>
        </w:rPr>
        <w:t>and a calculation to assess the additive effects of the pyrethroid pesticides</w:t>
      </w:r>
      <w:r w:rsidRPr="00950E2A">
        <w:rPr>
          <w:rFonts w:eastAsia="Arial" w:cs="Arial"/>
          <w:color w:val="000000" w:themeColor="text1"/>
          <w:szCs w:val="24"/>
        </w:rPr>
        <w:t xml:space="preserve"> for </w:t>
      </w:r>
      <w:r w:rsidR="00E602BB">
        <w:rPr>
          <w:rFonts w:eastAsia="Arial" w:cs="Arial"/>
          <w:color w:val="000000" w:themeColor="text1"/>
          <w:szCs w:val="24"/>
        </w:rPr>
        <w:t>six</w:t>
      </w:r>
      <w:r w:rsidRPr="00950E2A">
        <w:rPr>
          <w:rFonts w:eastAsia="Arial" w:cs="Arial"/>
          <w:color w:val="000000" w:themeColor="text1"/>
          <w:szCs w:val="24"/>
        </w:rPr>
        <w:t xml:space="preserve"> pyrethroid </w:t>
      </w:r>
      <w:r w:rsidR="00BE219A" w:rsidRPr="00950E2A">
        <w:rPr>
          <w:rFonts w:eastAsia="Arial" w:cs="Arial"/>
          <w:color w:val="000000" w:themeColor="text1"/>
          <w:szCs w:val="24"/>
        </w:rPr>
        <w:t>pesticide</w:t>
      </w:r>
      <w:r w:rsidR="00DB4B6B">
        <w:rPr>
          <w:rFonts w:eastAsia="Arial" w:cs="Arial"/>
          <w:color w:val="000000" w:themeColor="text1"/>
          <w:szCs w:val="24"/>
        </w:rPr>
        <w:t>s</w:t>
      </w:r>
      <w:r w:rsidRPr="00950E2A">
        <w:rPr>
          <w:rFonts w:eastAsia="Arial" w:cs="Arial"/>
          <w:color w:val="000000" w:themeColor="text1"/>
          <w:szCs w:val="24"/>
        </w:rPr>
        <w:t xml:space="preserve"> (bifenthrin, cyfluthrin, cypermethrin, esfenvalerate, lambda-cyhalothrin, and permethrin). (Sacramento River Basin and San Joaquin River Basin Water Quality Control Plan, Chapter 4, pg. 4-54</w:t>
      </w:r>
      <w:r w:rsidR="00B64892">
        <w:rPr>
          <w:rFonts w:eastAsia="Arial" w:cs="Arial"/>
          <w:color w:val="000000" w:themeColor="text1"/>
          <w:szCs w:val="24"/>
        </w:rPr>
        <w:t>.</w:t>
      </w:r>
      <w:r w:rsidRPr="00950E2A">
        <w:rPr>
          <w:rFonts w:eastAsia="Arial" w:cs="Arial"/>
          <w:color w:val="000000" w:themeColor="text1"/>
          <w:szCs w:val="24"/>
        </w:rPr>
        <w:t>)</w:t>
      </w:r>
    </w:p>
    <w:p w14:paraId="6901DCA4" w14:textId="77777777" w:rsidR="00790527" w:rsidRPr="004502A9" w:rsidRDefault="00790527" w:rsidP="00790527">
      <w:pPr>
        <w:spacing w:line="257" w:lineRule="auto"/>
        <w:rPr>
          <w:rFonts w:eastAsia="Arial" w:cs="Arial"/>
          <w:color w:val="000000" w:themeColor="text1"/>
        </w:rPr>
      </w:pPr>
      <w:r>
        <w:rPr>
          <w:rFonts w:eastAsia="Arial" w:cs="Arial"/>
          <w:color w:val="000000" w:themeColor="text1"/>
        </w:rPr>
        <w:t xml:space="preserve">The calculation sums </w:t>
      </w:r>
      <w:r w:rsidRPr="004502A9">
        <w:rPr>
          <w:rFonts w:eastAsia="Arial" w:cs="Arial"/>
          <w:color w:val="000000" w:themeColor="text1"/>
        </w:rPr>
        <w:t>individually measured pyrethroid concentration-to-chronic-concentration-goal ratios and using</w:t>
      </w:r>
      <w:r w:rsidRPr="004502A9" w:rsidDel="00BC4F21">
        <w:rPr>
          <w:rFonts w:eastAsia="Arial" w:cs="Arial"/>
          <w:color w:val="000000" w:themeColor="text1"/>
        </w:rPr>
        <w:t xml:space="preserve"> </w:t>
      </w:r>
      <w:r w:rsidRPr="004502A9">
        <w:rPr>
          <w:rFonts w:eastAsia="Arial" w:cs="Arial"/>
          <w:color w:val="000000" w:themeColor="text1"/>
        </w:rPr>
        <w:t xml:space="preserve">one concentration goal unit </w:t>
      </w:r>
      <w:r>
        <w:rPr>
          <w:rFonts w:eastAsia="Arial" w:cs="Arial"/>
          <w:color w:val="000000" w:themeColor="text1"/>
        </w:rPr>
        <w:t>(“</w:t>
      </w:r>
      <w:r w:rsidRPr="004502A9">
        <w:rPr>
          <w:rFonts w:eastAsia="Arial" w:cs="Arial"/>
          <w:color w:val="000000" w:themeColor="text1"/>
        </w:rPr>
        <w:t>CGU</w:t>
      </w:r>
      <w:r>
        <w:rPr>
          <w:rFonts w:eastAsia="Arial" w:cs="Arial"/>
          <w:color w:val="000000" w:themeColor="text1"/>
        </w:rPr>
        <w:t>”)</w:t>
      </w:r>
      <w:r w:rsidRPr="004502A9">
        <w:rPr>
          <w:rFonts w:eastAsia="Arial" w:cs="Arial"/>
          <w:color w:val="000000" w:themeColor="text1"/>
        </w:rPr>
        <w:t xml:space="preserve"> according to the following equation:</w:t>
      </w:r>
    </w:p>
    <w:p w14:paraId="077A5C6B" w14:textId="77777777" w:rsidR="00790527" w:rsidRPr="004502A9" w:rsidRDefault="007508E5" w:rsidP="00790527">
      <w:pPr>
        <w:spacing w:line="257" w:lineRule="auto"/>
        <w:jc w:val="center"/>
        <w:rPr>
          <w:rFonts w:eastAsia="Arial" w:cs="Arial"/>
          <w:color w:val="000000" w:themeColor="text1"/>
        </w:rPr>
      </w:pPr>
      <w:r w:rsidRPr="004502A9">
        <w:rPr>
          <w:rFonts w:eastAsia="Arial" w:cs="Arial"/>
          <w:noProof/>
          <w:color w:val="000000" w:themeColor="text1"/>
        </w:rPr>
        <w:drawing>
          <wp:inline distT="0" distB="0" distL="0" distR="0" wp14:anchorId="5225647A" wp14:editId="7F8C7389">
            <wp:extent cx="2711843" cy="457200"/>
            <wp:effectExtent l="0" t="0" r="0" b="0"/>
            <wp:docPr id="1985339516" name="Picture 1985339516" descr="Math Equation: The additive effects were assessed by calculating the sum of individually measured pyrethroid concentration-to-chronic-concentration-goal ratios and using one CG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7).png"/>
                    <pic:cNvPicPr/>
                  </pic:nvPicPr>
                  <pic:blipFill rotWithShape="1">
                    <a:blip r:embed="rId52" cstate="print">
                      <a:extLst>
                        <a:ext uri="{28A0092B-C50C-407E-A947-70E740481C1C}">
                          <a14:useLocalDpi xmlns:a14="http://schemas.microsoft.com/office/drawing/2010/main" val="0"/>
                        </a:ext>
                      </a:extLst>
                    </a:blip>
                    <a:srcRect t="16335" b="17249"/>
                    <a:stretch/>
                  </pic:blipFill>
                  <pic:spPr bwMode="auto">
                    <a:xfrm>
                      <a:off x="0" y="0"/>
                      <a:ext cx="2892179" cy="487604"/>
                    </a:xfrm>
                    <a:prstGeom prst="rect">
                      <a:avLst/>
                    </a:prstGeom>
                    <a:ln>
                      <a:noFill/>
                    </a:ln>
                    <a:extLst>
                      <a:ext uri="{53640926-AAD7-44D8-BBD7-CCE9431645EC}">
                        <a14:shadowObscured xmlns:a14="http://schemas.microsoft.com/office/drawing/2010/main"/>
                      </a:ext>
                    </a:extLst>
                  </pic:spPr>
                </pic:pic>
              </a:graphicData>
            </a:graphic>
          </wp:inline>
        </w:drawing>
      </w:r>
    </w:p>
    <w:p w14:paraId="7C382A5E" w14:textId="77777777" w:rsidR="00790527" w:rsidRPr="004502A9" w:rsidRDefault="00790527" w:rsidP="00790527">
      <w:pPr>
        <w:spacing w:line="257" w:lineRule="auto"/>
        <w:rPr>
          <w:rFonts w:eastAsia="Arial" w:cs="Arial"/>
          <w:color w:val="000000" w:themeColor="text1"/>
        </w:rPr>
      </w:pPr>
      <w:r w:rsidRPr="004502A9">
        <w:rPr>
          <w:rFonts w:eastAsia="Arial" w:cs="Arial"/>
          <w:color w:val="000000" w:themeColor="text1"/>
        </w:rPr>
        <w:t>Where,</w:t>
      </w:r>
    </w:p>
    <w:p w14:paraId="11BE4C84" w14:textId="77777777" w:rsidR="00790527" w:rsidRPr="004502A9" w:rsidRDefault="00790527" w:rsidP="00790527">
      <w:pPr>
        <w:spacing w:after="0" w:line="257" w:lineRule="auto"/>
        <w:rPr>
          <w:rFonts w:eastAsia="Arial" w:cs="Arial"/>
          <w:color w:val="000000" w:themeColor="text1"/>
          <w:szCs w:val="24"/>
        </w:rPr>
      </w:pPr>
      <w:r w:rsidRPr="004502A9">
        <w:rPr>
          <w:rFonts w:eastAsia="Arial" w:cs="Arial"/>
          <w:color w:val="000000" w:themeColor="text1"/>
          <w:szCs w:val="24"/>
        </w:rPr>
        <w:t xml:space="preserve">            C</w:t>
      </w:r>
      <w:r w:rsidRPr="004502A9">
        <w:rPr>
          <w:rFonts w:eastAsia="Arial" w:cs="Arial"/>
          <w:color w:val="000000" w:themeColor="text1"/>
          <w:szCs w:val="24"/>
          <w:vertAlign w:val="subscript"/>
        </w:rPr>
        <w:t xml:space="preserve">1 </w:t>
      </w:r>
      <w:r w:rsidRPr="004502A9">
        <w:rPr>
          <w:rFonts w:eastAsia="Arial" w:cs="Arial"/>
          <w:color w:val="000000" w:themeColor="text1"/>
          <w:szCs w:val="24"/>
        </w:rPr>
        <w:t>= Concentration of pyrethroid 1</w:t>
      </w:r>
    </w:p>
    <w:p w14:paraId="4C8A1AE0" w14:textId="77777777" w:rsidR="00790527" w:rsidRPr="004502A9" w:rsidRDefault="00790527" w:rsidP="00790527">
      <w:pPr>
        <w:spacing w:after="0" w:line="257" w:lineRule="auto"/>
        <w:rPr>
          <w:rFonts w:eastAsia="Arial" w:cs="Arial"/>
          <w:color w:val="000000" w:themeColor="text1"/>
          <w:szCs w:val="24"/>
        </w:rPr>
      </w:pPr>
      <w:r w:rsidRPr="004502A9">
        <w:rPr>
          <w:rFonts w:eastAsia="Arial" w:cs="Arial"/>
          <w:color w:val="000000" w:themeColor="text1"/>
          <w:szCs w:val="24"/>
        </w:rPr>
        <w:t xml:space="preserve">            CCG</w:t>
      </w:r>
      <w:r w:rsidRPr="004502A9">
        <w:rPr>
          <w:rFonts w:eastAsia="Arial" w:cs="Arial"/>
          <w:color w:val="000000" w:themeColor="text1"/>
          <w:szCs w:val="24"/>
          <w:vertAlign w:val="subscript"/>
        </w:rPr>
        <w:t>1</w:t>
      </w:r>
      <w:r w:rsidRPr="004502A9">
        <w:rPr>
          <w:rFonts w:eastAsia="Arial" w:cs="Arial"/>
          <w:color w:val="000000" w:themeColor="text1"/>
          <w:szCs w:val="24"/>
        </w:rPr>
        <w:t xml:space="preserve"> = Chronic Concentration Goal of pyrethroid 1</w:t>
      </w:r>
    </w:p>
    <w:p w14:paraId="6935E2AE" w14:textId="77777777" w:rsidR="00790527" w:rsidRPr="004502A9" w:rsidRDefault="00790527" w:rsidP="00790527">
      <w:pPr>
        <w:spacing w:after="0" w:line="257" w:lineRule="auto"/>
        <w:rPr>
          <w:rFonts w:eastAsia="Arial" w:cs="Arial"/>
          <w:color w:val="000000" w:themeColor="text1"/>
          <w:szCs w:val="24"/>
        </w:rPr>
      </w:pPr>
      <w:r w:rsidRPr="004502A9">
        <w:rPr>
          <w:rFonts w:eastAsia="Arial" w:cs="Arial"/>
          <w:color w:val="000000" w:themeColor="text1"/>
          <w:szCs w:val="24"/>
        </w:rPr>
        <w:t xml:space="preserve">            C</w:t>
      </w:r>
      <w:r w:rsidRPr="004502A9">
        <w:rPr>
          <w:rFonts w:eastAsia="Arial" w:cs="Arial"/>
          <w:color w:val="000000" w:themeColor="text1"/>
          <w:szCs w:val="24"/>
          <w:vertAlign w:val="subscript"/>
        </w:rPr>
        <w:t xml:space="preserve">2 </w:t>
      </w:r>
      <w:r w:rsidRPr="004502A9">
        <w:rPr>
          <w:rFonts w:eastAsia="Arial" w:cs="Arial"/>
          <w:color w:val="000000" w:themeColor="text1"/>
          <w:szCs w:val="24"/>
        </w:rPr>
        <w:t>= Concentration of pyrethroid 2</w:t>
      </w:r>
    </w:p>
    <w:p w14:paraId="53462F36" w14:textId="77777777" w:rsidR="00790527" w:rsidRPr="004502A9" w:rsidRDefault="00790527" w:rsidP="00790527">
      <w:pPr>
        <w:spacing w:line="257" w:lineRule="auto"/>
        <w:rPr>
          <w:rFonts w:eastAsia="Arial" w:cs="Arial"/>
          <w:color w:val="000000" w:themeColor="text1"/>
        </w:rPr>
      </w:pPr>
      <w:r w:rsidRPr="004502A9">
        <w:rPr>
          <w:rFonts w:eastAsia="Arial" w:cs="Arial"/>
          <w:color w:val="000000" w:themeColor="text1"/>
        </w:rPr>
        <w:t xml:space="preserve">            CCG</w:t>
      </w:r>
      <w:r w:rsidRPr="004502A9">
        <w:rPr>
          <w:rFonts w:eastAsia="Arial" w:cs="Arial"/>
          <w:color w:val="000000" w:themeColor="text1"/>
          <w:vertAlign w:val="subscript"/>
        </w:rPr>
        <w:t>2</w:t>
      </w:r>
      <w:r w:rsidRPr="004502A9">
        <w:rPr>
          <w:rFonts w:eastAsia="Arial" w:cs="Arial"/>
          <w:color w:val="000000" w:themeColor="text1"/>
        </w:rPr>
        <w:t xml:space="preserve"> = Chronic Concentration Goal of pyrethroid 2</w:t>
      </w:r>
    </w:p>
    <w:p w14:paraId="468E0A13" w14:textId="6A0E7EC0" w:rsidR="00790527" w:rsidRDefault="00790527" w:rsidP="00790527">
      <w:pPr>
        <w:rPr>
          <w:rFonts w:eastAsia="Arial" w:cs="Arial"/>
          <w:color w:val="000000" w:themeColor="text1"/>
        </w:rPr>
      </w:pPr>
      <w:r w:rsidRPr="006513C3">
        <w:rPr>
          <w:rFonts w:eastAsia="Arial" w:cs="Arial"/>
          <w:color w:val="000000" w:themeColor="text1"/>
        </w:rPr>
        <w:t xml:space="preserve">For </w:t>
      </w:r>
      <w:r w:rsidR="00012712">
        <w:rPr>
          <w:rFonts w:eastAsia="Arial" w:cs="Arial"/>
          <w:color w:val="000000" w:themeColor="text1"/>
        </w:rPr>
        <w:t>i</w:t>
      </w:r>
      <w:r w:rsidRPr="006513C3">
        <w:rPr>
          <w:rFonts w:eastAsia="Arial" w:cs="Arial"/>
          <w:color w:val="000000" w:themeColor="text1"/>
        </w:rPr>
        <w:t xml:space="preserve">ntegrated </w:t>
      </w:r>
      <w:r w:rsidR="00012712">
        <w:rPr>
          <w:rFonts w:eastAsia="Arial" w:cs="Arial"/>
          <w:color w:val="000000" w:themeColor="text1"/>
        </w:rPr>
        <w:t>r</w:t>
      </w:r>
      <w:r w:rsidR="00012712" w:rsidRPr="006513C3">
        <w:rPr>
          <w:rFonts w:eastAsia="Arial" w:cs="Arial"/>
          <w:color w:val="000000" w:themeColor="text1"/>
        </w:rPr>
        <w:t xml:space="preserve">eport </w:t>
      </w:r>
      <w:r w:rsidRPr="006513C3">
        <w:rPr>
          <w:rFonts w:eastAsia="Arial" w:cs="Arial"/>
          <w:color w:val="000000" w:themeColor="text1"/>
        </w:rPr>
        <w:t>pyrethroid assessment</w:t>
      </w:r>
      <w:r w:rsidR="00D25175">
        <w:rPr>
          <w:rFonts w:eastAsia="Arial" w:cs="Arial"/>
          <w:color w:val="000000" w:themeColor="text1"/>
        </w:rPr>
        <w:t>s</w:t>
      </w:r>
      <w:r w:rsidRPr="006513C3">
        <w:rPr>
          <w:rFonts w:eastAsia="Arial" w:cs="Arial"/>
          <w:color w:val="000000" w:themeColor="text1"/>
        </w:rPr>
        <w:t xml:space="preserve">, if the freely dissolved fraction for one of the six pyrethroids </w:t>
      </w:r>
      <w:r w:rsidR="007508E5">
        <w:rPr>
          <w:rFonts w:eastAsia="Arial" w:cs="Arial"/>
          <w:color w:val="000000" w:themeColor="text1"/>
        </w:rPr>
        <w:t>was</w:t>
      </w:r>
      <w:r w:rsidR="007508E5" w:rsidRPr="006513C3">
        <w:rPr>
          <w:rFonts w:eastAsia="Arial" w:cs="Arial"/>
          <w:color w:val="000000" w:themeColor="text1"/>
        </w:rPr>
        <w:t xml:space="preserve"> available, that fraction was preferentially used to assess COLD and WARM beneficial use attainment</w:t>
      </w:r>
      <w:r w:rsidR="007508E5">
        <w:rPr>
          <w:rFonts w:eastAsia="Arial" w:cs="Arial"/>
          <w:color w:val="000000" w:themeColor="text1"/>
        </w:rPr>
        <w:t xml:space="preserve">. The six water quality criteria reports which informed the </w:t>
      </w:r>
      <w:r w:rsidR="00DE18A1" w:rsidRPr="00950E2A">
        <w:rPr>
          <w:rFonts w:eastAsia="Arial" w:cs="Arial"/>
          <w:color w:val="000000" w:themeColor="text1"/>
          <w:szCs w:val="24"/>
        </w:rPr>
        <w:t xml:space="preserve">numeric pyrethroid chronic concentration goals </w:t>
      </w:r>
      <w:r w:rsidR="007508E5">
        <w:rPr>
          <w:rFonts w:eastAsia="Arial" w:cs="Arial"/>
          <w:color w:val="000000" w:themeColor="text1"/>
        </w:rPr>
        <w:t xml:space="preserve">outlined in the Sacramento River Basin and San Joaquin River Basin Water Quality Control Plans </w:t>
      </w:r>
      <w:r w:rsidR="007508E5" w:rsidRPr="00CA39E1">
        <w:rPr>
          <w:rFonts w:eastAsia="Arial" w:cs="Arial"/>
          <w:color w:val="000000" w:themeColor="text1"/>
        </w:rPr>
        <w:t xml:space="preserve">indicate that freely dissolved fraction is the best indicator of toxicity and is recommended for assessment. </w:t>
      </w:r>
      <w:r w:rsidR="007508E5">
        <w:rPr>
          <w:rFonts w:eastAsia="Arial" w:cs="Arial"/>
          <w:color w:val="000000" w:themeColor="text1"/>
        </w:rPr>
        <w:t>However, if the freely dissolved fraction was not available or could not be calculated</w:t>
      </w:r>
      <w:r w:rsidR="007508E5" w:rsidRPr="291FB627">
        <w:rPr>
          <w:rFonts w:eastAsia="Arial" w:cs="Arial"/>
          <w:color w:val="000000" w:themeColor="text1"/>
        </w:rPr>
        <w:t xml:space="preserve"> for</w:t>
      </w:r>
      <w:r w:rsidR="007508E5">
        <w:rPr>
          <w:rFonts w:eastAsia="Arial" w:cs="Arial"/>
          <w:color w:val="000000" w:themeColor="text1"/>
        </w:rPr>
        <w:t xml:space="preserve"> the integrated report assessments, the total fraction was used. The use of total fraction is supported by</w:t>
      </w:r>
      <w:r w:rsidR="007508E5" w:rsidRPr="00CA39E1">
        <w:rPr>
          <w:rFonts w:eastAsia="Arial" w:cs="Arial"/>
          <w:color w:val="000000" w:themeColor="text1"/>
        </w:rPr>
        <w:t xml:space="preserve"> the Water Quality Reports </w:t>
      </w:r>
      <w:r w:rsidR="007508E5">
        <w:rPr>
          <w:rFonts w:eastAsia="Arial" w:cs="Arial"/>
          <w:color w:val="000000" w:themeColor="text1"/>
        </w:rPr>
        <w:t>which</w:t>
      </w:r>
      <w:r w:rsidR="007508E5" w:rsidRPr="00CA39E1">
        <w:rPr>
          <w:rFonts w:eastAsia="Arial" w:cs="Arial"/>
          <w:color w:val="000000" w:themeColor="text1"/>
        </w:rPr>
        <w:t xml:space="preserve"> state that whole water fraction, or total fraction, samples also may be used</w:t>
      </w:r>
      <w:r w:rsidR="00D5738E">
        <w:rPr>
          <w:rFonts w:eastAsia="Arial" w:cs="Arial"/>
          <w:color w:val="000000" w:themeColor="text1"/>
        </w:rPr>
        <w:t xml:space="preserve">. </w:t>
      </w:r>
      <w:r w:rsidR="000A266F">
        <w:rPr>
          <w:rFonts w:eastAsia="Arial" w:cs="Arial"/>
          <w:color w:val="000000" w:themeColor="text1"/>
        </w:rPr>
        <w:t xml:space="preserve"> </w:t>
      </w:r>
    </w:p>
    <w:p w14:paraId="49217F8A" w14:textId="6F3F64DA" w:rsidR="00D22F39" w:rsidRPr="00A255F7" w:rsidRDefault="00BC6B30" w:rsidP="007508E5">
      <w:pPr>
        <w:rPr>
          <w:rStyle w:val="IntenseEmphasis"/>
        </w:rPr>
      </w:pPr>
      <w:r w:rsidRPr="00A255F7">
        <w:rPr>
          <w:rStyle w:val="IntenseEmphasis"/>
        </w:rPr>
        <w:t>Polychlorinated Biphenyls (“PCBs”)</w:t>
      </w:r>
    </w:p>
    <w:p w14:paraId="7D3155E6" w14:textId="574E46AF" w:rsidR="00D22F39" w:rsidRDefault="00D22F39" w:rsidP="00D22F39">
      <w:pPr>
        <w:rPr>
          <w:rFonts w:cs="Arial"/>
          <w:color w:val="000000" w:themeColor="text1"/>
          <w:szCs w:val="24"/>
        </w:rPr>
      </w:pPr>
      <w:r>
        <w:rPr>
          <w:rFonts w:cs="Arial"/>
          <w:color w:val="000000" w:themeColor="text1"/>
          <w:szCs w:val="24"/>
        </w:rPr>
        <w:t xml:space="preserve">PCBs are assessed as either congeners or Aroclors. The PCB congener name (e.g.,PCB 101) is based on the number of chlorines and position of the chlorines on the biphenyl rings. There are 209 PCB congeners. Aroclor is a trademark name (e.g., Aroclor 1254) for a mixture of PCBs. The first two digits of the Aroclor name generally signify the number of carbon atoms on the biphenyl rings and the second two digits are the percent chlorine by mass. </w:t>
      </w:r>
      <w:r w:rsidRPr="00950E2A">
        <w:rPr>
          <w:rFonts w:cs="Arial"/>
          <w:color w:val="000000" w:themeColor="text1"/>
          <w:szCs w:val="24"/>
        </w:rPr>
        <w:t xml:space="preserve">Water matrix PCBs data were </w:t>
      </w:r>
      <w:r>
        <w:rPr>
          <w:rFonts w:cs="Arial"/>
          <w:color w:val="000000" w:themeColor="text1"/>
          <w:szCs w:val="24"/>
        </w:rPr>
        <w:t xml:space="preserve">compared with the CTR chronic criterion. Following CTR guidance, the </w:t>
      </w:r>
      <w:r w:rsidRPr="00950E2A">
        <w:rPr>
          <w:rFonts w:cs="Arial"/>
          <w:color w:val="000000" w:themeColor="text1"/>
          <w:szCs w:val="24"/>
        </w:rPr>
        <w:t>seven PCB Aroclors</w:t>
      </w:r>
      <w:r>
        <w:rPr>
          <w:rFonts w:cs="Arial"/>
          <w:color w:val="000000" w:themeColor="text1"/>
          <w:szCs w:val="24"/>
        </w:rPr>
        <w:t xml:space="preserve"> were summed for</w:t>
      </w:r>
      <w:r w:rsidRPr="00950E2A">
        <w:rPr>
          <w:rFonts w:cs="Arial"/>
          <w:color w:val="000000" w:themeColor="text1"/>
          <w:szCs w:val="24"/>
        </w:rPr>
        <w:t xml:space="preserve"> aquatic life and either all congeners or all Aroclors </w:t>
      </w:r>
      <w:r>
        <w:rPr>
          <w:rFonts w:cs="Arial"/>
          <w:color w:val="000000" w:themeColor="text1"/>
          <w:szCs w:val="24"/>
        </w:rPr>
        <w:t>were summed f</w:t>
      </w:r>
      <w:r w:rsidRPr="00950E2A">
        <w:rPr>
          <w:rFonts w:cs="Arial"/>
          <w:color w:val="000000" w:themeColor="text1"/>
          <w:szCs w:val="24"/>
        </w:rPr>
        <w:t>or human health</w:t>
      </w:r>
      <w:r>
        <w:rPr>
          <w:rFonts w:cs="Arial"/>
          <w:color w:val="000000" w:themeColor="text1"/>
          <w:szCs w:val="24"/>
        </w:rPr>
        <w:t>.</w:t>
      </w:r>
    </w:p>
    <w:p w14:paraId="6A4CCA2D" w14:textId="14799DE7" w:rsidR="00D826B2" w:rsidRPr="00B80F8A" w:rsidRDefault="00E962B8" w:rsidP="00D826B2">
      <w:pPr>
        <w:rPr>
          <w:rStyle w:val="IntenseEmphasis"/>
        </w:rPr>
      </w:pPr>
      <w:r w:rsidRPr="00B80F8A">
        <w:rPr>
          <w:rStyle w:val="IntenseEmphasis"/>
        </w:rPr>
        <w:t>P</w:t>
      </w:r>
      <w:r w:rsidR="00D826B2" w:rsidRPr="00B80F8A">
        <w:rPr>
          <w:rStyle w:val="IntenseEmphasis"/>
        </w:rPr>
        <w:t>entachlorophenol</w:t>
      </w:r>
    </w:p>
    <w:p w14:paraId="1EF50CD9" w14:textId="77777777" w:rsidR="00D826B2" w:rsidRDefault="00D826B2" w:rsidP="00D826B2">
      <w:pPr>
        <w:rPr>
          <w:rFonts w:cs="Arial"/>
          <w:color w:val="000000" w:themeColor="text1"/>
          <w:szCs w:val="24"/>
        </w:rPr>
      </w:pPr>
      <w:r w:rsidRPr="00950E2A">
        <w:rPr>
          <w:rFonts w:cs="Arial"/>
          <w:color w:val="000000" w:themeColor="text1"/>
          <w:szCs w:val="24"/>
        </w:rPr>
        <w:t>CTR guidance was followed to derive aquatic life criteria dependent on pH for the organochlorine pentachlorophenol.</w:t>
      </w:r>
    </w:p>
    <w:p w14:paraId="39FA94E8" w14:textId="649BFF8B" w:rsidR="00D826B2" w:rsidRPr="0045587C" w:rsidRDefault="00D826B2" w:rsidP="00E962B8">
      <w:pPr>
        <w:pStyle w:val="Heading3"/>
      </w:pPr>
      <w:bookmarkStart w:id="96" w:name="_Toc189048576"/>
      <w:r w:rsidRPr="0045587C">
        <w:t>Pesticide Reassessments</w:t>
      </w:r>
      <w:r>
        <w:t xml:space="preserve"> </w:t>
      </w:r>
      <w:r w:rsidRPr="0045587C">
        <w:t>- USEPA Aquatic Life Benchmarks</w:t>
      </w:r>
      <w:bookmarkEnd w:id="96"/>
    </w:p>
    <w:p w14:paraId="08727408" w14:textId="0C916768" w:rsidR="00701A02" w:rsidRDefault="00701A02" w:rsidP="007E02C9">
      <w:pPr>
        <w:rPr>
          <w:rFonts w:cs="Arial"/>
          <w:color w:val="000000" w:themeColor="text1"/>
          <w:szCs w:val="24"/>
        </w:rPr>
      </w:pPr>
      <w:r>
        <w:rPr>
          <w:rFonts w:cs="Arial"/>
          <w:color w:val="000000" w:themeColor="text1"/>
          <w:szCs w:val="24"/>
        </w:rPr>
        <w:t>Pesticide data</w:t>
      </w:r>
      <w:r w:rsidR="00862284">
        <w:rPr>
          <w:rFonts w:cs="Arial"/>
          <w:color w:val="000000" w:themeColor="text1"/>
          <w:szCs w:val="24"/>
        </w:rPr>
        <w:t xml:space="preserve"> in the water matrix </w:t>
      </w:r>
      <w:r w:rsidR="002B6775">
        <w:rPr>
          <w:rFonts w:cs="Arial"/>
          <w:color w:val="000000" w:themeColor="text1"/>
          <w:szCs w:val="24"/>
        </w:rPr>
        <w:t>were</w:t>
      </w:r>
      <w:r w:rsidR="008E22AD">
        <w:rPr>
          <w:rFonts w:cs="Arial"/>
          <w:color w:val="000000" w:themeColor="text1"/>
          <w:szCs w:val="24"/>
        </w:rPr>
        <w:t xml:space="preserve"> assessed to determine attainment of aquatic life beneficial uses</w:t>
      </w:r>
      <w:r w:rsidR="006632B8">
        <w:rPr>
          <w:rFonts w:cs="Arial"/>
          <w:color w:val="000000" w:themeColor="text1"/>
          <w:szCs w:val="24"/>
        </w:rPr>
        <w:t xml:space="preserve"> (e.g., WARM, COLD) and the </w:t>
      </w:r>
      <w:r w:rsidR="002E2C30">
        <w:rPr>
          <w:rFonts w:cs="Arial"/>
          <w:color w:val="000000" w:themeColor="text1"/>
          <w:szCs w:val="24"/>
        </w:rPr>
        <w:t xml:space="preserve">narrative </w:t>
      </w:r>
      <w:r w:rsidR="006632B8">
        <w:rPr>
          <w:rFonts w:cs="Arial"/>
          <w:color w:val="000000" w:themeColor="text1"/>
          <w:szCs w:val="24"/>
        </w:rPr>
        <w:t>toxicity water quality objective</w:t>
      </w:r>
      <w:r w:rsidR="00F062B0">
        <w:rPr>
          <w:rFonts w:cs="Arial"/>
          <w:color w:val="000000" w:themeColor="text1"/>
          <w:szCs w:val="24"/>
        </w:rPr>
        <w:t xml:space="preserve">. The </w:t>
      </w:r>
      <w:r w:rsidR="002E2C30">
        <w:rPr>
          <w:rFonts w:cs="Arial"/>
          <w:color w:val="000000" w:themeColor="text1"/>
          <w:szCs w:val="24"/>
        </w:rPr>
        <w:t xml:space="preserve">narrative </w:t>
      </w:r>
      <w:r w:rsidR="00F062B0">
        <w:rPr>
          <w:rFonts w:cs="Arial"/>
          <w:color w:val="000000" w:themeColor="text1"/>
          <w:szCs w:val="24"/>
        </w:rPr>
        <w:t xml:space="preserve">toxicity water quality objective </w:t>
      </w:r>
      <w:r w:rsidR="002E2C30">
        <w:rPr>
          <w:rFonts w:cs="Arial"/>
          <w:color w:val="000000" w:themeColor="text1"/>
          <w:szCs w:val="24"/>
        </w:rPr>
        <w:t>in most basin plans states that w</w:t>
      </w:r>
      <w:r w:rsidR="00C24CC8" w:rsidRPr="00C24CC8">
        <w:rPr>
          <w:rFonts w:cs="Arial"/>
          <w:color w:val="000000" w:themeColor="text1"/>
          <w:szCs w:val="24"/>
        </w:rPr>
        <w:t>aters shall not contain toxic substances in concentrations that are toxic to, or that produce detrimental physiological responses in human, plant, animal, or aquatic life.</w:t>
      </w:r>
      <w:r w:rsidR="005111BF">
        <w:rPr>
          <w:rFonts w:cs="Arial"/>
          <w:color w:val="000000" w:themeColor="text1"/>
          <w:szCs w:val="24"/>
        </w:rPr>
        <w:t xml:space="preserve"> </w:t>
      </w:r>
      <w:r w:rsidR="00154E8A">
        <w:rPr>
          <w:rFonts w:cs="Arial"/>
          <w:color w:val="000000" w:themeColor="text1"/>
          <w:szCs w:val="24"/>
        </w:rPr>
        <w:t>In accordance with Listing Policy section 6.1.3,</w:t>
      </w:r>
      <w:r w:rsidR="006F7175">
        <w:rPr>
          <w:rFonts w:cs="Arial"/>
          <w:color w:val="000000" w:themeColor="text1"/>
          <w:szCs w:val="24"/>
        </w:rPr>
        <w:t xml:space="preserve"> the narrative toxicity objective was evaluated using a numeric evaluation guideline.</w:t>
      </w:r>
    </w:p>
    <w:p w14:paraId="242D5BD6" w14:textId="6B1095D9" w:rsidR="00561840" w:rsidRDefault="00D826B2" w:rsidP="00561840">
      <w:r w:rsidRPr="186C60C1">
        <w:rPr>
          <w:rFonts w:cs="Arial"/>
          <w:color w:val="000000" w:themeColor="text1"/>
        </w:rPr>
        <w:t xml:space="preserve">In previous </w:t>
      </w:r>
      <w:r w:rsidR="00341459" w:rsidRPr="186C60C1">
        <w:rPr>
          <w:rFonts w:cs="Arial"/>
          <w:color w:val="000000" w:themeColor="text1"/>
        </w:rPr>
        <w:t>integrated</w:t>
      </w:r>
      <w:r w:rsidR="005427CE" w:rsidRPr="186C60C1">
        <w:rPr>
          <w:rFonts w:cs="Arial"/>
          <w:color w:val="000000" w:themeColor="text1"/>
        </w:rPr>
        <w:t xml:space="preserve"> reports</w:t>
      </w:r>
      <w:r w:rsidRPr="186C60C1">
        <w:rPr>
          <w:rFonts w:cs="Arial"/>
          <w:color w:val="000000" w:themeColor="text1"/>
        </w:rPr>
        <w:t xml:space="preserve">, water matrix pesticide data were generally assessed </w:t>
      </w:r>
      <w:r w:rsidR="00D97E8A" w:rsidRPr="186C60C1">
        <w:rPr>
          <w:rFonts w:cs="Arial"/>
          <w:color w:val="000000" w:themeColor="text1"/>
        </w:rPr>
        <w:t>using</w:t>
      </w:r>
      <w:r w:rsidRPr="186C60C1">
        <w:rPr>
          <w:rFonts w:cs="Arial"/>
          <w:color w:val="000000" w:themeColor="text1"/>
        </w:rPr>
        <w:t xml:space="preserve"> evaluation guidelines selected from the USEPA Ecotoxicity Database. For the 2026 California Integrated Report, data </w:t>
      </w:r>
      <w:r w:rsidR="00DB1B38" w:rsidRPr="186C60C1">
        <w:rPr>
          <w:rFonts w:cs="Arial"/>
          <w:color w:val="000000" w:themeColor="text1"/>
        </w:rPr>
        <w:t xml:space="preserve">from previous cycles </w:t>
      </w:r>
      <w:r w:rsidR="000165CB" w:rsidRPr="186C60C1">
        <w:rPr>
          <w:rFonts w:cs="Arial"/>
          <w:color w:val="000000" w:themeColor="text1"/>
        </w:rPr>
        <w:t>were</w:t>
      </w:r>
      <w:r w:rsidR="005711B4" w:rsidRPr="186C60C1">
        <w:rPr>
          <w:rFonts w:cs="Arial"/>
          <w:color w:val="000000" w:themeColor="text1"/>
        </w:rPr>
        <w:t xml:space="preserve"> re</w:t>
      </w:r>
      <w:r w:rsidRPr="186C60C1">
        <w:rPr>
          <w:rFonts w:cs="Arial"/>
          <w:color w:val="000000" w:themeColor="text1"/>
        </w:rPr>
        <w:t>assessed and new data</w:t>
      </w:r>
      <w:r w:rsidR="00B7601B" w:rsidRPr="186C60C1">
        <w:rPr>
          <w:rFonts w:cs="Arial"/>
          <w:color w:val="000000" w:themeColor="text1"/>
        </w:rPr>
        <w:t xml:space="preserve"> </w:t>
      </w:r>
      <w:r w:rsidR="000165CB" w:rsidRPr="186C60C1">
        <w:rPr>
          <w:rFonts w:cs="Arial"/>
          <w:color w:val="000000" w:themeColor="text1"/>
        </w:rPr>
        <w:t>were</w:t>
      </w:r>
      <w:r w:rsidR="00B7601B" w:rsidRPr="186C60C1">
        <w:rPr>
          <w:rFonts w:cs="Arial"/>
          <w:color w:val="000000" w:themeColor="text1"/>
        </w:rPr>
        <w:t xml:space="preserve"> assessed</w:t>
      </w:r>
      <w:r w:rsidRPr="186C60C1">
        <w:rPr>
          <w:rFonts w:cs="Arial"/>
          <w:color w:val="000000" w:themeColor="text1"/>
        </w:rPr>
        <w:t xml:space="preserve"> using the </w:t>
      </w:r>
      <w:hyperlink r:id="rId53">
        <w:r w:rsidRPr="186C60C1">
          <w:rPr>
            <w:rStyle w:val="Hyperlink"/>
          </w:rPr>
          <w:t>USEPA Aquatic Life Benchmarks</w:t>
        </w:r>
        <w:r w:rsidRPr="186C60C1">
          <w:rPr>
            <w:rStyle w:val="Hyperlink"/>
            <w:rFonts w:cs="Arial"/>
          </w:rPr>
          <w:t xml:space="preserve"> (</w:t>
        </w:r>
        <w:r w:rsidRPr="186C60C1">
          <w:rPr>
            <w:rStyle w:val="Hyperlink"/>
          </w:rPr>
          <w:t>https://www.epa.gov/pesticide-science-and-assessing-pesticide-risks/aquatic-life-benchmarks-and-ecological-risk</w:t>
        </w:r>
      </w:hyperlink>
      <w:r w:rsidRPr="186C60C1">
        <w:rPr>
          <w:rFonts w:cs="Arial"/>
          <w:color w:val="000000" w:themeColor="text1"/>
        </w:rPr>
        <w:t xml:space="preserve">). </w:t>
      </w:r>
      <w:r w:rsidR="00561840">
        <w:t xml:space="preserve">While the USEPA Ecotoxicity Database is a comprehensive database of toxicity studies, the </w:t>
      </w:r>
      <w:r w:rsidR="001D4AE5">
        <w:t>A</w:t>
      </w:r>
      <w:r w:rsidR="00561840">
        <w:t xml:space="preserve">quatic </w:t>
      </w:r>
      <w:r w:rsidR="001D4AE5">
        <w:t>L</w:t>
      </w:r>
      <w:r w:rsidR="00561840">
        <w:t xml:space="preserve">ife </w:t>
      </w:r>
      <w:r w:rsidR="001D4AE5">
        <w:t>B</w:t>
      </w:r>
      <w:r w:rsidR="00561840">
        <w:t xml:space="preserve">enchmarks </w:t>
      </w:r>
      <w:r w:rsidR="00995ED7">
        <w:t>were</w:t>
      </w:r>
      <w:r w:rsidR="00561840">
        <w:t xml:space="preserve"> selected by USEPA from toxicity studies and provide concentrations under which there are unlikely to be effects to aquatic life.</w:t>
      </w:r>
    </w:p>
    <w:p w14:paraId="3B6C6E83" w14:textId="77777777" w:rsidR="00306C98" w:rsidRDefault="00827C88" w:rsidP="007E02C9">
      <w:pPr>
        <w:rPr>
          <w:rFonts w:cs="Arial"/>
          <w:color w:val="000000" w:themeColor="text1"/>
        </w:rPr>
      </w:pPr>
      <w:r>
        <w:t xml:space="preserve">Data quality was considered during the reassessment of data from previous cycles and the assessment of new data. </w:t>
      </w:r>
      <w:r w:rsidR="0025361F">
        <w:t>For example, d</w:t>
      </w:r>
      <w:r w:rsidR="00F436D8">
        <w:t>ata</w:t>
      </w:r>
      <w:r w:rsidR="00A95B05">
        <w:t xml:space="preserve"> were excluded and not used</w:t>
      </w:r>
      <w:r w:rsidR="002158A7">
        <w:t xml:space="preserve"> when data sets lacked</w:t>
      </w:r>
      <w:r w:rsidR="00F436D8">
        <w:t xml:space="preserve"> a QAPP or equivalent documentation</w:t>
      </w:r>
      <w:r w:rsidR="0036214C">
        <w:t xml:space="preserve"> and the data were submitted after the requirement for a QAPP took effect. </w:t>
      </w:r>
      <w:r w:rsidR="00306C98">
        <w:t>Also, d</w:t>
      </w:r>
      <w:r w:rsidR="0036214C">
        <w:t xml:space="preserve">ata were excluded and not used </w:t>
      </w:r>
      <w:r w:rsidR="0025361F">
        <w:t>when data sets lacked a</w:t>
      </w:r>
      <w:r w:rsidR="00F436D8">
        <w:t xml:space="preserve"> required quantitation element such as the reporting limit</w:t>
      </w:r>
      <w:r w:rsidR="00306C98">
        <w:t>.</w:t>
      </w:r>
      <w:r w:rsidR="00D50AFD" w:rsidRPr="38CE92F1">
        <w:rPr>
          <w:rFonts w:cs="Arial"/>
          <w:color w:val="000000" w:themeColor="text1"/>
        </w:rPr>
        <w:t xml:space="preserve"> </w:t>
      </w:r>
    </w:p>
    <w:p w14:paraId="5EF4B8F9" w14:textId="09A09E2E" w:rsidR="003157F2" w:rsidRDefault="00306C98" w:rsidP="007E02C9">
      <w:pPr>
        <w:rPr>
          <w:rFonts w:cs="Arial"/>
          <w:color w:val="000000" w:themeColor="text1"/>
        </w:rPr>
      </w:pPr>
      <w:r>
        <w:rPr>
          <w:rFonts w:cs="Arial"/>
          <w:color w:val="000000" w:themeColor="text1"/>
        </w:rPr>
        <w:t>P</w:t>
      </w:r>
      <w:r w:rsidR="00297072" w:rsidRPr="38CE92F1">
        <w:rPr>
          <w:rFonts w:cs="Arial"/>
          <w:color w:val="000000" w:themeColor="text1"/>
        </w:rPr>
        <w:t xml:space="preserve">revious-cycle </w:t>
      </w:r>
      <w:r w:rsidR="00886D7E" w:rsidRPr="38CE92F1">
        <w:rPr>
          <w:rFonts w:cs="Arial"/>
          <w:color w:val="000000" w:themeColor="text1"/>
        </w:rPr>
        <w:t>decisions</w:t>
      </w:r>
      <w:r w:rsidR="00297072" w:rsidRPr="38CE92F1">
        <w:rPr>
          <w:rFonts w:cs="Arial"/>
          <w:color w:val="000000" w:themeColor="text1"/>
        </w:rPr>
        <w:t xml:space="preserve"> that grouped </w:t>
      </w:r>
      <w:r w:rsidR="001C5811" w:rsidRPr="38CE92F1">
        <w:rPr>
          <w:rFonts w:cs="Arial"/>
          <w:color w:val="000000" w:themeColor="text1"/>
        </w:rPr>
        <w:t xml:space="preserve">data from multiple pesticides into one </w:t>
      </w:r>
      <w:r w:rsidR="00886D7E" w:rsidRPr="38CE92F1">
        <w:rPr>
          <w:rFonts w:cs="Arial"/>
          <w:color w:val="000000" w:themeColor="text1"/>
        </w:rPr>
        <w:t>decision</w:t>
      </w:r>
      <w:r w:rsidR="00297072" w:rsidRPr="38CE92F1">
        <w:rPr>
          <w:rFonts w:cs="Arial"/>
          <w:color w:val="000000" w:themeColor="text1"/>
        </w:rPr>
        <w:t xml:space="preserve"> were </w:t>
      </w:r>
      <w:r w:rsidR="005C714D" w:rsidRPr="38CE92F1">
        <w:rPr>
          <w:rFonts w:cs="Arial"/>
          <w:color w:val="000000" w:themeColor="text1"/>
        </w:rPr>
        <w:t>retired</w:t>
      </w:r>
      <w:r w:rsidR="00297072" w:rsidRPr="38CE92F1">
        <w:rPr>
          <w:rFonts w:cs="Arial"/>
          <w:color w:val="000000" w:themeColor="text1"/>
        </w:rPr>
        <w:t xml:space="preserve">. </w:t>
      </w:r>
      <w:r w:rsidR="00C05BC7" w:rsidRPr="38CE92F1">
        <w:rPr>
          <w:rFonts w:cs="Arial"/>
          <w:color w:val="000000" w:themeColor="text1"/>
        </w:rPr>
        <w:t>Multiple-pes</w:t>
      </w:r>
      <w:r w:rsidR="005E2F82" w:rsidRPr="38CE92F1">
        <w:rPr>
          <w:rFonts w:cs="Arial"/>
          <w:color w:val="000000" w:themeColor="text1"/>
        </w:rPr>
        <w:t xml:space="preserve">ticide decisions </w:t>
      </w:r>
      <w:r w:rsidR="00297072" w:rsidRPr="38CE92F1">
        <w:rPr>
          <w:rFonts w:cs="Arial"/>
          <w:color w:val="000000" w:themeColor="text1"/>
        </w:rPr>
        <w:t xml:space="preserve">were split apart by individual pesticide and </w:t>
      </w:r>
      <w:r w:rsidR="0041089E" w:rsidRPr="38CE92F1">
        <w:rPr>
          <w:rFonts w:cs="Arial"/>
          <w:color w:val="000000" w:themeColor="text1"/>
        </w:rPr>
        <w:t xml:space="preserve">new </w:t>
      </w:r>
      <w:r w:rsidR="00C05BC7" w:rsidRPr="38CE92F1">
        <w:rPr>
          <w:rFonts w:cs="Arial"/>
          <w:color w:val="000000" w:themeColor="text1"/>
        </w:rPr>
        <w:t>decisions</w:t>
      </w:r>
      <w:r w:rsidR="0041089E" w:rsidRPr="38CE92F1">
        <w:rPr>
          <w:rFonts w:cs="Arial"/>
          <w:color w:val="000000" w:themeColor="text1"/>
        </w:rPr>
        <w:t xml:space="preserve"> were </w:t>
      </w:r>
      <w:r w:rsidR="007303A7" w:rsidRPr="38CE92F1">
        <w:rPr>
          <w:rFonts w:cs="Arial"/>
          <w:color w:val="000000" w:themeColor="text1"/>
        </w:rPr>
        <w:t>developed</w:t>
      </w:r>
      <w:r w:rsidR="005C714D" w:rsidRPr="38CE92F1">
        <w:rPr>
          <w:rFonts w:cs="Arial"/>
          <w:color w:val="000000" w:themeColor="text1"/>
        </w:rPr>
        <w:t xml:space="preserve">. </w:t>
      </w:r>
    </w:p>
    <w:p w14:paraId="1BCBB7C2" w14:textId="6A8B20A7" w:rsidR="00260C73" w:rsidRDefault="00772578" w:rsidP="007E02C9">
      <w:pPr>
        <w:rPr>
          <w:rFonts w:cs="Arial"/>
          <w:color w:val="000000" w:themeColor="text1"/>
        </w:rPr>
      </w:pPr>
      <w:r w:rsidRPr="103DD644">
        <w:rPr>
          <w:rFonts w:cs="Arial"/>
          <w:color w:val="000000" w:themeColor="text1"/>
        </w:rPr>
        <w:t>Multiple new listings and delisting</w:t>
      </w:r>
      <w:r w:rsidR="003B1549" w:rsidRPr="103DD644">
        <w:rPr>
          <w:rFonts w:cs="Arial"/>
          <w:color w:val="000000" w:themeColor="text1"/>
        </w:rPr>
        <w:t>s</w:t>
      </w:r>
      <w:r w:rsidRPr="103DD644">
        <w:rPr>
          <w:rFonts w:cs="Arial"/>
          <w:color w:val="000000" w:themeColor="text1"/>
        </w:rPr>
        <w:t xml:space="preserve"> resulted from the use of </w:t>
      </w:r>
      <w:r w:rsidR="003B77D8" w:rsidRPr="103DD644">
        <w:rPr>
          <w:rFonts w:cs="Arial"/>
          <w:color w:val="000000" w:themeColor="text1"/>
        </w:rPr>
        <w:t>Aquatic Life Benchmarks</w:t>
      </w:r>
      <w:r w:rsidR="00AE44FE" w:rsidRPr="103DD644">
        <w:rPr>
          <w:rFonts w:cs="Arial"/>
          <w:color w:val="000000" w:themeColor="text1"/>
        </w:rPr>
        <w:t>,</w:t>
      </w:r>
      <w:r w:rsidR="003B77D8" w:rsidRPr="103DD644">
        <w:rPr>
          <w:rFonts w:cs="Arial"/>
          <w:color w:val="000000" w:themeColor="text1"/>
        </w:rPr>
        <w:t xml:space="preserve"> </w:t>
      </w:r>
      <w:r w:rsidR="00E95DA1" w:rsidRPr="103DD644">
        <w:rPr>
          <w:rFonts w:cs="Arial"/>
          <w:color w:val="000000" w:themeColor="text1"/>
        </w:rPr>
        <w:t xml:space="preserve">the exclusion of </w:t>
      </w:r>
      <w:r w:rsidR="6AD526CB" w:rsidRPr="1EA2032A">
        <w:rPr>
          <w:rFonts w:cs="Arial"/>
          <w:color w:val="000000" w:themeColor="text1"/>
        </w:rPr>
        <w:t>low</w:t>
      </w:r>
      <w:r w:rsidR="00E95DA1" w:rsidRPr="103DD644">
        <w:rPr>
          <w:rFonts w:cs="Arial"/>
          <w:color w:val="000000" w:themeColor="text1"/>
        </w:rPr>
        <w:t xml:space="preserve"> quality </w:t>
      </w:r>
      <w:r w:rsidR="008316B0" w:rsidRPr="103DD644">
        <w:rPr>
          <w:rFonts w:cs="Arial"/>
          <w:color w:val="000000" w:themeColor="text1"/>
        </w:rPr>
        <w:t>data</w:t>
      </w:r>
      <w:r w:rsidR="00AE44FE" w:rsidRPr="103DD644">
        <w:rPr>
          <w:rFonts w:cs="Arial"/>
          <w:color w:val="000000" w:themeColor="text1"/>
        </w:rPr>
        <w:t xml:space="preserve">, </w:t>
      </w:r>
      <w:r w:rsidR="288D5F3B" w:rsidRPr="7B904160">
        <w:rPr>
          <w:rFonts w:cs="Arial"/>
          <w:color w:val="000000" w:themeColor="text1"/>
        </w:rPr>
        <w:t xml:space="preserve">and the addition of new data from the 2026 </w:t>
      </w:r>
      <w:r w:rsidR="288D5F3B" w:rsidRPr="3658DC47">
        <w:rPr>
          <w:rFonts w:cs="Arial"/>
          <w:color w:val="000000" w:themeColor="text1"/>
        </w:rPr>
        <w:t>cycle</w:t>
      </w:r>
      <w:r w:rsidR="5C33FD89" w:rsidRPr="3658DC47">
        <w:rPr>
          <w:rFonts w:cs="Arial"/>
          <w:color w:val="000000" w:themeColor="text1"/>
        </w:rPr>
        <w:t xml:space="preserve"> data query</w:t>
      </w:r>
      <w:r w:rsidR="00E95DA1" w:rsidRPr="103DD644">
        <w:rPr>
          <w:rFonts w:cs="Arial"/>
          <w:color w:val="000000" w:themeColor="text1"/>
        </w:rPr>
        <w:t xml:space="preserve">. </w:t>
      </w:r>
      <w:r w:rsidR="002427BB" w:rsidRPr="103DD644">
        <w:rPr>
          <w:rFonts w:cs="Arial"/>
          <w:color w:val="000000" w:themeColor="text1"/>
        </w:rPr>
        <w:t xml:space="preserve">For a summary of </w:t>
      </w:r>
      <w:r w:rsidR="00985853" w:rsidRPr="103DD644">
        <w:rPr>
          <w:rFonts w:cs="Arial"/>
          <w:color w:val="000000" w:themeColor="text1"/>
        </w:rPr>
        <w:t>new listing or delisting decisions by</w:t>
      </w:r>
      <w:r w:rsidR="00E6018D" w:rsidRPr="103DD644">
        <w:rPr>
          <w:rFonts w:cs="Arial"/>
          <w:color w:val="000000" w:themeColor="text1"/>
        </w:rPr>
        <w:t xml:space="preserve"> Regional Water Board, reference Table 3.</w:t>
      </w:r>
      <w:r w:rsidR="00401363" w:rsidRPr="103DD644">
        <w:rPr>
          <w:rFonts w:cs="Arial"/>
          <w:color w:val="000000" w:themeColor="text1"/>
        </w:rPr>
        <w:t>3</w:t>
      </w:r>
      <w:r w:rsidR="00E6018D" w:rsidRPr="103DD644">
        <w:rPr>
          <w:rFonts w:cs="Arial"/>
          <w:color w:val="000000" w:themeColor="text1"/>
        </w:rPr>
        <w:t>:</w:t>
      </w:r>
      <w:r w:rsidR="00745579" w:rsidRPr="103DD644">
        <w:rPr>
          <w:rFonts w:cs="Arial"/>
          <w:color w:val="000000" w:themeColor="text1"/>
        </w:rPr>
        <w:t xml:space="preserve"> </w:t>
      </w:r>
      <w:r w:rsidR="00745579">
        <w:t xml:space="preserve">Number of “Delist, and “List” Decisions After Pesticide Reassessments. </w:t>
      </w:r>
      <w:r w:rsidR="00D826B2" w:rsidRPr="103DD644">
        <w:rPr>
          <w:rFonts w:cs="Arial"/>
          <w:color w:val="000000" w:themeColor="text1"/>
        </w:rPr>
        <w:t xml:space="preserve">For more information on retired LOEs, see section 2.3.2 and Appendix </w:t>
      </w:r>
      <w:r w:rsidR="0001577A" w:rsidRPr="103DD644">
        <w:rPr>
          <w:rFonts w:cs="Arial"/>
          <w:color w:val="000000" w:themeColor="text1"/>
        </w:rPr>
        <w:t>J</w:t>
      </w:r>
      <w:r w:rsidR="00D826B2" w:rsidRPr="103DD644">
        <w:rPr>
          <w:rFonts w:cs="Arial"/>
          <w:color w:val="000000" w:themeColor="text1"/>
        </w:rPr>
        <w:t>: List of Retired Lines of Evidence.</w:t>
      </w:r>
      <w:r w:rsidR="002427BB" w:rsidRPr="103DD644">
        <w:rPr>
          <w:rFonts w:cs="Arial"/>
          <w:color w:val="000000" w:themeColor="text1"/>
        </w:rPr>
        <w:t xml:space="preserve"> </w:t>
      </w:r>
    </w:p>
    <w:p w14:paraId="67570C6B" w14:textId="188BAC3D" w:rsidR="00B24979" w:rsidRPr="00B24979" w:rsidRDefault="00B24979" w:rsidP="007E02C9">
      <w:pPr>
        <w:rPr>
          <w:rFonts w:cs="Arial"/>
          <w:b/>
          <w:bCs/>
          <w:color w:val="000000" w:themeColor="text1"/>
        </w:rPr>
      </w:pPr>
      <w:r w:rsidRPr="00B24979">
        <w:rPr>
          <w:b/>
          <w:bCs/>
        </w:rPr>
        <w:t xml:space="preserve">Table 3-3: Number of “Delist, and “List” Decisions After Pesticide </w:t>
      </w:r>
      <w:r w:rsidRPr="00B24979" w:rsidDel="00645911">
        <w:rPr>
          <w:b/>
          <w:bCs/>
        </w:rPr>
        <w:t>Reassessment</w:t>
      </w:r>
      <w:r w:rsidR="007813A7">
        <w:rPr>
          <w:b/>
          <w:bCs/>
        </w:rPr>
        <w:t>s</w:t>
      </w:r>
    </w:p>
    <w:tbl>
      <w:tblPr>
        <w:tblpPr w:leftFromText="180" w:rightFromText="180" w:vertAnchor="text" w:horzAnchor="margin" w:tblpXSpec="center" w:tblpY="725"/>
        <w:tblW w:w="7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quatic Toxicity Significant Effect Categories"/>
        <w:tblDescription w:val="This table describes the acronym for each significanr effect code, the definition of the code, and an explanation of how toxicity tests with the code are interpreted."/>
      </w:tblPr>
      <w:tblGrid>
        <w:gridCol w:w="2698"/>
        <w:gridCol w:w="1584"/>
        <w:gridCol w:w="1584"/>
        <w:gridCol w:w="1588"/>
      </w:tblGrid>
      <w:tr w:rsidR="00260C73" w:rsidRPr="004502A9" w14:paraId="3470A395" w14:textId="77777777" w:rsidTr="00E211D4">
        <w:trPr>
          <w:cantSplit/>
          <w:trHeight w:val="635"/>
        </w:trPr>
        <w:tc>
          <w:tcPr>
            <w:tcW w:w="2698" w:type="dxa"/>
            <w:tcBorders>
              <w:top w:val="single" w:sz="4" w:space="0" w:color="auto"/>
            </w:tcBorders>
            <w:shd w:val="clear" w:color="auto" w:fill="D9E2F3" w:themeFill="accent1" w:themeFillTint="33"/>
            <w:vAlign w:val="center"/>
          </w:tcPr>
          <w:p w14:paraId="1E49DB67" w14:textId="77777777" w:rsidR="00676077" w:rsidRDefault="00676077" w:rsidP="006D0D57">
            <w:pPr>
              <w:spacing w:before="120" w:after="120"/>
              <w:jc w:val="center"/>
              <w:rPr>
                <w:rFonts w:cs="Arial"/>
                <w:b/>
                <w:bCs/>
                <w:szCs w:val="24"/>
              </w:rPr>
            </w:pPr>
            <w:r>
              <w:rPr>
                <w:rFonts w:cs="Arial"/>
                <w:b/>
                <w:bCs/>
                <w:szCs w:val="24"/>
              </w:rPr>
              <w:t>Regional Water Board</w:t>
            </w:r>
          </w:p>
        </w:tc>
        <w:tc>
          <w:tcPr>
            <w:tcW w:w="1584" w:type="dxa"/>
            <w:shd w:val="clear" w:color="auto" w:fill="D9E2F3" w:themeFill="accent1" w:themeFillTint="33"/>
          </w:tcPr>
          <w:p w14:paraId="4DACAC6C" w14:textId="5655234E" w:rsidR="00676077" w:rsidRDefault="00676077" w:rsidP="006D0D57">
            <w:pPr>
              <w:spacing w:before="120" w:after="120"/>
              <w:jc w:val="center"/>
              <w:rPr>
                <w:rFonts w:cs="Arial"/>
                <w:b/>
                <w:bCs/>
                <w:szCs w:val="24"/>
              </w:rPr>
            </w:pPr>
            <w:r>
              <w:rPr>
                <w:rFonts w:cs="Arial"/>
                <w:b/>
                <w:bCs/>
                <w:szCs w:val="24"/>
              </w:rPr>
              <w:t xml:space="preserve">Number of </w:t>
            </w:r>
            <w:r w:rsidR="00E140F6">
              <w:rPr>
                <w:rFonts w:cs="Arial"/>
                <w:b/>
                <w:bCs/>
                <w:szCs w:val="24"/>
              </w:rPr>
              <w:t>“</w:t>
            </w:r>
            <w:r>
              <w:rPr>
                <w:rFonts w:cs="Arial"/>
                <w:b/>
                <w:bCs/>
                <w:szCs w:val="24"/>
              </w:rPr>
              <w:t>Delist</w:t>
            </w:r>
            <w:r w:rsidR="00E140F6">
              <w:rPr>
                <w:rFonts w:cs="Arial"/>
                <w:b/>
                <w:bCs/>
                <w:szCs w:val="24"/>
              </w:rPr>
              <w:t>”</w:t>
            </w:r>
            <w:r w:rsidR="00260C73">
              <w:rPr>
                <w:rFonts w:cs="Arial"/>
                <w:b/>
                <w:bCs/>
                <w:szCs w:val="24"/>
              </w:rPr>
              <w:t xml:space="preserve"> Decisions</w:t>
            </w:r>
          </w:p>
        </w:tc>
        <w:tc>
          <w:tcPr>
            <w:tcW w:w="1584" w:type="dxa"/>
            <w:shd w:val="clear" w:color="auto" w:fill="D9E2F3" w:themeFill="accent1" w:themeFillTint="33"/>
          </w:tcPr>
          <w:p w14:paraId="745F99D3" w14:textId="45A58C35" w:rsidR="00676077" w:rsidRDefault="00676077" w:rsidP="006D0D57">
            <w:pPr>
              <w:spacing w:before="120" w:after="120"/>
              <w:jc w:val="center"/>
              <w:rPr>
                <w:rFonts w:cs="Arial"/>
                <w:b/>
                <w:bCs/>
                <w:szCs w:val="24"/>
              </w:rPr>
            </w:pPr>
            <w:r>
              <w:rPr>
                <w:rFonts w:cs="Arial"/>
                <w:b/>
                <w:bCs/>
                <w:szCs w:val="24"/>
              </w:rPr>
              <w:t xml:space="preserve">Number of New </w:t>
            </w:r>
            <w:r w:rsidR="00E140F6">
              <w:rPr>
                <w:rFonts w:cs="Arial"/>
                <w:b/>
                <w:bCs/>
                <w:szCs w:val="24"/>
              </w:rPr>
              <w:t>“List” Decisions</w:t>
            </w:r>
          </w:p>
        </w:tc>
        <w:tc>
          <w:tcPr>
            <w:tcW w:w="1588" w:type="dxa"/>
            <w:shd w:val="clear" w:color="auto" w:fill="D9E2F3" w:themeFill="accent1" w:themeFillTint="33"/>
          </w:tcPr>
          <w:p w14:paraId="129D37C1" w14:textId="0E5ED8E6" w:rsidR="00676077" w:rsidRDefault="00676077" w:rsidP="006D0D57">
            <w:pPr>
              <w:spacing w:before="120" w:after="120"/>
              <w:jc w:val="center"/>
              <w:rPr>
                <w:rFonts w:cs="Arial"/>
                <w:b/>
                <w:bCs/>
                <w:szCs w:val="24"/>
              </w:rPr>
            </w:pPr>
            <w:r>
              <w:rPr>
                <w:rFonts w:cs="Arial"/>
                <w:b/>
                <w:bCs/>
                <w:szCs w:val="24"/>
              </w:rPr>
              <w:t xml:space="preserve">Number of Total </w:t>
            </w:r>
            <w:r w:rsidR="00E140F6">
              <w:rPr>
                <w:rFonts w:cs="Arial"/>
                <w:b/>
                <w:bCs/>
                <w:szCs w:val="24"/>
              </w:rPr>
              <w:t>“List” Decisions</w:t>
            </w:r>
          </w:p>
        </w:tc>
      </w:tr>
      <w:tr w:rsidR="00260C73" w:rsidRPr="004502A9" w14:paraId="10BA83A5" w14:textId="77777777" w:rsidTr="00E211D4">
        <w:trPr>
          <w:cantSplit/>
          <w:trHeight w:val="451"/>
        </w:trPr>
        <w:tc>
          <w:tcPr>
            <w:tcW w:w="2698" w:type="dxa"/>
          </w:tcPr>
          <w:p w14:paraId="60405502" w14:textId="77777777" w:rsidR="00676077" w:rsidRPr="004502A9" w:rsidRDefault="00676077" w:rsidP="006D0D57">
            <w:pPr>
              <w:spacing w:before="120" w:after="120"/>
              <w:jc w:val="center"/>
              <w:rPr>
                <w:rFonts w:cs="Arial"/>
                <w:szCs w:val="24"/>
              </w:rPr>
            </w:pPr>
            <w:r>
              <w:rPr>
                <w:rFonts w:cs="Arial"/>
                <w:szCs w:val="24"/>
              </w:rPr>
              <w:t>North Coast</w:t>
            </w:r>
          </w:p>
        </w:tc>
        <w:tc>
          <w:tcPr>
            <w:tcW w:w="1584" w:type="dxa"/>
            <w:vAlign w:val="bottom"/>
          </w:tcPr>
          <w:p w14:paraId="203A3942" w14:textId="77777777" w:rsidR="00676077" w:rsidRPr="007E02C9" w:rsidRDefault="00676077" w:rsidP="006D0D57">
            <w:pPr>
              <w:spacing w:before="120" w:after="120"/>
              <w:jc w:val="center"/>
              <w:rPr>
                <w:rFonts w:cs="Arial"/>
                <w:bCs/>
                <w:color w:val="000000" w:themeColor="text1"/>
                <w:szCs w:val="24"/>
              </w:rPr>
            </w:pPr>
            <w:r w:rsidRPr="007E02C9">
              <w:rPr>
                <w:rFonts w:cs="Arial"/>
                <w:bCs/>
                <w:color w:val="000000" w:themeColor="text1"/>
                <w:szCs w:val="24"/>
              </w:rPr>
              <w:t>0</w:t>
            </w:r>
          </w:p>
        </w:tc>
        <w:tc>
          <w:tcPr>
            <w:tcW w:w="1584" w:type="dxa"/>
            <w:vAlign w:val="bottom"/>
          </w:tcPr>
          <w:p w14:paraId="74B35391" w14:textId="77777777" w:rsidR="00676077" w:rsidRPr="007E02C9" w:rsidRDefault="00676077" w:rsidP="006D0D57">
            <w:pPr>
              <w:spacing w:before="120" w:after="120"/>
              <w:jc w:val="center"/>
              <w:rPr>
                <w:rFonts w:cs="Arial"/>
                <w:bCs/>
                <w:color w:val="000000" w:themeColor="text1"/>
                <w:szCs w:val="24"/>
              </w:rPr>
            </w:pPr>
            <w:r w:rsidRPr="007E02C9">
              <w:rPr>
                <w:rFonts w:cs="Arial"/>
                <w:bCs/>
                <w:color w:val="000000" w:themeColor="text1"/>
                <w:szCs w:val="24"/>
              </w:rPr>
              <w:t>0</w:t>
            </w:r>
          </w:p>
        </w:tc>
        <w:tc>
          <w:tcPr>
            <w:tcW w:w="1588" w:type="dxa"/>
            <w:vAlign w:val="bottom"/>
          </w:tcPr>
          <w:p w14:paraId="1E99E387" w14:textId="77777777" w:rsidR="00676077" w:rsidRPr="004502A9" w:rsidRDefault="00676077" w:rsidP="006D0D57">
            <w:pPr>
              <w:spacing w:before="120" w:after="120"/>
              <w:jc w:val="center"/>
              <w:rPr>
                <w:rFonts w:cs="Arial"/>
                <w:szCs w:val="24"/>
              </w:rPr>
            </w:pPr>
            <w:r w:rsidRPr="007E02C9">
              <w:rPr>
                <w:rFonts w:cs="Arial"/>
                <w:bCs/>
                <w:color w:val="000000" w:themeColor="text1"/>
                <w:szCs w:val="24"/>
              </w:rPr>
              <w:t>0</w:t>
            </w:r>
          </w:p>
        </w:tc>
      </w:tr>
      <w:tr w:rsidR="00260C73" w:rsidRPr="004502A9" w14:paraId="2CAC1768" w14:textId="77777777" w:rsidTr="00E211D4">
        <w:trPr>
          <w:cantSplit/>
          <w:trHeight w:val="425"/>
        </w:trPr>
        <w:tc>
          <w:tcPr>
            <w:tcW w:w="2698" w:type="dxa"/>
          </w:tcPr>
          <w:p w14:paraId="5E58FCFF" w14:textId="77777777" w:rsidR="00676077" w:rsidRPr="004502A9" w:rsidRDefault="00676077" w:rsidP="006D0D57">
            <w:pPr>
              <w:spacing w:before="120" w:after="120"/>
              <w:jc w:val="center"/>
              <w:rPr>
                <w:rFonts w:cs="Arial"/>
                <w:szCs w:val="24"/>
              </w:rPr>
            </w:pPr>
            <w:r>
              <w:rPr>
                <w:rFonts w:cs="Arial"/>
                <w:szCs w:val="24"/>
              </w:rPr>
              <w:t>Central Valley</w:t>
            </w:r>
          </w:p>
        </w:tc>
        <w:tc>
          <w:tcPr>
            <w:tcW w:w="1584" w:type="dxa"/>
            <w:vAlign w:val="bottom"/>
          </w:tcPr>
          <w:p w14:paraId="1B0BE59E" w14:textId="77777777" w:rsidR="00676077" w:rsidRPr="007E02C9" w:rsidRDefault="00676077" w:rsidP="006D0D57">
            <w:pPr>
              <w:spacing w:before="120" w:after="120"/>
              <w:jc w:val="center"/>
              <w:rPr>
                <w:rFonts w:cs="Arial"/>
                <w:bCs/>
                <w:color w:val="000000" w:themeColor="text1"/>
                <w:szCs w:val="24"/>
              </w:rPr>
            </w:pPr>
            <w:r w:rsidRPr="007E02C9">
              <w:rPr>
                <w:rFonts w:cs="Arial"/>
                <w:bCs/>
                <w:color w:val="000000" w:themeColor="text1"/>
                <w:szCs w:val="24"/>
              </w:rPr>
              <w:t>6</w:t>
            </w:r>
          </w:p>
        </w:tc>
        <w:tc>
          <w:tcPr>
            <w:tcW w:w="1584" w:type="dxa"/>
            <w:vAlign w:val="bottom"/>
          </w:tcPr>
          <w:p w14:paraId="3274AD86" w14:textId="77777777" w:rsidR="00676077" w:rsidRPr="007E02C9" w:rsidRDefault="00676077" w:rsidP="006D0D57">
            <w:pPr>
              <w:spacing w:before="120" w:after="120"/>
              <w:jc w:val="center"/>
              <w:rPr>
                <w:rFonts w:cs="Arial"/>
                <w:bCs/>
                <w:color w:val="000000" w:themeColor="text1"/>
                <w:szCs w:val="24"/>
              </w:rPr>
            </w:pPr>
            <w:r w:rsidRPr="007E02C9">
              <w:rPr>
                <w:rFonts w:cs="Arial"/>
                <w:bCs/>
                <w:color w:val="000000" w:themeColor="text1"/>
                <w:szCs w:val="24"/>
              </w:rPr>
              <w:t>23</w:t>
            </w:r>
          </w:p>
        </w:tc>
        <w:tc>
          <w:tcPr>
            <w:tcW w:w="1588" w:type="dxa"/>
            <w:vAlign w:val="bottom"/>
          </w:tcPr>
          <w:p w14:paraId="4131C053" w14:textId="77777777" w:rsidR="00676077" w:rsidRPr="004502A9" w:rsidRDefault="00676077" w:rsidP="006D0D57">
            <w:pPr>
              <w:spacing w:before="120" w:after="120"/>
              <w:jc w:val="center"/>
              <w:rPr>
                <w:rFonts w:cs="Arial"/>
                <w:szCs w:val="24"/>
              </w:rPr>
            </w:pPr>
            <w:r w:rsidRPr="007E02C9">
              <w:rPr>
                <w:rFonts w:cs="Arial"/>
                <w:bCs/>
                <w:color w:val="000000" w:themeColor="text1"/>
                <w:szCs w:val="24"/>
              </w:rPr>
              <w:t>34</w:t>
            </w:r>
          </w:p>
        </w:tc>
      </w:tr>
      <w:tr w:rsidR="00260C73" w:rsidRPr="004502A9" w14:paraId="4764B1AF" w14:textId="77777777" w:rsidTr="00E211D4">
        <w:trPr>
          <w:cantSplit/>
          <w:trHeight w:val="407"/>
        </w:trPr>
        <w:tc>
          <w:tcPr>
            <w:tcW w:w="2698" w:type="dxa"/>
          </w:tcPr>
          <w:p w14:paraId="610AAFCB" w14:textId="77777777" w:rsidR="00676077" w:rsidRPr="004502A9" w:rsidRDefault="00676077" w:rsidP="006D0D57">
            <w:pPr>
              <w:spacing w:before="120" w:after="120"/>
              <w:jc w:val="center"/>
              <w:rPr>
                <w:rFonts w:cs="Arial"/>
                <w:szCs w:val="24"/>
              </w:rPr>
            </w:pPr>
            <w:r>
              <w:rPr>
                <w:rFonts w:cs="Arial"/>
                <w:szCs w:val="24"/>
              </w:rPr>
              <w:t>Lahontan</w:t>
            </w:r>
          </w:p>
        </w:tc>
        <w:tc>
          <w:tcPr>
            <w:tcW w:w="1584" w:type="dxa"/>
            <w:vAlign w:val="bottom"/>
          </w:tcPr>
          <w:p w14:paraId="02044032" w14:textId="77777777" w:rsidR="00676077" w:rsidRPr="007E02C9" w:rsidRDefault="00676077" w:rsidP="006D0D57">
            <w:pPr>
              <w:spacing w:before="120" w:after="120"/>
              <w:jc w:val="center"/>
              <w:rPr>
                <w:rFonts w:cs="Arial"/>
                <w:bCs/>
                <w:color w:val="000000" w:themeColor="text1"/>
                <w:szCs w:val="24"/>
              </w:rPr>
            </w:pPr>
            <w:r w:rsidRPr="007E02C9">
              <w:rPr>
                <w:rFonts w:cs="Arial"/>
                <w:bCs/>
                <w:color w:val="000000" w:themeColor="text1"/>
                <w:szCs w:val="24"/>
              </w:rPr>
              <w:t>0</w:t>
            </w:r>
          </w:p>
        </w:tc>
        <w:tc>
          <w:tcPr>
            <w:tcW w:w="1584" w:type="dxa"/>
            <w:vAlign w:val="bottom"/>
          </w:tcPr>
          <w:p w14:paraId="781F6546" w14:textId="77777777" w:rsidR="00676077" w:rsidRPr="007E02C9" w:rsidRDefault="00676077" w:rsidP="006D0D57">
            <w:pPr>
              <w:spacing w:before="120" w:after="120"/>
              <w:jc w:val="center"/>
              <w:rPr>
                <w:rFonts w:cs="Arial"/>
                <w:bCs/>
                <w:color w:val="000000" w:themeColor="text1"/>
                <w:szCs w:val="24"/>
              </w:rPr>
            </w:pPr>
            <w:r w:rsidRPr="007E02C9">
              <w:rPr>
                <w:rFonts w:cs="Arial"/>
                <w:bCs/>
                <w:color w:val="000000" w:themeColor="text1"/>
                <w:szCs w:val="24"/>
              </w:rPr>
              <w:t>0</w:t>
            </w:r>
          </w:p>
        </w:tc>
        <w:tc>
          <w:tcPr>
            <w:tcW w:w="1588" w:type="dxa"/>
            <w:vAlign w:val="bottom"/>
          </w:tcPr>
          <w:p w14:paraId="677D2797" w14:textId="77777777" w:rsidR="00676077" w:rsidRPr="004502A9" w:rsidRDefault="00676077" w:rsidP="006D0D57">
            <w:pPr>
              <w:spacing w:before="120" w:after="120"/>
              <w:jc w:val="center"/>
              <w:rPr>
                <w:rFonts w:cs="Arial"/>
                <w:szCs w:val="24"/>
              </w:rPr>
            </w:pPr>
            <w:r w:rsidRPr="007E02C9">
              <w:rPr>
                <w:rFonts w:cs="Arial"/>
                <w:bCs/>
                <w:color w:val="000000" w:themeColor="text1"/>
                <w:szCs w:val="24"/>
              </w:rPr>
              <w:t>0</w:t>
            </w:r>
          </w:p>
        </w:tc>
      </w:tr>
      <w:tr w:rsidR="00260C73" w:rsidRPr="004502A9" w14:paraId="0FC09E14" w14:textId="77777777" w:rsidTr="00E211D4">
        <w:trPr>
          <w:cantSplit/>
          <w:trHeight w:val="500"/>
        </w:trPr>
        <w:tc>
          <w:tcPr>
            <w:tcW w:w="2698" w:type="dxa"/>
          </w:tcPr>
          <w:p w14:paraId="7D015AA4" w14:textId="77777777" w:rsidR="00676077" w:rsidRDefault="00676077" w:rsidP="006D0D57">
            <w:pPr>
              <w:spacing w:before="120" w:after="120"/>
              <w:jc w:val="center"/>
              <w:rPr>
                <w:rFonts w:cs="Arial"/>
                <w:szCs w:val="24"/>
              </w:rPr>
            </w:pPr>
            <w:r w:rsidRPr="00E11245">
              <w:rPr>
                <w:rFonts w:cs="Arial"/>
                <w:color w:val="000000" w:themeColor="text1"/>
                <w:szCs w:val="24"/>
              </w:rPr>
              <w:t>Colorado River Basin</w:t>
            </w:r>
          </w:p>
        </w:tc>
        <w:tc>
          <w:tcPr>
            <w:tcW w:w="1584" w:type="dxa"/>
          </w:tcPr>
          <w:p w14:paraId="4BF3ADED" w14:textId="77777777" w:rsidR="00676077" w:rsidRDefault="00676077" w:rsidP="006D0D57">
            <w:pPr>
              <w:spacing w:before="120" w:after="120"/>
              <w:jc w:val="center"/>
              <w:rPr>
                <w:rFonts w:cs="Arial"/>
                <w:bCs/>
                <w:color w:val="000000" w:themeColor="text1"/>
                <w:szCs w:val="24"/>
              </w:rPr>
            </w:pPr>
            <w:r>
              <w:rPr>
                <w:rFonts w:cs="Arial"/>
                <w:bCs/>
                <w:color w:val="000000" w:themeColor="text1"/>
                <w:szCs w:val="24"/>
              </w:rPr>
              <w:t>0</w:t>
            </w:r>
          </w:p>
        </w:tc>
        <w:tc>
          <w:tcPr>
            <w:tcW w:w="1584" w:type="dxa"/>
          </w:tcPr>
          <w:p w14:paraId="5E644DB7" w14:textId="77777777" w:rsidR="00676077" w:rsidRDefault="00676077" w:rsidP="006D0D57">
            <w:pPr>
              <w:spacing w:before="120" w:after="120"/>
              <w:jc w:val="center"/>
              <w:rPr>
                <w:rFonts w:cs="Arial"/>
                <w:bCs/>
                <w:color w:val="000000" w:themeColor="text1"/>
                <w:szCs w:val="24"/>
              </w:rPr>
            </w:pPr>
            <w:r>
              <w:rPr>
                <w:rFonts w:cs="Arial"/>
                <w:bCs/>
                <w:color w:val="000000" w:themeColor="text1"/>
                <w:szCs w:val="24"/>
              </w:rPr>
              <w:t>21</w:t>
            </w:r>
          </w:p>
        </w:tc>
        <w:tc>
          <w:tcPr>
            <w:tcW w:w="1588" w:type="dxa"/>
            <w:vAlign w:val="bottom"/>
          </w:tcPr>
          <w:p w14:paraId="49063F8B" w14:textId="3008357B" w:rsidR="00676077" w:rsidRPr="007E02C9" w:rsidRDefault="00676077" w:rsidP="006D0D57">
            <w:pPr>
              <w:spacing w:before="120" w:after="120"/>
              <w:jc w:val="center"/>
              <w:rPr>
                <w:rFonts w:cs="Arial"/>
                <w:bCs/>
                <w:color w:val="000000" w:themeColor="text1"/>
                <w:szCs w:val="24"/>
              </w:rPr>
            </w:pPr>
            <w:r>
              <w:rPr>
                <w:rFonts w:cs="Arial"/>
                <w:bCs/>
                <w:color w:val="000000" w:themeColor="text1"/>
                <w:szCs w:val="24"/>
              </w:rPr>
              <w:t>3</w:t>
            </w:r>
            <w:r w:rsidR="0011071C">
              <w:rPr>
                <w:rFonts w:cs="Arial"/>
                <w:bCs/>
                <w:color w:val="000000" w:themeColor="text1"/>
                <w:szCs w:val="24"/>
              </w:rPr>
              <w:t>2</w:t>
            </w:r>
          </w:p>
        </w:tc>
      </w:tr>
    </w:tbl>
    <w:p w14:paraId="3E14FC08" w14:textId="415B71D5" w:rsidR="00731A6A" w:rsidRPr="0041032E" w:rsidRDefault="00731A6A" w:rsidP="002E2464">
      <w:pPr>
        <w:pStyle w:val="TableHeader"/>
        <w:rPr>
          <w:rFonts w:cs="Arial"/>
          <w:b w:val="0"/>
          <w:color w:val="000000" w:themeColor="text1"/>
          <w:szCs w:val="24"/>
        </w:rPr>
      </w:pPr>
    </w:p>
    <w:p w14:paraId="1B257837" w14:textId="0C89C17C" w:rsidR="008600EE" w:rsidRDefault="008600EE" w:rsidP="004D633C">
      <w:pPr>
        <w:pStyle w:val="Heading3"/>
      </w:pPr>
      <w:bookmarkStart w:id="97" w:name="_Toc189048577"/>
      <w:r>
        <w:t>Non-hardness Dependent Metals</w:t>
      </w:r>
      <w:bookmarkEnd w:id="97"/>
    </w:p>
    <w:p w14:paraId="2974E281" w14:textId="038EF89B" w:rsidR="00F733CC" w:rsidRPr="000E480D" w:rsidRDefault="00450430" w:rsidP="00AF37AA">
      <w:pPr>
        <w:rPr>
          <w:rStyle w:val="SubtleEmphasis"/>
          <w:rFonts w:cs="Arial"/>
          <w:i w:val="0"/>
          <w:iCs w:val="0"/>
          <w:color w:val="000000" w:themeColor="text1"/>
          <w:szCs w:val="24"/>
        </w:rPr>
      </w:pPr>
      <w:r w:rsidRPr="00C57A2A">
        <w:rPr>
          <w:rFonts w:cs="Arial"/>
          <w:color w:val="000000" w:themeColor="text1"/>
          <w:szCs w:val="24"/>
        </w:rPr>
        <w:t>Non</w:t>
      </w:r>
      <w:r>
        <w:rPr>
          <w:rFonts w:cs="Arial"/>
          <w:color w:val="000000" w:themeColor="text1"/>
          <w:szCs w:val="24"/>
        </w:rPr>
        <w:t>-hardness dependent metals were assessed as dissolved fraction or total fraction according to the CTR criterion and guidance for the specific metal. Data were assessed if the fraction received could be converted to the same fraction as the criterion. For example, total fraction data were converted to dissolved fraction for comparison with dissolved criteria using the conversion factors in the CTR.</w:t>
      </w:r>
    </w:p>
    <w:p w14:paraId="76FA6512" w14:textId="364C0B9C" w:rsidR="000251A2" w:rsidRPr="000251A2" w:rsidRDefault="00035319" w:rsidP="00647CD4">
      <w:pPr>
        <w:pStyle w:val="Heading2"/>
      </w:pPr>
      <w:bookmarkStart w:id="98" w:name="_Toc189048578"/>
      <w:r w:rsidRPr="00035319">
        <w:t>Pesticides, Organic Chemicals, and Metals</w:t>
      </w:r>
      <w:r w:rsidR="00541BA4">
        <w:t xml:space="preserve"> </w:t>
      </w:r>
      <w:r w:rsidR="00392211">
        <w:t>–</w:t>
      </w:r>
      <w:r w:rsidR="00541BA4">
        <w:t xml:space="preserve"> Sediment Matrix</w:t>
      </w:r>
      <w:bookmarkEnd w:id="98"/>
    </w:p>
    <w:p w14:paraId="72393F56" w14:textId="32516671" w:rsidR="006F7A3E" w:rsidRPr="000E0EEC" w:rsidRDefault="006F7A3E" w:rsidP="006F7A3E">
      <w:pPr>
        <w:rPr>
          <w:rFonts w:eastAsia="Arial" w:cs="Arial"/>
          <w:color w:val="000000" w:themeColor="text1"/>
          <w:szCs w:val="24"/>
        </w:rPr>
      </w:pPr>
      <w:r w:rsidRPr="000E0EEC">
        <w:rPr>
          <w:rFonts w:eastAsia="Arial" w:cs="Arial"/>
          <w:color w:val="000000" w:themeColor="text1"/>
          <w:szCs w:val="24"/>
        </w:rPr>
        <w:t xml:space="preserve">The narrative water quality objective is evaluated by selecting an appropriate numeric evaluation guideline, in accordance with section 6.1.3 of the Listing Policy. Narrative water quality objectives may be general or may reference a specific </w:t>
      </w:r>
      <w:r w:rsidR="00841123" w:rsidRPr="000E0EEC">
        <w:rPr>
          <w:rFonts w:eastAsia="Arial" w:cs="Arial"/>
          <w:color w:val="000000" w:themeColor="text1"/>
          <w:szCs w:val="24"/>
        </w:rPr>
        <w:t>pollutant,</w:t>
      </w:r>
      <w:r w:rsidRPr="000E0EEC">
        <w:rPr>
          <w:rFonts w:eastAsia="Arial" w:cs="Arial"/>
          <w:color w:val="000000" w:themeColor="text1"/>
          <w:szCs w:val="24"/>
        </w:rPr>
        <w:t xml:space="preserve"> and each Regional Water Board has slightly different objective language. </w:t>
      </w:r>
      <w:r w:rsidR="00C557FD">
        <w:rPr>
          <w:rFonts w:eastAsia="Arial" w:cs="Arial"/>
          <w:color w:val="000000" w:themeColor="text1"/>
          <w:szCs w:val="24"/>
        </w:rPr>
        <w:t>For example, the following are two narrative objectives from basin plans:</w:t>
      </w:r>
      <w:r w:rsidRPr="000E0EEC">
        <w:rPr>
          <w:rFonts w:eastAsia="Arial" w:cs="Arial"/>
          <w:color w:val="000000" w:themeColor="text1"/>
          <w:szCs w:val="24"/>
        </w:rPr>
        <w:t xml:space="preserve">   </w:t>
      </w:r>
    </w:p>
    <w:p w14:paraId="193FA8A0" w14:textId="77777777" w:rsidR="006F7A3E" w:rsidRPr="000E0EEC" w:rsidRDefault="006F7A3E" w:rsidP="006F7A3E">
      <w:pPr>
        <w:ind w:left="720"/>
        <w:rPr>
          <w:rFonts w:eastAsia="Arial" w:cs="Arial"/>
          <w:color w:val="000000" w:themeColor="text1"/>
          <w:szCs w:val="24"/>
        </w:rPr>
      </w:pPr>
      <w:r w:rsidRPr="000E0EEC">
        <w:rPr>
          <w:rFonts w:eastAsia="Arial" w:cs="Arial"/>
          <w:color w:val="000000" w:themeColor="text1"/>
          <w:szCs w:val="24"/>
        </w:rPr>
        <w:t>All waters shall be maintained free of toxic substances in concentrations that are toxic to, or that produce detrimental physiological responses in human, plant, animal, or aquatic life.</w:t>
      </w:r>
    </w:p>
    <w:p w14:paraId="3A34C8A2" w14:textId="77777777" w:rsidR="006254AE" w:rsidRPr="000E0EEC" w:rsidRDefault="006254AE" w:rsidP="006254AE">
      <w:pPr>
        <w:ind w:left="720"/>
        <w:rPr>
          <w:rFonts w:eastAsia="Arial" w:cs="Arial"/>
          <w:color w:val="000000" w:themeColor="text1"/>
          <w:szCs w:val="24"/>
        </w:rPr>
      </w:pPr>
      <w:r w:rsidRPr="000E0EEC">
        <w:rPr>
          <w:rFonts w:eastAsia="Arial" w:cs="Arial"/>
          <w:color w:val="000000" w:themeColor="text1"/>
          <w:szCs w:val="24"/>
        </w:rPr>
        <w:t>No individual chemical or combination of chemicals shall be present in concentrations that adversely affect beneficial uses. There shall be no increase in hazardous chemical concentrations found in bottom sediments or aquatic life.</w:t>
      </w:r>
    </w:p>
    <w:p w14:paraId="1601C5C5" w14:textId="41EDC0C4" w:rsidR="006254AE" w:rsidRDefault="006254AE" w:rsidP="006254AE">
      <w:pPr>
        <w:rPr>
          <w:rFonts w:cs="Arial"/>
          <w:color w:val="000000" w:themeColor="text1"/>
        </w:rPr>
      </w:pPr>
      <w:r w:rsidRPr="00950E2A">
        <w:rPr>
          <w:rFonts w:eastAsia="Arial" w:cs="Arial"/>
          <w:color w:val="000000" w:themeColor="text1"/>
          <w:szCs w:val="24"/>
        </w:rPr>
        <w:t>Most assessments were a direct comparison of the data result with a</w:t>
      </w:r>
      <w:r w:rsidR="00A13C0F">
        <w:rPr>
          <w:rFonts w:eastAsia="Arial" w:cs="Arial"/>
          <w:color w:val="000000" w:themeColor="text1"/>
          <w:szCs w:val="24"/>
        </w:rPr>
        <w:t>n</w:t>
      </w:r>
      <w:r w:rsidRPr="00950E2A">
        <w:rPr>
          <w:rFonts w:eastAsia="Arial" w:cs="Arial"/>
          <w:color w:val="000000" w:themeColor="text1"/>
          <w:szCs w:val="24"/>
        </w:rPr>
        <w:t xml:space="preserve"> </w:t>
      </w:r>
      <w:r w:rsidR="00A13C0F">
        <w:rPr>
          <w:rFonts w:eastAsia="Arial" w:cs="Arial"/>
          <w:color w:val="000000" w:themeColor="text1"/>
          <w:szCs w:val="24"/>
        </w:rPr>
        <w:t>evaluation guideline</w:t>
      </w:r>
      <w:r w:rsidR="00A13C0F" w:rsidRPr="00950E2A">
        <w:rPr>
          <w:rFonts w:eastAsia="Arial" w:cs="Arial"/>
          <w:color w:val="000000" w:themeColor="text1"/>
          <w:szCs w:val="24"/>
        </w:rPr>
        <w:t xml:space="preserve"> </w:t>
      </w:r>
      <w:r w:rsidRPr="00950E2A">
        <w:rPr>
          <w:rFonts w:eastAsia="Arial" w:cs="Arial"/>
          <w:color w:val="000000" w:themeColor="text1"/>
          <w:szCs w:val="24"/>
        </w:rPr>
        <w:t xml:space="preserve">(e.g., </w:t>
      </w:r>
      <w:r>
        <w:rPr>
          <w:rFonts w:eastAsia="Arial" w:cs="Arial"/>
          <w:color w:val="000000" w:themeColor="text1"/>
          <w:szCs w:val="24"/>
        </w:rPr>
        <w:t>cadmium</w:t>
      </w:r>
      <w:r w:rsidRPr="00950E2A">
        <w:rPr>
          <w:rFonts w:eastAsia="Arial" w:cs="Arial"/>
          <w:color w:val="000000" w:themeColor="text1"/>
          <w:szCs w:val="24"/>
        </w:rPr>
        <w:t xml:space="preserve">), while some assessments required data manipulation before comparison </w:t>
      </w:r>
      <w:r w:rsidR="008B6A94">
        <w:rPr>
          <w:rFonts w:eastAsia="Arial" w:cs="Arial"/>
          <w:color w:val="000000" w:themeColor="text1"/>
          <w:szCs w:val="24"/>
        </w:rPr>
        <w:t>to</w:t>
      </w:r>
      <w:r w:rsidR="008B6A94" w:rsidRPr="00950E2A">
        <w:rPr>
          <w:rFonts w:eastAsia="Arial" w:cs="Arial"/>
          <w:color w:val="000000" w:themeColor="text1"/>
          <w:szCs w:val="24"/>
        </w:rPr>
        <w:t xml:space="preserve"> </w:t>
      </w:r>
      <w:r w:rsidRPr="00950E2A">
        <w:rPr>
          <w:rFonts w:eastAsia="Arial" w:cs="Arial"/>
          <w:color w:val="000000" w:themeColor="text1"/>
          <w:szCs w:val="24"/>
        </w:rPr>
        <w:t xml:space="preserve">the </w:t>
      </w:r>
      <w:r w:rsidR="008B6A94">
        <w:rPr>
          <w:rFonts w:eastAsia="Arial" w:cs="Arial"/>
          <w:color w:val="000000" w:themeColor="text1"/>
          <w:szCs w:val="24"/>
        </w:rPr>
        <w:t>evaluation guideline</w:t>
      </w:r>
      <w:r w:rsidR="008B6A94" w:rsidRPr="00950E2A">
        <w:rPr>
          <w:rFonts w:eastAsia="Arial" w:cs="Arial"/>
          <w:color w:val="000000" w:themeColor="text1"/>
          <w:szCs w:val="24"/>
        </w:rPr>
        <w:t xml:space="preserve"> </w:t>
      </w:r>
      <w:r w:rsidRPr="00950E2A">
        <w:rPr>
          <w:rFonts w:eastAsia="Arial" w:cs="Arial"/>
          <w:color w:val="000000" w:themeColor="text1"/>
          <w:szCs w:val="24"/>
        </w:rPr>
        <w:t>(e.g., summed pollutants, organic carbon normalization).</w:t>
      </w:r>
      <w:r>
        <w:rPr>
          <w:rFonts w:cs="Arial"/>
          <w:color w:val="000000" w:themeColor="text1"/>
        </w:rPr>
        <w:t xml:space="preserve"> </w:t>
      </w:r>
      <w:r w:rsidRPr="00D322CF">
        <w:rPr>
          <w:rFonts w:eastAsia="Arial" w:cs="Arial"/>
          <w:szCs w:val="24"/>
        </w:rPr>
        <w:t xml:space="preserve">See </w:t>
      </w:r>
      <w:r w:rsidR="00A53FFA">
        <w:rPr>
          <w:rFonts w:eastAsia="Arial" w:cs="Arial"/>
          <w:szCs w:val="24"/>
        </w:rPr>
        <w:t xml:space="preserve">Appendix </w:t>
      </w:r>
      <w:r w:rsidR="0001577A">
        <w:rPr>
          <w:rFonts w:eastAsia="Arial" w:cs="Arial"/>
          <w:szCs w:val="24"/>
        </w:rPr>
        <w:t>K</w:t>
      </w:r>
      <w:r w:rsidRPr="00D322CF">
        <w:rPr>
          <w:rFonts w:eastAsia="Arial" w:cs="Arial"/>
          <w:szCs w:val="24"/>
        </w:rPr>
        <w:t xml:space="preserve"> </w:t>
      </w:r>
      <w:r>
        <w:rPr>
          <w:rFonts w:eastAsia="Arial" w:cs="Arial"/>
          <w:color w:val="000000" w:themeColor="text1"/>
          <w:szCs w:val="24"/>
        </w:rPr>
        <w:t>for an explanation of pollutants that are summed for comparison with a</w:t>
      </w:r>
      <w:r w:rsidR="0094722F">
        <w:rPr>
          <w:rFonts w:eastAsia="Arial" w:cs="Arial"/>
          <w:color w:val="000000" w:themeColor="text1"/>
          <w:szCs w:val="24"/>
        </w:rPr>
        <w:t>n</w:t>
      </w:r>
      <w:r>
        <w:rPr>
          <w:rFonts w:eastAsia="Arial" w:cs="Arial"/>
          <w:color w:val="000000" w:themeColor="text1"/>
          <w:szCs w:val="24"/>
        </w:rPr>
        <w:t xml:space="preserve"> </w:t>
      </w:r>
      <w:r w:rsidR="0094722F">
        <w:rPr>
          <w:rFonts w:eastAsia="Arial" w:cs="Arial"/>
          <w:color w:val="000000" w:themeColor="text1"/>
          <w:szCs w:val="24"/>
        </w:rPr>
        <w:t>evaluation guideline</w:t>
      </w:r>
      <w:r>
        <w:rPr>
          <w:rFonts w:eastAsia="Arial" w:cs="Arial"/>
          <w:color w:val="000000" w:themeColor="text1"/>
          <w:szCs w:val="24"/>
        </w:rPr>
        <w:t xml:space="preserve">. </w:t>
      </w:r>
      <w:r w:rsidRPr="00950E2A">
        <w:rPr>
          <w:rFonts w:eastAsia="Arial" w:cs="Arial"/>
          <w:color w:val="000000" w:themeColor="text1"/>
          <w:szCs w:val="24"/>
        </w:rPr>
        <w:t>The following subsections provide information on data manipulation for specific pollutan</w:t>
      </w:r>
      <w:r>
        <w:rPr>
          <w:rFonts w:eastAsia="Arial" w:cs="Arial"/>
          <w:color w:val="000000" w:themeColor="text1"/>
          <w:szCs w:val="24"/>
        </w:rPr>
        <w:t>t types.</w:t>
      </w:r>
      <w:r>
        <w:rPr>
          <w:rFonts w:cs="Arial"/>
          <w:color w:val="000000" w:themeColor="text1"/>
        </w:rPr>
        <w:t xml:space="preserve"> </w:t>
      </w:r>
    </w:p>
    <w:p w14:paraId="731CDAEC" w14:textId="4523EED7" w:rsidR="000F5B69" w:rsidRDefault="001162A9" w:rsidP="004D633C">
      <w:pPr>
        <w:pStyle w:val="Heading3"/>
      </w:pPr>
      <w:bookmarkStart w:id="99" w:name="_Toc189048579"/>
      <w:r w:rsidRPr="001162A9">
        <w:t>Pesticides and Organic Chemicals – Organic Carbon Normalization and Toxic Units</w:t>
      </w:r>
      <w:bookmarkEnd w:id="99"/>
    </w:p>
    <w:p w14:paraId="615F875B" w14:textId="77777777" w:rsidR="00765936" w:rsidRPr="0045449F" w:rsidRDefault="00765936" w:rsidP="00541BA4">
      <w:pPr>
        <w:rPr>
          <w:rStyle w:val="IntenseEmphasis"/>
        </w:rPr>
      </w:pPr>
      <w:r w:rsidRPr="0045449F">
        <w:rPr>
          <w:rStyle w:val="IntenseEmphasis"/>
        </w:rPr>
        <w:t>Organic</w:t>
      </w:r>
      <w:r w:rsidR="00F50A22" w:rsidRPr="0045449F">
        <w:rPr>
          <w:rStyle w:val="IntenseEmphasis"/>
        </w:rPr>
        <w:t xml:space="preserve"> </w:t>
      </w:r>
      <w:r w:rsidR="00BB7F61" w:rsidRPr="0045449F">
        <w:rPr>
          <w:rStyle w:val="IntenseEmphasis"/>
        </w:rPr>
        <w:t>C</w:t>
      </w:r>
      <w:r w:rsidR="00F50A22" w:rsidRPr="0045449F">
        <w:rPr>
          <w:rStyle w:val="IntenseEmphasis"/>
        </w:rPr>
        <w:t xml:space="preserve">arbon </w:t>
      </w:r>
      <w:r w:rsidR="00BB7F61" w:rsidRPr="0045449F">
        <w:rPr>
          <w:rStyle w:val="IntenseEmphasis"/>
        </w:rPr>
        <w:t>Normalization</w:t>
      </w:r>
    </w:p>
    <w:p w14:paraId="28D895E9" w14:textId="77777777" w:rsidR="00541BA4" w:rsidRPr="0045587C" w:rsidRDefault="00541BA4" w:rsidP="00541BA4">
      <w:pPr>
        <w:rPr>
          <w:rFonts w:eastAsia="Arial" w:cs="Arial"/>
          <w:color w:val="000000" w:themeColor="text1"/>
          <w:szCs w:val="24"/>
        </w:rPr>
      </w:pPr>
      <w:r w:rsidRPr="0045587C">
        <w:rPr>
          <w:rFonts w:eastAsia="Arial" w:cs="Arial"/>
          <w:color w:val="000000" w:themeColor="text1"/>
          <w:szCs w:val="24"/>
        </w:rPr>
        <w:t xml:space="preserve">The toxicity of some pesticides in sediment is dependent on the amount of organic carbon within the sediment. If the </w:t>
      </w:r>
      <w:r w:rsidR="00B73F1A" w:rsidRPr="0045587C">
        <w:rPr>
          <w:rFonts w:eastAsia="Arial" w:cs="Arial"/>
          <w:color w:val="000000" w:themeColor="text1"/>
          <w:szCs w:val="24"/>
        </w:rPr>
        <w:t>evaluation guideline</w:t>
      </w:r>
      <w:r w:rsidRPr="0045587C">
        <w:rPr>
          <w:rFonts w:eastAsia="Arial" w:cs="Arial"/>
          <w:color w:val="000000" w:themeColor="text1"/>
          <w:szCs w:val="24"/>
        </w:rPr>
        <w:t xml:space="preserve"> selected for assessment was based on organic carbon normalization, the pesticide data were also organic carbon-normalized (using the organic carbon content from the same sample) for comparison of the data with the </w:t>
      </w:r>
      <w:r w:rsidR="00B73F1A" w:rsidRPr="0045587C">
        <w:rPr>
          <w:rFonts w:eastAsia="Arial" w:cs="Arial"/>
          <w:color w:val="000000" w:themeColor="text1"/>
          <w:szCs w:val="24"/>
        </w:rPr>
        <w:t>evaluation guideline</w:t>
      </w:r>
      <w:r w:rsidRPr="0045587C">
        <w:rPr>
          <w:rFonts w:eastAsia="Arial" w:cs="Arial"/>
          <w:color w:val="000000" w:themeColor="text1"/>
          <w:szCs w:val="24"/>
        </w:rPr>
        <w:t>. Data for the following pesticides (when measured in sediment samples) were organic carbon-normalized: pyrethroids, fipronil, fipronil metabolites, and the organophosphates chlorpyrifos, diazinon, and methyl parathion.</w:t>
      </w:r>
    </w:p>
    <w:p w14:paraId="17FBDC0C" w14:textId="220C650D" w:rsidR="00541BA4" w:rsidRPr="0045587C" w:rsidRDefault="00541BA4" w:rsidP="00541BA4">
      <w:pPr>
        <w:rPr>
          <w:rFonts w:eastAsia="Arial" w:cs="Arial"/>
          <w:color w:val="000000" w:themeColor="text1"/>
          <w:szCs w:val="24"/>
        </w:rPr>
      </w:pPr>
      <w:r w:rsidRPr="0045587C">
        <w:rPr>
          <w:rFonts w:eastAsia="Arial" w:cs="Arial"/>
          <w:color w:val="000000" w:themeColor="text1"/>
          <w:szCs w:val="24"/>
        </w:rPr>
        <w:t xml:space="preserve">These pesticide </w:t>
      </w:r>
      <w:r w:rsidR="00C2226D">
        <w:rPr>
          <w:rFonts w:eastAsia="Arial" w:cs="Arial"/>
          <w:color w:val="000000" w:themeColor="text1"/>
          <w:szCs w:val="24"/>
        </w:rPr>
        <w:t>evaluation guidelines</w:t>
      </w:r>
      <w:r w:rsidRPr="0045587C">
        <w:rPr>
          <w:rFonts w:eastAsia="Arial" w:cs="Arial"/>
          <w:color w:val="000000" w:themeColor="text1"/>
          <w:szCs w:val="24"/>
        </w:rPr>
        <w:t xml:space="preserve"> are based on the geomean of multiple LC50 values normalized for the organic carbon content of the soil</w:t>
      </w:r>
      <w:r w:rsidR="00C2226D" w:rsidRPr="0045587C">
        <w:rPr>
          <w:rFonts w:eastAsia="Arial" w:cs="Arial"/>
          <w:color w:val="000000" w:themeColor="text1"/>
          <w:szCs w:val="24"/>
        </w:rPr>
        <w:t xml:space="preserve">. </w:t>
      </w:r>
      <w:r w:rsidR="00C2226D">
        <w:rPr>
          <w:rFonts w:eastAsia="Arial" w:cs="Arial"/>
          <w:color w:val="000000" w:themeColor="text1"/>
          <w:szCs w:val="24"/>
        </w:rPr>
        <w:t>The LC50 is the Lethal Concentration 50 (or median lethal concentration) and is the concentration of a pollutant at which 50</w:t>
      </w:r>
      <w:r w:rsidR="008B65A8">
        <w:rPr>
          <w:rFonts w:eastAsia="Arial" w:cs="Arial"/>
          <w:color w:val="000000" w:themeColor="text1"/>
          <w:szCs w:val="24"/>
        </w:rPr>
        <w:t xml:space="preserve"> percent</w:t>
      </w:r>
      <w:r w:rsidR="00C2226D">
        <w:rPr>
          <w:rFonts w:eastAsia="Arial" w:cs="Arial"/>
          <w:color w:val="000000" w:themeColor="text1"/>
          <w:szCs w:val="24"/>
        </w:rPr>
        <w:t xml:space="preserve"> of test organisms die over the duration of a test period.</w:t>
      </w:r>
      <w:r>
        <w:rPr>
          <w:rFonts w:eastAsia="Arial" w:cs="Arial"/>
          <w:color w:val="000000" w:themeColor="text1"/>
          <w:szCs w:val="24"/>
        </w:rPr>
        <w:t xml:space="preserve"> </w:t>
      </w:r>
      <w:r w:rsidRPr="0045587C">
        <w:rPr>
          <w:rFonts w:eastAsia="Arial" w:cs="Arial"/>
          <w:color w:val="000000" w:themeColor="text1"/>
          <w:szCs w:val="24"/>
        </w:rPr>
        <w:t xml:space="preserve">The geomean is the preferred statistic to calculate a </w:t>
      </w:r>
      <w:r w:rsidR="00081E06" w:rsidRPr="0045587C">
        <w:rPr>
          <w:rFonts w:eastAsia="Arial" w:cs="Arial"/>
          <w:color w:val="000000" w:themeColor="text1"/>
          <w:szCs w:val="24"/>
        </w:rPr>
        <w:t>criterion</w:t>
      </w:r>
      <w:r w:rsidRPr="0045587C">
        <w:rPr>
          <w:rFonts w:eastAsia="Arial" w:cs="Arial"/>
          <w:color w:val="000000" w:themeColor="text1"/>
          <w:szCs w:val="24"/>
        </w:rPr>
        <w:t xml:space="preserve"> since the distribution of toxicity test results is generally not normally distributed and is more likely to follow a lognormal distribution (</w:t>
      </w:r>
      <w:r w:rsidR="00313C98" w:rsidRPr="0045587C">
        <w:rPr>
          <w:rFonts w:eastAsia="Arial" w:cs="Arial"/>
          <w:color w:val="000000" w:themeColor="text1"/>
          <w:szCs w:val="24"/>
        </w:rPr>
        <w:t>USEPA</w:t>
      </w:r>
      <w:r w:rsidRPr="0045587C">
        <w:rPr>
          <w:rFonts w:eastAsia="Arial" w:cs="Arial"/>
          <w:color w:val="000000" w:themeColor="text1"/>
          <w:szCs w:val="24"/>
        </w:rPr>
        <w:t xml:space="preserve"> 1985). This methodology </w:t>
      </w:r>
      <w:r w:rsidR="003E2ECC">
        <w:rPr>
          <w:rFonts w:eastAsia="Arial" w:cs="Arial"/>
          <w:color w:val="000000" w:themeColor="text1"/>
          <w:szCs w:val="24"/>
        </w:rPr>
        <w:t>is</w:t>
      </w:r>
      <w:r w:rsidRPr="0045587C">
        <w:rPr>
          <w:rFonts w:eastAsia="Arial" w:cs="Arial"/>
          <w:color w:val="000000" w:themeColor="text1"/>
          <w:szCs w:val="24"/>
        </w:rPr>
        <w:t xml:space="preserve"> applied statewide with the exception of assessments conducted for </w:t>
      </w:r>
      <w:r w:rsidR="00890BDB" w:rsidRPr="0045587C">
        <w:rPr>
          <w:rFonts w:eastAsia="Arial" w:cs="Arial"/>
          <w:color w:val="000000" w:themeColor="text1"/>
          <w:szCs w:val="24"/>
        </w:rPr>
        <w:t>waterbod</w:t>
      </w:r>
      <w:r w:rsidR="00890BDB">
        <w:rPr>
          <w:rFonts w:eastAsia="Arial" w:cs="Arial"/>
          <w:color w:val="000000" w:themeColor="text1"/>
          <w:szCs w:val="24"/>
        </w:rPr>
        <w:t xml:space="preserve">y segments within the </w:t>
      </w:r>
      <w:r w:rsidRPr="0045587C">
        <w:rPr>
          <w:rFonts w:eastAsia="Arial" w:cs="Arial"/>
          <w:color w:val="000000" w:themeColor="text1"/>
          <w:szCs w:val="24"/>
        </w:rPr>
        <w:t xml:space="preserve">Central Valley Region, which use one-tenth of the LC50 in accordance with the Central Valley Water Quality Control Plan (2018). </w:t>
      </w:r>
    </w:p>
    <w:p w14:paraId="34356804" w14:textId="77777777" w:rsidR="00BB7F61" w:rsidRPr="0035741E" w:rsidRDefault="00BB7F61" w:rsidP="00541BA4">
      <w:pPr>
        <w:rPr>
          <w:rStyle w:val="IntenseEmphasis"/>
        </w:rPr>
      </w:pPr>
      <w:r w:rsidRPr="0035741E">
        <w:rPr>
          <w:rStyle w:val="IntenseEmphasis"/>
        </w:rPr>
        <w:t>Toxic Units</w:t>
      </w:r>
    </w:p>
    <w:p w14:paraId="7FE42902" w14:textId="77777777" w:rsidR="00541BA4" w:rsidRPr="00F8420A" w:rsidRDefault="00541BA4" w:rsidP="00541BA4">
      <w:pPr>
        <w:rPr>
          <w:rFonts w:eastAsia="Calibri" w:cs="Arial"/>
          <w:b/>
          <w:color w:val="1F4E79"/>
          <w:szCs w:val="24"/>
          <w:u w:color="000000"/>
        </w:rPr>
      </w:pPr>
      <w:r w:rsidRPr="0045587C">
        <w:rPr>
          <w:rFonts w:eastAsia="Arial" w:cs="Arial"/>
          <w:color w:val="000000" w:themeColor="text1"/>
          <w:szCs w:val="24"/>
        </w:rPr>
        <w:t xml:space="preserve">Calculations of additive toxicity, or toxic units, were used to assess impairment based on the cumulative impact of individual organophosphate and pyrethroids pesticides. The evaluation guideline for the protection of aquatic life is one toxic unit equivalent (Amweg et al. 2006 for pyrethroid pesticides and Bailey et al. 1997 for organophosphate pesticides). A toxic unit equivalent is equal to the sum of all individual pyrethroids concentrations from a single sample, each having their reported concentration divided by their respective evaluation guideline prior to being summed. </w:t>
      </w:r>
      <w:r w:rsidR="00C2226D" w:rsidRPr="0045587C">
        <w:rPr>
          <w:rFonts w:eastAsia="Arial" w:cs="Arial"/>
          <w:color w:val="000000" w:themeColor="text1"/>
          <w:szCs w:val="24"/>
        </w:rPr>
        <w:t>If this calculation</w:t>
      </w:r>
      <w:r w:rsidR="00C2226D">
        <w:rPr>
          <w:rFonts w:eastAsia="Arial" w:cs="Arial"/>
          <w:color w:val="000000" w:themeColor="text1"/>
          <w:szCs w:val="24"/>
        </w:rPr>
        <w:t>, completed by an assessment data processing tool,</w:t>
      </w:r>
      <w:r w:rsidR="00C2226D" w:rsidRPr="0045587C">
        <w:rPr>
          <w:rFonts w:eastAsia="Arial" w:cs="Arial"/>
          <w:color w:val="000000" w:themeColor="text1"/>
          <w:szCs w:val="24"/>
        </w:rPr>
        <w:t xml:space="preserve"> results in a value greater than one, the sample is counted as an exceedance of the water quality objective.</w:t>
      </w:r>
    </w:p>
    <w:p w14:paraId="710A988E" w14:textId="07AADB6B" w:rsidR="0025286A" w:rsidRPr="0025286A" w:rsidRDefault="0025286A" w:rsidP="004D633C">
      <w:pPr>
        <w:pStyle w:val="Heading3"/>
      </w:pPr>
      <w:bookmarkStart w:id="100" w:name="_Toc189048580"/>
      <w:r w:rsidRPr="0025286A">
        <w:t>Metals</w:t>
      </w:r>
      <w:bookmarkEnd w:id="100"/>
    </w:p>
    <w:p w14:paraId="45924F27" w14:textId="0FE95A02" w:rsidR="0025286A" w:rsidRDefault="0025286A" w:rsidP="0025286A">
      <w:pPr>
        <w:rPr>
          <w:rFonts w:cs="Arial"/>
          <w:color w:val="000000" w:themeColor="text1"/>
          <w:szCs w:val="24"/>
        </w:rPr>
      </w:pPr>
      <w:r w:rsidRPr="0025286A">
        <w:rPr>
          <w:rFonts w:cs="Arial"/>
          <w:color w:val="000000" w:themeColor="text1"/>
          <w:szCs w:val="24"/>
        </w:rPr>
        <w:t>Mos</w:t>
      </w:r>
      <w:r w:rsidR="00C2531E">
        <w:rPr>
          <w:rFonts w:cs="Arial"/>
          <w:color w:val="000000" w:themeColor="text1"/>
          <w:szCs w:val="24"/>
        </w:rPr>
        <w:t>t</w:t>
      </w:r>
      <w:r w:rsidRPr="0025286A">
        <w:rPr>
          <w:rFonts w:cs="Arial"/>
          <w:color w:val="000000" w:themeColor="text1"/>
          <w:szCs w:val="24"/>
        </w:rPr>
        <w:t xml:space="preserve"> metals in sediment were a direct comparison of the data result to the numeric objective, criterion or evaluation guideline and required no data manipulation. </w:t>
      </w:r>
    </w:p>
    <w:p w14:paraId="229E2051" w14:textId="34ABABBE" w:rsidR="00326E09" w:rsidRDefault="009909A4" w:rsidP="00C2531E">
      <w:pPr>
        <w:pStyle w:val="Heading2"/>
      </w:pPr>
      <w:bookmarkStart w:id="101" w:name="_Toc189048581"/>
      <w:r w:rsidRPr="009909A4">
        <w:t xml:space="preserve">Pesticides, Organic Chemicals, and Metals </w:t>
      </w:r>
      <w:r w:rsidR="00C24661">
        <w:t>– Tissue Matrix</w:t>
      </w:r>
      <w:bookmarkEnd w:id="101"/>
    </w:p>
    <w:p w14:paraId="03CFED1F" w14:textId="16A08CF2" w:rsidR="00BE5A5E" w:rsidRDefault="00BE5A5E" w:rsidP="00BE5A5E">
      <w:pPr>
        <w:rPr>
          <w:rFonts w:eastAsia="Arial" w:cs="Arial"/>
          <w:color w:val="000000" w:themeColor="text1"/>
          <w:szCs w:val="24"/>
        </w:rPr>
      </w:pPr>
      <w:r w:rsidRPr="00D2062D">
        <w:rPr>
          <w:rFonts w:eastAsia="Arial" w:cs="Arial"/>
          <w:color w:val="000000" w:themeColor="text1"/>
          <w:szCs w:val="24"/>
        </w:rPr>
        <w:t xml:space="preserve">Pesticides, other organic chemicals, and metals (except mercury) in fish and shellfish tissue were assessed based on a modified version of the Fish Contaminant Goals (“FCG”) developed by OEHHA (OEHHA 2008) in accordance with a narrative water quality objective. The narrative water quality objective is evaluated by selecting an appropriate numeric evaluation guideline, in accordance with section 6.1.3 of the Listing Policy. Narrative water quality objectives may be general, or reference aquatic life and each Regional Water Board </w:t>
      </w:r>
      <w:r w:rsidR="00AC22CA">
        <w:rPr>
          <w:rFonts w:eastAsia="Arial" w:cs="Arial"/>
          <w:color w:val="000000" w:themeColor="text1"/>
          <w:szCs w:val="24"/>
        </w:rPr>
        <w:t>basin plan</w:t>
      </w:r>
      <w:r w:rsidRPr="00D2062D">
        <w:rPr>
          <w:rFonts w:eastAsia="Arial" w:cs="Arial"/>
          <w:color w:val="000000" w:themeColor="text1"/>
          <w:szCs w:val="24"/>
        </w:rPr>
        <w:t xml:space="preserve"> has slightly different objective language. The following are examples of narrative objective language:</w:t>
      </w:r>
    </w:p>
    <w:p w14:paraId="5AC86B11" w14:textId="77777777" w:rsidR="00BE5A5E" w:rsidRPr="00D2062D" w:rsidRDefault="00BE5A5E" w:rsidP="00BE5A5E">
      <w:pPr>
        <w:ind w:left="720"/>
        <w:rPr>
          <w:rFonts w:eastAsia="Arial" w:cs="Arial"/>
          <w:color w:val="000000" w:themeColor="text1"/>
          <w:szCs w:val="24"/>
        </w:rPr>
      </w:pPr>
      <w:r>
        <w:rPr>
          <w:rFonts w:eastAsia="Arial" w:cs="Arial"/>
          <w:color w:val="000000" w:themeColor="text1"/>
          <w:szCs w:val="24"/>
        </w:rPr>
        <w:t>There shall be no bioaccumulation of pesticide concentrations in bottom sediments or aquatic life that cause nuisance or adversely affect beneficial uses.</w:t>
      </w:r>
    </w:p>
    <w:p w14:paraId="55C05CD7" w14:textId="77777777" w:rsidR="000B7C28" w:rsidRDefault="000B7C28" w:rsidP="009414DF">
      <w:pPr>
        <w:ind w:left="720"/>
        <w:rPr>
          <w:rFonts w:eastAsia="Arial" w:cs="Arial"/>
          <w:color w:val="000000" w:themeColor="text1"/>
          <w:szCs w:val="24"/>
        </w:rPr>
      </w:pPr>
      <w:r w:rsidRPr="00D2062D">
        <w:rPr>
          <w:rFonts w:eastAsia="Arial" w:cs="Arial"/>
          <w:color w:val="000000" w:themeColor="text1"/>
          <w:szCs w:val="24"/>
        </w:rPr>
        <w:t>All waters shall be maintained free of toxic substances in concentrations that produce detrimental physiological responses in human, plant, animal, or aquatic life.</w:t>
      </w:r>
    </w:p>
    <w:p w14:paraId="29269897" w14:textId="280AB3D8" w:rsidR="00DD3E2A" w:rsidRDefault="00BE5A5E" w:rsidP="00BE5A5E">
      <w:pPr>
        <w:rPr>
          <w:rFonts w:cs="Arial"/>
        </w:rPr>
      </w:pPr>
      <w:r w:rsidRPr="00950E2A">
        <w:rPr>
          <w:rFonts w:eastAsia="Arial" w:cs="Arial"/>
          <w:color w:val="000000" w:themeColor="text1"/>
          <w:szCs w:val="24"/>
        </w:rPr>
        <w:t>Most assessments were a direct comparison of the data result with a</w:t>
      </w:r>
      <w:r w:rsidR="00EE2A96">
        <w:rPr>
          <w:rFonts w:eastAsia="Arial" w:cs="Arial"/>
          <w:color w:val="000000" w:themeColor="text1"/>
          <w:szCs w:val="24"/>
        </w:rPr>
        <w:t>n</w:t>
      </w:r>
      <w:r w:rsidRPr="00950E2A">
        <w:rPr>
          <w:rFonts w:eastAsia="Arial" w:cs="Arial"/>
          <w:color w:val="000000" w:themeColor="text1"/>
          <w:szCs w:val="24"/>
        </w:rPr>
        <w:t xml:space="preserve"> </w:t>
      </w:r>
      <w:r w:rsidR="00EE2A96">
        <w:rPr>
          <w:rFonts w:eastAsia="Arial" w:cs="Arial"/>
          <w:color w:val="000000" w:themeColor="text1"/>
          <w:szCs w:val="24"/>
        </w:rPr>
        <w:t>evaluation guideline</w:t>
      </w:r>
      <w:r w:rsidR="00EE2A96" w:rsidRPr="00950E2A">
        <w:rPr>
          <w:rFonts w:eastAsia="Arial" w:cs="Arial"/>
          <w:color w:val="000000" w:themeColor="text1"/>
          <w:szCs w:val="24"/>
        </w:rPr>
        <w:t xml:space="preserve"> </w:t>
      </w:r>
      <w:r w:rsidRPr="00950E2A">
        <w:rPr>
          <w:rFonts w:eastAsia="Arial" w:cs="Arial"/>
          <w:color w:val="000000" w:themeColor="text1"/>
          <w:szCs w:val="24"/>
        </w:rPr>
        <w:t xml:space="preserve">(e.g., </w:t>
      </w:r>
      <w:r>
        <w:rPr>
          <w:rFonts w:eastAsia="Arial" w:cs="Arial"/>
          <w:color w:val="000000" w:themeColor="text1"/>
          <w:szCs w:val="24"/>
        </w:rPr>
        <w:t>cadmium</w:t>
      </w:r>
      <w:r w:rsidRPr="00950E2A">
        <w:rPr>
          <w:rFonts w:eastAsia="Arial" w:cs="Arial"/>
          <w:color w:val="000000" w:themeColor="text1"/>
          <w:szCs w:val="24"/>
        </w:rPr>
        <w:t xml:space="preserve">), while some assessments required data manipulation before comparison with the </w:t>
      </w:r>
      <w:r w:rsidR="00BB46DE">
        <w:rPr>
          <w:rFonts w:eastAsia="Arial" w:cs="Arial"/>
          <w:color w:val="000000" w:themeColor="text1"/>
          <w:szCs w:val="24"/>
        </w:rPr>
        <w:t>evaluation guideline</w:t>
      </w:r>
      <w:r w:rsidR="00BB46DE" w:rsidRPr="00950E2A">
        <w:rPr>
          <w:rFonts w:eastAsia="Arial" w:cs="Arial"/>
          <w:color w:val="000000" w:themeColor="text1"/>
          <w:szCs w:val="24"/>
        </w:rPr>
        <w:t xml:space="preserve"> </w:t>
      </w:r>
      <w:r w:rsidRPr="00950E2A">
        <w:rPr>
          <w:rFonts w:eastAsia="Arial" w:cs="Arial"/>
          <w:color w:val="000000" w:themeColor="text1"/>
          <w:szCs w:val="24"/>
        </w:rPr>
        <w:t>(e.g., summed pollutants).</w:t>
      </w:r>
      <w:r>
        <w:rPr>
          <w:rFonts w:cs="Arial"/>
          <w:color w:val="000000" w:themeColor="text1"/>
        </w:rPr>
        <w:t xml:space="preserve"> </w:t>
      </w:r>
      <w:r w:rsidRPr="00950E2A">
        <w:rPr>
          <w:rFonts w:eastAsia="Arial" w:cs="Arial"/>
          <w:color w:val="000000" w:themeColor="text1"/>
          <w:szCs w:val="24"/>
        </w:rPr>
        <w:t>The following subsections provide information on data manipulation for specific pollutan</w:t>
      </w:r>
      <w:r>
        <w:rPr>
          <w:rFonts w:eastAsia="Arial" w:cs="Arial"/>
          <w:color w:val="000000" w:themeColor="text1"/>
          <w:szCs w:val="24"/>
        </w:rPr>
        <w:t>t types.</w:t>
      </w:r>
    </w:p>
    <w:p w14:paraId="6DC99E44" w14:textId="77777777" w:rsidR="00CB6C5C" w:rsidRDefault="00FF0BC2" w:rsidP="00FF0BC2">
      <w:pPr>
        <w:rPr>
          <w:rFonts w:eastAsia="Arial" w:cs="Arial"/>
          <w:color w:val="000000" w:themeColor="text1"/>
          <w:szCs w:val="24"/>
        </w:rPr>
      </w:pPr>
      <w:r>
        <w:rPr>
          <w:rFonts w:eastAsia="Arial" w:cs="Arial"/>
          <w:color w:val="000000" w:themeColor="text1"/>
          <w:szCs w:val="24"/>
        </w:rPr>
        <w:t>The FCGs developed by OEHHA are for carcinogens, non-carcinogens, and a non-carcinogenic nutrient and includes the following equations:</w:t>
      </w:r>
    </w:p>
    <w:p w14:paraId="7D8019D3" w14:textId="35BC7D11" w:rsidR="00FF0BC2" w:rsidRPr="0021134E" w:rsidRDefault="00C740D0" w:rsidP="00FF0BC2">
      <w:pPr>
        <w:rPr>
          <w:rFonts w:eastAsia="Arial" w:cs="Arial"/>
          <w:color w:val="000000" w:themeColor="text1"/>
          <w:szCs w:val="24"/>
        </w:rPr>
      </w:pPr>
      <w:r>
        <w:rPr>
          <w:rFonts w:eastAsia="Arial" w:cs="Arial"/>
          <w:noProof/>
          <w:color w:val="000000" w:themeColor="text1"/>
          <w:szCs w:val="24"/>
        </w:rPr>
        <w:drawing>
          <wp:inline distT="0" distB="0" distL="0" distR="0" wp14:anchorId="63C7E0DD" wp14:editId="653EF979">
            <wp:extent cx="6533569" cy="3537766"/>
            <wp:effectExtent l="0" t="0" r="635" b="5715"/>
            <wp:docPr id="1179998411" name="Picture 1" descr="Math Equations: The Fish Contaminant Goals developed by OEHHA in 2008 are for carcinogens, non-carcinogens, and a non-carcinogenic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98411" name="Picture 1" descr="Math Equations: The Fish Contaminant Goals developed by OEHHA in 2008 are for carcinogens, non-carcinogens, and a non-carcinogenic nutrient."/>
                    <pic:cNvPicPr/>
                  </pic:nvPicPr>
                  <pic:blipFill>
                    <a:blip r:embed="rId54">
                      <a:extLst>
                        <a:ext uri="{28A0092B-C50C-407E-A947-70E740481C1C}">
                          <a14:useLocalDpi xmlns:a14="http://schemas.microsoft.com/office/drawing/2010/main" val="0"/>
                        </a:ext>
                      </a:extLst>
                    </a:blip>
                    <a:stretch>
                      <a:fillRect/>
                    </a:stretch>
                  </pic:blipFill>
                  <pic:spPr>
                    <a:xfrm>
                      <a:off x="0" y="0"/>
                      <a:ext cx="6539440" cy="3540945"/>
                    </a:xfrm>
                    <a:prstGeom prst="rect">
                      <a:avLst/>
                    </a:prstGeom>
                  </pic:spPr>
                </pic:pic>
              </a:graphicData>
            </a:graphic>
          </wp:inline>
        </w:drawing>
      </w:r>
    </w:p>
    <w:p w14:paraId="366BB820" w14:textId="2531C331" w:rsidR="00FF0BC2" w:rsidRPr="00870A45" w:rsidRDefault="00FF0BC2" w:rsidP="00917F21">
      <w:pPr>
        <w:spacing w:after="0" w:line="257" w:lineRule="auto"/>
        <w:rPr>
          <w:rFonts w:eastAsia="Calibri" w:cs="Arial"/>
        </w:rPr>
      </w:pPr>
      <w:r w:rsidRPr="00870A45">
        <w:rPr>
          <w:rFonts w:eastAsia="Calibri" w:cs="Arial"/>
        </w:rPr>
        <w:t>Where,</w:t>
      </w:r>
      <w:r w:rsidRPr="00870A45">
        <w:rPr>
          <w:rFonts w:eastAsia="Calibri" w:cs="Arial"/>
        </w:rPr>
        <w:tab/>
        <w:t xml:space="preserve">   </w:t>
      </w:r>
    </w:p>
    <w:p w14:paraId="5D8382DB" w14:textId="77777777" w:rsidR="00FF0BC2" w:rsidRDefault="00FF0BC2" w:rsidP="00917F21">
      <w:pPr>
        <w:spacing w:after="0" w:line="257" w:lineRule="auto"/>
        <w:rPr>
          <w:rFonts w:eastAsia="Calibri" w:cs="Arial"/>
          <w:vertAlign w:val="superscript"/>
        </w:rPr>
      </w:pPr>
      <w:r w:rsidRPr="00870A45">
        <w:rPr>
          <w:rFonts w:eastAsia="Calibri" w:cs="Arial"/>
        </w:rPr>
        <w:tab/>
      </w:r>
      <w:r w:rsidRPr="00870A45">
        <w:rPr>
          <w:rFonts w:eastAsia="Calibri" w:cs="Arial"/>
        </w:rPr>
        <w:tab/>
        <w:t>Risk Level = 1.0 x 10</w:t>
      </w:r>
      <w:r w:rsidRPr="00870A45">
        <w:rPr>
          <w:rFonts w:eastAsia="Calibri" w:cs="Arial"/>
          <w:vertAlign w:val="superscript"/>
        </w:rPr>
        <w:t>-6</w:t>
      </w:r>
    </w:p>
    <w:p w14:paraId="19400698" w14:textId="77777777" w:rsidR="00FF0BC2" w:rsidRPr="00870A45" w:rsidRDefault="00FF0BC2" w:rsidP="00917F21">
      <w:pPr>
        <w:spacing w:after="0" w:line="257" w:lineRule="auto"/>
        <w:rPr>
          <w:rFonts w:eastAsia="Calibri" w:cs="Arial"/>
        </w:rPr>
      </w:pPr>
      <w:r>
        <w:rPr>
          <w:rFonts w:eastAsia="Calibri" w:cs="Arial"/>
          <w:vertAlign w:val="superscript"/>
        </w:rPr>
        <w:tab/>
      </w:r>
      <w:r>
        <w:rPr>
          <w:rFonts w:eastAsia="Calibri" w:cs="Arial"/>
          <w:vertAlign w:val="superscript"/>
        </w:rPr>
        <w:tab/>
      </w:r>
      <w:r w:rsidRPr="00870A45">
        <w:rPr>
          <w:rFonts w:eastAsia="Calibri" w:cs="Arial"/>
        </w:rPr>
        <w:t>CSF = cancer slope factor</w:t>
      </w:r>
    </w:p>
    <w:p w14:paraId="4849B26F" w14:textId="77777777" w:rsidR="00FF0BC2" w:rsidRDefault="00FF0BC2" w:rsidP="00917F21">
      <w:pPr>
        <w:spacing w:after="0" w:line="257" w:lineRule="auto"/>
        <w:ind w:firstLine="1440"/>
        <w:rPr>
          <w:rFonts w:eastAsia="Calibri" w:cs="Arial"/>
        </w:rPr>
      </w:pPr>
      <w:r>
        <w:rPr>
          <w:rFonts w:eastAsia="Calibri" w:cs="Arial"/>
        </w:rPr>
        <w:t>BW</w:t>
      </w:r>
      <w:r w:rsidRPr="0085437F">
        <w:rPr>
          <w:rFonts w:eastAsia="Calibri" w:cs="Arial"/>
        </w:rPr>
        <w:t xml:space="preserve"> </w:t>
      </w:r>
      <w:r>
        <w:rPr>
          <w:rFonts w:eastAsia="Calibri" w:cs="Arial"/>
        </w:rPr>
        <w:t xml:space="preserve">= </w:t>
      </w:r>
      <w:r w:rsidRPr="00870A45">
        <w:rPr>
          <w:rFonts w:eastAsia="Calibri" w:cs="Arial"/>
        </w:rPr>
        <w:t xml:space="preserve">Body Weight </w:t>
      </w:r>
      <w:r>
        <w:rPr>
          <w:rFonts w:eastAsia="Calibri" w:cs="Arial"/>
        </w:rPr>
        <w:t xml:space="preserve">of </w:t>
      </w:r>
      <w:r w:rsidRPr="00870A45">
        <w:rPr>
          <w:rFonts w:eastAsia="Calibri" w:cs="Arial"/>
        </w:rPr>
        <w:t>consumer</w:t>
      </w:r>
      <w:r>
        <w:rPr>
          <w:rFonts w:eastAsia="Calibri" w:cs="Arial"/>
        </w:rPr>
        <w:t xml:space="preserve"> (</w:t>
      </w:r>
      <w:r w:rsidRPr="00870A45">
        <w:rPr>
          <w:rFonts w:eastAsia="Calibri" w:cs="Arial"/>
        </w:rPr>
        <w:t>70 kg</w:t>
      </w:r>
      <w:r>
        <w:rPr>
          <w:rFonts w:eastAsia="Calibri" w:cs="Arial"/>
        </w:rPr>
        <w:t>)</w:t>
      </w:r>
    </w:p>
    <w:p w14:paraId="4E4F3586" w14:textId="16679F9C" w:rsidR="00FF0BC2" w:rsidRDefault="00FF0BC2" w:rsidP="00917F21">
      <w:pPr>
        <w:spacing w:after="0" w:line="257" w:lineRule="auto"/>
        <w:rPr>
          <w:rFonts w:eastAsia="Calibri" w:cs="Arial"/>
        </w:rPr>
      </w:pPr>
      <w:r>
        <w:rPr>
          <w:rFonts w:eastAsia="Calibri" w:cs="Arial"/>
        </w:rPr>
        <w:tab/>
      </w:r>
      <w:r>
        <w:rPr>
          <w:rFonts w:eastAsia="Calibri" w:cs="Arial"/>
        </w:rPr>
        <w:tab/>
      </w:r>
      <w:r w:rsidRPr="00870A45">
        <w:rPr>
          <w:rFonts w:eastAsia="Calibri" w:cs="Arial"/>
        </w:rPr>
        <w:t>CR = consumption rate as daily amount of fish or shellfish consumed</w:t>
      </w:r>
    </w:p>
    <w:p w14:paraId="4FC5306B" w14:textId="77777777" w:rsidR="00FF0BC2" w:rsidRPr="00870A45" w:rsidRDefault="00FF0BC2" w:rsidP="00917F21">
      <w:pPr>
        <w:spacing w:after="0" w:line="257" w:lineRule="auto"/>
        <w:rPr>
          <w:rFonts w:eastAsia="Calibri" w:cs="Arial"/>
        </w:rPr>
      </w:pPr>
      <w:r>
        <w:rPr>
          <w:rFonts w:eastAsia="Calibri" w:cs="Arial"/>
        </w:rPr>
        <w:tab/>
      </w:r>
      <w:r>
        <w:rPr>
          <w:rFonts w:eastAsia="Calibri" w:cs="Arial"/>
        </w:rPr>
        <w:tab/>
      </w:r>
      <w:r w:rsidRPr="00870A45">
        <w:rPr>
          <w:rFonts w:eastAsia="Calibri" w:cs="Arial"/>
        </w:rPr>
        <w:t>CRF</w:t>
      </w:r>
      <w:r>
        <w:rPr>
          <w:rFonts w:eastAsia="Calibri" w:cs="Arial"/>
        </w:rPr>
        <w:t xml:space="preserve"> </w:t>
      </w:r>
      <w:r w:rsidRPr="00870A45">
        <w:rPr>
          <w:rFonts w:eastAsia="Calibri" w:cs="Arial"/>
        </w:rPr>
        <w:t>= cooking reduction factor (OEHHA uses 0.7, State Board will use 1)</w:t>
      </w:r>
    </w:p>
    <w:p w14:paraId="505235B3" w14:textId="616441D6" w:rsidR="00917F21" w:rsidRDefault="00FF0BC2" w:rsidP="00917F21">
      <w:pPr>
        <w:spacing w:after="0" w:line="257" w:lineRule="auto"/>
        <w:ind w:firstLine="1440"/>
        <w:rPr>
          <w:rFonts w:eastAsia="Calibri" w:cs="Arial"/>
        </w:rPr>
      </w:pPr>
      <w:r w:rsidRPr="00870A45">
        <w:rPr>
          <w:rFonts w:eastAsia="Calibri" w:cs="Arial"/>
        </w:rPr>
        <w:t>ED/AT</w:t>
      </w:r>
      <w:r w:rsidRPr="00870A45">
        <w:rPr>
          <w:rFonts w:eastAsia="Calibri" w:cs="Arial"/>
        </w:rPr>
        <w:tab/>
        <w:t>= exposure duration/averaging time (30 yr exposure/70 yr lifetime)</w:t>
      </w:r>
    </w:p>
    <w:p w14:paraId="24DBB652" w14:textId="77777777" w:rsidR="00917F21" w:rsidRPr="00FF0BC2" w:rsidRDefault="00917F21" w:rsidP="00917F21">
      <w:pPr>
        <w:spacing w:after="0" w:line="257" w:lineRule="auto"/>
        <w:ind w:firstLine="1440"/>
        <w:rPr>
          <w:rFonts w:eastAsia="Calibri" w:cs="Arial"/>
        </w:rPr>
      </w:pPr>
    </w:p>
    <w:p w14:paraId="0059D3A3" w14:textId="77777777" w:rsidR="00FF0BC2" w:rsidRDefault="00FF0BC2" w:rsidP="00FF0BC2">
      <w:pPr>
        <w:rPr>
          <w:rFonts w:eastAsia="Arial" w:cs="Arial"/>
          <w:color w:val="000000" w:themeColor="text1"/>
          <w:szCs w:val="24"/>
        </w:rPr>
      </w:pPr>
      <w:r w:rsidRPr="00D2062D">
        <w:rPr>
          <w:rFonts w:eastAsia="Arial" w:cs="Arial"/>
          <w:color w:val="000000" w:themeColor="text1"/>
          <w:szCs w:val="24"/>
        </w:rPr>
        <w:t>The FCGs</w:t>
      </w:r>
      <w:r w:rsidRPr="00D2062D" w:rsidDel="00C62A0C">
        <w:rPr>
          <w:rFonts w:eastAsia="Arial" w:cs="Arial"/>
          <w:color w:val="000000" w:themeColor="text1"/>
          <w:szCs w:val="24"/>
        </w:rPr>
        <w:t xml:space="preserve"> </w:t>
      </w:r>
      <w:r w:rsidRPr="00D2062D">
        <w:rPr>
          <w:rFonts w:eastAsia="Arial" w:cs="Arial"/>
          <w:color w:val="000000" w:themeColor="text1"/>
          <w:szCs w:val="24"/>
        </w:rPr>
        <w:t xml:space="preserve">were modified by replacing the 0.7 cooking reduction factor with a value of 1.0. A cooking reduction factor is a numeric value that approximates the amount of contaminant removed from tissue by cooking. A cooking reduction factor of 1.0 implies there is no reduction in contaminant concentration from cooking. USEPA guidance recommends conservative assumptions be used where actual exposure data are unknown, such as the cooking and preparation methods (USEPA 2000). </w:t>
      </w:r>
    </w:p>
    <w:p w14:paraId="1118B5B6" w14:textId="77777777" w:rsidR="00FF0BC2" w:rsidRDefault="00FF0BC2" w:rsidP="00FF0BC2">
      <w:pPr>
        <w:rPr>
          <w:rFonts w:eastAsia="Arial" w:cs="Arial"/>
          <w:color w:val="000000" w:themeColor="text1"/>
          <w:szCs w:val="24"/>
        </w:rPr>
      </w:pPr>
      <w:r w:rsidRPr="00D2062D">
        <w:rPr>
          <w:rFonts w:eastAsia="Arial" w:cs="Arial"/>
          <w:color w:val="000000" w:themeColor="text1"/>
          <w:szCs w:val="24"/>
        </w:rPr>
        <w:t>Tissue sample fractions were reported as either "whole organism" or "fish fillet.” The modified OEHHA FCGs were used for assessment (with the exception of mercury) of both whole organism and fish fillet data.</w:t>
      </w:r>
      <w:r>
        <w:rPr>
          <w:rFonts w:eastAsia="Arial" w:cs="Arial"/>
          <w:color w:val="000000" w:themeColor="text1"/>
          <w:szCs w:val="24"/>
        </w:rPr>
        <w:t xml:space="preserve"> </w:t>
      </w:r>
    </w:p>
    <w:p w14:paraId="7BFFC202" w14:textId="6F517CD7" w:rsidR="00FF0BC2" w:rsidRDefault="00FF0BC2" w:rsidP="00FF0BC2">
      <w:pPr>
        <w:rPr>
          <w:rFonts w:eastAsia="Arial" w:cs="Arial"/>
          <w:color w:val="000000" w:themeColor="text1"/>
          <w:szCs w:val="24"/>
        </w:rPr>
      </w:pPr>
      <w:r>
        <w:rPr>
          <w:rFonts w:eastAsia="Arial" w:cs="Arial"/>
          <w:color w:val="000000" w:themeColor="text1"/>
          <w:szCs w:val="24"/>
        </w:rPr>
        <w:t xml:space="preserve">A </w:t>
      </w:r>
      <w:r w:rsidR="0046114D">
        <w:rPr>
          <w:rFonts w:eastAsia="Arial" w:cs="Arial"/>
          <w:color w:val="000000" w:themeColor="text1"/>
          <w:szCs w:val="24"/>
        </w:rPr>
        <w:t xml:space="preserve">list </w:t>
      </w:r>
      <w:r>
        <w:rPr>
          <w:rFonts w:eastAsia="Arial" w:cs="Arial"/>
          <w:color w:val="000000" w:themeColor="text1"/>
          <w:szCs w:val="24"/>
        </w:rPr>
        <w:t xml:space="preserve">of pollutants summed prior to comparison with an evaluation </w:t>
      </w:r>
      <w:r w:rsidR="002849FA">
        <w:rPr>
          <w:rFonts w:eastAsia="Arial" w:cs="Arial"/>
          <w:color w:val="000000" w:themeColor="text1"/>
          <w:szCs w:val="24"/>
        </w:rPr>
        <w:t>guideline</w:t>
      </w:r>
      <w:r>
        <w:rPr>
          <w:rFonts w:eastAsia="Arial" w:cs="Arial"/>
          <w:color w:val="000000" w:themeColor="text1"/>
          <w:szCs w:val="24"/>
        </w:rPr>
        <w:t xml:space="preserve"> is provided in </w:t>
      </w:r>
      <w:r w:rsidR="00A53FFA">
        <w:rPr>
          <w:rFonts w:eastAsia="Arial" w:cs="Arial"/>
          <w:szCs w:val="24"/>
        </w:rPr>
        <w:t xml:space="preserve">Appendix </w:t>
      </w:r>
      <w:r w:rsidR="00C63A5E">
        <w:rPr>
          <w:rFonts w:eastAsia="Arial" w:cs="Arial"/>
          <w:szCs w:val="24"/>
        </w:rPr>
        <w:t>K</w:t>
      </w:r>
      <w:r>
        <w:rPr>
          <w:rFonts w:eastAsia="Arial" w:cs="Arial"/>
          <w:color w:val="000000" w:themeColor="text1"/>
          <w:szCs w:val="24"/>
        </w:rPr>
        <w:t xml:space="preserve">. </w:t>
      </w:r>
    </w:p>
    <w:p w14:paraId="1DC2CC75" w14:textId="77777777" w:rsidR="00FF0BC2" w:rsidRDefault="00FF0BC2" w:rsidP="004D633C">
      <w:pPr>
        <w:pStyle w:val="Heading3"/>
      </w:pPr>
      <w:bookmarkStart w:id="102" w:name="_Toc189048582"/>
      <w:r>
        <w:t>Polycyclic Aromatic Hydrocarbons (“PAHs”)</w:t>
      </w:r>
      <w:bookmarkEnd w:id="102"/>
    </w:p>
    <w:p w14:paraId="552A689D" w14:textId="775A390A" w:rsidR="00FF0BC2" w:rsidRPr="00765A7F" w:rsidRDefault="00FF0BC2" w:rsidP="00FF0BC2">
      <w:pPr>
        <w:rPr>
          <w:rFonts w:eastAsia="Arial" w:cs="Arial"/>
          <w:color w:val="000000" w:themeColor="text1"/>
          <w:szCs w:val="24"/>
        </w:rPr>
      </w:pPr>
      <w:r w:rsidRPr="00D2062D">
        <w:rPr>
          <w:rFonts w:eastAsia="Arial" w:cs="Arial"/>
          <w:color w:val="000000" w:themeColor="text1"/>
          <w:szCs w:val="24"/>
        </w:rPr>
        <w:t>Polycyclic aromatic hydrocarbons (</w:t>
      </w:r>
      <w:r>
        <w:rPr>
          <w:rFonts w:eastAsia="Arial" w:cs="Arial"/>
          <w:color w:val="000000" w:themeColor="text1"/>
          <w:szCs w:val="24"/>
        </w:rPr>
        <w:t>“</w:t>
      </w:r>
      <w:r w:rsidRPr="00D2062D">
        <w:rPr>
          <w:rFonts w:eastAsia="Arial" w:cs="Arial"/>
          <w:color w:val="000000" w:themeColor="text1"/>
          <w:szCs w:val="24"/>
        </w:rPr>
        <w:t>PAHs</w:t>
      </w:r>
      <w:r>
        <w:rPr>
          <w:rFonts w:eastAsia="Arial" w:cs="Arial"/>
          <w:color w:val="000000" w:themeColor="text1"/>
          <w:szCs w:val="24"/>
        </w:rPr>
        <w:t>”</w:t>
      </w:r>
      <w:r w:rsidRPr="00D2062D">
        <w:rPr>
          <w:rFonts w:eastAsia="Arial" w:cs="Arial"/>
          <w:color w:val="000000" w:themeColor="text1"/>
          <w:szCs w:val="24"/>
        </w:rPr>
        <w:t xml:space="preserve">) in fish and shellfish tissue were assessed for human health by comparing a potency-weighted total concentration of PAHs with the </w:t>
      </w:r>
      <w:r w:rsidR="001E7CCB">
        <w:rPr>
          <w:rFonts w:eastAsia="Arial" w:cs="Arial"/>
          <w:color w:val="000000" w:themeColor="text1"/>
          <w:szCs w:val="24"/>
        </w:rPr>
        <w:t>evaluation guideline</w:t>
      </w:r>
      <w:r w:rsidR="001E7CCB" w:rsidRPr="00D2062D">
        <w:rPr>
          <w:rFonts w:eastAsia="Arial" w:cs="Arial"/>
          <w:color w:val="000000" w:themeColor="text1"/>
          <w:szCs w:val="24"/>
        </w:rPr>
        <w:t xml:space="preserve"> </w:t>
      </w:r>
      <w:r w:rsidRPr="00D2062D">
        <w:rPr>
          <w:rFonts w:eastAsia="Arial" w:cs="Arial"/>
          <w:color w:val="000000" w:themeColor="text1"/>
          <w:szCs w:val="24"/>
        </w:rPr>
        <w:t>for benzo(a)pyrene</w:t>
      </w:r>
      <w:r>
        <w:rPr>
          <w:rFonts w:eastAsia="Arial" w:cs="Arial"/>
          <w:color w:val="000000" w:themeColor="text1"/>
          <w:szCs w:val="24"/>
        </w:rPr>
        <w:t xml:space="preserve">. An evaluation guideline is not available for </w:t>
      </w:r>
      <w:r w:rsidR="00325071">
        <w:rPr>
          <w:rFonts w:eastAsia="Arial" w:cs="Arial"/>
          <w:color w:val="000000" w:themeColor="text1"/>
          <w:szCs w:val="24"/>
        </w:rPr>
        <w:t>other</w:t>
      </w:r>
      <w:r>
        <w:rPr>
          <w:rFonts w:eastAsia="Arial" w:cs="Arial"/>
          <w:color w:val="000000" w:themeColor="text1"/>
          <w:szCs w:val="24"/>
        </w:rPr>
        <w:t xml:space="preserve"> individual PAHs. As a result, the individual PAHs are assigned a value, or toxicity equivalency factor (“TEF”) based on the toxicity of the PAH relative to benzo(a)pyrene. </w:t>
      </w:r>
      <w:r w:rsidRPr="00D2062D">
        <w:rPr>
          <w:rFonts w:eastAsia="Arial" w:cs="Arial"/>
          <w:color w:val="000000" w:themeColor="text1"/>
          <w:szCs w:val="24"/>
        </w:rPr>
        <w:t>The potency-weighted concentration was calculated for each PAH by multiplying the concentration of the PAH by a TEF. The TEF is the toxicity of each PAH relative to benzo(a)pyrene. The potency-weighted concentrations for all PAHs were summed to create the potency-weighted total concentration for total PAH. The potency-weighted total concentration was then compared with the threshold for benzo(a)pyrene</w:t>
      </w:r>
    </w:p>
    <w:p w14:paraId="522D1227" w14:textId="63ED8DEC" w:rsidR="007710C3" w:rsidRPr="000B76F5" w:rsidRDefault="007710C3" w:rsidP="00597DE8">
      <w:pPr>
        <w:pStyle w:val="Heading2"/>
      </w:pPr>
      <w:bookmarkStart w:id="103" w:name="_Toc189048583"/>
      <w:r w:rsidRPr="000B76F5">
        <w:t>Aquatic Toxicity</w:t>
      </w:r>
      <w:bookmarkEnd w:id="103"/>
    </w:p>
    <w:p w14:paraId="3AC63A26" w14:textId="77777777" w:rsidR="00C8544B" w:rsidRDefault="0049639C" w:rsidP="00CA0FA7">
      <w:pPr>
        <w:rPr>
          <w:rFonts w:cs="Arial"/>
        </w:rPr>
      </w:pPr>
      <w:r w:rsidRPr="00336737">
        <w:rPr>
          <w:rFonts w:cs="Arial"/>
        </w:rPr>
        <w:t>Aquatic toxicity tests are conducted in a laboratory by exposing test organisms (e.g., vertebrate, invertebrate, or plant/algae species) to water or sediment samples collected in the field and to control samples. </w:t>
      </w:r>
      <w:r w:rsidR="004A608A">
        <w:rPr>
          <w:rFonts w:cs="Arial"/>
        </w:rPr>
        <w:t>O</w:t>
      </w:r>
      <w:r w:rsidRPr="00336737">
        <w:rPr>
          <w:rFonts w:cs="Arial"/>
        </w:rPr>
        <w:t xml:space="preserve">rganism responses (e.g., mortality, growth, reproduction) </w:t>
      </w:r>
      <w:r w:rsidR="004A608A">
        <w:rPr>
          <w:rFonts w:cs="Arial"/>
        </w:rPr>
        <w:t xml:space="preserve">in both the test/sampled water and the control water </w:t>
      </w:r>
      <w:r w:rsidRPr="00336737">
        <w:rPr>
          <w:rFonts w:cs="Arial"/>
        </w:rPr>
        <w:t>are measured and results are evaluated to determine if there is a statistically significant difference</w:t>
      </w:r>
      <w:r>
        <w:rPr>
          <w:rFonts w:cs="Arial"/>
        </w:rPr>
        <w:t>.</w:t>
      </w:r>
      <w:r w:rsidR="0083142E">
        <w:rPr>
          <w:rFonts w:cs="Arial"/>
        </w:rPr>
        <w:t xml:space="preserve"> </w:t>
      </w:r>
    </w:p>
    <w:p w14:paraId="32231598" w14:textId="2FE74D0B" w:rsidR="004B488F" w:rsidRPr="007B251E" w:rsidRDefault="00620498" w:rsidP="00CA0FA7">
      <w:pPr>
        <w:rPr>
          <w:rFonts w:eastAsia="Times New Roman" w:cs="Arial"/>
          <w:color w:val="000000"/>
          <w:szCs w:val="24"/>
        </w:rPr>
      </w:pPr>
      <w:r>
        <w:rPr>
          <w:rFonts w:cs="Arial"/>
        </w:rPr>
        <w:t>A</w:t>
      </w:r>
      <w:r w:rsidR="00355803">
        <w:rPr>
          <w:rFonts w:cs="Arial"/>
        </w:rPr>
        <w:t>ssessments</w:t>
      </w:r>
      <w:r w:rsidR="005E47B5">
        <w:rPr>
          <w:rFonts w:cs="Arial"/>
        </w:rPr>
        <w:t xml:space="preserve"> </w:t>
      </w:r>
      <w:r w:rsidR="005D6FCA">
        <w:rPr>
          <w:rFonts w:cs="Arial"/>
        </w:rPr>
        <w:t>were</w:t>
      </w:r>
      <w:r w:rsidR="005E47B5">
        <w:rPr>
          <w:rFonts w:cs="Arial"/>
        </w:rPr>
        <w:t xml:space="preserve"> conducted </w:t>
      </w:r>
      <w:r w:rsidR="00C8544B">
        <w:rPr>
          <w:rFonts w:cs="Arial"/>
        </w:rPr>
        <w:t xml:space="preserve">in accordance with section 3.6 of the Listing Policy, which states that, “A water segment shall be placed on the section 303(d) list if the water segment </w:t>
      </w:r>
      <w:r w:rsidR="008A1589">
        <w:rPr>
          <w:rFonts w:cs="Arial"/>
        </w:rPr>
        <w:t xml:space="preserve">exhibits statistically significant water or sediment toxicity using the </w:t>
      </w:r>
      <w:r w:rsidR="00F257CF">
        <w:rPr>
          <w:rFonts w:cs="Arial"/>
        </w:rPr>
        <w:t>binomial</w:t>
      </w:r>
      <w:r w:rsidR="008A1589">
        <w:rPr>
          <w:rFonts w:cs="Arial"/>
        </w:rPr>
        <w:t xml:space="preserve"> distribution as described in section 3.1 [of the Listing Policy].” </w:t>
      </w:r>
      <w:r w:rsidR="00790461">
        <w:rPr>
          <w:rFonts w:cs="Arial"/>
        </w:rPr>
        <w:t>Data were compared to</w:t>
      </w:r>
      <w:r w:rsidR="005E47B5">
        <w:rPr>
          <w:rFonts w:cs="Arial"/>
        </w:rPr>
        <w:t xml:space="preserve"> the</w:t>
      </w:r>
      <w:r w:rsidR="00355803">
        <w:rPr>
          <w:rFonts w:cs="Arial"/>
        </w:rPr>
        <w:t xml:space="preserve"> </w:t>
      </w:r>
      <w:r w:rsidR="00B05444">
        <w:rPr>
          <w:rFonts w:cs="Arial"/>
        </w:rPr>
        <w:t>s</w:t>
      </w:r>
      <w:r w:rsidR="00E65890" w:rsidRPr="00E65890">
        <w:rPr>
          <w:rFonts w:cs="Arial"/>
        </w:rPr>
        <w:t>tatewide numeric</w:t>
      </w:r>
      <w:r w:rsidR="008C1AAF">
        <w:rPr>
          <w:rFonts w:cs="Arial"/>
        </w:rPr>
        <w:t xml:space="preserve"> water quality</w:t>
      </w:r>
      <w:r w:rsidR="00E65890" w:rsidRPr="00E65890">
        <w:rPr>
          <w:rFonts w:cs="Arial"/>
        </w:rPr>
        <w:t xml:space="preserve"> </w:t>
      </w:r>
      <w:r w:rsidR="004A608A">
        <w:rPr>
          <w:rFonts w:cs="Arial"/>
        </w:rPr>
        <w:t xml:space="preserve">toxicity </w:t>
      </w:r>
      <w:r w:rsidR="00E65890" w:rsidRPr="00E65890">
        <w:rPr>
          <w:rFonts w:cs="Arial"/>
        </w:rPr>
        <w:t>objectives in the State Policy for Water Quality Control: Toxicity Provisions (“</w:t>
      </w:r>
      <w:r w:rsidR="00545EE2">
        <w:rPr>
          <w:rFonts w:cs="Arial"/>
        </w:rPr>
        <w:t xml:space="preserve">Toxicity </w:t>
      </w:r>
      <w:r w:rsidR="00E65890" w:rsidRPr="00E65890">
        <w:rPr>
          <w:rFonts w:cs="Arial"/>
        </w:rPr>
        <w:t>Provisions”)</w:t>
      </w:r>
      <w:r w:rsidR="008618F8">
        <w:rPr>
          <w:rFonts w:cs="Arial"/>
        </w:rPr>
        <w:t xml:space="preserve">, which includes the test of significant toxicity (“TST”) </w:t>
      </w:r>
      <w:r w:rsidR="0027215A">
        <w:rPr>
          <w:rFonts w:cs="Arial"/>
        </w:rPr>
        <w:t xml:space="preserve">to </w:t>
      </w:r>
      <w:r w:rsidR="00617EB3">
        <w:rPr>
          <w:rFonts w:cs="Arial"/>
        </w:rPr>
        <w:t xml:space="preserve">identify statistically significant toxicity, </w:t>
      </w:r>
      <w:r w:rsidR="004A608A">
        <w:rPr>
          <w:rFonts w:cs="Arial"/>
        </w:rPr>
        <w:t>or narrative toxicity</w:t>
      </w:r>
      <w:r w:rsidR="00E65890" w:rsidRPr="00E65890">
        <w:rPr>
          <w:rFonts w:cs="Arial"/>
        </w:rPr>
        <w:t xml:space="preserve"> </w:t>
      </w:r>
      <w:r w:rsidR="00B00F74">
        <w:rPr>
          <w:rFonts w:cs="Arial"/>
        </w:rPr>
        <w:t>water quality</w:t>
      </w:r>
      <w:r w:rsidR="00E65890" w:rsidRPr="00E65890">
        <w:rPr>
          <w:rFonts w:cs="Arial"/>
        </w:rPr>
        <w:t xml:space="preserve"> objectives in </w:t>
      </w:r>
      <w:r w:rsidR="00397BC1">
        <w:rPr>
          <w:rFonts w:cs="Arial"/>
        </w:rPr>
        <w:t xml:space="preserve">Regional Water Board </w:t>
      </w:r>
      <w:r w:rsidR="006B5676">
        <w:rPr>
          <w:rFonts w:cs="Arial"/>
        </w:rPr>
        <w:t>b</w:t>
      </w:r>
      <w:r w:rsidR="00397BC1">
        <w:rPr>
          <w:rFonts w:cs="Arial"/>
        </w:rPr>
        <w:t xml:space="preserve">asin </w:t>
      </w:r>
      <w:r w:rsidR="006B5676">
        <w:rPr>
          <w:rFonts w:cs="Arial"/>
        </w:rPr>
        <w:t>p</w:t>
      </w:r>
      <w:r w:rsidR="004A608A">
        <w:rPr>
          <w:rFonts w:cs="Arial"/>
        </w:rPr>
        <w:t>lans</w:t>
      </w:r>
      <w:r w:rsidR="00FE0D14">
        <w:rPr>
          <w:rFonts w:cs="Arial"/>
        </w:rPr>
        <w:t xml:space="preserve"> </w:t>
      </w:r>
      <w:r w:rsidR="001278EC">
        <w:rPr>
          <w:rFonts w:cs="Arial"/>
        </w:rPr>
        <w:t>using</w:t>
      </w:r>
      <w:r w:rsidR="00FE0D14">
        <w:rPr>
          <w:rFonts w:cs="Arial"/>
        </w:rPr>
        <w:t xml:space="preserve"> </w:t>
      </w:r>
      <w:r w:rsidR="001B4EBC">
        <w:rPr>
          <w:rFonts w:cs="Arial"/>
        </w:rPr>
        <w:t>significant effects categories</w:t>
      </w:r>
      <w:r w:rsidR="00E65890" w:rsidRPr="00E65890">
        <w:rPr>
          <w:rFonts w:cs="Arial"/>
        </w:rPr>
        <w:t>.  </w:t>
      </w:r>
    </w:p>
    <w:p w14:paraId="52AB7B16" w14:textId="258B0F5E" w:rsidR="007B251E" w:rsidRPr="007B251E" w:rsidRDefault="003741D2" w:rsidP="007B251E">
      <w:pPr>
        <w:pStyle w:val="Heading3"/>
      </w:pPr>
      <w:bookmarkStart w:id="104" w:name="_Toc189048584"/>
      <w:r>
        <w:t>T</w:t>
      </w:r>
      <w:r w:rsidRPr="00621B5F">
        <w:t xml:space="preserve">oxicity </w:t>
      </w:r>
      <w:r w:rsidR="007B251E">
        <w:t xml:space="preserve">Assessment </w:t>
      </w:r>
      <w:r w:rsidR="005029C2">
        <w:t>Methods</w:t>
      </w:r>
      <w:bookmarkEnd w:id="104"/>
    </w:p>
    <w:p w14:paraId="30505EF8" w14:textId="1B99230F" w:rsidR="003417D7" w:rsidRPr="004502A9" w:rsidRDefault="008E47C6" w:rsidP="00F93B47">
      <w:pPr>
        <w:rPr>
          <w:rFonts w:eastAsia="Calibri"/>
          <w:szCs w:val="24"/>
        </w:rPr>
      </w:pPr>
      <w:r w:rsidRPr="008E47C6">
        <w:rPr>
          <w:rFonts w:cs="Arial"/>
          <w:color w:val="000000"/>
          <w:shd w:val="clear" w:color="auto" w:fill="FFFFFF"/>
        </w:rPr>
        <w:t xml:space="preserve">For toxicity assessments, </w:t>
      </w:r>
      <w:r w:rsidR="00347133" w:rsidRPr="00347133">
        <w:rPr>
          <w:rFonts w:cs="Arial"/>
          <w:color w:val="000000"/>
          <w:shd w:val="clear" w:color="auto" w:fill="FFFFFF"/>
        </w:rPr>
        <w:t>one sample is defined as being of the same matrix (</w:t>
      </w:r>
      <w:r w:rsidR="00EC1586">
        <w:rPr>
          <w:rFonts w:cs="Arial"/>
          <w:color w:val="000000"/>
          <w:shd w:val="clear" w:color="auto" w:fill="FFFFFF"/>
        </w:rPr>
        <w:t xml:space="preserve">i.e., </w:t>
      </w:r>
      <w:r w:rsidR="00347133" w:rsidRPr="00347133">
        <w:rPr>
          <w:rFonts w:cs="Arial"/>
          <w:color w:val="000000"/>
          <w:shd w:val="clear" w:color="auto" w:fill="FFFFFF"/>
        </w:rPr>
        <w:t>water or sediment) from the same station on the same day</w:t>
      </w:r>
      <w:r w:rsidR="00EC1586">
        <w:rPr>
          <w:rFonts w:cs="Arial"/>
          <w:color w:val="000000"/>
          <w:shd w:val="clear" w:color="auto" w:fill="FFFFFF"/>
        </w:rPr>
        <w:t xml:space="preserve">. </w:t>
      </w:r>
      <w:r w:rsidR="003417D7" w:rsidRPr="6F8B47D8">
        <w:rPr>
          <w:rStyle w:val="normaltextrun"/>
          <w:rFonts w:cs="Arial"/>
          <w:color w:val="000000"/>
          <w:shd w:val="clear" w:color="auto" w:fill="FFFFFF"/>
        </w:rPr>
        <w:t xml:space="preserve">Each sample tested that has at least one </w:t>
      </w:r>
      <w:r w:rsidR="003417D7" w:rsidRPr="6F8B47D8">
        <w:rPr>
          <w:rStyle w:val="normaltextrun"/>
          <w:rFonts w:cs="Arial"/>
          <w:color w:val="000000" w:themeColor="text1"/>
        </w:rPr>
        <w:t xml:space="preserve">species and response (either sub-lethal or lethal) that was determined to be significantly toxic compared to the control by </w:t>
      </w:r>
      <w:r w:rsidR="00A86754" w:rsidRPr="00A86754">
        <w:rPr>
          <w:rFonts w:cs="Arial"/>
          <w:color w:val="000000" w:themeColor="text1"/>
        </w:rPr>
        <w:t>the TST</w:t>
      </w:r>
      <w:r w:rsidR="00F63712" w:rsidRPr="00A86754">
        <w:rPr>
          <w:rFonts w:cs="Arial"/>
          <w:color w:val="000000" w:themeColor="text1"/>
        </w:rPr>
        <w:t>,</w:t>
      </w:r>
      <w:r w:rsidR="00A86754" w:rsidRPr="00A86754">
        <w:rPr>
          <w:rFonts w:cs="Arial"/>
          <w:color w:val="000000" w:themeColor="text1"/>
        </w:rPr>
        <w:t xml:space="preserve"> traditional t-test,</w:t>
      </w:r>
      <w:r w:rsidR="005033D5" w:rsidRPr="00A86754">
        <w:rPr>
          <w:rFonts w:cs="Arial"/>
          <w:color w:val="000000" w:themeColor="text1"/>
        </w:rPr>
        <w:t xml:space="preserve"> </w:t>
      </w:r>
      <w:r w:rsidR="003417D7" w:rsidRPr="00A86754">
        <w:rPr>
          <w:rFonts w:cs="Arial"/>
          <w:color w:val="000000" w:themeColor="text1"/>
        </w:rPr>
        <w:t>or other statistical approach</w:t>
      </w:r>
      <w:r w:rsidR="003417D7" w:rsidRPr="6F8B47D8">
        <w:rPr>
          <w:rStyle w:val="normaltextrun"/>
          <w:rFonts w:cs="Arial"/>
          <w:color w:val="000000"/>
          <w:shd w:val="clear" w:color="auto" w:fill="FFFFFF"/>
        </w:rPr>
        <w:t xml:space="preserve"> would be considered to have a toxic effect and thereby an exceedance. Each sample with an exceedance is counted only once even if more than one species for that sample shows a significant difference from the control. </w:t>
      </w:r>
      <w:r w:rsidR="00E87A40" w:rsidRPr="007F2CCF">
        <w:rPr>
          <w:rFonts w:cs="Arial"/>
        </w:rPr>
        <w:t>LOEs</w:t>
      </w:r>
      <w:r w:rsidR="007F2CCF" w:rsidRPr="007F2CCF" w:rsidDel="005779D3">
        <w:rPr>
          <w:rFonts w:cs="Arial"/>
        </w:rPr>
        <w:t xml:space="preserve"> </w:t>
      </w:r>
      <w:r w:rsidR="005779D3">
        <w:rPr>
          <w:rFonts w:cs="Arial"/>
        </w:rPr>
        <w:t>were</w:t>
      </w:r>
      <w:r w:rsidR="007F2CCF" w:rsidRPr="007F2CCF">
        <w:rPr>
          <w:rFonts w:cs="Arial"/>
        </w:rPr>
        <w:t xml:space="preserve"> written at the </w:t>
      </w:r>
      <w:r w:rsidR="00C3449A">
        <w:rPr>
          <w:rFonts w:cs="Arial"/>
        </w:rPr>
        <w:t>monitoring s</w:t>
      </w:r>
      <w:r w:rsidR="007F2CCF" w:rsidRPr="007F2CCF">
        <w:rPr>
          <w:rFonts w:cs="Arial"/>
        </w:rPr>
        <w:t>tation,</w:t>
      </w:r>
      <w:r w:rsidR="007F2CCF" w:rsidRPr="007F2CCF" w:rsidDel="00C3449A">
        <w:rPr>
          <w:rFonts w:cs="Arial"/>
        </w:rPr>
        <w:t xml:space="preserve"> </w:t>
      </w:r>
      <w:r w:rsidR="00C3449A">
        <w:rPr>
          <w:rFonts w:cs="Arial"/>
        </w:rPr>
        <w:t>p</w:t>
      </w:r>
      <w:r w:rsidR="00C3449A" w:rsidRPr="007F2CCF">
        <w:rPr>
          <w:rFonts w:cs="Arial"/>
        </w:rPr>
        <w:t xml:space="preserve">arent </w:t>
      </w:r>
      <w:r w:rsidR="00C3449A">
        <w:rPr>
          <w:rFonts w:cs="Arial"/>
        </w:rPr>
        <w:t>p</w:t>
      </w:r>
      <w:r w:rsidR="00C3449A" w:rsidRPr="007F2CCF">
        <w:rPr>
          <w:rFonts w:cs="Arial"/>
        </w:rPr>
        <w:t>roject</w:t>
      </w:r>
      <w:r w:rsidR="007F2CCF" w:rsidRPr="007F2CCF">
        <w:rPr>
          <w:rFonts w:cs="Arial"/>
        </w:rPr>
        <w:t xml:space="preserve">, </w:t>
      </w:r>
      <w:r w:rsidR="00C3449A">
        <w:rPr>
          <w:rFonts w:cs="Arial"/>
        </w:rPr>
        <w:t>m</w:t>
      </w:r>
      <w:r w:rsidR="00C3449A" w:rsidRPr="007F2CCF">
        <w:rPr>
          <w:rFonts w:cs="Arial"/>
        </w:rPr>
        <w:t>atrix</w:t>
      </w:r>
      <w:r w:rsidR="007F2CCF" w:rsidRPr="007F2CCF">
        <w:rPr>
          <w:rFonts w:cs="Arial"/>
        </w:rPr>
        <w:t xml:space="preserve">, </w:t>
      </w:r>
      <w:r w:rsidR="00C3449A">
        <w:rPr>
          <w:rFonts w:cs="Arial"/>
        </w:rPr>
        <w:t>water quality o</w:t>
      </w:r>
      <w:r w:rsidR="007F2CCF" w:rsidRPr="007F2CCF">
        <w:rPr>
          <w:rFonts w:cs="Arial"/>
        </w:rPr>
        <w:t xml:space="preserve">bjective (numeric or narrative), and </w:t>
      </w:r>
      <w:r w:rsidR="00C3449A">
        <w:rPr>
          <w:rFonts w:cs="Arial"/>
        </w:rPr>
        <w:t>b</w:t>
      </w:r>
      <w:r w:rsidR="00C3449A" w:rsidRPr="007F2CCF">
        <w:rPr>
          <w:rFonts w:cs="Arial"/>
        </w:rPr>
        <w:t xml:space="preserve">eneficial </w:t>
      </w:r>
      <w:r w:rsidR="00C3449A">
        <w:rPr>
          <w:rFonts w:cs="Arial"/>
        </w:rPr>
        <w:t>u</w:t>
      </w:r>
      <w:r w:rsidR="00C3449A" w:rsidRPr="007F2CCF">
        <w:rPr>
          <w:rFonts w:cs="Arial"/>
        </w:rPr>
        <w:t xml:space="preserve">se </w:t>
      </w:r>
      <w:r w:rsidR="007F2CCF" w:rsidRPr="007F2CCF">
        <w:rPr>
          <w:rFonts w:cs="Arial"/>
        </w:rPr>
        <w:t>level.</w:t>
      </w:r>
      <w:r w:rsidR="452C49E0" w:rsidRPr="003E7244">
        <w:rPr>
          <w:rFonts w:eastAsia="Times New Roman" w:cs="Arial"/>
          <w:color w:val="000000"/>
          <w:szCs w:val="24"/>
        </w:rPr>
        <w:t xml:space="preserve"> </w:t>
      </w:r>
      <w:r w:rsidR="003E7244" w:rsidRPr="007B251E">
        <w:rPr>
          <w:rFonts w:eastAsia="Times New Roman" w:cs="Arial"/>
          <w:color w:val="000000"/>
          <w:szCs w:val="24"/>
        </w:rPr>
        <w:t xml:space="preserve">LOEs </w:t>
      </w:r>
      <w:r w:rsidR="003E7244">
        <w:rPr>
          <w:rFonts w:eastAsia="Times New Roman" w:cs="Arial"/>
          <w:color w:val="000000"/>
          <w:szCs w:val="24"/>
        </w:rPr>
        <w:t>were</w:t>
      </w:r>
      <w:r w:rsidR="003E7244" w:rsidRPr="007B251E">
        <w:rPr>
          <w:rFonts w:eastAsia="Times New Roman" w:cs="Arial"/>
          <w:color w:val="000000"/>
          <w:szCs w:val="24"/>
        </w:rPr>
        <w:t xml:space="preserve"> written</w:t>
      </w:r>
      <w:r w:rsidR="003E7244" w:rsidRPr="00392EC0">
        <w:rPr>
          <w:rFonts w:eastAsia="Times New Roman" w:cs="Arial"/>
          <w:color w:val="000000"/>
          <w:szCs w:val="24"/>
        </w:rPr>
        <w:t xml:space="preserve"> </w:t>
      </w:r>
      <w:r w:rsidR="003E7244" w:rsidRPr="007B251E">
        <w:rPr>
          <w:rFonts w:eastAsia="Times New Roman" w:cs="Arial"/>
          <w:color w:val="000000"/>
          <w:szCs w:val="24"/>
        </w:rPr>
        <w:t>for the following beneficial uses: warm freshwater habitat (“WARM”), cold freshwater habitat (“COLD”), estuarine habitat (“EST”), and marine habitat (“MAR</w:t>
      </w:r>
      <w:r w:rsidR="003E7244">
        <w:rPr>
          <w:rFonts w:eastAsia="Times New Roman" w:cs="Arial"/>
          <w:color w:val="000000"/>
          <w:szCs w:val="24"/>
        </w:rPr>
        <w:t>”).</w:t>
      </w:r>
      <w:r w:rsidR="452C49E0">
        <w:rPr>
          <w:rFonts w:cs="Arial"/>
        </w:rPr>
        <w:t xml:space="preserve"> </w:t>
      </w:r>
      <w:r w:rsidR="00E87A40">
        <w:rPr>
          <w:rFonts w:cs="Arial"/>
        </w:rPr>
        <w:t>W</w:t>
      </w:r>
      <w:r w:rsidR="00E87A40" w:rsidRPr="48E8A663">
        <w:rPr>
          <w:rFonts w:cs="Arial"/>
        </w:rPr>
        <w:t xml:space="preserve">aterbody </w:t>
      </w:r>
      <w:r w:rsidR="00E87A40">
        <w:rPr>
          <w:rFonts w:cs="Arial"/>
        </w:rPr>
        <w:t>segments</w:t>
      </w:r>
      <w:r w:rsidR="00BD1066">
        <w:rPr>
          <w:rFonts w:cs="Arial"/>
        </w:rPr>
        <w:t xml:space="preserve"> </w:t>
      </w:r>
      <w:r w:rsidR="005779D3">
        <w:rPr>
          <w:rFonts w:cs="Arial"/>
        </w:rPr>
        <w:t xml:space="preserve">were </w:t>
      </w:r>
      <w:r w:rsidR="00BD1066">
        <w:rPr>
          <w:rFonts w:cs="Arial"/>
        </w:rPr>
        <w:t>placed</w:t>
      </w:r>
      <w:r w:rsidR="00BD1066" w:rsidRPr="48E8A663">
        <w:rPr>
          <w:rFonts w:cs="Arial"/>
        </w:rPr>
        <w:t xml:space="preserve"> </w:t>
      </w:r>
      <w:r w:rsidR="452C49E0" w:rsidRPr="48E8A663">
        <w:rPr>
          <w:rFonts w:cs="Arial"/>
        </w:rPr>
        <w:t>on the 303(d</w:t>
      </w:r>
      <w:r w:rsidR="0BCE6BFB" w:rsidRPr="423D24C4">
        <w:rPr>
          <w:rFonts w:cs="Arial"/>
        </w:rPr>
        <w:t xml:space="preserve">) </w:t>
      </w:r>
      <w:r w:rsidR="009C5799">
        <w:rPr>
          <w:rFonts w:cs="Arial"/>
        </w:rPr>
        <w:t>l</w:t>
      </w:r>
      <w:r w:rsidR="452C49E0" w:rsidRPr="48E8A663">
        <w:rPr>
          <w:rFonts w:cs="Arial"/>
        </w:rPr>
        <w:t xml:space="preserve">ist based on </w:t>
      </w:r>
      <w:r w:rsidR="0BCE6BFB" w:rsidRPr="423D24C4">
        <w:rPr>
          <w:rFonts w:cs="Arial"/>
        </w:rPr>
        <w:t>toxicity</w:t>
      </w:r>
      <w:r w:rsidR="452C49E0" w:rsidRPr="48E8A663">
        <w:rPr>
          <w:rFonts w:cs="Arial"/>
        </w:rPr>
        <w:t xml:space="preserve"> </w:t>
      </w:r>
      <w:r w:rsidR="00BD1066">
        <w:rPr>
          <w:rFonts w:cs="Arial"/>
        </w:rPr>
        <w:t>consistent with</w:t>
      </w:r>
      <w:r w:rsidR="452C49E0" w:rsidRPr="48E8A663">
        <w:rPr>
          <w:rFonts w:cs="Arial"/>
        </w:rPr>
        <w:t xml:space="preserve"> </w:t>
      </w:r>
      <w:r w:rsidR="00155016">
        <w:rPr>
          <w:rFonts w:cs="Arial"/>
        </w:rPr>
        <w:t>s</w:t>
      </w:r>
      <w:r w:rsidR="0BCE6BFB" w:rsidRPr="423D24C4">
        <w:rPr>
          <w:rFonts w:cs="Arial"/>
        </w:rPr>
        <w:t>ection</w:t>
      </w:r>
      <w:r w:rsidR="452C49E0" w:rsidRPr="48E8A663">
        <w:rPr>
          <w:rFonts w:cs="Arial"/>
        </w:rPr>
        <w:t xml:space="preserve"> 3.</w:t>
      </w:r>
      <w:r w:rsidR="0BCE6BFB" w:rsidRPr="423D24C4">
        <w:rPr>
          <w:rFonts w:cs="Arial"/>
        </w:rPr>
        <w:t>6</w:t>
      </w:r>
      <w:r w:rsidR="452C49E0" w:rsidRPr="48E8A663">
        <w:rPr>
          <w:rFonts w:cs="Arial"/>
        </w:rPr>
        <w:t xml:space="preserve"> of the Listing Policy.</w:t>
      </w:r>
    </w:p>
    <w:p w14:paraId="16582AE9" w14:textId="6F5A9599" w:rsidR="003417D7" w:rsidRDefault="4483C51A" w:rsidP="003417D7">
      <w:pPr>
        <w:rPr>
          <w:rFonts w:cs="Arial"/>
        </w:rPr>
      </w:pPr>
      <w:r w:rsidRPr="4AFB58CB">
        <w:rPr>
          <w:rFonts w:cs="Arial"/>
        </w:rPr>
        <w:t>T</w:t>
      </w:r>
      <w:r w:rsidR="2CA2C0FD" w:rsidRPr="4AFB58CB">
        <w:rPr>
          <w:rFonts w:cs="Arial"/>
        </w:rPr>
        <w:t xml:space="preserve">oxicity </w:t>
      </w:r>
      <w:r w:rsidR="2EE63A25" w:rsidRPr="4AFB58CB">
        <w:rPr>
          <w:rFonts w:cs="Arial"/>
        </w:rPr>
        <w:t xml:space="preserve">data </w:t>
      </w:r>
      <w:r w:rsidR="00F30F21">
        <w:rPr>
          <w:rFonts w:cs="Arial"/>
        </w:rPr>
        <w:t>were</w:t>
      </w:r>
      <w:r w:rsidR="2EE63A25" w:rsidRPr="4AFB58CB">
        <w:rPr>
          <w:rFonts w:cs="Arial"/>
        </w:rPr>
        <w:t xml:space="preserve"> </w:t>
      </w:r>
      <w:r w:rsidR="2CA2C0FD" w:rsidRPr="121B5F0F">
        <w:rPr>
          <w:rFonts w:cs="Arial"/>
        </w:rPr>
        <w:t>assess</w:t>
      </w:r>
      <w:r w:rsidR="07698AB2" w:rsidRPr="121B5F0F">
        <w:rPr>
          <w:rFonts w:cs="Arial"/>
        </w:rPr>
        <w:t>ed</w:t>
      </w:r>
      <w:r w:rsidR="004D03D8">
        <w:rPr>
          <w:rFonts w:cs="Arial"/>
        </w:rPr>
        <w:t xml:space="preserve"> </w:t>
      </w:r>
      <w:r w:rsidR="5DDE7EF4" w:rsidRPr="03BFF57F">
        <w:rPr>
          <w:rFonts w:cs="Arial"/>
        </w:rPr>
        <w:t xml:space="preserve">based on the format of the data using either the </w:t>
      </w:r>
      <w:r w:rsidR="5DDE7EF4" w:rsidRPr="756AB211">
        <w:rPr>
          <w:rFonts w:cs="Arial"/>
        </w:rPr>
        <w:t>significant</w:t>
      </w:r>
      <w:r w:rsidR="5DDE7EF4" w:rsidRPr="03BFF57F">
        <w:rPr>
          <w:rFonts w:cs="Arial"/>
        </w:rPr>
        <w:t xml:space="preserve"> </w:t>
      </w:r>
      <w:r w:rsidR="5DDE7EF4" w:rsidRPr="397F7D9D">
        <w:rPr>
          <w:rFonts w:cs="Arial"/>
        </w:rPr>
        <w:t xml:space="preserve">effects categories </w:t>
      </w:r>
      <w:r w:rsidR="11B6C87A" w:rsidRPr="629A8E22">
        <w:rPr>
          <w:rFonts w:cs="Arial"/>
        </w:rPr>
        <w:t xml:space="preserve">or the TST statistical </w:t>
      </w:r>
      <w:r w:rsidR="11B6C87A" w:rsidRPr="121B5F0F">
        <w:rPr>
          <w:rFonts w:cs="Arial"/>
        </w:rPr>
        <w:t>ap</w:t>
      </w:r>
      <w:r w:rsidR="004D03D8">
        <w:rPr>
          <w:rFonts w:cs="Arial"/>
        </w:rPr>
        <w:t>p</w:t>
      </w:r>
      <w:r w:rsidR="11B6C87A" w:rsidRPr="121B5F0F">
        <w:rPr>
          <w:rFonts w:cs="Arial"/>
        </w:rPr>
        <w:t xml:space="preserve">roach. </w:t>
      </w:r>
      <w:r w:rsidR="00822F0B">
        <w:rPr>
          <w:rFonts w:cs="Arial"/>
        </w:rPr>
        <w:t>The</w:t>
      </w:r>
      <w:r w:rsidR="00DE07A5">
        <w:rPr>
          <w:rFonts w:cs="Arial"/>
        </w:rPr>
        <w:t xml:space="preserve"> </w:t>
      </w:r>
      <w:r w:rsidR="009C601A">
        <w:rPr>
          <w:rFonts w:cs="Arial"/>
        </w:rPr>
        <w:t>TST and significant effect categories</w:t>
      </w:r>
      <w:r w:rsidR="00DE07A5">
        <w:rPr>
          <w:rFonts w:cs="Arial"/>
        </w:rPr>
        <w:t xml:space="preserve"> are </w:t>
      </w:r>
      <w:r w:rsidR="00B127EC">
        <w:rPr>
          <w:rFonts w:cs="Arial"/>
        </w:rPr>
        <w:t xml:space="preserve">detailed in the subsections below. </w:t>
      </w:r>
    </w:p>
    <w:p w14:paraId="3284208C" w14:textId="63878D5E" w:rsidR="007150A0" w:rsidRPr="0079764C" w:rsidRDefault="00627302" w:rsidP="00F93B47">
      <w:pPr>
        <w:rPr>
          <w:rFonts w:cs="Arial"/>
          <w:i/>
          <w:color w:val="4472C4" w:themeColor="accent1"/>
          <w:shd w:val="clear" w:color="auto" w:fill="FFFFFF"/>
        </w:rPr>
      </w:pPr>
      <w:r>
        <w:rPr>
          <w:rFonts w:cs="Arial"/>
          <w:i/>
          <w:iCs/>
          <w:color w:val="4472C4" w:themeColor="accent1"/>
          <w:shd w:val="clear" w:color="auto" w:fill="FFFFFF"/>
        </w:rPr>
        <w:t xml:space="preserve">Test of Significant </w:t>
      </w:r>
      <w:r w:rsidR="00085AED">
        <w:rPr>
          <w:rFonts w:cs="Arial"/>
          <w:i/>
          <w:iCs/>
          <w:color w:val="4472C4" w:themeColor="accent1"/>
          <w:shd w:val="clear" w:color="auto" w:fill="FFFFFF"/>
        </w:rPr>
        <w:t>Toxicity</w:t>
      </w:r>
    </w:p>
    <w:p w14:paraId="61B8EBBD" w14:textId="2F5935FF" w:rsidR="0002605C" w:rsidRPr="00E53857" w:rsidRDefault="00953A2E" w:rsidP="00A05CA1">
      <w:pPr>
        <w:rPr>
          <w:rFonts w:cs="Arial"/>
        </w:rPr>
      </w:pPr>
      <w:r>
        <w:rPr>
          <w:rStyle w:val="normaltextrun"/>
          <w:rFonts w:cs="Arial"/>
          <w:color w:val="000000"/>
          <w:szCs w:val="24"/>
          <w:shd w:val="clear" w:color="auto" w:fill="FFFFFF"/>
        </w:rPr>
        <w:t xml:space="preserve">The numeric aquatic toxicity water quality objectives </w:t>
      </w:r>
      <w:r w:rsidR="00B127EC">
        <w:rPr>
          <w:rStyle w:val="normaltextrun"/>
          <w:rFonts w:cs="Arial"/>
          <w:color w:val="000000"/>
          <w:szCs w:val="24"/>
          <w:shd w:val="clear" w:color="auto" w:fill="FFFFFF"/>
        </w:rPr>
        <w:t xml:space="preserve">in the </w:t>
      </w:r>
      <w:r w:rsidR="008672D2">
        <w:rPr>
          <w:rStyle w:val="normaltextrun"/>
          <w:rFonts w:cs="Arial"/>
          <w:color w:val="000000"/>
          <w:szCs w:val="24"/>
          <w:shd w:val="clear" w:color="auto" w:fill="FFFFFF"/>
        </w:rPr>
        <w:t>Toxicity Provisions</w:t>
      </w:r>
      <w:r>
        <w:rPr>
          <w:rStyle w:val="normaltextrun"/>
          <w:rFonts w:cs="Arial"/>
          <w:color w:val="000000"/>
          <w:szCs w:val="24"/>
          <w:shd w:val="clear" w:color="auto" w:fill="FFFFFF"/>
        </w:rPr>
        <w:t xml:space="preserve"> require the use of the TST</w:t>
      </w:r>
      <w:r w:rsidR="00D85A2B" w:rsidRPr="00D85A2B">
        <w:rPr>
          <w:rStyle w:val="normaltextrun"/>
          <w:rFonts w:cs="Arial"/>
          <w:color w:val="000000"/>
          <w:szCs w:val="24"/>
          <w:shd w:val="clear" w:color="auto" w:fill="FFFFFF"/>
        </w:rPr>
        <w:t>.</w:t>
      </w:r>
      <w:r w:rsidR="005625E4">
        <w:rPr>
          <w:rStyle w:val="normaltextrun"/>
          <w:rFonts w:cs="Arial"/>
          <w:color w:val="000000"/>
          <w:szCs w:val="24"/>
          <w:shd w:val="clear" w:color="auto" w:fill="FFFFFF"/>
        </w:rPr>
        <w:t xml:space="preserve"> </w:t>
      </w:r>
      <w:r w:rsidR="0002605C" w:rsidRPr="00E53857">
        <w:rPr>
          <w:rFonts w:cs="Arial"/>
        </w:rPr>
        <w:t xml:space="preserve">The </w:t>
      </w:r>
      <w:r w:rsidR="0002605C">
        <w:rPr>
          <w:rFonts w:cs="Arial"/>
        </w:rPr>
        <w:t xml:space="preserve">TST assessment approach includes </w:t>
      </w:r>
      <w:r w:rsidR="0002605C" w:rsidRPr="00E53857">
        <w:rPr>
          <w:rFonts w:cs="Arial"/>
        </w:rPr>
        <w:t>a null hypothesis stating that the sample is “toxic</w:t>
      </w:r>
      <w:r w:rsidR="0002605C">
        <w:rPr>
          <w:rFonts w:cs="Arial"/>
        </w:rPr>
        <w:t>,</w:t>
      </w:r>
      <w:r w:rsidR="0002605C" w:rsidRPr="00E53857">
        <w:rPr>
          <w:rFonts w:cs="Arial"/>
        </w:rPr>
        <w:t>” and an alternative hypothesis stating that the sample is “not toxic</w:t>
      </w:r>
      <w:r w:rsidR="0002605C">
        <w:rPr>
          <w:rFonts w:cs="Arial"/>
        </w:rPr>
        <w:t>.</w:t>
      </w:r>
      <w:r w:rsidR="0002605C" w:rsidRPr="00E53857">
        <w:rPr>
          <w:rFonts w:cs="Arial"/>
        </w:rPr>
        <w:t xml:space="preserve">” The null hypothesis </w:t>
      </w:r>
      <w:r w:rsidR="0002605C">
        <w:rPr>
          <w:rFonts w:cs="Arial"/>
        </w:rPr>
        <w:t>was</w:t>
      </w:r>
      <w:r w:rsidR="0002605C" w:rsidRPr="00E53857">
        <w:rPr>
          <w:rFonts w:cs="Arial"/>
        </w:rPr>
        <w:t xml:space="preserve"> tested using the </w:t>
      </w:r>
      <w:r w:rsidR="0002605C" w:rsidRPr="005B61F7">
        <w:rPr>
          <w:rFonts w:cs="Arial"/>
        </w:rPr>
        <w:t>Welch’s t-test</w:t>
      </w:r>
      <w:r w:rsidR="0002605C" w:rsidRPr="00E53857">
        <w:rPr>
          <w:rFonts w:cs="Arial"/>
        </w:rPr>
        <w:t xml:space="preserve"> and resul</w:t>
      </w:r>
      <w:r w:rsidR="0002605C">
        <w:rPr>
          <w:rFonts w:cs="Arial"/>
        </w:rPr>
        <w:t xml:space="preserve">ted in a </w:t>
      </w:r>
      <w:r w:rsidR="0002605C" w:rsidRPr="00E53857">
        <w:rPr>
          <w:rFonts w:cs="Arial"/>
        </w:rPr>
        <w:t>“pass” or “fail</w:t>
      </w:r>
      <w:r w:rsidR="0002605C">
        <w:rPr>
          <w:rFonts w:cs="Arial"/>
        </w:rPr>
        <w:t>.</w:t>
      </w:r>
      <w:r w:rsidR="0002605C" w:rsidRPr="00E53857">
        <w:rPr>
          <w:rFonts w:cs="Arial"/>
        </w:rPr>
        <w:t xml:space="preserve">” Attainment of the objective is demonstrated by conducting aquatic toxicity testing, analyzing the data using the </w:t>
      </w:r>
      <w:r w:rsidR="0002605C">
        <w:rPr>
          <w:rFonts w:cs="Arial"/>
        </w:rPr>
        <w:t>Welch’s t-test</w:t>
      </w:r>
      <w:r w:rsidR="0002605C" w:rsidRPr="00E53857">
        <w:rPr>
          <w:rFonts w:cs="Arial"/>
        </w:rPr>
        <w:t xml:space="preserve">, and rejecting the null hypothesis leading to a “pass” or non-toxic sample. </w:t>
      </w:r>
      <w:r w:rsidR="0002605C">
        <w:rPr>
          <w:rFonts w:cs="Arial"/>
        </w:rPr>
        <w:t xml:space="preserve">Acceptance of the null hypothesis leads to a “fail” or toxic sample and is an </w:t>
      </w:r>
      <w:r w:rsidR="0002605C" w:rsidRPr="6F827F70">
        <w:rPr>
          <w:rFonts w:cs="Arial"/>
        </w:rPr>
        <w:t>exceedance</w:t>
      </w:r>
      <w:r w:rsidR="0002605C">
        <w:rPr>
          <w:rFonts w:cs="Arial"/>
        </w:rPr>
        <w:t>. For chronic toxicity, acceptance of the null hypothesis and an exceedance occurs when the ambient water is toxic because the response (e.g., survival, reproduction, growth) of the test organisms in the ambient water sample is less than or equal to 75 percent of the test organisms’ response in the control water sample. For acute toxicity, acceptance of the null hypothesis and an exceedance occurs when the ambient water is toxic because the response (e.g., survival) of the test organisms in the ambient water sample is less than or equal to 80 percent of the test organisms’ response in the control water sample. B</w:t>
      </w:r>
      <w:r w:rsidR="0002605C" w:rsidRPr="00E53857">
        <w:rPr>
          <w:rFonts w:cs="Arial"/>
        </w:rPr>
        <w:t xml:space="preserve">oth chronic and acute tests </w:t>
      </w:r>
      <w:r w:rsidR="0002605C">
        <w:rPr>
          <w:rFonts w:cs="Arial"/>
        </w:rPr>
        <w:t>were</w:t>
      </w:r>
      <w:r w:rsidR="0002605C" w:rsidRPr="00E53857">
        <w:rPr>
          <w:rFonts w:cs="Arial"/>
        </w:rPr>
        <w:t xml:space="preserve"> assessed towards a single toxicity </w:t>
      </w:r>
      <w:r w:rsidR="0002605C">
        <w:rPr>
          <w:rFonts w:cs="Arial"/>
        </w:rPr>
        <w:t>exceedance</w:t>
      </w:r>
      <w:r w:rsidR="0002605C" w:rsidRPr="00E53857">
        <w:rPr>
          <w:rFonts w:cs="Arial"/>
        </w:rPr>
        <w:t xml:space="preserve"> for the </w:t>
      </w:r>
      <w:r w:rsidR="0002605C">
        <w:rPr>
          <w:rFonts w:cs="Arial"/>
        </w:rPr>
        <w:t>integrated report</w:t>
      </w:r>
      <w:r w:rsidR="0002605C" w:rsidRPr="00E53857">
        <w:rPr>
          <w:rFonts w:cs="Arial"/>
        </w:rPr>
        <w:t xml:space="preserve">. </w:t>
      </w:r>
    </w:p>
    <w:p w14:paraId="0E389DEF" w14:textId="77777777" w:rsidR="0002605C" w:rsidRPr="004502A9" w:rsidRDefault="0002605C" w:rsidP="0002605C">
      <w:pPr>
        <w:rPr>
          <w:rFonts w:cs="Arial"/>
        </w:rPr>
      </w:pPr>
      <w:r>
        <w:rPr>
          <w:rFonts w:cs="Arial"/>
        </w:rPr>
        <w:t>The TST approach was only used for toxicity data expressed as TST results from aquatic toxicity testing using the species, toxicity test methods, regulatory management decision, beta error, and alpha error listed in Table 3-4: Toxicity Test Methods, Regulatory Management Decision (RMD)</w:t>
      </w:r>
      <w:r w:rsidRPr="00613D95">
        <w:rPr>
          <w:rFonts w:cs="Arial"/>
        </w:rPr>
        <w:t>, β Error, and α Error</w:t>
      </w:r>
      <w:r>
        <w:rPr>
          <w:rFonts w:cs="Arial"/>
        </w:rPr>
        <w:t>, below.</w:t>
      </w:r>
    </w:p>
    <w:p w14:paraId="2D0F9F5C" w14:textId="77777777" w:rsidR="0002605C" w:rsidRPr="004502A9" w:rsidRDefault="0002605C" w:rsidP="0002605C">
      <w:pPr>
        <w:rPr>
          <w:rFonts w:cs="Arial"/>
        </w:rPr>
      </w:pPr>
      <w:r w:rsidRPr="003020C5">
        <w:rPr>
          <w:rFonts w:cs="Arial"/>
          <w:b/>
          <w:bCs/>
        </w:rPr>
        <w:t>Table 3-4:</w:t>
      </w:r>
      <w:r>
        <w:rPr>
          <w:rFonts w:cs="Arial"/>
          <w:b/>
        </w:rPr>
        <w:t xml:space="preserve"> </w:t>
      </w:r>
      <w:r w:rsidRPr="00E86970">
        <w:rPr>
          <w:rFonts w:cs="Arial"/>
          <w:b/>
          <w:bCs/>
        </w:rPr>
        <w:t>Toxicity Test Methods, Regulatory Management Decision (RMD), β Error, and α Error</w:t>
      </w: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oxicity Test Methods, Regulatory Management Decision (RMD), β Error, and α Error"/>
        <w:tblDescription w:val="This table shows the TST results from aquatic toxicity testing using the toxicity test methods, regulatory management decisions, beta errors, and alpha errors."/>
      </w:tblPr>
      <w:tblGrid>
        <w:gridCol w:w="4591"/>
        <w:gridCol w:w="1339"/>
        <w:gridCol w:w="1245"/>
        <w:gridCol w:w="1051"/>
        <w:gridCol w:w="962"/>
      </w:tblGrid>
      <w:tr w:rsidR="0002605C" w:rsidRPr="001E0040" w14:paraId="46F6B3E1" w14:textId="77777777">
        <w:trPr>
          <w:trHeight w:val="412"/>
        </w:trPr>
        <w:tc>
          <w:tcPr>
            <w:tcW w:w="4591" w:type="dxa"/>
            <w:shd w:val="clear" w:color="auto" w:fill="D4DCE3"/>
          </w:tcPr>
          <w:p w14:paraId="4B61557A" w14:textId="77777777" w:rsidR="0002605C" w:rsidRPr="001E0040" w:rsidRDefault="0002605C">
            <w:pPr>
              <w:widowControl w:val="0"/>
              <w:autoSpaceDE w:val="0"/>
              <w:autoSpaceDN w:val="0"/>
              <w:spacing w:before="90" w:after="0"/>
              <w:ind w:left="115"/>
              <w:rPr>
                <w:rFonts w:eastAsia="Arial" w:cs="Arial"/>
                <w:b/>
                <w:sz w:val="20"/>
                <w:szCs w:val="22"/>
              </w:rPr>
            </w:pPr>
            <w:r w:rsidRPr="001E0040">
              <w:rPr>
                <w:rFonts w:eastAsia="Arial" w:cs="Arial"/>
                <w:b/>
                <w:sz w:val="20"/>
                <w:szCs w:val="22"/>
              </w:rPr>
              <w:t>U.S.</w:t>
            </w:r>
            <w:r w:rsidRPr="001E0040">
              <w:rPr>
                <w:rFonts w:eastAsia="Arial" w:cs="Arial"/>
                <w:b/>
                <w:spacing w:val="-6"/>
                <w:sz w:val="20"/>
                <w:szCs w:val="22"/>
              </w:rPr>
              <w:t xml:space="preserve"> </w:t>
            </w:r>
            <w:r w:rsidRPr="001E0040">
              <w:rPr>
                <w:rFonts w:eastAsia="Arial" w:cs="Arial"/>
                <w:b/>
                <w:sz w:val="20"/>
                <w:szCs w:val="22"/>
              </w:rPr>
              <w:t>EPA</w:t>
            </w:r>
            <w:r w:rsidRPr="001E0040">
              <w:rPr>
                <w:rFonts w:eastAsia="Arial" w:cs="Arial"/>
                <w:b/>
                <w:spacing w:val="-7"/>
                <w:sz w:val="20"/>
                <w:szCs w:val="22"/>
              </w:rPr>
              <w:t xml:space="preserve"> </w:t>
            </w:r>
            <w:r w:rsidRPr="001E0040">
              <w:rPr>
                <w:rFonts w:eastAsia="Arial" w:cs="Arial"/>
                <w:b/>
                <w:sz w:val="20"/>
                <w:szCs w:val="22"/>
              </w:rPr>
              <w:t>Toxicity</w:t>
            </w:r>
            <w:r w:rsidRPr="001E0040">
              <w:rPr>
                <w:rFonts w:eastAsia="Arial" w:cs="Arial"/>
                <w:b/>
                <w:spacing w:val="-7"/>
                <w:sz w:val="20"/>
                <w:szCs w:val="22"/>
              </w:rPr>
              <w:t xml:space="preserve"> </w:t>
            </w:r>
            <w:r w:rsidRPr="001E0040">
              <w:rPr>
                <w:rFonts w:eastAsia="Arial" w:cs="Arial"/>
                <w:b/>
                <w:sz w:val="20"/>
                <w:szCs w:val="22"/>
              </w:rPr>
              <w:t>Test</w:t>
            </w:r>
            <w:r w:rsidRPr="001E0040">
              <w:rPr>
                <w:rFonts w:eastAsia="Arial" w:cs="Arial"/>
                <w:b/>
                <w:spacing w:val="-4"/>
                <w:sz w:val="20"/>
                <w:szCs w:val="22"/>
              </w:rPr>
              <w:t xml:space="preserve"> </w:t>
            </w:r>
            <w:r w:rsidRPr="001E0040">
              <w:rPr>
                <w:rFonts w:eastAsia="Arial" w:cs="Arial"/>
                <w:b/>
                <w:spacing w:val="-2"/>
                <w:sz w:val="20"/>
                <w:szCs w:val="22"/>
              </w:rPr>
              <w:t>Method</w:t>
            </w:r>
          </w:p>
        </w:tc>
        <w:tc>
          <w:tcPr>
            <w:tcW w:w="1339" w:type="dxa"/>
            <w:shd w:val="clear" w:color="auto" w:fill="D4DCE3"/>
          </w:tcPr>
          <w:p w14:paraId="701906FA" w14:textId="77777777" w:rsidR="0002605C" w:rsidRPr="001E0040" w:rsidRDefault="0002605C">
            <w:pPr>
              <w:widowControl w:val="0"/>
              <w:autoSpaceDE w:val="0"/>
              <w:autoSpaceDN w:val="0"/>
              <w:spacing w:before="90" w:after="0"/>
              <w:ind w:left="471" w:right="466"/>
              <w:jc w:val="center"/>
              <w:rPr>
                <w:rFonts w:eastAsia="Arial" w:cs="Arial"/>
                <w:b/>
                <w:sz w:val="20"/>
                <w:szCs w:val="22"/>
              </w:rPr>
            </w:pPr>
            <w:r w:rsidRPr="001E0040">
              <w:rPr>
                <w:rFonts w:eastAsia="Arial" w:cs="Arial"/>
                <w:b/>
                <w:spacing w:val="-4"/>
                <w:sz w:val="20"/>
                <w:szCs w:val="22"/>
              </w:rPr>
              <w:t>Tier</w:t>
            </w:r>
          </w:p>
        </w:tc>
        <w:tc>
          <w:tcPr>
            <w:tcW w:w="1245" w:type="dxa"/>
            <w:shd w:val="clear" w:color="auto" w:fill="D4DCE3"/>
          </w:tcPr>
          <w:p w14:paraId="0B2DA6F9" w14:textId="77777777" w:rsidR="0002605C" w:rsidRPr="001E0040" w:rsidRDefault="0002605C">
            <w:pPr>
              <w:widowControl w:val="0"/>
              <w:autoSpaceDE w:val="0"/>
              <w:autoSpaceDN w:val="0"/>
              <w:spacing w:before="90" w:after="0"/>
              <w:ind w:left="227" w:right="222"/>
              <w:jc w:val="center"/>
              <w:rPr>
                <w:rFonts w:eastAsia="Arial" w:cs="Arial"/>
                <w:b/>
                <w:sz w:val="20"/>
                <w:szCs w:val="22"/>
              </w:rPr>
            </w:pPr>
            <w:r w:rsidRPr="001E0040">
              <w:rPr>
                <w:rFonts w:eastAsia="Arial" w:cs="Arial"/>
                <w:b/>
                <w:sz w:val="20"/>
                <w:szCs w:val="22"/>
              </w:rPr>
              <w:t>RMD</w:t>
            </w:r>
            <w:r w:rsidRPr="001E0040">
              <w:rPr>
                <w:rFonts w:eastAsia="Arial" w:cs="Arial"/>
                <w:b/>
                <w:spacing w:val="-7"/>
                <w:sz w:val="20"/>
                <w:szCs w:val="22"/>
              </w:rPr>
              <w:t xml:space="preserve"> </w:t>
            </w:r>
            <w:r w:rsidRPr="001E0040">
              <w:rPr>
                <w:rFonts w:eastAsia="Arial" w:cs="Arial"/>
                <w:b/>
                <w:spacing w:val="-5"/>
                <w:sz w:val="20"/>
                <w:szCs w:val="22"/>
              </w:rPr>
              <w:t>(b)</w:t>
            </w:r>
          </w:p>
        </w:tc>
        <w:tc>
          <w:tcPr>
            <w:tcW w:w="1051" w:type="dxa"/>
            <w:shd w:val="clear" w:color="auto" w:fill="D4DCE3"/>
          </w:tcPr>
          <w:p w14:paraId="716B6590" w14:textId="77777777" w:rsidR="0002605C" w:rsidRPr="001E0040" w:rsidRDefault="0002605C">
            <w:pPr>
              <w:widowControl w:val="0"/>
              <w:autoSpaceDE w:val="0"/>
              <w:autoSpaceDN w:val="0"/>
              <w:spacing w:before="71" w:after="0"/>
              <w:ind w:left="201" w:right="146"/>
              <w:jc w:val="center"/>
              <w:rPr>
                <w:rFonts w:eastAsia="Arial" w:cs="Arial"/>
                <w:b/>
                <w:sz w:val="20"/>
                <w:szCs w:val="22"/>
              </w:rPr>
            </w:pPr>
            <w:r w:rsidRPr="001E0040">
              <w:rPr>
                <w:rFonts w:ascii="Calibri" w:eastAsia="Arial" w:hAnsi="Calibri" w:cs="Arial"/>
                <w:b/>
                <w:sz w:val="22"/>
                <w:szCs w:val="22"/>
              </w:rPr>
              <w:t>β</w:t>
            </w:r>
            <w:r w:rsidRPr="001E0040">
              <w:rPr>
                <w:rFonts w:ascii="Calibri" w:eastAsia="Arial" w:hAnsi="Calibri" w:cs="Arial"/>
                <w:b/>
                <w:spacing w:val="5"/>
                <w:sz w:val="22"/>
                <w:szCs w:val="22"/>
              </w:rPr>
              <w:t xml:space="preserve"> </w:t>
            </w:r>
            <w:r w:rsidRPr="001E0040">
              <w:rPr>
                <w:rFonts w:eastAsia="Arial" w:cs="Arial"/>
                <w:b/>
                <w:spacing w:val="-2"/>
                <w:sz w:val="20"/>
                <w:szCs w:val="22"/>
              </w:rPr>
              <w:t>Error</w:t>
            </w:r>
          </w:p>
        </w:tc>
        <w:tc>
          <w:tcPr>
            <w:tcW w:w="962" w:type="dxa"/>
            <w:shd w:val="clear" w:color="auto" w:fill="D4DCE3"/>
          </w:tcPr>
          <w:p w14:paraId="40242D9D" w14:textId="77777777" w:rsidR="0002605C" w:rsidRPr="001E0040" w:rsidRDefault="0002605C">
            <w:pPr>
              <w:widowControl w:val="0"/>
              <w:autoSpaceDE w:val="0"/>
              <w:autoSpaceDN w:val="0"/>
              <w:spacing w:before="90" w:after="0"/>
              <w:ind w:left="132" w:right="124"/>
              <w:jc w:val="center"/>
              <w:rPr>
                <w:rFonts w:eastAsia="Arial" w:cs="Arial"/>
                <w:b/>
                <w:sz w:val="20"/>
                <w:szCs w:val="22"/>
              </w:rPr>
            </w:pPr>
            <w:r w:rsidRPr="001E0040">
              <w:rPr>
                <w:rFonts w:eastAsia="Arial" w:cs="Arial"/>
                <w:b/>
                <w:sz w:val="20"/>
                <w:szCs w:val="22"/>
              </w:rPr>
              <w:t>α</w:t>
            </w:r>
            <w:r w:rsidRPr="001E0040">
              <w:rPr>
                <w:rFonts w:eastAsia="Arial" w:cs="Arial"/>
                <w:b/>
                <w:spacing w:val="-3"/>
                <w:sz w:val="20"/>
                <w:szCs w:val="22"/>
              </w:rPr>
              <w:t xml:space="preserve"> </w:t>
            </w:r>
            <w:r w:rsidRPr="001E0040">
              <w:rPr>
                <w:rFonts w:eastAsia="Arial" w:cs="Arial"/>
                <w:b/>
                <w:spacing w:val="-2"/>
                <w:sz w:val="20"/>
                <w:szCs w:val="22"/>
              </w:rPr>
              <w:t>Error</w:t>
            </w:r>
          </w:p>
        </w:tc>
      </w:tr>
      <w:tr w:rsidR="0002605C" w:rsidRPr="001E0040" w14:paraId="4CE5C67F" w14:textId="77777777">
        <w:trPr>
          <w:trHeight w:val="385"/>
        </w:trPr>
        <w:tc>
          <w:tcPr>
            <w:tcW w:w="9188" w:type="dxa"/>
            <w:gridSpan w:val="5"/>
            <w:shd w:val="clear" w:color="auto" w:fill="F1F1F1"/>
          </w:tcPr>
          <w:p w14:paraId="015FA266" w14:textId="77777777" w:rsidR="0002605C" w:rsidRPr="001E0040" w:rsidRDefault="0002605C">
            <w:pPr>
              <w:widowControl w:val="0"/>
              <w:autoSpaceDE w:val="0"/>
              <w:autoSpaceDN w:val="0"/>
              <w:spacing w:before="78" w:after="0"/>
              <w:ind w:left="115"/>
              <w:rPr>
                <w:rFonts w:eastAsia="Arial" w:cs="Arial"/>
                <w:b/>
                <w:sz w:val="20"/>
                <w:szCs w:val="22"/>
              </w:rPr>
            </w:pPr>
            <w:r w:rsidRPr="001E0040">
              <w:rPr>
                <w:rFonts w:eastAsia="Arial" w:cs="Arial"/>
                <w:b/>
                <w:sz w:val="20"/>
                <w:szCs w:val="22"/>
              </w:rPr>
              <w:t>Chronic</w:t>
            </w:r>
            <w:r w:rsidRPr="001E0040">
              <w:rPr>
                <w:rFonts w:eastAsia="Arial" w:cs="Arial"/>
                <w:b/>
                <w:spacing w:val="-11"/>
                <w:sz w:val="20"/>
                <w:szCs w:val="22"/>
              </w:rPr>
              <w:t xml:space="preserve"> </w:t>
            </w:r>
            <w:r w:rsidRPr="001E0040">
              <w:rPr>
                <w:rFonts w:eastAsia="Arial" w:cs="Arial"/>
                <w:b/>
                <w:sz w:val="20"/>
                <w:szCs w:val="22"/>
              </w:rPr>
              <w:t>Freshwater</w:t>
            </w:r>
            <w:r w:rsidRPr="001E0040">
              <w:rPr>
                <w:rFonts w:eastAsia="Arial" w:cs="Arial"/>
                <w:b/>
                <w:spacing w:val="-12"/>
                <w:sz w:val="20"/>
                <w:szCs w:val="22"/>
              </w:rPr>
              <w:t xml:space="preserve"> </w:t>
            </w:r>
            <w:r w:rsidRPr="001E0040">
              <w:rPr>
                <w:rFonts w:eastAsia="Arial" w:cs="Arial"/>
                <w:b/>
                <w:spacing w:val="-2"/>
                <w:sz w:val="20"/>
                <w:szCs w:val="22"/>
              </w:rPr>
              <w:t>Methods</w:t>
            </w:r>
          </w:p>
        </w:tc>
      </w:tr>
      <w:tr w:rsidR="0002605C" w:rsidRPr="001E0040" w14:paraId="4249FBD2" w14:textId="77777777">
        <w:trPr>
          <w:trHeight w:val="460"/>
        </w:trPr>
        <w:tc>
          <w:tcPr>
            <w:tcW w:w="4591" w:type="dxa"/>
          </w:tcPr>
          <w:p w14:paraId="25FCCCC2" w14:textId="77777777" w:rsidR="0002605C" w:rsidRPr="001E0040" w:rsidRDefault="0002605C">
            <w:pPr>
              <w:widowControl w:val="0"/>
              <w:autoSpaceDE w:val="0"/>
              <w:autoSpaceDN w:val="0"/>
              <w:spacing w:after="0" w:line="230" w:lineRule="exact"/>
              <w:ind w:left="114" w:right="1625"/>
              <w:rPr>
                <w:rFonts w:eastAsia="Arial" w:cs="Arial"/>
                <w:sz w:val="20"/>
                <w:szCs w:val="22"/>
              </w:rPr>
            </w:pPr>
            <w:r w:rsidRPr="001E0040">
              <w:rPr>
                <w:rFonts w:eastAsia="Arial" w:cs="Arial"/>
                <w:i/>
                <w:sz w:val="20"/>
                <w:szCs w:val="22"/>
              </w:rPr>
              <w:t>Ceriodaphnia</w:t>
            </w:r>
            <w:r w:rsidRPr="001E0040">
              <w:rPr>
                <w:rFonts w:eastAsia="Arial" w:cs="Arial"/>
                <w:i/>
                <w:spacing w:val="-14"/>
                <w:sz w:val="20"/>
                <w:szCs w:val="22"/>
              </w:rPr>
              <w:t xml:space="preserve"> </w:t>
            </w:r>
            <w:r w:rsidRPr="001E0040">
              <w:rPr>
                <w:rFonts w:eastAsia="Arial" w:cs="Arial"/>
                <w:i/>
                <w:sz w:val="20"/>
                <w:szCs w:val="22"/>
              </w:rPr>
              <w:t>dubia</w:t>
            </w:r>
            <w:r w:rsidRPr="001E0040">
              <w:rPr>
                <w:rFonts w:eastAsia="Arial" w:cs="Arial"/>
                <w:i/>
                <w:spacing w:val="-14"/>
                <w:sz w:val="20"/>
                <w:szCs w:val="22"/>
              </w:rPr>
              <w:t xml:space="preserve"> </w:t>
            </w:r>
            <w:r w:rsidRPr="001E0040">
              <w:rPr>
                <w:rFonts w:eastAsia="Arial" w:cs="Arial"/>
                <w:sz w:val="20"/>
                <w:szCs w:val="22"/>
              </w:rPr>
              <w:t>(water</w:t>
            </w:r>
            <w:r w:rsidRPr="001E0040">
              <w:rPr>
                <w:rFonts w:eastAsia="Arial" w:cs="Arial"/>
                <w:spacing w:val="-12"/>
                <w:sz w:val="20"/>
                <w:szCs w:val="22"/>
              </w:rPr>
              <w:t xml:space="preserve"> </w:t>
            </w:r>
            <w:r w:rsidRPr="001E0040">
              <w:rPr>
                <w:rFonts w:eastAsia="Arial" w:cs="Arial"/>
                <w:sz w:val="20"/>
                <w:szCs w:val="22"/>
              </w:rPr>
              <w:t>flea) Survival and reproduction</w:t>
            </w:r>
          </w:p>
        </w:tc>
        <w:tc>
          <w:tcPr>
            <w:tcW w:w="1339" w:type="dxa"/>
          </w:tcPr>
          <w:p w14:paraId="6E47EC84" w14:textId="77777777" w:rsidR="0002605C" w:rsidRPr="001E0040" w:rsidRDefault="0002605C">
            <w:pPr>
              <w:widowControl w:val="0"/>
              <w:autoSpaceDE w:val="0"/>
              <w:autoSpaceDN w:val="0"/>
              <w:spacing w:before="115" w:after="0"/>
              <w:ind w:left="7"/>
              <w:jc w:val="center"/>
              <w:rPr>
                <w:rFonts w:eastAsia="Arial" w:cs="Arial"/>
                <w:sz w:val="20"/>
                <w:szCs w:val="22"/>
              </w:rPr>
            </w:pPr>
            <w:r w:rsidRPr="001E0040">
              <w:rPr>
                <w:rFonts w:eastAsia="Arial" w:cs="Arial"/>
                <w:w w:val="99"/>
                <w:sz w:val="20"/>
                <w:szCs w:val="22"/>
              </w:rPr>
              <w:t>I</w:t>
            </w:r>
          </w:p>
        </w:tc>
        <w:tc>
          <w:tcPr>
            <w:tcW w:w="1245" w:type="dxa"/>
          </w:tcPr>
          <w:p w14:paraId="58496D14" w14:textId="77777777" w:rsidR="0002605C" w:rsidRPr="001E0040" w:rsidRDefault="0002605C">
            <w:pPr>
              <w:widowControl w:val="0"/>
              <w:autoSpaceDE w:val="0"/>
              <w:autoSpaceDN w:val="0"/>
              <w:spacing w:before="115" w:after="0"/>
              <w:ind w:left="227" w:right="222"/>
              <w:jc w:val="center"/>
              <w:rPr>
                <w:rFonts w:eastAsia="Arial" w:cs="Arial"/>
                <w:sz w:val="20"/>
                <w:szCs w:val="22"/>
              </w:rPr>
            </w:pPr>
            <w:r w:rsidRPr="001E0040">
              <w:rPr>
                <w:rFonts w:eastAsia="Arial" w:cs="Arial"/>
                <w:spacing w:val="-4"/>
                <w:sz w:val="20"/>
                <w:szCs w:val="22"/>
              </w:rPr>
              <w:t>0.75</w:t>
            </w:r>
          </w:p>
        </w:tc>
        <w:tc>
          <w:tcPr>
            <w:tcW w:w="1051" w:type="dxa"/>
          </w:tcPr>
          <w:p w14:paraId="13EA6C1D" w14:textId="77777777" w:rsidR="0002605C" w:rsidRPr="001E0040" w:rsidRDefault="0002605C">
            <w:pPr>
              <w:widowControl w:val="0"/>
              <w:autoSpaceDE w:val="0"/>
              <w:autoSpaceDN w:val="0"/>
              <w:spacing w:before="115" w:after="0"/>
              <w:ind w:left="150" w:right="146"/>
              <w:jc w:val="center"/>
              <w:rPr>
                <w:rFonts w:eastAsia="Arial" w:cs="Arial"/>
                <w:sz w:val="20"/>
                <w:szCs w:val="22"/>
              </w:rPr>
            </w:pPr>
            <w:r w:rsidRPr="001E0040">
              <w:rPr>
                <w:rFonts w:eastAsia="Arial" w:cs="Arial"/>
                <w:spacing w:val="-4"/>
                <w:sz w:val="20"/>
                <w:szCs w:val="22"/>
              </w:rPr>
              <w:t>0.05</w:t>
            </w:r>
          </w:p>
        </w:tc>
        <w:tc>
          <w:tcPr>
            <w:tcW w:w="962" w:type="dxa"/>
          </w:tcPr>
          <w:p w14:paraId="234251D4" w14:textId="77777777" w:rsidR="0002605C" w:rsidRPr="001E0040" w:rsidRDefault="0002605C">
            <w:pPr>
              <w:widowControl w:val="0"/>
              <w:autoSpaceDE w:val="0"/>
              <w:autoSpaceDN w:val="0"/>
              <w:spacing w:before="115" w:after="0"/>
              <w:ind w:left="130" w:right="124"/>
              <w:jc w:val="center"/>
              <w:rPr>
                <w:rFonts w:eastAsia="Arial" w:cs="Arial"/>
                <w:sz w:val="20"/>
                <w:szCs w:val="22"/>
              </w:rPr>
            </w:pPr>
            <w:r w:rsidRPr="001E0040">
              <w:rPr>
                <w:rFonts w:eastAsia="Arial" w:cs="Arial"/>
                <w:spacing w:val="-4"/>
                <w:sz w:val="20"/>
                <w:szCs w:val="22"/>
              </w:rPr>
              <w:t>0.20</w:t>
            </w:r>
          </w:p>
        </w:tc>
      </w:tr>
      <w:tr w:rsidR="0002605C" w:rsidRPr="001E0040" w14:paraId="74AB5382" w14:textId="77777777">
        <w:trPr>
          <w:trHeight w:val="460"/>
        </w:trPr>
        <w:tc>
          <w:tcPr>
            <w:tcW w:w="4591" w:type="dxa"/>
          </w:tcPr>
          <w:p w14:paraId="2B4E7DE8" w14:textId="77777777" w:rsidR="0002605C" w:rsidRPr="001E0040" w:rsidRDefault="0002605C">
            <w:pPr>
              <w:widowControl w:val="0"/>
              <w:autoSpaceDE w:val="0"/>
              <w:autoSpaceDN w:val="0"/>
              <w:spacing w:after="0" w:line="230" w:lineRule="exact"/>
              <w:ind w:left="114" w:right="764"/>
              <w:rPr>
                <w:rFonts w:eastAsia="Arial" w:cs="Arial"/>
                <w:sz w:val="20"/>
                <w:szCs w:val="22"/>
              </w:rPr>
            </w:pPr>
            <w:r w:rsidRPr="001E0040">
              <w:rPr>
                <w:rFonts w:eastAsia="Arial" w:cs="Arial"/>
                <w:i/>
                <w:sz w:val="20"/>
                <w:szCs w:val="22"/>
              </w:rPr>
              <w:t>Pimephales</w:t>
            </w:r>
            <w:r w:rsidRPr="001E0040">
              <w:rPr>
                <w:rFonts w:eastAsia="Arial" w:cs="Arial"/>
                <w:i/>
                <w:spacing w:val="-14"/>
                <w:sz w:val="20"/>
                <w:szCs w:val="22"/>
              </w:rPr>
              <w:t xml:space="preserve"> </w:t>
            </w:r>
            <w:r w:rsidRPr="001E0040">
              <w:rPr>
                <w:rFonts w:eastAsia="Arial" w:cs="Arial"/>
                <w:i/>
                <w:sz w:val="20"/>
                <w:szCs w:val="22"/>
              </w:rPr>
              <w:t>promelas</w:t>
            </w:r>
            <w:r w:rsidRPr="001E0040">
              <w:rPr>
                <w:rFonts w:eastAsia="Arial" w:cs="Arial"/>
                <w:i/>
                <w:spacing w:val="-14"/>
                <w:sz w:val="20"/>
                <w:szCs w:val="22"/>
              </w:rPr>
              <w:t xml:space="preserve"> </w:t>
            </w:r>
            <w:r w:rsidRPr="001E0040">
              <w:rPr>
                <w:rFonts w:eastAsia="Arial" w:cs="Arial"/>
                <w:sz w:val="20"/>
                <w:szCs w:val="22"/>
              </w:rPr>
              <w:t>(fathead</w:t>
            </w:r>
            <w:r w:rsidRPr="001E0040">
              <w:rPr>
                <w:rFonts w:eastAsia="Arial" w:cs="Arial"/>
                <w:spacing w:val="-14"/>
                <w:sz w:val="20"/>
                <w:szCs w:val="22"/>
              </w:rPr>
              <w:t xml:space="preserve"> </w:t>
            </w:r>
            <w:r w:rsidRPr="001E0040">
              <w:rPr>
                <w:rFonts w:eastAsia="Arial" w:cs="Arial"/>
                <w:sz w:val="20"/>
                <w:szCs w:val="22"/>
              </w:rPr>
              <w:t>minnow) Survival and growth</w:t>
            </w:r>
          </w:p>
        </w:tc>
        <w:tc>
          <w:tcPr>
            <w:tcW w:w="1339" w:type="dxa"/>
          </w:tcPr>
          <w:p w14:paraId="7D410638" w14:textId="77777777" w:rsidR="0002605C" w:rsidRPr="001E0040" w:rsidRDefault="0002605C">
            <w:pPr>
              <w:widowControl w:val="0"/>
              <w:autoSpaceDE w:val="0"/>
              <w:autoSpaceDN w:val="0"/>
              <w:spacing w:before="115" w:after="0"/>
              <w:ind w:left="7"/>
              <w:jc w:val="center"/>
              <w:rPr>
                <w:rFonts w:eastAsia="Arial" w:cs="Arial"/>
                <w:sz w:val="20"/>
                <w:szCs w:val="22"/>
              </w:rPr>
            </w:pPr>
            <w:r w:rsidRPr="001E0040">
              <w:rPr>
                <w:rFonts w:eastAsia="Arial" w:cs="Arial"/>
                <w:w w:val="99"/>
                <w:sz w:val="20"/>
                <w:szCs w:val="22"/>
              </w:rPr>
              <w:t>I</w:t>
            </w:r>
          </w:p>
        </w:tc>
        <w:tc>
          <w:tcPr>
            <w:tcW w:w="1245" w:type="dxa"/>
          </w:tcPr>
          <w:p w14:paraId="4298837C" w14:textId="77777777" w:rsidR="0002605C" w:rsidRPr="001E0040" w:rsidRDefault="0002605C">
            <w:pPr>
              <w:widowControl w:val="0"/>
              <w:autoSpaceDE w:val="0"/>
              <w:autoSpaceDN w:val="0"/>
              <w:spacing w:before="115" w:after="0"/>
              <w:ind w:left="227" w:right="222"/>
              <w:jc w:val="center"/>
              <w:rPr>
                <w:rFonts w:eastAsia="Arial" w:cs="Arial"/>
                <w:sz w:val="20"/>
                <w:szCs w:val="22"/>
              </w:rPr>
            </w:pPr>
            <w:r w:rsidRPr="001E0040">
              <w:rPr>
                <w:rFonts w:eastAsia="Arial" w:cs="Arial"/>
                <w:spacing w:val="-4"/>
                <w:sz w:val="20"/>
                <w:szCs w:val="22"/>
              </w:rPr>
              <w:t>0.75</w:t>
            </w:r>
          </w:p>
        </w:tc>
        <w:tc>
          <w:tcPr>
            <w:tcW w:w="1051" w:type="dxa"/>
          </w:tcPr>
          <w:p w14:paraId="6FF910AC" w14:textId="77777777" w:rsidR="0002605C" w:rsidRPr="001E0040" w:rsidRDefault="0002605C">
            <w:pPr>
              <w:widowControl w:val="0"/>
              <w:autoSpaceDE w:val="0"/>
              <w:autoSpaceDN w:val="0"/>
              <w:spacing w:before="115" w:after="0"/>
              <w:ind w:left="150" w:right="146"/>
              <w:jc w:val="center"/>
              <w:rPr>
                <w:rFonts w:eastAsia="Arial" w:cs="Arial"/>
                <w:sz w:val="20"/>
                <w:szCs w:val="22"/>
              </w:rPr>
            </w:pPr>
            <w:r w:rsidRPr="001E0040">
              <w:rPr>
                <w:rFonts w:eastAsia="Arial" w:cs="Arial"/>
                <w:spacing w:val="-4"/>
                <w:sz w:val="20"/>
                <w:szCs w:val="22"/>
              </w:rPr>
              <w:t>0.05</w:t>
            </w:r>
          </w:p>
        </w:tc>
        <w:tc>
          <w:tcPr>
            <w:tcW w:w="962" w:type="dxa"/>
          </w:tcPr>
          <w:p w14:paraId="41019484" w14:textId="77777777" w:rsidR="0002605C" w:rsidRPr="001E0040" w:rsidRDefault="0002605C">
            <w:pPr>
              <w:widowControl w:val="0"/>
              <w:autoSpaceDE w:val="0"/>
              <w:autoSpaceDN w:val="0"/>
              <w:spacing w:before="115" w:after="0"/>
              <w:ind w:left="130" w:right="124"/>
              <w:jc w:val="center"/>
              <w:rPr>
                <w:rFonts w:eastAsia="Arial" w:cs="Arial"/>
                <w:sz w:val="20"/>
                <w:szCs w:val="22"/>
              </w:rPr>
            </w:pPr>
            <w:r w:rsidRPr="001E0040">
              <w:rPr>
                <w:rFonts w:eastAsia="Arial" w:cs="Arial"/>
                <w:spacing w:val="-4"/>
                <w:sz w:val="20"/>
                <w:szCs w:val="22"/>
              </w:rPr>
              <w:t>0.25</w:t>
            </w:r>
          </w:p>
        </w:tc>
      </w:tr>
      <w:tr w:rsidR="0002605C" w:rsidRPr="001E0040" w14:paraId="3A82C253" w14:textId="77777777">
        <w:trPr>
          <w:trHeight w:val="460"/>
        </w:trPr>
        <w:tc>
          <w:tcPr>
            <w:tcW w:w="4591" w:type="dxa"/>
          </w:tcPr>
          <w:p w14:paraId="6BAF8DF9" w14:textId="77777777" w:rsidR="0002605C" w:rsidRPr="001E0040" w:rsidRDefault="0002605C">
            <w:pPr>
              <w:widowControl w:val="0"/>
              <w:autoSpaceDE w:val="0"/>
              <w:autoSpaceDN w:val="0"/>
              <w:spacing w:after="0" w:line="230" w:lineRule="exact"/>
              <w:ind w:left="114" w:right="764"/>
              <w:rPr>
                <w:rFonts w:eastAsia="Arial" w:cs="Arial"/>
                <w:sz w:val="20"/>
                <w:szCs w:val="22"/>
              </w:rPr>
            </w:pPr>
            <w:r w:rsidRPr="001E0040">
              <w:rPr>
                <w:rFonts w:eastAsia="Arial" w:cs="Arial"/>
                <w:i/>
                <w:sz w:val="20"/>
                <w:szCs w:val="22"/>
              </w:rPr>
              <w:t>Selenastrum</w:t>
            </w:r>
            <w:r w:rsidRPr="001E0040">
              <w:rPr>
                <w:rFonts w:eastAsia="Arial" w:cs="Arial"/>
                <w:i/>
                <w:spacing w:val="-14"/>
                <w:sz w:val="20"/>
                <w:szCs w:val="22"/>
              </w:rPr>
              <w:t xml:space="preserve"> </w:t>
            </w:r>
            <w:r w:rsidRPr="001E0040">
              <w:rPr>
                <w:rFonts w:eastAsia="Arial" w:cs="Arial"/>
                <w:i/>
                <w:sz w:val="20"/>
                <w:szCs w:val="22"/>
              </w:rPr>
              <w:t>capricornutum</w:t>
            </w:r>
            <w:r w:rsidRPr="001E0040">
              <w:rPr>
                <w:rFonts w:eastAsia="Arial" w:cs="Arial"/>
                <w:i/>
                <w:spacing w:val="-13"/>
                <w:sz w:val="20"/>
                <w:szCs w:val="22"/>
              </w:rPr>
              <w:t xml:space="preserve"> </w:t>
            </w:r>
            <w:r w:rsidRPr="001E0040">
              <w:rPr>
                <w:rFonts w:eastAsia="Arial" w:cs="Arial"/>
                <w:sz w:val="20"/>
                <w:szCs w:val="22"/>
              </w:rPr>
              <w:t>(green</w:t>
            </w:r>
            <w:r w:rsidRPr="001E0040">
              <w:rPr>
                <w:rFonts w:eastAsia="Arial" w:cs="Arial"/>
                <w:spacing w:val="-13"/>
                <w:sz w:val="20"/>
                <w:szCs w:val="22"/>
              </w:rPr>
              <w:t xml:space="preserve"> </w:t>
            </w:r>
            <w:r w:rsidRPr="001E0040">
              <w:rPr>
                <w:rFonts w:eastAsia="Arial" w:cs="Arial"/>
                <w:sz w:val="20"/>
                <w:szCs w:val="22"/>
              </w:rPr>
              <w:t xml:space="preserve">alga) </w:t>
            </w:r>
            <w:r w:rsidRPr="001E0040">
              <w:rPr>
                <w:rFonts w:eastAsia="Arial" w:cs="Arial"/>
                <w:spacing w:val="-2"/>
                <w:sz w:val="20"/>
                <w:szCs w:val="22"/>
              </w:rPr>
              <w:t>Growth</w:t>
            </w:r>
          </w:p>
        </w:tc>
        <w:tc>
          <w:tcPr>
            <w:tcW w:w="1339" w:type="dxa"/>
          </w:tcPr>
          <w:p w14:paraId="48E66B17" w14:textId="77777777" w:rsidR="0002605C" w:rsidRPr="001E0040" w:rsidRDefault="0002605C">
            <w:pPr>
              <w:widowControl w:val="0"/>
              <w:autoSpaceDE w:val="0"/>
              <w:autoSpaceDN w:val="0"/>
              <w:spacing w:before="115" w:after="0"/>
              <w:ind w:left="7"/>
              <w:jc w:val="center"/>
              <w:rPr>
                <w:rFonts w:eastAsia="Arial" w:cs="Arial"/>
                <w:sz w:val="20"/>
                <w:szCs w:val="22"/>
              </w:rPr>
            </w:pPr>
            <w:r w:rsidRPr="001E0040">
              <w:rPr>
                <w:rFonts w:eastAsia="Arial" w:cs="Arial"/>
                <w:w w:val="99"/>
                <w:sz w:val="20"/>
                <w:szCs w:val="22"/>
              </w:rPr>
              <w:t>I</w:t>
            </w:r>
          </w:p>
        </w:tc>
        <w:tc>
          <w:tcPr>
            <w:tcW w:w="1245" w:type="dxa"/>
          </w:tcPr>
          <w:p w14:paraId="4AA71EE8" w14:textId="77777777" w:rsidR="0002605C" w:rsidRPr="001E0040" w:rsidRDefault="0002605C">
            <w:pPr>
              <w:widowControl w:val="0"/>
              <w:autoSpaceDE w:val="0"/>
              <w:autoSpaceDN w:val="0"/>
              <w:spacing w:before="115" w:after="0"/>
              <w:ind w:left="227" w:right="222"/>
              <w:jc w:val="center"/>
              <w:rPr>
                <w:rFonts w:eastAsia="Arial" w:cs="Arial"/>
                <w:sz w:val="20"/>
                <w:szCs w:val="22"/>
              </w:rPr>
            </w:pPr>
            <w:r w:rsidRPr="001E0040">
              <w:rPr>
                <w:rFonts w:eastAsia="Arial" w:cs="Arial"/>
                <w:spacing w:val="-4"/>
                <w:sz w:val="20"/>
                <w:szCs w:val="22"/>
              </w:rPr>
              <w:t>0.75</w:t>
            </w:r>
          </w:p>
        </w:tc>
        <w:tc>
          <w:tcPr>
            <w:tcW w:w="1051" w:type="dxa"/>
          </w:tcPr>
          <w:p w14:paraId="0859840D" w14:textId="77777777" w:rsidR="0002605C" w:rsidRPr="001E0040" w:rsidRDefault="0002605C">
            <w:pPr>
              <w:widowControl w:val="0"/>
              <w:autoSpaceDE w:val="0"/>
              <w:autoSpaceDN w:val="0"/>
              <w:spacing w:before="115" w:after="0"/>
              <w:ind w:left="150" w:right="146"/>
              <w:jc w:val="center"/>
              <w:rPr>
                <w:rFonts w:eastAsia="Arial" w:cs="Arial"/>
                <w:sz w:val="20"/>
                <w:szCs w:val="22"/>
              </w:rPr>
            </w:pPr>
            <w:r w:rsidRPr="001E0040">
              <w:rPr>
                <w:rFonts w:eastAsia="Arial" w:cs="Arial"/>
                <w:spacing w:val="-4"/>
                <w:sz w:val="20"/>
                <w:szCs w:val="22"/>
              </w:rPr>
              <w:t>0.05</w:t>
            </w:r>
          </w:p>
        </w:tc>
        <w:tc>
          <w:tcPr>
            <w:tcW w:w="962" w:type="dxa"/>
          </w:tcPr>
          <w:p w14:paraId="6D2B8B0F" w14:textId="77777777" w:rsidR="0002605C" w:rsidRPr="001E0040" w:rsidRDefault="0002605C">
            <w:pPr>
              <w:widowControl w:val="0"/>
              <w:autoSpaceDE w:val="0"/>
              <w:autoSpaceDN w:val="0"/>
              <w:spacing w:before="115" w:after="0"/>
              <w:ind w:left="130" w:right="124"/>
              <w:jc w:val="center"/>
              <w:rPr>
                <w:rFonts w:eastAsia="Arial" w:cs="Arial"/>
                <w:sz w:val="20"/>
                <w:szCs w:val="22"/>
              </w:rPr>
            </w:pPr>
            <w:r w:rsidRPr="001E0040">
              <w:rPr>
                <w:rFonts w:eastAsia="Arial" w:cs="Arial"/>
                <w:spacing w:val="-4"/>
                <w:sz w:val="20"/>
                <w:szCs w:val="22"/>
              </w:rPr>
              <w:t>0.25</w:t>
            </w:r>
          </w:p>
        </w:tc>
      </w:tr>
      <w:tr w:rsidR="0002605C" w:rsidRPr="001E0040" w14:paraId="6A50CDA3" w14:textId="77777777">
        <w:trPr>
          <w:trHeight w:val="376"/>
        </w:trPr>
        <w:tc>
          <w:tcPr>
            <w:tcW w:w="9188" w:type="dxa"/>
            <w:gridSpan w:val="5"/>
            <w:shd w:val="clear" w:color="auto" w:fill="F1F1F1"/>
          </w:tcPr>
          <w:p w14:paraId="4565B801" w14:textId="77777777" w:rsidR="0002605C" w:rsidRPr="001E0040" w:rsidRDefault="0002605C">
            <w:pPr>
              <w:widowControl w:val="0"/>
              <w:autoSpaceDE w:val="0"/>
              <w:autoSpaceDN w:val="0"/>
              <w:spacing w:before="72" w:after="0"/>
              <w:ind w:left="114"/>
              <w:rPr>
                <w:rFonts w:eastAsia="Arial" w:cs="Arial"/>
                <w:b/>
                <w:sz w:val="20"/>
                <w:szCs w:val="22"/>
              </w:rPr>
            </w:pPr>
            <w:r w:rsidRPr="001E0040">
              <w:rPr>
                <w:rFonts w:eastAsia="Arial" w:cs="Arial"/>
                <w:b/>
                <w:sz w:val="20"/>
                <w:szCs w:val="22"/>
              </w:rPr>
              <w:t>Chronic</w:t>
            </w:r>
            <w:r w:rsidRPr="001E0040">
              <w:rPr>
                <w:rFonts w:eastAsia="Arial" w:cs="Arial"/>
                <w:b/>
                <w:spacing w:val="-6"/>
                <w:sz w:val="20"/>
                <w:szCs w:val="22"/>
              </w:rPr>
              <w:t xml:space="preserve"> </w:t>
            </w:r>
            <w:r w:rsidRPr="001E0040">
              <w:rPr>
                <w:rFonts w:eastAsia="Arial" w:cs="Arial"/>
                <w:b/>
                <w:sz w:val="20"/>
                <w:szCs w:val="22"/>
              </w:rPr>
              <w:t>West</w:t>
            </w:r>
            <w:r w:rsidRPr="001E0040">
              <w:rPr>
                <w:rFonts w:eastAsia="Arial" w:cs="Arial"/>
                <w:b/>
                <w:spacing w:val="-7"/>
                <w:sz w:val="20"/>
                <w:szCs w:val="22"/>
              </w:rPr>
              <w:t xml:space="preserve"> </w:t>
            </w:r>
            <w:r w:rsidRPr="001E0040">
              <w:rPr>
                <w:rFonts w:eastAsia="Arial" w:cs="Arial"/>
                <w:b/>
                <w:sz w:val="20"/>
                <w:szCs w:val="22"/>
              </w:rPr>
              <w:t>Coast</w:t>
            </w:r>
            <w:r w:rsidRPr="001E0040">
              <w:rPr>
                <w:rFonts w:eastAsia="Arial" w:cs="Arial"/>
                <w:b/>
                <w:spacing w:val="-6"/>
                <w:sz w:val="20"/>
                <w:szCs w:val="22"/>
              </w:rPr>
              <w:t xml:space="preserve"> </w:t>
            </w:r>
            <w:r w:rsidRPr="001E0040">
              <w:rPr>
                <w:rFonts w:eastAsia="Arial" w:cs="Arial"/>
                <w:b/>
                <w:sz w:val="20"/>
                <w:szCs w:val="22"/>
              </w:rPr>
              <w:t>Marine</w:t>
            </w:r>
            <w:r w:rsidRPr="001E0040">
              <w:rPr>
                <w:rFonts w:eastAsia="Arial" w:cs="Arial"/>
                <w:b/>
                <w:spacing w:val="-8"/>
                <w:sz w:val="20"/>
                <w:szCs w:val="22"/>
              </w:rPr>
              <w:t xml:space="preserve"> </w:t>
            </w:r>
            <w:r w:rsidRPr="001E0040">
              <w:rPr>
                <w:rFonts w:eastAsia="Arial" w:cs="Arial"/>
                <w:b/>
                <w:spacing w:val="-2"/>
                <w:sz w:val="20"/>
                <w:szCs w:val="22"/>
              </w:rPr>
              <w:t>Methods</w:t>
            </w:r>
          </w:p>
        </w:tc>
      </w:tr>
      <w:tr w:rsidR="0002605C" w:rsidRPr="001E0040" w14:paraId="35F88F8C" w14:textId="77777777">
        <w:trPr>
          <w:trHeight w:val="460"/>
        </w:trPr>
        <w:tc>
          <w:tcPr>
            <w:tcW w:w="4591" w:type="dxa"/>
          </w:tcPr>
          <w:p w14:paraId="38EDC6CC" w14:textId="77777777" w:rsidR="0002605C" w:rsidRPr="001E0040" w:rsidRDefault="0002605C">
            <w:pPr>
              <w:widowControl w:val="0"/>
              <w:autoSpaceDE w:val="0"/>
              <w:autoSpaceDN w:val="0"/>
              <w:spacing w:after="0" w:line="230" w:lineRule="exact"/>
              <w:ind w:left="114" w:right="1625"/>
              <w:rPr>
                <w:rFonts w:eastAsia="Arial" w:cs="Arial"/>
                <w:sz w:val="20"/>
                <w:szCs w:val="22"/>
              </w:rPr>
            </w:pPr>
            <w:r w:rsidRPr="001E0040">
              <w:rPr>
                <w:rFonts w:eastAsia="Arial" w:cs="Arial"/>
                <w:i/>
                <w:sz w:val="20"/>
                <w:szCs w:val="22"/>
              </w:rPr>
              <w:t>Atherinops</w:t>
            </w:r>
            <w:r w:rsidRPr="001E0040">
              <w:rPr>
                <w:rFonts w:eastAsia="Arial" w:cs="Arial"/>
                <w:i/>
                <w:spacing w:val="-14"/>
                <w:sz w:val="20"/>
                <w:szCs w:val="22"/>
              </w:rPr>
              <w:t xml:space="preserve"> </w:t>
            </w:r>
            <w:r w:rsidRPr="001E0040">
              <w:rPr>
                <w:rFonts w:eastAsia="Arial" w:cs="Arial"/>
                <w:i/>
                <w:sz w:val="20"/>
                <w:szCs w:val="22"/>
              </w:rPr>
              <w:t>affinis</w:t>
            </w:r>
            <w:r w:rsidRPr="001E0040">
              <w:rPr>
                <w:rFonts w:eastAsia="Arial" w:cs="Arial"/>
                <w:i/>
                <w:spacing w:val="-14"/>
                <w:sz w:val="20"/>
                <w:szCs w:val="22"/>
              </w:rPr>
              <w:t xml:space="preserve"> </w:t>
            </w:r>
            <w:r w:rsidRPr="001E0040">
              <w:rPr>
                <w:rFonts w:eastAsia="Arial" w:cs="Arial"/>
                <w:sz w:val="20"/>
                <w:szCs w:val="22"/>
              </w:rPr>
              <w:t>(topsmelt) Survival and growth</w:t>
            </w:r>
          </w:p>
        </w:tc>
        <w:tc>
          <w:tcPr>
            <w:tcW w:w="1339" w:type="dxa"/>
          </w:tcPr>
          <w:p w14:paraId="14F05F1F" w14:textId="77777777" w:rsidR="0002605C" w:rsidRPr="001E0040" w:rsidRDefault="0002605C">
            <w:pPr>
              <w:widowControl w:val="0"/>
              <w:autoSpaceDE w:val="0"/>
              <w:autoSpaceDN w:val="0"/>
              <w:spacing w:before="115" w:after="0"/>
              <w:ind w:left="7"/>
              <w:jc w:val="center"/>
              <w:rPr>
                <w:rFonts w:eastAsia="Arial" w:cs="Arial"/>
                <w:sz w:val="20"/>
                <w:szCs w:val="22"/>
              </w:rPr>
            </w:pPr>
            <w:r w:rsidRPr="001E0040">
              <w:rPr>
                <w:rFonts w:eastAsia="Arial" w:cs="Arial"/>
                <w:w w:val="99"/>
                <w:sz w:val="20"/>
                <w:szCs w:val="22"/>
              </w:rPr>
              <w:t>I</w:t>
            </w:r>
          </w:p>
        </w:tc>
        <w:tc>
          <w:tcPr>
            <w:tcW w:w="1245" w:type="dxa"/>
          </w:tcPr>
          <w:p w14:paraId="647DE806" w14:textId="77777777" w:rsidR="0002605C" w:rsidRPr="001E0040" w:rsidRDefault="0002605C">
            <w:pPr>
              <w:widowControl w:val="0"/>
              <w:autoSpaceDE w:val="0"/>
              <w:autoSpaceDN w:val="0"/>
              <w:spacing w:before="115" w:after="0"/>
              <w:ind w:left="227" w:right="222"/>
              <w:jc w:val="center"/>
              <w:rPr>
                <w:rFonts w:eastAsia="Arial" w:cs="Arial"/>
                <w:sz w:val="20"/>
                <w:szCs w:val="22"/>
              </w:rPr>
            </w:pPr>
            <w:r w:rsidRPr="001E0040">
              <w:rPr>
                <w:rFonts w:eastAsia="Arial" w:cs="Arial"/>
                <w:spacing w:val="-4"/>
                <w:sz w:val="20"/>
                <w:szCs w:val="22"/>
              </w:rPr>
              <w:t>0.75</w:t>
            </w:r>
          </w:p>
        </w:tc>
        <w:tc>
          <w:tcPr>
            <w:tcW w:w="1051" w:type="dxa"/>
          </w:tcPr>
          <w:p w14:paraId="4D3B1E1F" w14:textId="77777777" w:rsidR="0002605C" w:rsidRPr="001E0040" w:rsidRDefault="0002605C">
            <w:pPr>
              <w:widowControl w:val="0"/>
              <w:autoSpaceDE w:val="0"/>
              <w:autoSpaceDN w:val="0"/>
              <w:spacing w:before="115" w:after="0"/>
              <w:ind w:left="150" w:right="146"/>
              <w:jc w:val="center"/>
              <w:rPr>
                <w:rFonts w:eastAsia="Arial" w:cs="Arial"/>
                <w:sz w:val="20"/>
                <w:szCs w:val="22"/>
              </w:rPr>
            </w:pPr>
            <w:r w:rsidRPr="001E0040">
              <w:rPr>
                <w:rFonts w:eastAsia="Arial" w:cs="Arial"/>
                <w:spacing w:val="-4"/>
                <w:sz w:val="20"/>
                <w:szCs w:val="22"/>
              </w:rPr>
              <w:t>0.05</w:t>
            </w:r>
          </w:p>
        </w:tc>
        <w:tc>
          <w:tcPr>
            <w:tcW w:w="962" w:type="dxa"/>
          </w:tcPr>
          <w:p w14:paraId="6FFF7356" w14:textId="77777777" w:rsidR="0002605C" w:rsidRPr="001E0040" w:rsidRDefault="0002605C">
            <w:pPr>
              <w:widowControl w:val="0"/>
              <w:autoSpaceDE w:val="0"/>
              <w:autoSpaceDN w:val="0"/>
              <w:spacing w:before="115" w:after="0"/>
              <w:ind w:left="130" w:right="124"/>
              <w:jc w:val="center"/>
              <w:rPr>
                <w:rFonts w:eastAsia="Arial" w:cs="Arial"/>
                <w:sz w:val="20"/>
                <w:szCs w:val="22"/>
              </w:rPr>
            </w:pPr>
            <w:r w:rsidRPr="001E0040">
              <w:rPr>
                <w:rFonts w:eastAsia="Arial" w:cs="Arial"/>
                <w:spacing w:val="-4"/>
                <w:sz w:val="20"/>
                <w:szCs w:val="22"/>
              </w:rPr>
              <w:t>0.25</w:t>
            </w:r>
          </w:p>
        </w:tc>
      </w:tr>
      <w:tr w:rsidR="0002605C" w:rsidRPr="001E0040" w14:paraId="6AF80313" w14:textId="77777777">
        <w:trPr>
          <w:trHeight w:val="688"/>
        </w:trPr>
        <w:tc>
          <w:tcPr>
            <w:tcW w:w="4591" w:type="dxa"/>
          </w:tcPr>
          <w:p w14:paraId="1BA7B784" w14:textId="77777777" w:rsidR="0002605C" w:rsidRPr="001E0040" w:rsidRDefault="0002605C">
            <w:pPr>
              <w:widowControl w:val="0"/>
              <w:autoSpaceDE w:val="0"/>
              <w:autoSpaceDN w:val="0"/>
              <w:spacing w:after="0"/>
              <w:ind w:left="114"/>
              <w:rPr>
                <w:rFonts w:eastAsia="Arial" w:cs="Arial"/>
                <w:sz w:val="20"/>
                <w:szCs w:val="22"/>
              </w:rPr>
            </w:pPr>
            <w:r w:rsidRPr="001E0040">
              <w:rPr>
                <w:rFonts w:eastAsia="Arial" w:cs="Arial"/>
                <w:i/>
                <w:sz w:val="20"/>
                <w:szCs w:val="22"/>
              </w:rPr>
              <w:t>Dendraster</w:t>
            </w:r>
            <w:r w:rsidRPr="001E0040">
              <w:rPr>
                <w:rFonts w:eastAsia="Arial" w:cs="Arial"/>
                <w:i/>
                <w:spacing w:val="-10"/>
                <w:sz w:val="20"/>
                <w:szCs w:val="22"/>
              </w:rPr>
              <w:t xml:space="preserve"> </w:t>
            </w:r>
            <w:r w:rsidRPr="001E0040">
              <w:rPr>
                <w:rFonts w:eastAsia="Arial" w:cs="Arial"/>
                <w:i/>
                <w:sz w:val="20"/>
                <w:szCs w:val="22"/>
              </w:rPr>
              <w:t>excentricus</w:t>
            </w:r>
            <w:r w:rsidRPr="001E0040">
              <w:rPr>
                <w:rFonts w:eastAsia="Arial" w:cs="Arial"/>
                <w:i/>
                <w:spacing w:val="-9"/>
                <w:sz w:val="20"/>
                <w:szCs w:val="22"/>
              </w:rPr>
              <w:t xml:space="preserve"> </w:t>
            </w:r>
            <w:r w:rsidRPr="001E0040">
              <w:rPr>
                <w:rFonts w:eastAsia="Arial" w:cs="Arial"/>
                <w:sz w:val="20"/>
                <w:szCs w:val="22"/>
              </w:rPr>
              <w:t>(sand</w:t>
            </w:r>
            <w:r w:rsidRPr="001E0040">
              <w:rPr>
                <w:rFonts w:eastAsia="Arial" w:cs="Arial"/>
                <w:spacing w:val="-11"/>
                <w:sz w:val="20"/>
                <w:szCs w:val="22"/>
              </w:rPr>
              <w:t xml:space="preserve"> </w:t>
            </w:r>
            <w:r w:rsidRPr="001E0040">
              <w:rPr>
                <w:rFonts w:eastAsia="Arial" w:cs="Arial"/>
                <w:spacing w:val="-2"/>
                <w:sz w:val="20"/>
                <w:szCs w:val="22"/>
              </w:rPr>
              <w:t>dollar);</w:t>
            </w:r>
          </w:p>
          <w:p w14:paraId="0C380BA3" w14:textId="77777777" w:rsidR="0002605C" w:rsidRPr="001E0040" w:rsidRDefault="0002605C">
            <w:pPr>
              <w:widowControl w:val="0"/>
              <w:autoSpaceDE w:val="0"/>
              <w:autoSpaceDN w:val="0"/>
              <w:spacing w:after="0" w:line="228" w:lineRule="exact"/>
              <w:ind w:left="114"/>
              <w:rPr>
                <w:rFonts w:eastAsia="Arial" w:cs="Arial"/>
                <w:sz w:val="20"/>
                <w:szCs w:val="22"/>
              </w:rPr>
            </w:pPr>
            <w:r w:rsidRPr="001E0040">
              <w:rPr>
                <w:rFonts w:eastAsia="Arial" w:cs="Arial"/>
                <w:i/>
                <w:sz w:val="20"/>
                <w:szCs w:val="22"/>
              </w:rPr>
              <w:t>Strongylocentrotus</w:t>
            </w:r>
            <w:r w:rsidRPr="001E0040">
              <w:rPr>
                <w:rFonts w:eastAsia="Arial" w:cs="Arial"/>
                <w:i/>
                <w:spacing w:val="-14"/>
                <w:sz w:val="20"/>
                <w:szCs w:val="22"/>
              </w:rPr>
              <w:t xml:space="preserve"> </w:t>
            </w:r>
            <w:r w:rsidRPr="001E0040">
              <w:rPr>
                <w:rFonts w:eastAsia="Arial" w:cs="Arial"/>
                <w:i/>
                <w:sz w:val="20"/>
                <w:szCs w:val="22"/>
              </w:rPr>
              <w:t>purpuratus</w:t>
            </w:r>
            <w:r w:rsidRPr="001E0040">
              <w:rPr>
                <w:rFonts w:eastAsia="Arial" w:cs="Arial"/>
                <w:i/>
                <w:spacing w:val="-13"/>
                <w:sz w:val="20"/>
                <w:szCs w:val="22"/>
              </w:rPr>
              <w:t xml:space="preserve"> </w:t>
            </w:r>
            <w:r w:rsidRPr="001E0040">
              <w:rPr>
                <w:rFonts w:eastAsia="Arial" w:cs="Arial"/>
                <w:sz w:val="20"/>
                <w:szCs w:val="22"/>
              </w:rPr>
              <w:t>(purple</w:t>
            </w:r>
            <w:r w:rsidRPr="001E0040">
              <w:rPr>
                <w:rFonts w:eastAsia="Arial" w:cs="Arial"/>
                <w:spacing w:val="-14"/>
                <w:sz w:val="20"/>
                <w:szCs w:val="22"/>
              </w:rPr>
              <w:t xml:space="preserve"> </w:t>
            </w:r>
            <w:r w:rsidRPr="001E0040">
              <w:rPr>
                <w:rFonts w:eastAsia="Arial" w:cs="Arial"/>
                <w:sz w:val="20"/>
                <w:szCs w:val="22"/>
              </w:rPr>
              <w:t xml:space="preserve">urchin) </w:t>
            </w:r>
            <w:r w:rsidRPr="001E0040">
              <w:rPr>
                <w:rFonts w:eastAsia="Arial" w:cs="Arial"/>
                <w:spacing w:val="-2"/>
                <w:sz w:val="20"/>
                <w:szCs w:val="22"/>
              </w:rPr>
              <w:t>Fertilization</w:t>
            </w:r>
          </w:p>
        </w:tc>
        <w:tc>
          <w:tcPr>
            <w:tcW w:w="1339" w:type="dxa"/>
          </w:tcPr>
          <w:p w14:paraId="5D232708" w14:textId="77777777" w:rsidR="0002605C" w:rsidRPr="001E0040" w:rsidRDefault="0002605C">
            <w:pPr>
              <w:widowControl w:val="0"/>
              <w:autoSpaceDE w:val="0"/>
              <w:autoSpaceDN w:val="0"/>
              <w:spacing w:after="0"/>
              <w:rPr>
                <w:rFonts w:eastAsia="Arial" w:cs="Arial"/>
                <w:b/>
                <w:sz w:val="20"/>
                <w:szCs w:val="22"/>
              </w:rPr>
            </w:pPr>
          </w:p>
          <w:p w14:paraId="289D4E4D" w14:textId="77777777" w:rsidR="0002605C" w:rsidRPr="001E0040" w:rsidRDefault="0002605C">
            <w:pPr>
              <w:widowControl w:val="0"/>
              <w:autoSpaceDE w:val="0"/>
              <w:autoSpaceDN w:val="0"/>
              <w:spacing w:after="0"/>
              <w:ind w:left="7"/>
              <w:jc w:val="center"/>
              <w:rPr>
                <w:rFonts w:eastAsia="Arial" w:cs="Arial"/>
                <w:sz w:val="20"/>
                <w:szCs w:val="22"/>
              </w:rPr>
            </w:pPr>
            <w:r w:rsidRPr="001E0040">
              <w:rPr>
                <w:rFonts w:eastAsia="Arial" w:cs="Arial"/>
                <w:w w:val="99"/>
                <w:sz w:val="20"/>
                <w:szCs w:val="22"/>
              </w:rPr>
              <w:t>I</w:t>
            </w:r>
          </w:p>
        </w:tc>
        <w:tc>
          <w:tcPr>
            <w:tcW w:w="1245" w:type="dxa"/>
          </w:tcPr>
          <w:p w14:paraId="35D1A522" w14:textId="77777777" w:rsidR="0002605C" w:rsidRPr="001E0040" w:rsidRDefault="0002605C">
            <w:pPr>
              <w:widowControl w:val="0"/>
              <w:autoSpaceDE w:val="0"/>
              <w:autoSpaceDN w:val="0"/>
              <w:spacing w:after="0"/>
              <w:rPr>
                <w:rFonts w:eastAsia="Arial" w:cs="Arial"/>
                <w:b/>
                <w:sz w:val="20"/>
                <w:szCs w:val="22"/>
              </w:rPr>
            </w:pPr>
          </w:p>
          <w:p w14:paraId="46B8D5EE" w14:textId="77777777" w:rsidR="0002605C" w:rsidRPr="001E0040" w:rsidRDefault="0002605C">
            <w:pPr>
              <w:widowControl w:val="0"/>
              <w:autoSpaceDE w:val="0"/>
              <w:autoSpaceDN w:val="0"/>
              <w:spacing w:after="0"/>
              <w:ind w:left="227" w:right="222"/>
              <w:jc w:val="center"/>
              <w:rPr>
                <w:rFonts w:eastAsia="Arial" w:cs="Arial"/>
                <w:sz w:val="20"/>
                <w:szCs w:val="22"/>
              </w:rPr>
            </w:pPr>
            <w:r w:rsidRPr="001E0040">
              <w:rPr>
                <w:rFonts w:eastAsia="Arial" w:cs="Arial"/>
                <w:spacing w:val="-4"/>
                <w:sz w:val="20"/>
                <w:szCs w:val="22"/>
              </w:rPr>
              <w:t>0.75</w:t>
            </w:r>
          </w:p>
        </w:tc>
        <w:tc>
          <w:tcPr>
            <w:tcW w:w="1051" w:type="dxa"/>
          </w:tcPr>
          <w:p w14:paraId="3BF3D75D" w14:textId="77777777" w:rsidR="0002605C" w:rsidRPr="001E0040" w:rsidRDefault="0002605C">
            <w:pPr>
              <w:widowControl w:val="0"/>
              <w:autoSpaceDE w:val="0"/>
              <w:autoSpaceDN w:val="0"/>
              <w:spacing w:after="0"/>
              <w:rPr>
                <w:rFonts w:eastAsia="Arial" w:cs="Arial"/>
                <w:b/>
                <w:sz w:val="20"/>
                <w:szCs w:val="22"/>
              </w:rPr>
            </w:pPr>
          </w:p>
          <w:p w14:paraId="1499E4B4" w14:textId="77777777" w:rsidR="0002605C" w:rsidRPr="001E0040" w:rsidRDefault="0002605C">
            <w:pPr>
              <w:widowControl w:val="0"/>
              <w:autoSpaceDE w:val="0"/>
              <w:autoSpaceDN w:val="0"/>
              <w:spacing w:after="0"/>
              <w:ind w:left="150" w:right="146"/>
              <w:jc w:val="center"/>
              <w:rPr>
                <w:rFonts w:eastAsia="Arial" w:cs="Arial"/>
                <w:sz w:val="20"/>
                <w:szCs w:val="22"/>
              </w:rPr>
            </w:pPr>
            <w:r w:rsidRPr="001E0040">
              <w:rPr>
                <w:rFonts w:eastAsia="Arial" w:cs="Arial"/>
                <w:spacing w:val="-4"/>
                <w:sz w:val="20"/>
                <w:szCs w:val="22"/>
              </w:rPr>
              <w:t>0.05</w:t>
            </w:r>
          </w:p>
        </w:tc>
        <w:tc>
          <w:tcPr>
            <w:tcW w:w="962" w:type="dxa"/>
          </w:tcPr>
          <w:p w14:paraId="6EE77FAA" w14:textId="77777777" w:rsidR="0002605C" w:rsidRPr="001E0040" w:rsidRDefault="0002605C">
            <w:pPr>
              <w:widowControl w:val="0"/>
              <w:autoSpaceDE w:val="0"/>
              <w:autoSpaceDN w:val="0"/>
              <w:spacing w:after="0"/>
              <w:rPr>
                <w:rFonts w:eastAsia="Arial" w:cs="Arial"/>
                <w:b/>
                <w:sz w:val="20"/>
                <w:szCs w:val="22"/>
              </w:rPr>
            </w:pPr>
          </w:p>
          <w:p w14:paraId="42199864" w14:textId="77777777" w:rsidR="0002605C" w:rsidRPr="001E0040" w:rsidRDefault="0002605C">
            <w:pPr>
              <w:widowControl w:val="0"/>
              <w:autoSpaceDE w:val="0"/>
              <w:autoSpaceDN w:val="0"/>
              <w:spacing w:after="0"/>
              <w:ind w:left="130" w:right="124"/>
              <w:jc w:val="center"/>
              <w:rPr>
                <w:rFonts w:eastAsia="Arial" w:cs="Arial"/>
                <w:sz w:val="20"/>
                <w:szCs w:val="22"/>
              </w:rPr>
            </w:pPr>
            <w:r w:rsidRPr="001E0040">
              <w:rPr>
                <w:rFonts w:eastAsia="Arial" w:cs="Arial"/>
                <w:spacing w:val="-4"/>
                <w:sz w:val="20"/>
                <w:szCs w:val="22"/>
              </w:rPr>
              <w:t>0.05</w:t>
            </w:r>
          </w:p>
        </w:tc>
      </w:tr>
      <w:tr w:rsidR="0002605C" w:rsidRPr="001E0040" w14:paraId="1A7D8D68" w14:textId="77777777">
        <w:trPr>
          <w:trHeight w:val="690"/>
        </w:trPr>
        <w:tc>
          <w:tcPr>
            <w:tcW w:w="4591" w:type="dxa"/>
          </w:tcPr>
          <w:p w14:paraId="479AEC6F" w14:textId="77777777" w:rsidR="0002605C" w:rsidRPr="001E0040" w:rsidRDefault="0002605C">
            <w:pPr>
              <w:widowControl w:val="0"/>
              <w:autoSpaceDE w:val="0"/>
              <w:autoSpaceDN w:val="0"/>
              <w:spacing w:after="0" w:line="230" w:lineRule="exact"/>
              <w:ind w:left="114"/>
              <w:rPr>
                <w:rFonts w:eastAsia="Arial" w:cs="Arial"/>
                <w:sz w:val="20"/>
                <w:szCs w:val="22"/>
              </w:rPr>
            </w:pPr>
            <w:r w:rsidRPr="001E0040">
              <w:rPr>
                <w:rFonts w:eastAsia="Arial" w:cs="Arial"/>
                <w:i/>
                <w:sz w:val="20"/>
                <w:szCs w:val="22"/>
              </w:rPr>
              <w:t xml:space="preserve">Dendraster excentricus </w:t>
            </w:r>
            <w:r w:rsidRPr="001E0040">
              <w:rPr>
                <w:rFonts w:eastAsia="Arial" w:cs="Arial"/>
                <w:sz w:val="20"/>
                <w:szCs w:val="22"/>
              </w:rPr>
              <w:t xml:space="preserve">(sand dollar); </w:t>
            </w:r>
            <w:r w:rsidRPr="001E0040">
              <w:rPr>
                <w:rFonts w:eastAsia="Arial" w:cs="Arial"/>
                <w:i/>
                <w:sz w:val="20"/>
                <w:szCs w:val="22"/>
              </w:rPr>
              <w:t>Strongylocentrotus</w:t>
            </w:r>
            <w:r w:rsidRPr="001E0040">
              <w:rPr>
                <w:rFonts w:eastAsia="Arial" w:cs="Arial"/>
                <w:i/>
                <w:spacing w:val="-14"/>
                <w:sz w:val="20"/>
                <w:szCs w:val="22"/>
              </w:rPr>
              <w:t xml:space="preserve"> </w:t>
            </w:r>
            <w:r w:rsidRPr="001E0040">
              <w:rPr>
                <w:rFonts w:eastAsia="Arial" w:cs="Arial"/>
                <w:i/>
                <w:sz w:val="20"/>
                <w:szCs w:val="22"/>
              </w:rPr>
              <w:t>purpuratus</w:t>
            </w:r>
            <w:r w:rsidRPr="001E0040">
              <w:rPr>
                <w:rFonts w:eastAsia="Arial" w:cs="Arial"/>
                <w:i/>
                <w:spacing w:val="-13"/>
                <w:sz w:val="20"/>
                <w:szCs w:val="22"/>
              </w:rPr>
              <w:t xml:space="preserve"> </w:t>
            </w:r>
            <w:r w:rsidRPr="001E0040">
              <w:rPr>
                <w:rFonts w:eastAsia="Arial" w:cs="Arial"/>
                <w:sz w:val="20"/>
                <w:szCs w:val="22"/>
              </w:rPr>
              <w:t>(purple</w:t>
            </w:r>
            <w:r w:rsidRPr="001E0040">
              <w:rPr>
                <w:rFonts w:eastAsia="Arial" w:cs="Arial"/>
                <w:spacing w:val="-14"/>
                <w:sz w:val="20"/>
                <w:szCs w:val="22"/>
              </w:rPr>
              <w:t xml:space="preserve"> </w:t>
            </w:r>
            <w:r w:rsidRPr="001E0040">
              <w:rPr>
                <w:rFonts w:eastAsia="Arial" w:cs="Arial"/>
                <w:sz w:val="20"/>
                <w:szCs w:val="22"/>
              </w:rPr>
              <w:t>urchin) Larval development</w:t>
            </w:r>
          </w:p>
        </w:tc>
        <w:tc>
          <w:tcPr>
            <w:tcW w:w="1339" w:type="dxa"/>
          </w:tcPr>
          <w:p w14:paraId="1D6D33F8" w14:textId="77777777" w:rsidR="0002605C" w:rsidRPr="001E0040" w:rsidRDefault="0002605C">
            <w:pPr>
              <w:widowControl w:val="0"/>
              <w:autoSpaceDE w:val="0"/>
              <w:autoSpaceDN w:val="0"/>
              <w:spacing w:after="0"/>
              <w:rPr>
                <w:rFonts w:eastAsia="Arial" w:cs="Arial"/>
                <w:b/>
                <w:sz w:val="20"/>
                <w:szCs w:val="22"/>
              </w:rPr>
            </w:pPr>
          </w:p>
          <w:p w14:paraId="016F7C2D" w14:textId="77777777" w:rsidR="0002605C" w:rsidRPr="001E0040" w:rsidRDefault="0002605C">
            <w:pPr>
              <w:widowControl w:val="0"/>
              <w:autoSpaceDE w:val="0"/>
              <w:autoSpaceDN w:val="0"/>
              <w:spacing w:after="0"/>
              <w:ind w:left="7"/>
              <w:jc w:val="center"/>
              <w:rPr>
                <w:rFonts w:eastAsia="Arial" w:cs="Arial"/>
                <w:sz w:val="20"/>
                <w:szCs w:val="22"/>
              </w:rPr>
            </w:pPr>
            <w:r w:rsidRPr="001E0040">
              <w:rPr>
                <w:rFonts w:eastAsia="Arial" w:cs="Arial"/>
                <w:w w:val="99"/>
                <w:sz w:val="20"/>
                <w:szCs w:val="22"/>
              </w:rPr>
              <w:t>I</w:t>
            </w:r>
          </w:p>
        </w:tc>
        <w:tc>
          <w:tcPr>
            <w:tcW w:w="1245" w:type="dxa"/>
          </w:tcPr>
          <w:p w14:paraId="2CFB7DFA" w14:textId="77777777" w:rsidR="0002605C" w:rsidRPr="001E0040" w:rsidRDefault="0002605C">
            <w:pPr>
              <w:widowControl w:val="0"/>
              <w:autoSpaceDE w:val="0"/>
              <w:autoSpaceDN w:val="0"/>
              <w:spacing w:after="0"/>
              <w:rPr>
                <w:rFonts w:eastAsia="Arial" w:cs="Arial"/>
                <w:b/>
                <w:sz w:val="20"/>
                <w:szCs w:val="22"/>
              </w:rPr>
            </w:pPr>
          </w:p>
          <w:p w14:paraId="471C9911" w14:textId="77777777" w:rsidR="0002605C" w:rsidRPr="001E0040" w:rsidRDefault="0002605C">
            <w:pPr>
              <w:widowControl w:val="0"/>
              <w:autoSpaceDE w:val="0"/>
              <w:autoSpaceDN w:val="0"/>
              <w:spacing w:after="0"/>
              <w:ind w:left="227" w:right="222"/>
              <w:jc w:val="center"/>
              <w:rPr>
                <w:rFonts w:eastAsia="Arial" w:cs="Arial"/>
                <w:sz w:val="20"/>
                <w:szCs w:val="22"/>
              </w:rPr>
            </w:pPr>
            <w:r w:rsidRPr="001E0040">
              <w:rPr>
                <w:rFonts w:eastAsia="Arial" w:cs="Arial"/>
                <w:spacing w:val="-4"/>
                <w:sz w:val="20"/>
                <w:szCs w:val="22"/>
              </w:rPr>
              <w:t>0.75</w:t>
            </w:r>
          </w:p>
        </w:tc>
        <w:tc>
          <w:tcPr>
            <w:tcW w:w="1051" w:type="dxa"/>
          </w:tcPr>
          <w:p w14:paraId="2F28FDD3" w14:textId="77777777" w:rsidR="0002605C" w:rsidRPr="001E0040" w:rsidRDefault="0002605C">
            <w:pPr>
              <w:widowControl w:val="0"/>
              <w:autoSpaceDE w:val="0"/>
              <w:autoSpaceDN w:val="0"/>
              <w:spacing w:after="0"/>
              <w:rPr>
                <w:rFonts w:eastAsia="Arial" w:cs="Arial"/>
                <w:b/>
                <w:sz w:val="20"/>
                <w:szCs w:val="22"/>
              </w:rPr>
            </w:pPr>
          </w:p>
          <w:p w14:paraId="529E6550" w14:textId="77777777" w:rsidR="0002605C" w:rsidRPr="001E0040" w:rsidRDefault="0002605C">
            <w:pPr>
              <w:widowControl w:val="0"/>
              <w:autoSpaceDE w:val="0"/>
              <w:autoSpaceDN w:val="0"/>
              <w:spacing w:after="0"/>
              <w:ind w:left="150" w:right="146"/>
              <w:jc w:val="center"/>
              <w:rPr>
                <w:rFonts w:eastAsia="Arial" w:cs="Arial"/>
                <w:sz w:val="20"/>
                <w:szCs w:val="22"/>
              </w:rPr>
            </w:pPr>
            <w:r w:rsidRPr="001E0040">
              <w:rPr>
                <w:rFonts w:eastAsia="Arial" w:cs="Arial"/>
                <w:spacing w:val="-4"/>
                <w:sz w:val="20"/>
                <w:szCs w:val="22"/>
              </w:rPr>
              <w:t>0.05</w:t>
            </w:r>
          </w:p>
        </w:tc>
        <w:tc>
          <w:tcPr>
            <w:tcW w:w="962" w:type="dxa"/>
          </w:tcPr>
          <w:p w14:paraId="21A189DA" w14:textId="77777777" w:rsidR="0002605C" w:rsidRPr="001E0040" w:rsidRDefault="0002605C">
            <w:pPr>
              <w:widowControl w:val="0"/>
              <w:autoSpaceDE w:val="0"/>
              <w:autoSpaceDN w:val="0"/>
              <w:spacing w:after="0"/>
              <w:rPr>
                <w:rFonts w:eastAsia="Arial" w:cs="Arial"/>
                <w:b/>
                <w:sz w:val="20"/>
                <w:szCs w:val="22"/>
              </w:rPr>
            </w:pPr>
          </w:p>
          <w:p w14:paraId="4D32373A" w14:textId="77777777" w:rsidR="0002605C" w:rsidRPr="001E0040" w:rsidRDefault="0002605C">
            <w:pPr>
              <w:widowControl w:val="0"/>
              <w:autoSpaceDE w:val="0"/>
              <w:autoSpaceDN w:val="0"/>
              <w:spacing w:after="0"/>
              <w:ind w:left="130" w:right="124"/>
              <w:jc w:val="center"/>
              <w:rPr>
                <w:rFonts w:eastAsia="Arial" w:cs="Arial"/>
                <w:sz w:val="20"/>
                <w:szCs w:val="22"/>
              </w:rPr>
            </w:pPr>
            <w:r w:rsidRPr="001E0040">
              <w:rPr>
                <w:rFonts w:eastAsia="Arial" w:cs="Arial"/>
                <w:spacing w:val="-4"/>
                <w:sz w:val="20"/>
                <w:szCs w:val="22"/>
              </w:rPr>
              <w:t>0.05</w:t>
            </w:r>
          </w:p>
        </w:tc>
      </w:tr>
      <w:tr w:rsidR="0002605C" w:rsidRPr="001E0040" w14:paraId="110A8916" w14:textId="77777777">
        <w:trPr>
          <w:trHeight w:val="460"/>
        </w:trPr>
        <w:tc>
          <w:tcPr>
            <w:tcW w:w="4591" w:type="dxa"/>
          </w:tcPr>
          <w:p w14:paraId="5DA68062" w14:textId="77777777" w:rsidR="0002605C" w:rsidRPr="001E0040" w:rsidRDefault="0002605C">
            <w:pPr>
              <w:widowControl w:val="0"/>
              <w:autoSpaceDE w:val="0"/>
              <w:autoSpaceDN w:val="0"/>
              <w:spacing w:after="0" w:line="230" w:lineRule="exact"/>
              <w:ind w:left="114" w:right="1625"/>
              <w:rPr>
                <w:rFonts w:eastAsia="Arial" w:cs="Arial"/>
                <w:sz w:val="20"/>
                <w:szCs w:val="22"/>
              </w:rPr>
            </w:pPr>
            <w:r w:rsidRPr="001E0040">
              <w:rPr>
                <w:rFonts w:eastAsia="Arial" w:cs="Arial"/>
                <w:i/>
                <w:sz w:val="20"/>
                <w:szCs w:val="22"/>
              </w:rPr>
              <w:t>Haliotis</w:t>
            </w:r>
            <w:r w:rsidRPr="001E0040">
              <w:rPr>
                <w:rFonts w:eastAsia="Arial" w:cs="Arial"/>
                <w:i/>
                <w:spacing w:val="-14"/>
                <w:sz w:val="20"/>
                <w:szCs w:val="22"/>
              </w:rPr>
              <w:t xml:space="preserve"> </w:t>
            </w:r>
            <w:r w:rsidRPr="001E0040">
              <w:rPr>
                <w:rFonts w:eastAsia="Arial" w:cs="Arial"/>
                <w:i/>
                <w:sz w:val="20"/>
                <w:szCs w:val="22"/>
              </w:rPr>
              <w:t>rufescens</w:t>
            </w:r>
            <w:r w:rsidRPr="001E0040">
              <w:rPr>
                <w:rFonts w:eastAsia="Arial" w:cs="Arial"/>
                <w:i/>
                <w:spacing w:val="-13"/>
                <w:sz w:val="20"/>
                <w:szCs w:val="22"/>
              </w:rPr>
              <w:t xml:space="preserve"> </w:t>
            </w:r>
            <w:r w:rsidRPr="001E0040">
              <w:rPr>
                <w:rFonts w:eastAsia="Arial" w:cs="Arial"/>
                <w:sz w:val="20"/>
                <w:szCs w:val="22"/>
              </w:rPr>
              <w:t>(red</w:t>
            </w:r>
            <w:r w:rsidRPr="001E0040">
              <w:rPr>
                <w:rFonts w:eastAsia="Arial" w:cs="Arial"/>
                <w:spacing w:val="-14"/>
                <w:sz w:val="20"/>
                <w:szCs w:val="22"/>
              </w:rPr>
              <w:t xml:space="preserve"> </w:t>
            </w:r>
            <w:r w:rsidRPr="001E0040">
              <w:rPr>
                <w:rFonts w:eastAsia="Arial" w:cs="Arial"/>
                <w:sz w:val="20"/>
                <w:szCs w:val="22"/>
              </w:rPr>
              <w:t>abalone) Larval development</w:t>
            </w:r>
          </w:p>
        </w:tc>
        <w:tc>
          <w:tcPr>
            <w:tcW w:w="1339" w:type="dxa"/>
          </w:tcPr>
          <w:p w14:paraId="579812E1" w14:textId="77777777" w:rsidR="0002605C" w:rsidRPr="001E0040" w:rsidRDefault="0002605C">
            <w:pPr>
              <w:widowControl w:val="0"/>
              <w:autoSpaceDE w:val="0"/>
              <w:autoSpaceDN w:val="0"/>
              <w:spacing w:before="115" w:after="0"/>
              <w:ind w:left="7"/>
              <w:jc w:val="center"/>
              <w:rPr>
                <w:rFonts w:eastAsia="Arial" w:cs="Arial"/>
                <w:sz w:val="20"/>
                <w:szCs w:val="22"/>
              </w:rPr>
            </w:pPr>
            <w:r w:rsidRPr="001E0040">
              <w:rPr>
                <w:rFonts w:eastAsia="Arial" w:cs="Arial"/>
                <w:w w:val="99"/>
                <w:sz w:val="20"/>
                <w:szCs w:val="22"/>
              </w:rPr>
              <w:t>I</w:t>
            </w:r>
          </w:p>
        </w:tc>
        <w:tc>
          <w:tcPr>
            <w:tcW w:w="1245" w:type="dxa"/>
          </w:tcPr>
          <w:p w14:paraId="0019356F" w14:textId="77777777" w:rsidR="0002605C" w:rsidRPr="001E0040" w:rsidRDefault="0002605C">
            <w:pPr>
              <w:widowControl w:val="0"/>
              <w:autoSpaceDE w:val="0"/>
              <w:autoSpaceDN w:val="0"/>
              <w:spacing w:before="115" w:after="0"/>
              <w:ind w:left="227" w:right="222"/>
              <w:jc w:val="center"/>
              <w:rPr>
                <w:rFonts w:eastAsia="Arial" w:cs="Arial"/>
                <w:sz w:val="20"/>
                <w:szCs w:val="22"/>
              </w:rPr>
            </w:pPr>
            <w:r w:rsidRPr="001E0040">
              <w:rPr>
                <w:rFonts w:eastAsia="Arial" w:cs="Arial"/>
                <w:spacing w:val="-4"/>
                <w:sz w:val="20"/>
                <w:szCs w:val="22"/>
              </w:rPr>
              <w:t>0.75</w:t>
            </w:r>
          </w:p>
        </w:tc>
        <w:tc>
          <w:tcPr>
            <w:tcW w:w="1051" w:type="dxa"/>
          </w:tcPr>
          <w:p w14:paraId="622381D1" w14:textId="77777777" w:rsidR="0002605C" w:rsidRPr="001E0040" w:rsidRDefault="0002605C">
            <w:pPr>
              <w:widowControl w:val="0"/>
              <w:autoSpaceDE w:val="0"/>
              <w:autoSpaceDN w:val="0"/>
              <w:spacing w:before="115" w:after="0"/>
              <w:ind w:left="149" w:right="146"/>
              <w:jc w:val="center"/>
              <w:rPr>
                <w:rFonts w:eastAsia="Arial" w:cs="Arial"/>
                <w:sz w:val="20"/>
                <w:szCs w:val="22"/>
              </w:rPr>
            </w:pPr>
            <w:r w:rsidRPr="001E0040">
              <w:rPr>
                <w:rFonts w:eastAsia="Arial" w:cs="Arial"/>
                <w:spacing w:val="-4"/>
                <w:sz w:val="20"/>
                <w:szCs w:val="22"/>
              </w:rPr>
              <w:t>0.05</w:t>
            </w:r>
          </w:p>
        </w:tc>
        <w:tc>
          <w:tcPr>
            <w:tcW w:w="962" w:type="dxa"/>
          </w:tcPr>
          <w:p w14:paraId="07382C5C" w14:textId="77777777" w:rsidR="0002605C" w:rsidRPr="001E0040" w:rsidRDefault="0002605C">
            <w:pPr>
              <w:widowControl w:val="0"/>
              <w:autoSpaceDE w:val="0"/>
              <w:autoSpaceDN w:val="0"/>
              <w:spacing w:before="115" w:after="0"/>
              <w:ind w:left="130" w:right="124"/>
              <w:jc w:val="center"/>
              <w:rPr>
                <w:rFonts w:eastAsia="Arial" w:cs="Arial"/>
                <w:sz w:val="20"/>
                <w:szCs w:val="22"/>
              </w:rPr>
            </w:pPr>
            <w:r w:rsidRPr="001E0040">
              <w:rPr>
                <w:rFonts w:eastAsia="Arial" w:cs="Arial"/>
                <w:spacing w:val="-4"/>
                <w:sz w:val="20"/>
                <w:szCs w:val="22"/>
              </w:rPr>
              <w:t>0.05</w:t>
            </w:r>
          </w:p>
        </w:tc>
      </w:tr>
      <w:tr w:rsidR="0002605C" w:rsidRPr="001E0040" w14:paraId="21224B71" w14:textId="77777777">
        <w:trPr>
          <w:trHeight w:val="690"/>
        </w:trPr>
        <w:tc>
          <w:tcPr>
            <w:tcW w:w="4591" w:type="dxa"/>
          </w:tcPr>
          <w:p w14:paraId="5C39C54A" w14:textId="77777777" w:rsidR="0002605C" w:rsidRPr="001E0040" w:rsidRDefault="0002605C">
            <w:pPr>
              <w:widowControl w:val="0"/>
              <w:autoSpaceDE w:val="0"/>
              <w:autoSpaceDN w:val="0"/>
              <w:spacing w:after="0" w:line="230" w:lineRule="exact"/>
              <w:ind w:left="114" w:right="1625"/>
              <w:rPr>
                <w:rFonts w:eastAsia="Arial" w:cs="Arial"/>
                <w:sz w:val="20"/>
                <w:szCs w:val="22"/>
              </w:rPr>
            </w:pPr>
            <w:r w:rsidRPr="001E0040">
              <w:rPr>
                <w:rFonts w:eastAsia="Arial" w:cs="Arial"/>
                <w:i/>
                <w:sz w:val="20"/>
                <w:szCs w:val="22"/>
              </w:rPr>
              <w:t>Mytilus sp</w:t>
            </w:r>
            <w:r w:rsidRPr="001E0040">
              <w:rPr>
                <w:rFonts w:eastAsia="Arial" w:cs="Arial"/>
                <w:sz w:val="20"/>
                <w:szCs w:val="22"/>
              </w:rPr>
              <w:t>.</w:t>
            </w:r>
            <w:r w:rsidRPr="001E0040">
              <w:rPr>
                <w:rFonts w:eastAsia="Arial" w:cs="Arial"/>
                <w:spacing w:val="40"/>
                <w:sz w:val="20"/>
                <w:szCs w:val="22"/>
              </w:rPr>
              <w:t xml:space="preserve"> </w:t>
            </w:r>
            <w:r w:rsidRPr="001E0040">
              <w:rPr>
                <w:rFonts w:eastAsia="Arial" w:cs="Arial"/>
                <w:sz w:val="20"/>
                <w:szCs w:val="22"/>
              </w:rPr>
              <w:t xml:space="preserve">(mussels); </w:t>
            </w:r>
            <w:r w:rsidRPr="001E0040">
              <w:rPr>
                <w:rFonts w:eastAsia="Arial" w:cs="Arial"/>
                <w:i/>
                <w:sz w:val="20"/>
                <w:szCs w:val="22"/>
              </w:rPr>
              <w:t>Crassostrea</w:t>
            </w:r>
            <w:r w:rsidRPr="001E0040">
              <w:rPr>
                <w:rFonts w:eastAsia="Arial" w:cs="Arial"/>
                <w:i/>
                <w:spacing w:val="-14"/>
                <w:sz w:val="20"/>
                <w:szCs w:val="22"/>
              </w:rPr>
              <w:t xml:space="preserve"> </w:t>
            </w:r>
            <w:r w:rsidRPr="001E0040">
              <w:rPr>
                <w:rFonts w:eastAsia="Arial" w:cs="Arial"/>
                <w:i/>
                <w:sz w:val="20"/>
                <w:szCs w:val="22"/>
              </w:rPr>
              <w:t>gigas</w:t>
            </w:r>
            <w:r w:rsidRPr="001E0040">
              <w:rPr>
                <w:rFonts w:eastAsia="Arial" w:cs="Arial"/>
                <w:i/>
                <w:spacing w:val="-14"/>
                <w:sz w:val="20"/>
                <w:szCs w:val="22"/>
              </w:rPr>
              <w:t xml:space="preserve"> </w:t>
            </w:r>
            <w:r w:rsidRPr="001E0040">
              <w:rPr>
                <w:rFonts w:eastAsia="Arial" w:cs="Arial"/>
                <w:sz w:val="20"/>
                <w:szCs w:val="22"/>
              </w:rPr>
              <w:t>(oyster) Larval development</w:t>
            </w:r>
          </w:p>
        </w:tc>
        <w:tc>
          <w:tcPr>
            <w:tcW w:w="1339" w:type="dxa"/>
          </w:tcPr>
          <w:p w14:paraId="2F529FD8" w14:textId="77777777" w:rsidR="0002605C" w:rsidRPr="001E0040" w:rsidRDefault="0002605C">
            <w:pPr>
              <w:widowControl w:val="0"/>
              <w:autoSpaceDE w:val="0"/>
              <w:autoSpaceDN w:val="0"/>
              <w:spacing w:after="0"/>
              <w:rPr>
                <w:rFonts w:eastAsia="Arial" w:cs="Arial"/>
                <w:b/>
                <w:sz w:val="20"/>
                <w:szCs w:val="22"/>
              </w:rPr>
            </w:pPr>
          </w:p>
          <w:p w14:paraId="0FCAF3E5" w14:textId="77777777" w:rsidR="0002605C" w:rsidRPr="001E0040" w:rsidRDefault="0002605C">
            <w:pPr>
              <w:widowControl w:val="0"/>
              <w:autoSpaceDE w:val="0"/>
              <w:autoSpaceDN w:val="0"/>
              <w:spacing w:after="0"/>
              <w:ind w:left="7"/>
              <w:jc w:val="center"/>
              <w:rPr>
                <w:rFonts w:eastAsia="Arial" w:cs="Arial"/>
                <w:sz w:val="20"/>
                <w:szCs w:val="22"/>
              </w:rPr>
            </w:pPr>
            <w:r w:rsidRPr="001E0040">
              <w:rPr>
                <w:rFonts w:eastAsia="Arial" w:cs="Arial"/>
                <w:w w:val="99"/>
                <w:sz w:val="20"/>
                <w:szCs w:val="22"/>
              </w:rPr>
              <w:t>I</w:t>
            </w:r>
          </w:p>
        </w:tc>
        <w:tc>
          <w:tcPr>
            <w:tcW w:w="1245" w:type="dxa"/>
          </w:tcPr>
          <w:p w14:paraId="77FB442C" w14:textId="77777777" w:rsidR="0002605C" w:rsidRPr="001E0040" w:rsidRDefault="0002605C">
            <w:pPr>
              <w:widowControl w:val="0"/>
              <w:autoSpaceDE w:val="0"/>
              <w:autoSpaceDN w:val="0"/>
              <w:spacing w:after="0"/>
              <w:rPr>
                <w:rFonts w:eastAsia="Arial" w:cs="Arial"/>
                <w:b/>
                <w:sz w:val="20"/>
                <w:szCs w:val="22"/>
              </w:rPr>
            </w:pPr>
          </w:p>
          <w:p w14:paraId="7D733DB9" w14:textId="77777777" w:rsidR="0002605C" w:rsidRPr="001E0040" w:rsidRDefault="0002605C">
            <w:pPr>
              <w:widowControl w:val="0"/>
              <w:autoSpaceDE w:val="0"/>
              <w:autoSpaceDN w:val="0"/>
              <w:spacing w:after="0"/>
              <w:ind w:left="227" w:right="222"/>
              <w:jc w:val="center"/>
              <w:rPr>
                <w:rFonts w:eastAsia="Arial" w:cs="Arial"/>
                <w:sz w:val="20"/>
                <w:szCs w:val="22"/>
              </w:rPr>
            </w:pPr>
            <w:r w:rsidRPr="001E0040">
              <w:rPr>
                <w:rFonts w:eastAsia="Arial" w:cs="Arial"/>
                <w:spacing w:val="-4"/>
                <w:sz w:val="20"/>
                <w:szCs w:val="22"/>
              </w:rPr>
              <w:t>0.75</w:t>
            </w:r>
          </w:p>
        </w:tc>
        <w:tc>
          <w:tcPr>
            <w:tcW w:w="1051" w:type="dxa"/>
          </w:tcPr>
          <w:p w14:paraId="4913D838" w14:textId="77777777" w:rsidR="0002605C" w:rsidRPr="001E0040" w:rsidRDefault="0002605C">
            <w:pPr>
              <w:widowControl w:val="0"/>
              <w:autoSpaceDE w:val="0"/>
              <w:autoSpaceDN w:val="0"/>
              <w:spacing w:after="0"/>
              <w:rPr>
                <w:rFonts w:eastAsia="Arial" w:cs="Arial"/>
                <w:b/>
                <w:sz w:val="20"/>
                <w:szCs w:val="22"/>
              </w:rPr>
            </w:pPr>
          </w:p>
          <w:p w14:paraId="195AB97B" w14:textId="77777777" w:rsidR="0002605C" w:rsidRPr="001E0040" w:rsidRDefault="0002605C">
            <w:pPr>
              <w:widowControl w:val="0"/>
              <w:autoSpaceDE w:val="0"/>
              <w:autoSpaceDN w:val="0"/>
              <w:spacing w:after="0"/>
              <w:ind w:left="149" w:right="146"/>
              <w:jc w:val="center"/>
              <w:rPr>
                <w:rFonts w:eastAsia="Arial" w:cs="Arial"/>
                <w:sz w:val="20"/>
                <w:szCs w:val="22"/>
              </w:rPr>
            </w:pPr>
            <w:r w:rsidRPr="001E0040">
              <w:rPr>
                <w:rFonts w:eastAsia="Arial" w:cs="Arial"/>
                <w:spacing w:val="-4"/>
                <w:sz w:val="20"/>
                <w:szCs w:val="22"/>
              </w:rPr>
              <w:t>0.05</w:t>
            </w:r>
          </w:p>
        </w:tc>
        <w:tc>
          <w:tcPr>
            <w:tcW w:w="962" w:type="dxa"/>
          </w:tcPr>
          <w:p w14:paraId="488A750E" w14:textId="77777777" w:rsidR="0002605C" w:rsidRPr="001E0040" w:rsidRDefault="0002605C">
            <w:pPr>
              <w:widowControl w:val="0"/>
              <w:autoSpaceDE w:val="0"/>
              <w:autoSpaceDN w:val="0"/>
              <w:spacing w:after="0"/>
              <w:rPr>
                <w:rFonts w:eastAsia="Arial" w:cs="Arial"/>
                <w:b/>
                <w:sz w:val="20"/>
                <w:szCs w:val="22"/>
              </w:rPr>
            </w:pPr>
          </w:p>
          <w:p w14:paraId="02B97DF8" w14:textId="77777777" w:rsidR="0002605C" w:rsidRPr="001E0040" w:rsidRDefault="0002605C">
            <w:pPr>
              <w:widowControl w:val="0"/>
              <w:autoSpaceDE w:val="0"/>
              <w:autoSpaceDN w:val="0"/>
              <w:spacing w:after="0"/>
              <w:ind w:left="130" w:right="124"/>
              <w:jc w:val="center"/>
              <w:rPr>
                <w:rFonts w:eastAsia="Arial" w:cs="Arial"/>
                <w:sz w:val="20"/>
                <w:szCs w:val="22"/>
              </w:rPr>
            </w:pPr>
            <w:r w:rsidRPr="001E0040">
              <w:rPr>
                <w:rFonts w:eastAsia="Arial" w:cs="Arial"/>
                <w:spacing w:val="-4"/>
                <w:sz w:val="20"/>
                <w:szCs w:val="22"/>
              </w:rPr>
              <w:t>0.05</w:t>
            </w:r>
          </w:p>
        </w:tc>
      </w:tr>
      <w:tr w:rsidR="0002605C" w:rsidRPr="001E0040" w14:paraId="76839CD2" w14:textId="77777777">
        <w:trPr>
          <w:trHeight w:val="458"/>
        </w:trPr>
        <w:tc>
          <w:tcPr>
            <w:tcW w:w="4591" w:type="dxa"/>
          </w:tcPr>
          <w:p w14:paraId="3BB4F84F" w14:textId="77777777" w:rsidR="0002605C" w:rsidRPr="001E0040" w:rsidRDefault="0002605C">
            <w:pPr>
              <w:widowControl w:val="0"/>
              <w:autoSpaceDE w:val="0"/>
              <w:autoSpaceDN w:val="0"/>
              <w:spacing w:after="0" w:line="228" w:lineRule="exact"/>
              <w:ind w:left="114" w:right="764"/>
              <w:rPr>
                <w:rFonts w:eastAsia="Arial" w:cs="Arial"/>
                <w:sz w:val="20"/>
                <w:szCs w:val="22"/>
              </w:rPr>
            </w:pPr>
            <w:r w:rsidRPr="001E0040">
              <w:rPr>
                <w:rFonts w:eastAsia="Arial" w:cs="Arial"/>
                <w:i/>
                <w:sz w:val="20"/>
                <w:szCs w:val="22"/>
              </w:rPr>
              <w:t xml:space="preserve">Macrocystis pyrifera </w:t>
            </w:r>
            <w:r w:rsidRPr="001E0040">
              <w:rPr>
                <w:rFonts w:eastAsia="Arial" w:cs="Arial"/>
                <w:sz w:val="20"/>
                <w:szCs w:val="22"/>
              </w:rPr>
              <w:t>(giant kelp) Germination</w:t>
            </w:r>
            <w:r w:rsidRPr="001E0040">
              <w:rPr>
                <w:rFonts w:eastAsia="Arial" w:cs="Arial"/>
                <w:spacing w:val="-14"/>
                <w:sz w:val="20"/>
                <w:szCs w:val="22"/>
              </w:rPr>
              <w:t xml:space="preserve"> </w:t>
            </w:r>
            <w:r w:rsidRPr="001E0040">
              <w:rPr>
                <w:rFonts w:eastAsia="Arial" w:cs="Arial"/>
                <w:sz w:val="20"/>
                <w:szCs w:val="22"/>
              </w:rPr>
              <w:t>and</w:t>
            </w:r>
            <w:r w:rsidRPr="001E0040">
              <w:rPr>
                <w:rFonts w:eastAsia="Arial" w:cs="Arial"/>
                <w:spacing w:val="-13"/>
                <w:sz w:val="20"/>
                <w:szCs w:val="22"/>
              </w:rPr>
              <w:t xml:space="preserve"> </w:t>
            </w:r>
            <w:r w:rsidRPr="001E0040">
              <w:rPr>
                <w:rFonts w:eastAsia="Arial" w:cs="Arial"/>
                <w:sz w:val="20"/>
                <w:szCs w:val="22"/>
              </w:rPr>
              <w:t>germ-tube</w:t>
            </w:r>
            <w:r w:rsidRPr="001E0040">
              <w:rPr>
                <w:rFonts w:eastAsia="Arial" w:cs="Arial"/>
                <w:spacing w:val="-13"/>
                <w:sz w:val="20"/>
                <w:szCs w:val="22"/>
              </w:rPr>
              <w:t xml:space="preserve"> </w:t>
            </w:r>
            <w:r w:rsidRPr="001E0040">
              <w:rPr>
                <w:rFonts w:eastAsia="Arial" w:cs="Arial"/>
                <w:sz w:val="20"/>
                <w:szCs w:val="22"/>
              </w:rPr>
              <w:t>length</w:t>
            </w:r>
          </w:p>
        </w:tc>
        <w:tc>
          <w:tcPr>
            <w:tcW w:w="1339" w:type="dxa"/>
          </w:tcPr>
          <w:p w14:paraId="28A6B968" w14:textId="77777777" w:rsidR="0002605C" w:rsidRPr="001E0040" w:rsidRDefault="0002605C">
            <w:pPr>
              <w:widowControl w:val="0"/>
              <w:autoSpaceDE w:val="0"/>
              <w:autoSpaceDN w:val="0"/>
              <w:spacing w:before="113" w:after="0"/>
              <w:ind w:left="7"/>
              <w:jc w:val="center"/>
              <w:rPr>
                <w:rFonts w:eastAsia="Arial" w:cs="Arial"/>
                <w:sz w:val="20"/>
                <w:szCs w:val="22"/>
              </w:rPr>
            </w:pPr>
            <w:r w:rsidRPr="001E0040">
              <w:rPr>
                <w:rFonts w:eastAsia="Arial" w:cs="Arial"/>
                <w:w w:val="99"/>
                <w:sz w:val="20"/>
                <w:szCs w:val="22"/>
              </w:rPr>
              <w:t>I</w:t>
            </w:r>
          </w:p>
        </w:tc>
        <w:tc>
          <w:tcPr>
            <w:tcW w:w="1245" w:type="dxa"/>
          </w:tcPr>
          <w:p w14:paraId="1F2381EE" w14:textId="77777777" w:rsidR="0002605C" w:rsidRPr="001E0040" w:rsidRDefault="0002605C">
            <w:pPr>
              <w:widowControl w:val="0"/>
              <w:autoSpaceDE w:val="0"/>
              <w:autoSpaceDN w:val="0"/>
              <w:spacing w:before="113" w:after="0"/>
              <w:ind w:left="226" w:right="222"/>
              <w:jc w:val="center"/>
              <w:rPr>
                <w:rFonts w:eastAsia="Arial" w:cs="Arial"/>
                <w:sz w:val="20"/>
                <w:szCs w:val="22"/>
              </w:rPr>
            </w:pPr>
            <w:r w:rsidRPr="001E0040">
              <w:rPr>
                <w:rFonts w:eastAsia="Arial" w:cs="Arial"/>
                <w:spacing w:val="-4"/>
                <w:sz w:val="20"/>
                <w:szCs w:val="22"/>
              </w:rPr>
              <w:t>0.75</w:t>
            </w:r>
          </w:p>
        </w:tc>
        <w:tc>
          <w:tcPr>
            <w:tcW w:w="1051" w:type="dxa"/>
          </w:tcPr>
          <w:p w14:paraId="303C5550" w14:textId="77777777" w:rsidR="0002605C" w:rsidRPr="001E0040" w:rsidRDefault="0002605C">
            <w:pPr>
              <w:widowControl w:val="0"/>
              <w:autoSpaceDE w:val="0"/>
              <w:autoSpaceDN w:val="0"/>
              <w:spacing w:before="113" w:after="0"/>
              <w:ind w:left="149" w:right="146"/>
              <w:jc w:val="center"/>
              <w:rPr>
                <w:rFonts w:eastAsia="Arial" w:cs="Arial"/>
                <w:sz w:val="20"/>
                <w:szCs w:val="22"/>
              </w:rPr>
            </w:pPr>
            <w:r w:rsidRPr="001E0040">
              <w:rPr>
                <w:rFonts w:eastAsia="Arial" w:cs="Arial"/>
                <w:spacing w:val="-4"/>
                <w:sz w:val="20"/>
                <w:szCs w:val="22"/>
              </w:rPr>
              <w:t>0.05</w:t>
            </w:r>
          </w:p>
        </w:tc>
        <w:tc>
          <w:tcPr>
            <w:tcW w:w="962" w:type="dxa"/>
          </w:tcPr>
          <w:p w14:paraId="15A1AD57" w14:textId="77777777" w:rsidR="0002605C" w:rsidRPr="001E0040" w:rsidRDefault="0002605C">
            <w:pPr>
              <w:widowControl w:val="0"/>
              <w:autoSpaceDE w:val="0"/>
              <w:autoSpaceDN w:val="0"/>
              <w:spacing w:before="113" w:after="0"/>
              <w:ind w:left="130" w:right="124"/>
              <w:jc w:val="center"/>
              <w:rPr>
                <w:rFonts w:eastAsia="Arial" w:cs="Arial"/>
                <w:sz w:val="20"/>
                <w:szCs w:val="22"/>
              </w:rPr>
            </w:pPr>
            <w:r w:rsidRPr="001E0040">
              <w:rPr>
                <w:rFonts w:eastAsia="Arial" w:cs="Arial"/>
                <w:spacing w:val="-4"/>
                <w:sz w:val="20"/>
                <w:szCs w:val="22"/>
              </w:rPr>
              <w:t>0.05</w:t>
            </w:r>
          </w:p>
        </w:tc>
      </w:tr>
      <w:tr w:rsidR="0002605C" w:rsidRPr="001E0040" w14:paraId="305F1E86" w14:textId="77777777">
        <w:trPr>
          <w:trHeight w:val="441"/>
        </w:trPr>
        <w:tc>
          <w:tcPr>
            <w:tcW w:w="9188" w:type="dxa"/>
            <w:gridSpan w:val="5"/>
            <w:shd w:val="clear" w:color="auto" w:fill="F1F1F1"/>
          </w:tcPr>
          <w:p w14:paraId="322429AA" w14:textId="77777777" w:rsidR="0002605C" w:rsidRPr="001E0040" w:rsidRDefault="0002605C">
            <w:pPr>
              <w:widowControl w:val="0"/>
              <w:autoSpaceDE w:val="0"/>
              <w:autoSpaceDN w:val="0"/>
              <w:spacing w:before="105" w:after="0"/>
              <w:ind w:left="114"/>
              <w:rPr>
                <w:rFonts w:eastAsia="Arial" w:cs="Arial"/>
                <w:b/>
                <w:sz w:val="20"/>
                <w:szCs w:val="22"/>
              </w:rPr>
            </w:pPr>
            <w:r w:rsidRPr="001E0040">
              <w:rPr>
                <w:rFonts w:eastAsia="Arial" w:cs="Arial"/>
                <w:b/>
                <w:sz w:val="20"/>
                <w:szCs w:val="22"/>
              </w:rPr>
              <w:t>Chronic</w:t>
            </w:r>
            <w:r w:rsidRPr="001E0040">
              <w:rPr>
                <w:rFonts w:eastAsia="Arial" w:cs="Arial"/>
                <w:b/>
                <w:spacing w:val="-6"/>
                <w:sz w:val="20"/>
                <w:szCs w:val="22"/>
              </w:rPr>
              <w:t xml:space="preserve"> </w:t>
            </w:r>
            <w:r w:rsidRPr="001E0040">
              <w:rPr>
                <w:rFonts w:eastAsia="Arial" w:cs="Arial"/>
                <w:b/>
                <w:sz w:val="20"/>
                <w:szCs w:val="22"/>
              </w:rPr>
              <w:t>East</w:t>
            </w:r>
            <w:r w:rsidRPr="001E0040">
              <w:rPr>
                <w:rFonts w:eastAsia="Arial" w:cs="Arial"/>
                <w:b/>
                <w:spacing w:val="-6"/>
                <w:sz w:val="20"/>
                <w:szCs w:val="22"/>
              </w:rPr>
              <w:t xml:space="preserve"> </w:t>
            </w:r>
            <w:r w:rsidRPr="001E0040">
              <w:rPr>
                <w:rFonts w:eastAsia="Arial" w:cs="Arial"/>
                <w:b/>
                <w:sz w:val="20"/>
                <w:szCs w:val="22"/>
              </w:rPr>
              <w:t>Coast</w:t>
            </w:r>
            <w:r w:rsidRPr="001E0040">
              <w:rPr>
                <w:rFonts w:eastAsia="Arial" w:cs="Arial"/>
                <w:b/>
                <w:spacing w:val="-7"/>
                <w:sz w:val="20"/>
                <w:szCs w:val="22"/>
              </w:rPr>
              <w:t xml:space="preserve"> </w:t>
            </w:r>
            <w:r w:rsidRPr="001E0040">
              <w:rPr>
                <w:rFonts w:eastAsia="Arial" w:cs="Arial"/>
                <w:b/>
                <w:sz w:val="20"/>
                <w:szCs w:val="22"/>
              </w:rPr>
              <w:t>Marine</w:t>
            </w:r>
            <w:r w:rsidRPr="001E0040">
              <w:rPr>
                <w:rFonts w:eastAsia="Arial" w:cs="Arial"/>
                <w:b/>
                <w:spacing w:val="-7"/>
                <w:sz w:val="20"/>
                <w:szCs w:val="22"/>
              </w:rPr>
              <w:t xml:space="preserve"> </w:t>
            </w:r>
            <w:r w:rsidRPr="001E0040">
              <w:rPr>
                <w:rFonts w:eastAsia="Arial" w:cs="Arial"/>
                <w:b/>
                <w:spacing w:val="-2"/>
                <w:sz w:val="20"/>
                <w:szCs w:val="22"/>
              </w:rPr>
              <w:t>Methods</w:t>
            </w:r>
          </w:p>
        </w:tc>
      </w:tr>
      <w:tr w:rsidR="0002605C" w:rsidRPr="001E0040" w14:paraId="4663C070" w14:textId="77777777">
        <w:trPr>
          <w:trHeight w:val="460"/>
        </w:trPr>
        <w:tc>
          <w:tcPr>
            <w:tcW w:w="4591" w:type="dxa"/>
          </w:tcPr>
          <w:p w14:paraId="4C22C442" w14:textId="77777777" w:rsidR="0002605C" w:rsidRPr="001E0040" w:rsidRDefault="0002605C">
            <w:pPr>
              <w:widowControl w:val="0"/>
              <w:autoSpaceDE w:val="0"/>
              <w:autoSpaceDN w:val="0"/>
              <w:spacing w:after="0" w:line="230" w:lineRule="exact"/>
              <w:ind w:left="114" w:right="764"/>
              <w:rPr>
                <w:rFonts w:eastAsia="Arial" w:cs="Arial"/>
                <w:sz w:val="20"/>
                <w:szCs w:val="22"/>
              </w:rPr>
            </w:pPr>
            <w:r w:rsidRPr="001E0040">
              <w:rPr>
                <w:rFonts w:eastAsia="Arial" w:cs="Arial"/>
                <w:i/>
                <w:sz w:val="20"/>
                <w:szCs w:val="22"/>
              </w:rPr>
              <w:t>Menidia</w:t>
            </w:r>
            <w:r w:rsidRPr="001E0040">
              <w:rPr>
                <w:rFonts w:eastAsia="Arial" w:cs="Arial"/>
                <w:i/>
                <w:spacing w:val="-14"/>
                <w:sz w:val="20"/>
                <w:szCs w:val="22"/>
              </w:rPr>
              <w:t xml:space="preserve"> </w:t>
            </w:r>
            <w:r w:rsidRPr="001E0040">
              <w:rPr>
                <w:rFonts w:eastAsia="Arial" w:cs="Arial"/>
                <w:i/>
                <w:sz w:val="20"/>
                <w:szCs w:val="22"/>
              </w:rPr>
              <w:t>beryllina</w:t>
            </w:r>
            <w:r w:rsidRPr="001E0040">
              <w:rPr>
                <w:rFonts w:eastAsia="Arial" w:cs="Arial"/>
                <w:i/>
                <w:spacing w:val="-12"/>
                <w:sz w:val="20"/>
                <w:szCs w:val="22"/>
              </w:rPr>
              <w:t xml:space="preserve"> </w:t>
            </w:r>
            <w:r w:rsidRPr="001E0040">
              <w:rPr>
                <w:rFonts w:eastAsia="Arial" w:cs="Arial"/>
                <w:sz w:val="20"/>
                <w:szCs w:val="22"/>
              </w:rPr>
              <w:t>(inland</w:t>
            </w:r>
            <w:r w:rsidRPr="001E0040">
              <w:rPr>
                <w:rFonts w:eastAsia="Arial" w:cs="Arial"/>
                <w:spacing w:val="-14"/>
                <w:sz w:val="20"/>
                <w:szCs w:val="22"/>
              </w:rPr>
              <w:t xml:space="preserve"> </w:t>
            </w:r>
            <w:r w:rsidRPr="001E0040">
              <w:rPr>
                <w:rFonts w:eastAsia="Arial" w:cs="Arial"/>
                <w:sz w:val="20"/>
                <w:szCs w:val="22"/>
              </w:rPr>
              <w:t>silverside) Survival and growth</w:t>
            </w:r>
          </w:p>
        </w:tc>
        <w:tc>
          <w:tcPr>
            <w:tcW w:w="1339" w:type="dxa"/>
          </w:tcPr>
          <w:p w14:paraId="6CD0000D" w14:textId="77777777" w:rsidR="0002605C" w:rsidRPr="001E0040" w:rsidRDefault="0002605C">
            <w:pPr>
              <w:widowControl w:val="0"/>
              <w:autoSpaceDE w:val="0"/>
              <w:autoSpaceDN w:val="0"/>
              <w:spacing w:before="115" w:after="0"/>
              <w:ind w:left="470" w:right="466"/>
              <w:jc w:val="center"/>
              <w:rPr>
                <w:rFonts w:eastAsia="Arial" w:cs="Arial"/>
                <w:sz w:val="20"/>
                <w:szCs w:val="22"/>
              </w:rPr>
            </w:pPr>
            <w:r w:rsidRPr="001E0040">
              <w:rPr>
                <w:rFonts w:eastAsia="Arial" w:cs="Arial"/>
                <w:spacing w:val="-5"/>
                <w:sz w:val="20"/>
                <w:szCs w:val="22"/>
              </w:rPr>
              <w:t>II</w:t>
            </w:r>
          </w:p>
        </w:tc>
        <w:tc>
          <w:tcPr>
            <w:tcW w:w="1245" w:type="dxa"/>
          </w:tcPr>
          <w:p w14:paraId="029ED808" w14:textId="77777777" w:rsidR="0002605C" w:rsidRPr="001E0040" w:rsidRDefault="0002605C">
            <w:pPr>
              <w:widowControl w:val="0"/>
              <w:autoSpaceDE w:val="0"/>
              <w:autoSpaceDN w:val="0"/>
              <w:spacing w:before="115" w:after="0"/>
              <w:ind w:left="226" w:right="222"/>
              <w:jc w:val="center"/>
              <w:rPr>
                <w:rFonts w:eastAsia="Arial" w:cs="Arial"/>
                <w:sz w:val="20"/>
                <w:szCs w:val="22"/>
              </w:rPr>
            </w:pPr>
            <w:r w:rsidRPr="001E0040">
              <w:rPr>
                <w:rFonts w:eastAsia="Arial" w:cs="Arial"/>
                <w:spacing w:val="-4"/>
                <w:sz w:val="20"/>
                <w:szCs w:val="22"/>
              </w:rPr>
              <w:t>0.75</w:t>
            </w:r>
          </w:p>
        </w:tc>
        <w:tc>
          <w:tcPr>
            <w:tcW w:w="1051" w:type="dxa"/>
          </w:tcPr>
          <w:p w14:paraId="22D24E33" w14:textId="77777777" w:rsidR="0002605C" w:rsidRPr="001E0040" w:rsidRDefault="0002605C">
            <w:pPr>
              <w:widowControl w:val="0"/>
              <w:autoSpaceDE w:val="0"/>
              <w:autoSpaceDN w:val="0"/>
              <w:spacing w:before="115" w:after="0"/>
              <w:ind w:left="149" w:right="146"/>
              <w:jc w:val="center"/>
              <w:rPr>
                <w:rFonts w:eastAsia="Arial" w:cs="Arial"/>
                <w:sz w:val="20"/>
                <w:szCs w:val="22"/>
              </w:rPr>
            </w:pPr>
            <w:r w:rsidRPr="001E0040">
              <w:rPr>
                <w:rFonts w:eastAsia="Arial" w:cs="Arial"/>
                <w:spacing w:val="-4"/>
                <w:sz w:val="20"/>
                <w:szCs w:val="22"/>
              </w:rPr>
              <w:t>0.05</w:t>
            </w:r>
          </w:p>
        </w:tc>
        <w:tc>
          <w:tcPr>
            <w:tcW w:w="962" w:type="dxa"/>
          </w:tcPr>
          <w:p w14:paraId="790EC335" w14:textId="77777777" w:rsidR="0002605C" w:rsidRPr="001E0040" w:rsidRDefault="0002605C">
            <w:pPr>
              <w:widowControl w:val="0"/>
              <w:autoSpaceDE w:val="0"/>
              <w:autoSpaceDN w:val="0"/>
              <w:spacing w:before="115" w:after="0"/>
              <w:ind w:left="130" w:right="124"/>
              <w:jc w:val="center"/>
              <w:rPr>
                <w:rFonts w:eastAsia="Arial" w:cs="Arial"/>
                <w:sz w:val="20"/>
                <w:szCs w:val="22"/>
              </w:rPr>
            </w:pPr>
            <w:r w:rsidRPr="001E0040">
              <w:rPr>
                <w:rFonts w:eastAsia="Arial" w:cs="Arial"/>
                <w:spacing w:val="-4"/>
                <w:sz w:val="20"/>
                <w:szCs w:val="22"/>
              </w:rPr>
              <w:t>0.25</w:t>
            </w:r>
          </w:p>
        </w:tc>
      </w:tr>
      <w:tr w:rsidR="0002605C" w:rsidRPr="001E0040" w14:paraId="142BBB4B" w14:textId="77777777">
        <w:trPr>
          <w:trHeight w:val="460"/>
        </w:trPr>
        <w:tc>
          <w:tcPr>
            <w:tcW w:w="4591" w:type="dxa"/>
          </w:tcPr>
          <w:p w14:paraId="7BDA7003" w14:textId="77777777" w:rsidR="0002605C" w:rsidRPr="001E0040" w:rsidRDefault="0002605C">
            <w:pPr>
              <w:widowControl w:val="0"/>
              <w:autoSpaceDE w:val="0"/>
              <w:autoSpaceDN w:val="0"/>
              <w:spacing w:after="0" w:line="230" w:lineRule="exact"/>
              <w:ind w:left="114" w:right="1625"/>
              <w:rPr>
                <w:rFonts w:eastAsia="Arial" w:cs="Arial"/>
                <w:sz w:val="20"/>
                <w:szCs w:val="22"/>
              </w:rPr>
            </w:pPr>
            <w:r w:rsidRPr="001E0040">
              <w:rPr>
                <w:rFonts w:eastAsia="Arial" w:cs="Arial"/>
                <w:i/>
                <w:sz w:val="20"/>
                <w:szCs w:val="22"/>
              </w:rPr>
              <w:t>Americamysis</w:t>
            </w:r>
            <w:r w:rsidRPr="001E0040">
              <w:rPr>
                <w:rFonts w:eastAsia="Arial" w:cs="Arial"/>
                <w:i/>
                <w:spacing w:val="-14"/>
                <w:sz w:val="20"/>
                <w:szCs w:val="22"/>
              </w:rPr>
              <w:t xml:space="preserve"> </w:t>
            </w:r>
            <w:r w:rsidRPr="001E0040">
              <w:rPr>
                <w:rFonts w:eastAsia="Arial" w:cs="Arial"/>
                <w:i/>
                <w:sz w:val="20"/>
                <w:szCs w:val="22"/>
              </w:rPr>
              <w:t>bahia</w:t>
            </w:r>
            <w:r w:rsidRPr="001E0040">
              <w:rPr>
                <w:rFonts w:eastAsia="Arial" w:cs="Arial"/>
                <w:i/>
                <w:spacing w:val="-14"/>
                <w:sz w:val="20"/>
                <w:szCs w:val="22"/>
              </w:rPr>
              <w:t xml:space="preserve"> </w:t>
            </w:r>
            <w:r w:rsidRPr="001E0040">
              <w:rPr>
                <w:rFonts w:eastAsia="Arial" w:cs="Arial"/>
                <w:sz w:val="20"/>
                <w:szCs w:val="22"/>
              </w:rPr>
              <w:t>(mysid) Survival and growth</w:t>
            </w:r>
          </w:p>
        </w:tc>
        <w:tc>
          <w:tcPr>
            <w:tcW w:w="1339" w:type="dxa"/>
          </w:tcPr>
          <w:p w14:paraId="06080F71" w14:textId="77777777" w:rsidR="0002605C" w:rsidRPr="001E0040" w:rsidRDefault="0002605C">
            <w:pPr>
              <w:widowControl w:val="0"/>
              <w:autoSpaceDE w:val="0"/>
              <w:autoSpaceDN w:val="0"/>
              <w:spacing w:before="115" w:after="0"/>
              <w:ind w:left="470" w:right="466"/>
              <w:jc w:val="center"/>
              <w:rPr>
                <w:rFonts w:eastAsia="Arial" w:cs="Arial"/>
                <w:sz w:val="20"/>
                <w:szCs w:val="22"/>
              </w:rPr>
            </w:pPr>
            <w:r w:rsidRPr="001E0040">
              <w:rPr>
                <w:rFonts w:eastAsia="Arial" w:cs="Arial"/>
                <w:spacing w:val="-5"/>
                <w:sz w:val="20"/>
                <w:szCs w:val="22"/>
              </w:rPr>
              <w:t>II</w:t>
            </w:r>
          </w:p>
        </w:tc>
        <w:tc>
          <w:tcPr>
            <w:tcW w:w="1245" w:type="dxa"/>
          </w:tcPr>
          <w:p w14:paraId="7E450856" w14:textId="77777777" w:rsidR="0002605C" w:rsidRPr="001E0040" w:rsidRDefault="0002605C">
            <w:pPr>
              <w:widowControl w:val="0"/>
              <w:autoSpaceDE w:val="0"/>
              <w:autoSpaceDN w:val="0"/>
              <w:spacing w:before="115" w:after="0"/>
              <w:ind w:left="226" w:right="222"/>
              <w:jc w:val="center"/>
              <w:rPr>
                <w:rFonts w:eastAsia="Arial" w:cs="Arial"/>
                <w:sz w:val="20"/>
                <w:szCs w:val="22"/>
              </w:rPr>
            </w:pPr>
            <w:r w:rsidRPr="001E0040">
              <w:rPr>
                <w:rFonts w:eastAsia="Arial" w:cs="Arial"/>
                <w:spacing w:val="-4"/>
                <w:sz w:val="20"/>
                <w:szCs w:val="22"/>
              </w:rPr>
              <w:t>0.75</w:t>
            </w:r>
          </w:p>
        </w:tc>
        <w:tc>
          <w:tcPr>
            <w:tcW w:w="1051" w:type="dxa"/>
          </w:tcPr>
          <w:p w14:paraId="395DC47A" w14:textId="77777777" w:rsidR="0002605C" w:rsidRPr="001E0040" w:rsidRDefault="0002605C">
            <w:pPr>
              <w:widowControl w:val="0"/>
              <w:autoSpaceDE w:val="0"/>
              <w:autoSpaceDN w:val="0"/>
              <w:spacing w:before="115" w:after="0"/>
              <w:ind w:left="149" w:right="146"/>
              <w:jc w:val="center"/>
              <w:rPr>
                <w:rFonts w:eastAsia="Arial" w:cs="Arial"/>
                <w:sz w:val="20"/>
                <w:szCs w:val="22"/>
              </w:rPr>
            </w:pPr>
            <w:r w:rsidRPr="001E0040">
              <w:rPr>
                <w:rFonts w:eastAsia="Arial" w:cs="Arial"/>
                <w:spacing w:val="-4"/>
                <w:sz w:val="20"/>
                <w:szCs w:val="22"/>
              </w:rPr>
              <w:t>0.05</w:t>
            </w:r>
          </w:p>
        </w:tc>
        <w:tc>
          <w:tcPr>
            <w:tcW w:w="962" w:type="dxa"/>
          </w:tcPr>
          <w:p w14:paraId="5D475243" w14:textId="77777777" w:rsidR="0002605C" w:rsidRPr="001E0040" w:rsidRDefault="0002605C">
            <w:pPr>
              <w:widowControl w:val="0"/>
              <w:autoSpaceDE w:val="0"/>
              <w:autoSpaceDN w:val="0"/>
              <w:spacing w:before="115" w:after="0"/>
              <w:ind w:left="130" w:right="124"/>
              <w:jc w:val="center"/>
              <w:rPr>
                <w:rFonts w:eastAsia="Arial" w:cs="Arial"/>
                <w:sz w:val="20"/>
                <w:szCs w:val="22"/>
              </w:rPr>
            </w:pPr>
            <w:r w:rsidRPr="001E0040">
              <w:rPr>
                <w:rFonts w:eastAsia="Arial" w:cs="Arial"/>
                <w:spacing w:val="-4"/>
                <w:sz w:val="20"/>
                <w:szCs w:val="22"/>
              </w:rPr>
              <w:t>0.15</w:t>
            </w:r>
          </w:p>
        </w:tc>
      </w:tr>
      <w:tr w:rsidR="0002605C" w:rsidRPr="001E0040" w14:paraId="282CA7DC" w14:textId="77777777">
        <w:trPr>
          <w:trHeight w:val="402"/>
        </w:trPr>
        <w:tc>
          <w:tcPr>
            <w:tcW w:w="9188" w:type="dxa"/>
            <w:gridSpan w:val="5"/>
            <w:shd w:val="clear" w:color="auto" w:fill="F1F1F1"/>
          </w:tcPr>
          <w:p w14:paraId="6CBCF5C0" w14:textId="77777777" w:rsidR="0002605C" w:rsidRPr="001E0040" w:rsidRDefault="0002605C">
            <w:pPr>
              <w:widowControl w:val="0"/>
              <w:autoSpaceDE w:val="0"/>
              <w:autoSpaceDN w:val="0"/>
              <w:spacing w:before="87" w:after="0"/>
              <w:ind w:left="114"/>
              <w:rPr>
                <w:rFonts w:eastAsia="Arial" w:cs="Arial"/>
                <w:b/>
                <w:sz w:val="20"/>
                <w:szCs w:val="22"/>
              </w:rPr>
            </w:pPr>
            <w:r w:rsidRPr="001E0040">
              <w:rPr>
                <w:rFonts w:eastAsia="Arial" w:cs="Arial"/>
                <w:b/>
                <w:sz w:val="20"/>
                <w:szCs w:val="22"/>
              </w:rPr>
              <w:t>Acute</w:t>
            </w:r>
            <w:r w:rsidRPr="001E0040">
              <w:rPr>
                <w:rFonts w:eastAsia="Arial" w:cs="Arial"/>
                <w:b/>
                <w:spacing w:val="-10"/>
                <w:sz w:val="20"/>
                <w:szCs w:val="22"/>
              </w:rPr>
              <w:t xml:space="preserve"> </w:t>
            </w:r>
            <w:r w:rsidRPr="001E0040">
              <w:rPr>
                <w:rFonts w:eastAsia="Arial" w:cs="Arial"/>
                <w:b/>
                <w:sz w:val="20"/>
                <w:szCs w:val="22"/>
              </w:rPr>
              <w:t>Freshwater</w:t>
            </w:r>
            <w:r w:rsidRPr="001E0040">
              <w:rPr>
                <w:rFonts w:eastAsia="Arial" w:cs="Arial"/>
                <w:b/>
                <w:spacing w:val="-9"/>
                <w:sz w:val="20"/>
                <w:szCs w:val="22"/>
              </w:rPr>
              <w:t xml:space="preserve"> </w:t>
            </w:r>
            <w:r w:rsidRPr="001E0040">
              <w:rPr>
                <w:rFonts w:eastAsia="Arial" w:cs="Arial"/>
                <w:b/>
                <w:spacing w:val="-2"/>
                <w:sz w:val="20"/>
                <w:szCs w:val="22"/>
              </w:rPr>
              <w:t>Methods</w:t>
            </w:r>
          </w:p>
        </w:tc>
      </w:tr>
      <w:tr w:rsidR="0002605C" w:rsidRPr="001E0040" w14:paraId="3FF935F9" w14:textId="77777777">
        <w:trPr>
          <w:trHeight w:val="460"/>
        </w:trPr>
        <w:tc>
          <w:tcPr>
            <w:tcW w:w="4591" w:type="dxa"/>
          </w:tcPr>
          <w:p w14:paraId="543065FB" w14:textId="77777777" w:rsidR="0002605C" w:rsidRPr="001E0040" w:rsidRDefault="0002605C">
            <w:pPr>
              <w:widowControl w:val="0"/>
              <w:autoSpaceDE w:val="0"/>
              <w:autoSpaceDN w:val="0"/>
              <w:spacing w:after="0" w:line="230" w:lineRule="atLeast"/>
              <w:ind w:left="114" w:right="985"/>
              <w:rPr>
                <w:rFonts w:eastAsia="Arial" w:cs="Arial"/>
                <w:sz w:val="20"/>
                <w:szCs w:val="22"/>
              </w:rPr>
            </w:pPr>
            <w:r w:rsidRPr="001E0040">
              <w:rPr>
                <w:rFonts w:eastAsia="Arial" w:cs="Arial"/>
                <w:i/>
                <w:sz w:val="20"/>
                <w:szCs w:val="22"/>
              </w:rPr>
              <w:t>Ceriodaphnia</w:t>
            </w:r>
            <w:r w:rsidRPr="001E0040">
              <w:rPr>
                <w:rFonts w:eastAsia="Arial" w:cs="Arial"/>
                <w:i/>
                <w:spacing w:val="-14"/>
                <w:sz w:val="20"/>
                <w:szCs w:val="22"/>
              </w:rPr>
              <w:t xml:space="preserve"> </w:t>
            </w:r>
            <w:r w:rsidRPr="001E0040">
              <w:rPr>
                <w:rFonts w:eastAsia="Arial" w:cs="Arial"/>
                <w:i/>
                <w:sz w:val="20"/>
                <w:szCs w:val="22"/>
              </w:rPr>
              <w:t>dubia</w:t>
            </w:r>
            <w:r w:rsidRPr="001E0040">
              <w:rPr>
                <w:rFonts w:eastAsia="Arial" w:cs="Arial"/>
                <w:i/>
                <w:spacing w:val="-14"/>
                <w:sz w:val="20"/>
                <w:szCs w:val="22"/>
              </w:rPr>
              <w:t xml:space="preserve"> </w:t>
            </w:r>
            <w:r w:rsidRPr="001E0040">
              <w:rPr>
                <w:rFonts w:eastAsia="Arial" w:cs="Arial"/>
                <w:sz w:val="20"/>
                <w:szCs w:val="22"/>
              </w:rPr>
              <w:t>(water</w:t>
            </w:r>
            <w:r w:rsidRPr="001E0040">
              <w:rPr>
                <w:rFonts w:eastAsia="Arial" w:cs="Arial"/>
                <w:spacing w:val="-12"/>
                <w:sz w:val="20"/>
                <w:szCs w:val="22"/>
              </w:rPr>
              <w:t xml:space="preserve"> </w:t>
            </w:r>
            <w:r w:rsidRPr="001E0040">
              <w:rPr>
                <w:rFonts w:eastAsia="Arial" w:cs="Arial"/>
                <w:sz w:val="20"/>
                <w:szCs w:val="22"/>
              </w:rPr>
              <w:t xml:space="preserve">flea); </w:t>
            </w:r>
            <w:r w:rsidRPr="001E0040">
              <w:rPr>
                <w:rFonts w:eastAsia="Arial" w:cs="Arial"/>
                <w:spacing w:val="-2"/>
                <w:sz w:val="20"/>
                <w:szCs w:val="22"/>
              </w:rPr>
              <w:t>Survival</w:t>
            </w:r>
          </w:p>
        </w:tc>
        <w:tc>
          <w:tcPr>
            <w:tcW w:w="1339" w:type="dxa"/>
          </w:tcPr>
          <w:p w14:paraId="5FC53DD3" w14:textId="77777777" w:rsidR="0002605C" w:rsidRPr="001E0040" w:rsidRDefault="0002605C">
            <w:pPr>
              <w:widowControl w:val="0"/>
              <w:autoSpaceDE w:val="0"/>
              <w:autoSpaceDN w:val="0"/>
              <w:spacing w:before="115" w:after="0"/>
              <w:ind w:left="7"/>
              <w:jc w:val="center"/>
              <w:rPr>
                <w:rFonts w:eastAsia="Arial" w:cs="Arial"/>
                <w:sz w:val="20"/>
                <w:szCs w:val="22"/>
              </w:rPr>
            </w:pPr>
            <w:r w:rsidRPr="001E0040">
              <w:rPr>
                <w:rFonts w:eastAsia="Arial" w:cs="Arial"/>
                <w:w w:val="99"/>
                <w:sz w:val="20"/>
                <w:szCs w:val="22"/>
              </w:rPr>
              <w:t>I</w:t>
            </w:r>
          </w:p>
        </w:tc>
        <w:tc>
          <w:tcPr>
            <w:tcW w:w="1245" w:type="dxa"/>
          </w:tcPr>
          <w:p w14:paraId="2CE1BA38" w14:textId="77777777" w:rsidR="0002605C" w:rsidRPr="001E0040" w:rsidRDefault="0002605C">
            <w:pPr>
              <w:widowControl w:val="0"/>
              <w:autoSpaceDE w:val="0"/>
              <w:autoSpaceDN w:val="0"/>
              <w:spacing w:before="115" w:after="0"/>
              <w:ind w:left="226" w:right="222"/>
              <w:jc w:val="center"/>
              <w:rPr>
                <w:rFonts w:eastAsia="Arial" w:cs="Arial"/>
                <w:sz w:val="20"/>
                <w:szCs w:val="22"/>
              </w:rPr>
            </w:pPr>
            <w:r w:rsidRPr="001E0040">
              <w:rPr>
                <w:rFonts w:eastAsia="Arial" w:cs="Arial"/>
                <w:spacing w:val="-4"/>
                <w:sz w:val="20"/>
                <w:szCs w:val="22"/>
              </w:rPr>
              <w:t>0.80</w:t>
            </w:r>
          </w:p>
        </w:tc>
        <w:tc>
          <w:tcPr>
            <w:tcW w:w="1051" w:type="dxa"/>
          </w:tcPr>
          <w:p w14:paraId="6AB1C5C4" w14:textId="77777777" w:rsidR="0002605C" w:rsidRPr="001E0040" w:rsidRDefault="0002605C">
            <w:pPr>
              <w:widowControl w:val="0"/>
              <w:autoSpaceDE w:val="0"/>
              <w:autoSpaceDN w:val="0"/>
              <w:spacing w:before="115" w:after="0"/>
              <w:ind w:left="149" w:right="146"/>
              <w:jc w:val="center"/>
              <w:rPr>
                <w:rFonts w:eastAsia="Arial" w:cs="Arial"/>
                <w:sz w:val="20"/>
                <w:szCs w:val="22"/>
              </w:rPr>
            </w:pPr>
            <w:r w:rsidRPr="001E0040">
              <w:rPr>
                <w:rFonts w:eastAsia="Arial" w:cs="Arial"/>
                <w:spacing w:val="-4"/>
                <w:sz w:val="20"/>
                <w:szCs w:val="22"/>
              </w:rPr>
              <w:t>0.05</w:t>
            </w:r>
          </w:p>
        </w:tc>
        <w:tc>
          <w:tcPr>
            <w:tcW w:w="962" w:type="dxa"/>
          </w:tcPr>
          <w:p w14:paraId="40FCDEB9" w14:textId="77777777" w:rsidR="0002605C" w:rsidRPr="001E0040" w:rsidRDefault="0002605C">
            <w:pPr>
              <w:widowControl w:val="0"/>
              <w:autoSpaceDE w:val="0"/>
              <w:autoSpaceDN w:val="0"/>
              <w:spacing w:before="115" w:after="0"/>
              <w:ind w:left="130" w:right="124"/>
              <w:jc w:val="center"/>
              <w:rPr>
                <w:rFonts w:eastAsia="Arial" w:cs="Arial"/>
                <w:sz w:val="20"/>
                <w:szCs w:val="22"/>
              </w:rPr>
            </w:pPr>
            <w:r w:rsidRPr="001E0040">
              <w:rPr>
                <w:rFonts w:eastAsia="Arial" w:cs="Arial"/>
                <w:spacing w:val="-4"/>
                <w:sz w:val="20"/>
                <w:szCs w:val="22"/>
              </w:rPr>
              <w:t>0.10</w:t>
            </w:r>
          </w:p>
        </w:tc>
      </w:tr>
      <w:tr w:rsidR="0002605C" w:rsidRPr="001E0040" w14:paraId="56EE933F" w14:textId="77777777">
        <w:trPr>
          <w:trHeight w:val="690"/>
        </w:trPr>
        <w:tc>
          <w:tcPr>
            <w:tcW w:w="4591" w:type="dxa"/>
          </w:tcPr>
          <w:p w14:paraId="56987855" w14:textId="77777777" w:rsidR="0002605C" w:rsidRPr="001E0040" w:rsidRDefault="0002605C">
            <w:pPr>
              <w:widowControl w:val="0"/>
              <w:autoSpaceDE w:val="0"/>
              <w:autoSpaceDN w:val="0"/>
              <w:spacing w:after="0" w:line="230" w:lineRule="atLeast"/>
              <w:ind w:left="114" w:right="1625"/>
              <w:rPr>
                <w:rFonts w:eastAsia="Arial" w:cs="Arial"/>
                <w:sz w:val="20"/>
                <w:szCs w:val="22"/>
              </w:rPr>
            </w:pPr>
            <w:r w:rsidRPr="001E0040">
              <w:rPr>
                <w:rFonts w:eastAsia="Arial" w:cs="Arial"/>
                <w:i/>
                <w:sz w:val="20"/>
                <w:szCs w:val="22"/>
              </w:rPr>
              <w:t>Daphnia</w:t>
            </w:r>
            <w:r w:rsidRPr="001E0040">
              <w:rPr>
                <w:rFonts w:eastAsia="Arial" w:cs="Arial"/>
                <w:i/>
                <w:spacing w:val="-12"/>
                <w:sz w:val="20"/>
                <w:szCs w:val="22"/>
              </w:rPr>
              <w:t xml:space="preserve"> </w:t>
            </w:r>
            <w:r w:rsidRPr="001E0040">
              <w:rPr>
                <w:rFonts w:eastAsia="Arial" w:cs="Arial"/>
                <w:i/>
                <w:sz w:val="20"/>
                <w:szCs w:val="22"/>
              </w:rPr>
              <w:t>magna</w:t>
            </w:r>
            <w:r w:rsidRPr="001E0040">
              <w:rPr>
                <w:rFonts w:eastAsia="Arial" w:cs="Arial"/>
                <w:i/>
                <w:spacing w:val="-12"/>
                <w:sz w:val="20"/>
                <w:szCs w:val="22"/>
              </w:rPr>
              <w:t xml:space="preserve"> </w:t>
            </w:r>
            <w:r w:rsidRPr="001E0040">
              <w:rPr>
                <w:rFonts w:eastAsia="Arial" w:cs="Arial"/>
                <w:sz w:val="20"/>
                <w:szCs w:val="22"/>
              </w:rPr>
              <w:t>(water</w:t>
            </w:r>
            <w:r w:rsidRPr="001E0040">
              <w:rPr>
                <w:rFonts w:eastAsia="Arial" w:cs="Arial"/>
                <w:spacing w:val="-13"/>
                <w:sz w:val="20"/>
                <w:szCs w:val="22"/>
              </w:rPr>
              <w:t xml:space="preserve"> </w:t>
            </w:r>
            <w:r w:rsidRPr="001E0040">
              <w:rPr>
                <w:rFonts w:eastAsia="Arial" w:cs="Arial"/>
                <w:sz w:val="20"/>
                <w:szCs w:val="22"/>
              </w:rPr>
              <w:t xml:space="preserve">flea); </w:t>
            </w:r>
            <w:r w:rsidRPr="001E0040">
              <w:rPr>
                <w:rFonts w:eastAsia="Arial" w:cs="Arial"/>
                <w:i/>
                <w:sz w:val="20"/>
                <w:szCs w:val="22"/>
              </w:rPr>
              <w:t xml:space="preserve">Daphnia pulex </w:t>
            </w:r>
            <w:r w:rsidRPr="001E0040">
              <w:rPr>
                <w:rFonts w:eastAsia="Arial" w:cs="Arial"/>
                <w:sz w:val="20"/>
                <w:szCs w:val="22"/>
              </w:rPr>
              <w:t xml:space="preserve">(water flea); </w:t>
            </w:r>
            <w:r w:rsidRPr="001E0040">
              <w:rPr>
                <w:rFonts w:eastAsia="Arial" w:cs="Arial"/>
                <w:spacing w:val="-2"/>
                <w:sz w:val="20"/>
                <w:szCs w:val="22"/>
              </w:rPr>
              <w:t>Survival</w:t>
            </w:r>
          </w:p>
        </w:tc>
        <w:tc>
          <w:tcPr>
            <w:tcW w:w="1339" w:type="dxa"/>
          </w:tcPr>
          <w:p w14:paraId="324D3DC8" w14:textId="77777777" w:rsidR="0002605C" w:rsidRPr="001E0040" w:rsidRDefault="0002605C">
            <w:pPr>
              <w:widowControl w:val="0"/>
              <w:autoSpaceDE w:val="0"/>
              <w:autoSpaceDN w:val="0"/>
              <w:spacing w:after="0"/>
              <w:rPr>
                <w:rFonts w:eastAsia="Arial" w:cs="Arial"/>
                <w:b/>
                <w:sz w:val="20"/>
                <w:szCs w:val="22"/>
              </w:rPr>
            </w:pPr>
          </w:p>
          <w:p w14:paraId="5847E085" w14:textId="77777777" w:rsidR="0002605C" w:rsidRPr="001E0040" w:rsidRDefault="0002605C">
            <w:pPr>
              <w:widowControl w:val="0"/>
              <w:autoSpaceDE w:val="0"/>
              <w:autoSpaceDN w:val="0"/>
              <w:spacing w:before="1" w:after="0"/>
              <w:ind w:left="7"/>
              <w:jc w:val="center"/>
              <w:rPr>
                <w:rFonts w:eastAsia="Arial" w:cs="Arial"/>
                <w:sz w:val="20"/>
                <w:szCs w:val="22"/>
              </w:rPr>
            </w:pPr>
            <w:r w:rsidRPr="001E0040">
              <w:rPr>
                <w:rFonts w:eastAsia="Arial" w:cs="Arial"/>
                <w:w w:val="99"/>
                <w:sz w:val="20"/>
                <w:szCs w:val="22"/>
              </w:rPr>
              <w:t>I</w:t>
            </w:r>
          </w:p>
        </w:tc>
        <w:tc>
          <w:tcPr>
            <w:tcW w:w="1245" w:type="dxa"/>
          </w:tcPr>
          <w:p w14:paraId="587D375D" w14:textId="77777777" w:rsidR="0002605C" w:rsidRPr="001E0040" w:rsidRDefault="0002605C">
            <w:pPr>
              <w:widowControl w:val="0"/>
              <w:autoSpaceDE w:val="0"/>
              <w:autoSpaceDN w:val="0"/>
              <w:spacing w:after="0"/>
              <w:rPr>
                <w:rFonts w:eastAsia="Arial" w:cs="Arial"/>
                <w:b/>
                <w:sz w:val="20"/>
                <w:szCs w:val="22"/>
              </w:rPr>
            </w:pPr>
          </w:p>
          <w:p w14:paraId="56C1DDF3" w14:textId="77777777" w:rsidR="0002605C" w:rsidRPr="001E0040" w:rsidRDefault="0002605C">
            <w:pPr>
              <w:widowControl w:val="0"/>
              <w:autoSpaceDE w:val="0"/>
              <w:autoSpaceDN w:val="0"/>
              <w:spacing w:before="1" w:after="0"/>
              <w:ind w:left="226" w:right="222"/>
              <w:jc w:val="center"/>
              <w:rPr>
                <w:rFonts w:eastAsia="Arial" w:cs="Arial"/>
                <w:sz w:val="20"/>
                <w:szCs w:val="22"/>
              </w:rPr>
            </w:pPr>
            <w:r w:rsidRPr="001E0040">
              <w:rPr>
                <w:rFonts w:eastAsia="Arial" w:cs="Arial"/>
                <w:spacing w:val="-4"/>
                <w:sz w:val="20"/>
                <w:szCs w:val="22"/>
              </w:rPr>
              <w:t>0.80</w:t>
            </w:r>
          </w:p>
        </w:tc>
        <w:tc>
          <w:tcPr>
            <w:tcW w:w="1051" w:type="dxa"/>
          </w:tcPr>
          <w:p w14:paraId="666C9415" w14:textId="77777777" w:rsidR="0002605C" w:rsidRPr="001E0040" w:rsidRDefault="0002605C">
            <w:pPr>
              <w:widowControl w:val="0"/>
              <w:autoSpaceDE w:val="0"/>
              <w:autoSpaceDN w:val="0"/>
              <w:spacing w:after="0"/>
              <w:rPr>
                <w:rFonts w:eastAsia="Arial" w:cs="Arial"/>
                <w:b/>
                <w:sz w:val="20"/>
                <w:szCs w:val="22"/>
              </w:rPr>
            </w:pPr>
          </w:p>
          <w:p w14:paraId="6E79DD8A" w14:textId="77777777" w:rsidR="0002605C" w:rsidRPr="001E0040" w:rsidRDefault="0002605C">
            <w:pPr>
              <w:widowControl w:val="0"/>
              <w:autoSpaceDE w:val="0"/>
              <w:autoSpaceDN w:val="0"/>
              <w:spacing w:before="1" w:after="0"/>
              <w:ind w:left="149" w:right="146"/>
              <w:jc w:val="center"/>
              <w:rPr>
                <w:rFonts w:eastAsia="Arial" w:cs="Arial"/>
                <w:sz w:val="20"/>
                <w:szCs w:val="22"/>
              </w:rPr>
            </w:pPr>
            <w:r w:rsidRPr="001E0040">
              <w:rPr>
                <w:rFonts w:eastAsia="Arial" w:cs="Arial"/>
                <w:spacing w:val="-4"/>
                <w:sz w:val="20"/>
                <w:szCs w:val="22"/>
              </w:rPr>
              <w:t>0.05</w:t>
            </w:r>
          </w:p>
        </w:tc>
        <w:tc>
          <w:tcPr>
            <w:tcW w:w="962" w:type="dxa"/>
          </w:tcPr>
          <w:p w14:paraId="5434F742" w14:textId="77777777" w:rsidR="0002605C" w:rsidRPr="001E0040" w:rsidRDefault="0002605C">
            <w:pPr>
              <w:widowControl w:val="0"/>
              <w:autoSpaceDE w:val="0"/>
              <w:autoSpaceDN w:val="0"/>
              <w:spacing w:after="0"/>
              <w:rPr>
                <w:rFonts w:eastAsia="Arial" w:cs="Arial"/>
                <w:b/>
                <w:sz w:val="20"/>
                <w:szCs w:val="22"/>
              </w:rPr>
            </w:pPr>
          </w:p>
          <w:p w14:paraId="0EFE9032" w14:textId="77777777" w:rsidR="0002605C" w:rsidRPr="001E0040" w:rsidRDefault="0002605C">
            <w:pPr>
              <w:widowControl w:val="0"/>
              <w:autoSpaceDE w:val="0"/>
              <w:autoSpaceDN w:val="0"/>
              <w:spacing w:before="1" w:after="0"/>
              <w:ind w:left="130" w:right="124"/>
              <w:jc w:val="center"/>
              <w:rPr>
                <w:rFonts w:eastAsia="Arial" w:cs="Arial"/>
                <w:sz w:val="20"/>
                <w:szCs w:val="22"/>
              </w:rPr>
            </w:pPr>
            <w:r w:rsidRPr="001E0040">
              <w:rPr>
                <w:rFonts w:eastAsia="Arial" w:cs="Arial"/>
                <w:spacing w:val="-4"/>
                <w:sz w:val="20"/>
                <w:szCs w:val="22"/>
              </w:rPr>
              <w:t>0.10</w:t>
            </w:r>
          </w:p>
        </w:tc>
      </w:tr>
      <w:tr w:rsidR="0002605C" w:rsidRPr="001E0040" w14:paraId="78B9154C" w14:textId="77777777">
        <w:trPr>
          <w:trHeight w:val="458"/>
        </w:trPr>
        <w:tc>
          <w:tcPr>
            <w:tcW w:w="4591" w:type="dxa"/>
          </w:tcPr>
          <w:p w14:paraId="1993C3DC" w14:textId="77777777" w:rsidR="0002605C" w:rsidRPr="001E0040" w:rsidRDefault="0002605C">
            <w:pPr>
              <w:widowControl w:val="0"/>
              <w:autoSpaceDE w:val="0"/>
              <w:autoSpaceDN w:val="0"/>
              <w:spacing w:after="0" w:line="230" w:lineRule="exact"/>
              <w:ind w:left="114" w:right="1625"/>
              <w:rPr>
                <w:rFonts w:eastAsia="Arial" w:cs="Arial"/>
                <w:sz w:val="20"/>
                <w:szCs w:val="22"/>
              </w:rPr>
            </w:pPr>
            <w:r w:rsidRPr="001E0040">
              <w:rPr>
                <w:rFonts w:eastAsia="Arial" w:cs="Arial"/>
                <w:i/>
                <w:sz w:val="20"/>
                <w:szCs w:val="22"/>
              </w:rPr>
              <w:t>Hyalella</w:t>
            </w:r>
            <w:r w:rsidRPr="001E0040">
              <w:rPr>
                <w:rFonts w:eastAsia="Arial" w:cs="Arial"/>
                <w:i/>
                <w:spacing w:val="-14"/>
                <w:sz w:val="20"/>
                <w:szCs w:val="22"/>
              </w:rPr>
              <w:t xml:space="preserve"> </w:t>
            </w:r>
            <w:r w:rsidRPr="001E0040">
              <w:rPr>
                <w:rFonts w:eastAsia="Arial" w:cs="Arial"/>
                <w:i/>
                <w:sz w:val="20"/>
                <w:szCs w:val="22"/>
              </w:rPr>
              <w:t>azteca</w:t>
            </w:r>
            <w:r w:rsidRPr="001E0040">
              <w:rPr>
                <w:rFonts w:eastAsia="Arial" w:cs="Arial"/>
                <w:i/>
                <w:spacing w:val="-14"/>
                <w:sz w:val="20"/>
                <w:szCs w:val="22"/>
              </w:rPr>
              <w:t xml:space="preserve"> </w:t>
            </w:r>
            <w:r w:rsidRPr="001E0040">
              <w:rPr>
                <w:rFonts w:eastAsia="Arial" w:cs="Arial"/>
                <w:sz w:val="20"/>
                <w:szCs w:val="22"/>
              </w:rPr>
              <w:t xml:space="preserve">(amphipod) </w:t>
            </w:r>
            <w:r w:rsidRPr="001E0040">
              <w:rPr>
                <w:rFonts w:eastAsia="Arial" w:cs="Arial"/>
                <w:spacing w:val="-2"/>
                <w:sz w:val="20"/>
                <w:szCs w:val="22"/>
              </w:rPr>
              <w:t>Survival</w:t>
            </w:r>
          </w:p>
        </w:tc>
        <w:tc>
          <w:tcPr>
            <w:tcW w:w="1339" w:type="dxa"/>
          </w:tcPr>
          <w:p w14:paraId="54CD9EF2" w14:textId="77777777" w:rsidR="0002605C" w:rsidRPr="001E0040" w:rsidRDefault="0002605C">
            <w:pPr>
              <w:widowControl w:val="0"/>
              <w:autoSpaceDE w:val="0"/>
              <w:autoSpaceDN w:val="0"/>
              <w:spacing w:before="113" w:after="0"/>
              <w:ind w:left="7"/>
              <w:jc w:val="center"/>
              <w:rPr>
                <w:rFonts w:eastAsia="Arial" w:cs="Arial"/>
                <w:sz w:val="20"/>
                <w:szCs w:val="22"/>
              </w:rPr>
            </w:pPr>
            <w:r w:rsidRPr="001E0040">
              <w:rPr>
                <w:rFonts w:eastAsia="Arial" w:cs="Arial"/>
                <w:w w:val="99"/>
                <w:sz w:val="20"/>
                <w:szCs w:val="22"/>
              </w:rPr>
              <w:t>I</w:t>
            </w:r>
          </w:p>
        </w:tc>
        <w:tc>
          <w:tcPr>
            <w:tcW w:w="1245" w:type="dxa"/>
          </w:tcPr>
          <w:p w14:paraId="6F578373" w14:textId="77777777" w:rsidR="0002605C" w:rsidRPr="001E0040" w:rsidRDefault="0002605C">
            <w:pPr>
              <w:widowControl w:val="0"/>
              <w:autoSpaceDE w:val="0"/>
              <w:autoSpaceDN w:val="0"/>
              <w:spacing w:before="113" w:after="0"/>
              <w:ind w:left="226" w:right="222"/>
              <w:jc w:val="center"/>
              <w:rPr>
                <w:rFonts w:eastAsia="Arial" w:cs="Arial"/>
                <w:sz w:val="20"/>
                <w:szCs w:val="22"/>
              </w:rPr>
            </w:pPr>
            <w:r w:rsidRPr="001E0040">
              <w:rPr>
                <w:rFonts w:eastAsia="Arial" w:cs="Arial"/>
                <w:spacing w:val="-4"/>
                <w:sz w:val="20"/>
                <w:szCs w:val="22"/>
              </w:rPr>
              <w:t>0.80</w:t>
            </w:r>
          </w:p>
        </w:tc>
        <w:tc>
          <w:tcPr>
            <w:tcW w:w="1051" w:type="dxa"/>
          </w:tcPr>
          <w:p w14:paraId="0B5AD54E" w14:textId="77777777" w:rsidR="0002605C" w:rsidRPr="001E0040" w:rsidRDefault="0002605C">
            <w:pPr>
              <w:widowControl w:val="0"/>
              <w:autoSpaceDE w:val="0"/>
              <w:autoSpaceDN w:val="0"/>
              <w:spacing w:before="113" w:after="0"/>
              <w:ind w:left="149" w:right="146"/>
              <w:jc w:val="center"/>
              <w:rPr>
                <w:rFonts w:eastAsia="Arial" w:cs="Arial"/>
                <w:sz w:val="20"/>
                <w:szCs w:val="22"/>
              </w:rPr>
            </w:pPr>
            <w:r w:rsidRPr="001E0040">
              <w:rPr>
                <w:rFonts w:eastAsia="Arial" w:cs="Arial"/>
                <w:spacing w:val="-4"/>
                <w:sz w:val="20"/>
                <w:szCs w:val="22"/>
              </w:rPr>
              <w:t>0.05</w:t>
            </w:r>
          </w:p>
        </w:tc>
        <w:tc>
          <w:tcPr>
            <w:tcW w:w="962" w:type="dxa"/>
          </w:tcPr>
          <w:p w14:paraId="36B5D4FF" w14:textId="77777777" w:rsidR="0002605C" w:rsidRPr="001E0040" w:rsidRDefault="0002605C">
            <w:pPr>
              <w:widowControl w:val="0"/>
              <w:autoSpaceDE w:val="0"/>
              <w:autoSpaceDN w:val="0"/>
              <w:spacing w:before="113" w:after="0"/>
              <w:ind w:left="130" w:right="124"/>
              <w:jc w:val="center"/>
              <w:rPr>
                <w:rFonts w:eastAsia="Arial" w:cs="Arial"/>
                <w:sz w:val="20"/>
                <w:szCs w:val="22"/>
              </w:rPr>
            </w:pPr>
            <w:r w:rsidRPr="001E0040">
              <w:rPr>
                <w:rFonts w:eastAsia="Arial" w:cs="Arial"/>
                <w:spacing w:val="-4"/>
                <w:sz w:val="20"/>
                <w:szCs w:val="22"/>
              </w:rPr>
              <w:t>0.10</w:t>
            </w:r>
          </w:p>
        </w:tc>
      </w:tr>
      <w:tr w:rsidR="0002605C" w:rsidRPr="001E0040" w14:paraId="05BC916F" w14:textId="77777777">
        <w:trPr>
          <w:trHeight w:val="458"/>
        </w:trPr>
        <w:tc>
          <w:tcPr>
            <w:tcW w:w="4591" w:type="dxa"/>
          </w:tcPr>
          <w:p w14:paraId="6F72FC91" w14:textId="77777777" w:rsidR="0002605C" w:rsidRPr="001E0040" w:rsidRDefault="0002605C">
            <w:pPr>
              <w:widowControl w:val="0"/>
              <w:autoSpaceDE w:val="0"/>
              <w:autoSpaceDN w:val="0"/>
              <w:spacing w:after="0" w:line="230" w:lineRule="exact"/>
              <w:ind w:left="114" w:right="764"/>
              <w:rPr>
                <w:rFonts w:eastAsia="Arial" w:cs="Arial"/>
                <w:sz w:val="20"/>
                <w:szCs w:val="22"/>
              </w:rPr>
            </w:pPr>
            <w:r w:rsidRPr="001E0040">
              <w:rPr>
                <w:rFonts w:eastAsia="Arial" w:cs="Arial"/>
                <w:i/>
                <w:sz w:val="20"/>
                <w:szCs w:val="22"/>
              </w:rPr>
              <w:t>Pimephales</w:t>
            </w:r>
            <w:r w:rsidRPr="001E0040">
              <w:rPr>
                <w:rFonts w:eastAsia="Arial" w:cs="Arial"/>
                <w:i/>
                <w:spacing w:val="-14"/>
                <w:sz w:val="20"/>
                <w:szCs w:val="22"/>
              </w:rPr>
              <w:t xml:space="preserve"> </w:t>
            </w:r>
            <w:r w:rsidRPr="001E0040">
              <w:rPr>
                <w:rFonts w:eastAsia="Arial" w:cs="Arial"/>
                <w:i/>
                <w:sz w:val="20"/>
                <w:szCs w:val="22"/>
              </w:rPr>
              <w:t>promelas</w:t>
            </w:r>
            <w:r w:rsidRPr="001E0040">
              <w:rPr>
                <w:rFonts w:eastAsia="Arial" w:cs="Arial"/>
                <w:i/>
                <w:spacing w:val="-14"/>
                <w:sz w:val="20"/>
                <w:szCs w:val="22"/>
              </w:rPr>
              <w:t xml:space="preserve"> </w:t>
            </w:r>
            <w:r w:rsidRPr="001E0040">
              <w:rPr>
                <w:rFonts w:eastAsia="Arial" w:cs="Arial"/>
                <w:sz w:val="20"/>
                <w:szCs w:val="22"/>
              </w:rPr>
              <w:t>(fathead</w:t>
            </w:r>
            <w:r w:rsidRPr="001E0040">
              <w:rPr>
                <w:rFonts w:eastAsia="Arial" w:cs="Arial"/>
                <w:spacing w:val="-13"/>
                <w:sz w:val="20"/>
                <w:szCs w:val="22"/>
              </w:rPr>
              <w:t xml:space="preserve"> </w:t>
            </w:r>
            <w:r w:rsidRPr="001E0040">
              <w:rPr>
                <w:rFonts w:eastAsia="Arial" w:cs="Arial"/>
                <w:sz w:val="20"/>
                <w:szCs w:val="22"/>
              </w:rPr>
              <w:t xml:space="preserve">minnow); </w:t>
            </w:r>
            <w:r w:rsidRPr="001E0040">
              <w:rPr>
                <w:rFonts w:eastAsia="Arial" w:cs="Arial"/>
                <w:spacing w:val="-2"/>
                <w:sz w:val="20"/>
                <w:szCs w:val="22"/>
              </w:rPr>
              <w:t>Survival</w:t>
            </w:r>
          </w:p>
        </w:tc>
        <w:tc>
          <w:tcPr>
            <w:tcW w:w="1339" w:type="dxa"/>
          </w:tcPr>
          <w:p w14:paraId="29503F89" w14:textId="77777777" w:rsidR="0002605C" w:rsidRPr="001E0040" w:rsidRDefault="0002605C">
            <w:pPr>
              <w:widowControl w:val="0"/>
              <w:autoSpaceDE w:val="0"/>
              <w:autoSpaceDN w:val="0"/>
              <w:spacing w:before="114" w:after="0"/>
              <w:ind w:left="7"/>
              <w:jc w:val="center"/>
              <w:rPr>
                <w:rFonts w:eastAsia="Arial" w:cs="Arial"/>
                <w:sz w:val="20"/>
                <w:szCs w:val="22"/>
              </w:rPr>
            </w:pPr>
            <w:r w:rsidRPr="001E0040">
              <w:rPr>
                <w:rFonts w:eastAsia="Arial" w:cs="Arial"/>
                <w:w w:val="99"/>
                <w:sz w:val="20"/>
                <w:szCs w:val="22"/>
              </w:rPr>
              <w:t>I</w:t>
            </w:r>
          </w:p>
        </w:tc>
        <w:tc>
          <w:tcPr>
            <w:tcW w:w="1245" w:type="dxa"/>
          </w:tcPr>
          <w:p w14:paraId="06A2442A" w14:textId="77777777" w:rsidR="0002605C" w:rsidRPr="001E0040" w:rsidRDefault="0002605C">
            <w:pPr>
              <w:widowControl w:val="0"/>
              <w:autoSpaceDE w:val="0"/>
              <w:autoSpaceDN w:val="0"/>
              <w:spacing w:before="114" w:after="0"/>
              <w:ind w:left="226" w:right="222"/>
              <w:jc w:val="center"/>
              <w:rPr>
                <w:rFonts w:eastAsia="Arial" w:cs="Arial"/>
                <w:sz w:val="20"/>
                <w:szCs w:val="22"/>
              </w:rPr>
            </w:pPr>
            <w:r w:rsidRPr="001E0040">
              <w:rPr>
                <w:rFonts w:eastAsia="Arial" w:cs="Arial"/>
                <w:spacing w:val="-4"/>
                <w:sz w:val="20"/>
                <w:szCs w:val="22"/>
              </w:rPr>
              <w:t>0.80</w:t>
            </w:r>
          </w:p>
        </w:tc>
        <w:tc>
          <w:tcPr>
            <w:tcW w:w="1051" w:type="dxa"/>
          </w:tcPr>
          <w:p w14:paraId="1A1DA71F" w14:textId="77777777" w:rsidR="0002605C" w:rsidRPr="001E0040" w:rsidRDefault="0002605C">
            <w:pPr>
              <w:widowControl w:val="0"/>
              <w:autoSpaceDE w:val="0"/>
              <w:autoSpaceDN w:val="0"/>
              <w:spacing w:before="114" w:after="0"/>
              <w:ind w:left="149" w:right="146"/>
              <w:jc w:val="center"/>
              <w:rPr>
                <w:rFonts w:eastAsia="Arial" w:cs="Arial"/>
                <w:sz w:val="20"/>
                <w:szCs w:val="22"/>
              </w:rPr>
            </w:pPr>
            <w:r w:rsidRPr="001E0040">
              <w:rPr>
                <w:rFonts w:eastAsia="Arial" w:cs="Arial"/>
                <w:spacing w:val="-4"/>
                <w:sz w:val="20"/>
                <w:szCs w:val="22"/>
              </w:rPr>
              <w:t>0.05</w:t>
            </w:r>
          </w:p>
        </w:tc>
        <w:tc>
          <w:tcPr>
            <w:tcW w:w="962" w:type="dxa"/>
          </w:tcPr>
          <w:p w14:paraId="7EA11C03" w14:textId="77777777" w:rsidR="0002605C" w:rsidRPr="001E0040" w:rsidRDefault="0002605C">
            <w:pPr>
              <w:widowControl w:val="0"/>
              <w:autoSpaceDE w:val="0"/>
              <w:autoSpaceDN w:val="0"/>
              <w:spacing w:before="114" w:after="0"/>
              <w:ind w:left="130" w:right="124"/>
              <w:jc w:val="center"/>
              <w:rPr>
                <w:rFonts w:eastAsia="Arial" w:cs="Arial"/>
                <w:sz w:val="20"/>
                <w:szCs w:val="22"/>
              </w:rPr>
            </w:pPr>
            <w:r w:rsidRPr="001E0040">
              <w:rPr>
                <w:rFonts w:eastAsia="Arial" w:cs="Arial"/>
                <w:spacing w:val="-4"/>
                <w:sz w:val="20"/>
                <w:szCs w:val="22"/>
              </w:rPr>
              <w:t>0.10</w:t>
            </w:r>
          </w:p>
        </w:tc>
      </w:tr>
      <w:tr w:rsidR="0002605C" w:rsidRPr="001E0040" w14:paraId="67591869" w14:textId="77777777">
        <w:trPr>
          <w:trHeight w:val="688"/>
        </w:trPr>
        <w:tc>
          <w:tcPr>
            <w:tcW w:w="4591" w:type="dxa"/>
          </w:tcPr>
          <w:p w14:paraId="2E2409FF" w14:textId="77777777" w:rsidR="0002605C" w:rsidRPr="001E0040" w:rsidRDefault="0002605C">
            <w:pPr>
              <w:widowControl w:val="0"/>
              <w:autoSpaceDE w:val="0"/>
              <w:autoSpaceDN w:val="0"/>
              <w:spacing w:after="0" w:line="230" w:lineRule="exact"/>
              <w:ind w:left="114" w:right="985"/>
              <w:rPr>
                <w:rFonts w:eastAsia="Arial" w:cs="Arial"/>
                <w:sz w:val="20"/>
                <w:szCs w:val="22"/>
              </w:rPr>
            </w:pPr>
            <w:r w:rsidRPr="001E0040">
              <w:rPr>
                <w:rFonts w:eastAsia="Arial" w:cs="Arial"/>
                <w:i/>
                <w:sz w:val="20"/>
                <w:szCs w:val="22"/>
              </w:rPr>
              <w:t>Oncorhynchus</w:t>
            </w:r>
            <w:r w:rsidRPr="001E0040">
              <w:rPr>
                <w:rFonts w:eastAsia="Arial" w:cs="Arial"/>
                <w:i/>
                <w:spacing w:val="-13"/>
                <w:sz w:val="20"/>
                <w:szCs w:val="22"/>
              </w:rPr>
              <w:t xml:space="preserve"> </w:t>
            </w:r>
            <w:r w:rsidRPr="001E0040">
              <w:rPr>
                <w:rFonts w:eastAsia="Arial" w:cs="Arial"/>
                <w:i/>
                <w:sz w:val="20"/>
                <w:szCs w:val="22"/>
              </w:rPr>
              <w:t>mykiss</w:t>
            </w:r>
            <w:r w:rsidRPr="001E0040">
              <w:rPr>
                <w:rFonts w:eastAsia="Arial" w:cs="Arial"/>
                <w:i/>
                <w:spacing w:val="-13"/>
                <w:sz w:val="20"/>
                <w:szCs w:val="22"/>
              </w:rPr>
              <w:t xml:space="preserve"> </w:t>
            </w:r>
            <w:r w:rsidRPr="001E0040">
              <w:rPr>
                <w:rFonts w:eastAsia="Arial" w:cs="Arial"/>
                <w:sz w:val="20"/>
                <w:szCs w:val="22"/>
              </w:rPr>
              <w:t>(rainbow</w:t>
            </w:r>
            <w:r w:rsidRPr="001E0040">
              <w:rPr>
                <w:rFonts w:eastAsia="Arial" w:cs="Arial"/>
                <w:spacing w:val="-14"/>
                <w:sz w:val="20"/>
                <w:szCs w:val="22"/>
              </w:rPr>
              <w:t xml:space="preserve"> </w:t>
            </w:r>
            <w:r w:rsidRPr="001E0040">
              <w:rPr>
                <w:rFonts w:eastAsia="Arial" w:cs="Arial"/>
                <w:sz w:val="20"/>
                <w:szCs w:val="22"/>
              </w:rPr>
              <w:t xml:space="preserve">trout); </w:t>
            </w:r>
            <w:r w:rsidRPr="001E0040">
              <w:rPr>
                <w:rFonts w:eastAsia="Arial" w:cs="Arial"/>
                <w:i/>
                <w:sz w:val="20"/>
                <w:szCs w:val="22"/>
              </w:rPr>
              <w:t xml:space="preserve">Salvelinus fontinalis </w:t>
            </w:r>
            <w:r w:rsidRPr="001E0040">
              <w:rPr>
                <w:rFonts w:eastAsia="Arial" w:cs="Arial"/>
                <w:sz w:val="20"/>
                <w:szCs w:val="22"/>
              </w:rPr>
              <w:t xml:space="preserve">(brook trout) </w:t>
            </w:r>
            <w:r w:rsidRPr="001E0040">
              <w:rPr>
                <w:rFonts w:eastAsia="Arial" w:cs="Arial"/>
                <w:spacing w:val="-2"/>
                <w:sz w:val="20"/>
                <w:szCs w:val="22"/>
              </w:rPr>
              <w:t>Survival</w:t>
            </w:r>
          </w:p>
        </w:tc>
        <w:tc>
          <w:tcPr>
            <w:tcW w:w="1339" w:type="dxa"/>
          </w:tcPr>
          <w:p w14:paraId="37A037BB" w14:textId="77777777" w:rsidR="0002605C" w:rsidRPr="001E0040" w:rsidRDefault="0002605C">
            <w:pPr>
              <w:widowControl w:val="0"/>
              <w:autoSpaceDE w:val="0"/>
              <w:autoSpaceDN w:val="0"/>
              <w:spacing w:before="11" w:after="0"/>
              <w:rPr>
                <w:rFonts w:eastAsia="Arial" w:cs="Arial"/>
                <w:b/>
                <w:sz w:val="19"/>
                <w:szCs w:val="22"/>
              </w:rPr>
            </w:pPr>
          </w:p>
          <w:p w14:paraId="1886CE56" w14:textId="77777777" w:rsidR="0002605C" w:rsidRPr="001E0040" w:rsidRDefault="0002605C">
            <w:pPr>
              <w:widowControl w:val="0"/>
              <w:autoSpaceDE w:val="0"/>
              <w:autoSpaceDN w:val="0"/>
              <w:spacing w:after="0"/>
              <w:ind w:left="7"/>
              <w:jc w:val="center"/>
              <w:rPr>
                <w:rFonts w:eastAsia="Arial" w:cs="Arial"/>
                <w:sz w:val="20"/>
                <w:szCs w:val="22"/>
              </w:rPr>
            </w:pPr>
            <w:r w:rsidRPr="001E0040">
              <w:rPr>
                <w:rFonts w:eastAsia="Arial" w:cs="Arial"/>
                <w:w w:val="99"/>
                <w:sz w:val="20"/>
                <w:szCs w:val="22"/>
              </w:rPr>
              <w:t>I</w:t>
            </w:r>
          </w:p>
        </w:tc>
        <w:tc>
          <w:tcPr>
            <w:tcW w:w="1245" w:type="dxa"/>
          </w:tcPr>
          <w:p w14:paraId="06A68513" w14:textId="77777777" w:rsidR="0002605C" w:rsidRPr="001E0040" w:rsidRDefault="0002605C">
            <w:pPr>
              <w:widowControl w:val="0"/>
              <w:autoSpaceDE w:val="0"/>
              <w:autoSpaceDN w:val="0"/>
              <w:spacing w:before="11" w:after="0"/>
              <w:rPr>
                <w:rFonts w:eastAsia="Arial" w:cs="Arial"/>
                <w:b/>
                <w:sz w:val="19"/>
                <w:szCs w:val="22"/>
              </w:rPr>
            </w:pPr>
          </w:p>
          <w:p w14:paraId="3D4BD67C" w14:textId="77777777" w:rsidR="0002605C" w:rsidRPr="001E0040" w:rsidRDefault="0002605C">
            <w:pPr>
              <w:widowControl w:val="0"/>
              <w:autoSpaceDE w:val="0"/>
              <w:autoSpaceDN w:val="0"/>
              <w:spacing w:after="0"/>
              <w:ind w:left="226" w:right="222"/>
              <w:jc w:val="center"/>
              <w:rPr>
                <w:rFonts w:eastAsia="Arial" w:cs="Arial"/>
                <w:sz w:val="20"/>
                <w:szCs w:val="22"/>
              </w:rPr>
            </w:pPr>
            <w:r w:rsidRPr="001E0040">
              <w:rPr>
                <w:rFonts w:eastAsia="Arial" w:cs="Arial"/>
                <w:spacing w:val="-4"/>
                <w:sz w:val="20"/>
                <w:szCs w:val="22"/>
              </w:rPr>
              <w:t>0.80</w:t>
            </w:r>
          </w:p>
        </w:tc>
        <w:tc>
          <w:tcPr>
            <w:tcW w:w="1051" w:type="dxa"/>
          </w:tcPr>
          <w:p w14:paraId="21702FCF" w14:textId="77777777" w:rsidR="0002605C" w:rsidRPr="001E0040" w:rsidRDefault="0002605C">
            <w:pPr>
              <w:widowControl w:val="0"/>
              <w:autoSpaceDE w:val="0"/>
              <w:autoSpaceDN w:val="0"/>
              <w:spacing w:before="11" w:after="0"/>
              <w:rPr>
                <w:rFonts w:eastAsia="Arial" w:cs="Arial"/>
                <w:b/>
                <w:sz w:val="19"/>
                <w:szCs w:val="22"/>
              </w:rPr>
            </w:pPr>
          </w:p>
          <w:p w14:paraId="67E6ED17" w14:textId="77777777" w:rsidR="0002605C" w:rsidRPr="001E0040" w:rsidRDefault="0002605C">
            <w:pPr>
              <w:widowControl w:val="0"/>
              <w:autoSpaceDE w:val="0"/>
              <w:autoSpaceDN w:val="0"/>
              <w:spacing w:after="0"/>
              <w:ind w:left="149" w:right="146"/>
              <w:jc w:val="center"/>
              <w:rPr>
                <w:rFonts w:eastAsia="Arial" w:cs="Arial"/>
                <w:sz w:val="20"/>
                <w:szCs w:val="22"/>
              </w:rPr>
            </w:pPr>
            <w:r w:rsidRPr="001E0040">
              <w:rPr>
                <w:rFonts w:eastAsia="Arial" w:cs="Arial"/>
                <w:spacing w:val="-4"/>
                <w:sz w:val="20"/>
                <w:szCs w:val="22"/>
              </w:rPr>
              <w:t>0.05</w:t>
            </w:r>
          </w:p>
        </w:tc>
        <w:tc>
          <w:tcPr>
            <w:tcW w:w="962" w:type="dxa"/>
          </w:tcPr>
          <w:p w14:paraId="212283D8" w14:textId="77777777" w:rsidR="0002605C" w:rsidRPr="001E0040" w:rsidRDefault="0002605C">
            <w:pPr>
              <w:widowControl w:val="0"/>
              <w:autoSpaceDE w:val="0"/>
              <w:autoSpaceDN w:val="0"/>
              <w:spacing w:before="11" w:after="0"/>
              <w:rPr>
                <w:rFonts w:eastAsia="Arial" w:cs="Arial"/>
                <w:b/>
                <w:sz w:val="19"/>
                <w:szCs w:val="22"/>
              </w:rPr>
            </w:pPr>
          </w:p>
          <w:p w14:paraId="4428ABF1" w14:textId="77777777" w:rsidR="0002605C" w:rsidRPr="001E0040" w:rsidRDefault="0002605C">
            <w:pPr>
              <w:widowControl w:val="0"/>
              <w:autoSpaceDE w:val="0"/>
              <w:autoSpaceDN w:val="0"/>
              <w:spacing w:after="0"/>
              <w:ind w:left="130" w:right="124"/>
              <w:jc w:val="center"/>
              <w:rPr>
                <w:rFonts w:eastAsia="Arial" w:cs="Arial"/>
                <w:sz w:val="20"/>
                <w:szCs w:val="22"/>
              </w:rPr>
            </w:pPr>
            <w:r w:rsidRPr="001E0040">
              <w:rPr>
                <w:rFonts w:eastAsia="Arial" w:cs="Arial"/>
                <w:spacing w:val="-4"/>
                <w:sz w:val="20"/>
                <w:szCs w:val="22"/>
              </w:rPr>
              <w:t>0.10</w:t>
            </w:r>
          </w:p>
        </w:tc>
      </w:tr>
      <w:tr w:rsidR="0002605C" w:rsidRPr="001E0040" w14:paraId="0A582071" w14:textId="77777777">
        <w:trPr>
          <w:trHeight w:val="358"/>
        </w:trPr>
        <w:tc>
          <w:tcPr>
            <w:tcW w:w="9188" w:type="dxa"/>
            <w:gridSpan w:val="5"/>
            <w:shd w:val="clear" w:color="auto" w:fill="F1F1F1"/>
          </w:tcPr>
          <w:p w14:paraId="600A6882" w14:textId="77777777" w:rsidR="0002605C" w:rsidRPr="001E0040" w:rsidRDefault="0002605C">
            <w:pPr>
              <w:widowControl w:val="0"/>
              <w:autoSpaceDE w:val="0"/>
              <w:autoSpaceDN w:val="0"/>
              <w:spacing w:before="64" w:after="0"/>
              <w:ind w:left="114"/>
              <w:rPr>
                <w:rFonts w:eastAsia="Arial" w:cs="Arial"/>
                <w:b/>
                <w:sz w:val="20"/>
                <w:szCs w:val="22"/>
              </w:rPr>
            </w:pPr>
            <w:r w:rsidRPr="001E0040">
              <w:rPr>
                <w:rFonts w:eastAsia="Arial" w:cs="Arial"/>
                <w:b/>
                <w:sz w:val="20"/>
                <w:szCs w:val="22"/>
              </w:rPr>
              <w:t>Acute</w:t>
            </w:r>
            <w:r w:rsidRPr="001E0040">
              <w:rPr>
                <w:rFonts w:eastAsia="Arial" w:cs="Arial"/>
                <w:b/>
                <w:spacing w:val="-10"/>
                <w:sz w:val="20"/>
                <w:szCs w:val="22"/>
              </w:rPr>
              <w:t xml:space="preserve"> </w:t>
            </w:r>
            <w:r w:rsidRPr="001E0040">
              <w:rPr>
                <w:rFonts w:eastAsia="Arial" w:cs="Arial"/>
                <w:b/>
                <w:sz w:val="20"/>
                <w:szCs w:val="22"/>
              </w:rPr>
              <w:t>Marine</w:t>
            </w:r>
            <w:r w:rsidRPr="001E0040">
              <w:rPr>
                <w:rFonts w:eastAsia="Arial" w:cs="Arial"/>
                <w:b/>
                <w:spacing w:val="-6"/>
                <w:sz w:val="20"/>
                <w:szCs w:val="22"/>
              </w:rPr>
              <w:t xml:space="preserve"> </w:t>
            </w:r>
            <w:r w:rsidRPr="001E0040">
              <w:rPr>
                <w:rFonts w:eastAsia="Arial" w:cs="Arial"/>
                <w:b/>
                <w:spacing w:val="-2"/>
                <w:sz w:val="20"/>
                <w:szCs w:val="22"/>
              </w:rPr>
              <w:t>Methods</w:t>
            </w:r>
          </w:p>
        </w:tc>
      </w:tr>
      <w:tr w:rsidR="0002605C" w:rsidRPr="001E0040" w14:paraId="151F1657" w14:textId="77777777">
        <w:trPr>
          <w:trHeight w:val="460"/>
        </w:trPr>
        <w:tc>
          <w:tcPr>
            <w:tcW w:w="4591" w:type="dxa"/>
          </w:tcPr>
          <w:p w14:paraId="71E14106" w14:textId="77777777" w:rsidR="0002605C" w:rsidRPr="001E0040" w:rsidRDefault="0002605C">
            <w:pPr>
              <w:widowControl w:val="0"/>
              <w:autoSpaceDE w:val="0"/>
              <w:autoSpaceDN w:val="0"/>
              <w:spacing w:after="0" w:line="228" w:lineRule="exact"/>
              <w:ind w:left="114" w:right="1625"/>
              <w:rPr>
                <w:rFonts w:eastAsia="Arial" w:cs="Arial"/>
                <w:sz w:val="20"/>
                <w:szCs w:val="22"/>
              </w:rPr>
            </w:pPr>
            <w:r w:rsidRPr="001E0040">
              <w:rPr>
                <w:rFonts w:eastAsia="Arial" w:cs="Arial"/>
                <w:i/>
                <w:sz w:val="20"/>
                <w:szCs w:val="22"/>
              </w:rPr>
              <w:t>Atherinops</w:t>
            </w:r>
            <w:r w:rsidRPr="001E0040">
              <w:rPr>
                <w:rFonts w:eastAsia="Arial" w:cs="Arial"/>
                <w:i/>
                <w:spacing w:val="-14"/>
                <w:sz w:val="20"/>
                <w:szCs w:val="22"/>
              </w:rPr>
              <w:t xml:space="preserve"> </w:t>
            </w:r>
            <w:r w:rsidRPr="001E0040">
              <w:rPr>
                <w:rFonts w:eastAsia="Arial" w:cs="Arial"/>
                <w:i/>
                <w:sz w:val="20"/>
                <w:szCs w:val="22"/>
              </w:rPr>
              <w:t>affinis</w:t>
            </w:r>
            <w:r w:rsidRPr="001E0040">
              <w:rPr>
                <w:rFonts w:eastAsia="Arial" w:cs="Arial"/>
                <w:i/>
                <w:spacing w:val="-14"/>
                <w:sz w:val="20"/>
                <w:szCs w:val="22"/>
              </w:rPr>
              <w:t xml:space="preserve"> </w:t>
            </w:r>
            <w:r w:rsidRPr="001E0040">
              <w:rPr>
                <w:rFonts w:eastAsia="Arial" w:cs="Arial"/>
                <w:sz w:val="20"/>
                <w:szCs w:val="22"/>
              </w:rPr>
              <w:t xml:space="preserve">(topsmelt) </w:t>
            </w:r>
            <w:r w:rsidRPr="001E0040">
              <w:rPr>
                <w:rFonts w:eastAsia="Arial" w:cs="Arial"/>
                <w:spacing w:val="-2"/>
                <w:sz w:val="20"/>
                <w:szCs w:val="22"/>
              </w:rPr>
              <w:t>Survival</w:t>
            </w:r>
          </w:p>
        </w:tc>
        <w:tc>
          <w:tcPr>
            <w:tcW w:w="1339" w:type="dxa"/>
          </w:tcPr>
          <w:p w14:paraId="6988894D" w14:textId="77777777" w:rsidR="0002605C" w:rsidRPr="001E0040" w:rsidRDefault="0002605C">
            <w:pPr>
              <w:widowControl w:val="0"/>
              <w:autoSpaceDE w:val="0"/>
              <w:autoSpaceDN w:val="0"/>
              <w:spacing w:before="113" w:after="0"/>
              <w:ind w:left="7"/>
              <w:jc w:val="center"/>
              <w:rPr>
                <w:rFonts w:eastAsia="Arial" w:cs="Arial"/>
                <w:sz w:val="20"/>
                <w:szCs w:val="22"/>
              </w:rPr>
            </w:pPr>
            <w:r w:rsidRPr="001E0040">
              <w:rPr>
                <w:rFonts w:eastAsia="Arial" w:cs="Arial"/>
                <w:w w:val="99"/>
                <w:sz w:val="20"/>
                <w:szCs w:val="22"/>
              </w:rPr>
              <w:t>I</w:t>
            </w:r>
          </w:p>
        </w:tc>
        <w:tc>
          <w:tcPr>
            <w:tcW w:w="1245" w:type="dxa"/>
          </w:tcPr>
          <w:p w14:paraId="36082E35" w14:textId="77777777" w:rsidR="0002605C" w:rsidRPr="001E0040" w:rsidRDefault="0002605C">
            <w:pPr>
              <w:widowControl w:val="0"/>
              <w:autoSpaceDE w:val="0"/>
              <w:autoSpaceDN w:val="0"/>
              <w:spacing w:before="113" w:after="0"/>
              <w:ind w:left="226" w:right="222"/>
              <w:jc w:val="center"/>
              <w:rPr>
                <w:rFonts w:eastAsia="Arial" w:cs="Arial"/>
                <w:sz w:val="20"/>
                <w:szCs w:val="22"/>
              </w:rPr>
            </w:pPr>
            <w:r w:rsidRPr="001E0040">
              <w:rPr>
                <w:rFonts w:eastAsia="Arial" w:cs="Arial"/>
                <w:spacing w:val="-4"/>
                <w:sz w:val="20"/>
                <w:szCs w:val="22"/>
              </w:rPr>
              <w:t>0.80</w:t>
            </w:r>
          </w:p>
        </w:tc>
        <w:tc>
          <w:tcPr>
            <w:tcW w:w="1051" w:type="dxa"/>
          </w:tcPr>
          <w:p w14:paraId="72E17BEC" w14:textId="77777777" w:rsidR="0002605C" w:rsidRPr="001E0040" w:rsidRDefault="0002605C">
            <w:pPr>
              <w:widowControl w:val="0"/>
              <w:autoSpaceDE w:val="0"/>
              <w:autoSpaceDN w:val="0"/>
              <w:spacing w:before="113" w:after="0"/>
              <w:ind w:left="149" w:right="146"/>
              <w:jc w:val="center"/>
              <w:rPr>
                <w:rFonts w:eastAsia="Arial" w:cs="Arial"/>
                <w:sz w:val="20"/>
                <w:szCs w:val="22"/>
              </w:rPr>
            </w:pPr>
            <w:r w:rsidRPr="001E0040">
              <w:rPr>
                <w:rFonts w:eastAsia="Arial" w:cs="Arial"/>
                <w:spacing w:val="-4"/>
                <w:sz w:val="20"/>
                <w:szCs w:val="22"/>
              </w:rPr>
              <w:t>0.05</w:t>
            </w:r>
          </w:p>
        </w:tc>
        <w:tc>
          <w:tcPr>
            <w:tcW w:w="962" w:type="dxa"/>
          </w:tcPr>
          <w:p w14:paraId="4F5BF050" w14:textId="77777777" w:rsidR="0002605C" w:rsidRPr="001E0040" w:rsidRDefault="0002605C">
            <w:pPr>
              <w:widowControl w:val="0"/>
              <w:autoSpaceDE w:val="0"/>
              <w:autoSpaceDN w:val="0"/>
              <w:spacing w:before="113" w:after="0"/>
              <w:ind w:left="130" w:right="124"/>
              <w:jc w:val="center"/>
              <w:rPr>
                <w:rFonts w:eastAsia="Arial" w:cs="Arial"/>
                <w:sz w:val="20"/>
                <w:szCs w:val="22"/>
              </w:rPr>
            </w:pPr>
            <w:r w:rsidRPr="001E0040">
              <w:rPr>
                <w:rFonts w:eastAsia="Arial" w:cs="Arial"/>
                <w:spacing w:val="-4"/>
                <w:sz w:val="20"/>
                <w:szCs w:val="22"/>
              </w:rPr>
              <w:t>0.10</w:t>
            </w:r>
          </w:p>
        </w:tc>
      </w:tr>
      <w:tr w:rsidR="0002605C" w:rsidRPr="001E0040" w14:paraId="262C04A0" w14:textId="77777777">
        <w:trPr>
          <w:trHeight w:val="460"/>
        </w:trPr>
        <w:tc>
          <w:tcPr>
            <w:tcW w:w="4591" w:type="dxa"/>
          </w:tcPr>
          <w:p w14:paraId="64A8C2F2" w14:textId="77777777" w:rsidR="0002605C" w:rsidRPr="001E0040" w:rsidRDefault="0002605C">
            <w:pPr>
              <w:widowControl w:val="0"/>
              <w:autoSpaceDE w:val="0"/>
              <w:autoSpaceDN w:val="0"/>
              <w:spacing w:after="0" w:line="230" w:lineRule="exact"/>
              <w:ind w:left="114" w:right="1625"/>
              <w:rPr>
                <w:rFonts w:eastAsia="Arial" w:cs="Arial"/>
                <w:sz w:val="20"/>
                <w:szCs w:val="22"/>
              </w:rPr>
            </w:pPr>
            <w:r w:rsidRPr="001E0040">
              <w:rPr>
                <w:rFonts w:eastAsia="Arial" w:cs="Arial"/>
                <w:i/>
                <w:sz w:val="20"/>
                <w:szCs w:val="22"/>
              </w:rPr>
              <w:t>Americamysis</w:t>
            </w:r>
            <w:r w:rsidRPr="001E0040">
              <w:rPr>
                <w:rFonts w:eastAsia="Arial" w:cs="Arial"/>
                <w:i/>
                <w:spacing w:val="-14"/>
                <w:sz w:val="20"/>
                <w:szCs w:val="22"/>
              </w:rPr>
              <w:t xml:space="preserve"> </w:t>
            </w:r>
            <w:r w:rsidRPr="001E0040">
              <w:rPr>
                <w:rFonts w:eastAsia="Arial" w:cs="Arial"/>
                <w:i/>
                <w:sz w:val="20"/>
                <w:szCs w:val="22"/>
              </w:rPr>
              <w:t>bahia</w:t>
            </w:r>
            <w:r w:rsidRPr="001E0040">
              <w:rPr>
                <w:rFonts w:eastAsia="Arial" w:cs="Arial"/>
                <w:i/>
                <w:spacing w:val="-14"/>
                <w:sz w:val="20"/>
                <w:szCs w:val="22"/>
              </w:rPr>
              <w:t xml:space="preserve"> </w:t>
            </w:r>
            <w:r w:rsidRPr="001E0040">
              <w:rPr>
                <w:rFonts w:eastAsia="Arial" w:cs="Arial"/>
                <w:sz w:val="20"/>
                <w:szCs w:val="22"/>
              </w:rPr>
              <w:t xml:space="preserve">(mysid) </w:t>
            </w:r>
            <w:r w:rsidRPr="001E0040">
              <w:rPr>
                <w:rFonts w:eastAsia="Arial" w:cs="Arial"/>
                <w:spacing w:val="-2"/>
                <w:sz w:val="20"/>
                <w:szCs w:val="22"/>
              </w:rPr>
              <w:t>Survival</w:t>
            </w:r>
          </w:p>
        </w:tc>
        <w:tc>
          <w:tcPr>
            <w:tcW w:w="1339" w:type="dxa"/>
          </w:tcPr>
          <w:p w14:paraId="394BB8B9" w14:textId="77777777" w:rsidR="0002605C" w:rsidRPr="001E0040" w:rsidRDefault="0002605C">
            <w:pPr>
              <w:widowControl w:val="0"/>
              <w:autoSpaceDE w:val="0"/>
              <w:autoSpaceDN w:val="0"/>
              <w:spacing w:before="115" w:after="0"/>
              <w:ind w:left="471" w:right="466"/>
              <w:jc w:val="center"/>
              <w:rPr>
                <w:rFonts w:eastAsia="Arial" w:cs="Arial"/>
                <w:sz w:val="20"/>
                <w:szCs w:val="22"/>
              </w:rPr>
            </w:pPr>
            <w:r w:rsidRPr="001E0040">
              <w:rPr>
                <w:rFonts w:eastAsia="Arial" w:cs="Arial"/>
                <w:spacing w:val="-5"/>
                <w:sz w:val="20"/>
                <w:szCs w:val="22"/>
              </w:rPr>
              <w:t>II</w:t>
            </w:r>
          </w:p>
        </w:tc>
        <w:tc>
          <w:tcPr>
            <w:tcW w:w="1245" w:type="dxa"/>
          </w:tcPr>
          <w:p w14:paraId="28FA5FE2" w14:textId="77777777" w:rsidR="0002605C" w:rsidRPr="001E0040" w:rsidRDefault="0002605C">
            <w:pPr>
              <w:widowControl w:val="0"/>
              <w:autoSpaceDE w:val="0"/>
              <w:autoSpaceDN w:val="0"/>
              <w:spacing w:before="115" w:after="0"/>
              <w:ind w:left="227" w:right="222"/>
              <w:jc w:val="center"/>
              <w:rPr>
                <w:rFonts w:eastAsia="Arial" w:cs="Arial"/>
                <w:sz w:val="20"/>
                <w:szCs w:val="22"/>
              </w:rPr>
            </w:pPr>
            <w:r w:rsidRPr="001E0040">
              <w:rPr>
                <w:rFonts w:eastAsia="Arial" w:cs="Arial"/>
                <w:spacing w:val="-4"/>
                <w:sz w:val="20"/>
                <w:szCs w:val="22"/>
              </w:rPr>
              <w:t>0.80</w:t>
            </w:r>
          </w:p>
        </w:tc>
        <w:tc>
          <w:tcPr>
            <w:tcW w:w="1051" w:type="dxa"/>
          </w:tcPr>
          <w:p w14:paraId="283D304D" w14:textId="77777777" w:rsidR="0002605C" w:rsidRPr="001E0040" w:rsidRDefault="0002605C">
            <w:pPr>
              <w:widowControl w:val="0"/>
              <w:autoSpaceDE w:val="0"/>
              <w:autoSpaceDN w:val="0"/>
              <w:spacing w:before="115" w:after="0"/>
              <w:ind w:left="150" w:right="146"/>
              <w:jc w:val="center"/>
              <w:rPr>
                <w:rFonts w:eastAsia="Arial" w:cs="Arial"/>
                <w:sz w:val="20"/>
                <w:szCs w:val="22"/>
              </w:rPr>
            </w:pPr>
            <w:r w:rsidRPr="001E0040">
              <w:rPr>
                <w:rFonts w:eastAsia="Arial" w:cs="Arial"/>
                <w:spacing w:val="-4"/>
                <w:sz w:val="20"/>
                <w:szCs w:val="22"/>
              </w:rPr>
              <w:t>0.05</w:t>
            </w:r>
          </w:p>
        </w:tc>
        <w:tc>
          <w:tcPr>
            <w:tcW w:w="962" w:type="dxa"/>
          </w:tcPr>
          <w:p w14:paraId="4E72D396" w14:textId="77777777" w:rsidR="0002605C" w:rsidRPr="001E0040" w:rsidRDefault="0002605C">
            <w:pPr>
              <w:widowControl w:val="0"/>
              <w:autoSpaceDE w:val="0"/>
              <w:autoSpaceDN w:val="0"/>
              <w:spacing w:before="115" w:after="0"/>
              <w:ind w:left="130" w:right="124"/>
              <w:jc w:val="center"/>
              <w:rPr>
                <w:rFonts w:eastAsia="Arial" w:cs="Arial"/>
                <w:sz w:val="20"/>
                <w:szCs w:val="22"/>
              </w:rPr>
            </w:pPr>
            <w:r w:rsidRPr="001E0040">
              <w:rPr>
                <w:rFonts w:eastAsia="Arial" w:cs="Arial"/>
                <w:spacing w:val="-4"/>
                <w:sz w:val="20"/>
                <w:szCs w:val="22"/>
              </w:rPr>
              <w:t>0.10</w:t>
            </w:r>
          </w:p>
        </w:tc>
      </w:tr>
      <w:tr w:rsidR="0002605C" w:rsidRPr="001E0040" w14:paraId="4DFAB322" w14:textId="77777777">
        <w:trPr>
          <w:trHeight w:val="460"/>
        </w:trPr>
        <w:tc>
          <w:tcPr>
            <w:tcW w:w="4591" w:type="dxa"/>
          </w:tcPr>
          <w:p w14:paraId="01BA2D85" w14:textId="77777777" w:rsidR="0002605C" w:rsidRPr="001E0040" w:rsidRDefault="0002605C">
            <w:pPr>
              <w:widowControl w:val="0"/>
              <w:autoSpaceDE w:val="0"/>
              <w:autoSpaceDN w:val="0"/>
              <w:spacing w:after="0" w:line="228" w:lineRule="exact"/>
              <w:ind w:left="114" w:right="764"/>
              <w:rPr>
                <w:rFonts w:eastAsia="Arial" w:cs="Arial"/>
                <w:sz w:val="20"/>
                <w:szCs w:val="22"/>
              </w:rPr>
            </w:pPr>
            <w:r w:rsidRPr="001E0040">
              <w:rPr>
                <w:rFonts w:eastAsia="Arial" w:cs="Arial"/>
                <w:i/>
                <w:sz w:val="20"/>
                <w:szCs w:val="22"/>
              </w:rPr>
              <w:t>Menidia</w:t>
            </w:r>
            <w:r w:rsidRPr="001E0040">
              <w:rPr>
                <w:rFonts w:eastAsia="Arial" w:cs="Arial"/>
                <w:i/>
                <w:spacing w:val="-14"/>
                <w:sz w:val="20"/>
                <w:szCs w:val="22"/>
              </w:rPr>
              <w:t xml:space="preserve"> </w:t>
            </w:r>
            <w:r w:rsidRPr="001E0040">
              <w:rPr>
                <w:rFonts w:eastAsia="Arial" w:cs="Arial"/>
                <w:i/>
                <w:sz w:val="20"/>
                <w:szCs w:val="22"/>
              </w:rPr>
              <w:t>berylina</w:t>
            </w:r>
            <w:r w:rsidRPr="001E0040">
              <w:rPr>
                <w:rFonts w:eastAsia="Arial" w:cs="Arial"/>
                <w:i/>
                <w:spacing w:val="-13"/>
                <w:sz w:val="20"/>
                <w:szCs w:val="22"/>
              </w:rPr>
              <w:t xml:space="preserve"> </w:t>
            </w:r>
            <w:r w:rsidRPr="001E0040">
              <w:rPr>
                <w:rFonts w:eastAsia="Arial" w:cs="Arial"/>
                <w:sz w:val="20"/>
                <w:szCs w:val="22"/>
              </w:rPr>
              <w:t>(inland</w:t>
            </w:r>
            <w:r w:rsidRPr="001E0040">
              <w:rPr>
                <w:rFonts w:eastAsia="Arial" w:cs="Arial"/>
                <w:spacing w:val="-14"/>
                <w:sz w:val="20"/>
                <w:szCs w:val="22"/>
              </w:rPr>
              <w:t xml:space="preserve"> </w:t>
            </w:r>
            <w:r w:rsidRPr="001E0040">
              <w:rPr>
                <w:rFonts w:eastAsia="Arial" w:cs="Arial"/>
                <w:sz w:val="20"/>
                <w:szCs w:val="22"/>
              </w:rPr>
              <w:t xml:space="preserve">silverside) </w:t>
            </w:r>
            <w:r w:rsidRPr="001E0040">
              <w:rPr>
                <w:rFonts w:eastAsia="Arial" w:cs="Arial"/>
                <w:spacing w:val="-2"/>
                <w:sz w:val="20"/>
                <w:szCs w:val="22"/>
              </w:rPr>
              <w:t>Survival</w:t>
            </w:r>
          </w:p>
        </w:tc>
        <w:tc>
          <w:tcPr>
            <w:tcW w:w="1339" w:type="dxa"/>
          </w:tcPr>
          <w:p w14:paraId="5E70EE0E" w14:textId="77777777" w:rsidR="0002605C" w:rsidRPr="001E0040" w:rsidRDefault="0002605C">
            <w:pPr>
              <w:widowControl w:val="0"/>
              <w:autoSpaceDE w:val="0"/>
              <w:autoSpaceDN w:val="0"/>
              <w:spacing w:before="115" w:after="0"/>
              <w:ind w:left="471" w:right="466"/>
              <w:jc w:val="center"/>
              <w:rPr>
                <w:rFonts w:eastAsia="Arial" w:cs="Arial"/>
                <w:sz w:val="20"/>
                <w:szCs w:val="22"/>
              </w:rPr>
            </w:pPr>
            <w:r w:rsidRPr="001E0040">
              <w:rPr>
                <w:rFonts w:eastAsia="Arial" w:cs="Arial"/>
                <w:spacing w:val="-5"/>
                <w:sz w:val="20"/>
                <w:szCs w:val="22"/>
              </w:rPr>
              <w:t>II</w:t>
            </w:r>
          </w:p>
        </w:tc>
        <w:tc>
          <w:tcPr>
            <w:tcW w:w="1245" w:type="dxa"/>
          </w:tcPr>
          <w:p w14:paraId="2D696568" w14:textId="77777777" w:rsidR="0002605C" w:rsidRPr="001E0040" w:rsidRDefault="0002605C">
            <w:pPr>
              <w:widowControl w:val="0"/>
              <w:autoSpaceDE w:val="0"/>
              <w:autoSpaceDN w:val="0"/>
              <w:spacing w:before="115" w:after="0"/>
              <w:ind w:left="227" w:right="222"/>
              <w:jc w:val="center"/>
              <w:rPr>
                <w:rFonts w:eastAsia="Arial" w:cs="Arial"/>
                <w:sz w:val="20"/>
                <w:szCs w:val="22"/>
              </w:rPr>
            </w:pPr>
            <w:r w:rsidRPr="001E0040">
              <w:rPr>
                <w:rFonts w:eastAsia="Arial" w:cs="Arial"/>
                <w:spacing w:val="-4"/>
                <w:sz w:val="20"/>
                <w:szCs w:val="22"/>
              </w:rPr>
              <w:t>0.80</w:t>
            </w:r>
          </w:p>
        </w:tc>
        <w:tc>
          <w:tcPr>
            <w:tcW w:w="1051" w:type="dxa"/>
          </w:tcPr>
          <w:p w14:paraId="3F641ADA" w14:textId="77777777" w:rsidR="0002605C" w:rsidRPr="001E0040" w:rsidRDefault="0002605C">
            <w:pPr>
              <w:widowControl w:val="0"/>
              <w:autoSpaceDE w:val="0"/>
              <w:autoSpaceDN w:val="0"/>
              <w:spacing w:before="115" w:after="0"/>
              <w:ind w:left="150" w:right="146"/>
              <w:jc w:val="center"/>
              <w:rPr>
                <w:rFonts w:eastAsia="Arial" w:cs="Arial"/>
                <w:sz w:val="20"/>
                <w:szCs w:val="22"/>
              </w:rPr>
            </w:pPr>
            <w:r w:rsidRPr="001E0040">
              <w:rPr>
                <w:rFonts w:eastAsia="Arial" w:cs="Arial"/>
                <w:spacing w:val="-4"/>
                <w:sz w:val="20"/>
                <w:szCs w:val="22"/>
              </w:rPr>
              <w:t>0.05</w:t>
            </w:r>
          </w:p>
        </w:tc>
        <w:tc>
          <w:tcPr>
            <w:tcW w:w="962" w:type="dxa"/>
          </w:tcPr>
          <w:p w14:paraId="7E66EF63" w14:textId="77777777" w:rsidR="0002605C" w:rsidRPr="001E0040" w:rsidRDefault="0002605C">
            <w:pPr>
              <w:widowControl w:val="0"/>
              <w:autoSpaceDE w:val="0"/>
              <w:autoSpaceDN w:val="0"/>
              <w:spacing w:before="115" w:after="0"/>
              <w:ind w:left="130" w:right="124"/>
              <w:jc w:val="center"/>
              <w:rPr>
                <w:rFonts w:eastAsia="Arial" w:cs="Arial"/>
                <w:sz w:val="20"/>
                <w:szCs w:val="22"/>
              </w:rPr>
            </w:pPr>
            <w:r w:rsidRPr="001E0040">
              <w:rPr>
                <w:rFonts w:eastAsia="Arial" w:cs="Arial"/>
                <w:spacing w:val="-4"/>
                <w:sz w:val="20"/>
                <w:szCs w:val="22"/>
              </w:rPr>
              <w:t>0.10</w:t>
            </w:r>
          </w:p>
        </w:tc>
      </w:tr>
    </w:tbl>
    <w:p w14:paraId="097D8A62" w14:textId="45737B90" w:rsidR="009A2A01" w:rsidRPr="00861D53" w:rsidRDefault="00861D53" w:rsidP="00660B36">
      <w:pPr>
        <w:spacing w:before="240"/>
        <w:rPr>
          <w:rFonts w:cs="Arial"/>
          <w:i/>
          <w:iCs/>
          <w:color w:val="4472C4" w:themeColor="accent1"/>
        </w:rPr>
      </w:pPr>
      <w:r w:rsidRPr="00861D53">
        <w:rPr>
          <w:rFonts w:cs="Arial"/>
          <w:i/>
          <w:iCs/>
          <w:color w:val="4472C4" w:themeColor="accent1"/>
        </w:rPr>
        <w:t>Significant Effect Categories</w:t>
      </w:r>
    </w:p>
    <w:p w14:paraId="6228F134" w14:textId="2D8BF888" w:rsidR="00F77503" w:rsidRDefault="00192163" w:rsidP="003417D7">
      <w:pPr>
        <w:rPr>
          <w:rFonts w:cs="Arial"/>
        </w:rPr>
      </w:pPr>
      <w:r>
        <w:rPr>
          <w:rFonts w:cs="Arial"/>
        </w:rPr>
        <w:t xml:space="preserve">Aquatic toxicity data that were not expressed as TST results or did not use the test methods listed in Table 3-4 were assessed </w:t>
      </w:r>
      <w:r w:rsidR="00BC2FCE">
        <w:rPr>
          <w:rFonts w:cs="Arial"/>
        </w:rPr>
        <w:t xml:space="preserve">to </w:t>
      </w:r>
      <w:r w:rsidR="0039393E">
        <w:rPr>
          <w:rFonts w:cs="Arial"/>
        </w:rPr>
        <w:t>determine if</w:t>
      </w:r>
      <w:r w:rsidR="008A55CC">
        <w:rPr>
          <w:rFonts w:cs="Arial"/>
        </w:rPr>
        <w:t xml:space="preserve"> the sample exhibited statistically significant toxicity compared to the laboratory control. </w:t>
      </w:r>
      <w:r w:rsidR="00BD2109">
        <w:rPr>
          <w:rFonts w:cs="Arial"/>
        </w:rPr>
        <w:t xml:space="preserve">Results </w:t>
      </w:r>
      <w:r w:rsidR="00206D4E">
        <w:rPr>
          <w:rFonts w:cs="Arial"/>
        </w:rPr>
        <w:t>were group into significant effect categories</w:t>
      </w:r>
      <w:r w:rsidR="00BC2FCE">
        <w:rPr>
          <w:rFonts w:cs="Arial"/>
        </w:rPr>
        <w:t xml:space="preserve"> to</w:t>
      </w:r>
      <w:r w:rsidR="0013214B">
        <w:rPr>
          <w:rFonts w:cs="Arial"/>
        </w:rPr>
        <w:t xml:space="preserve"> determine statistical significance in accordance with section 3.6 of the Listing Policy and attainment of </w:t>
      </w:r>
      <w:r w:rsidR="006E6A03" w:rsidRPr="006E6A03">
        <w:rPr>
          <w:rFonts w:cs="Arial"/>
        </w:rPr>
        <w:t xml:space="preserve">the following narrative </w:t>
      </w:r>
      <w:r w:rsidR="000D7972">
        <w:rPr>
          <w:rFonts w:cs="Arial"/>
        </w:rPr>
        <w:t xml:space="preserve">toxicity </w:t>
      </w:r>
      <w:r w:rsidR="003E0C5D">
        <w:rPr>
          <w:rFonts w:cs="Arial"/>
        </w:rPr>
        <w:t>water quality</w:t>
      </w:r>
      <w:r w:rsidR="006E6A03" w:rsidRPr="006E6A03">
        <w:rPr>
          <w:rFonts w:cs="Arial"/>
        </w:rPr>
        <w:t xml:space="preserve"> objective: </w:t>
      </w:r>
    </w:p>
    <w:p w14:paraId="4A2CBF0C" w14:textId="065CD92E" w:rsidR="00EC2A39" w:rsidRDefault="00EC2A39" w:rsidP="00EC2A39">
      <w:pPr>
        <w:ind w:left="720"/>
        <w:rPr>
          <w:rFonts w:cs="Arial"/>
        </w:rPr>
      </w:pPr>
      <w:r w:rsidRPr="00EC2A39">
        <w:rPr>
          <w:rFonts w:cs="Arial"/>
        </w:rPr>
        <w:t xml:space="preserve">All waters shall be maintained free of toxic substances in concentrations that produce detrimental physiological responses in human, plant, animal, or aquatic life. </w:t>
      </w:r>
    </w:p>
    <w:p w14:paraId="583E5979" w14:textId="1821E1C9" w:rsidR="0042106C" w:rsidRDefault="0042106C" w:rsidP="003417D7">
      <w:pPr>
        <w:rPr>
          <w:rFonts w:cs="Arial"/>
        </w:rPr>
      </w:pPr>
      <w:r w:rsidRPr="0042106C">
        <w:rPr>
          <w:rFonts w:cs="Arial"/>
        </w:rPr>
        <w:t xml:space="preserve">Each Regional Water Board Basin Plan has a narrative water quality objective for toxicity similar to the above. </w:t>
      </w:r>
    </w:p>
    <w:p w14:paraId="6B3BEA3B" w14:textId="0884585B" w:rsidR="003417D7" w:rsidRDefault="00576466" w:rsidP="003417D7">
      <w:pPr>
        <w:rPr>
          <w:rFonts w:cs="Arial"/>
        </w:rPr>
      </w:pPr>
      <w:r>
        <w:rPr>
          <w:rFonts w:cs="Arial"/>
        </w:rPr>
        <w:t>A</w:t>
      </w:r>
      <w:r w:rsidR="003417D7" w:rsidRPr="0FA3CFC0">
        <w:rPr>
          <w:rFonts w:cs="Arial"/>
        </w:rPr>
        <w:t xml:space="preserve">cute and chronic aquatic toxicity data results were grouped into one of four categories based on the occurrence of a significant effect between the test and the control organisms, and the percent of the effect. The four significant effect categories are shown in </w:t>
      </w:r>
      <w:r w:rsidR="005A5A12" w:rsidDel="00A05B15">
        <w:rPr>
          <w:rFonts w:cs="Arial"/>
        </w:rPr>
        <w:t xml:space="preserve">Table </w:t>
      </w:r>
      <w:r w:rsidR="00A05B15">
        <w:rPr>
          <w:rFonts w:cs="Arial"/>
        </w:rPr>
        <w:t>3-3</w:t>
      </w:r>
      <w:r w:rsidR="00121A92">
        <w:rPr>
          <w:rFonts w:cs="Arial"/>
        </w:rPr>
        <w:t>: Aquatic Toxicity Significant Effect Categories</w:t>
      </w:r>
      <w:r w:rsidR="003417D7" w:rsidRPr="0FA3CFC0">
        <w:rPr>
          <w:rFonts w:cs="Arial"/>
        </w:rPr>
        <w:t>.</w:t>
      </w:r>
    </w:p>
    <w:p w14:paraId="7495C7F3" w14:textId="613D3994" w:rsidR="003417D7" w:rsidRPr="004502A9" w:rsidRDefault="00F31371" w:rsidP="003417D7">
      <w:pPr>
        <w:rPr>
          <w:rFonts w:cs="Arial"/>
          <w:szCs w:val="24"/>
        </w:rPr>
      </w:pPr>
      <w:r>
        <w:rPr>
          <w:rFonts w:cs="Arial"/>
          <w:szCs w:val="24"/>
        </w:rPr>
        <w:t>Samples with a significant effect category of “SG”, “NSL”, or “NSG” were not considered exceedances</w:t>
      </w:r>
      <w:r w:rsidR="00212C80">
        <w:rPr>
          <w:rFonts w:cs="Arial"/>
          <w:szCs w:val="24"/>
        </w:rPr>
        <w:t>.</w:t>
      </w:r>
      <w:r>
        <w:rPr>
          <w:rFonts w:cs="Arial"/>
          <w:szCs w:val="24"/>
        </w:rPr>
        <w:t xml:space="preserve"> </w:t>
      </w:r>
      <w:r w:rsidR="003417D7">
        <w:rPr>
          <w:rFonts w:cs="Arial"/>
          <w:szCs w:val="24"/>
        </w:rPr>
        <w:t>S</w:t>
      </w:r>
      <w:r w:rsidR="003417D7" w:rsidRPr="004502A9">
        <w:rPr>
          <w:rFonts w:cs="Arial"/>
          <w:szCs w:val="24"/>
        </w:rPr>
        <w:t xml:space="preserve">amples with a </w:t>
      </w:r>
      <w:r w:rsidR="00854082">
        <w:rPr>
          <w:rFonts w:cs="Arial"/>
          <w:szCs w:val="24"/>
        </w:rPr>
        <w:t>s</w:t>
      </w:r>
      <w:r w:rsidR="003417D7" w:rsidRPr="004502A9">
        <w:rPr>
          <w:rFonts w:cs="Arial"/>
          <w:szCs w:val="24"/>
        </w:rPr>
        <w:t xml:space="preserve">ignificant </w:t>
      </w:r>
      <w:r w:rsidR="00854082">
        <w:rPr>
          <w:rFonts w:cs="Arial"/>
          <w:szCs w:val="24"/>
        </w:rPr>
        <w:t>e</w:t>
      </w:r>
      <w:r w:rsidR="003417D7" w:rsidRPr="004502A9">
        <w:rPr>
          <w:rFonts w:cs="Arial"/>
          <w:szCs w:val="24"/>
        </w:rPr>
        <w:t xml:space="preserve">ffect </w:t>
      </w:r>
      <w:r w:rsidR="00854082">
        <w:rPr>
          <w:rFonts w:cs="Arial"/>
          <w:szCs w:val="24"/>
        </w:rPr>
        <w:t>category</w:t>
      </w:r>
      <w:r w:rsidR="003417D7" w:rsidRPr="004502A9">
        <w:rPr>
          <w:rFonts w:cs="Arial"/>
          <w:szCs w:val="24"/>
        </w:rPr>
        <w:t xml:space="preserve"> of </w:t>
      </w:r>
      <w:r w:rsidR="00854082">
        <w:rPr>
          <w:rFonts w:cs="Arial"/>
          <w:szCs w:val="24"/>
        </w:rPr>
        <w:t>“S</w:t>
      </w:r>
      <w:r w:rsidR="006D46D2">
        <w:rPr>
          <w:rFonts w:cs="Arial"/>
          <w:szCs w:val="24"/>
        </w:rPr>
        <w:t xml:space="preserve">ignificant, </w:t>
      </w:r>
      <w:r w:rsidR="0053421F">
        <w:rPr>
          <w:rFonts w:cs="Arial"/>
          <w:szCs w:val="24"/>
        </w:rPr>
        <w:t>Less</w:t>
      </w:r>
      <w:r w:rsidR="006D46D2">
        <w:rPr>
          <w:rFonts w:cs="Arial"/>
          <w:szCs w:val="24"/>
        </w:rPr>
        <w:t xml:space="preserve"> </w:t>
      </w:r>
      <w:r w:rsidR="0053421F">
        <w:rPr>
          <w:rFonts w:cs="Arial"/>
          <w:szCs w:val="24"/>
        </w:rPr>
        <w:t>Similarity</w:t>
      </w:r>
      <w:r w:rsidR="00854082">
        <w:rPr>
          <w:rFonts w:cs="Arial"/>
          <w:szCs w:val="24"/>
        </w:rPr>
        <w:t xml:space="preserve">” or </w:t>
      </w:r>
      <w:r w:rsidR="003417D7" w:rsidRPr="004502A9">
        <w:rPr>
          <w:rFonts w:cs="Arial"/>
          <w:szCs w:val="24"/>
        </w:rPr>
        <w:t xml:space="preserve">“SL” were considered an exceedance. </w:t>
      </w:r>
      <w:r w:rsidR="003417D7" w:rsidRPr="004502A9">
        <w:rPr>
          <w:rFonts w:cs="Arial"/>
        </w:rPr>
        <w:t>Toxicity of any one or more test species of a sample, as noted by application of the SL to the data, is an exceedance.</w:t>
      </w:r>
      <w:r w:rsidR="003417D7">
        <w:rPr>
          <w:rFonts w:cs="Arial"/>
        </w:rPr>
        <w:t xml:space="preserve"> </w:t>
      </w:r>
      <w:r w:rsidR="003417D7" w:rsidRPr="004502A9">
        <w:rPr>
          <w:rFonts w:cs="Arial"/>
          <w:szCs w:val="24"/>
        </w:rPr>
        <w:t xml:space="preserve">The SL </w:t>
      </w:r>
      <w:r w:rsidR="0067034F">
        <w:rPr>
          <w:rFonts w:cs="Arial"/>
          <w:szCs w:val="24"/>
        </w:rPr>
        <w:t>category</w:t>
      </w:r>
      <w:r w:rsidR="003417D7" w:rsidRPr="004502A9">
        <w:rPr>
          <w:rFonts w:cs="Arial"/>
          <w:szCs w:val="24"/>
        </w:rPr>
        <w:t xml:space="preserve"> is applied when:</w:t>
      </w:r>
    </w:p>
    <w:p w14:paraId="3124B27C" w14:textId="77777777" w:rsidR="003417D7" w:rsidRPr="004502A9" w:rsidRDefault="003417D7" w:rsidP="00A67AFD">
      <w:pPr>
        <w:pStyle w:val="ListParagraph"/>
        <w:numPr>
          <w:ilvl w:val="0"/>
          <w:numId w:val="6"/>
        </w:numPr>
        <w:rPr>
          <w:rFonts w:cs="Arial"/>
          <w:szCs w:val="24"/>
        </w:rPr>
      </w:pPr>
      <w:r w:rsidRPr="004502A9">
        <w:rPr>
          <w:rFonts w:cs="Arial"/>
          <w:szCs w:val="24"/>
        </w:rPr>
        <w:t>There is a statistically significant difference between the response of the organism in the sample matrix and the control organism.</w:t>
      </w:r>
    </w:p>
    <w:p w14:paraId="67E0069A" w14:textId="0B4FF6F6" w:rsidR="003417D7" w:rsidRPr="00FF71B0" w:rsidRDefault="003417D7" w:rsidP="00A67AFD">
      <w:pPr>
        <w:pStyle w:val="ListParagraph"/>
        <w:numPr>
          <w:ilvl w:val="0"/>
          <w:numId w:val="6"/>
        </w:numPr>
        <w:spacing w:after="160" w:line="259" w:lineRule="auto"/>
        <w:rPr>
          <w:rFonts w:cs="Arial"/>
          <w:szCs w:val="24"/>
        </w:rPr>
      </w:pPr>
      <w:r w:rsidRPr="00FF71B0">
        <w:rPr>
          <w:rFonts w:cs="Arial"/>
          <w:szCs w:val="24"/>
        </w:rPr>
        <w:t xml:space="preserve">There is less similarity between the organism in the sample matrix and the control organism, as determined by the percent effect of the sample. The percent effect evaluation </w:t>
      </w:r>
      <w:r w:rsidR="002D01AF">
        <w:rPr>
          <w:rFonts w:cs="Arial"/>
          <w:szCs w:val="24"/>
        </w:rPr>
        <w:t>guideline</w:t>
      </w:r>
      <w:r w:rsidRPr="00FF71B0">
        <w:rPr>
          <w:rFonts w:cs="Arial"/>
          <w:szCs w:val="24"/>
        </w:rPr>
        <w:t xml:space="preserve"> is set at 20 percent for both chronic and acute toxicity for data associated with the Water Board SWAMP program. Some non-SWAMP data were evaluated using other percent effect evaluation </w:t>
      </w:r>
      <w:r w:rsidR="002D01AF">
        <w:rPr>
          <w:rFonts w:cs="Arial"/>
          <w:szCs w:val="24"/>
        </w:rPr>
        <w:t>guidelines</w:t>
      </w:r>
      <w:r w:rsidRPr="00FF71B0">
        <w:rPr>
          <w:rFonts w:cs="Arial"/>
          <w:szCs w:val="24"/>
        </w:rPr>
        <w:t>.</w:t>
      </w:r>
    </w:p>
    <w:p w14:paraId="4E1D9F2B" w14:textId="78286D86" w:rsidR="00783350" w:rsidRDefault="00783350" w:rsidP="00783350">
      <w:pPr>
        <w:pStyle w:val="Caption"/>
        <w:keepNext/>
      </w:pPr>
      <w:bookmarkStart w:id="105" w:name="_Toc118386789"/>
      <w:bookmarkStart w:id="106" w:name="_Toc118386821"/>
      <w:r>
        <w:t xml:space="preserve">Table </w:t>
      </w:r>
      <w:r w:rsidR="007710C3">
        <w:fldChar w:fldCharType="begin"/>
      </w:r>
      <w:r w:rsidR="007710C3">
        <w:instrText>STYLEREF 1 \s</w:instrText>
      </w:r>
      <w:r w:rsidR="007710C3">
        <w:fldChar w:fldCharType="separate"/>
      </w:r>
      <w:r w:rsidR="00C93408">
        <w:rPr>
          <w:noProof/>
        </w:rPr>
        <w:t>3</w:t>
      </w:r>
      <w:r w:rsidR="007710C3">
        <w:fldChar w:fldCharType="end"/>
      </w:r>
      <w:r>
        <w:noBreakHyphen/>
      </w:r>
      <w:r w:rsidR="00AE121C">
        <w:t>5</w:t>
      </w:r>
      <w:r>
        <w:t xml:space="preserve">: </w:t>
      </w:r>
      <w:r w:rsidRPr="00975F40">
        <w:t>Aquatic Toxicity Significant Effect Categories</w:t>
      </w:r>
      <w:bookmarkEnd w:id="105"/>
      <w:bookmarkEnd w:id="106"/>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quatic Toxicity Significant Effect Categories"/>
        <w:tblDescription w:val="This table describes the acronym for each significanr effect code, the definition of the code, and an explanation of how toxicity tests with the code are interpreted."/>
      </w:tblPr>
      <w:tblGrid>
        <w:gridCol w:w="1695"/>
        <w:gridCol w:w="4014"/>
        <w:gridCol w:w="3921"/>
      </w:tblGrid>
      <w:tr w:rsidR="007710C3" w:rsidRPr="004502A9" w14:paraId="25EBEE10" w14:textId="77777777" w:rsidTr="00F86F2F">
        <w:trPr>
          <w:trHeight w:val="521"/>
        </w:trPr>
        <w:tc>
          <w:tcPr>
            <w:tcW w:w="1695" w:type="dxa"/>
            <w:shd w:val="clear" w:color="auto" w:fill="D9E2F3" w:themeFill="accent1" w:themeFillTint="33"/>
            <w:vAlign w:val="center"/>
          </w:tcPr>
          <w:p w14:paraId="3C67C0C8" w14:textId="61082FE4" w:rsidR="007710C3" w:rsidRPr="009C2D2D" w:rsidRDefault="0093473C" w:rsidP="00F86F2F">
            <w:pPr>
              <w:spacing w:before="120" w:after="120"/>
              <w:jc w:val="center"/>
              <w:rPr>
                <w:rFonts w:cs="Arial"/>
                <w:b/>
                <w:bCs/>
                <w:szCs w:val="24"/>
              </w:rPr>
            </w:pPr>
            <w:r>
              <w:rPr>
                <w:rFonts w:cs="Arial"/>
                <w:b/>
                <w:bCs/>
                <w:szCs w:val="24"/>
              </w:rPr>
              <w:t>Category</w:t>
            </w:r>
          </w:p>
        </w:tc>
        <w:tc>
          <w:tcPr>
            <w:tcW w:w="4014" w:type="dxa"/>
            <w:shd w:val="clear" w:color="auto" w:fill="D9E2F3" w:themeFill="accent1" w:themeFillTint="33"/>
            <w:vAlign w:val="center"/>
          </w:tcPr>
          <w:p w14:paraId="735B9E8E" w14:textId="77777777" w:rsidR="007710C3" w:rsidRPr="009C2D2D" w:rsidRDefault="007710C3" w:rsidP="00F86F2F">
            <w:pPr>
              <w:spacing w:before="120" w:after="120"/>
              <w:jc w:val="center"/>
              <w:rPr>
                <w:rFonts w:cs="Arial"/>
                <w:b/>
                <w:bCs/>
                <w:szCs w:val="24"/>
              </w:rPr>
            </w:pPr>
            <w:r w:rsidRPr="009C2D2D">
              <w:rPr>
                <w:rFonts w:cs="Arial"/>
                <w:b/>
                <w:bCs/>
                <w:szCs w:val="24"/>
              </w:rPr>
              <w:t>Definition</w:t>
            </w:r>
          </w:p>
        </w:tc>
        <w:tc>
          <w:tcPr>
            <w:tcW w:w="3921" w:type="dxa"/>
            <w:shd w:val="clear" w:color="auto" w:fill="D9E2F3" w:themeFill="accent1" w:themeFillTint="33"/>
            <w:vAlign w:val="center"/>
          </w:tcPr>
          <w:p w14:paraId="1CDEAEFD" w14:textId="77777777" w:rsidR="007710C3" w:rsidRPr="009C2D2D" w:rsidRDefault="007710C3" w:rsidP="00F86F2F">
            <w:pPr>
              <w:spacing w:before="120" w:after="120"/>
              <w:jc w:val="center"/>
              <w:rPr>
                <w:rFonts w:cs="Arial"/>
                <w:b/>
                <w:bCs/>
                <w:szCs w:val="24"/>
              </w:rPr>
            </w:pPr>
            <w:r w:rsidRPr="009C2D2D">
              <w:rPr>
                <w:rFonts w:cs="Arial"/>
                <w:b/>
                <w:bCs/>
                <w:szCs w:val="24"/>
              </w:rPr>
              <w:t>Explanation</w:t>
            </w:r>
          </w:p>
        </w:tc>
      </w:tr>
      <w:tr w:rsidR="007710C3" w:rsidRPr="004502A9" w14:paraId="157436E3" w14:textId="77777777" w:rsidTr="00F86F2F">
        <w:trPr>
          <w:trHeight w:val="1178"/>
        </w:trPr>
        <w:tc>
          <w:tcPr>
            <w:tcW w:w="1695" w:type="dxa"/>
          </w:tcPr>
          <w:p w14:paraId="6718A098" w14:textId="77777777" w:rsidR="007710C3" w:rsidRPr="004502A9" w:rsidRDefault="007710C3" w:rsidP="00387CE9">
            <w:pPr>
              <w:spacing w:before="120" w:after="120"/>
              <w:rPr>
                <w:rFonts w:cs="Arial"/>
                <w:szCs w:val="24"/>
              </w:rPr>
            </w:pPr>
            <w:r w:rsidRPr="004502A9">
              <w:rPr>
                <w:rFonts w:cs="Arial"/>
                <w:szCs w:val="24"/>
              </w:rPr>
              <w:t>“Not Significant, Greater Similarity” (NSG)</w:t>
            </w:r>
          </w:p>
        </w:tc>
        <w:tc>
          <w:tcPr>
            <w:tcW w:w="4014" w:type="dxa"/>
          </w:tcPr>
          <w:p w14:paraId="36D5DDAE" w14:textId="77777777" w:rsidR="007710C3" w:rsidRPr="004502A9" w:rsidRDefault="007710C3" w:rsidP="00387CE9">
            <w:pPr>
              <w:spacing w:before="120" w:after="120"/>
              <w:rPr>
                <w:rFonts w:cs="Arial"/>
              </w:rPr>
            </w:pPr>
            <w:r w:rsidRPr="004502A9">
              <w:rPr>
                <w:rFonts w:cs="Arial"/>
              </w:rPr>
              <w:t>The test result is not statistically significant and shows a greater similarity to the control</w:t>
            </w:r>
            <w:r w:rsidRPr="004502A9" w:rsidDel="000B085E">
              <w:rPr>
                <w:rFonts w:cs="Arial"/>
              </w:rPr>
              <w:t xml:space="preserve"> (</w:t>
            </w:r>
            <w:r w:rsidRPr="004502A9">
              <w:rPr>
                <w:rFonts w:cs="Arial"/>
              </w:rPr>
              <w:t>i.e.</w:t>
            </w:r>
            <w:r w:rsidRPr="004502A9" w:rsidDel="000B085E">
              <w:rPr>
                <w:rFonts w:cs="Arial"/>
              </w:rPr>
              <w:t>, the percent effect is below a 20% threshold)</w:t>
            </w:r>
            <w:r w:rsidRPr="004502A9">
              <w:rPr>
                <w:rFonts w:cs="Arial"/>
              </w:rPr>
              <w:t>.</w:t>
            </w:r>
          </w:p>
        </w:tc>
        <w:tc>
          <w:tcPr>
            <w:tcW w:w="3921" w:type="dxa"/>
            <w:vAlign w:val="center"/>
          </w:tcPr>
          <w:p w14:paraId="45A63CB8" w14:textId="6E70B27E" w:rsidR="007710C3" w:rsidRPr="004502A9" w:rsidRDefault="007710C3" w:rsidP="00387CE9">
            <w:pPr>
              <w:spacing w:before="120" w:after="120"/>
              <w:rPr>
                <w:rFonts w:cs="Arial"/>
                <w:szCs w:val="24"/>
              </w:rPr>
            </w:pPr>
            <w:r w:rsidRPr="004502A9">
              <w:rPr>
                <w:rFonts w:cs="Arial"/>
                <w:szCs w:val="24"/>
              </w:rPr>
              <w:t xml:space="preserve">The result indicates that the sample is not toxic. </w:t>
            </w:r>
            <w:r w:rsidR="00812F69" w:rsidRPr="004502A9">
              <w:rPr>
                <w:rFonts w:cs="Arial"/>
                <w:szCs w:val="24"/>
              </w:rPr>
              <w:t>Th</w:t>
            </w:r>
            <w:r w:rsidR="00812F69">
              <w:rPr>
                <w:rFonts w:cs="Arial"/>
                <w:szCs w:val="24"/>
              </w:rPr>
              <w:t>ese</w:t>
            </w:r>
            <w:r w:rsidRPr="004502A9">
              <w:rPr>
                <w:rFonts w:cs="Arial"/>
                <w:szCs w:val="24"/>
              </w:rPr>
              <w:t xml:space="preserve"> data can be used with confidence.</w:t>
            </w:r>
          </w:p>
        </w:tc>
      </w:tr>
      <w:tr w:rsidR="007710C3" w:rsidRPr="004502A9" w14:paraId="1D50CDB7" w14:textId="77777777" w:rsidTr="00F86F2F">
        <w:trPr>
          <w:trHeight w:val="984"/>
        </w:trPr>
        <w:tc>
          <w:tcPr>
            <w:tcW w:w="1695" w:type="dxa"/>
          </w:tcPr>
          <w:p w14:paraId="266A665A" w14:textId="77777777" w:rsidR="007710C3" w:rsidRPr="004502A9" w:rsidRDefault="007710C3" w:rsidP="00387CE9">
            <w:pPr>
              <w:spacing w:before="120" w:after="120"/>
              <w:rPr>
                <w:rFonts w:cs="Arial"/>
                <w:szCs w:val="24"/>
              </w:rPr>
            </w:pPr>
            <w:r w:rsidRPr="004502A9">
              <w:rPr>
                <w:rFonts w:cs="Arial"/>
                <w:szCs w:val="24"/>
              </w:rPr>
              <w:t>“Not Significant, Less Similarity” (NSL)</w:t>
            </w:r>
          </w:p>
        </w:tc>
        <w:tc>
          <w:tcPr>
            <w:tcW w:w="4014" w:type="dxa"/>
          </w:tcPr>
          <w:p w14:paraId="5AE553E6" w14:textId="77777777" w:rsidR="007710C3" w:rsidRPr="004502A9" w:rsidRDefault="007710C3" w:rsidP="00387CE9">
            <w:pPr>
              <w:spacing w:before="120" w:after="120"/>
              <w:rPr>
                <w:rFonts w:cs="Arial"/>
              </w:rPr>
            </w:pPr>
            <w:r w:rsidRPr="004502A9">
              <w:rPr>
                <w:rFonts w:cs="Arial"/>
              </w:rPr>
              <w:t>The test result is not statistically significant but shows less similarity to the control</w:t>
            </w:r>
            <w:r w:rsidRPr="004502A9" w:rsidDel="00AA3FBB">
              <w:rPr>
                <w:rFonts w:cs="Arial"/>
              </w:rPr>
              <w:t xml:space="preserve"> (</w:t>
            </w:r>
            <w:r w:rsidRPr="004502A9">
              <w:rPr>
                <w:rFonts w:cs="Arial"/>
              </w:rPr>
              <w:t>i.e.</w:t>
            </w:r>
            <w:r w:rsidRPr="004502A9" w:rsidDel="00AA3FBB">
              <w:rPr>
                <w:rFonts w:cs="Arial"/>
              </w:rPr>
              <w:t>, the percent effect is equal to or greater than a 20% threshold)</w:t>
            </w:r>
            <w:r w:rsidRPr="004502A9">
              <w:rPr>
                <w:rFonts w:cs="Arial"/>
              </w:rPr>
              <w:t>.</w:t>
            </w:r>
          </w:p>
        </w:tc>
        <w:tc>
          <w:tcPr>
            <w:tcW w:w="3921" w:type="dxa"/>
            <w:vAlign w:val="center"/>
          </w:tcPr>
          <w:p w14:paraId="2AD08A27" w14:textId="77777777" w:rsidR="007710C3" w:rsidRPr="004502A9" w:rsidRDefault="007710C3" w:rsidP="00387CE9">
            <w:pPr>
              <w:spacing w:before="120" w:after="120"/>
              <w:rPr>
                <w:rFonts w:cs="Arial"/>
                <w:szCs w:val="24"/>
              </w:rPr>
            </w:pPr>
            <w:r w:rsidRPr="004502A9">
              <w:rPr>
                <w:rFonts w:cs="Arial"/>
                <w:szCs w:val="24"/>
              </w:rPr>
              <w:t>The result indicates that the sample may or may not be toxic, and that further investigation is necessary.</w:t>
            </w:r>
          </w:p>
        </w:tc>
      </w:tr>
      <w:tr w:rsidR="007710C3" w:rsidRPr="004502A9" w14:paraId="19178756" w14:textId="77777777" w:rsidTr="00F86F2F">
        <w:trPr>
          <w:trHeight w:val="984"/>
        </w:trPr>
        <w:tc>
          <w:tcPr>
            <w:tcW w:w="1695" w:type="dxa"/>
          </w:tcPr>
          <w:p w14:paraId="3FF0AD43" w14:textId="77777777" w:rsidR="007710C3" w:rsidRPr="004502A9" w:rsidRDefault="007710C3" w:rsidP="00387CE9">
            <w:pPr>
              <w:spacing w:before="120" w:after="120"/>
              <w:rPr>
                <w:rFonts w:cs="Arial"/>
                <w:szCs w:val="24"/>
              </w:rPr>
            </w:pPr>
            <w:r w:rsidRPr="004502A9">
              <w:rPr>
                <w:rFonts w:cs="Arial"/>
                <w:szCs w:val="24"/>
              </w:rPr>
              <w:t>“Significant, Greater Similarity” (SG)</w:t>
            </w:r>
          </w:p>
        </w:tc>
        <w:tc>
          <w:tcPr>
            <w:tcW w:w="4014" w:type="dxa"/>
          </w:tcPr>
          <w:p w14:paraId="0F33BDA2" w14:textId="77777777" w:rsidR="007710C3" w:rsidRPr="004502A9" w:rsidRDefault="007710C3" w:rsidP="00387CE9">
            <w:pPr>
              <w:spacing w:before="120" w:after="120"/>
              <w:rPr>
                <w:rFonts w:cs="Arial"/>
              </w:rPr>
            </w:pPr>
            <w:r w:rsidRPr="004502A9">
              <w:rPr>
                <w:rFonts w:cs="Arial"/>
              </w:rPr>
              <w:t>The test result is statistically significant but shows greater similarity to the control</w:t>
            </w:r>
            <w:r w:rsidRPr="004502A9" w:rsidDel="008278FD">
              <w:rPr>
                <w:rFonts w:cs="Arial"/>
              </w:rPr>
              <w:t xml:space="preserve"> (</w:t>
            </w:r>
            <w:r w:rsidRPr="004502A9">
              <w:rPr>
                <w:rFonts w:cs="Arial"/>
              </w:rPr>
              <w:t>i.e.</w:t>
            </w:r>
            <w:r w:rsidRPr="004502A9" w:rsidDel="008278FD">
              <w:rPr>
                <w:rFonts w:cs="Arial"/>
              </w:rPr>
              <w:t>, the percent effect is below a 20% threshold)</w:t>
            </w:r>
            <w:r w:rsidRPr="004502A9">
              <w:rPr>
                <w:rFonts w:cs="Arial"/>
              </w:rPr>
              <w:t>.</w:t>
            </w:r>
          </w:p>
        </w:tc>
        <w:tc>
          <w:tcPr>
            <w:tcW w:w="3921" w:type="dxa"/>
            <w:vAlign w:val="center"/>
          </w:tcPr>
          <w:p w14:paraId="4EFE9E9B" w14:textId="77777777" w:rsidR="007710C3" w:rsidRPr="004502A9" w:rsidRDefault="007710C3" w:rsidP="00387CE9">
            <w:pPr>
              <w:spacing w:before="120" w:after="120"/>
              <w:rPr>
                <w:rFonts w:cs="Arial"/>
                <w:szCs w:val="24"/>
              </w:rPr>
            </w:pPr>
            <w:r w:rsidRPr="004502A9">
              <w:rPr>
                <w:rFonts w:cs="Arial"/>
                <w:szCs w:val="24"/>
              </w:rPr>
              <w:t>The result indicates that the sample may or may not be toxic, and that further investigation is necessary.</w:t>
            </w:r>
          </w:p>
        </w:tc>
      </w:tr>
      <w:tr w:rsidR="007710C3" w:rsidRPr="004502A9" w14:paraId="04F862AB" w14:textId="77777777" w:rsidTr="00F86F2F">
        <w:trPr>
          <w:trHeight w:val="984"/>
        </w:trPr>
        <w:tc>
          <w:tcPr>
            <w:tcW w:w="1695" w:type="dxa"/>
          </w:tcPr>
          <w:p w14:paraId="36AFBEB7" w14:textId="77777777" w:rsidR="007710C3" w:rsidRPr="004502A9" w:rsidRDefault="007710C3" w:rsidP="00387CE9">
            <w:pPr>
              <w:spacing w:before="120" w:after="120"/>
              <w:rPr>
                <w:rFonts w:cs="Arial"/>
                <w:szCs w:val="24"/>
              </w:rPr>
            </w:pPr>
            <w:r w:rsidRPr="004502A9">
              <w:rPr>
                <w:rFonts w:cs="Arial"/>
                <w:szCs w:val="24"/>
              </w:rPr>
              <w:t>“Significant, Less Similarity” (SL)</w:t>
            </w:r>
          </w:p>
        </w:tc>
        <w:tc>
          <w:tcPr>
            <w:tcW w:w="4014" w:type="dxa"/>
          </w:tcPr>
          <w:p w14:paraId="0F344F78" w14:textId="77777777" w:rsidR="007710C3" w:rsidRPr="004502A9" w:rsidRDefault="007710C3" w:rsidP="00387CE9">
            <w:pPr>
              <w:spacing w:before="120" w:after="120"/>
              <w:rPr>
                <w:rFonts w:cs="Arial"/>
              </w:rPr>
            </w:pPr>
            <w:r w:rsidRPr="004502A9">
              <w:rPr>
                <w:rFonts w:cs="Arial"/>
              </w:rPr>
              <w:t>The test result is statistically significant and shows less similarity to the control</w:t>
            </w:r>
            <w:r w:rsidRPr="004502A9" w:rsidDel="008278FD">
              <w:rPr>
                <w:rFonts w:cs="Arial"/>
              </w:rPr>
              <w:t xml:space="preserve"> (</w:t>
            </w:r>
            <w:r w:rsidRPr="004502A9">
              <w:rPr>
                <w:rFonts w:cs="Arial"/>
              </w:rPr>
              <w:t>i.e.</w:t>
            </w:r>
            <w:r w:rsidRPr="004502A9" w:rsidDel="008278FD">
              <w:rPr>
                <w:rFonts w:cs="Arial"/>
              </w:rPr>
              <w:t>, the percent effect is equal to or greater than a 20% threshold)</w:t>
            </w:r>
            <w:r w:rsidRPr="004502A9">
              <w:rPr>
                <w:rFonts w:cs="Arial"/>
              </w:rPr>
              <w:t>.</w:t>
            </w:r>
          </w:p>
        </w:tc>
        <w:tc>
          <w:tcPr>
            <w:tcW w:w="3921" w:type="dxa"/>
            <w:vAlign w:val="center"/>
          </w:tcPr>
          <w:p w14:paraId="64D97207" w14:textId="6521D4E2" w:rsidR="007710C3" w:rsidRPr="004502A9" w:rsidRDefault="007710C3" w:rsidP="00387CE9">
            <w:pPr>
              <w:spacing w:before="120" w:after="120"/>
              <w:rPr>
                <w:rFonts w:cs="Arial"/>
                <w:szCs w:val="24"/>
              </w:rPr>
            </w:pPr>
            <w:r w:rsidRPr="004502A9">
              <w:rPr>
                <w:rFonts w:cs="Arial"/>
                <w:szCs w:val="24"/>
              </w:rPr>
              <w:t xml:space="preserve">The result indicates that the sample is toxic. </w:t>
            </w:r>
            <w:r w:rsidR="00812F69" w:rsidRPr="004502A9">
              <w:rPr>
                <w:rFonts w:cs="Arial"/>
                <w:szCs w:val="24"/>
              </w:rPr>
              <w:t>Th</w:t>
            </w:r>
            <w:r w:rsidR="00812F69">
              <w:rPr>
                <w:rFonts w:cs="Arial"/>
                <w:szCs w:val="24"/>
              </w:rPr>
              <w:t>ese</w:t>
            </w:r>
            <w:r w:rsidRPr="004502A9">
              <w:rPr>
                <w:rFonts w:cs="Arial"/>
                <w:szCs w:val="24"/>
              </w:rPr>
              <w:t xml:space="preserve"> data can be used with confidence.</w:t>
            </w:r>
          </w:p>
        </w:tc>
      </w:tr>
    </w:tbl>
    <w:p w14:paraId="32C10F83" w14:textId="4BA50D12" w:rsidR="007710C3" w:rsidRPr="004502A9" w:rsidRDefault="00DB63AF" w:rsidP="00597DE8">
      <w:pPr>
        <w:pStyle w:val="Heading2"/>
      </w:pPr>
      <w:bookmarkStart w:id="107" w:name="_Toc189048585"/>
      <w:r>
        <w:t xml:space="preserve">Biological Assessments and </w:t>
      </w:r>
      <w:r w:rsidR="007710C3" w:rsidRPr="004502A9">
        <w:t>Benthic Community Effects</w:t>
      </w:r>
      <w:bookmarkEnd w:id="107"/>
    </w:p>
    <w:p w14:paraId="0CAA1F77" w14:textId="3AECC49E" w:rsidR="007C794B" w:rsidRPr="007C794B" w:rsidRDefault="00DB63AF" w:rsidP="007C794B">
      <w:r>
        <w:t>Biological assessments, or b</w:t>
      </w:r>
      <w:r w:rsidR="007C794B" w:rsidRPr="007C794B">
        <w:t>ioassessments</w:t>
      </w:r>
      <w:r>
        <w:t>,</w:t>
      </w:r>
      <w:r w:rsidR="007C794B" w:rsidRPr="007C794B">
        <w:t xml:space="preserve"> are an effective tool for evaluating ecosystem health because biological assemblages (e.g., macroinvertebrates, fish, etc.) integrate relevant chemical, physical, and biological factors in the environment. Bioassessment of natural communities directly assesses the status of a waterbody </w:t>
      </w:r>
      <w:r w:rsidR="0065618F">
        <w:t xml:space="preserve">segment </w:t>
      </w:r>
      <w:r w:rsidR="007C794B" w:rsidRPr="007C794B">
        <w:t>relative to the primary goal of measuring the biological integrity of waters within the state.</w:t>
      </w:r>
    </w:p>
    <w:p w14:paraId="3B91E07D" w14:textId="3DB8322A" w:rsidR="00976FB9" w:rsidRDefault="00976FB9" w:rsidP="007C794B">
      <w:r w:rsidRPr="00976FB9">
        <w:t xml:space="preserve">The </w:t>
      </w:r>
      <w:r w:rsidR="00E44238">
        <w:t>goal</w:t>
      </w:r>
      <w:r w:rsidRPr="00976FB9">
        <w:t xml:space="preserve"> of the</w:t>
      </w:r>
      <w:r w:rsidR="00574F3B">
        <w:t xml:space="preserve"> CWA</w:t>
      </w:r>
      <w:r w:rsidR="00574F3B" w:rsidRPr="00574F3B">
        <w:t xml:space="preserve"> is "to restore and maintain the chemical, physical, and </w:t>
      </w:r>
      <w:r w:rsidR="00574F3B" w:rsidRPr="00880657">
        <w:rPr>
          <w:i/>
          <w:iCs/>
        </w:rPr>
        <w:t>biological integrity</w:t>
      </w:r>
      <w:r w:rsidR="00574F3B" w:rsidRPr="00574F3B">
        <w:t xml:space="preserve"> of the Nation's waters</w:t>
      </w:r>
      <w:r w:rsidR="00FB75A5">
        <w:t>.”</w:t>
      </w:r>
      <w:r w:rsidR="00574F3B" w:rsidRPr="00574F3B">
        <w:t xml:space="preserve"> (33 U.S.C § 1251(a)</w:t>
      </w:r>
      <w:r w:rsidR="007B4F5F">
        <w:t xml:space="preserve"> </w:t>
      </w:r>
      <w:r w:rsidR="004A3956">
        <w:t>(italics added)</w:t>
      </w:r>
      <w:r w:rsidR="00574F3B" w:rsidRPr="00574F3B">
        <w:t>.)</w:t>
      </w:r>
      <w:r w:rsidR="00C05F78">
        <w:t xml:space="preserve"> </w:t>
      </w:r>
      <w:r w:rsidR="009E245F">
        <w:t>Further</w:t>
      </w:r>
      <w:r w:rsidR="00522BB1">
        <w:t xml:space="preserve">, </w:t>
      </w:r>
      <w:r w:rsidR="00313C98">
        <w:t>USEPA</w:t>
      </w:r>
      <w:r w:rsidR="00607AA1">
        <w:t xml:space="preserve"> has stated</w:t>
      </w:r>
      <w:r w:rsidR="0022467D">
        <w:t>,</w:t>
      </w:r>
      <w:r w:rsidR="00607AA1">
        <w:t xml:space="preserve"> “</w:t>
      </w:r>
      <w:r w:rsidR="009E245F" w:rsidRPr="009E245F">
        <w:t>biological assessments should be fully integrated in state and tribal water quality programs and used together with whole effluent and ambient toxicity testing, and with chemical-specific analyses, to assess attainment of designated aquatic life uses in WQS (</w:t>
      </w:r>
      <w:r w:rsidR="00313C98">
        <w:t>USEPA</w:t>
      </w:r>
      <w:r w:rsidR="009E245F" w:rsidRPr="009E245F">
        <w:t xml:space="preserve"> 1991b). Each of these methods can be used to provide a valid assessment of aquatic life use impairment. Biological assessments complement chemical-specific, physical, and whole effluent toxicity measures of stress and exposure by directly assessing the response of the community in the field (</w:t>
      </w:r>
      <w:r w:rsidR="00313C98">
        <w:t>USEPA</w:t>
      </w:r>
      <w:r w:rsidR="009E245F" w:rsidRPr="009E245F">
        <w:t xml:space="preserve"> 1991a)</w:t>
      </w:r>
      <w:r w:rsidR="00E516CB">
        <w:t>”</w:t>
      </w:r>
      <w:r w:rsidR="00F37DB3">
        <w:t xml:space="preserve"> (</w:t>
      </w:r>
      <w:r w:rsidR="00313C98">
        <w:t>USEPA</w:t>
      </w:r>
      <w:r w:rsidR="001E327B">
        <w:t xml:space="preserve"> 2011</w:t>
      </w:r>
      <w:r w:rsidR="00F37DB3">
        <w:t>)</w:t>
      </w:r>
      <w:r w:rsidR="00E516CB">
        <w:t>.</w:t>
      </w:r>
    </w:p>
    <w:p w14:paraId="29044F01" w14:textId="54F5B56F" w:rsidR="007C794B" w:rsidRPr="007C794B" w:rsidRDefault="007C794B" w:rsidP="007C794B">
      <w:r w:rsidRPr="007C794B">
        <w:t xml:space="preserve">Section 3.9 of the Listing Policy provides that "a water segment shall be placed on the section 303(d) list if the water segment exhibits significant degradation in biological populations and/or communities as compared to reference site(s) and is associated with water or sediment concentrations of pollutants </w:t>
      </w:r>
      <w:r w:rsidR="00853D37">
        <w:t>including but not limited to chemical concentrations, temperature, dissolved oxygen, and trash.”</w:t>
      </w:r>
    </w:p>
    <w:p w14:paraId="5511C040" w14:textId="77777777" w:rsidR="0054548A" w:rsidRDefault="007C794B" w:rsidP="0054548A">
      <w:r w:rsidRPr="007C794B">
        <w:t xml:space="preserve">Benthic macroinvertebrates </w:t>
      </w:r>
      <w:r w:rsidR="00E65929">
        <w:t xml:space="preserve">include </w:t>
      </w:r>
      <w:r w:rsidR="00E65929" w:rsidRPr="007C794B">
        <w:t>aquatic insect</w:t>
      </w:r>
      <w:r w:rsidR="00E65929">
        <w:t xml:space="preserve"> larvae</w:t>
      </w:r>
      <w:r w:rsidR="00E65929" w:rsidRPr="007C794B">
        <w:t>, crustaceans, mollusks, and worms that live at the bottom of rivers and streams</w:t>
      </w:r>
      <w:r w:rsidR="00D2484C">
        <w:t>. Because they</w:t>
      </w:r>
      <w:r w:rsidR="00E65929" w:rsidRPr="007C794B">
        <w:t xml:space="preserve"> </w:t>
      </w:r>
      <w:r w:rsidRPr="007C794B">
        <w:t>are ubiquitous, relatively stationary</w:t>
      </w:r>
      <w:r w:rsidR="00D2484C">
        <w:t>,</w:t>
      </w:r>
      <w:r w:rsidRPr="007C794B">
        <w:t xml:space="preserve"> and </w:t>
      </w:r>
      <w:r w:rsidR="003C4376">
        <w:t>diverse</w:t>
      </w:r>
      <w:r w:rsidR="006F6C03">
        <w:t>, assessing types and numbers</w:t>
      </w:r>
      <w:r w:rsidRPr="007C794B">
        <w:t xml:space="preserve"> provides a range of responses to environmental pressures. </w:t>
      </w:r>
    </w:p>
    <w:p w14:paraId="3A204E1E" w14:textId="00AF4343" w:rsidR="006F6C03" w:rsidRDefault="0054548A" w:rsidP="007C794B">
      <w:r w:rsidRPr="007C794B">
        <w:t xml:space="preserve">Section 3.9 of the Listing Policy requires that “the analysis should rely on measurements from at least two stations.” The waterbody </w:t>
      </w:r>
      <w:r>
        <w:t>segment</w:t>
      </w:r>
      <w:r w:rsidRPr="007C794B">
        <w:t xml:space="preserve"> </w:t>
      </w:r>
      <w:r>
        <w:t>was</w:t>
      </w:r>
      <w:r w:rsidRPr="007C794B">
        <w:t xml:space="preserve"> considered to exhibit significant degradation in a receiving water where CSCI scores show degradation at one or more stations during one sampling season or at one station over multiple sampling seasons. This </w:t>
      </w:r>
      <w:r>
        <w:t>requirement</w:t>
      </w:r>
      <w:r w:rsidRPr="007C794B">
        <w:t xml:space="preserve"> ensure</w:t>
      </w:r>
      <w:r>
        <w:t>s</w:t>
      </w:r>
      <w:r w:rsidRPr="007C794B">
        <w:t xml:space="preserve"> the assessment is based on temporally and spatially representative data. </w:t>
      </w:r>
    </w:p>
    <w:p w14:paraId="0984C88B" w14:textId="77777777" w:rsidR="007710C3" w:rsidRPr="007C794B" w:rsidRDefault="2AD6AED2" w:rsidP="005632BC">
      <w:pPr>
        <w:pStyle w:val="Heading3"/>
      </w:pPr>
      <w:bookmarkStart w:id="108" w:name="_Toc189048586"/>
      <w:r w:rsidRPr="007C794B">
        <w:t>Use of CSCI Scores</w:t>
      </w:r>
      <w:bookmarkEnd w:id="108"/>
      <w:r w:rsidRPr="007C794B">
        <w:t xml:space="preserve"> </w:t>
      </w:r>
    </w:p>
    <w:p w14:paraId="460E215C" w14:textId="350B8E81" w:rsidR="007710C3" w:rsidRDefault="009C4BFA" w:rsidP="007710C3">
      <w:r w:rsidRPr="007C794B">
        <w:t xml:space="preserve">The California Stream Condition Index (“CSCI”) is used to “score” biological condition of benthic macroinvertebrates at sampled sites. The CSCI is a tool which translates species taxa data about benthic macroinvertebrates found living in a stream into an overall measure of stream health (Mazor et al. 2016). </w:t>
      </w:r>
      <w:r w:rsidR="007710C3" w:rsidRPr="007C794B">
        <w:t xml:space="preserve">The CSCI score indicates whether, and to what degree, the ecology of a stream is altered from a healthy state as indicated by the aquatic insect larvae and other macroinvertebrates living in, on, or near the bottom, or benthic zone, of a </w:t>
      </w:r>
      <w:r w:rsidR="00812F69" w:rsidRPr="007C794B">
        <w:t>wadable</w:t>
      </w:r>
      <w:r w:rsidR="007710C3" w:rsidRPr="007C794B">
        <w:t xml:space="preserve"> stream or river. </w:t>
      </w:r>
    </w:p>
    <w:p w14:paraId="32473B21" w14:textId="77777777" w:rsidR="002159F7" w:rsidRDefault="00497CAF" w:rsidP="00312815">
      <w:r w:rsidRPr="007C794B">
        <w:t>The CSCI score is calculated by comparing the expected condition (i.e., the reference site) with actual</w:t>
      </w:r>
      <w:r>
        <w:t xml:space="preserve">, </w:t>
      </w:r>
      <w:r w:rsidRPr="007C794B">
        <w:t>observed</w:t>
      </w:r>
      <w:r>
        <w:t xml:space="preserve"> </w:t>
      </w:r>
      <w:r w:rsidRPr="007C794B">
        <w:t xml:space="preserve">results. CSCI scores range from 0 (highly degraded) to greater than 1 (equivalent to reference condition). </w:t>
      </w:r>
      <w:r>
        <w:t xml:space="preserve">See Table 3-5: </w:t>
      </w:r>
      <w:r w:rsidRPr="007C794B">
        <w:t xml:space="preserve">CSCI </w:t>
      </w:r>
      <w:r>
        <w:t>S</w:t>
      </w:r>
      <w:r w:rsidRPr="007C794B">
        <w:t>cor</w:t>
      </w:r>
      <w:r>
        <w:t>e</w:t>
      </w:r>
      <w:r w:rsidRPr="007C794B">
        <w:t xml:space="preserve"> </w:t>
      </w:r>
      <w:r>
        <w:t>Ranges and</w:t>
      </w:r>
      <w:r w:rsidRPr="007C794B">
        <w:t xml:space="preserve"> </w:t>
      </w:r>
      <w:r>
        <w:t>B</w:t>
      </w:r>
      <w:r w:rsidRPr="007C794B">
        <w:t xml:space="preserve">iological </w:t>
      </w:r>
      <w:r>
        <w:t>C</w:t>
      </w:r>
      <w:r w:rsidRPr="007C794B">
        <w:t>onditions.</w:t>
      </w:r>
      <w:r>
        <w:t xml:space="preserve"> </w:t>
      </w:r>
    </w:p>
    <w:p w14:paraId="436C115A" w14:textId="62110C78" w:rsidR="00497CAF" w:rsidRPr="00F0736F" w:rsidRDefault="00497CAF" w:rsidP="00497CAF">
      <w:pPr>
        <w:pStyle w:val="Caption"/>
      </w:pPr>
      <w:r w:rsidRPr="00F0736F">
        <w:t xml:space="preserve">Table </w:t>
      </w:r>
      <w:r>
        <w:fldChar w:fldCharType="begin"/>
      </w:r>
      <w:r w:rsidRPr="00F0736F">
        <w:instrText>STYLEREF 1 \s</w:instrText>
      </w:r>
      <w:r>
        <w:fldChar w:fldCharType="separate"/>
      </w:r>
      <w:r w:rsidRPr="00F0736F">
        <w:t>3</w:t>
      </w:r>
      <w:r>
        <w:fldChar w:fldCharType="end"/>
      </w:r>
      <w:r w:rsidRPr="00F0736F">
        <w:noBreakHyphen/>
      </w:r>
      <w:r w:rsidR="00AE121C">
        <w:t>6</w:t>
      </w:r>
      <w:r w:rsidRPr="00F0736F">
        <w:t>: CSCI Score Ranges and Biological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bottom w:w="115" w:type="dxa"/>
        </w:tblCellMar>
        <w:tblLook w:val="04A0" w:firstRow="1" w:lastRow="0" w:firstColumn="1" w:lastColumn="0" w:noHBand="0" w:noVBand="1"/>
        <w:tblCaption w:val="CSCI Score Ranges and Biological Conditions"/>
        <w:tblDescription w:val="This table shows California Stream Condition Index (CSCI) score ranges and the condition of the waterbody that the score range represents."/>
      </w:tblPr>
      <w:tblGrid>
        <w:gridCol w:w="4485"/>
        <w:gridCol w:w="4505"/>
      </w:tblGrid>
      <w:tr w:rsidR="00497CAF" w:rsidRPr="004502A9" w14:paraId="2BDE9593" w14:textId="77777777">
        <w:tc>
          <w:tcPr>
            <w:tcW w:w="4485" w:type="dxa"/>
            <w:shd w:val="clear" w:color="auto" w:fill="D9E2F3" w:themeFill="accent1" w:themeFillTint="33"/>
            <w:vAlign w:val="center"/>
          </w:tcPr>
          <w:p w14:paraId="23E2766D" w14:textId="77777777" w:rsidR="00497CAF" w:rsidRPr="007C794B" w:rsidRDefault="00497CAF">
            <w:pPr>
              <w:spacing w:after="0"/>
              <w:jc w:val="center"/>
              <w:rPr>
                <w:b/>
              </w:rPr>
            </w:pPr>
            <w:r w:rsidRPr="007C794B">
              <w:rPr>
                <w:b/>
              </w:rPr>
              <w:t>CSCI Score Range</w:t>
            </w:r>
          </w:p>
        </w:tc>
        <w:tc>
          <w:tcPr>
            <w:tcW w:w="4505" w:type="dxa"/>
            <w:shd w:val="clear" w:color="auto" w:fill="D9E2F3" w:themeFill="accent1" w:themeFillTint="33"/>
            <w:vAlign w:val="center"/>
          </w:tcPr>
          <w:p w14:paraId="41E5E713" w14:textId="77777777" w:rsidR="00497CAF" w:rsidRPr="007C794B" w:rsidRDefault="00497CAF">
            <w:pPr>
              <w:spacing w:after="0"/>
              <w:jc w:val="center"/>
              <w:rPr>
                <w:b/>
              </w:rPr>
            </w:pPr>
            <w:r w:rsidRPr="007C794B">
              <w:rPr>
                <w:b/>
              </w:rPr>
              <w:t>Condition</w:t>
            </w:r>
          </w:p>
        </w:tc>
      </w:tr>
      <w:tr w:rsidR="00497CAF" w:rsidRPr="004502A9" w14:paraId="20DE9A36" w14:textId="77777777">
        <w:tc>
          <w:tcPr>
            <w:tcW w:w="4485" w:type="dxa"/>
          </w:tcPr>
          <w:p w14:paraId="151D01CB" w14:textId="77777777" w:rsidR="00497CAF" w:rsidRPr="007C794B" w:rsidRDefault="00497CAF">
            <w:pPr>
              <w:spacing w:after="0"/>
              <w:jc w:val="center"/>
            </w:pPr>
            <w:r w:rsidRPr="007C794B">
              <w:t>≥ 0.92</w:t>
            </w:r>
          </w:p>
        </w:tc>
        <w:tc>
          <w:tcPr>
            <w:tcW w:w="4505" w:type="dxa"/>
          </w:tcPr>
          <w:p w14:paraId="14DA96F9" w14:textId="77777777" w:rsidR="00497CAF" w:rsidRPr="007C794B" w:rsidRDefault="00497CAF">
            <w:pPr>
              <w:spacing w:after="0"/>
              <w:jc w:val="center"/>
            </w:pPr>
            <w:r w:rsidRPr="007C794B">
              <w:t>Likely intact</w:t>
            </w:r>
          </w:p>
        </w:tc>
      </w:tr>
      <w:tr w:rsidR="00497CAF" w:rsidRPr="004502A9" w14:paraId="489AFEF7" w14:textId="77777777">
        <w:tc>
          <w:tcPr>
            <w:tcW w:w="4485" w:type="dxa"/>
          </w:tcPr>
          <w:p w14:paraId="16CED599" w14:textId="77777777" w:rsidR="00497CAF" w:rsidRPr="007C794B" w:rsidRDefault="00497CAF">
            <w:pPr>
              <w:spacing w:after="0"/>
              <w:jc w:val="center"/>
            </w:pPr>
            <w:r w:rsidRPr="007C794B">
              <w:t>0.80 - 0.91</w:t>
            </w:r>
          </w:p>
        </w:tc>
        <w:tc>
          <w:tcPr>
            <w:tcW w:w="4505" w:type="dxa"/>
          </w:tcPr>
          <w:p w14:paraId="17E5091B" w14:textId="77777777" w:rsidR="00497CAF" w:rsidRPr="007C794B" w:rsidRDefault="00497CAF">
            <w:pPr>
              <w:spacing w:after="0"/>
              <w:jc w:val="center"/>
            </w:pPr>
            <w:r w:rsidRPr="007C794B">
              <w:t>Possibly altered</w:t>
            </w:r>
          </w:p>
        </w:tc>
      </w:tr>
      <w:tr w:rsidR="00497CAF" w:rsidRPr="004502A9" w14:paraId="668E1AC7" w14:textId="77777777">
        <w:trPr>
          <w:trHeight w:val="179"/>
        </w:trPr>
        <w:tc>
          <w:tcPr>
            <w:tcW w:w="4485" w:type="dxa"/>
          </w:tcPr>
          <w:p w14:paraId="7D341F5F" w14:textId="77777777" w:rsidR="00497CAF" w:rsidRPr="007C794B" w:rsidRDefault="00497CAF">
            <w:pPr>
              <w:spacing w:after="0"/>
              <w:jc w:val="center"/>
            </w:pPr>
            <w:r w:rsidRPr="007C794B">
              <w:t>0.63 - 0.79</w:t>
            </w:r>
          </w:p>
        </w:tc>
        <w:tc>
          <w:tcPr>
            <w:tcW w:w="4505" w:type="dxa"/>
          </w:tcPr>
          <w:p w14:paraId="53A470F4" w14:textId="77777777" w:rsidR="00497CAF" w:rsidRPr="007C794B" w:rsidRDefault="00497CAF">
            <w:pPr>
              <w:spacing w:after="0"/>
              <w:jc w:val="center"/>
            </w:pPr>
            <w:r w:rsidRPr="007C794B">
              <w:t>Likely altered</w:t>
            </w:r>
          </w:p>
        </w:tc>
      </w:tr>
      <w:tr w:rsidR="00497CAF" w:rsidRPr="004502A9" w14:paraId="003618E5" w14:textId="77777777">
        <w:tc>
          <w:tcPr>
            <w:tcW w:w="4485" w:type="dxa"/>
          </w:tcPr>
          <w:p w14:paraId="74A631D6" w14:textId="77777777" w:rsidR="00497CAF" w:rsidRPr="007C794B" w:rsidRDefault="00497CAF">
            <w:pPr>
              <w:spacing w:after="0"/>
              <w:jc w:val="center"/>
            </w:pPr>
            <w:r w:rsidRPr="007C794B">
              <w:t>≤ 0.62</w:t>
            </w:r>
          </w:p>
        </w:tc>
        <w:tc>
          <w:tcPr>
            <w:tcW w:w="4505" w:type="dxa"/>
          </w:tcPr>
          <w:p w14:paraId="26D2CE03" w14:textId="77777777" w:rsidR="00497CAF" w:rsidRPr="007C794B" w:rsidRDefault="00497CAF">
            <w:pPr>
              <w:spacing w:after="0"/>
              <w:jc w:val="center"/>
            </w:pPr>
            <w:r w:rsidRPr="007C794B">
              <w:t>Very likely altered</w:t>
            </w:r>
          </w:p>
        </w:tc>
      </w:tr>
    </w:tbl>
    <w:p w14:paraId="3665A777" w14:textId="77777777" w:rsidR="00497CAF" w:rsidRPr="007C794B" w:rsidRDefault="00497CAF" w:rsidP="00497CAF">
      <w:pPr>
        <w:rPr>
          <w:i/>
        </w:rPr>
      </w:pPr>
      <w:r w:rsidRPr="007C794B">
        <w:rPr>
          <w:i/>
        </w:rPr>
        <w:t>Adapted from Mazor et al. 2016</w:t>
      </w:r>
    </w:p>
    <w:p w14:paraId="5A823C35" w14:textId="77777777" w:rsidR="006C5D5A" w:rsidRDefault="007710C3" w:rsidP="007710C3">
      <w:r w:rsidRPr="007C794B">
        <w:t xml:space="preserve">More specifically, the CSCI score is a measure of how well a site’s observed condition matches its predicted, or expected, healthy </w:t>
      </w:r>
      <w:r w:rsidR="007C794B" w:rsidRPr="007C794B">
        <w:t>(i.e., reference) condition.</w:t>
      </w:r>
      <w:r w:rsidRPr="007C794B">
        <w:t xml:space="preserve"> Expected values for a set of ecological measures are predicted using statistical models developed from reference sites, which are healthy stream reaches that set a benchmark of ecological conditions when human disturbance in the upstream watershed is absent or minimal. Predictions are based on natural environmental variables (i.e., site elevation, catchment or watershed size, climate and geology) resulting in a site-specific prediction for each site; greater deviations from this expectation indicate a greater likelihood of degradation relative to reference conditions. </w:t>
      </w:r>
    </w:p>
    <w:p w14:paraId="2722AE59" w14:textId="0B79D129" w:rsidR="007710C3" w:rsidRPr="007C794B" w:rsidRDefault="007710C3" w:rsidP="007710C3">
      <w:r w:rsidRPr="007C794B">
        <w:t>The CSCI is made up of two types of indices: (1) observed</w:t>
      </w:r>
      <w:r w:rsidR="00F13261">
        <w:t xml:space="preserve"> (“O”)</w:t>
      </w:r>
      <w:r w:rsidRPr="007C794B">
        <w:t xml:space="preserve"> to expected (“E</w:t>
      </w:r>
      <w:r w:rsidR="00F13261">
        <w:t xml:space="preserve">”) </w:t>
      </w:r>
      <w:r w:rsidRPr="007C794B">
        <w:t>(</w:t>
      </w:r>
      <w:r w:rsidR="00BD2BC0">
        <w:t xml:space="preserve">the </w:t>
      </w:r>
      <w:r w:rsidRPr="007C794B">
        <w:t>“O/E</w:t>
      </w:r>
      <w:r w:rsidR="00BD2BC0">
        <w:t xml:space="preserve"> index</w:t>
      </w:r>
      <w:r w:rsidRPr="007C794B">
        <w:t xml:space="preserve">”), which measures taxonomic completeness which is the proportion of expected native macroinvertebrate species that are observed at a site, and (2) multi-metric index (“MMI”) that measures macroinvertebrate ecological structure (e.g., diversity) and function (e.g., nutrient cycling). </w:t>
      </w:r>
    </w:p>
    <w:p w14:paraId="788763B2" w14:textId="4D590001" w:rsidR="007710C3" w:rsidRPr="007C794B" w:rsidRDefault="007710C3" w:rsidP="007710C3">
      <w:r w:rsidRPr="007C794B">
        <w:t>The O/E index is created through predictive modeling where taxa that are expected at a monitoring and assessment site are predicted by modeling relationships between macroinvertebrate taxonomic composition and natural environmental variables at reference sites. Benthic community condition at a site is then measured as the number of expected benthic macroinvertebrate taxa (</w:t>
      </w:r>
      <w:r w:rsidR="00BD2BC0">
        <w:t xml:space="preserve">i.e., </w:t>
      </w:r>
      <w:r w:rsidRPr="007C794B">
        <w:t>“E”) compared to the number that are actually observed (</w:t>
      </w:r>
      <w:r w:rsidR="00BD2BC0">
        <w:t xml:space="preserve">i.e., </w:t>
      </w:r>
      <w:r w:rsidRPr="007C794B">
        <w:t xml:space="preserve">“O”), and degradation is measured as the loss of expected native taxa. </w:t>
      </w:r>
    </w:p>
    <w:p w14:paraId="7D089BEC" w14:textId="48E7EC94" w:rsidR="007710C3" w:rsidRPr="007C794B" w:rsidRDefault="007710C3" w:rsidP="007710C3">
      <w:r w:rsidRPr="007C794B">
        <w:t>The MMI combines six measures of the benthic macroinvertebrates assemblage, or “metrics</w:t>
      </w:r>
      <w:r w:rsidR="005D5D34">
        <w:t>,</w:t>
      </w:r>
      <w:r w:rsidRPr="007C794B">
        <w:t>” into a single measure of biological condition. Each of the metrics represent different aspects of assemblage composition, or the various species living within the benthic aquatic ecosystem. They were chosen based on their ability to differentiate between reference and high</w:t>
      </w:r>
      <w:r w:rsidR="00377DAA" w:rsidRPr="007C794B">
        <w:t xml:space="preserve"> </w:t>
      </w:r>
      <w:r w:rsidRPr="007C794B">
        <w:t xml:space="preserve">activity/disturbance sites and by their lack of bias among Perennial Streams Assessment regions (i.e., the metrics performed consistently across different ecoregions in California). Finally, all of the six metrics are “decreasers” as their values all decrease as human disturbance increases. That is, higher values indicate better conditions for all six metrics. A brief description of the six MMI metrics and their relevance to biological conditions are listed below: </w:t>
      </w:r>
    </w:p>
    <w:p w14:paraId="4E529B1A" w14:textId="506AB80C" w:rsidR="007710C3" w:rsidRPr="007C794B" w:rsidRDefault="007710C3" w:rsidP="00A67AFD">
      <w:pPr>
        <w:numPr>
          <w:ilvl w:val="0"/>
          <w:numId w:val="11"/>
        </w:numPr>
        <w:rPr>
          <w:b/>
        </w:rPr>
      </w:pPr>
      <w:r w:rsidRPr="007C794B">
        <w:rPr>
          <w:b/>
        </w:rPr>
        <w:t>Percent Clinger Taxa</w:t>
      </w:r>
      <w:r w:rsidRPr="007C794B">
        <w:t xml:space="preserve"> - percent of species present that are clingers. Clingers are a category of benthic macroinvertebrates based on their ‘clinging’ behavior and broadly include several different types of aquatic species such as stoneflies, dragonflies, and others. They typically require fast-flowing water and coarse streambed material to cling to, so they are very sensitive to hydromodification and altered sediment regimes.</w:t>
      </w:r>
    </w:p>
    <w:p w14:paraId="521523B7" w14:textId="58C41B57" w:rsidR="007710C3" w:rsidRPr="007C794B" w:rsidRDefault="007710C3" w:rsidP="00A67AFD">
      <w:pPr>
        <w:numPr>
          <w:ilvl w:val="0"/>
          <w:numId w:val="11"/>
        </w:numPr>
        <w:rPr>
          <w:b/>
        </w:rPr>
      </w:pPr>
      <w:r w:rsidRPr="007C794B">
        <w:rPr>
          <w:b/>
        </w:rPr>
        <w:t>Percent Coleoptera Taxa</w:t>
      </w:r>
      <w:r w:rsidRPr="007C794B">
        <w:t xml:space="preserve"> - percent of species present that are Coleoptera </w:t>
      </w:r>
      <w:r w:rsidR="00551746">
        <w:br/>
      </w:r>
      <w:r w:rsidRPr="007C794B">
        <w:t xml:space="preserve">(i.e., beetles). Beetles are a diverse group of insects that includes both sensitive and pollution-tolerant species. More species (especially sensitive species, like riffle beetles) tend to be found in streams with better water quality. </w:t>
      </w:r>
    </w:p>
    <w:p w14:paraId="1007F335" w14:textId="6D8F2982" w:rsidR="007710C3" w:rsidRPr="007C794B" w:rsidRDefault="007710C3" w:rsidP="00A67AFD">
      <w:pPr>
        <w:numPr>
          <w:ilvl w:val="0"/>
          <w:numId w:val="11"/>
        </w:numPr>
        <w:rPr>
          <w:b/>
        </w:rPr>
      </w:pPr>
      <w:r w:rsidRPr="007C794B">
        <w:rPr>
          <w:b/>
        </w:rPr>
        <w:t>Taxonomic Richness</w:t>
      </w:r>
      <w:r w:rsidRPr="007C794B">
        <w:t xml:space="preserve"> - or species richness, is the total count of different species present and represents aquatic biodiversity. Biodiversity is critical to maintaining stability in aquatic ecosystems, including the various ecosystem services provided (e.g., clean water, food, recreation, climate change resilience). </w:t>
      </w:r>
    </w:p>
    <w:p w14:paraId="1C09F5EC" w14:textId="77BD6877" w:rsidR="007710C3" w:rsidRPr="007C794B" w:rsidRDefault="007710C3" w:rsidP="00A67AFD">
      <w:pPr>
        <w:numPr>
          <w:ilvl w:val="0"/>
          <w:numId w:val="11"/>
        </w:numPr>
        <w:rPr>
          <w:b/>
        </w:rPr>
      </w:pPr>
      <w:r w:rsidRPr="007C794B">
        <w:rPr>
          <w:b/>
        </w:rPr>
        <w:t xml:space="preserve">Percent EPT Taxa </w:t>
      </w:r>
      <w:r w:rsidRPr="007C794B">
        <w:t xml:space="preserve">- percent of species present that are mayflies (Ephemeroptera), stoneflies (Plecoptera), or caddisflies (Trichoptera). EPT are sensitive to environmental stress/disturbance and are used as bioindicators of condition. Most EPT species breath through sensitive gills that can absorb contaminants. High percentage of EPT indicates low environmental stress/disturbance and vice versa. </w:t>
      </w:r>
    </w:p>
    <w:p w14:paraId="452C2504" w14:textId="3119F2AF" w:rsidR="007710C3" w:rsidRPr="007C794B" w:rsidRDefault="007710C3" w:rsidP="00A67AFD">
      <w:pPr>
        <w:numPr>
          <w:ilvl w:val="0"/>
          <w:numId w:val="11"/>
        </w:numPr>
        <w:rPr>
          <w:b/>
        </w:rPr>
      </w:pPr>
      <w:r w:rsidRPr="007C794B">
        <w:rPr>
          <w:b/>
        </w:rPr>
        <w:t>Shredder Taxa Richness</w:t>
      </w:r>
      <w:r w:rsidRPr="007C794B">
        <w:t xml:space="preserve"> - count, or number, of different shredder species present. ‘Shredders’ are a category of aquatic macroinvertebrate functional feeding groups (e.g., shredders, collectors, grazers, and predators). Shredders are responsible for processing leaf litter and help to make dissolved organic matter available, which is a primary food source for aquatic food webs. They require intact riparian corridors to provide their food.</w:t>
      </w:r>
    </w:p>
    <w:p w14:paraId="4994F2D4" w14:textId="0664E18D" w:rsidR="007710C3" w:rsidRPr="007C794B" w:rsidRDefault="007710C3" w:rsidP="00A67AFD">
      <w:pPr>
        <w:numPr>
          <w:ilvl w:val="0"/>
          <w:numId w:val="11"/>
        </w:numPr>
        <w:rPr>
          <w:b/>
        </w:rPr>
      </w:pPr>
      <w:r w:rsidRPr="007C794B">
        <w:rPr>
          <w:b/>
        </w:rPr>
        <w:t>Percent Intolerant Individuals</w:t>
      </w:r>
      <w:r w:rsidRPr="007C794B">
        <w:t xml:space="preserve"> - percent of individuals with high pollution-sensitivity ratings. Many benthic macroinvertebrate species have been assigned pollution-sensitivity ratings based on studies of their life-histories, observations at polluted and clean sites, and lab-based experiments. </w:t>
      </w:r>
    </w:p>
    <w:p w14:paraId="723489D3" w14:textId="0F526A74" w:rsidR="007710C3" w:rsidRPr="007C794B" w:rsidRDefault="2AD6AED2" w:rsidP="005632BC">
      <w:pPr>
        <w:pStyle w:val="Heading3"/>
      </w:pPr>
      <w:bookmarkStart w:id="109" w:name="_Toc189048587"/>
      <w:r w:rsidRPr="00E77B43">
        <w:t>Selection</w:t>
      </w:r>
      <w:r w:rsidRPr="007C794B">
        <w:t xml:space="preserve"> of the 0.79 </w:t>
      </w:r>
      <w:r w:rsidR="006E4E9F">
        <w:t>Evaluation Guideline</w:t>
      </w:r>
      <w:bookmarkEnd w:id="109"/>
    </w:p>
    <w:p w14:paraId="5B1A4AE1" w14:textId="77777777" w:rsidR="008A5362" w:rsidRPr="007C794B" w:rsidRDefault="008A5362" w:rsidP="008A5362">
      <w:r w:rsidRPr="007C794B">
        <w:t xml:space="preserve">The </w:t>
      </w:r>
      <w:r>
        <w:t>CSCI score of</w:t>
      </w:r>
      <w:r w:rsidRPr="007C794B">
        <w:t xml:space="preserve"> 0.79 was used as an evaluation guideline for beneficial use attainment and was selected in conformance with </w:t>
      </w:r>
      <w:r>
        <w:t>s</w:t>
      </w:r>
      <w:r w:rsidRPr="007C794B">
        <w:t xml:space="preserve">ections 3.9 and 6.1.5.8 of the Listing Policy. Section 3.9 allows the use of reference site or sites to compare degradation in biological populations and/or communities. Section 6.1.5.8 requires a method of selecting reference sites and applying them to develop an Index of Biological Integrity (“IBI”), which has been done and validated by the CSCI threshold study authored by Mazor et al. (2016). </w:t>
      </w:r>
    </w:p>
    <w:p w14:paraId="6498698C" w14:textId="7A203DCB" w:rsidR="007710C3" w:rsidRPr="007C794B" w:rsidRDefault="007710C3" w:rsidP="007710C3">
      <w:r w:rsidRPr="007C794B">
        <w:t xml:space="preserve">The CSCI </w:t>
      </w:r>
      <w:r w:rsidR="00E63325">
        <w:t>score</w:t>
      </w:r>
      <w:r w:rsidR="006E4E9F">
        <w:t xml:space="preserve"> </w:t>
      </w:r>
      <w:r w:rsidR="0040016B">
        <w:t>of 0.79</w:t>
      </w:r>
      <w:r w:rsidRPr="007C794B">
        <w:t xml:space="preserve"> is described in Mazor et al. (201</w:t>
      </w:r>
      <w:r w:rsidR="00E23A49" w:rsidRPr="007C794B">
        <w:t>6</w:t>
      </w:r>
      <w:r w:rsidRPr="007C794B">
        <w:t>), which was independently peer</w:t>
      </w:r>
      <w:r w:rsidR="002C6E62">
        <w:t>-</w:t>
      </w:r>
      <w:r w:rsidRPr="007C794B">
        <w:t>reviewed. The 0.79</w:t>
      </w:r>
      <w:r w:rsidRPr="007C794B" w:rsidDel="005C4E2C">
        <w:t xml:space="preserve"> </w:t>
      </w:r>
      <w:r w:rsidR="00E63325">
        <w:t>score</w:t>
      </w:r>
      <w:r w:rsidR="005C4E2C" w:rsidRPr="007C794B">
        <w:t xml:space="preserve"> </w:t>
      </w:r>
      <w:r w:rsidRPr="007C794B">
        <w:t xml:space="preserve">is based on the selection of the 10th percentile of the distribution of benthic macroinvertebrate community composition scores from 473 references sites across California. </w:t>
      </w:r>
    </w:p>
    <w:p w14:paraId="4616107A" w14:textId="13C2D28F" w:rsidR="007710C3" w:rsidRPr="007C794B" w:rsidRDefault="007710C3" w:rsidP="007710C3">
      <w:r w:rsidRPr="007C794B">
        <w:t>Reference sites were located in healthy stream reaches that set a benchmark of ecological conditions as human disturbance in the stream watershed was absent or minimal. These reference sites were calibrated to have a mean value of 1. Based on</w:t>
      </w:r>
      <w:r w:rsidR="00236F27">
        <w:t xml:space="preserve"> </w:t>
      </w:r>
      <w:r w:rsidR="006851B6">
        <w:t>an average</w:t>
      </w:r>
      <w:r w:rsidRPr="007C794B">
        <w:t xml:space="preserve"> of </w:t>
      </w:r>
      <w:r w:rsidR="006851B6">
        <w:t xml:space="preserve">the </w:t>
      </w:r>
      <w:r w:rsidR="004F6F9C">
        <w:t>473 calibrated</w:t>
      </w:r>
      <w:r w:rsidR="005D3F0B">
        <w:t xml:space="preserve"> </w:t>
      </w:r>
      <w:r w:rsidRPr="007C794B">
        <w:t>reference sites, 0.79 represents the 10</w:t>
      </w:r>
      <w:r w:rsidRPr="007C794B">
        <w:rPr>
          <w:vertAlign w:val="superscript"/>
        </w:rPr>
        <w:t>th</w:t>
      </w:r>
      <w:r w:rsidRPr="007C794B">
        <w:t xml:space="preserve"> percentile of reference waterbody </w:t>
      </w:r>
      <w:r w:rsidR="00B7037B">
        <w:t xml:space="preserve">segment </w:t>
      </w:r>
      <w:r w:rsidRPr="007C794B">
        <w:t xml:space="preserve">scores. </w:t>
      </w:r>
      <w:r w:rsidR="005D30DE">
        <w:t>In other words,</w:t>
      </w:r>
      <w:r w:rsidR="00513ABF">
        <w:t xml:space="preserve"> use of</w:t>
      </w:r>
      <w:r w:rsidR="00911839">
        <w:t xml:space="preserve"> the</w:t>
      </w:r>
      <w:r w:rsidR="005D30DE">
        <w:t xml:space="preserve"> </w:t>
      </w:r>
      <w:r w:rsidR="00911839">
        <w:t>0.79 score</w:t>
      </w:r>
      <w:r w:rsidR="00513ABF">
        <w:t xml:space="preserve"> reflects</w:t>
      </w:r>
      <w:r w:rsidR="006C04FE">
        <w:t xml:space="preserve"> the botto</w:t>
      </w:r>
      <w:r w:rsidR="00AA3D0C">
        <w:t xml:space="preserve">m 10 percent </w:t>
      </w:r>
      <w:r w:rsidR="005D5CBE">
        <w:t xml:space="preserve">(most degraded) </w:t>
      </w:r>
      <w:r w:rsidR="00513ABF">
        <w:t>of</w:t>
      </w:r>
      <w:r w:rsidR="005D5CBE">
        <w:t xml:space="preserve"> the aggregated</w:t>
      </w:r>
      <w:r w:rsidR="00513ABF">
        <w:t xml:space="preserve"> </w:t>
      </w:r>
      <w:r w:rsidR="005D5CBE">
        <w:t xml:space="preserve">reference waterbody conditions. </w:t>
      </w:r>
      <w:r w:rsidRPr="007C794B">
        <w:t>Waterbod</w:t>
      </w:r>
      <w:r w:rsidR="00A16557">
        <w:t>y segments</w:t>
      </w:r>
      <w:r w:rsidRPr="007C794B">
        <w:t xml:space="preserve"> with CSCI scores below 0.79 indicate the waterbody</w:t>
      </w:r>
      <w:r w:rsidR="00A16557">
        <w:t xml:space="preserve"> segment</w:t>
      </w:r>
      <w:r w:rsidRPr="007C794B">
        <w:t>’s condition is either likely altered or very likely altered and, therefore, the benthic macroinvertebrate community that is part of several aquatic life beneficial uses is not being supported. In addition, analysis of statewide CSCI</w:t>
      </w:r>
      <w:r w:rsidRPr="007C794B" w:rsidDel="00680E7E">
        <w:t xml:space="preserve"> </w:t>
      </w:r>
      <w:r w:rsidR="00680E7E">
        <w:t>scores</w:t>
      </w:r>
      <w:r w:rsidR="00680E7E" w:rsidRPr="007C794B">
        <w:t xml:space="preserve"> </w:t>
      </w:r>
      <w:r w:rsidRPr="007C794B">
        <w:t xml:space="preserve">identified sites below the 10th percentile threshold of 0.79 as being in poor condition (Rehn 2016). </w:t>
      </w:r>
    </w:p>
    <w:p w14:paraId="5782F262" w14:textId="5D53C117" w:rsidR="007710C3" w:rsidRPr="007C794B" w:rsidRDefault="007710C3" w:rsidP="007710C3">
      <w:r w:rsidRPr="007C794B">
        <w:t xml:space="preserve">The CSCI relies on quantile regressions to evaluate biological responses to stress gradients. Most biological response measures, including the CSCI, show wedge-shaped relationships with stress gradients. At high levels of a stressor (e.g., high chloride concentration), CSCI scores are low. At low levels of a stressor, CSCI scores may be high, but can be low due to unidentified factors (e.g., presence of an unmeasured contaminant, or habitat degradation). In these situations, traditional linear regression underestimates the strength of the relationship between biological responses and stressors because it only attempts to predict the average response value. In contrast, quantile regression can focus on the “top” of the wedge by predicting a high-value quantile (e.g., the 90th percentile) which better estimates biological responses in most of the population to stressors. </w:t>
      </w:r>
    </w:p>
    <w:p w14:paraId="7CD731BC" w14:textId="7FEC134F" w:rsidR="00F844D2" w:rsidRPr="007C794B" w:rsidRDefault="007710C3" w:rsidP="00F844D2">
      <w:r w:rsidRPr="007C794B">
        <w:t xml:space="preserve">The </w:t>
      </w:r>
      <w:r w:rsidR="00DB628D">
        <w:t xml:space="preserve">Listing Policy </w:t>
      </w:r>
      <w:r w:rsidR="00925E40">
        <w:t>FED</w:t>
      </w:r>
      <w:r w:rsidR="00EC21CA">
        <w:t xml:space="preserve"> </w:t>
      </w:r>
      <w:r w:rsidRPr="007C794B">
        <w:t xml:space="preserve">supports the use of the CSCI </w:t>
      </w:r>
      <w:r w:rsidR="00A27874">
        <w:t>score</w:t>
      </w:r>
      <w:r w:rsidRPr="007C794B">
        <w:t>, as stated in the recommended approach for determining degradation of biological populations or communities. The CSCI score are based on a modeled extrapolation of expected biology at a site based on reference conditions that are minimally impacted by anthropogenic activities. The recommended approach in</w:t>
      </w:r>
      <w:r w:rsidR="009D2B07">
        <w:t xml:space="preserve"> FED</w:t>
      </w:r>
      <w:r w:rsidRPr="007C794B">
        <w:t xml:space="preserve"> Issue 5G Degradation of Biological Populations or Communities, Bioassessment Guidelines of the Functional Equivalent Document states: </w:t>
      </w:r>
    </w:p>
    <w:p w14:paraId="38EA2868" w14:textId="331AD677" w:rsidR="007B2963" w:rsidRDefault="007710C3" w:rsidP="00446DB8">
      <w:pPr>
        <w:ind w:left="720" w:right="720"/>
      </w:pPr>
      <w:r w:rsidRPr="004502A9">
        <w:t xml:space="preserve">A reference condition, an empirical model of expectations that may include knowledge of historical conditions, or a model extrapolated from ecological principles can be derived from reference sites. A reference site may be natural, minimally impaired (somewhat natural), or best available (altered system). </w:t>
      </w:r>
      <w:r w:rsidR="007C794B" w:rsidRPr="00640022">
        <w:t>Actual sites that represent best attainable conditions of a water body should be used.</w:t>
      </w:r>
      <w:r w:rsidR="00BA30A9">
        <w:t xml:space="preserve"> </w:t>
      </w:r>
      <w:r w:rsidR="007B2963">
        <w:t>(SWRCB 2004.)</w:t>
      </w:r>
    </w:p>
    <w:p w14:paraId="01583238" w14:textId="09F00E9D" w:rsidR="005A43C9" w:rsidRDefault="61700B10" w:rsidP="00377893">
      <w:pPr>
        <w:pStyle w:val="Heading3"/>
      </w:pPr>
      <w:bookmarkStart w:id="110" w:name="_Toc189048588"/>
      <w:r>
        <w:t>Assessment</w:t>
      </w:r>
      <w:r w:rsidR="222BA63D">
        <w:t xml:space="preserve"> Approach</w:t>
      </w:r>
      <w:bookmarkEnd w:id="110"/>
      <w:r w:rsidR="222BA63D">
        <w:t xml:space="preserve"> </w:t>
      </w:r>
    </w:p>
    <w:p w14:paraId="6616AAE8" w14:textId="7FF411B6" w:rsidR="00836997" w:rsidRDefault="00B126BD" w:rsidP="5C71B5F5">
      <w:r>
        <w:t>U</w:t>
      </w:r>
      <w:r w:rsidR="00836997" w:rsidRPr="00836997">
        <w:t>nder Listing Policy section 3.9, a waterbody segment shall be placed on the 303(d) list if the waterbody exhibits significant degradation in biological populations and the degradation is associated with water or sediment concentrations of pollutants in accordance with one or more other listing factors, such as exceedances of chemical concentrations, temperature, dissolved oxygen, trash, or other pollutants using sections 3.1, 3.2, 3.6, 3.7, 6.1.5.9, or other applicable sections (e.g., toxicity under section 3.6). Additionally, if the waterbody exhibits significant degradation in biological populations related to sedimentation, the waterbody shall be placed on the 303(d) list for population or community degradation if the waterbody also meets the thresholds for listing due to excessive sedimentation.</w:t>
      </w:r>
    </w:p>
    <w:p w14:paraId="744769B0" w14:textId="386A0982" w:rsidR="00F521CC" w:rsidRDefault="7E75BD02" w:rsidP="5C71B5F5">
      <w:r>
        <w:t xml:space="preserve">For the 2024 California Integrated Report, </w:t>
      </w:r>
      <w:r w:rsidR="00EA054B">
        <w:t xml:space="preserve">the State Water Board placed </w:t>
      </w:r>
      <w:r w:rsidR="12FD4F02">
        <w:t>44 waterbod</w:t>
      </w:r>
      <w:r w:rsidR="00D20A3E">
        <w:t>ies</w:t>
      </w:r>
      <w:r w:rsidR="00B51ECF">
        <w:t xml:space="preserve"> </w:t>
      </w:r>
      <w:r w:rsidR="12FD4F02">
        <w:t xml:space="preserve">in Category 3 </w:t>
      </w:r>
      <w:r w:rsidR="00B51ECF">
        <w:t xml:space="preserve">for benthic community effects </w:t>
      </w:r>
      <w:r w:rsidR="12FD4F02">
        <w:t>when data and information demonstrate</w:t>
      </w:r>
      <w:r w:rsidR="00ED58FB">
        <w:t>d</w:t>
      </w:r>
      <w:r w:rsidR="12FD4F02">
        <w:t xml:space="preserve"> that the benthic macroinvertebrate</w:t>
      </w:r>
      <w:r w:rsidR="00326438">
        <w:t xml:space="preserve"> community</w:t>
      </w:r>
      <w:r w:rsidR="12FD4F02">
        <w:t xml:space="preserve"> (</w:t>
      </w:r>
      <w:r w:rsidR="00D83D27">
        <w:t>a</w:t>
      </w:r>
      <w:r w:rsidR="003E5D32">
        <w:t xml:space="preserve"> </w:t>
      </w:r>
      <w:r w:rsidR="12FD4F02">
        <w:t xml:space="preserve">biological community) </w:t>
      </w:r>
      <w:r w:rsidR="00326378">
        <w:t>was</w:t>
      </w:r>
      <w:r w:rsidR="12FD4F02">
        <w:t xml:space="preserve"> degraded</w:t>
      </w:r>
      <w:r w:rsidR="636A1C63">
        <w:t>,</w:t>
      </w:r>
      <w:r w:rsidR="12FD4F02">
        <w:t xml:space="preserve"> and the waterbody</w:t>
      </w:r>
      <w:r w:rsidR="003E5D32">
        <w:t xml:space="preserve"> was</w:t>
      </w:r>
      <w:r w:rsidR="12FD4F02">
        <w:t xml:space="preserve"> listed on the 303(d) list with at least one pollutant impairment </w:t>
      </w:r>
      <w:r w:rsidR="52170322">
        <w:t>of</w:t>
      </w:r>
      <w:r w:rsidR="12FD4F02">
        <w:t xml:space="preserve"> an aquatic life beneficial use. </w:t>
      </w:r>
      <w:r w:rsidR="1E4732DD">
        <w:t>This</w:t>
      </w:r>
      <w:r w:rsidR="00EA054B">
        <w:t xml:space="preserve"> was an</w:t>
      </w:r>
      <w:r w:rsidR="1E4732DD">
        <w:t xml:space="preserve"> </w:t>
      </w:r>
      <w:r w:rsidR="3E0C9C90">
        <w:t xml:space="preserve">interim </w:t>
      </w:r>
      <w:r w:rsidR="1E4732DD">
        <w:t xml:space="preserve">approach </w:t>
      </w:r>
      <w:r w:rsidR="00EA054B">
        <w:t xml:space="preserve">that </w:t>
      </w:r>
      <w:r w:rsidR="1E4732DD">
        <w:t>was</w:t>
      </w:r>
      <w:r w:rsidR="12FD4F02">
        <w:t xml:space="preserve"> </w:t>
      </w:r>
      <w:r w:rsidR="001C2E2D">
        <w:t>applied</w:t>
      </w:r>
      <w:r w:rsidR="6DE3E164">
        <w:t xml:space="preserve"> </w:t>
      </w:r>
      <w:r w:rsidR="001C2E2D">
        <w:t>in order</w:t>
      </w:r>
      <w:r w:rsidR="6DE3E164">
        <w:t xml:space="preserve"> to</w:t>
      </w:r>
      <w:r w:rsidR="00790C2C">
        <w:t xml:space="preserve"> provide time for the State Water Board to</w:t>
      </w:r>
      <w:r w:rsidR="6DE3E164">
        <w:t xml:space="preserve"> </w:t>
      </w:r>
      <w:r w:rsidR="00DA6782">
        <w:t>develop a methodology</w:t>
      </w:r>
      <w:r w:rsidR="6DE3E164">
        <w:t xml:space="preserve"> </w:t>
      </w:r>
      <w:r w:rsidR="00790C2C">
        <w:t xml:space="preserve">for </w:t>
      </w:r>
      <w:r w:rsidR="00954FA9">
        <w:t xml:space="preserve">determining </w:t>
      </w:r>
      <w:r w:rsidR="007923B2">
        <w:t xml:space="preserve">if </w:t>
      </w:r>
      <w:r w:rsidR="007265CB">
        <w:t xml:space="preserve">a </w:t>
      </w:r>
      <w:r w:rsidR="00CD1A1E">
        <w:t xml:space="preserve">degraded </w:t>
      </w:r>
      <w:r w:rsidR="007265CB">
        <w:t xml:space="preserve">benthic community is associated with a </w:t>
      </w:r>
      <w:r w:rsidR="00C80136">
        <w:t xml:space="preserve">pollutant. </w:t>
      </w:r>
      <w:r w:rsidR="00F521CC">
        <w:t xml:space="preserve">As stated in the </w:t>
      </w:r>
      <w:r w:rsidR="00967775">
        <w:t xml:space="preserve">Final Staff Report for the 2024 California Integrated Report: </w:t>
      </w:r>
    </w:p>
    <w:p w14:paraId="09172519" w14:textId="77777777" w:rsidR="00AF19D2" w:rsidRDefault="00AF19D2" w:rsidP="00AF19D2">
      <w:pPr>
        <w:ind w:left="720" w:right="720"/>
      </w:pPr>
      <w:r w:rsidRPr="00AF19D2">
        <w:t>Determining whether the degradation of biological populations is “associated” with listed pollutants involves some judgment, because not all listed pollutants are necessarily</w:t>
      </w:r>
      <w:r w:rsidR="1FFABD8A" w:rsidDel="000552D3">
        <w:t xml:space="preserve"> </w:t>
      </w:r>
      <w:r w:rsidR="00E7774B" w:rsidDel="000552D3">
        <w:t xml:space="preserve">a </w:t>
      </w:r>
      <w:r w:rsidRPr="00AF19D2">
        <w:t xml:space="preserve">potential cause of the </w:t>
      </w:r>
      <w:r w:rsidR="00CD1A1E" w:rsidDel="000552D3">
        <w:t xml:space="preserve">degraded </w:t>
      </w:r>
      <w:r w:rsidR="1FFABD8A" w:rsidDel="000552D3">
        <w:t xml:space="preserve">biological </w:t>
      </w:r>
      <w:r w:rsidRPr="00AF19D2">
        <w:t xml:space="preserve">population. </w:t>
      </w:r>
    </w:p>
    <w:p w14:paraId="5AC6A708" w14:textId="6839B665" w:rsidR="00AF19D2" w:rsidRDefault="00AF19D2" w:rsidP="00AF19D2">
      <w:pPr>
        <w:ind w:left="720" w:right="720"/>
      </w:pPr>
      <w:r w:rsidRPr="00AF19D2">
        <w:t>Section 3.9 of the Listing Policy does not explain how to determine if the degraded biology is associated with the pollutant impairment. In previous integrated report cycles, a new waterbody-pollutant combination was placed on the 303(d) list when the waterbody exhibited significant degraded biology and there was at least one pollutant impairment of an aquatic life beneficial use, without always evaluating whether the pollutant could be a potential cause of the degraded biology. Because some discretion is used to apply section 3.9, there is a need to clarify the appropriate approach for associating pollutant impairments with degraded biological populations under section 3.9, including the evaluation of whether the pollutant impairment may be a potential cause of the degraded biology, possibly with the consideration of site-specific data and information. Doing so will help ensure section 3.9 is applied uniformly.</w:t>
      </w:r>
    </w:p>
    <w:p w14:paraId="439C5D67" w14:textId="78A64CED" w:rsidR="009760F1" w:rsidRDefault="7E75BD02" w:rsidP="5C71B5F5">
      <w:r>
        <w:t xml:space="preserve">The USEPA </w:t>
      </w:r>
      <w:r w:rsidR="00370252">
        <w:t xml:space="preserve">disapproved </w:t>
      </w:r>
      <w:r w:rsidR="005819AF">
        <w:t xml:space="preserve">California’s omission of the </w:t>
      </w:r>
      <w:r w:rsidR="00F132DE">
        <w:t>44 waterbody-pollutant combinations</w:t>
      </w:r>
      <w:r w:rsidR="00A14A2E">
        <w:t xml:space="preserve"> </w:t>
      </w:r>
      <w:r w:rsidR="00D235FA">
        <w:t xml:space="preserve">from Category </w:t>
      </w:r>
      <w:r w:rsidR="00C5512B">
        <w:t>5</w:t>
      </w:r>
      <w:r w:rsidR="00944FE5">
        <w:t xml:space="preserve">, finding the State Water Board’s decision </w:t>
      </w:r>
      <w:r w:rsidR="00221904">
        <w:t xml:space="preserve">to not list 44 waterbodies for benthic community effects </w:t>
      </w:r>
      <w:r w:rsidR="00C5512B">
        <w:t>inconsistent</w:t>
      </w:r>
      <w:r w:rsidR="00221904">
        <w:t xml:space="preserve"> with </w:t>
      </w:r>
      <w:r w:rsidR="00C5512B">
        <w:t>California’s</w:t>
      </w:r>
      <w:r w:rsidR="00221904">
        <w:t xml:space="preserve"> water quality standards</w:t>
      </w:r>
      <w:r w:rsidR="00B76202">
        <w:t>,</w:t>
      </w:r>
      <w:r w:rsidR="00521652">
        <w:t xml:space="preserve"> as</w:t>
      </w:r>
      <w:r w:rsidR="00F132DE">
        <w:t xml:space="preserve"> </w:t>
      </w:r>
      <w:r>
        <w:t xml:space="preserve">indicated in their letter titled </w:t>
      </w:r>
      <w:hyperlink r:id="rId55">
        <w:r w:rsidRPr="797F2C5D">
          <w:rPr>
            <w:rStyle w:val="Hyperlink"/>
          </w:rPr>
          <w:t>Partial Approval and Partial Disapproval of California’s 2024 List of Impaired Waters</w:t>
        </w:r>
      </w:hyperlink>
      <w:r>
        <w:t xml:space="preserve"> (</w:t>
      </w:r>
      <w:hyperlink r:id="rId56">
        <w:r w:rsidRPr="797F2C5D">
          <w:rPr>
            <w:rStyle w:val="Hyperlink"/>
          </w:rPr>
          <w:t>https://www.epa.gov/system/files/documents/2024-12/ca-2024-303d-list-epa-partial-approval-disapproval-2024-12-12.pdf</w:t>
        </w:r>
      </w:hyperlink>
      <w:r>
        <w:t xml:space="preserve">). </w:t>
      </w:r>
      <w:r w:rsidR="00481F21">
        <w:t xml:space="preserve">The USEPA asserted that the lack of an assessment methodology to associate degraded biology to a pollutant impairment is not by itself a basis to decline to evaluate available data or information. </w:t>
      </w:r>
      <w:r w:rsidR="00662287">
        <w:t>As a result, the U</w:t>
      </w:r>
      <w:r w:rsidR="00583948">
        <w:t>SEPA</w:t>
      </w:r>
      <w:r w:rsidR="00662287">
        <w:t xml:space="preserve"> concluded </w:t>
      </w:r>
      <w:r w:rsidR="00862E5C">
        <w:t xml:space="preserve">that </w:t>
      </w:r>
      <w:r w:rsidR="00662287">
        <w:t xml:space="preserve">placement of </w:t>
      </w:r>
      <w:r w:rsidR="00134155">
        <w:t>the</w:t>
      </w:r>
      <w:r w:rsidR="00662287">
        <w:t xml:space="preserve"> </w:t>
      </w:r>
      <w:r w:rsidR="00583948">
        <w:t xml:space="preserve">44 waterbodies </w:t>
      </w:r>
      <w:r w:rsidR="00862E5C">
        <w:t>in Category 5 for benthic community effects is appropriate. Additionally, t</w:t>
      </w:r>
      <w:r>
        <w:t xml:space="preserve">he USEPA </w:t>
      </w:r>
      <w:r w:rsidR="00B55B18">
        <w:t>provided</w:t>
      </w:r>
      <w:r>
        <w:t xml:space="preserve"> a public comment period from December 13</w:t>
      </w:r>
      <w:r w:rsidR="00FA5F65">
        <w:t>, 2024,</w:t>
      </w:r>
      <w:r>
        <w:t xml:space="preserve"> to January 15</w:t>
      </w:r>
      <w:r w:rsidR="00FA5F65">
        <w:t>, 2025,</w:t>
      </w:r>
      <w:r>
        <w:t xml:space="preserve"> </w:t>
      </w:r>
      <w:r w:rsidR="00B55B18">
        <w:t>on the</w:t>
      </w:r>
      <w:r w:rsidR="00481C42">
        <w:t xml:space="preserve"> </w:t>
      </w:r>
      <w:r w:rsidR="00B41734">
        <w:t>addition</w:t>
      </w:r>
      <w:r w:rsidR="00B55B18">
        <w:t xml:space="preserve"> </w:t>
      </w:r>
      <w:r w:rsidR="00FA5F65">
        <w:t>of</w:t>
      </w:r>
      <w:r>
        <w:t xml:space="preserve"> these 44 waterbody-pollutant combinations</w:t>
      </w:r>
      <w:r w:rsidR="00B41734">
        <w:t xml:space="preserve"> to the </w:t>
      </w:r>
      <w:r w:rsidR="00875D8E">
        <w:t xml:space="preserve">2024 </w:t>
      </w:r>
      <w:r w:rsidR="00B41734">
        <w:t xml:space="preserve">303(d) </w:t>
      </w:r>
      <w:r w:rsidR="00875D8E">
        <w:t>L</w:t>
      </w:r>
      <w:r w:rsidR="00B41734">
        <w:t>ist</w:t>
      </w:r>
      <w:r>
        <w:t xml:space="preserve">. </w:t>
      </w:r>
    </w:p>
    <w:p w14:paraId="2FD02D79" w14:textId="2DDE39EC" w:rsidR="00CB4B71" w:rsidRDefault="506683EC" w:rsidP="5C71B5F5">
      <w:r>
        <w:t>T</w:t>
      </w:r>
      <w:r w:rsidR="00FC4E15">
        <w:t xml:space="preserve">he </w:t>
      </w:r>
      <w:r w:rsidR="66CE312A">
        <w:t>44</w:t>
      </w:r>
      <w:r w:rsidR="00FC4E15" w:rsidDel="008C271B">
        <w:t xml:space="preserve"> </w:t>
      </w:r>
      <w:r w:rsidR="00FC4E15">
        <w:t>water</w:t>
      </w:r>
      <w:r w:rsidR="00A02349">
        <w:t>body-pollutant combinations</w:t>
      </w:r>
      <w:r w:rsidR="00710A93">
        <w:t xml:space="preserve"> </w:t>
      </w:r>
      <w:r w:rsidR="3AE7ADA2">
        <w:t xml:space="preserve">identified </w:t>
      </w:r>
      <w:r w:rsidR="00DE2BBB">
        <w:t>were</w:t>
      </w:r>
      <w:r w:rsidR="00710A93">
        <w:t xml:space="preserve"> placed in Category 5</w:t>
      </w:r>
      <w:r w:rsidR="77CADCD2">
        <w:t xml:space="preserve"> for benthic community effects</w:t>
      </w:r>
      <w:r w:rsidR="7E75BD02">
        <w:t xml:space="preserve">, </w:t>
      </w:r>
      <w:r w:rsidR="008C3B57">
        <w:t>consistent with the USEPA’s Partial Approval and Partial Disapproval of California’s 2024 List of Impaired Waters.</w:t>
      </w:r>
      <w:r w:rsidR="7E75BD02">
        <w:t xml:space="preserve"> </w:t>
      </w:r>
      <w:r w:rsidR="00CB4B71">
        <w:t>Placement of these</w:t>
      </w:r>
      <w:r w:rsidR="009D3599">
        <w:t xml:space="preserve"> waterbody-pollutant combinations </w:t>
      </w:r>
      <w:r w:rsidR="005856A1">
        <w:t xml:space="preserve">in Category 5 </w:t>
      </w:r>
      <w:r w:rsidR="2C1304B4">
        <w:t>was</w:t>
      </w:r>
      <w:r w:rsidR="09B3C3D4">
        <w:t xml:space="preserve"> </w:t>
      </w:r>
      <w:r w:rsidR="006E545E">
        <w:t xml:space="preserve">required to conform with USEPA’s </w:t>
      </w:r>
      <w:r w:rsidR="2690F317">
        <w:t>letter</w:t>
      </w:r>
      <w:r w:rsidR="006E545E">
        <w:t>.</w:t>
      </w:r>
      <w:r w:rsidR="006E545E" w:rsidDel="009A0F87">
        <w:t xml:space="preserve"> </w:t>
      </w:r>
    </w:p>
    <w:p w14:paraId="17B4D4F3" w14:textId="47D94512" w:rsidR="7E75BD02" w:rsidRDefault="77D9C9C4" w:rsidP="5C71B5F5">
      <w:r>
        <w:t>F</w:t>
      </w:r>
      <w:r w:rsidR="0073048E">
        <w:t xml:space="preserve">or the 2026 California Integrated Report, </w:t>
      </w:r>
      <w:r w:rsidR="008339E2">
        <w:t xml:space="preserve">waterbodies </w:t>
      </w:r>
      <w:r w:rsidR="00513BA3">
        <w:t>for which new</w:t>
      </w:r>
      <w:r w:rsidR="00A73924">
        <w:t xml:space="preserve"> </w:t>
      </w:r>
      <w:r w:rsidR="00240791">
        <w:t>benthic</w:t>
      </w:r>
      <w:r w:rsidR="009C13F9">
        <w:t xml:space="preserve"> community </w:t>
      </w:r>
      <w:r w:rsidR="00A73924">
        <w:t xml:space="preserve">data </w:t>
      </w:r>
      <w:r w:rsidR="6BA35A51">
        <w:t>was</w:t>
      </w:r>
      <w:r w:rsidR="00513BA3">
        <w:t xml:space="preserve"> received</w:t>
      </w:r>
      <w:r w:rsidR="00287D3A">
        <w:t xml:space="preserve"> </w:t>
      </w:r>
      <w:r w:rsidR="23D457C5">
        <w:t xml:space="preserve">during the solicitation period </w:t>
      </w:r>
      <w:r w:rsidR="00E20D38">
        <w:t xml:space="preserve">for the 2026 cycle </w:t>
      </w:r>
      <w:r w:rsidR="00287D3A">
        <w:t>were placed in</w:t>
      </w:r>
      <w:r w:rsidR="2DB612E9">
        <w:t xml:space="preserve">to </w:t>
      </w:r>
      <w:r w:rsidR="00287D3A">
        <w:t>Category 5</w:t>
      </w:r>
      <w:r w:rsidR="64078027">
        <w:t xml:space="preserve"> for benthic community effects</w:t>
      </w:r>
      <w:r w:rsidR="00287D3A">
        <w:t xml:space="preserve"> when </w:t>
      </w:r>
      <w:r w:rsidR="008740D3">
        <w:t>data</w:t>
      </w:r>
      <w:r w:rsidR="00A73924">
        <w:t xml:space="preserve"> and information </w:t>
      </w:r>
      <w:r w:rsidR="00CA65F3">
        <w:t xml:space="preserve">demonstrated degraded </w:t>
      </w:r>
      <w:r w:rsidR="219FA184">
        <w:t xml:space="preserve">biological </w:t>
      </w:r>
      <w:r w:rsidR="009760C2">
        <w:t xml:space="preserve">communities and the waterbody is </w:t>
      </w:r>
      <w:r w:rsidR="00B608DF">
        <w:t>impaired by</w:t>
      </w:r>
      <w:r w:rsidR="00F10CC6">
        <w:t xml:space="preserve"> at least one pollutant </w:t>
      </w:r>
      <w:r w:rsidR="16D09AE3">
        <w:t xml:space="preserve">for </w:t>
      </w:r>
      <w:r w:rsidR="005153A4">
        <w:t>an aquatic life beneficial use</w:t>
      </w:r>
      <w:r w:rsidR="00F10CC6">
        <w:t xml:space="preserve">. </w:t>
      </w:r>
      <w:r w:rsidR="359008DE">
        <w:t>T</w:t>
      </w:r>
      <w:r w:rsidR="005153A4">
        <w:t>his approach</w:t>
      </w:r>
      <w:r w:rsidR="00B02F5C">
        <w:t xml:space="preserve"> </w:t>
      </w:r>
      <w:r w:rsidR="00062A99">
        <w:t>was applied</w:t>
      </w:r>
      <w:r w:rsidR="005F67B3">
        <w:t xml:space="preserve"> to be consistent with the USEPA’s action</w:t>
      </w:r>
      <w:r w:rsidR="78C1A803">
        <w:t xml:space="preserve"> during </w:t>
      </w:r>
      <w:r w:rsidR="00C72DF4">
        <w:t>the</w:t>
      </w:r>
      <w:r w:rsidR="78C1A803">
        <w:t xml:space="preserve"> 2024 Integrated Report approval process</w:t>
      </w:r>
      <w:r w:rsidR="005F67B3">
        <w:t xml:space="preserve">. </w:t>
      </w:r>
    </w:p>
    <w:p w14:paraId="3B92F97B" w14:textId="2ED2A77B" w:rsidR="00491CAA" w:rsidRDefault="002415BE">
      <w:r>
        <w:t>W</w:t>
      </w:r>
      <w:r w:rsidR="00491CAA">
        <w:t xml:space="preserve">hen there </w:t>
      </w:r>
      <w:r w:rsidR="00F05DA2">
        <w:t>was</w:t>
      </w:r>
      <w:r w:rsidR="00491CAA">
        <w:t xml:space="preserve"> </w:t>
      </w:r>
      <w:r w:rsidR="00E90185">
        <w:t xml:space="preserve">data and/or information </w:t>
      </w:r>
      <w:r w:rsidR="00482868">
        <w:t xml:space="preserve">to demonstrate that the </w:t>
      </w:r>
      <w:r w:rsidR="004F7EC5">
        <w:t>benthic</w:t>
      </w:r>
      <w:r w:rsidR="00482868">
        <w:t xml:space="preserve"> community</w:t>
      </w:r>
      <w:r w:rsidR="00324FBC">
        <w:t xml:space="preserve"> was</w:t>
      </w:r>
      <w:r w:rsidR="00482868">
        <w:t xml:space="preserve"> degraded </w:t>
      </w:r>
      <w:r w:rsidR="41295DF1">
        <w:t>but</w:t>
      </w:r>
      <w:r w:rsidR="00E06D17">
        <w:t xml:space="preserve"> there was not at least one pollutant impairment</w:t>
      </w:r>
      <w:r w:rsidR="19F7CBFB">
        <w:t xml:space="preserve"> of an </w:t>
      </w:r>
      <w:r w:rsidR="1F562D04">
        <w:t xml:space="preserve">associated </w:t>
      </w:r>
      <w:r w:rsidR="19F7CBFB">
        <w:t>aquatic life beneficial use</w:t>
      </w:r>
      <w:r w:rsidR="009D254E">
        <w:t>,</w:t>
      </w:r>
      <w:r w:rsidR="00E90185">
        <w:t xml:space="preserve"> </w:t>
      </w:r>
      <w:r w:rsidR="00324FBC">
        <w:t>the waterbody-pollutant combination was placed in</w:t>
      </w:r>
      <w:r w:rsidR="736F6D03">
        <w:t>to</w:t>
      </w:r>
      <w:r w:rsidR="00324FBC">
        <w:t xml:space="preserve"> Category 3 because the</w:t>
      </w:r>
      <w:r w:rsidR="00E90185">
        <w:t xml:space="preserve"> data and/or information indicate</w:t>
      </w:r>
      <w:r w:rsidR="00804931">
        <w:t>d</w:t>
      </w:r>
      <w:r w:rsidR="00E90185">
        <w:t xml:space="preserve"> beneficial uses may be potentially threatened.</w:t>
      </w:r>
      <w:r w:rsidR="00482868">
        <w:t xml:space="preserve"> </w:t>
      </w:r>
    </w:p>
    <w:p w14:paraId="3719C8A5" w14:textId="3C4DEC17" w:rsidR="00E114EB" w:rsidRDefault="002F581F" w:rsidP="00DD5730">
      <w:r>
        <w:t xml:space="preserve">All waterbody-pollutant combinations placed in Category 5 for </w:t>
      </w:r>
      <w:r w:rsidR="004F7EC5">
        <w:t>b</w:t>
      </w:r>
      <w:r>
        <w:t xml:space="preserve">enthic </w:t>
      </w:r>
      <w:r w:rsidR="004F7EC5">
        <w:t>c</w:t>
      </w:r>
      <w:r>
        <w:t xml:space="preserve">ommunity </w:t>
      </w:r>
      <w:r w:rsidR="004F7EC5">
        <w:t>e</w:t>
      </w:r>
      <w:r>
        <w:t xml:space="preserve">ffects were </w:t>
      </w:r>
      <w:r w:rsidR="00964F93">
        <w:t>assigned a p</w:t>
      </w:r>
      <w:r w:rsidR="00964F93">
        <w:rPr>
          <w:rFonts w:eastAsia="Arial" w:cs="Arial"/>
        </w:rPr>
        <w:t>riority level low for TMDL development</w:t>
      </w:r>
      <w:r w:rsidR="00017A1A">
        <w:rPr>
          <w:rFonts w:eastAsia="Arial" w:cs="Arial"/>
        </w:rPr>
        <w:t xml:space="preserve">. </w:t>
      </w:r>
      <w:r w:rsidR="00017A1A">
        <w:t>I</w:t>
      </w:r>
      <w:r w:rsidR="008A1093">
        <w:t xml:space="preserve">t is not expected that a TMDL or other action to address the impairment </w:t>
      </w:r>
      <w:r w:rsidR="00530E66">
        <w:t xml:space="preserve">will be developed to address the degraded biology alone. </w:t>
      </w:r>
      <w:r w:rsidR="0050233B">
        <w:t xml:space="preserve">However, a TMDL or other action may be developed to </w:t>
      </w:r>
      <w:r w:rsidR="00043607">
        <w:t xml:space="preserve">address the </w:t>
      </w:r>
      <w:r w:rsidR="00043607" w:rsidRPr="004F7EC5">
        <w:rPr>
          <w:i/>
          <w:iCs/>
        </w:rPr>
        <w:t>pollutant</w:t>
      </w:r>
      <w:r w:rsidR="00043607">
        <w:t xml:space="preserve"> </w:t>
      </w:r>
      <w:r w:rsidR="0025095C">
        <w:t xml:space="preserve">impairment </w:t>
      </w:r>
      <w:r w:rsidR="00043607">
        <w:t xml:space="preserve">that </w:t>
      </w:r>
      <w:r w:rsidR="00017A1A">
        <w:t>may be</w:t>
      </w:r>
      <w:r w:rsidR="00043607">
        <w:t xml:space="preserve"> contributing to degraded biology.</w:t>
      </w:r>
      <w:r w:rsidR="0050233B">
        <w:t xml:space="preserve"> </w:t>
      </w:r>
      <w:r w:rsidR="3E59286F">
        <w:t xml:space="preserve"> During a TMDL or other regulatory action, there is a deeper </w:t>
      </w:r>
      <w:r w:rsidR="02669666">
        <w:t>causal</w:t>
      </w:r>
      <w:r w:rsidR="3E59286F">
        <w:t xml:space="preserve"> assessment</w:t>
      </w:r>
      <w:r w:rsidR="3B0D7683">
        <w:t xml:space="preserve"> </w:t>
      </w:r>
      <w:r w:rsidR="3E59286F">
        <w:t>of the impairment that could inform</w:t>
      </w:r>
      <w:r w:rsidR="26E6B3AA">
        <w:t xml:space="preserve"> benthic community effects categorization in a fu</w:t>
      </w:r>
      <w:r w:rsidR="6C41A9E1">
        <w:t>t</w:t>
      </w:r>
      <w:r w:rsidR="26E6B3AA">
        <w:t>ure integrated report cycle.</w:t>
      </w:r>
    </w:p>
    <w:p w14:paraId="17190A31" w14:textId="712B049D" w:rsidR="00DD5730" w:rsidRDefault="00A11872" w:rsidP="00DD5730">
      <w:r w:rsidRPr="00A11872">
        <w:t xml:space="preserve">If </w:t>
      </w:r>
      <w:r w:rsidR="00901162">
        <w:t xml:space="preserve">a </w:t>
      </w:r>
      <w:r w:rsidRPr="00A11872">
        <w:t xml:space="preserve">pollutant impairment </w:t>
      </w:r>
      <w:r w:rsidR="00901162">
        <w:t>is</w:t>
      </w:r>
      <w:r w:rsidRPr="00A11872">
        <w:t xml:space="preserve"> addressed</w:t>
      </w:r>
      <w:r w:rsidR="00901162">
        <w:t xml:space="preserve"> and </w:t>
      </w:r>
      <w:r w:rsidR="00F4269B">
        <w:t>the waterbody is</w:t>
      </w:r>
      <w:r w:rsidR="0071346D">
        <w:t xml:space="preserve"> no longer listed as impaired by the pollutant</w:t>
      </w:r>
      <w:r w:rsidR="00901162">
        <w:t>, but</w:t>
      </w:r>
      <w:r w:rsidR="00D0361E">
        <w:t xml:space="preserve"> the</w:t>
      </w:r>
      <w:r w:rsidR="00A3119B">
        <w:t xml:space="preserve"> benthic</w:t>
      </w:r>
      <w:r w:rsidRPr="00A11872">
        <w:t xml:space="preserve"> </w:t>
      </w:r>
      <w:r w:rsidR="00D0361E">
        <w:t xml:space="preserve">community </w:t>
      </w:r>
      <w:r w:rsidRPr="00A11872">
        <w:t xml:space="preserve">has not improved, the </w:t>
      </w:r>
      <w:r w:rsidR="003E64D8">
        <w:t>waterbody-pollutant combination</w:t>
      </w:r>
      <w:r w:rsidRPr="00A11872">
        <w:t xml:space="preserve"> </w:t>
      </w:r>
      <w:r w:rsidR="00D0361E">
        <w:t>will</w:t>
      </w:r>
      <w:r w:rsidRPr="00A11872">
        <w:t xml:space="preserve"> </w:t>
      </w:r>
      <w:r w:rsidR="003E64D8">
        <w:t>be placed</w:t>
      </w:r>
      <w:r w:rsidRPr="00A11872">
        <w:t xml:space="preserve"> Category 3</w:t>
      </w:r>
      <w:r w:rsidR="003E64D8">
        <w:t xml:space="preserve">, indicating that </w:t>
      </w:r>
      <w:r w:rsidR="00C56BC4">
        <w:t>beneficial uses may be potentially threatened</w:t>
      </w:r>
      <w:r w:rsidRPr="00DD5730">
        <w:t>.</w:t>
      </w:r>
      <w:r w:rsidR="001C51D0" w:rsidRPr="00DD5730">
        <w:t xml:space="preserve"> </w:t>
      </w:r>
      <w:r w:rsidR="00F87E7B" w:rsidRPr="00DD5730">
        <w:t>If it can be demonstrated that pollution (e.g.</w:t>
      </w:r>
      <w:r w:rsidR="006A3727">
        <w:t>,</w:t>
      </w:r>
      <w:r w:rsidR="00F87E7B" w:rsidRPr="00DD5730">
        <w:t xml:space="preserve"> lack of flow) is the cause </w:t>
      </w:r>
      <w:r w:rsidR="00CE1412" w:rsidRPr="00DD5730">
        <w:t xml:space="preserve">of </w:t>
      </w:r>
      <w:r w:rsidR="006A3727">
        <w:t xml:space="preserve">the </w:t>
      </w:r>
      <w:r w:rsidR="00CE1412" w:rsidRPr="00DD5730">
        <w:t xml:space="preserve">degraded </w:t>
      </w:r>
      <w:r w:rsidR="00A3119B">
        <w:t>benthic community</w:t>
      </w:r>
      <w:r w:rsidR="006A3727">
        <w:t>,</w:t>
      </w:r>
      <w:r w:rsidR="00F87E7B" w:rsidRPr="00DD5730">
        <w:t xml:space="preserve"> the waterbody </w:t>
      </w:r>
      <w:r w:rsidR="00CE1412" w:rsidRPr="00DD5730">
        <w:t>may</w:t>
      </w:r>
      <w:r w:rsidR="00F87E7B" w:rsidRPr="00DD5730">
        <w:t xml:space="preserve"> be placed in Cat</w:t>
      </w:r>
      <w:r w:rsidR="009F31E0">
        <w:t>egory</w:t>
      </w:r>
      <w:r w:rsidR="00F87E7B" w:rsidRPr="00DD5730">
        <w:t xml:space="preserve"> 4c</w:t>
      </w:r>
      <w:r w:rsidR="00356BF9">
        <w:t xml:space="preserve">, </w:t>
      </w:r>
      <w:r w:rsidR="00D17F68" w:rsidRPr="00DD5730">
        <w:t xml:space="preserve">indicating that </w:t>
      </w:r>
      <w:r w:rsidR="00FF6C45" w:rsidRPr="00DD5730">
        <w:rPr>
          <w:szCs w:val="22"/>
        </w:rPr>
        <w:t>non-attainment of any applicable water quality standard is the result of pollution</w:t>
      </w:r>
      <w:r w:rsidR="00356BF9">
        <w:rPr>
          <w:szCs w:val="22"/>
        </w:rPr>
        <w:t xml:space="preserve">. </w:t>
      </w:r>
      <w:r w:rsidR="00356BF9">
        <w:t>N</w:t>
      </w:r>
      <w:r w:rsidR="00D17F68" w:rsidRPr="00DD5730">
        <w:t>o regulatory action is required</w:t>
      </w:r>
      <w:r w:rsidR="00356BF9">
        <w:t xml:space="preserve"> for waterbodies placed in Category 4c</w:t>
      </w:r>
      <w:r w:rsidR="00D17F68" w:rsidRPr="00DD5730">
        <w:t xml:space="preserve">. </w:t>
      </w:r>
      <w:r w:rsidR="009F31E0">
        <w:t xml:space="preserve">(See Staff Report Section </w:t>
      </w:r>
      <w:r w:rsidR="00E85D38">
        <w:t xml:space="preserve">2.5: Integrated Report Condition Categories for more information.) </w:t>
      </w:r>
      <w:r w:rsidR="00177CDC">
        <w:t>T</w:t>
      </w:r>
      <w:r w:rsidR="00177CDC" w:rsidRPr="003B14C4">
        <w:t>he State Water Board encourages the</w:t>
      </w:r>
      <w:r w:rsidR="00177CDC">
        <w:t xml:space="preserve"> </w:t>
      </w:r>
      <w:r w:rsidR="00177CDC" w:rsidRPr="003B14C4">
        <w:t>Regional Water Boards to use their discretion where appropriate in establishing permitting, monitoring, and other data collection requirements</w:t>
      </w:r>
      <w:r w:rsidR="00B42983">
        <w:t xml:space="preserve"> for benthic community effects impairments</w:t>
      </w:r>
      <w:r w:rsidR="00177CDC" w:rsidRPr="003B14C4">
        <w:t>.</w:t>
      </w:r>
    </w:p>
    <w:p w14:paraId="05D71E55" w14:textId="6C2DDC78" w:rsidR="00082086" w:rsidRPr="007E06B5" w:rsidRDefault="00082086" w:rsidP="005F03B4">
      <w:pPr>
        <w:pStyle w:val="Heading2"/>
      </w:pPr>
      <w:bookmarkStart w:id="111" w:name="_Toc115176738"/>
      <w:bookmarkStart w:id="112" w:name="_Toc115184471"/>
      <w:bookmarkStart w:id="113" w:name="_Toc189048589"/>
      <w:bookmarkEnd w:id="41"/>
      <w:bookmarkEnd w:id="111"/>
      <w:bookmarkEnd w:id="112"/>
      <w:r>
        <w:t xml:space="preserve">Bacteria </w:t>
      </w:r>
      <w:r w:rsidR="00C01A94">
        <w:t>and REC-1 Beneficial Use</w:t>
      </w:r>
      <w:bookmarkEnd w:id="113"/>
    </w:p>
    <w:p w14:paraId="7459A51A" w14:textId="112C791C" w:rsidR="005D3603" w:rsidRDefault="0000567D" w:rsidP="2B12F311">
      <w:pPr>
        <w:rPr>
          <w:rFonts w:eastAsia="Arial" w:cs="Arial"/>
          <w:szCs w:val="24"/>
        </w:rPr>
      </w:pPr>
      <w:r>
        <w:rPr>
          <w:rFonts w:eastAsia="Arial" w:cs="Arial"/>
          <w:szCs w:val="24"/>
        </w:rPr>
        <w:t>Bacteria</w:t>
      </w:r>
      <w:r w:rsidR="00BA7DFB">
        <w:t xml:space="preserve"> (total coliform, fecal coliform, </w:t>
      </w:r>
      <w:r w:rsidR="00F22568" w:rsidRPr="49ABF13E">
        <w:rPr>
          <w:rFonts w:eastAsia="Arial" w:cs="Arial"/>
          <w:i/>
        </w:rPr>
        <w:t xml:space="preserve">Escherichia </w:t>
      </w:r>
      <w:r w:rsidR="00BA7DFB" w:rsidRPr="49ABF13E">
        <w:rPr>
          <w:rFonts w:eastAsia="Arial" w:cs="Arial"/>
          <w:i/>
        </w:rPr>
        <w:t>coli</w:t>
      </w:r>
      <w:r w:rsidR="00F22568" w:rsidRPr="003A5C01">
        <w:rPr>
          <w:i/>
        </w:rPr>
        <w:t xml:space="preserve"> </w:t>
      </w:r>
      <w:r w:rsidR="00F22568">
        <w:rPr>
          <w:iCs/>
        </w:rPr>
        <w:t>or “</w:t>
      </w:r>
      <w:r w:rsidR="00BA7DFB" w:rsidRPr="003A5C01">
        <w:rPr>
          <w:i/>
        </w:rPr>
        <w:t>E. coli</w:t>
      </w:r>
      <w:r w:rsidR="00DD2F5F">
        <w:rPr>
          <w:i/>
        </w:rPr>
        <w:t>,</w:t>
      </w:r>
      <w:r w:rsidR="00F22568">
        <w:rPr>
          <w:i/>
        </w:rPr>
        <w:t>”</w:t>
      </w:r>
      <w:r w:rsidR="00BA7DFB">
        <w:t xml:space="preserve"> </w:t>
      </w:r>
      <w:r w:rsidR="00BA7DFB" w:rsidRPr="00C00D1D">
        <w:t>enterococci</w:t>
      </w:r>
      <w:r w:rsidR="00BA7DFB">
        <w:t>)</w:t>
      </w:r>
      <w:r w:rsidR="12A4A840" w:rsidRPr="2B12F311">
        <w:rPr>
          <w:rFonts w:eastAsia="Arial" w:cs="Arial"/>
          <w:szCs w:val="24"/>
        </w:rPr>
        <w:t xml:space="preserve"> data from waterbod</w:t>
      </w:r>
      <w:r w:rsidR="003A7982">
        <w:rPr>
          <w:rFonts w:eastAsia="Arial" w:cs="Arial"/>
          <w:szCs w:val="24"/>
        </w:rPr>
        <w:t>y segments</w:t>
      </w:r>
      <w:r w:rsidR="12A4A840" w:rsidRPr="2B12F311">
        <w:rPr>
          <w:rFonts w:eastAsia="Arial" w:cs="Arial"/>
          <w:szCs w:val="24"/>
        </w:rPr>
        <w:t xml:space="preserve"> </w:t>
      </w:r>
      <w:r w:rsidR="001C3665">
        <w:rPr>
          <w:rFonts w:eastAsia="Arial" w:cs="Arial"/>
          <w:szCs w:val="24"/>
        </w:rPr>
        <w:t xml:space="preserve">involving </w:t>
      </w:r>
      <w:r w:rsidR="00084EB2">
        <w:rPr>
          <w:rFonts w:eastAsia="Arial" w:cs="Arial"/>
          <w:szCs w:val="24"/>
        </w:rPr>
        <w:t xml:space="preserve">body contact </w:t>
      </w:r>
      <w:r w:rsidR="001C3665">
        <w:rPr>
          <w:rFonts w:eastAsia="Arial" w:cs="Arial"/>
          <w:szCs w:val="24"/>
        </w:rPr>
        <w:t>recreational activities with water</w:t>
      </w:r>
      <w:r w:rsidR="12A4A840" w:rsidRPr="2B12F311">
        <w:rPr>
          <w:rFonts w:eastAsia="Arial" w:cs="Arial"/>
          <w:szCs w:val="24"/>
        </w:rPr>
        <w:t xml:space="preserve"> (</w:t>
      </w:r>
      <w:r w:rsidR="007E5868">
        <w:rPr>
          <w:rFonts w:eastAsia="Arial" w:cs="Arial"/>
          <w:szCs w:val="24"/>
        </w:rPr>
        <w:t xml:space="preserve">i.e., </w:t>
      </w:r>
      <w:r w:rsidR="12A4A840" w:rsidRPr="2B12F311">
        <w:rPr>
          <w:rFonts w:eastAsia="Arial" w:cs="Arial"/>
          <w:szCs w:val="24"/>
        </w:rPr>
        <w:t xml:space="preserve">REC-1) were assessed in accordance with the statewide </w:t>
      </w:r>
      <w:r w:rsidR="00BD7582">
        <w:rPr>
          <w:rFonts w:eastAsia="Arial" w:cs="Arial"/>
          <w:szCs w:val="24"/>
        </w:rPr>
        <w:t xml:space="preserve">numeric </w:t>
      </w:r>
      <w:r w:rsidR="12A4A840" w:rsidRPr="2B12F311">
        <w:rPr>
          <w:rFonts w:eastAsia="Arial" w:cs="Arial"/>
          <w:szCs w:val="24"/>
        </w:rPr>
        <w:t xml:space="preserve">bacteria </w:t>
      </w:r>
      <w:r w:rsidR="007051E8">
        <w:rPr>
          <w:rFonts w:eastAsia="Arial" w:cs="Arial"/>
          <w:szCs w:val="24"/>
        </w:rPr>
        <w:t xml:space="preserve">water quality </w:t>
      </w:r>
      <w:r w:rsidR="12A4A840" w:rsidRPr="2B12F311">
        <w:rPr>
          <w:rFonts w:eastAsia="Arial" w:cs="Arial"/>
          <w:szCs w:val="24"/>
        </w:rPr>
        <w:t xml:space="preserve">objectives or </w:t>
      </w:r>
      <w:r w:rsidR="00790802">
        <w:rPr>
          <w:rFonts w:eastAsia="Arial" w:cs="Arial"/>
          <w:szCs w:val="24"/>
        </w:rPr>
        <w:t>site-specific water quality objectives</w:t>
      </w:r>
      <w:r w:rsidR="12A4A840" w:rsidRPr="2B12F311">
        <w:rPr>
          <w:rFonts w:eastAsia="Arial" w:cs="Arial"/>
          <w:szCs w:val="24"/>
        </w:rPr>
        <w:t xml:space="preserve">, </w:t>
      </w:r>
      <w:r w:rsidR="00416F23">
        <w:rPr>
          <w:rFonts w:eastAsia="Arial" w:cs="Arial"/>
          <w:szCs w:val="24"/>
        </w:rPr>
        <w:t>as</w:t>
      </w:r>
      <w:r w:rsidR="12A4A840" w:rsidRPr="2B12F311">
        <w:rPr>
          <w:rFonts w:eastAsia="Arial" w:cs="Arial"/>
          <w:szCs w:val="24"/>
        </w:rPr>
        <w:t xml:space="preserve"> applicable. </w:t>
      </w:r>
      <w:r w:rsidR="00C82EFA">
        <w:rPr>
          <w:rFonts w:eastAsia="Arial" w:cs="Arial"/>
          <w:szCs w:val="24"/>
        </w:rPr>
        <w:t>S</w:t>
      </w:r>
      <w:r w:rsidR="12A4A840" w:rsidRPr="2B12F311">
        <w:rPr>
          <w:rFonts w:eastAsia="Arial" w:cs="Arial"/>
          <w:szCs w:val="24"/>
        </w:rPr>
        <w:t xml:space="preserve">tatewide bacteria objectives </w:t>
      </w:r>
      <w:r w:rsidR="00F2789B">
        <w:rPr>
          <w:rFonts w:eastAsia="Arial" w:cs="Arial"/>
          <w:szCs w:val="24"/>
        </w:rPr>
        <w:t>apply to</w:t>
      </w:r>
      <w:r w:rsidR="12A4A840" w:rsidRPr="2B12F311">
        <w:rPr>
          <w:rFonts w:eastAsia="Arial" w:cs="Arial"/>
          <w:szCs w:val="24"/>
        </w:rPr>
        <w:t xml:space="preserve"> inland surface waters</w:t>
      </w:r>
      <w:r w:rsidR="00E144DA">
        <w:rPr>
          <w:rFonts w:eastAsia="Arial" w:cs="Arial"/>
          <w:szCs w:val="24"/>
        </w:rPr>
        <w:t>, enclosed bays</w:t>
      </w:r>
      <w:r w:rsidR="007E427E">
        <w:rPr>
          <w:rFonts w:eastAsia="Arial" w:cs="Arial"/>
          <w:szCs w:val="24"/>
        </w:rPr>
        <w:t>, estu</w:t>
      </w:r>
      <w:r w:rsidR="00002A4B">
        <w:rPr>
          <w:rFonts w:eastAsia="Arial" w:cs="Arial"/>
          <w:szCs w:val="24"/>
        </w:rPr>
        <w:t xml:space="preserve">aries </w:t>
      </w:r>
      <w:r w:rsidR="00D67988">
        <w:rPr>
          <w:rFonts w:eastAsia="Arial" w:cs="Arial"/>
          <w:szCs w:val="24"/>
        </w:rPr>
        <w:t>with the REC-1 beneficial use,</w:t>
      </w:r>
      <w:r w:rsidR="12A4A840" w:rsidRPr="2B12F311">
        <w:rPr>
          <w:rFonts w:eastAsia="Arial" w:cs="Arial"/>
          <w:szCs w:val="24"/>
        </w:rPr>
        <w:t xml:space="preserve"> and</w:t>
      </w:r>
      <w:r w:rsidR="00A24EB3">
        <w:rPr>
          <w:rFonts w:eastAsia="Arial" w:cs="Arial"/>
          <w:szCs w:val="24"/>
        </w:rPr>
        <w:t xml:space="preserve"> for </w:t>
      </w:r>
      <w:r w:rsidR="00565C76">
        <w:rPr>
          <w:rFonts w:eastAsia="Arial" w:cs="Arial"/>
          <w:szCs w:val="24"/>
        </w:rPr>
        <w:t>ocean</w:t>
      </w:r>
      <w:r w:rsidR="12A4A840" w:rsidRPr="2B12F311">
        <w:rPr>
          <w:rFonts w:eastAsia="Arial" w:cs="Arial"/>
          <w:szCs w:val="24"/>
        </w:rPr>
        <w:t xml:space="preserve"> waters </w:t>
      </w:r>
      <w:r w:rsidR="00B94390">
        <w:rPr>
          <w:rFonts w:eastAsia="Arial" w:cs="Arial"/>
          <w:szCs w:val="24"/>
        </w:rPr>
        <w:t>with the REC-1 and SHELL beneficial uses</w:t>
      </w:r>
      <w:r w:rsidR="00565C76">
        <w:rPr>
          <w:rFonts w:eastAsia="Arial" w:cs="Arial"/>
          <w:szCs w:val="24"/>
        </w:rPr>
        <w:t xml:space="preserve">. </w:t>
      </w:r>
      <w:r w:rsidR="00B94390">
        <w:rPr>
          <w:rFonts w:eastAsia="Arial" w:cs="Arial"/>
          <w:szCs w:val="24"/>
        </w:rPr>
        <w:t>The</w:t>
      </w:r>
      <w:r w:rsidR="009E7FB5">
        <w:rPr>
          <w:rFonts w:eastAsia="Arial" w:cs="Arial"/>
          <w:szCs w:val="24"/>
        </w:rPr>
        <w:t xml:space="preserve"> </w:t>
      </w:r>
      <w:r w:rsidR="00B94390">
        <w:rPr>
          <w:rFonts w:eastAsia="Arial" w:cs="Arial"/>
          <w:szCs w:val="24"/>
        </w:rPr>
        <w:t>REC-1 bacteria water quality</w:t>
      </w:r>
      <w:r w:rsidR="009E7FB5">
        <w:rPr>
          <w:rFonts w:eastAsia="Arial" w:cs="Arial"/>
          <w:szCs w:val="24"/>
        </w:rPr>
        <w:t xml:space="preserve"> objectives </w:t>
      </w:r>
      <w:r w:rsidR="00B94390">
        <w:rPr>
          <w:rFonts w:eastAsia="Arial" w:cs="Arial"/>
          <w:szCs w:val="24"/>
        </w:rPr>
        <w:t>applicable to</w:t>
      </w:r>
      <w:r w:rsidR="006F0661">
        <w:rPr>
          <w:rFonts w:eastAsia="Arial" w:cs="Arial"/>
          <w:szCs w:val="24"/>
        </w:rPr>
        <w:t xml:space="preserve"> inland surface waters</w:t>
      </w:r>
      <w:r w:rsidR="00D71703">
        <w:rPr>
          <w:rFonts w:eastAsia="Arial" w:cs="Arial"/>
          <w:szCs w:val="24"/>
        </w:rPr>
        <w:t>, enclosed bays and estuaries</w:t>
      </w:r>
      <w:r w:rsidR="009E7FB5">
        <w:rPr>
          <w:rFonts w:eastAsia="Arial" w:cs="Arial"/>
          <w:szCs w:val="24"/>
        </w:rPr>
        <w:t xml:space="preserve"> are</w:t>
      </w:r>
      <w:r w:rsidR="12A4A840" w:rsidRPr="2B12F311">
        <w:rPr>
          <w:rFonts w:eastAsia="Arial" w:cs="Arial"/>
          <w:szCs w:val="24"/>
        </w:rPr>
        <w:t xml:space="preserve"> described in Part 3 of the ISWEBE Plan (SWRCB 2019</w:t>
      </w:r>
      <w:r w:rsidR="004C1EF3">
        <w:rPr>
          <w:rFonts w:eastAsia="Arial" w:cs="Arial"/>
          <w:szCs w:val="24"/>
        </w:rPr>
        <w:t>a</w:t>
      </w:r>
      <w:r w:rsidR="12A4A840" w:rsidRPr="2B12F311">
        <w:rPr>
          <w:rFonts w:eastAsia="Arial" w:cs="Arial"/>
          <w:szCs w:val="24"/>
        </w:rPr>
        <w:t xml:space="preserve">) and the </w:t>
      </w:r>
      <w:r w:rsidR="00B94390">
        <w:rPr>
          <w:rFonts w:eastAsia="Arial" w:cs="Arial"/>
          <w:szCs w:val="24"/>
        </w:rPr>
        <w:t xml:space="preserve">REC-1 and SHELL bacteria water quality </w:t>
      </w:r>
      <w:r w:rsidR="00F97A24">
        <w:rPr>
          <w:rFonts w:eastAsia="Arial" w:cs="Arial"/>
          <w:szCs w:val="24"/>
        </w:rPr>
        <w:t>objectives for</w:t>
      </w:r>
      <w:r w:rsidR="003D675D">
        <w:rPr>
          <w:rFonts w:eastAsia="Arial" w:cs="Arial"/>
          <w:szCs w:val="24"/>
        </w:rPr>
        <w:t xml:space="preserve"> ocean waters are described in </w:t>
      </w:r>
      <w:r w:rsidR="00C22F73">
        <w:rPr>
          <w:rFonts w:eastAsia="Arial" w:cs="Arial"/>
          <w:szCs w:val="24"/>
        </w:rPr>
        <w:t xml:space="preserve">the </w:t>
      </w:r>
      <w:r w:rsidR="12A4A840" w:rsidRPr="2B12F311">
        <w:rPr>
          <w:rFonts w:eastAsia="Arial" w:cs="Arial"/>
          <w:szCs w:val="24"/>
        </w:rPr>
        <w:t>Ocean Plan (SWRCB 2019</w:t>
      </w:r>
      <w:r w:rsidR="00BB2E1F">
        <w:rPr>
          <w:rFonts w:eastAsia="Arial" w:cs="Arial"/>
          <w:szCs w:val="24"/>
        </w:rPr>
        <w:t>c</w:t>
      </w:r>
      <w:r w:rsidR="12A4A840" w:rsidRPr="2B12F311">
        <w:rPr>
          <w:rFonts w:eastAsia="Arial" w:cs="Arial"/>
          <w:szCs w:val="24"/>
        </w:rPr>
        <w:t xml:space="preserve">). </w:t>
      </w:r>
    </w:p>
    <w:p w14:paraId="378850EA" w14:textId="4370E619" w:rsidR="347D478A" w:rsidRDefault="12A4A840" w:rsidP="2B12F311">
      <w:pPr>
        <w:rPr>
          <w:rFonts w:eastAsia="Calibri"/>
        </w:rPr>
      </w:pPr>
      <w:r w:rsidRPr="49ABF13E">
        <w:rPr>
          <w:rFonts w:eastAsia="Arial" w:cs="Arial"/>
        </w:rPr>
        <w:t xml:space="preserve">For </w:t>
      </w:r>
      <w:r w:rsidR="007F283B" w:rsidRPr="49ABF13E">
        <w:rPr>
          <w:rFonts w:eastAsia="Arial" w:cs="Arial"/>
        </w:rPr>
        <w:t>all</w:t>
      </w:r>
      <w:r w:rsidRPr="49ABF13E">
        <w:rPr>
          <w:rFonts w:eastAsia="Arial" w:cs="Arial"/>
        </w:rPr>
        <w:t xml:space="preserve"> waters</w:t>
      </w:r>
      <w:r w:rsidR="00306025" w:rsidRPr="49ABF13E">
        <w:rPr>
          <w:rFonts w:eastAsia="Arial" w:cs="Arial"/>
        </w:rPr>
        <w:t xml:space="preserve"> covered</w:t>
      </w:r>
      <w:r w:rsidR="00E35183" w:rsidRPr="49ABF13E">
        <w:rPr>
          <w:rFonts w:eastAsia="Arial" w:cs="Arial"/>
        </w:rPr>
        <w:t xml:space="preserve"> under the ISWEBE Plan</w:t>
      </w:r>
      <w:r w:rsidRPr="49ABF13E">
        <w:rPr>
          <w:rFonts w:eastAsia="Arial" w:cs="Arial"/>
        </w:rPr>
        <w:t xml:space="preserve">, </w:t>
      </w:r>
      <w:r w:rsidR="00315283">
        <w:rPr>
          <w:rFonts w:eastAsia="Arial" w:cs="Arial"/>
        </w:rPr>
        <w:t>different</w:t>
      </w:r>
      <w:r w:rsidRPr="49ABF13E">
        <w:rPr>
          <w:rFonts w:eastAsia="Arial" w:cs="Arial"/>
        </w:rPr>
        <w:t xml:space="preserve"> </w:t>
      </w:r>
      <w:r w:rsidR="003E7DE6" w:rsidRPr="49ABF13E">
        <w:rPr>
          <w:rFonts w:eastAsia="Arial" w:cs="Arial"/>
        </w:rPr>
        <w:t xml:space="preserve">bacteria </w:t>
      </w:r>
      <w:r w:rsidR="00CD4254" w:rsidRPr="49ABF13E">
        <w:rPr>
          <w:rFonts w:eastAsia="Arial" w:cs="Arial"/>
        </w:rPr>
        <w:t>water quality objective</w:t>
      </w:r>
      <w:r w:rsidR="00315283">
        <w:rPr>
          <w:rFonts w:eastAsia="Arial" w:cs="Arial"/>
        </w:rPr>
        <w:t xml:space="preserve">s apply depending on </w:t>
      </w:r>
      <w:r w:rsidRPr="49ABF13E">
        <w:rPr>
          <w:rFonts w:eastAsia="Arial" w:cs="Arial"/>
        </w:rPr>
        <w:t>the salinity of the water</w:t>
      </w:r>
      <w:r w:rsidR="002B2198">
        <w:t>.</w:t>
      </w:r>
      <w:r>
        <w:t xml:space="preserve"> </w:t>
      </w:r>
      <w:r w:rsidRPr="49ABF13E">
        <w:rPr>
          <w:rFonts w:eastAsia="Arial" w:cs="Arial"/>
        </w:rPr>
        <w:t xml:space="preserve">Saline waters are defined </w:t>
      </w:r>
      <w:r w:rsidRPr="5CEDAAAE">
        <w:rPr>
          <w:rFonts w:eastAsia="Arial" w:cs="Arial"/>
        </w:rPr>
        <w:t>as</w:t>
      </w:r>
      <w:r w:rsidRPr="49ABF13E">
        <w:rPr>
          <w:rFonts w:eastAsia="Arial" w:cs="Arial"/>
        </w:rPr>
        <w:t xml:space="preserve"> waters where the salinity is greater than one part per thousand (“ppt”) more than five percent of the time</w:t>
      </w:r>
      <w:r w:rsidR="00364725" w:rsidRPr="49ABF13E">
        <w:rPr>
          <w:rFonts w:eastAsia="Arial" w:cs="Arial"/>
        </w:rPr>
        <w:t>,</w:t>
      </w:r>
      <w:r w:rsidRPr="49ABF13E">
        <w:rPr>
          <w:rFonts w:eastAsia="Arial" w:cs="Arial"/>
        </w:rPr>
        <w:t xml:space="preserve"> whereas freshwaters include all waters where the salinity is equal to or less than one part per thousand 95 percent or more of the time. </w:t>
      </w:r>
      <w:r w:rsidR="00315283">
        <w:rPr>
          <w:rFonts w:eastAsia="Arial" w:cs="Arial"/>
        </w:rPr>
        <w:t xml:space="preserve">The </w:t>
      </w:r>
      <w:r w:rsidRPr="49ABF13E">
        <w:rPr>
          <w:rFonts w:eastAsia="Arial" w:cs="Arial"/>
          <w:i/>
        </w:rPr>
        <w:t>E. coli</w:t>
      </w:r>
      <w:r w:rsidRPr="49ABF13E">
        <w:rPr>
          <w:rFonts w:eastAsia="Arial" w:cs="Arial"/>
        </w:rPr>
        <w:t xml:space="preserve"> </w:t>
      </w:r>
      <w:r w:rsidR="00304B25">
        <w:rPr>
          <w:rFonts w:eastAsia="Arial" w:cs="Arial"/>
        </w:rPr>
        <w:t>bacteria</w:t>
      </w:r>
      <w:r w:rsidRPr="49ABF13E">
        <w:rPr>
          <w:rFonts w:eastAsia="Arial" w:cs="Arial"/>
        </w:rPr>
        <w:t xml:space="preserve"> </w:t>
      </w:r>
      <w:r w:rsidR="00315283">
        <w:rPr>
          <w:rFonts w:eastAsia="Arial" w:cs="Arial"/>
        </w:rPr>
        <w:t xml:space="preserve">objectives apply to </w:t>
      </w:r>
      <w:r w:rsidRPr="49ABF13E">
        <w:rPr>
          <w:rFonts w:eastAsia="Arial" w:cs="Arial"/>
        </w:rPr>
        <w:t>freshwater</w:t>
      </w:r>
      <w:r w:rsidR="00327B09" w:rsidRPr="49ABF13E">
        <w:rPr>
          <w:rFonts w:eastAsia="Arial" w:cs="Arial"/>
        </w:rPr>
        <w:t>,</w:t>
      </w:r>
      <w:r w:rsidRPr="49ABF13E">
        <w:rPr>
          <w:rFonts w:eastAsia="Arial" w:cs="Arial"/>
        </w:rPr>
        <w:t xml:space="preserve"> and </w:t>
      </w:r>
      <w:r w:rsidR="00F64756">
        <w:rPr>
          <w:rFonts w:eastAsia="Arial" w:cs="Arial"/>
        </w:rPr>
        <w:t xml:space="preserve">the </w:t>
      </w:r>
      <w:r w:rsidRPr="49ABF13E">
        <w:rPr>
          <w:rFonts w:eastAsia="Arial" w:cs="Arial"/>
        </w:rPr>
        <w:t xml:space="preserve">enterococci </w:t>
      </w:r>
      <w:r w:rsidR="00304B25">
        <w:rPr>
          <w:rFonts w:eastAsia="Arial" w:cs="Arial"/>
        </w:rPr>
        <w:t xml:space="preserve">bacteria </w:t>
      </w:r>
      <w:r w:rsidR="00F64756">
        <w:rPr>
          <w:rFonts w:eastAsia="Arial" w:cs="Arial"/>
        </w:rPr>
        <w:t xml:space="preserve">objectives apply to </w:t>
      </w:r>
      <w:r w:rsidRPr="49ABF13E">
        <w:rPr>
          <w:rFonts w:eastAsia="Arial" w:cs="Arial"/>
        </w:rPr>
        <w:t>inland saline</w:t>
      </w:r>
      <w:r w:rsidR="0082375C" w:rsidRPr="49ABF13E">
        <w:rPr>
          <w:rFonts w:eastAsia="Arial" w:cs="Arial"/>
        </w:rPr>
        <w:t xml:space="preserve"> waters</w:t>
      </w:r>
      <w:r w:rsidRPr="49ABF13E">
        <w:rPr>
          <w:rFonts w:eastAsia="Arial" w:cs="Arial"/>
        </w:rPr>
        <w:t xml:space="preserve">, </w:t>
      </w:r>
      <w:r w:rsidR="0082375C" w:rsidRPr="49ABF13E">
        <w:rPr>
          <w:rFonts w:eastAsia="Arial" w:cs="Arial"/>
        </w:rPr>
        <w:t>estu</w:t>
      </w:r>
      <w:r w:rsidR="00BC5D3B" w:rsidRPr="49ABF13E">
        <w:rPr>
          <w:rFonts w:eastAsia="Arial" w:cs="Arial"/>
        </w:rPr>
        <w:t>aries</w:t>
      </w:r>
      <w:r w:rsidRPr="49ABF13E">
        <w:rPr>
          <w:rFonts w:eastAsia="Arial" w:cs="Arial"/>
        </w:rPr>
        <w:t xml:space="preserve">, and </w:t>
      </w:r>
      <w:r w:rsidR="00430264" w:rsidRPr="49ABF13E">
        <w:rPr>
          <w:rFonts w:eastAsia="Arial" w:cs="Arial"/>
        </w:rPr>
        <w:t>enclosed bays</w:t>
      </w:r>
      <w:r w:rsidRPr="49ABF13E">
        <w:rPr>
          <w:rFonts w:eastAsia="Arial" w:cs="Arial"/>
        </w:rPr>
        <w:t xml:space="preserve">. </w:t>
      </w:r>
      <w:r w:rsidR="00AA3625" w:rsidRPr="49ABF13E">
        <w:rPr>
          <w:rFonts w:eastAsia="Arial" w:cs="Arial"/>
        </w:rPr>
        <w:t>Entero</w:t>
      </w:r>
      <w:r w:rsidR="0057170A" w:rsidRPr="49ABF13E">
        <w:rPr>
          <w:rFonts w:eastAsia="Arial" w:cs="Arial"/>
        </w:rPr>
        <w:t>cocci and f</w:t>
      </w:r>
      <w:r w:rsidRPr="49ABF13E">
        <w:rPr>
          <w:rFonts w:eastAsia="Arial" w:cs="Arial"/>
        </w:rPr>
        <w:t xml:space="preserve">ecal coliform </w:t>
      </w:r>
      <w:r w:rsidR="00516AFC" w:rsidRPr="49ABF13E">
        <w:rPr>
          <w:rFonts w:eastAsia="Arial" w:cs="Arial"/>
        </w:rPr>
        <w:t>are the</w:t>
      </w:r>
      <w:r w:rsidRPr="49ABF13E">
        <w:rPr>
          <w:rFonts w:eastAsia="Arial" w:cs="Arial"/>
        </w:rPr>
        <w:t xml:space="preserve"> indicator</w:t>
      </w:r>
      <w:r w:rsidR="00516AFC" w:rsidRPr="49ABF13E">
        <w:rPr>
          <w:rFonts w:eastAsia="Arial" w:cs="Arial"/>
        </w:rPr>
        <w:t>s</w:t>
      </w:r>
      <w:r w:rsidR="001D3194" w:rsidRPr="49ABF13E">
        <w:rPr>
          <w:rFonts w:eastAsia="Arial" w:cs="Arial"/>
        </w:rPr>
        <w:t xml:space="preserve"> for the REC-1</w:t>
      </w:r>
      <w:r w:rsidRPr="49ABF13E">
        <w:rPr>
          <w:rFonts w:eastAsia="Arial" w:cs="Arial"/>
        </w:rPr>
        <w:t xml:space="preserve"> </w:t>
      </w:r>
      <w:r w:rsidR="00640CB3" w:rsidRPr="49ABF13E">
        <w:rPr>
          <w:rFonts w:eastAsia="Arial" w:cs="Arial"/>
        </w:rPr>
        <w:t>beneficial use</w:t>
      </w:r>
      <w:r w:rsidRPr="49ABF13E">
        <w:rPr>
          <w:rFonts w:eastAsia="Arial" w:cs="Arial"/>
        </w:rPr>
        <w:t xml:space="preserve"> in </w:t>
      </w:r>
      <w:r w:rsidR="00640CB3" w:rsidRPr="49ABF13E">
        <w:rPr>
          <w:rFonts w:eastAsia="Arial" w:cs="Arial"/>
        </w:rPr>
        <w:t xml:space="preserve">ocean </w:t>
      </w:r>
      <w:r w:rsidRPr="49ABF13E">
        <w:rPr>
          <w:rFonts w:eastAsia="Arial" w:cs="Arial"/>
        </w:rPr>
        <w:t>waters.</w:t>
      </w:r>
      <w:r w:rsidR="00A67A21" w:rsidRPr="49ABF13E">
        <w:rPr>
          <w:rFonts w:eastAsia="Arial" w:cs="Arial"/>
        </w:rPr>
        <w:t xml:space="preserve"> See</w:t>
      </w:r>
      <w:r w:rsidR="00580973" w:rsidRPr="49ABF13E">
        <w:rPr>
          <w:rFonts w:eastAsia="Arial" w:cs="Arial"/>
        </w:rPr>
        <w:t xml:space="preserve"> </w:t>
      </w:r>
      <w:r w:rsidR="00A67A21">
        <w:t>Table 3-6</w:t>
      </w:r>
      <w:r w:rsidR="003671A6">
        <w:t>:</w:t>
      </w:r>
      <w:r w:rsidR="00A67A21">
        <w:t xml:space="preserve"> </w:t>
      </w:r>
      <w:r w:rsidR="00580973">
        <w:t>S</w:t>
      </w:r>
      <w:r w:rsidR="00A67A21">
        <w:t xml:space="preserve">ummary of </w:t>
      </w:r>
      <w:r w:rsidR="00400524">
        <w:t>W</w:t>
      </w:r>
      <w:r w:rsidR="00A67A21">
        <w:t xml:space="preserve">ater </w:t>
      </w:r>
      <w:r w:rsidR="00400524">
        <w:t>Q</w:t>
      </w:r>
      <w:r w:rsidR="00A67A21">
        <w:t xml:space="preserve">uality </w:t>
      </w:r>
      <w:r w:rsidR="00400524">
        <w:t>T</w:t>
      </w:r>
      <w:r w:rsidR="00A67A21">
        <w:t>hresholds</w:t>
      </w:r>
      <w:r w:rsidR="003F27C6">
        <w:t xml:space="preserve"> used</w:t>
      </w:r>
      <w:r w:rsidR="00A67A21">
        <w:t xml:space="preserve"> for </w:t>
      </w:r>
      <w:r w:rsidR="00BB5D31">
        <w:t>B</w:t>
      </w:r>
      <w:r w:rsidR="00A67A21">
        <w:t>acteria</w:t>
      </w:r>
      <w:r w:rsidR="00577FE5">
        <w:t xml:space="preserve"> and REC-1</w:t>
      </w:r>
      <w:r w:rsidR="00BB5D31">
        <w:t>,</w:t>
      </w:r>
      <w:r w:rsidR="00A67A21">
        <w:t xml:space="preserve"> </w:t>
      </w:r>
      <w:r w:rsidR="00BB5D31">
        <w:t xml:space="preserve">below. </w:t>
      </w:r>
    </w:p>
    <w:p w14:paraId="775D1B7F" w14:textId="21083082" w:rsidR="000621DC" w:rsidRDefault="009E45B7" w:rsidP="00DC7730">
      <w:pPr>
        <w:rPr>
          <w:rFonts w:eastAsia="Calibri"/>
          <w:szCs w:val="24"/>
        </w:rPr>
      </w:pPr>
      <w:r w:rsidRPr="009E45B7">
        <w:rPr>
          <w:rFonts w:eastAsia="Calibri"/>
          <w:szCs w:val="24"/>
        </w:rPr>
        <w:t xml:space="preserve">Statewide bacteria objectives for REC-1 waters include two numeric values for each </w:t>
      </w:r>
      <w:r w:rsidR="004E321C">
        <w:rPr>
          <w:rFonts w:eastAsia="Calibri"/>
          <w:szCs w:val="24"/>
        </w:rPr>
        <w:t>objective</w:t>
      </w:r>
      <w:r w:rsidRPr="009E45B7">
        <w:rPr>
          <w:rFonts w:eastAsia="Calibri"/>
          <w:szCs w:val="24"/>
        </w:rPr>
        <w:t xml:space="preserve">, one based on a six-week or 30-day geometric mean (“geomean”) and another based on a statistical threshold value (“STV”) or single sample maximum (“SSM”) calculated on a monthly basis. The </w:t>
      </w:r>
      <w:r w:rsidRPr="00AF0A16">
        <w:rPr>
          <w:rFonts w:eastAsia="Calibri"/>
          <w:i/>
          <w:szCs w:val="24"/>
        </w:rPr>
        <w:t>E.coli</w:t>
      </w:r>
      <w:r w:rsidRPr="009E45B7">
        <w:rPr>
          <w:rFonts w:eastAsia="Calibri"/>
          <w:szCs w:val="24"/>
        </w:rPr>
        <w:t xml:space="preserve"> bacteria objective includes a six-week rolling geomean not to exceed 100 colony forming units (“cfu”) per 100 milliliters (“mL”), calculated weekly, and a STV of 320 cfu per 100 mL not to be exceeded by more than 10 percent of the samples collected in a calendar month, calculated in a static manner. The enterococci bacteria objective includes a six-week, rolling geomean of 30 cfu per 100</w:t>
      </w:r>
      <w:r w:rsidR="004E321C">
        <w:rPr>
          <w:rFonts w:eastAsia="Calibri"/>
          <w:szCs w:val="24"/>
        </w:rPr>
        <w:t xml:space="preserve"> </w:t>
      </w:r>
      <w:r w:rsidRPr="009E45B7">
        <w:rPr>
          <w:rFonts w:eastAsia="Calibri"/>
          <w:szCs w:val="24"/>
        </w:rPr>
        <w:t>mL calculated weekly, and a STV of 110 cfu per 100</w:t>
      </w:r>
      <w:r w:rsidR="004E321C">
        <w:rPr>
          <w:rFonts w:eastAsia="Calibri"/>
          <w:szCs w:val="24"/>
        </w:rPr>
        <w:t xml:space="preserve"> </w:t>
      </w:r>
      <w:r w:rsidRPr="009E45B7">
        <w:rPr>
          <w:rFonts w:eastAsia="Calibri"/>
          <w:szCs w:val="24"/>
        </w:rPr>
        <w:t>mL not to be exceeded by more than 10 percent of samples in a calendar month. The fecal coliform bacteria objective includes a 30-day geomean not to exceed 200 per 100 mL, calculated based on the five most recent samples from each site, and an SSM not to exceed 400 per 100 mL</w:t>
      </w:r>
      <w:r w:rsidR="00DC7730">
        <w:rPr>
          <w:rFonts w:eastAsia="Calibri"/>
          <w:szCs w:val="24"/>
        </w:rPr>
        <w:t>.</w:t>
      </w:r>
      <w:r w:rsidR="00DA3F50">
        <w:rPr>
          <w:rFonts w:eastAsia="Calibri"/>
          <w:szCs w:val="24"/>
        </w:rPr>
        <w:t xml:space="preserve"> </w:t>
      </w:r>
    </w:p>
    <w:p w14:paraId="151200D4" w14:textId="0AF2FB0B" w:rsidR="00A61E2C" w:rsidRDefault="00C07FB9" w:rsidP="00F32F3A">
      <w:pPr>
        <w:rPr>
          <w:b/>
          <w:bCs/>
        </w:rPr>
      </w:pPr>
      <w:r>
        <w:t>The geomean was applied only if a statistically sufficient number of samples w</w:t>
      </w:r>
      <w:r w:rsidR="00BE3DD6">
        <w:t>ere</w:t>
      </w:r>
      <w:r>
        <w:t xml:space="preserve"> available (generally not less than five samples collected over the specified averaging period)</w:t>
      </w:r>
      <w:r w:rsidR="00AF0087">
        <w:t xml:space="preserve"> and attainment </w:t>
      </w:r>
      <w:r w:rsidR="00784C13">
        <w:t xml:space="preserve">of the bacteria objective </w:t>
      </w:r>
      <w:r w:rsidR="0020709B">
        <w:t xml:space="preserve">was determined per Listing Policy </w:t>
      </w:r>
      <w:r w:rsidR="00185E10">
        <w:t>s</w:t>
      </w:r>
      <w:r w:rsidR="0020709B">
        <w:t xml:space="preserve">ections 3.3 and </w:t>
      </w:r>
      <w:r w:rsidR="00951A33">
        <w:t>4.</w:t>
      </w:r>
      <w:r w:rsidR="0020709B">
        <w:t>3.</w:t>
      </w:r>
      <w:r>
        <w:t xml:space="preserve"> In waterbod</w:t>
      </w:r>
      <w:r w:rsidR="00031641">
        <w:t>y segments</w:t>
      </w:r>
      <w:r>
        <w:t xml:space="preserve"> where a statistically sufficient number of geomean samples were not available, then attainment of the bacteria objective was determined based only on the STV or SSM per the </w:t>
      </w:r>
      <w:r w:rsidR="000621DC">
        <w:t xml:space="preserve">situation-specific </w:t>
      </w:r>
      <w:r>
        <w:t xml:space="preserve">weight of evidence approach outlined in </w:t>
      </w:r>
      <w:r w:rsidR="00185E10">
        <w:t>s</w:t>
      </w:r>
      <w:r>
        <w:t xml:space="preserve">ections 3.11 and 4.11 of the Listing Policy. Beach notification information, if available, was also used in the </w:t>
      </w:r>
      <w:r w:rsidR="000621DC">
        <w:t xml:space="preserve">situation-specific </w:t>
      </w:r>
      <w:r>
        <w:t>weight of evidence evaluations.</w:t>
      </w:r>
      <w:r w:rsidR="007717AE">
        <w:t xml:space="preserve"> </w:t>
      </w:r>
      <w:bookmarkStart w:id="114" w:name="_Toc118386791"/>
      <w:bookmarkStart w:id="115" w:name="_Toc118386823"/>
    </w:p>
    <w:p w14:paraId="6D9B6EDF" w14:textId="62326C66" w:rsidR="00783350" w:rsidRDefault="00783350" w:rsidP="00783350">
      <w:pPr>
        <w:pStyle w:val="Caption"/>
        <w:keepNext/>
      </w:pPr>
      <w:r>
        <w:t xml:space="preserve">Table </w:t>
      </w:r>
      <w:r>
        <w:fldChar w:fldCharType="begin"/>
      </w:r>
      <w:r>
        <w:instrText>STYLEREF 1 \s</w:instrText>
      </w:r>
      <w:r>
        <w:fldChar w:fldCharType="separate"/>
      </w:r>
      <w:r w:rsidR="00C93408">
        <w:rPr>
          <w:noProof/>
        </w:rPr>
        <w:t>3</w:t>
      </w:r>
      <w:r>
        <w:fldChar w:fldCharType="end"/>
      </w:r>
      <w:r>
        <w:noBreakHyphen/>
      </w:r>
      <w:r w:rsidR="00AE121C">
        <w:t>7</w:t>
      </w:r>
      <w:r>
        <w:t xml:space="preserve">: </w:t>
      </w:r>
      <w:r w:rsidRPr="003C2A5C">
        <w:t xml:space="preserve">Summary </w:t>
      </w:r>
      <w:r w:rsidR="00400524">
        <w:t xml:space="preserve">of </w:t>
      </w:r>
      <w:r w:rsidRPr="003C2A5C">
        <w:t xml:space="preserve">Water Quality </w:t>
      </w:r>
      <w:r w:rsidR="008F2111">
        <w:t>Objectives</w:t>
      </w:r>
      <w:r w:rsidRPr="003C2A5C">
        <w:t xml:space="preserve"> </w:t>
      </w:r>
      <w:r w:rsidR="00D6281B">
        <w:t>U</w:t>
      </w:r>
      <w:r w:rsidR="00D6281B" w:rsidRPr="003C2A5C">
        <w:t xml:space="preserve">sed </w:t>
      </w:r>
      <w:r w:rsidRPr="003C2A5C">
        <w:t>for Bacteria</w:t>
      </w:r>
      <w:bookmarkEnd w:id="114"/>
      <w:bookmarkEnd w:id="115"/>
      <w:r w:rsidR="008F2111">
        <w:t xml:space="preserve"> and REC-1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Water Quality Objectives Used for Bacteria and REC-1"/>
        <w:tblDescription w:val="This table shows a water quality objectives used for bacteria and the REC-1 beneficial use and the waterbody type, thresholds, and references the objective applies to."/>
      </w:tblPr>
      <w:tblGrid>
        <w:gridCol w:w="2337"/>
        <w:gridCol w:w="2337"/>
        <w:gridCol w:w="2338"/>
        <w:gridCol w:w="2338"/>
      </w:tblGrid>
      <w:tr w:rsidR="00461AE9" w:rsidRPr="004502A9" w14:paraId="0649317F" w14:textId="77777777" w:rsidTr="00F64693">
        <w:tc>
          <w:tcPr>
            <w:tcW w:w="2337" w:type="dxa"/>
            <w:shd w:val="clear" w:color="auto" w:fill="D9E2F3" w:themeFill="accent1" w:themeFillTint="33"/>
            <w:vAlign w:val="center"/>
          </w:tcPr>
          <w:p w14:paraId="699D7BC2" w14:textId="4EFB7721" w:rsidR="00461AE9" w:rsidRPr="00062C10" w:rsidRDefault="00A26A11" w:rsidP="00AD156A">
            <w:pPr>
              <w:spacing w:before="120" w:after="120"/>
              <w:jc w:val="center"/>
              <w:rPr>
                <w:rFonts w:cs="Arial"/>
                <w:b/>
              </w:rPr>
            </w:pPr>
            <w:r>
              <w:rPr>
                <w:rFonts w:cs="Arial"/>
                <w:b/>
              </w:rPr>
              <w:t>Beneficial Use</w:t>
            </w:r>
          </w:p>
        </w:tc>
        <w:tc>
          <w:tcPr>
            <w:tcW w:w="2337" w:type="dxa"/>
            <w:shd w:val="clear" w:color="auto" w:fill="D9E2F3" w:themeFill="accent1" w:themeFillTint="33"/>
            <w:vAlign w:val="center"/>
          </w:tcPr>
          <w:p w14:paraId="59A1A91A" w14:textId="3899248C" w:rsidR="00461AE9" w:rsidRPr="00062C10" w:rsidRDefault="00875CB7" w:rsidP="00AD156A">
            <w:pPr>
              <w:spacing w:before="120" w:after="120"/>
              <w:jc w:val="center"/>
              <w:rPr>
                <w:rFonts w:cs="Arial"/>
                <w:b/>
              </w:rPr>
            </w:pPr>
            <w:r>
              <w:rPr>
                <w:b/>
                <w:bCs/>
              </w:rPr>
              <w:t xml:space="preserve">Waterbody </w:t>
            </w:r>
            <w:r w:rsidR="00031641">
              <w:rPr>
                <w:b/>
                <w:bCs/>
              </w:rPr>
              <w:t>Segment</w:t>
            </w:r>
            <w:r>
              <w:rPr>
                <w:b/>
                <w:bCs/>
              </w:rPr>
              <w:t xml:space="preserve"> Type</w:t>
            </w:r>
          </w:p>
        </w:tc>
        <w:tc>
          <w:tcPr>
            <w:tcW w:w="2338" w:type="dxa"/>
            <w:shd w:val="clear" w:color="auto" w:fill="D9E2F3" w:themeFill="accent1" w:themeFillTint="33"/>
          </w:tcPr>
          <w:p w14:paraId="29E12C4E" w14:textId="405EBEA1" w:rsidR="00461AE9" w:rsidRPr="00062C10" w:rsidRDefault="00FC1A0F" w:rsidP="00AD156A">
            <w:pPr>
              <w:spacing w:before="120" w:after="120"/>
              <w:jc w:val="center"/>
              <w:rPr>
                <w:rFonts w:cs="Arial"/>
                <w:b/>
              </w:rPr>
            </w:pPr>
            <w:r>
              <w:rPr>
                <w:b/>
                <w:bCs/>
                <w:spacing w:val="-2"/>
              </w:rPr>
              <w:t>Numeric Water Quality Objective</w:t>
            </w:r>
          </w:p>
        </w:tc>
        <w:tc>
          <w:tcPr>
            <w:tcW w:w="2338" w:type="dxa"/>
            <w:shd w:val="clear" w:color="auto" w:fill="D9E2F3" w:themeFill="accent1" w:themeFillTint="33"/>
          </w:tcPr>
          <w:p w14:paraId="3E6D685B" w14:textId="31350823" w:rsidR="00461AE9" w:rsidRPr="00062C10" w:rsidRDefault="00875CB7" w:rsidP="00AD156A">
            <w:pPr>
              <w:spacing w:before="120" w:after="120"/>
              <w:jc w:val="center"/>
              <w:rPr>
                <w:rFonts w:cs="Arial"/>
                <w:b/>
              </w:rPr>
            </w:pPr>
            <w:r>
              <w:rPr>
                <w:b/>
                <w:bCs/>
                <w:spacing w:val="-2"/>
              </w:rPr>
              <w:t>Reference</w:t>
            </w:r>
          </w:p>
        </w:tc>
      </w:tr>
      <w:tr w:rsidR="00461AE9" w:rsidRPr="004502A9" w14:paraId="78A7F52A" w14:textId="77777777" w:rsidTr="00AD156A">
        <w:tc>
          <w:tcPr>
            <w:tcW w:w="2337" w:type="dxa"/>
            <w:vAlign w:val="center"/>
          </w:tcPr>
          <w:p w14:paraId="40FC7EB9" w14:textId="49DF5D9D" w:rsidR="00461AE9" w:rsidRPr="004502A9" w:rsidRDefault="002973E6" w:rsidP="00AD156A">
            <w:pPr>
              <w:spacing w:before="120" w:after="120"/>
              <w:rPr>
                <w:rFonts w:cs="Arial"/>
              </w:rPr>
            </w:pPr>
            <w:r>
              <w:rPr>
                <w:b/>
                <w:bCs/>
                <w:spacing w:val="-2"/>
              </w:rPr>
              <w:t>REC-1</w:t>
            </w:r>
          </w:p>
        </w:tc>
        <w:tc>
          <w:tcPr>
            <w:tcW w:w="2337" w:type="dxa"/>
          </w:tcPr>
          <w:p w14:paraId="319651C7" w14:textId="54BBD8B7" w:rsidR="00461AE9" w:rsidRPr="004502A9" w:rsidRDefault="00CF4F92" w:rsidP="002D1C26">
            <w:pPr>
              <w:pStyle w:val="TableParagraph"/>
              <w:kinsoku w:val="0"/>
              <w:overflowPunct w:val="0"/>
              <w:spacing w:before="120" w:after="120"/>
              <w:ind w:right="105"/>
            </w:pPr>
            <w:r>
              <w:t>Inland saline surface waters, enclosed</w:t>
            </w:r>
            <w:r>
              <w:rPr>
                <w:spacing w:val="-17"/>
              </w:rPr>
              <w:t xml:space="preserve"> </w:t>
            </w:r>
            <w:r>
              <w:t>bays</w:t>
            </w:r>
            <w:r>
              <w:rPr>
                <w:spacing w:val="-17"/>
              </w:rPr>
              <w:t xml:space="preserve"> </w:t>
            </w:r>
            <w:r>
              <w:t xml:space="preserve">and </w:t>
            </w:r>
            <w:r>
              <w:rPr>
                <w:spacing w:val="-2"/>
              </w:rPr>
              <w:t>estuaries</w:t>
            </w:r>
            <w:r w:rsidR="00F64693">
              <w:rPr>
                <w:spacing w:val="-2"/>
              </w:rPr>
              <w:t xml:space="preserve"> </w:t>
            </w:r>
            <w:r>
              <w:t>(salinity</w:t>
            </w:r>
            <w:r>
              <w:rPr>
                <w:spacing w:val="-9"/>
              </w:rPr>
              <w:t xml:space="preserve"> </w:t>
            </w:r>
            <w:r>
              <w:t>&gt;</w:t>
            </w:r>
            <w:r>
              <w:rPr>
                <w:spacing w:val="-10"/>
              </w:rPr>
              <w:t xml:space="preserve"> </w:t>
            </w:r>
            <w:r>
              <w:t>1</w:t>
            </w:r>
            <w:r>
              <w:rPr>
                <w:spacing w:val="-9"/>
              </w:rPr>
              <w:t xml:space="preserve"> </w:t>
            </w:r>
            <w:r>
              <w:t>ppt</w:t>
            </w:r>
            <w:r>
              <w:rPr>
                <w:spacing w:val="-9"/>
              </w:rPr>
              <w:t xml:space="preserve"> </w:t>
            </w:r>
            <w:r>
              <w:t>&gt; 5% of the time)</w:t>
            </w:r>
          </w:p>
        </w:tc>
        <w:tc>
          <w:tcPr>
            <w:tcW w:w="2338" w:type="dxa"/>
            <w:vAlign w:val="center"/>
          </w:tcPr>
          <w:p w14:paraId="6ECC1F93" w14:textId="145BE600" w:rsidR="00461AE9" w:rsidRPr="004502A9" w:rsidRDefault="001B4A67" w:rsidP="00805588">
            <w:pPr>
              <w:spacing w:before="120" w:after="120"/>
              <w:rPr>
                <w:rFonts w:cs="Arial"/>
              </w:rPr>
            </w:pPr>
            <w:r>
              <w:rPr>
                <w:spacing w:val="-2"/>
              </w:rPr>
              <w:t xml:space="preserve">Enterococci (Geomean </w:t>
            </w:r>
            <w:r>
              <w:t>preferred,</w:t>
            </w:r>
            <w:r>
              <w:rPr>
                <w:spacing w:val="-17"/>
              </w:rPr>
              <w:t xml:space="preserve"> </w:t>
            </w:r>
            <w:r>
              <w:t>STV)</w:t>
            </w:r>
          </w:p>
        </w:tc>
        <w:tc>
          <w:tcPr>
            <w:tcW w:w="2338" w:type="dxa"/>
            <w:vAlign w:val="center"/>
          </w:tcPr>
          <w:p w14:paraId="27E433E7" w14:textId="26A6E828" w:rsidR="00461AE9" w:rsidRPr="004502A9" w:rsidRDefault="00805588" w:rsidP="00805588">
            <w:pPr>
              <w:spacing w:before="120" w:after="120"/>
              <w:rPr>
                <w:rFonts w:cs="Arial"/>
              </w:rPr>
            </w:pPr>
            <w:r>
              <w:rPr>
                <w:rFonts w:cs="Arial"/>
              </w:rPr>
              <w:t>ISWEBE Plan</w:t>
            </w:r>
          </w:p>
        </w:tc>
      </w:tr>
      <w:tr w:rsidR="00461AE9" w:rsidRPr="004502A9" w14:paraId="2D4C72FD" w14:textId="77777777" w:rsidTr="00AD156A">
        <w:tc>
          <w:tcPr>
            <w:tcW w:w="2337" w:type="dxa"/>
            <w:vAlign w:val="center"/>
          </w:tcPr>
          <w:p w14:paraId="5E753AB3" w14:textId="6424A2A5" w:rsidR="00461AE9" w:rsidRPr="004502A9" w:rsidRDefault="002973E6" w:rsidP="00AD156A">
            <w:pPr>
              <w:spacing w:before="120" w:after="120"/>
              <w:rPr>
                <w:rFonts w:cs="Arial"/>
              </w:rPr>
            </w:pPr>
            <w:r>
              <w:rPr>
                <w:b/>
                <w:bCs/>
                <w:spacing w:val="-2"/>
              </w:rPr>
              <w:t>REC-1</w:t>
            </w:r>
          </w:p>
        </w:tc>
        <w:tc>
          <w:tcPr>
            <w:tcW w:w="2337" w:type="dxa"/>
          </w:tcPr>
          <w:p w14:paraId="59287035" w14:textId="77777777" w:rsidR="00D814D8" w:rsidRDefault="00D814D8" w:rsidP="002D1C26">
            <w:pPr>
              <w:pStyle w:val="TableParagraph"/>
              <w:kinsoku w:val="0"/>
              <w:overflowPunct w:val="0"/>
              <w:spacing w:before="120" w:after="120"/>
              <w:rPr>
                <w:spacing w:val="-2"/>
              </w:rPr>
            </w:pPr>
            <w:r>
              <w:t>Inland</w:t>
            </w:r>
            <w:r>
              <w:rPr>
                <w:spacing w:val="-17"/>
              </w:rPr>
              <w:t xml:space="preserve"> </w:t>
            </w:r>
            <w:r>
              <w:t>fresh</w:t>
            </w:r>
            <w:r>
              <w:rPr>
                <w:spacing w:val="-17"/>
              </w:rPr>
              <w:t xml:space="preserve"> </w:t>
            </w:r>
            <w:r>
              <w:t xml:space="preserve">surface </w:t>
            </w:r>
            <w:r>
              <w:rPr>
                <w:spacing w:val="-2"/>
              </w:rPr>
              <w:t>waters</w:t>
            </w:r>
          </w:p>
          <w:p w14:paraId="5259DB57" w14:textId="34F27694" w:rsidR="00461AE9" w:rsidRPr="004502A9" w:rsidRDefault="00D814D8" w:rsidP="002D1C26">
            <w:pPr>
              <w:pStyle w:val="TableParagraph"/>
              <w:kinsoku w:val="0"/>
              <w:overflowPunct w:val="0"/>
              <w:spacing w:before="120" w:after="120"/>
            </w:pPr>
            <w:r>
              <w:t>(salinity ≤ 1 ppt ≥</w:t>
            </w:r>
            <w:r w:rsidR="00F64693">
              <w:t xml:space="preserve"> </w:t>
            </w:r>
            <w:r>
              <w:t>95% of the time)</w:t>
            </w:r>
          </w:p>
        </w:tc>
        <w:tc>
          <w:tcPr>
            <w:tcW w:w="2338" w:type="dxa"/>
            <w:vAlign w:val="center"/>
          </w:tcPr>
          <w:p w14:paraId="5C406B2D" w14:textId="298E72BD" w:rsidR="00461AE9" w:rsidRPr="004502A9" w:rsidRDefault="00E212A6" w:rsidP="00805588">
            <w:pPr>
              <w:spacing w:before="120" w:after="120"/>
              <w:rPr>
                <w:rFonts w:cs="Arial"/>
              </w:rPr>
            </w:pPr>
            <w:r w:rsidRPr="008F79AC">
              <w:rPr>
                <w:i/>
              </w:rPr>
              <w:t>E. coli</w:t>
            </w:r>
            <w:r>
              <w:t xml:space="preserve"> </w:t>
            </w:r>
            <w:r>
              <w:rPr>
                <w:spacing w:val="-2"/>
              </w:rPr>
              <w:t xml:space="preserve">(Geomean </w:t>
            </w:r>
            <w:r>
              <w:t>preferred,</w:t>
            </w:r>
            <w:r>
              <w:rPr>
                <w:spacing w:val="-17"/>
              </w:rPr>
              <w:t xml:space="preserve"> </w:t>
            </w:r>
            <w:r>
              <w:t>STV)</w:t>
            </w:r>
          </w:p>
        </w:tc>
        <w:tc>
          <w:tcPr>
            <w:tcW w:w="2338" w:type="dxa"/>
            <w:vAlign w:val="center"/>
          </w:tcPr>
          <w:p w14:paraId="2E5C7DA2" w14:textId="4287E932" w:rsidR="00461AE9" w:rsidRPr="004502A9" w:rsidRDefault="00805588" w:rsidP="00805588">
            <w:pPr>
              <w:spacing w:before="120" w:after="120"/>
              <w:rPr>
                <w:rFonts w:cs="Arial"/>
              </w:rPr>
            </w:pPr>
            <w:r>
              <w:rPr>
                <w:rFonts w:cs="Arial"/>
              </w:rPr>
              <w:t>ISWEBE Plan</w:t>
            </w:r>
          </w:p>
        </w:tc>
      </w:tr>
      <w:tr w:rsidR="00461AE9" w:rsidRPr="004502A9" w14:paraId="589A3937" w14:textId="77777777" w:rsidTr="00FC10E4">
        <w:tc>
          <w:tcPr>
            <w:tcW w:w="2337" w:type="dxa"/>
            <w:vAlign w:val="center"/>
          </w:tcPr>
          <w:p w14:paraId="68E42428" w14:textId="4DDA595B" w:rsidR="00461AE9" w:rsidRPr="004502A9" w:rsidRDefault="002973E6" w:rsidP="00AD156A">
            <w:pPr>
              <w:spacing w:before="120" w:after="120"/>
              <w:rPr>
                <w:rFonts w:cs="Arial"/>
              </w:rPr>
            </w:pPr>
            <w:r>
              <w:rPr>
                <w:b/>
                <w:bCs/>
                <w:spacing w:val="-2"/>
              </w:rPr>
              <w:t>REC-1</w:t>
            </w:r>
          </w:p>
        </w:tc>
        <w:tc>
          <w:tcPr>
            <w:tcW w:w="2337" w:type="dxa"/>
            <w:vAlign w:val="center"/>
          </w:tcPr>
          <w:p w14:paraId="134C00FB" w14:textId="615A83DF" w:rsidR="00461AE9" w:rsidRPr="004502A9" w:rsidRDefault="00A7056C" w:rsidP="00AD156A">
            <w:pPr>
              <w:spacing w:before="120" w:after="120"/>
              <w:rPr>
                <w:rFonts w:cs="Arial"/>
              </w:rPr>
            </w:pPr>
            <w:r>
              <w:rPr>
                <w:rFonts w:cs="Arial"/>
              </w:rPr>
              <w:t>Ocean</w:t>
            </w:r>
            <w:r w:rsidR="004E321C">
              <w:rPr>
                <w:rFonts w:cs="Arial"/>
              </w:rPr>
              <w:t xml:space="preserve"> waters</w:t>
            </w:r>
          </w:p>
        </w:tc>
        <w:tc>
          <w:tcPr>
            <w:tcW w:w="2338" w:type="dxa"/>
            <w:vAlign w:val="center"/>
          </w:tcPr>
          <w:p w14:paraId="65CE469E" w14:textId="0C78F1E5" w:rsidR="00461AE9" w:rsidRPr="004502A9" w:rsidRDefault="001058DE" w:rsidP="002D1C26">
            <w:pPr>
              <w:pStyle w:val="TableParagraph"/>
              <w:kinsoku w:val="0"/>
              <w:overflowPunct w:val="0"/>
              <w:spacing w:before="120" w:after="120"/>
              <w:ind w:right="348"/>
            </w:pPr>
            <w:r>
              <w:t>Fecal coliform (Geomean,</w:t>
            </w:r>
            <w:r>
              <w:rPr>
                <w:spacing w:val="-17"/>
              </w:rPr>
              <w:t xml:space="preserve"> </w:t>
            </w:r>
            <w:r>
              <w:t xml:space="preserve">SSM) </w:t>
            </w:r>
            <w:r>
              <w:rPr>
                <w:spacing w:val="-2"/>
              </w:rPr>
              <w:t xml:space="preserve">Enterococci </w:t>
            </w:r>
            <w:r>
              <w:t>(G</w:t>
            </w:r>
            <w:r w:rsidR="00975C4E">
              <w:t>eomean</w:t>
            </w:r>
            <w:r>
              <w:rPr>
                <w:spacing w:val="-17"/>
              </w:rPr>
              <w:t xml:space="preserve"> </w:t>
            </w:r>
            <w:r>
              <w:t xml:space="preserve">preferred, </w:t>
            </w:r>
            <w:r>
              <w:rPr>
                <w:spacing w:val="-4"/>
              </w:rPr>
              <w:t>STV)</w:t>
            </w:r>
          </w:p>
        </w:tc>
        <w:tc>
          <w:tcPr>
            <w:tcW w:w="2338" w:type="dxa"/>
            <w:vAlign w:val="center"/>
          </w:tcPr>
          <w:p w14:paraId="35780666" w14:textId="2FBA4323" w:rsidR="00461AE9" w:rsidRPr="004502A9" w:rsidRDefault="00805588" w:rsidP="00805588">
            <w:pPr>
              <w:spacing w:before="120" w:after="120"/>
              <w:rPr>
                <w:rFonts w:cs="Arial"/>
              </w:rPr>
            </w:pPr>
            <w:r>
              <w:rPr>
                <w:rFonts w:cs="Arial"/>
              </w:rPr>
              <w:t>Ocean Plan</w:t>
            </w:r>
          </w:p>
        </w:tc>
      </w:tr>
    </w:tbl>
    <w:p w14:paraId="5A701511" w14:textId="47869C64" w:rsidR="00617FCF" w:rsidRPr="00983FDF" w:rsidRDefault="003B733B" w:rsidP="00F26103">
      <w:pPr>
        <w:spacing w:before="240"/>
      </w:pPr>
      <w:r w:rsidRPr="003B733B">
        <w:t>For waterbod</w:t>
      </w:r>
      <w:r w:rsidR="00BF60BB">
        <w:t>y segments</w:t>
      </w:r>
      <w:r w:rsidRPr="003B733B">
        <w:t xml:space="preserve"> covered under the ISWEBE Plan’s bacteria water quality objectives, new fecal coliform data were </w:t>
      </w:r>
      <w:r w:rsidR="00EF1105">
        <w:t>not</w:t>
      </w:r>
      <w:r w:rsidRPr="003B733B">
        <w:t xml:space="preserve"> considered a valid indicator for assessing support of the REC-1 beneficial use, and fecal colifor</w:t>
      </w:r>
      <w:r>
        <w:t>m</w:t>
      </w:r>
      <w:r w:rsidR="00EF1105" w:rsidRPr="00617FCF">
        <w:t xml:space="preserve"> LOEs from prior listing cycles were </w:t>
      </w:r>
      <w:r w:rsidR="007855A5">
        <w:t>retired and</w:t>
      </w:r>
      <w:r w:rsidR="00EF1105" w:rsidRPr="00617FCF">
        <w:t xml:space="preserve"> not used to make </w:t>
      </w:r>
      <w:r w:rsidR="00EF1105">
        <w:t>Decisions</w:t>
      </w:r>
      <w:r w:rsidR="00EF1105" w:rsidRPr="00617FCF">
        <w:t>.</w:t>
      </w:r>
      <w:r w:rsidR="00EF1105">
        <w:t xml:space="preserve"> </w:t>
      </w:r>
      <w:r w:rsidR="00EF1105" w:rsidRPr="00617FCF">
        <w:t>However, fecal coliform data may be used when a site-specific water quality objective for fecal coliform applies to a waterbody</w:t>
      </w:r>
      <w:r w:rsidR="002E0CCC">
        <w:t>-segment</w:t>
      </w:r>
      <w:r w:rsidR="006E0F09">
        <w:t>.</w:t>
      </w:r>
      <w:r>
        <w:t xml:space="preserve"> </w:t>
      </w:r>
    </w:p>
    <w:p w14:paraId="3AA56AD5" w14:textId="6D170F4D" w:rsidR="00C42038" w:rsidRDefault="00C42038" w:rsidP="003870B2">
      <w:r>
        <w:t xml:space="preserve">The </w:t>
      </w:r>
      <w:r w:rsidR="009E6BC1">
        <w:t>2019 Amendment to</w:t>
      </w:r>
      <w:r>
        <w:t xml:space="preserve"> the Ocean Plan </w:t>
      </w:r>
      <w:r w:rsidR="0064613B">
        <w:t>removed</w:t>
      </w:r>
      <w:r w:rsidR="009E6BC1">
        <w:t xml:space="preserve"> the </w:t>
      </w:r>
      <w:r>
        <w:t xml:space="preserve">REC-1 threshold for total coliform. As a result, no new total coliform data were assessed for REC-1 in ocean waters. All past REC-1 LOEs based solely on total coliform were retired. </w:t>
      </w:r>
      <w:r w:rsidR="000E63C9">
        <w:t>Decisions</w:t>
      </w:r>
      <w:r>
        <w:t xml:space="preserve"> were based on the updated </w:t>
      </w:r>
      <w:r w:rsidR="00845A63">
        <w:t xml:space="preserve">water quality </w:t>
      </w:r>
      <w:r>
        <w:t xml:space="preserve">objective for enterococci and the </w:t>
      </w:r>
      <w:r w:rsidR="00845A63">
        <w:t xml:space="preserve">water quality </w:t>
      </w:r>
      <w:r>
        <w:t>objective for fecal coliform.</w:t>
      </w:r>
    </w:p>
    <w:p w14:paraId="6B5EFDA5" w14:textId="17C5601F" w:rsidR="00C42038" w:rsidRDefault="00DF3D79" w:rsidP="003870B2">
      <w:r>
        <w:t xml:space="preserve">Indicator bacteria populations may fluctuate substantially on a daily, seasonal, or yearly basis. Lacking constant inputs, </w:t>
      </w:r>
      <w:r w:rsidR="0064613B">
        <w:t>bacteria</w:t>
      </w:r>
      <w:r>
        <w:t xml:space="preserve"> do not persist in the environment for a long period and effects are of relatively short duration. As a result, the historical levels of indicator bacteria in the waterbody may be a poor indicator of current risks to human health, particularly when more recent data are available to sufficiently assess the water quality standard. Additionally, water quality conditions </w:t>
      </w:r>
      <w:r w:rsidR="000556E7">
        <w:t xml:space="preserve">may </w:t>
      </w:r>
      <w:r>
        <w:t>have changed as a result of management actions implemented to address bacteria sources</w:t>
      </w:r>
      <w:r w:rsidR="009A5E02">
        <w:t xml:space="preserve">, </w:t>
      </w:r>
      <w:r w:rsidR="00D06CD2">
        <w:t xml:space="preserve">land use </w:t>
      </w:r>
      <w:r w:rsidR="009B6FA4">
        <w:t xml:space="preserve">changes, </w:t>
      </w:r>
      <w:r w:rsidR="003B1B57">
        <w:t>hydrology changes</w:t>
      </w:r>
      <w:r w:rsidR="009B6FA4">
        <w:t>, or other factors</w:t>
      </w:r>
      <w:r>
        <w:t xml:space="preserve">. Unrepresentative data may result in incorrectly placing or not placing a waterbody segment on the 303(d) </w:t>
      </w:r>
      <w:r w:rsidR="00234076">
        <w:t>l</w:t>
      </w:r>
      <w:r>
        <w:t>ist. This could result in the unnecessary expenditure of public resources or missing a problem completely. Therefore, historic</w:t>
      </w:r>
      <w:r w:rsidR="00037AC8">
        <w:t>al</w:t>
      </w:r>
      <w:r>
        <w:t xml:space="preserve"> indicator bacteria data collected prior to 2010 were not used to assess water quality standards attainment </w:t>
      </w:r>
      <w:r w:rsidR="000526E2">
        <w:t>so long as</w:t>
      </w:r>
      <w:r>
        <w:t xml:space="preserve"> more recent data were </w:t>
      </w:r>
      <w:r w:rsidR="000526E2">
        <w:t xml:space="preserve">available </w:t>
      </w:r>
      <w:r>
        <w:t xml:space="preserve">sufficient to make a </w:t>
      </w:r>
      <w:r w:rsidR="004E119B">
        <w:t>Decision</w:t>
      </w:r>
      <w:r>
        <w:t>.</w:t>
      </w:r>
    </w:p>
    <w:p w14:paraId="6442ECFD" w14:textId="635C067E" w:rsidR="4BEB22E4" w:rsidRDefault="4BEB22E4">
      <w:r>
        <w:t xml:space="preserve">Additionally, historical LOEs may have used </w:t>
      </w:r>
      <w:r w:rsidRPr="31BBD064">
        <w:rPr>
          <w:i/>
          <w:iCs/>
        </w:rPr>
        <w:t>E. coli</w:t>
      </w:r>
      <w:r>
        <w:t xml:space="preserve"> as a </w:t>
      </w:r>
      <w:r w:rsidR="006647D7">
        <w:t>proxy</w:t>
      </w:r>
      <w:r>
        <w:t xml:space="preserve"> for fecal coliform in ocean waters. All past </w:t>
      </w:r>
      <w:r w:rsidRPr="31BBD064">
        <w:rPr>
          <w:i/>
          <w:iCs/>
        </w:rPr>
        <w:t>E. coli</w:t>
      </w:r>
      <w:r>
        <w:t xml:space="preserve"> LOEs were retired and not used in the </w:t>
      </w:r>
      <w:r w:rsidR="00C6428D">
        <w:t>2026</w:t>
      </w:r>
      <w:r>
        <w:t xml:space="preserve"> </w:t>
      </w:r>
      <w:r w:rsidR="003E2560">
        <w:t xml:space="preserve">California </w:t>
      </w:r>
      <w:r>
        <w:t xml:space="preserve">Integrated Report for ocean waters </w:t>
      </w:r>
      <w:r w:rsidR="0061124C">
        <w:t xml:space="preserve">so long as </w:t>
      </w:r>
      <w:r>
        <w:t xml:space="preserve">enterococci or fecal coliform data collected since 2010 were available in the waterbody </w:t>
      </w:r>
      <w:r w:rsidR="00AB53B5">
        <w:t xml:space="preserve">segment </w:t>
      </w:r>
      <w:r>
        <w:t xml:space="preserve">to determine standard attainment. </w:t>
      </w:r>
    </w:p>
    <w:p w14:paraId="5FE6654B" w14:textId="16C27852" w:rsidR="00A74C43" w:rsidRPr="00A74C43" w:rsidRDefault="00D0472D" w:rsidP="00A74C43">
      <w:r>
        <w:t>Bacteria d</w:t>
      </w:r>
      <w:r w:rsidR="00897A58" w:rsidRPr="00897A58">
        <w:t xml:space="preserve">ata from </w:t>
      </w:r>
      <w:r w:rsidR="00AF4827">
        <w:t>the Pacific Ocean in</w:t>
      </w:r>
      <w:r w:rsidR="00897A58" w:rsidRPr="00897A58">
        <w:t xml:space="preserve"> the Beach </w:t>
      </w:r>
      <w:r w:rsidR="004C6A1B">
        <w:t>P</w:t>
      </w:r>
      <w:r w:rsidR="00897A58" w:rsidRPr="00897A58">
        <w:t>rogram</w:t>
      </w:r>
      <w:r w:rsidR="0059768C">
        <w:t>’s BeachWatch database</w:t>
      </w:r>
      <w:r w:rsidR="00897A58" w:rsidRPr="00897A58">
        <w:t xml:space="preserve"> with results of zero were excluded </w:t>
      </w:r>
      <w:r w:rsidR="002643C6">
        <w:t xml:space="preserve">and not used </w:t>
      </w:r>
      <w:r w:rsidR="00897A58" w:rsidRPr="00897A58">
        <w:t xml:space="preserve">to determine standards attainment. </w:t>
      </w:r>
      <w:r w:rsidR="002643C6">
        <w:t>T</w:t>
      </w:r>
      <w:r w:rsidR="00897A58" w:rsidRPr="00897A58">
        <w:t xml:space="preserve">he zero </w:t>
      </w:r>
      <w:r w:rsidR="00695E6E">
        <w:t xml:space="preserve">result </w:t>
      </w:r>
      <w:r w:rsidR="00897A58" w:rsidRPr="00897A58">
        <w:t xml:space="preserve">may have been </w:t>
      </w:r>
      <w:r w:rsidR="0063349C">
        <w:t xml:space="preserve">an actual result of zero bacteria or may have been </w:t>
      </w:r>
      <w:r w:rsidR="00695E6E">
        <w:t xml:space="preserve">used to </w:t>
      </w:r>
      <w:r w:rsidR="00E1384E">
        <w:t xml:space="preserve">indicate </w:t>
      </w:r>
      <w:r w:rsidR="00897A58" w:rsidRPr="00897A58">
        <w:t xml:space="preserve">a non-detect </w:t>
      </w:r>
      <w:r w:rsidR="00A7059E">
        <w:t>level of bacteria</w:t>
      </w:r>
      <w:r w:rsidR="0063349C">
        <w:t xml:space="preserve">; however, metadata or other information were not provided </w:t>
      </w:r>
      <w:r w:rsidR="00897A58" w:rsidRPr="00897A58">
        <w:t xml:space="preserve">to make that determination. </w:t>
      </w:r>
      <w:r w:rsidR="001A23B1">
        <w:t xml:space="preserve">According to </w:t>
      </w:r>
      <w:r w:rsidR="00185E10">
        <w:t>s</w:t>
      </w:r>
      <w:r w:rsidR="0032076A">
        <w:t xml:space="preserve">ection </w:t>
      </w:r>
      <w:r w:rsidR="009068C2">
        <w:t>6.1.5.5</w:t>
      </w:r>
      <w:r w:rsidR="00C8206A">
        <w:t xml:space="preserve"> (</w:t>
      </w:r>
      <w:r w:rsidR="00C8206A" w:rsidRPr="00C8206A">
        <w:t>Quantitation of Chemical Concentrations</w:t>
      </w:r>
      <w:r w:rsidR="00C8206A">
        <w:t>)</w:t>
      </w:r>
      <w:r w:rsidR="0032076A">
        <w:t xml:space="preserve"> of t</w:t>
      </w:r>
      <w:r w:rsidR="00963E98">
        <w:t>he Listing Policy</w:t>
      </w:r>
      <w:r w:rsidR="008453EF">
        <w:t xml:space="preserve">, </w:t>
      </w:r>
      <w:r w:rsidR="00E52075">
        <w:t xml:space="preserve">which </w:t>
      </w:r>
      <w:r w:rsidR="00F31A77">
        <w:t xml:space="preserve">applies to </w:t>
      </w:r>
      <w:r w:rsidR="005E545C">
        <w:t>non-detects</w:t>
      </w:r>
      <w:r w:rsidR="003F346D">
        <w:t>,</w:t>
      </w:r>
      <w:r w:rsidR="00963E98">
        <w:t xml:space="preserve"> </w:t>
      </w:r>
      <w:r w:rsidR="00006C7D">
        <w:t xml:space="preserve">data </w:t>
      </w:r>
      <w:r w:rsidR="004312F9">
        <w:t xml:space="preserve">results </w:t>
      </w:r>
      <w:r w:rsidR="00006C7D">
        <w:t xml:space="preserve">that </w:t>
      </w:r>
      <w:r w:rsidR="00FC34DB">
        <w:t xml:space="preserve">are </w:t>
      </w:r>
      <w:r w:rsidR="00006C7D">
        <w:t>less than</w:t>
      </w:r>
      <w:r w:rsidR="00FC34DB">
        <w:t xml:space="preserve"> </w:t>
      </w:r>
      <w:r w:rsidR="004F6E12">
        <w:t xml:space="preserve">or </w:t>
      </w:r>
      <w:r w:rsidR="00006C7D">
        <w:t>equal to the quantitation limit when the quantitation limit is greater than</w:t>
      </w:r>
      <w:r w:rsidR="00A65331">
        <w:t xml:space="preserve"> the </w:t>
      </w:r>
      <w:r w:rsidR="00006C7D">
        <w:t>water</w:t>
      </w:r>
      <w:r w:rsidR="001B16CA" w:rsidRPr="00240127">
        <w:t xml:space="preserve"> quality </w:t>
      </w:r>
      <w:r w:rsidR="00006C7D">
        <w:t>standard shall not be used in the analysis</w:t>
      </w:r>
      <w:r w:rsidR="00854E55">
        <w:t xml:space="preserve">. </w:t>
      </w:r>
      <w:r w:rsidR="00AF4827">
        <w:t>S</w:t>
      </w:r>
      <w:r w:rsidR="006C1026">
        <w:t>ee</w:t>
      </w:r>
      <w:r w:rsidR="001B16CA" w:rsidRPr="00240127">
        <w:t xml:space="preserve"> </w:t>
      </w:r>
      <w:r w:rsidR="00185E10">
        <w:t>s</w:t>
      </w:r>
      <w:r w:rsidR="001B16CA" w:rsidRPr="00240127">
        <w:t>ection 2</w:t>
      </w:r>
      <w:r w:rsidR="006C1026" w:rsidRPr="006C1026">
        <w:t>.2.2</w:t>
      </w:r>
      <w:r w:rsidR="006C1026">
        <w:t xml:space="preserve"> </w:t>
      </w:r>
      <w:r w:rsidR="00A662A0">
        <w:t xml:space="preserve">for additional detail </w:t>
      </w:r>
      <w:r w:rsidR="002E630C">
        <w:t xml:space="preserve">on how data </w:t>
      </w:r>
      <w:r w:rsidR="007B4D19">
        <w:t xml:space="preserve">were </w:t>
      </w:r>
      <w:r w:rsidR="002E630C">
        <w:t>screen</w:t>
      </w:r>
      <w:r w:rsidR="009C47F5">
        <w:t>ed</w:t>
      </w:r>
      <w:r w:rsidR="002E630C">
        <w:t xml:space="preserve"> during the quality review</w:t>
      </w:r>
      <w:r w:rsidR="008D6691">
        <w:t>.</w:t>
      </w:r>
      <w:r w:rsidR="00A74C43">
        <w:t xml:space="preserve"> </w:t>
      </w:r>
      <w:r w:rsidR="006F0F73">
        <w:t>Furthermore</w:t>
      </w:r>
      <w:r w:rsidR="00A74C43" w:rsidRPr="00A74C43">
        <w:t xml:space="preserve">, during the </w:t>
      </w:r>
      <w:r w:rsidR="009136C3">
        <w:t xml:space="preserve">evaluation of data for the </w:t>
      </w:r>
      <w:r w:rsidR="00A74C43" w:rsidRPr="00A74C43">
        <w:t xml:space="preserve">2024 </w:t>
      </w:r>
      <w:r w:rsidR="003E2560">
        <w:t>California</w:t>
      </w:r>
      <w:r w:rsidR="00A74C43" w:rsidRPr="00A74C43">
        <w:t xml:space="preserve"> </w:t>
      </w:r>
      <w:r w:rsidR="00C32898">
        <w:t>I</w:t>
      </w:r>
      <w:r w:rsidR="009136C3">
        <w:t>ntegrated Report</w:t>
      </w:r>
      <w:r w:rsidR="00A74C43" w:rsidRPr="00A74C43">
        <w:t>, data reporting inconsistencies</w:t>
      </w:r>
      <w:r w:rsidR="00EF4DD0">
        <w:t xml:space="preserve"> and the use of </w:t>
      </w:r>
      <w:r w:rsidR="00126A38">
        <w:t>non-</w:t>
      </w:r>
      <w:r w:rsidR="00D34B84" w:rsidRPr="00D34B84">
        <w:t>Environmental Laboratory Accreditation Program</w:t>
      </w:r>
      <w:r w:rsidR="00D34B84">
        <w:t xml:space="preserve"> (“</w:t>
      </w:r>
      <w:r w:rsidR="00115976">
        <w:t>ELAP</w:t>
      </w:r>
      <w:r w:rsidR="00D34B84">
        <w:t>”)</w:t>
      </w:r>
      <w:r w:rsidR="00115976">
        <w:t xml:space="preserve"> </w:t>
      </w:r>
      <w:r w:rsidR="00126A38">
        <w:t>accredited testing methods</w:t>
      </w:r>
      <w:r w:rsidR="00A74C43" w:rsidRPr="00A74C43">
        <w:t xml:space="preserve"> among BeachWatch data collectors</w:t>
      </w:r>
      <w:r w:rsidR="009C253B">
        <w:t xml:space="preserve"> were discovered</w:t>
      </w:r>
      <w:r w:rsidR="00A74C43" w:rsidRPr="00A74C43">
        <w:t xml:space="preserve">. </w:t>
      </w:r>
      <w:r w:rsidR="00F21312" w:rsidRPr="00F21312">
        <w:t xml:space="preserve">The State Water Board is preparing a Quality Assurance </w:t>
      </w:r>
      <w:r w:rsidR="00A02AD8">
        <w:t>Program</w:t>
      </w:r>
      <w:r w:rsidR="00F21312" w:rsidRPr="00F21312">
        <w:t xml:space="preserve"> Plan for the Beach </w:t>
      </w:r>
      <w:r w:rsidR="00BB6097">
        <w:t>P</w:t>
      </w:r>
      <w:r w:rsidR="00F21312" w:rsidRPr="00F21312">
        <w:t xml:space="preserve">rogram which will establish program-wide quality assurance policies and procedures for monitoring activities. </w:t>
      </w:r>
      <w:r w:rsidR="00D763C0">
        <w:t>Several phases are complete</w:t>
      </w:r>
      <w:r w:rsidR="00572368">
        <w:t>,</w:t>
      </w:r>
      <w:r w:rsidR="00D763C0">
        <w:t xml:space="preserve"> and several are ongoing</w:t>
      </w:r>
      <w:r w:rsidR="004460E7">
        <w:t>.</w:t>
      </w:r>
      <w:r w:rsidR="00F21312" w:rsidRPr="00F21312">
        <w:t xml:space="preserve"> All local agencies </w:t>
      </w:r>
      <w:r w:rsidR="00EB3577">
        <w:t>that</w:t>
      </w:r>
      <w:r w:rsidR="00FB6779">
        <w:t xml:space="preserve"> collect </w:t>
      </w:r>
      <w:r w:rsidR="004A58AD">
        <w:t xml:space="preserve">ocean bacteria data </w:t>
      </w:r>
      <w:r w:rsidR="00571FE3">
        <w:t>using federal and state funding</w:t>
      </w:r>
      <w:r w:rsidR="00AB0E4E">
        <w:t xml:space="preserve"> have revised or are revising </w:t>
      </w:r>
      <w:r w:rsidR="004F4ADA">
        <w:t xml:space="preserve">their more detailed </w:t>
      </w:r>
      <w:r w:rsidR="00D37EF5">
        <w:t>quality assurance project plans</w:t>
      </w:r>
      <w:r w:rsidR="00F21312" w:rsidRPr="00F21312">
        <w:t xml:space="preserve">, which document the monitoring activities within their respective jurisdictions, to conform with the quality assurance policies and procedures in the Quality Assurance </w:t>
      </w:r>
      <w:r w:rsidR="00B60E71">
        <w:t>Pro</w:t>
      </w:r>
      <w:r w:rsidR="008F2980">
        <w:t>gram</w:t>
      </w:r>
      <w:r w:rsidR="00F21312" w:rsidRPr="00F21312">
        <w:t xml:space="preserve"> Plan.</w:t>
      </w:r>
      <w:r w:rsidR="007772A2">
        <w:t xml:space="preserve"> </w:t>
      </w:r>
    </w:p>
    <w:p w14:paraId="406CBA4C" w14:textId="0A893D2B" w:rsidR="00307584" w:rsidRDefault="00C01A94" w:rsidP="00597DE8">
      <w:pPr>
        <w:pStyle w:val="Heading2"/>
      </w:pPr>
      <w:bookmarkStart w:id="116" w:name="_Toc189048590"/>
      <w:r>
        <w:t xml:space="preserve">Bacteria and </w:t>
      </w:r>
      <w:r w:rsidR="00307584">
        <w:t>SHELL Beneficial Use</w:t>
      </w:r>
      <w:bookmarkEnd w:id="116"/>
    </w:p>
    <w:p w14:paraId="18E07936" w14:textId="1DCF56F3" w:rsidR="00DA6689" w:rsidRDefault="00DA6689" w:rsidP="00DF6AAF">
      <w:r>
        <w:t xml:space="preserve">Bacteria data from </w:t>
      </w:r>
      <w:r w:rsidR="00582065">
        <w:t>waterbody segments</w:t>
      </w:r>
      <w:r>
        <w:t xml:space="preserve"> with the </w:t>
      </w:r>
      <w:r w:rsidR="00E504F9">
        <w:t>S</w:t>
      </w:r>
      <w:r>
        <w:t xml:space="preserve">hellfish </w:t>
      </w:r>
      <w:r w:rsidR="00E504F9">
        <w:t>H</w:t>
      </w:r>
      <w:r>
        <w:t xml:space="preserve">arvesting </w:t>
      </w:r>
      <w:r w:rsidR="00E504F9">
        <w:t>(“</w:t>
      </w:r>
      <w:r>
        <w:t>SHELL</w:t>
      </w:r>
      <w:r w:rsidR="00E504F9">
        <w:t>”)</w:t>
      </w:r>
      <w:r>
        <w:t xml:space="preserve"> beneficial use were assessed in accordance with the statewide bacteria objectives or SSOs, </w:t>
      </w:r>
      <w:r w:rsidR="00EB1416">
        <w:t xml:space="preserve">as </w:t>
      </w:r>
      <w:r>
        <w:t>applicable. The statewide bacteria objectives apply to waters</w:t>
      </w:r>
      <w:r w:rsidR="006C5C51">
        <w:t xml:space="preserve"> of the Pacific Ocean</w:t>
      </w:r>
      <w:r>
        <w:t>. As described in the Ocean Plan, ocean waters are the territorial marine waters of the state as defined by California law to the extent these waters are outside of enclosed bays, estuaries, and coastal lagoons (SWRCB 2019</w:t>
      </w:r>
      <w:r w:rsidR="00BB2E1F">
        <w:t>c</w:t>
      </w:r>
      <w:r>
        <w:t>). Total coliform is the indicator used</w:t>
      </w:r>
      <w:r w:rsidR="00A864FF">
        <w:t xml:space="preserve"> for the bacteria objective</w:t>
      </w:r>
      <w:r w:rsidR="00CF7E13">
        <w:t>s</w:t>
      </w:r>
      <w:r>
        <w:t xml:space="preserve"> to assess the SHELL </w:t>
      </w:r>
      <w:r w:rsidR="00582065">
        <w:t>beneficial use</w:t>
      </w:r>
      <w:r>
        <w:t xml:space="preserve"> </w:t>
      </w:r>
      <w:r w:rsidR="008E6F95">
        <w:t>in the Ocean Plan</w:t>
      </w:r>
      <w:r>
        <w:t xml:space="preserve">. </w:t>
      </w:r>
    </w:p>
    <w:p w14:paraId="30AAF519" w14:textId="794E831F" w:rsidR="00560852" w:rsidRDefault="00DA6689" w:rsidP="00DF6AAF">
      <w:r>
        <w:t>The statewide bacteria objectives for SHELL water</w:t>
      </w:r>
      <w:r w:rsidR="00E504F9">
        <w:t>body segments</w:t>
      </w:r>
      <w:r>
        <w:t xml:space="preserve"> are in two parts, a 30-day median total coliform density (“median”) not to exceed 70 per 100mL, and an objective that states that not more than 10 percent of the samples </w:t>
      </w:r>
      <w:r w:rsidR="007C7F81">
        <w:t xml:space="preserve">in a 30-day period </w:t>
      </w:r>
      <w:r>
        <w:t xml:space="preserve">shall exceed 230 per 100 mL. Both the median and 10 percent exceedance rate objectives </w:t>
      </w:r>
      <w:r w:rsidR="008E6F95">
        <w:t>were</w:t>
      </w:r>
      <w:r>
        <w:t xml:space="preserve"> used to assess water quality standards attainment. </w:t>
      </w:r>
      <w:r w:rsidR="00D44AEE" w:rsidRPr="3B7EB85E">
        <w:rPr>
          <w:rStyle w:val="normaltextrun"/>
          <w:color w:val="000000" w:themeColor="text1"/>
        </w:rPr>
        <w:t>Assessment</w:t>
      </w:r>
      <w:r w:rsidR="00AB32F1" w:rsidRPr="3B7EB85E">
        <w:rPr>
          <w:rStyle w:val="normaltextrun"/>
          <w:color w:val="000000" w:themeColor="text1"/>
        </w:rPr>
        <w:t xml:space="preserve"> of samples</w:t>
      </w:r>
      <w:r w:rsidR="00D44AEE" w:rsidRPr="3B7EB85E">
        <w:rPr>
          <w:rStyle w:val="normaltextrun"/>
          <w:color w:val="000000" w:themeColor="text1"/>
        </w:rPr>
        <w:t xml:space="preserve"> </w:t>
      </w:r>
      <w:r w:rsidR="008E6F95">
        <w:rPr>
          <w:rStyle w:val="normaltextrun"/>
          <w:color w:val="000000" w:themeColor="text1"/>
        </w:rPr>
        <w:t>were</w:t>
      </w:r>
      <w:r w:rsidR="00BA0A97" w:rsidRPr="3B7EB85E">
        <w:rPr>
          <w:rStyle w:val="normaltextrun"/>
          <w:color w:val="000000" w:themeColor="text1"/>
        </w:rPr>
        <w:t xml:space="preserve"> conducted using the </w:t>
      </w:r>
      <w:r w:rsidR="00AB32F1" w:rsidRPr="3B7EB85E">
        <w:rPr>
          <w:rStyle w:val="normaltextrun"/>
          <w:color w:val="000000" w:themeColor="text1"/>
        </w:rPr>
        <w:t xml:space="preserve">binomial tables in Listing Policy </w:t>
      </w:r>
      <w:r w:rsidR="00185E10">
        <w:rPr>
          <w:rStyle w:val="normaltextrun"/>
          <w:color w:val="000000" w:themeColor="text1"/>
        </w:rPr>
        <w:t>s</w:t>
      </w:r>
      <w:r w:rsidR="00E800E9">
        <w:rPr>
          <w:rStyle w:val="normaltextrun"/>
          <w:color w:val="000000" w:themeColor="text1"/>
        </w:rPr>
        <w:t xml:space="preserve">ections </w:t>
      </w:r>
      <w:r w:rsidR="00AB32F1" w:rsidRPr="3B7EB85E">
        <w:rPr>
          <w:rStyle w:val="normaltextrun"/>
          <w:color w:val="000000" w:themeColor="text1"/>
        </w:rPr>
        <w:t>3.2</w:t>
      </w:r>
      <w:r w:rsidR="2F1A52BE" w:rsidRPr="3B7EB85E">
        <w:rPr>
          <w:rStyle w:val="normaltextrun"/>
          <w:color w:val="000000" w:themeColor="text1"/>
        </w:rPr>
        <w:t xml:space="preserve"> and 4.2</w:t>
      </w:r>
      <w:r w:rsidR="00AB32F1" w:rsidRPr="3B7EB85E">
        <w:rPr>
          <w:rStyle w:val="normaltextrun"/>
          <w:color w:val="000000" w:themeColor="text1"/>
        </w:rPr>
        <w:t>.</w:t>
      </w:r>
      <w:r w:rsidRPr="3B7EB85E">
        <w:rPr>
          <w:rStyle w:val="normaltextrun"/>
          <w:color w:val="000000" w:themeColor="text1"/>
        </w:rPr>
        <w:t xml:space="preserve"> </w:t>
      </w:r>
      <w:r>
        <w:t xml:space="preserve">Additionally, historical total coliform data collected prior to </w:t>
      </w:r>
      <w:r w:rsidR="00EE5C97">
        <w:t>2010</w:t>
      </w:r>
      <w:r>
        <w:t xml:space="preserve"> were not used to assess water quality standards attainment </w:t>
      </w:r>
      <w:r w:rsidR="00BE04E5">
        <w:t>so long as</w:t>
      </w:r>
      <w:r>
        <w:t xml:space="preserve"> more recent data were </w:t>
      </w:r>
      <w:r w:rsidR="00BE04E5">
        <w:t xml:space="preserve">available and </w:t>
      </w:r>
      <w:r>
        <w:t xml:space="preserve">sufficient to make a </w:t>
      </w:r>
      <w:r w:rsidR="00724559">
        <w:t xml:space="preserve">total coliform </w:t>
      </w:r>
      <w:r w:rsidR="00DF7070">
        <w:t>Decision</w:t>
      </w:r>
      <w:r>
        <w:t>.</w:t>
      </w:r>
      <w:r w:rsidR="00EF5453">
        <w:t xml:space="preserve"> </w:t>
      </w:r>
    </w:p>
    <w:p w14:paraId="6046B32B" w14:textId="0934069E" w:rsidR="00AA3BF5" w:rsidRPr="00AA3BF5" w:rsidRDefault="00961DC2" w:rsidP="002529E5">
      <w:r>
        <w:t>During the 2019 review of the Ocean Plan, t</w:t>
      </w:r>
      <w:r w:rsidR="00DA6689">
        <w:t xml:space="preserve">he State Water Board </w:t>
      </w:r>
      <w:r>
        <w:t xml:space="preserve">expressed </w:t>
      </w:r>
      <w:r w:rsidR="00DA6689">
        <w:t>the need to consider revising</w:t>
      </w:r>
      <w:r w:rsidR="00372CFD">
        <w:t>, as a high prio</w:t>
      </w:r>
      <w:r w:rsidR="008C4ACA">
        <w:t>rity planning project,</w:t>
      </w:r>
      <w:r w:rsidR="00DA6689">
        <w:t xml:space="preserve"> the total coliform </w:t>
      </w:r>
      <w:r w:rsidR="008C4ACA">
        <w:t>water quality</w:t>
      </w:r>
      <w:r w:rsidR="00DA6689">
        <w:t xml:space="preserve"> objectives </w:t>
      </w:r>
      <w:r w:rsidR="008C4ACA">
        <w:t xml:space="preserve">associated </w:t>
      </w:r>
      <w:r w:rsidR="006D77F2">
        <w:t>with</w:t>
      </w:r>
      <w:r w:rsidR="00DA6689">
        <w:t xml:space="preserve"> the protection of the SHELL </w:t>
      </w:r>
      <w:r w:rsidR="00193F4B">
        <w:t>benefi</w:t>
      </w:r>
      <w:r w:rsidR="00185E10">
        <w:t>c</w:t>
      </w:r>
      <w:r w:rsidR="00193F4B">
        <w:t xml:space="preserve">ial </w:t>
      </w:r>
      <w:r w:rsidR="00DA6689">
        <w:t>use</w:t>
      </w:r>
      <w:r w:rsidR="003C4314">
        <w:t xml:space="preserve"> for </w:t>
      </w:r>
      <w:r w:rsidR="006C5C51">
        <w:t>o</w:t>
      </w:r>
      <w:r w:rsidR="003C4314">
        <w:t xml:space="preserve">cean </w:t>
      </w:r>
      <w:r w:rsidR="006C5C51">
        <w:t>w</w:t>
      </w:r>
      <w:r w:rsidR="003C4314">
        <w:t>aters in California</w:t>
      </w:r>
      <w:r w:rsidR="00DA6689">
        <w:t xml:space="preserve">, citing </w:t>
      </w:r>
      <w:r w:rsidR="00441D03">
        <w:t xml:space="preserve">public </w:t>
      </w:r>
      <w:r w:rsidR="00DA6689">
        <w:t>comments that the objectives are unattainable</w:t>
      </w:r>
      <w:r w:rsidR="00393EFF">
        <w:t xml:space="preserve"> (</w:t>
      </w:r>
      <w:r w:rsidR="00BB2E1F">
        <w:t>SWRCB 2019</w:t>
      </w:r>
      <w:r w:rsidR="00D238BA">
        <w:t>b</w:t>
      </w:r>
      <w:r w:rsidR="00BB2E1F">
        <w:t>)</w:t>
      </w:r>
      <w:r w:rsidR="00DA6689">
        <w:t xml:space="preserve">. </w:t>
      </w:r>
      <w:r w:rsidR="00470049">
        <w:t xml:space="preserve">Stakeholders and staff at the San Diego Regional Water Board have also </w:t>
      </w:r>
      <w:r w:rsidR="000859BC">
        <w:t>expressed concerns regarding the unattainability of the water quality objectives</w:t>
      </w:r>
      <w:r w:rsidR="00470049">
        <w:t xml:space="preserve">, </w:t>
      </w:r>
      <w:r w:rsidR="000859BC">
        <w:t>as</w:t>
      </w:r>
      <w:r w:rsidR="00470049">
        <w:t xml:space="preserve"> research </w:t>
      </w:r>
      <w:r w:rsidR="000859BC">
        <w:t xml:space="preserve">has </w:t>
      </w:r>
      <w:r w:rsidR="00470049">
        <w:t>show</w:t>
      </w:r>
      <w:r w:rsidR="000859BC">
        <w:t>n</w:t>
      </w:r>
      <w:r w:rsidR="00470049">
        <w:t xml:space="preserve"> a high incidence of exceedances of the objectives in coastal waters throughout California that are considered reference with little to </w:t>
      </w:r>
      <w:r w:rsidR="008A1228">
        <w:t xml:space="preserve">no </w:t>
      </w:r>
      <w:r w:rsidR="00470049">
        <w:t>anthropogenic bacteria sources, including at State Water Quality Protected Areas</w:t>
      </w:r>
      <w:r w:rsidR="001E7745">
        <w:t xml:space="preserve"> (</w:t>
      </w:r>
      <w:r w:rsidR="00DD0D0D">
        <w:t xml:space="preserve">2020-2022 California Integrated Report </w:t>
      </w:r>
      <w:r w:rsidR="00411242">
        <w:t xml:space="preserve">Final </w:t>
      </w:r>
      <w:r w:rsidR="00DD0D0D">
        <w:t>Staff Report, Figure 6-1)</w:t>
      </w:r>
      <w:r w:rsidR="00DF43B6">
        <w:t xml:space="preserve">. </w:t>
      </w:r>
      <w:r w:rsidR="008F1BB0">
        <w:t xml:space="preserve">Additionally, comments received </w:t>
      </w:r>
      <w:r w:rsidR="004E7231">
        <w:t>during</w:t>
      </w:r>
      <w:r w:rsidR="008F1BB0">
        <w:t xml:space="preserve"> the 2020-2022 California Integrated Report </w:t>
      </w:r>
      <w:r w:rsidR="004E7231">
        <w:t>public comment period</w:t>
      </w:r>
      <w:r w:rsidR="008F1BB0">
        <w:t xml:space="preserve"> </w:t>
      </w:r>
      <w:r w:rsidR="0003309D">
        <w:t xml:space="preserve">noted that the current beneficial use designation for SHELL may not be an appropriate indicator for recreational harvesting of shellfish as the use does not take into account the human health risks from viral pathogens in the water. </w:t>
      </w:r>
      <w:r w:rsidR="006850DE">
        <w:t>Thus, t</w:t>
      </w:r>
      <w:r w:rsidR="00C810F6">
        <w:t>he</w:t>
      </w:r>
      <w:r w:rsidR="00DA6689">
        <w:t xml:space="preserve"> State Water Board prioritized</w:t>
      </w:r>
      <w:r w:rsidR="008E6F95">
        <w:t>,</w:t>
      </w:r>
      <w:r w:rsidR="00DA6689">
        <w:t xml:space="preserve"> as a high priority</w:t>
      </w:r>
      <w:r w:rsidR="00044E75">
        <w:t>,</w:t>
      </w:r>
      <w:r w:rsidR="00DA6689">
        <w:t xml:space="preserve"> a future project to consider revising the SHELL</w:t>
      </w:r>
      <w:r w:rsidR="00DF7070">
        <w:t xml:space="preserve"> beneficial</w:t>
      </w:r>
      <w:r w:rsidR="00DA6689">
        <w:t xml:space="preserve"> use to distinguish between recreational, commercial, or tribal types of harvesting, and to consider revising the bacterial objectives applied to areas where shellfish are harvested. Should the total coliform objectives be revised in the future, previously assessed data will be reassessed and compared to the new objectives</w:t>
      </w:r>
      <w:r w:rsidR="001A15C8">
        <w:t xml:space="preserve"> in a subsequent </w:t>
      </w:r>
      <w:r w:rsidR="009B5CF5">
        <w:t>listing cycle</w:t>
      </w:r>
      <w:r w:rsidR="00DA6689">
        <w:t>.</w:t>
      </w:r>
      <w:r w:rsidR="00C810F6">
        <w:t xml:space="preserve"> (</w:t>
      </w:r>
      <w:r w:rsidR="00DF4FC2">
        <w:t>SWRCB 2022</w:t>
      </w:r>
      <w:r w:rsidR="00C810F6">
        <w:t xml:space="preserve">, finding 13.) </w:t>
      </w:r>
    </w:p>
    <w:p w14:paraId="70AA1104" w14:textId="4063CEB0" w:rsidR="00910671" w:rsidRPr="00AA3BF5" w:rsidRDefault="00B33A70" w:rsidP="00970E0A">
      <w:r>
        <w:t>A</w:t>
      </w:r>
      <w:r w:rsidR="00DD22F2">
        <w:t xml:space="preserve">s stated </w:t>
      </w:r>
      <w:r w:rsidR="00192000">
        <w:t xml:space="preserve">in </w:t>
      </w:r>
      <w:r w:rsidR="006C5C51">
        <w:t>State Water Board</w:t>
      </w:r>
      <w:r w:rsidR="00192000">
        <w:t xml:space="preserve"> </w:t>
      </w:r>
      <w:r w:rsidR="00FF3514" w:rsidRPr="00FF3514">
        <w:t xml:space="preserve">Resolution </w:t>
      </w:r>
      <w:r w:rsidR="00FA625E">
        <w:t>No.</w:t>
      </w:r>
      <w:r w:rsidR="00FF3514" w:rsidRPr="00FF3514">
        <w:t xml:space="preserve"> 202</w:t>
      </w:r>
      <w:r w:rsidR="00F828C4">
        <w:t>4</w:t>
      </w:r>
      <w:r w:rsidR="00FF3514" w:rsidRPr="00FF3514">
        <w:t>-000</w:t>
      </w:r>
      <w:r w:rsidR="00F828C4">
        <w:t>7</w:t>
      </w:r>
      <w:r w:rsidR="00E43A55">
        <w:t xml:space="preserve">, </w:t>
      </w:r>
      <w:r w:rsidR="00CD33F1">
        <w:t>which</w:t>
      </w:r>
      <w:r w:rsidR="00C7026A">
        <w:t xml:space="preserve"> is the adopting resolution </w:t>
      </w:r>
      <w:r w:rsidR="00B111F3">
        <w:t>of</w:t>
      </w:r>
      <w:r w:rsidR="00C7026A">
        <w:t xml:space="preserve"> the </w:t>
      </w:r>
      <w:r w:rsidR="00B111F3">
        <w:t>202</w:t>
      </w:r>
      <w:r w:rsidR="00F828C4">
        <w:t xml:space="preserve">4 </w:t>
      </w:r>
      <w:r w:rsidR="003E2560">
        <w:t xml:space="preserve">California </w:t>
      </w:r>
      <w:r w:rsidR="00B111F3">
        <w:t>Integrated Report</w:t>
      </w:r>
      <w:r w:rsidR="00094BF5">
        <w:t xml:space="preserve">, </w:t>
      </w:r>
      <w:r w:rsidR="003B14C4" w:rsidRPr="003B14C4">
        <w:t>the State</w:t>
      </w:r>
      <w:r w:rsidR="0057779D">
        <w:t xml:space="preserve"> </w:t>
      </w:r>
      <w:r w:rsidR="003B14C4" w:rsidRPr="003B14C4">
        <w:t xml:space="preserve">Water Board expects that any </w:t>
      </w:r>
      <w:r w:rsidR="008100B4">
        <w:t>o</w:t>
      </w:r>
      <w:r w:rsidR="003B14C4" w:rsidRPr="003B14C4">
        <w:t>cean waterbody segment listed as impaired by indicator bacteria for the protection of shellfish harvesting would not be scheduled for TMDL development until after the State Water Board completes</w:t>
      </w:r>
      <w:r w:rsidR="0057779D">
        <w:t xml:space="preserve"> </w:t>
      </w:r>
      <w:r w:rsidR="003B14C4" w:rsidRPr="003B14C4">
        <w:t>the</w:t>
      </w:r>
      <w:r w:rsidR="00177DC7">
        <w:t xml:space="preserve"> high priority</w:t>
      </w:r>
      <w:r w:rsidR="003B14C4" w:rsidRPr="003B14C4">
        <w:t xml:space="preserve"> planning project.</w:t>
      </w:r>
      <w:r w:rsidR="003B14C4">
        <w:t xml:space="preserve"> </w:t>
      </w:r>
      <w:r w:rsidR="00E8427D">
        <w:t xml:space="preserve">Thus, CalWQA Decisions </w:t>
      </w:r>
      <w:r w:rsidR="00003DB9">
        <w:t>that indicate</w:t>
      </w:r>
      <w:r w:rsidR="009873EE">
        <w:t xml:space="preserve"> that a waterbody segment </w:t>
      </w:r>
      <w:r w:rsidR="0079023C">
        <w:t>is</w:t>
      </w:r>
      <w:r w:rsidR="00DF1A8C">
        <w:t xml:space="preserve"> listed as</w:t>
      </w:r>
      <w:r w:rsidR="0079023C">
        <w:t xml:space="preserve"> impaired </w:t>
      </w:r>
      <w:r w:rsidR="00DF1A8C">
        <w:t>on the 303(d) list</w:t>
      </w:r>
      <w:r w:rsidR="00AD48C6">
        <w:t xml:space="preserve"> </w:t>
      </w:r>
      <w:r w:rsidR="00453ABC">
        <w:t xml:space="preserve">were </w:t>
      </w:r>
      <w:r w:rsidR="00AD48C6">
        <w:t xml:space="preserve">also marked as priority </w:t>
      </w:r>
      <w:r w:rsidR="00D856F1">
        <w:t xml:space="preserve">level low </w:t>
      </w:r>
      <w:r w:rsidR="00AD48C6">
        <w:t>for TMDL development.</w:t>
      </w:r>
      <w:r w:rsidR="00003DB9">
        <w:t xml:space="preserve"> </w:t>
      </w:r>
      <w:r w:rsidR="006719E0">
        <w:t>In addition, t</w:t>
      </w:r>
      <w:r w:rsidR="003B14C4" w:rsidRPr="003B14C4">
        <w:t>he State Water Board encourages the</w:t>
      </w:r>
      <w:r w:rsidR="00596BD1">
        <w:t xml:space="preserve"> </w:t>
      </w:r>
      <w:r w:rsidR="003B14C4" w:rsidRPr="003B14C4">
        <w:t>Regional Water Boards to use their discretion where appropriate in establishing permitting, monitoring, and other data collection requirements.</w:t>
      </w:r>
      <w:r w:rsidR="00596BD1">
        <w:t xml:space="preserve"> </w:t>
      </w:r>
      <w:r w:rsidR="00B301C6">
        <w:t>(</w:t>
      </w:r>
      <w:r w:rsidR="00B301C6" w:rsidRPr="00BE21C3">
        <w:rPr>
          <w:i/>
          <w:iCs/>
        </w:rPr>
        <w:t>Ibid</w:t>
      </w:r>
      <w:r w:rsidR="00B301C6">
        <w:t xml:space="preserve">.) </w:t>
      </w:r>
    </w:p>
    <w:p w14:paraId="54A8A749" w14:textId="3AEC8A8A" w:rsidR="00044B41" w:rsidRPr="00C17F64" w:rsidRDefault="00044B41" w:rsidP="00597DE8">
      <w:pPr>
        <w:pStyle w:val="Heading2"/>
      </w:pPr>
      <w:bookmarkStart w:id="117" w:name="_Toc189048591"/>
      <w:r>
        <w:t>Cyanotoxins</w:t>
      </w:r>
      <w:bookmarkEnd w:id="117"/>
      <w:r>
        <w:t xml:space="preserve"> </w:t>
      </w:r>
    </w:p>
    <w:p w14:paraId="1EC09E87" w14:textId="60AD231F" w:rsidR="00DF0EA5" w:rsidRDefault="00C14880" w:rsidP="00DF0EA5">
      <w:pPr>
        <w:rPr>
          <w:rFonts w:cs="Arial"/>
        </w:rPr>
      </w:pPr>
      <w:r w:rsidRPr="00C14880">
        <w:t xml:space="preserve">For the </w:t>
      </w:r>
      <w:r w:rsidR="00C6428D">
        <w:t>2026</w:t>
      </w:r>
      <w:r w:rsidRPr="00C14880">
        <w:t xml:space="preserve"> </w:t>
      </w:r>
      <w:r w:rsidR="001D4CEF">
        <w:t>California</w:t>
      </w:r>
      <w:r w:rsidRPr="00C14880">
        <w:t xml:space="preserve"> </w:t>
      </w:r>
      <w:r w:rsidR="00010974">
        <w:t>Integrated Report</w:t>
      </w:r>
      <w:r w:rsidRPr="00C14880">
        <w:t xml:space="preserve">, microcystins, anatoxin, cylindrospermopsin, and saxitoxin </w:t>
      </w:r>
      <w:r w:rsidR="00010974">
        <w:t xml:space="preserve">data </w:t>
      </w:r>
      <w:r w:rsidRPr="00C14880">
        <w:t xml:space="preserve">were assessed. </w:t>
      </w:r>
      <w:r w:rsidR="00AF62E5">
        <w:t>All are types of cyanotoxins</w:t>
      </w:r>
      <w:r w:rsidR="00501268">
        <w:t xml:space="preserve"> and </w:t>
      </w:r>
      <w:r w:rsidR="00AF62E5">
        <w:t xml:space="preserve">are often associated with harmful algal blooms. </w:t>
      </w:r>
      <w:r w:rsidRPr="00C14880">
        <w:t xml:space="preserve">Cyanotoxin data were compared to OEHHA Cyanotoxin Action Levels (OEHHA 2012), California Cyanobacteria and Harmful Algal Bloom Network (“CCHAB”) Trigger Levels (California Water Quality Monitoring Council, 2016), </w:t>
      </w:r>
      <w:r w:rsidR="00313C98">
        <w:t>USEPA</w:t>
      </w:r>
      <w:r w:rsidRPr="00C14880">
        <w:t xml:space="preserve"> Drinking Water Health Advisories for Microcystins (</w:t>
      </w:r>
      <w:r w:rsidR="00313C98">
        <w:t>USEPA</w:t>
      </w:r>
      <w:r w:rsidRPr="00C14880">
        <w:t xml:space="preserve"> 2015a) and Cylindrospermopsin (</w:t>
      </w:r>
      <w:r w:rsidR="00313C98">
        <w:t>USEPA</w:t>
      </w:r>
      <w:r w:rsidRPr="00C14880">
        <w:t xml:space="preserve"> 2015b), and the Oregon Health Authority’s </w:t>
      </w:r>
      <w:r w:rsidR="00F7752C">
        <w:t>(“OHA”)</w:t>
      </w:r>
      <w:r w:rsidRPr="00C14880">
        <w:t xml:space="preserve"> public health advisory guidelines (</w:t>
      </w:r>
      <w:r w:rsidR="00F7752C">
        <w:t>OHA</w:t>
      </w:r>
      <w:r w:rsidRPr="00C14880">
        <w:t xml:space="preserve"> 2019). These </w:t>
      </w:r>
      <w:r w:rsidR="00DB3D76" w:rsidRPr="00C14880">
        <w:t xml:space="preserve">evaluation guidelines </w:t>
      </w:r>
      <w:r w:rsidR="00B620C7">
        <w:t xml:space="preserve">were used </w:t>
      </w:r>
      <w:r w:rsidR="00DB3D76" w:rsidRPr="00C14880">
        <w:t xml:space="preserve">to assess attainment of </w:t>
      </w:r>
      <w:r w:rsidR="00DB3D76">
        <w:t xml:space="preserve">the </w:t>
      </w:r>
      <w:r w:rsidR="00DB3D76" w:rsidRPr="00C14880">
        <w:t>REC-1</w:t>
      </w:r>
      <w:r w:rsidR="00DB3D76">
        <w:t xml:space="preserve">, </w:t>
      </w:r>
      <w:r w:rsidR="00DB3D76" w:rsidRPr="00C14880">
        <w:t>MUN</w:t>
      </w:r>
      <w:r w:rsidR="00DB3D76">
        <w:t>,</w:t>
      </w:r>
      <w:r w:rsidR="00DB3D76" w:rsidRPr="00C14880">
        <w:t xml:space="preserve"> and </w:t>
      </w:r>
      <w:r w:rsidR="00201E99">
        <w:t>WILD</w:t>
      </w:r>
      <w:r w:rsidR="00DB3D76" w:rsidRPr="00C14880">
        <w:t xml:space="preserve"> beneficial uses</w:t>
      </w:r>
      <w:r w:rsidR="000B26A2">
        <w:t xml:space="preserve"> i</w:t>
      </w:r>
      <w:r w:rsidR="000B26A2">
        <w:rPr>
          <w:rFonts w:cs="Arial"/>
        </w:rPr>
        <w:t>n accordance with the following narrative water quality objective for toxicity</w:t>
      </w:r>
      <w:r w:rsidR="00DB3D76">
        <w:rPr>
          <w:rFonts w:cs="Arial"/>
        </w:rPr>
        <w:t>:</w:t>
      </w:r>
    </w:p>
    <w:p w14:paraId="5E8E69A6" w14:textId="77777777" w:rsidR="00DF0EA5" w:rsidRDefault="00DF0EA5" w:rsidP="00DF0EA5">
      <w:pPr>
        <w:ind w:left="720"/>
        <w:rPr>
          <w:rFonts w:cs="Arial"/>
        </w:rPr>
      </w:pPr>
      <w:r>
        <w:rPr>
          <w:rFonts w:cs="Arial"/>
        </w:rPr>
        <w:t>All waters shall be maintained free of toxic substances in concentrations that produce detrimental physiological responses in human, plant, animal, or aquatic life.</w:t>
      </w:r>
    </w:p>
    <w:p w14:paraId="378DBB34" w14:textId="7E5DE907" w:rsidR="009B7372" w:rsidRDefault="00DF0EA5" w:rsidP="00531CD0">
      <w:pPr>
        <w:spacing w:before="240" w:after="0"/>
      </w:pPr>
      <w:r>
        <w:rPr>
          <w:rFonts w:cs="Arial"/>
        </w:rPr>
        <w:t xml:space="preserve">Each Regional Water Board </w:t>
      </w:r>
      <w:r w:rsidR="00E92593">
        <w:rPr>
          <w:rFonts w:cs="Arial"/>
        </w:rPr>
        <w:t>b</w:t>
      </w:r>
      <w:r w:rsidR="003931CE">
        <w:rPr>
          <w:rFonts w:cs="Arial"/>
        </w:rPr>
        <w:t xml:space="preserve">asin </w:t>
      </w:r>
      <w:r w:rsidR="00E92593">
        <w:rPr>
          <w:rFonts w:cs="Arial"/>
        </w:rPr>
        <w:t>p</w:t>
      </w:r>
      <w:r w:rsidR="003931CE">
        <w:rPr>
          <w:rFonts w:cs="Arial"/>
        </w:rPr>
        <w:t>lan</w:t>
      </w:r>
      <w:r>
        <w:rPr>
          <w:rFonts w:cs="Arial"/>
        </w:rPr>
        <w:t xml:space="preserve"> has a narrative water quality objective for toxicity similar to the above. The narrative water quality objective is evaluated by selecting an appropriate numeric evaluation guideline, in accordance with section 6.1.3 of the Listing Policy</w:t>
      </w:r>
      <w:r w:rsidR="005D0762">
        <w:rPr>
          <w:rFonts w:cs="Arial"/>
        </w:rPr>
        <w:t>.</w:t>
      </w:r>
      <w:r w:rsidR="00531CD0">
        <w:rPr>
          <w:rFonts w:cs="Arial"/>
        </w:rPr>
        <w:t xml:space="preserve"> </w:t>
      </w:r>
      <w:r w:rsidR="00531CD0">
        <w:t>Waterbod</w:t>
      </w:r>
      <w:r w:rsidR="007651D8">
        <w:t>y segments</w:t>
      </w:r>
      <w:r w:rsidR="00531CD0" w:rsidRPr="0087687D">
        <w:t xml:space="preserve"> </w:t>
      </w:r>
      <w:r w:rsidR="00531CD0">
        <w:t>were</w:t>
      </w:r>
      <w:r w:rsidR="00531CD0" w:rsidRPr="0087687D">
        <w:t xml:space="preserve"> assessed in accordance with </w:t>
      </w:r>
      <w:r w:rsidR="00531CD0" w:rsidRPr="166AC04C">
        <w:rPr>
          <w:rFonts w:eastAsia="Times New Roman" w:cs="Arial"/>
        </w:rPr>
        <w:t>section 3.1 of the Listing Policy: Numeric Water Quality Objectives and Criteria for Toxicants in Water</w:t>
      </w:r>
      <w:r>
        <w:rPr>
          <w:rFonts w:cs="Arial"/>
        </w:rPr>
        <w:t>.</w:t>
      </w:r>
      <w:r w:rsidR="00F5060F">
        <w:rPr>
          <w:rFonts w:cs="Arial"/>
        </w:rPr>
        <w:t xml:space="preserve"> </w:t>
      </w:r>
      <w:r w:rsidR="00505D41">
        <w:rPr>
          <w:rFonts w:cs="Arial"/>
        </w:rPr>
        <w:t>See the following subsections</w:t>
      </w:r>
      <w:r w:rsidR="00201E99">
        <w:rPr>
          <w:rFonts w:cs="Arial"/>
        </w:rPr>
        <w:t xml:space="preserve"> </w:t>
      </w:r>
      <w:r w:rsidR="00882775">
        <w:rPr>
          <w:rFonts w:cs="Arial"/>
        </w:rPr>
        <w:t>and</w:t>
      </w:r>
      <w:r w:rsidR="00F5060F">
        <w:rPr>
          <w:rFonts w:cs="Arial"/>
        </w:rPr>
        <w:t xml:space="preserve"> </w:t>
      </w:r>
      <w:r w:rsidR="00F5060F">
        <w:t xml:space="preserve">Table </w:t>
      </w:r>
      <w:r w:rsidR="009C6834">
        <w:t>3-7</w:t>
      </w:r>
      <w:r w:rsidR="00182CDB">
        <w:t>:</w:t>
      </w:r>
      <w:r w:rsidR="009C6834">
        <w:t xml:space="preserve"> Summary of Evaluation Guidelines </w:t>
      </w:r>
      <w:r w:rsidR="00D11CA7">
        <w:t>used for Cyanotoxins</w:t>
      </w:r>
      <w:r w:rsidR="00882775">
        <w:rPr>
          <w:rFonts w:cs="Arial"/>
        </w:rPr>
        <w:t xml:space="preserve"> </w:t>
      </w:r>
      <w:r w:rsidR="00201E99">
        <w:rPr>
          <w:rFonts w:cs="Arial"/>
        </w:rPr>
        <w:t xml:space="preserve">for </w:t>
      </w:r>
      <w:r w:rsidR="00477300">
        <w:rPr>
          <w:rFonts w:cs="Arial"/>
        </w:rPr>
        <w:t xml:space="preserve">additional </w:t>
      </w:r>
      <w:r w:rsidR="00882775">
        <w:rPr>
          <w:rFonts w:cs="Arial"/>
        </w:rPr>
        <w:t>information</w:t>
      </w:r>
      <w:r w:rsidR="008220AC">
        <w:rPr>
          <w:rFonts w:cs="Arial"/>
        </w:rPr>
        <w:t xml:space="preserve"> on the evaluation guidelines </w:t>
      </w:r>
      <w:r w:rsidR="00882775">
        <w:rPr>
          <w:rFonts w:cs="Arial"/>
        </w:rPr>
        <w:t xml:space="preserve">used to assess attainment of the beneficial uses. </w:t>
      </w:r>
    </w:p>
    <w:p w14:paraId="75D334F4" w14:textId="646AFA9E" w:rsidR="001E595D" w:rsidRPr="00310827" w:rsidRDefault="00067B22" w:rsidP="00531CD0">
      <w:pPr>
        <w:spacing w:before="240" w:after="0"/>
        <w:rPr>
          <w:i/>
          <w:color w:val="4472C4" w:themeColor="accent1"/>
        </w:rPr>
      </w:pPr>
      <w:r w:rsidRPr="00310827">
        <w:rPr>
          <w:i/>
          <w:color w:val="4472C4" w:themeColor="accent1"/>
        </w:rPr>
        <w:t xml:space="preserve">Evaluating the </w:t>
      </w:r>
      <w:r w:rsidR="0048198A" w:rsidRPr="00310827">
        <w:rPr>
          <w:i/>
          <w:color w:val="4472C4" w:themeColor="accent1"/>
        </w:rPr>
        <w:t>REC-1</w:t>
      </w:r>
      <w:r w:rsidRPr="00310827">
        <w:rPr>
          <w:i/>
          <w:color w:val="4472C4" w:themeColor="accent1"/>
        </w:rPr>
        <w:t xml:space="preserve"> Beneficial Use</w:t>
      </w:r>
    </w:p>
    <w:p w14:paraId="7BDB1D37" w14:textId="77777777" w:rsidR="00D64B26" w:rsidRDefault="00D64B26" w:rsidP="00531CD0">
      <w:pPr>
        <w:spacing w:before="240" w:after="0"/>
      </w:pPr>
      <w:r w:rsidRPr="00C14880">
        <w:t xml:space="preserve">The CCHAB Network Trigger Levels are divided into three risk-based tiers: </w:t>
      </w:r>
      <w:r>
        <w:t>c</w:t>
      </w:r>
      <w:r w:rsidRPr="00C14880">
        <w:t xml:space="preserve">aution (Tier 1), </w:t>
      </w:r>
      <w:r>
        <w:t>w</w:t>
      </w:r>
      <w:r w:rsidRPr="00C14880">
        <w:t xml:space="preserve">arning (Tier 2), and </w:t>
      </w:r>
      <w:r>
        <w:t>d</w:t>
      </w:r>
      <w:r w:rsidRPr="00C14880">
        <w:t xml:space="preserve">anger (Tier 3). Swimming is prohibited at the </w:t>
      </w:r>
      <w:r>
        <w:t>warning</w:t>
      </w:r>
      <w:r w:rsidRPr="00C14880">
        <w:t xml:space="preserve"> level. For anatoxin and cylindrospermopsin, the CCHAB </w:t>
      </w:r>
      <w:r>
        <w:t>warning</w:t>
      </w:r>
      <w:r w:rsidRPr="00C14880">
        <w:t xml:space="preserve"> levels were used as evaluation guidelines to determine impairment. As an additional level of review, </w:t>
      </w:r>
      <w:r>
        <w:t>anatoxin and cylindrospermopsin</w:t>
      </w:r>
      <w:r w:rsidRPr="00C14880">
        <w:t xml:space="preserve"> data were also compared to the CCHAB </w:t>
      </w:r>
      <w:r>
        <w:t>caution</w:t>
      </w:r>
      <w:r w:rsidRPr="00C14880">
        <w:t xml:space="preserve"> levels. </w:t>
      </w:r>
      <w:r>
        <w:t>Waterbody segments</w:t>
      </w:r>
      <w:r w:rsidRPr="00C14880">
        <w:t xml:space="preserve"> where the cyanotoxin levels exceeded the </w:t>
      </w:r>
      <w:r>
        <w:t>caution</w:t>
      </w:r>
      <w:r w:rsidRPr="00C14880">
        <w:t xml:space="preserve"> levels but were below the </w:t>
      </w:r>
      <w:r>
        <w:t>warning</w:t>
      </w:r>
      <w:r w:rsidRPr="00C14880">
        <w:t xml:space="preserve"> levels were further evaluated to determine if additional data or information for the waterbody </w:t>
      </w:r>
      <w:r>
        <w:t xml:space="preserve">segment </w:t>
      </w:r>
      <w:r w:rsidRPr="00C14880">
        <w:t xml:space="preserve">were available that would warrant </w:t>
      </w:r>
      <w:r>
        <w:t>a “List” Decision</w:t>
      </w:r>
      <w:r w:rsidRPr="00C14880">
        <w:t xml:space="preserve">, per </w:t>
      </w:r>
      <w:r>
        <w:t>s</w:t>
      </w:r>
      <w:r w:rsidRPr="00C14880">
        <w:t xml:space="preserve">ection 3.11 of the Listing Policy. </w:t>
      </w:r>
      <w:r>
        <w:t>Waterbody segments</w:t>
      </w:r>
      <w:r w:rsidRPr="00C14880">
        <w:t xml:space="preserve"> where </w:t>
      </w:r>
      <w:r>
        <w:t>anatoxin and cylindrospermopsin</w:t>
      </w:r>
      <w:r w:rsidRPr="00C14880">
        <w:t xml:space="preserve"> levels were below the CCHAB </w:t>
      </w:r>
      <w:r>
        <w:t>caution</w:t>
      </w:r>
      <w:r w:rsidRPr="00C14880">
        <w:t xml:space="preserve"> levels were not determined to be impaired. Saxitoxin data were not evaluated for REC-1 beneficial use attainment due to the lack of an </w:t>
      </w:r>
      <w:r>
        <w:t>applicable</w:t>
      </w:r>
      <w:r w:rsidRPr="00C14880">
        <w:t xml:space="preserve"> evaluation guideline</w:t>
      </w:r>
      <w:r>
        <w:t>; however, saxitoxin data were evaluated for MUN beneficial use attainment as described below</w:t>
      </w:r>
      <w:r w:rsidRPr="00C14880">
        <w:t xml:space="preserve">. </w:t>
      </w:r>
    </w:p>
    <w:p w14:paraId="794D2A06" w14:textId="77777777" w:rsidR="00920676" w:rsidRPr="00310827" w:rsidRDefault="00920676" w:rsidP="00920676">
      <w:pPr>
        <w:spacing w:before="240" w:after="0"/>
        <w:rPr>
          <w:i/>
          <w:iCs/>
          <w:color w:val="4472C4" w:themeColor="accent1"/>
        </w:rPr>
      </w:pPr>
      <w:r w:rsidRPr="00310827">
        <w:rPr>
          <w:i/>
          <w:iCs/>
          <w:color w:val="4472C4" w:themeColor="accent1"/>
        </w:rPr>
        <w:t xml:space="preserve">Evaluating the MUN Beneficial Use </w:t>
      </w:r>
    </w:p>
    <w:p w14:paraId="144113C3" w14:textId="5F6C3554" w:rsidR="00920676" w:rsidRDefault="00920676" w:rsidP="00920676">
      <w:pPr>
        <w:spacing w:before="240" w:after="0"/>
      </w:pPr>
      <w:r w:rsidRPr="00C14880">
        <w:t xml:space="preserve">To evaluate attainment of the MUN beneficial use, the </w:t>
      </w:r>
      <w:r>
        <w:t>USEPA</w:t>
      </w:r>
      <w:r w:rsidRPr="00C14880">
        <w:t xml:space="preserve"> 10-day Drinking Water Health Advisory for Infants and Young Children thresholds were utilized as evaluation guidelines for microcystins and cylindrospermopsin data. The </w:t>
      </w:r>
      <w:r>
        <w:t>OHA</w:t>
      </w:r>
      <w:r w:rsidRPr="00C14880">
        <w:t xml:space="preserve"> Drinking Water Guidance Value for children 5 and under were used as evaluation guidelines for anatoxin and saxitoxin.</w:t>
      </w:r>
      <w:r>
        <w:t xml:space="preserve"> The USEPA has not released drinking water thresholds for anatoxin or saxitoxin; therefore, </w:t>
      </w:r>
      <w:r>
        <w:rPr>
          <w:rFonts w:cs="Arial"/>
          <w:szCs w:val="24"/>
        </w:rPr>
        <w:t>OHA</w:t>
      </w:r>
      <w:r w:rsidRPr="003632EE">
        <w:rPr>
          <w:rFonts w:cs="Arial"/>
          <w:szCs w:val="24"/>
        </w:rPr>
        <w:t>’s anatoxin and saxitoxin thresholds were chosen for the MUN use because</w:t>
      </w:r>
      <w:r>
        <w:rPr>
          <w:rFonts w:cs="Arial"/>
          <w:szCs w:val="24"/>
        </w:rPr>
        <w:t xml:space="preserve"> t</w:t>
      </w:r>
      <w:r w:rsidRPr="003632EE">
        <w:rPr>
          <w:rFonts w:cs="Arial"/>
          <w:szCs w:val="24"/>
        </w:rPr>
        <w:t>hey meet the requirements of L</w:t>
      </w:r>
      <w:r>
        <w:rPr>
          <w:rFonts w:cs="Arial"/>
          <w:szCs w:val="24"/>
        </w:rPr>
        <w:t xml:space="preserve">isting </w:t>
      </w:r>
      <w:r w:rsidRPr="003632EE">
        <w:rPr>
          <w:rFonts w:cs="Arial"/>
          <w:szCs w:val="24"/>
        </w:rPr>
        <w:t>P</w:t>
      </w:r>
      <w:r>
        <w:rPr>
          <w:rFonts w:cs="Arial"/>
          <w:szCs w:val="24"/>
        </w:rPr>
        <w:t>olicy</w:t>
      </w:r>
      <w:r w:rsidRPr="003632EE">
        <w:rPr>
          <w:rFonts w:cs="Arial"/>
          <w:szCs w:val="24"/>
        </w:rPr>
        <w:t xml:space="preserve"> </w:t>
      </w:r>
      <w:r>
        <w:rPr>
          <w:rFonts w:cs="Arial"/>
          <w:szCs w:val="24"/>
        </w:rPr>
        <w:t>s</w:t>
      </w:r>
      <w:r w:rsidRPr="003632EE">
        <w:rPr>
          <w:rFonts w:cs="Arial"/>
          <w:szCs w:val="24"/>
        </w:rPr>
        <w:t>ection 6.1.3 as an evaluation guideline</w:t>
      </w:r>
      <w:r>
        <w:rPr>
          <w:rFonts w:cs="Arial"/>
          <w:szCs w:val="24"/>
        </w:rPr>
        <w:t xml:space="preserve"> and </w:t>
      </w:r>
      <w:r w:rsidRPr="003632EE">
        <w:rPr>
          <w:rFonts w:cs="Arial"/>
          <w:szCs w:val="24"/>
        </w:rPr>
        <w:t>O</w:t>
      </w:r>
      <w:r>
        <w:rPr>
          <w:rFonts w:cs="Arial"/>
          <w:szCs w:val="24"/>
        </w:rPr>
        <w:t>HA</w:t>
      </w:r>
      <w:r w:rsidRPr="003632EE">
        <w:rPr>
          <w:rFonts w:cs="Arial"/>
          <w:szCs w:val="24"/>
        </w:rPr>
        <w:t xml:space="preserve"> followed</w:t>
      </w:r>
      <w:r>
        <w:rPr>
          <w:rFonts w:cs="Arial"/>
          <w:szCs w:val="24"/>
        </w:rPr>
        <w:t xml:space="preserve"> the USEPA</w:t>
      </w:r>
      <w:r w:rsidRPr="003632EE">
        <w:rPr>
          <w:rFonts w:cs="Arial"/>
          <w:szCs w:val="24"/>
        </w:rPr>
        <w:t xml:space="preserve"> methodology to derive the thresholds</w:t>
      </w:r>
      <w:r>
        <w:rPr>
          <w:rFonts w:cs="Arial"/>
          <w:szCs w:val="24"/>
        </w:rPr>
        <w:t>.</w:t>
      </w:r>
    </w:p>
    <w:p w14:paraId="0B642C90" w14:textId="2135DF6B" w:rsidR="00A23CB5" w:rsidRPr="00C14880" w:rsidRDefault="00067B22" w:rsidP="00531CD0">
      <w:pPr>
        <w:spacing w:before="240" w:after="0"/>
      </w:pPr>
      <w:r w:rsidRPr="00310827">
        <w:rPr>
          <w:i/>
          <w:color w:val="4472C4" w:themeColor="accent1"/>
        </w:rPr>
        <w:t xml:space="preserve">Evaluating the </w:t>
      </w:r>
      <w:r w:rsidR="0048198A" w:rsidRPr="00310827">
        <w:rPr>
          <w:i/>
          <w:color w:val="4472C4" w:themeColor="accent1"/>
        </w:rPr>
        <w:t>WILD</w:t>
      </w:r>
      <w:r w:rsidRPr="00310827">
        <w:rPr>
          <w:i/>
          <w:color w:val="4472C4" w:themeColor="accent1"/>
        </w:rPr>
        <w:t xml:space="preserve"> Beneficial Use</w:t>
      </w:r>
    </w:p>
    <w:p w14:paraId="4A1D31D6" w14:textId="76FB7AD9" w:rsidR="007D0003" w:rsidRPr="007D0003" w:rsidRDefault="00D64B26" w:rsidP="00AA3197">
      <w:pPr>
        <w:spacing w:before="240"/>
      </w:pPr>
      <w:r>
        <w:t>Use</w:t>
      </w:r>
      <w:r w:rsidR="007D0003" w:rsidRPr="007D0003">
        <w:t xml:space="preserve"> of waters by dogs</w:t>
      </w:r>
      <w:r w:rsidR="00E41187">
        <w:t xml:space="preserve"> was</w:t>
      </w:r>
      <w:r w:rsidR="007D0003" w:rsidRPr="007D0003">
        <w:t xml:space="preserve"> evaluated using the WILD </w:t>
      </w:r>
      <w:r w:rsidR="00E41187">
        <w:t>beneficial use designation</w:t>
      </w:r>
      <w:r w:rsidR="005167EA">
        <w:t xml:space="preserve"> using </w:t>
      </w:r>
      <w:r w:rsidR="005167EA" w:rsidRPr="00C14880">
        <w:t>the OEHHA subchronic water intake action level for dogs as the evaluation guideline for microcystin data</w:t>
      </w:r>
      <w:r w:rsidR="007D0003" w:rsidRPr="007D0003" w:rsidDel="005167EA">
        <w:t>.</w:t>
      </w:r>
      <w:r w:rsidR="007D0003" w:rsidRPr="007D0003">
        <w:t xml:space="preserve"> While the WILD</w:t>
      </w:r>
      <w:r w:rsidR="00FC4553">
        <w:t xml:space="preserve"> </w:t>
      </w:r>
      <w:r w:rsidR="007D0003" w:rsidRPr="007D0003">
        <w:t xml:space="preserve">beneficial use definition does not explicitly include domestic animals, it is the </w:t>
      </w:r>
      <w:r w:rsidR="001828B4">
        <w:t xml:space="preserve">beneficial </w:t>
      </w:r>
      <w:r w:rsidR="007D0003" w:rsidRPr="007D0003">
        <w:t xml:space="preserve">use which most closely corresponds to the use of surface waters by dogs. </w:t>
      </w:r>
      <w:r w:rsidR="000E55B4">
        <w:t>T</w:t>
      </w:r>
      <w:r w:rsidR="007D0003" w:rsidRPr="007D0003">
        <w:t>he</w:t>
      </w:r>
      <w:r w:rsidR="00FA309F">
        <w:t xml:space="preserve"> </w:t>
      </w:r>
      <w:r w:rsidR="007D0003" w:rsidRPr="007D0003">
        <w:t xml:space="preserve">WILD beneficial use reflects the goal of achieving and protecting resources, habitat, and water quality to support the use </w:t>
      </w:r>
      <w:r w:rsidR="004F68DC">
        <w:t xml:space="preserve">of water </w:t>
      </w:r>
      <w:r w:rsidR="007D0003" w:rsidRPr="007D0003">
        <w:t>by terrestrial animals, which include dogs.</w:t>
      </w:r>
      <w:r w:rsidR="00E812B4">
        <w:t xml:space="preserve"> </w:t>
      </w:r>
      <w:r w:rsidR="00CD5A26">
        <w:t>Given the</w:t>
      </w:r>
      <w:r w:rsidR="007D0003" w:rsidRPr="007D0003">
        <w:t xml:space="preserve"> increase in the occurrence of dog deaths from impacts of cyanotoxins throughout the </w:t>
      </w:r>
      <w:r w:rsidR="004F68DC">
        <w:t>s</w:t>
      </w:r>
      <w:r w:rsidR="007D0003" w:rsidRPr="007D0003">
        <w:t>tate, evaluating the suitability of waters that are</w:t>
      </w:r>
      <w:r w:rsidR="00E442F4">
        <w:t>,</w:t>
      </w:r>
      <w:r w:rsidR="007D0003" w:rsidRPr="007D0003">
        <w:t xml:space="preserve"> and may be</w:t>
      </w:r>
      <w:r w:rsidR="004F68DC">
        <w:t>,</w:t>
      </w:r>
      <w:r w:rsidR="007D0003" w:rsidRPr="007D0003">
        <w:t xml:space="preserve"> used by dogs is </w:t>
      </w:r>
      <w:r w:rsidR="00CD5A26">
        <w:t>even</w:t>
      </w:r>
      <w:r w:rsidR="007D0003" w:rsidRPr="007D0003">
        <w:t xml:space="preserve"> more important. Until such time as a beneficial use classification is established that more closely encompasses the use of surface waters by dogs, evaluation of attainment of that use will correspond with the WILD </w:t>
      </w:r>
      <w:r w:rsidR="00C61C8D">
        <w:t xml:space="preserve">beneficial use </w:t>
      </w:r>
      <w:r w:rsidR="004F68DC">
        <w:t>designation</w:t>
      </w:r>
      <w:r w:rsidR="007D0003" w:rsidRPr="007D0003">
        <w:t xml:space="preserve"> for purposes of developing the 303(d) </w:t>
      </w:r>
      <w:r w:rsidR="00234076">
        <w:t>l</w:t>
      </w:r>
      <w:r w:rsidR="007D0003" w:rsidRPr="007D0003">
        <w:t>ist.</w:t>
      </w:r>
    </w:p>
    <w:p w14:paraId="0313AA66" w14:textId="2749FE86" w:rsidR="00783350" w:rsidRDefault="00783350" w:rsidP="00783350">
      <w:pPr>
        <w:pStyle w:val="Caption"/>
        <w:keepNext/>
      </w:pPr>
      <w:bookmarkStart w:id="118" w:name="_Toc118386792"/>
      <w:bookmarkStart w:id="119" w:name="_Toc118386824"/>
      <w:r>
        <w:t xml:space="preserve">Table </w:t>
      </w:r>
      <w:r>
        <w:fldChar w:fldCharType="begin"/>
      </w:r>
      <w:r>
        <w:instrText>STYLEREF 1 \s</w:instrText>
      </w:r>
      <w:r>
        <w:fldChar w:fldCharType="separate"/>
      </w:r>
      <w:r w:rsidR="00C93408">
        <w:rPr>
          <w:noProof/>
        </w:rPr>
        <w:t>3</w:t>
      </w:r>
      <w:r>
        <w:fldChar w:fldCharType="end"/>
      </w:r>
      <w:r>
        <w:noBreakHyphen/>
      </w:r>
      <w:r w:rsidR="00AE121C">
        <w:t>8</w:t>
      </w:r>
      <w:r>
        <w:t xml:space="preserve">: </w:t>
      </w:r>
      <w:r w:rsidRPr="004F6CD6">
        <w:t xml:space="preserve">Summary </w:t>
      </w:r>
      <w:r w:rsidR="00D11CA7">
        <w:t xml:space="preserve">of </w:t>
      </w:r>
      <w:r w:rsidRPr="004F6CD6">
        <w:t>Evaluation Guidelines used for Cyanotoxins</w:t>
      </w:r>
      <w:bookmarkEnd w:id="118"/>
      <w:bookmarkEnd w:id="119"/>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bottom w:w="58" w:type="dxa"/>
        </w:tblCellMar>
        <w:tblLook w:val="04A0" w:firstRow="1" w:lastRow="0" w:firstColumn="1" w:lastColumn="0" w:noHBand="0" w:noVBand="1"/>
        <w:tblCaption w:val="Summary of Evaluation Guidelines used for Cyanotoxins"/>
        <w:tblDescription w:val="This table shows the evaluation guidelines for cyanotoxins microcystin, anatoxin, cylindrospermopsin, and saxitoxin, and the beneficial use the evaluation guidelines apply to."/>
      </w:tblPr>
      <w:tblGrid>
        <w:gridCol w:w="1525"/>
        <w:gridCol w:w="1872"/>
        <w:gridCol w:w="1872"/>
        <w:gridCol w:w="1872"/>
        <w:gridCol w:w="1872"/>
      </w:tblGrid>
      <w:tr w:rsidR="005B0201" w:rsidRPr="00003C58" w14:paraId="3ED2C2B8" w14:textId="77777777" w:rsidTr="004C24F6">
        <w:trPr>
          <w:jc w:val="center"/>
        </w:trPr>
        <w:tc>
          <w:tcPr>
            <w:tcW w:w="1525" w:type="dxa"/>
            <w:shd w:val="clear" w:color="auto" w:fill="D9E2F3" w:themeFill="accent1" w:themeFillTint="33"/>
            <w:vAlign w:val="center"/>
          </w:tcPr>
          <w:p w14:paraId="4AD6A8D1" w14:textId="1E81485E" w:rsidR="00003C58" w:rsidRPr="00003C58" w:rsidRDefault="00A24288" w:rsidP="004C24F6">
            <w:pPr>
              <w:spacing w:after="120"/>
              <w:jc w:val="center"/>
              <w:rPr>
                <w:b/>
              </w:rPr>
            </w:pPr>
            <w:r>
              <w:rPr>
                <w:b/>
              </w:rPr>
              <w:t>Beneficial Use</w:t>
            </w:r>
          </w:p>
        </w:tc>
        <w:tc>
          <w:tcPr>
            <w:tcW w:w="1872" w:type="dxa"/>
            <w:shd w:val="clear" w:color="auto" w:fill="D9E2F3" w:themeFill="accent1" w:themeFillTint="33"/>
            <w:vAlign w:val="center"/>
          </w:tcPr>
          <w:p w14:paraId="28172D79" w14:textId="493095E1" w:rsidR="00003C58" w:rsidRPr="00003C58" w:rsidRDefault="00003C58" w:rsidP="004C24F6">
            <w:pPr>
              <w:spacing w:after="120"/>
              <w:jc w:val="center"/>
              <w:rPr>
                <w:b/>
              </w:rPr>
            </w:pPr>
            <w:r w:rsidRPr="00003C58">
              <w:rPr>
                <w:b/>
                <w:bCs/>
              </w:rPr>
              <w:t>Microcystin</w:t>
            </w:r>
            <w:r w:rsidR="00F928DB">
              <w:rPr>
                <w:b/>
                <w:bCs/>
              </w:rPr>
              <w:t xml:space="preserve"> </w:t>
            </w:r>
            <w:r w:rsidRPr="00003C58">
              <w:rPr>
                <w:b/>
                <w:bCs/>
              </w:rPr>
              <w:t>(µg/L)</w:t>
            </w:r>
          </w:p>
        </w:tc>
        <w:tc>
          <w:tcPr>
            <w:tcW w:w="1872" w:type="dxa"/>
            <w:shd w:val="clear" w:color="auto" w:fill="D9E2F3" w:themeFill="accent1" w:themeFillTint="33"/>
            <w:vAlign w:val="center"/>
          </w:tcPr>
          <w:p w14:paraId="1C3842BE" w14:textId="4A3EA1C3" w:rsidR="00003C58" w:rsidRPr="00003C58" w:rsidRDefault="00003C58" w:rsidP="004C24F6">
            <w:pPr>
              <w:spacing w:after="120"/>
              <w:jc w:val="center"/>
            </w:pPr>
            <w:r w:rsidRPr="00003C58">
              <w:rPr>
                <w:b/>
                <w:bCs/>
              </w:rPr>
              <w:t>Anatoxin</w:t>
            </w:r>
            <w:r w:rsidR="00F928DB">
              <w:rPr>
                <w:b/>
                <w:bCs/>
              </w:rPr>
              <w:t xml:space="preserve"> </w:t>
            </w:r>
            <w:r w:rsidRPr="00003C58">
              <w:rPr>
                <w:b/>
                <w:bCs/>
              </w:rPr>
              <w:t>(µg/L)</w:t>
            </w:r>
          </w:p>
        </w:tc>
        <w:tc>
          <w:tcPr>
            <w:tcW w:w="1872" w:type="dxa"/>
            <w:shd w:val="clear" w:color="auto" w:fill="D9E2F3" w:themeFill="accent1" w:themeFillTint="33"/>
            <w:vAlign w:val="center"/>
          </w:tcPr>
          <w:p w14:paraId="356526F3" w14:textId="3B74FD21" w:rsidR="00003C58" w:rsidRPr="00003C58" w:rsidRDefault="00003C58" w:rsidP="004C24F6">
            <w:pPr>
              <w:spacing w:after="120"/>
              <w:jc w:val="center"/>
              <w:rPr>
                <w:b/>
              </w:rPr>
            </w:pPr>
            <w:r w:rsidRPr="00003C58">
              <w:rPr>
                <w:b/>
                <w:bCs/>
              </w:rPr>
              <w:t>Cylindro-spermopsin</w:t>
            </w:r>
            <w:r w:rsidR="00EB6210">
              <w:rPr>
                <w:b/>
                <w:bCs/>
              </w:rPr>
              <w:t xml:space="preserve"> </w:t>
            </w:r>
            <w:r w:rsidRPr="00003C58">
              <w:rPr>
                <w:b/>
                <w:bCs/>
              </w:rPr>
              <w:t>(µg/L)</w:t>
            </w:r>
          </w:p>
        </w:tc>
        <w:tc>
          <w:tcPr>
            <w:tcW w:w="1872" w:type="dxa"/>
            <w:shd w:val="clear" w:color="auto" w:fill="D9E2F3" w:themeFill="accent1" w:themeFillTint="33"/>
            <w:vAlign w:val="center"/>
          </w:tcPr>
          <w:p w14:paraId="04940D66" w14:textId="747A5DE8" w:rsidR="00003C58" w:rsidRPr="00003C58" w:rsidRDefault="00003C58" w:rsidP="004C24F6">
            <w:pPr>
              <w:spacing w:after="120"/>
              <w:jc w:val="center"/>
              <w:rPr>
                <w:b/>
                <w:bCs/>
              </w:rPr>
            </w:pPr>
            <w:r w:rsidRPr="00003C58">
              <w:rPr>
                <w:b/>
                <w:bCs/>
              </w:rPr>
              <w:t>Saxitoxin</w:t>
            </w:r>
            <w:r w:rsidR="00F928DB">
              <w:rPr>
                <w:b/>
                <w:bCs/>
              </w:rPr>
              <w:t xml:space="preserve"> </w:t>
            </w:r>
            <w:r w:rsidRPr="00003C58">
              <w:rPr>
                <w:b/>
                <w:bCs/>
              </w:rPr>
              <w:t>(µg/L)</w:t>
            </w:r>
          </w:p>
        </w:tc>
      </w:tr>
      <w:tr w:rsidR="005B0201" w:rsidRPr="00003C58" w14:paraId="1C4E35DE" w14:textId="77777777" w:rsidTr="004C24F6">
        <w:trPr>
          <w:jc w:val="center"/>
        </w:trPr>
        <w:tc>
          <w:tcPr>
            <w:tcW w:w="1525" w:type="dxa"/>
            <w:shd w:val="clear" w:color="auto" w:fill="D9E2F3" w:themeFill="accent1" w:themeFillTint="33"/>
            <w:vAlign w:val="center"/>
          </w:tcPr>
          <w:p w14:paraId="3684DD51" w14:textId="77777777" w:rsidR="00003C58" w:rsidRPr="00003C58" w:rsidRDefault="00003C58" w:rsidP="004C24F6">
            <w:pPr>
              <w:spacing w:after="120"/>
              <w:rPr>
                <w:b/>
                <w:bCs/>
              </w:rPr>
            </w:pPr>
            <w:r w:rsidRPr="00003C58">
              <w:rPr>
                <w:b/>
                <w:bCs/>
              </w:rPr>
              <w:t>REC-1</w:t>
            </w:r>
          </w:p>
          <w:p w14:paraId="222B496A" w14:textId="77777777" w:rsidR="00003C58" w:rsidRPr="00003C58" w:rsidRDefault="00003C58" w:rsidP="004C24F6">
            <w:pPr>
              <w:spacing w:after="120"/>
            </w:pPr>
            <w:r w:rsidRPr="00003C58">
              <w:rPr>
                <w:b/>
                <w:bCs/>
              </w:rPr>
              <w:t>Evaluation Guideline</w:t>
            </w:r>
          </w:p>
        </w:tc>
        <w:tc>
          <w:tcPr>
            <w:tcW w:w="1872" w:type="dxa"/>
            <w:shd w:val="clear" w:color="auto" w:fill="auto"/>
            <w:vAlign w:val="center"/>
          </w:tcPr>
          <w:p w14:paraId="32B6A95B" w14:textId="53E6782B" w:rsidR="00C56F4A" w:rsidRDefault="00003C58" w:rsidP="004C24F6">
            <w:pPr>
              <w:spacing w:after="120"/>
              <w:jc w:val="center"/>
            </w:pPr>
            <w:r w:rsidRPr="00003C58">
              <w:t>6</w:t>
            </w:r>
          </w:p>
          <w:p w14:paraId="71AC2AF1" w14:textId="77A769B3" w:rsidR="00003C58" w:rsidRPr="00003C58" w:rsidRDefault="000908C0" w:rsidP="004C24F6">
            <w:pPr>
              <w:spacing w:after="120"/>
              <w:jc w:val="center"/>
            </w:pPr>
            <w:r>
              <w:t>CCHAB Network Warning Trigger Level</w:t>
            </w:r>
          </w:p>
        </w:tc>
        <w:tc>
          <w:tcPr>
            <w:tcW w:w="1872" w:type="dxa"/>
            <w:shd w:val="clear" w:color="auto" w:fill="auto"/>
            <w:vAlign w:val="center"/>
          </w:tcPr>
          <w:p w14:paraId="55A9DD93" w14:textId="4B9CEF39" w:rsidR="00C56F4A" w:rsidRDefault="00003C58" w:rsidP="004C24F6">
            <w:pPr>
              <w:spacing w:after="120"/>
              <w:jc w:val="center"/>
            </w:pPr>
            <w:r w:rsidRPr="00003C58">
              <w:t>20</w:t>
            </w:r>
          </w:p>
          <w:p w14:paraId="74F84BAB" w14:textId="586DBF41" w:rsidR="00003C58" w:rsidRPr="00003C58" w:rsidRDefault="00C56F4A" w:rsidP="004C24F6">
            <w:pPr>
              <w:spacing w:after="120"/>
              <w:jc w:val="center"/>
            </w:pPr>
            <w:r>
              <w:t>CCHAB Network Warning Trigger Level</w:t>
            </w:r>
          </w:p>
        </w:tc>
        <w:tc>
          <w:tcPr>
            <w:tcW w:w="1872" w:type="dxa"/>
            <w:shd w:val="clear" w:color="auto" w:fill="auto"/>
            <w:vAlign w:val="center"/>
          </w:tcPr>
          <w:p w14:paraId="708DA069" w14:textId="5D82E8E7" w:rsidR="00003C58" w:rsidRDefault="00003C58" w:rsidP="004C24F6">
            <w:pPr>
              <w:spacing w:after="120"/>
              <w:jc w:val="center"/>
            </w:pPr>
            <w:r w:rsidRPr="00003C58">
              <w:t>4</w:t>
            </w:r>
          </w:p>
          <w:p w14:paraId="747BE384" w14:textId="4F2ED19B" w:rsidR="00003C58" w:rsidRPr="00003C58" w:rsidRDefault="00126349" w:rsidP="004C24F6">
            <w:pPr>
              <w:spacing w:after="120"/>
              <w:jc w:val="center"/>
            </w:pPr>
            <w:r w:rsidRPr="00E948D4">
              <w:t>CCHAB Network Warning Trigger Level</w:t>
            </w:r>
          </w:p>
        </w:tc>
        <w:tc>
          <w:tcPr>
            <w:tcW w:w="1872" w:type="dxa"/>
            <w:shd w:val="clear" w:color="auto" w:fill="auto"/>
            <w:vAlign w:val="center"/>
          </w:tcPr>
          <w:p w14:paraId="4FD43DA8" w14:textId="1D89C292" w:rsidR="00003C58" w:rsidRPr="00003C58" w:rsidRDefault="00003C58" w:rsidP="004C24F6">
            <w:pPr>
              <w:spacing w:after="120"/>
              <w:jc w:val="center"/>
            </w:pPr>
            <w:r w:rsidRPr="00003C58">
              <w:t>N/A</w:t>
            </w:r>
          </w:p>
        </w:tc>
      </w:tr>
      <w:tr w:rsidR="005B0201" w:rsidRPr="00003C58" w14:paraId="6F26CCEA" w14:textId="77777777" w:rsidTr="004C24F6">
        <w:trPr>
          <w:jc w:val="center"/>
        </w:trPr>
        <w:tc>
          <w:tcPr>
            <w:tcW w:w="1525" w:type="dxa"/>
            <w:tcBorders>
              <w:bottom w:val="single" w:sz="4" w:space="0" w:color="auto"/>
            </w:tcBorders>
            <w:shd w:val="clear" w:color="auto" w:fill="D9E2F3" w:themeFill="accent1" w:themeFillTint="33"/>
            <w:vAlign w:val="center"/>
          </w:tcPr>
          <w:p w14:paraId="7F754555" w14:textId="77777777" w:rsidR="00003C58" w:rsidRPr="00003C58" w:rsidRDefault="00003C58" w:rsidP="004C24F6">
            <w:pPr>
              <w:spacing w:after="120"/>
              <w:rPr>
                <w:b/>
                <w:bCs/>
              </w:rPr>
            </w:pPr>
            <w:r w:rsidRPr="00003C58">
              <w:rPr>
                <w:b/>
                <w:bCs/>
              </w:rPr>
              <w:t>REC-1</w:t>
            </w:r>
          </w:p>
          <w:p w14:paraId="50F1DD37" w14:textId="2E0533A6" w:rsidR="00003C58" w:rsidRPr="00003C58" w:rsidRDefault="00881F46" w:rsidP="004C24F6">
            <w:pPr>
              <w:spacing w:after="120"/>
            </w:pPr>
            <w:r>
              <w:rPr>
                <w:b/>
                <w:bCs/>
              </w:rPr>
              <w:t xml:space="preserve">Weight of Evidence </w:t>
            </w:r>
            <w:r w:rsidR="00003C58" w:rsidRPr="00003C58">
              <w:rPr>
                <w:b/>
                <w:bCs/>
              </w:rPr>
              <w:t>or Watch List Evaluation</w:t>
            </w:r>
          </w:p>
        </w:tc>
        <w:tc>
          <w:tcPr>
            <w:tcW w:w="1872" w:type="dxa"/>
            <w:tcBorders>
              <w:bottom w:val="single" w:sz="4" w:space="0" w:color="auto"/>
            </w:tcBorders>
            <w:shd w:val="clear" w:color="auto" w:fill="auto"/>
            <w:vAlign w:val="center"/>
          </w:tcPr>
          <w:p w14:paraId="0CABADFE" w14:textId="32828954" w:rsidR="00003C58" w:rsidRDefault="00003C58" w:rsidP="004C24F6">
            <w:pPr>
              <w:spacing w:after="120"/>
              <w:jc w:val="center"/>
            </w:pPr>
            <w:r w:rsidRPr="00003C58">
              <w:t>0.8</w:t>
            </w:r>
          </w:p>
          <w:p w14:paraId="69C07340" w14:textId="39C44834" w:rsidR="00003C58" w:rsidRPr="00003C58" w:rsidRDefault="00126349" w:rsidP="004C24F6">
            <w:pPr>
              <w:spacing w:after="120"/>
              <w:jc w:val="center"/>
            </w:pPr>
            <w:r w:rsidRPr="00E948D4">
              <w:t>CCHAB Network Caution Trigger Level</w:t>
            </w:r>
          </w:p>
        </w:tc>
        <w:tc>
          <w:tcPr>
            <w:tcW w:w="1872" w:type="dxa"/>
            <w:tcBorders>
              <w:bottom w:val="single" w:sz="4" w:space="0" w:color="auto"/>
            </w:tcBorders>
            <w:shd w:val="clear" w:color="auto" w:fill="auto"/>
            <w:vAlign w:val="center"/>
          </w:tcPr>
          <w:p w14:paraId="29F15865" w14:textId="593196FF" w:rsidR="00003C58" w:rsidRDefault="00003C58" w:rsidP="004C24F6">
            <w:pPr>
              <w:spacing w:after="120"/>
              <w:jc w:val="center"/>
            </w:pPr>
            <w:r w:rsidRPr="00003C58">
              <w:t>Detection</w:t>
            </w:r>
          </w:p>
          <w:p w14:paraId="17124A26" w14:textId="79E508BC" w:rsidR="00003C58" w:rsidRPr="00003C58" w:rsidRDefault="00126349" w:rsidP="004C24F6">
            <w:pPr>
              <w:spacing w:after="120"/>
              <w:jc w:val="center"/>
            </w:pPr>
            <w:r w:rsidRPr="00E948D4">
              <w:t>CCHAB Network Caution Trigger Level</w:t>
            </w:r>
          </w:p>
        </w:tc>
        <w:tc>
          <w:tcPr>
            <w:tcW w:w="1872" w:type="dxa"/>
            <w:tcBorders>
              <w:bottom w:val="single" w:sz="4" w:space="0" w:color="auto"/>
            </w:tcBorders>
            <w:shd w:val="clear" w:color="auto" w:fill="auto"/>
            <w:vAlign w:val="center"/>
          </w:tcPr>
          <w:p w14:paraId="768B974F" w14:textId="02BDB188" w:rsidR="00003C58" w:rsidRDefault="00003C58" w:rsidP="004C24F6">
            <w:pPr>
              <w:spacing w:after="120"/>
              <w:jc w:val="center"/>
            </w:pPr>
            <w:r w:rsidRPr="00003C58">
              <w:t>1</w:t>
            </w:r>
          </w:p>
          <w:p w14:paraId="33B35CDC" w14:textId="755C560A" w:rsidR="00003C58" w:rsidRPr="00003C58" w:rsidRDefault="00126349" w:rsidP="004C24F6">
            <w:pPr>
              <w:spacing w:after="120"/>
              <w:jc w:val="center"/>
            </w:pPr>
            <w:r w:rsidRPr="00E948D4">
              <w:t>CCHAB Network Caution Trigger Level</w:t>
            </w:r>
          </w:p>
        </w:tc>
        <w:tc>
          <w:tcPr>
            <w:tcW w:w="1872" w:type="dxa"/>
            <w:tcBorders>
              <w:bottom w:val="single" w:sz="4" w:space="0" w:color="auto"/>
            </w:tcBorders>
            <w:shd w:val="clear" w:color="auto" w:fill="auto"/>
            <w:vAlign w:val="center"/>
          </w:tcPr>
          <w:p w14:paraId="02FE4196" w14:textId="4207BA42" w:rsidR="00003C58" w:rsidRPr="00003C58" w:rsidRDefault="00003C58" w:rsidP="004C24F6">
            <w:pPr>
              <w:spacing w:after="120"/>
              <w:jc w:val="center"/>
            </w:pPr>
            <w:r w:rsidRPr="00003C58">
              <w:t>N/A</w:t>
            </w:r>
          </w:p>
        </w:tc>
      </w:tr>
      <w:tr w:rsidR="005B0201" w:rsidRPr="00003C58" w14:paraId="5F616AEF" w14:textId="77777777" w:rsidTr="004C24F6">
        <w:trPr>
          <w:jc w:val="center"/>
        </w:trPr>
        <w:tc>
          <w:tcPr>
            <w:tcW w:w="152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E901A68" w14:textId="77777777" w:rsidR="00003C58" w:rsidRPr="00003C58" w:rsidRDefault="00003C58" w:rsidP="004C24F6">
            <w:pPr>
              <w:spacing w:after="120"/>
              <w:rPr>
                <w:b/>
                <w:bCs/>
              </w:rPr>
            </w:pPr>
            <w:r w:rsidRPr="00003C58">
              <w:rPr>
                <w:b/>
                <w:bCs/>
              </w:rPr>
              <w:t>WILD</w:t>
            </w:r>
          </w:p>
          <w:p w14:paraId="3951D9D4" w14:textId="77777777" w:rsidR="00003C58" w:rsidRPr="00003C58" w:rsidRDefault="00003C58" w:rsidP="004C24F6">
            <w:pPr>
              <w:spacing w:after="120"/>
            </w:pPr>
            <w:r w:rsidRPr="00003C58">
              <w:rPr>
                <w:b/>
                <w:bCs/>
              </w:rPr>
              <w:t>Evaluation Guideline</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30CDFF92" w14:textId="17580F54" w:rsidR="00003C58" w:rsidRDefault="00003C58" w:rsidP="004C24F6">
            <w:pPr>
              <w:spacing w:after="120"/>
              <w:jc w:val="center"/>
            </w:pPr>
            <w:r w:rsidRPr="00003C58">
              <w:t>2</w:t>
            </w:r>
          </w:p>
          <w:p w14:paraId="141E6FE3" w14:textId="14137DE7" w:rsidR="00003C58" w:rsidRPr="00003C58" w:rsidRDefault="009E3136" w:rsidP="004C24F6">
            <w:pPr>
              <w:spacing w:after="120"/>
              <w:jc w:val="center"/>
            </w:pPr>
            <w:r w:rsidRPr="00E948D4">
              <w:t>OEHHA Action Level Dog</w:t>
            </w:r>
            <w:r w:rsidR="006373FB">
              <w:t xml:space="preserve"> </w:t>
            </w:r>
            <w:r w:rsidRPr="00E948D4">
              <w:t>Subchronic</w:t>
            </w:r>
            <w:r w:rsidR="006373FB">
              <w:t xml:space="preserve"> </w:t>
            </w:r>
            <w:r w:rsidRPr="00E948D4">
              <w:t>Water</w:t>
            </w:r>
            <w:r w:rsidR="006373FB">
              <w:t xml:space="preserve"> </w:t>
            </w:r>
            <w:r w:rsidRPr="00E948D4">
              <w:t>Intake</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6EB71115" w14:textId="0E17ED0E" w:rsidR="00003C58" w:rsidRPr="00003C58" w:rsidRDefault="00003C58" w:rsidP="004C24F6">
            <w:pPr>
              <w:spacing w:after="120"/>
              <w:jc w:val="center"/>
            </w:pPr>
            <w:r w:rsidRPr="00003C58">
              <w:t>N/A</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0017469F" w14:textId="7252A61C" w:rsidR="00003C58" w:rsidRPr="00003C58" w:rsidRDefault="00003C58" w:rsidP="004C24F6">
            <w:pPr>
              <w:spacing w:after="120"/>
              <w:jc w:val="center"/>
            </w:pPr>
            <w:r w:rsidRPr="00003C58">
              <w:t>N/A</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17FCFC22" w14:textId="418E0B62" w:rsidR="00003C58" w:rsidRPr="00003C58" w:rsidRDefault="00003C58" w:rsidP="004C24F6">
            <w:pPr>
              <w:spacing w:after="120"/>
              <w:jc w:val="center"/>
            </w:pPr>
            <w:r w:rsidRPr="00003C58">
              <w:t>N/A</w:t>
            </w:r>
          </w:p>
        </w:tc>
      </w:tr>
      <w:tr w:rsidR="005B0201" w:rsidRPr="00003C58" w14:paraId="2710489D" w14:textId="77777777" w:rsidTr="004C24F6">
        <w:trPr>
          <w:jc w:val="center"/>
        </w:trPr>
        <w:tc>
          <w:tcPr>
            <w:tcW w:w="152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503E5E" w14:textId="77777777" w:rsidR="00003C58" w:rsidRPr="00003C58" w:rsidRDefault="00003C58" w:rsidP="004C24F6">
            <w:pPr>
              <w:spacing w:after="120"/>
              <w:rPr>
                <w:b/>
                <w:bCs/>
              </w:rPr>
            </w:pPr>
            <w:r w:rsidRPr="00003C58">
              <w:rPr>
                <w:b/>
                <w:bCs/>
              </w:rPr>
              <w:t>MUN</w:t>
            </w:r>
          </w:p>
          <w:p w14:paraId="1C7560DC" w14:textId="77777777" w:rsidR="00003C58" w:rsidRPr="00003C58" w:rsidRDefault="00003C58" w:rsidP="004C24F6">
            <w:pPr>
              <w:spacing w:after="120"/>
            </w:pPr>
            <w:r w:rsidRPr="00003C58">
              <w:rPr>
                <w:b/>
                <w:bCs/>
              </w:rPr>
              <w:t>Evaluation Guideline</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1653E57C" w14:textId="608D7655" w:rsidR="00003C58" w:rsidRDefault="00003C58" w:rsidP="004C24F6">
            <w:pPr>
              <w:spacing w:after="120"/>
              <w:jc w:val="center"/>
            </w:pPr>
            <w:r w:rsidRPr="00003C58">
              <w:t>0.3</w:t>
            </w:r>
          </w:p>
          <w:p w14:paraId="5E11A10D" w14:textId="794B773D" w:rsidR="00003C58" w:rsidRPr="00003C58" w:rsidRDefault="00313C98" w:rsidP="004C24F6">
            <w:pPr>
              <w:spacing w:after="120"/>
              <w:jc w:val="center"/>
            </w:pPr>
            <w:r>
              <w:t>USEPA</w:t>
            </w:r>
            <w:r w:rsidR="009E3136" w:rsidRPr="00E948D4">
              <w:t xml:space="preserve"> 10-day Health Advisory (infants and</w:t>
            </w:r>
            <w:r w:rsidR="006373FB">
              <w:t xml:space="preserve"> </w:t>
            </w:r>
            <w:r w:rsidR="009E3136" w:rsidRPr="00E948D4">
              <w:t>young children)</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0AA9C291" w14:textId="05672ACF" w:rsidR="00003C58" w:rsidRDefault="00003C58" w:rsidP="004C24F6">
            <w:pPr>
              <w:spacing w:after="120"/>
              <w:jc w:val="center"/>
            </w:pPr>
            <w:r w:rsidRPr="00003C58">
              <w:t>0.7</w:t>
            </w:r>
          </w:p>
          <w:p w14:paraId="655C5459" w14:textId="261C1A95" w:rsidR="00003C58" w:rsidRPr="00003C58" w:rsidRDefault="009E3136" w:rsidP="004C24F6">
            <w:pPr>
              <w:spacing w:after="120"/>
              <w:jc w:val="center"/>
            </w:pPr>
            <w:r w:rsidRPr="00E948D4">
              <w:t>Oregon Health Authority Drinking Water</w:t>
            </w:r>
            <w:r w:rsidR="006373FB">
              <w:t xml:space="preserve"> </w:t>
            </w:r>
            <w:r w:rsidRPr="00E948D4">
              <w:t>Guidance Value (children 5 and younger)</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3BA15F57" w14:textId="222087AF" w:rsidR="00003C58" w:rsidRDefault="00003C58" w:rsidP="004C24F6">
            <w:pPr>
              <w:spacing w:after="120"/>
              <w:jc w:val="center"/>
            </w:pPr>
            <w:r w:rsidRPr="00003C58">
              <w:t>0.7</w:t>
            </w:r>
          </w:p>
          <w:p w14:paraId="221CD85D" w14:textId="17998B7B" w:rsidR="00003C58" w:rsidRPr="00003C58" w:rsidRDefault="00313C98" w:rsidP="004C24F6">
            <w:pPr>
              <w:spacing w:after="120"/>
              <w:jc w:val="center"/>
            </w:pPr>
            <w:r>
              <w:t>USEPA</w:t>
            </w:r>
            <w:r w:rsidR="009E3136" w:rsidRPr="00E948D4">
              <w:t xml:space="preserve"> 10-day Health Advisory (infants and</w:t>
            </w:r>
            <w:r w:rsidR="0019110A">
              <w:t xml:space="preserve"> </w:t>
            </w:r>
            <w:r w:rsidR="009E3136" w:rsidRPr="00E948D4">
              <w:t>young children)</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783CA9BE" w14:textId="220AFC5F" w:rsidR="00003C58" w:rsidRDefault="00003C58" w:rsidP="004C24F6">
            <w:pPr>
              <w:spacing w:after="120"/>
              <w:jc w:val="center"/>
            </w:pPr>
            <w:r w:rsidRPr="00003C58">
              <w:t>0.3</w:t>
            </w:r>
          </w:p>
          <w:p w14:paraId="47A52F31" w14:textId="3AA9E090" w:rsidR="00003C58" w:rsidRPr="00003C58" w:rsidRDefault="009E3136" w:rsidP="004C24F6">
            <w:pPr>
              <w:spacing w:after="120"/>
              <w:jc w:val="center"/>
            </w:pPr>
            <w:r w:rsidRPr="00E948D4">
              <w:t>Oregon Health Authority Drinking Water</w:t>
            </w:r>
            <w:r w:rsidR="0019110A">
              <w:t xml:space="preserve"> </w:t>
            </w:r>
            <w:r w:rsidRPr="00E948D4">
              <w:t>Guidance Value (children 5 and younger)</w:t>
            </w:r>
          </w:p>
        </w:tc>
      </w:tr>
    </w:tbl>
    <w:p w14:paraId="2FD6AA79" w14:textId="3DFFA000" w:rsidR="004F45D5" w:rsidRDefault="004F45D5" w:rsidP="00597DE8">
      <w:pPr>
        <w:pStyle w:val="Heading2"/>
      </w:pPr>
      <w:bookmarkStart w:id="120" w:name="_Toc189048592"/>
      <w:r>
        <w:t>Sediment Quality Objectives</w:t>
      </w:r>
      <w:bookmarkEnd w:id="120"/>
    </w:p>
    <w:p w14:paraId="0FC7B5AD" w14:textId="789C77F1" w:rsidR="00003B7A" w:rsidRDefault="003455C8" w:rsidP="00C766DD">
      <w:r>
        <w:t>Statewide s</w:t>
      </w:r>
      <w:r w:rsidR="007052D0">
        <w:t xml:space="preserve">ediment quality objectives (“SQOs”) </w:t>
      </w:r>
      <w:r w:rsidR="009F29A3">
        <w:t xml:space="preserve">were </w:t>
      </w:r>
      <w:r w:rsidR="007052D0">
        <w:t>adopted by the State Water Board under Resolutions No. 2018-0028 and 2011-0017</w:t>
      </w:r>
      <w:r w:rsidR="00802781">
        <w:t xml:space="preserve"> as part of a </w:t>
      </w:r>
      <w:r w:rsidR="00B05385">
        <w:t>comprehensive</w:t>
      </w:r>
      <w:r w:rsidR="00802781">
        <w:t xml:space="preserve"> program to protect beneficial uses </w:t>
      </w:r>
      <w:r w:rsidR="00AE23EE">
        <w:t>and benthic communities from</w:t>
      </w:r>
      <w:r w:rsidR="00722F00">
        <w:t xml:space="preserve"> direct exposure to pollutants in sediment.</w:t>
      </w:r>
      <w:r w:rsidR="00901A80">
        <w:t xml:space="preserve"> To date, data</w:t>
      </w:r>
      <w:r w:rsidR="00DB6D53">
        <w:t xml:space="preserve"> that can be compared to SQOs have not been </w:t>
      </w:r>
      <w:r w:rsidR="009144F4">
        <w:t xml:space="preserve">assessed </w:t>
      </w:r>
      <w:r w:rsidR="00DB6D53">
        <w:t xml:space="preserve">in the </w:t>
      </w:r>
      <w:r w:rsidR="001D4CEF">
        <w:t xml:space="preserve">California </w:t>
      </w:r>
      <w:r w:rsidR="00DB6D53">
        <w:t xml:space="preserve">Integrated Report. </w:t>
      </w:r>
      <w:r w:rsidR="00525E39">
        <w:t xml:space="preserve">To be comparable to the SQOs, data for each sampled station location must include concurrent measurements of sediment chemistry, toxicity, and benthic community </w:t>
      </w:r>
      <w:r w:rsidR="006D72D3">
        <w:t>condition</w:t>
      </w:r>
      <w:r w:rsidR="00525E39">
        <w:t xml:space="preserve"> (</w:t>
      </w:r>
      <w:r w:rsidR="00D96E60">
        <w:t xml:space="preserve">often </w:t>
      </w:r>
      <w:r w:rsidR="00525E39">
        <w:t xml:space="preserve">referred to as “triad” or multiple line of evidence monitoring). </w:t>
      </w:r>
      <w:r w:rsidR="00D96E60">
        <w:t>Multiple line</w:t>
      </w:r>
      <w:r w:rsidR="006042B5">
        <w:t>s</w:t>
      </w:r>
      <w:r w:rsidR="00D96E60">
        <w:t xml:space="preserve"> of</w:t>
      </w:r>
      <w:r w:rsidR="00BB1842" w:rsidDel="006042B5">
        <w:t xml:space="preserve"> </w:t>
      </w:r>
      <w:r w:rsidR="00BB1842">
        <w:t xml:space="preserve">data collected by the San Diego Regional Water Board Harbor Monitoring Program, </w:t>
      </w:r>
      <w:r w:rsidR="00E10596">
        <w:t>SCCWRP’s</w:t>
      </w:r>
      <w:r w:rsidR="00BB1842">
        <w:t xml:space="preserve"> Southern California Bight Regional Monitoring Program, historic</w:t>
      </w:r>
      <w:r>
        <w:t>al</w:t>
      </w:r>
      <w:r w:rsidR="00BB1842">
        <w:t xml:space="preserve"> site investigations, and past cleanup orders were not available via CEDEN. Those datasets available via CEDEN were missing toxicity or taxonomy data, calculated station assessment scores, or station locations. Entities </w:t>
      </w:r>
      <w:r w:rsidR="00AF712C">
        <w:t>that</w:t>
      </w:r>
      <w:r w:rsidR="00BB1842">
        <w:t xml:space="preserve"> collected the data did not express an interest in voluntarily uploading missing data to CEDEN</w:t>
      </w:r>
      <w:r w:rsidR="00D8724B">
        <w:t xml:space="preserve"> and there were some limitations uploading </w:t>
      </w:r>
      <w:r w:rsidR="00D738E5">
        <w:t xml:space="preserve">calculated </w:t>
      </w:r>
      <w:r w:rsidR="00195049">
        <w:t>SQO</w:t>
      </w:r>
      <w:r w:rsidR="00D8724B">
        <w:t xml:space="preserve"> scores to CEDEN</w:t>
      </w:r>
      <w:r w:rsidR="00BB1842">
        <w:t xml:space="preserve">. </w:t>
      </w:r>
      <w:r w:rsidR="00B4016B">
        <w:t>Therefore</w:t>
      </w:r>
      <w:r w:rsidR="00026444">
        <w:t xml:space="preserve">, the data </w:t>
      </w:r>
      <w:r w:rsidR="00D02586">
        <w:t>were</w:t>
      </w:r>
      <w:r w:rsidR="00026444">
        <w:t xml:space="preserve"> </w:t>
      </w:r>
      <w:r w:rsidR="00B9390F">
        <w:t xml:space="preserve">evaluated but </w:t>
      </w:r>
      <w:r w:rsidR="00026444">
        <w:t xml:space="preserve">not considered readily available for </w:t>
      </w:r>
      <w:r w:rsidR="001D4CEF">
        <w:t xml:space="preserve">California </w:t>
      </w:r>
      <w:r w:rsidR="00026444">
        <w:t xml:space="preserve">Integrated Report purposes. </w:t>
      </w:r>
    </w:p>
    <w:p w14:paraId="400D9F81" w14:textId="69552DB7" w:rsidR="00D84BB5" w:rsidRDefault="00C5380D" w:rsidP="00C766DD">
      <w:r>
        <w:t xml:space="preserve">Effort was made </w:t>
      </w:r>
      <w:r w:rsidR="00E26134">
        <w:t>to remedy the data discrepancies</w:t>
      </w:r>
      <w:r w:rsidR="00CC2CB3">
        <w:t xml:space="preserve"> so the data could be included</w:t>
      </w:r>
      <w:r w:rsidR="00E26134" w:rsidDel="00CC2CB3">
        <w:t xml:space="preserve"> </w:t>
      </w:r>
      <w:r w:rsidR="00E26134">
        <w:t xml:space="preserve">in the </w:t>
      </w:r>
      <w:r w:rsidR="00D8724B">
        <w:t>202</w:t>
      </w:r>
      <w:r w:rsidR="008F7379">
        <w:t>4 and 2026</w:t>
      </w:r>
      <w:r w:rsidR="00E26134">
        <w:t xml:space="preserve"> </w:t>
      </w:r>
      <w:r w:rsidR="001D4CEF">
        <w:t xml:space="preserve">California </w:t>
      </w:r>
      <w:r w:rsidR="00E26134">
        <w:t>Integrated Report</w:t>
      </w:r>
      <w:r w:rsidR="003B0360">
        <w:t xml:space="preserve">; however, </w:t>
      </w:r>
      <w:r w:rsidR="008D623A">
        <w:t xml:space="preserve">some datasets were </w:t>
      </w:r>
      <w:r w:rsidR="004E5DE9">
        <w:t xml:space="preserve">inconsistent, </w:t>
      </w:r>
      <w:r w:rsidR="008D623A">
        <w:t>unavailable</w:t>
      </w:r>
      <w:r w:rsidR="00F76DA4">
        <w:t>,</w:t>
      </w:r>
      <w:r w:rsidR="008D623A">
        <w:t xml:space="preserve"> or inadequate for assessment this </w:t>
      </w:r>
      <w:r w:rsidR="001A220D">
        <w:t xml:space="preserve">listing </w:t>
      </w:r>
      <w:r w:rsidR="008D623A">
        <w:t>cycle</w:t>
      </w:r>
      <w:r w:rsidR="00E5055D">
        <w:t>.</w:t>
      </w:r>
      <w:r w:rsidR="00D47CC1">
        <w:t xml:space="preserve"> Additionally, </w:t>
      </w:r>
      <w:r w:rsidR="005771BB">
        <w:t>CEDEN</w:t>
      </w:r>
      <w:r w:rsidR="00495FD0">
        <w:t>’s</w:t>
      </w:r>
      <w:r w:rsidR="005771BB">
        <w:t xml:space="preserve"> capability to accept </w:t>
      </w:r>
      <w:r w:rsidR="00D65B38">
        <w:t xml:space="preserve">station assessment scores </w:t>
      </w:r>
      <w:r w:rsidR="00967715">
        <w:t>has been added</w:t>
      </w:r>
      <w:r w:rsidR="00D47CC1">
        <w:t>.</w:t>
      </w:r>
    </w:p>
    <w:p w14:paraId="06E6437C" w14:textId="0B178D4D" w:rsidR="00C766DD" w:rsidRDefault="00632D73" w:rsidP="00C766DD">
      <w:r>
        <w:t xml:space="preserve">In the effort to </w:t>
      </w:r>
      <w:r w:rsidR="00592067">
        <w:t xml:space="preserve">evaluate </w:t>
      </w:r>
      <w:r w:rsidR="00E02EB4">
        <w:t>the</w:t>
      </w:r>
      <w:r w:rsidR="00592067">
        <w:t xml:space="preserve"> data sets</w:t>
      </w:r>
      <w:r w:rsidR="00E02EB4">
        <w:t xml:space="preserve"> </w:t>
      </w:r>
      <w:r w:rsidR="001D41F6">
        <w:t>and</w:t>
      </w:r>
      <w:r w:rsidR="00E02EB4">
        <w:t xml:space="preserve"> to assess for SQOs, </w:t>
      </w:r>
      <w:r w:rsidR="000A36BD">
        <w:t>the data sets necessary to conduct SQO assessments</w:t>
      </w:r>
      <w:r w:rsidR="00C1436A">
        <w:t xml:space="preserve"> were identified</w:t>
      </w:r>
      <w:r w:rsidR="000A36BD">
        <w:t xml:space="preserve">. </w:t>
      </w:r>
      <w:r w:rsidR="00B11039">
        <w:t xml:space="preserve">The Santa Ana and San Diego Regional Water Boards are actively assembling data and resolving data discrepancies. The efforts will provide an evaluation of the station data submitted, including quality assurance checks on the raw data and station </w:t>
      </w:r>
      <w:r w:rsidR="00A475EB">
        <w:t xml:space="preserve">assessment </w:t>
      </w:r>
      <w:r w:rsidR="00B11039">
        <w:t>scores generated, and if applicable and appropriate, resolve data discrepancies, and</w:t>
      </w:r>
      <w:r w:rsidR="00DC384B">
        <w:t xml:space="preserve"> </w:t>
      </w:r>
      <w:r w:rsidR="00FA306A">
        <w:t>map</w:t>
      </w:r>
      <w:r w:rsidR="00B11039" w:rsidDel="00FA306A">
        <w:t xml:space="preserve"> </w:t>
      </w:r>
      <w:r w:rsidR="00B11039">
        <w:t xml:space="preserve">the results. </w:t>
      </w:r>
      <w:r w:rsidR="001A0939">
        <w:t xml:space="preserve">Further, </w:t>
      </w:r>
      <w:r w:rsidR="006266F9">
        <w:t>coordination with</w:t>
      </w:r>
      <w:r w:rsidR="001A0939">
        <w:t xml:space="preserve"> </w:t>
      </w:r>
      <w:r w:rsidR="00780551">
        <w:t xml:space="preserve">data providers </w:t>
      </w:r>
      <w:r w:rsidR="006266F9">
        <w:t xml:space="preserve">is actively occurring </w:t>
      </w:r>
      <w:r w:rsidR="000C3531">
        <w:t>to resolve</w:t>
      </w:r>
      <w:r w:rsidR="00C5672C">
        <w:t xml:space="preserve"> data inconsistencies. </w:t>
      </w:r>
      <w:r w:rsidR="00B11039">
        <w:t xml:space="preserve">Results will also be screened to identify sites where cleanup actions have occurred to ensure data </w:t>
      </w:r>
      <w:r w:rsidR="00A144A8">
        <w:t>are</w:t>
      </w:r>
      <w:r w:rsidR="00B11039">
        <w:t xml:space="preserve"> appropriately assessed. These efforts will allow for assessments to be conducted in </w:t>
      </w:r>
      <w:r w:rsidR="00FF5FF6">
        <w:t>the 2028 California Integrated Report</w:t>
      </w:r>
      <w:r w:rsidR="00B11039">
        <w:t xml:space="preserve"> by consistently comparing data to the SQOs</w:t>
      </w:r>
      <w:r w:rsidR="00F25011">
        <w:t xml:space="preserve"> for the Santa </w:t>
      </w:r>
      <w:r w:rsidR="00A46C24">
        <w:t>Ana</w:t>
      </w:r>
      <w:r w:rsidR="00F25011">
        <w:t xml:space="preserve"> and San Diego Regions</w:t>
      </w:r>
      <w:r w:rsidR="00B11039">
        <w:t>.</w:t>
      </w:r>
      <w:r w:rsidR="00565B89">
        <w:t xml:space="preserve"> </w:t>
      </w:r>
    </w:p>
    <w:p w14:paraId="5D1D23CE" w14:textId="3A3AEB87" w:rsidR="00E53827" w:rsidRDefault="009E5693" w:rsidP="00994FC0">
      <w:pPr>
        <w:pStyle w:val="Heading2"/>
      </w:pPr>
      <w:bookmarkStart w:id="121" w:name="_Toc189048593"/>
      <w:r>
        <w:t xml:space="preserve">Assessing </w:t>
      </w:r>
      <w:r w:rsidR="001737B9">
        <w:t xml:space="preserve">Fish Tissue </w:t>
      </w:r>
      <w:r>
        <w:t xml:space="preserve">Data for </w:t>
      </w:r>
      <w:r w:rsidR="001737B9">
        <w:t>Waters Not Designated with the</w:t>
      </w:r>
      <w:r w:rsidR="00C71C0E">
        <w:t xml:space="preserve"> </w:t>
      </w:r>
      <w:r w:rsidR="00672311">
        <w:t>C</w:t>
      </w:r>
      <w:r w:rsidR="00672311" w:rsidRPr="000306E8">
        <w:t xml:space="preserve">ommercial and </w:t>
      </w:r>
      <w:r w:rsidR="00672311">
        <w:t>S</w:t>
      </w:r>
      <w:r w:rsidR="00672311" w:rsidRPr="000306E8">
        <w:t xml:space="preserve">port </w:t>
      </w:r>
      <w:r w:rsidR="00672311">
        <w:t>F</w:t>
      </w:r>
      <w:r w:rsidR="00672311" w:rsidRPr="000306E8">
        <w:t xml:space="preserve">ishing </w:t>
      </w:r>
      <w:r w:rsidR="00672311">
        <w:t>B</w:t>
      </w:r>
      <w:r w:rsidR="00672311" w:rsidRPr="000306E8">
        <w:t xml:space="preserve">eneficial </w:t>
      </w:r>
      <w:r w:rsidR="00672311">
        <w:t>U</w:t>
      </w:r>
      <w:r w:rsidR="00672311" w:rsidRPr="000306E8">
        <w:t>se</w:t>
      </w:r>
      <w:bookmarkEnd w:id="121"/>
      <w:r w:rsidR="00672311">
        <w:t xml:space="preserve"> </w:t>
      </w:r>
    </w:p>
    <w:p w14:paraId="556F8529" w14:textId="3DA610A0" w:rsidR="005A42D2" w:rsidRDefault="00E426B1" w:rsidP="007E6343">
      <w:r>
        <w:t xml:space="preserve">In some instances, </w:t>
      </w:r>
      <w:r w:rsidR="00A07845">
        <w:t xml:space="preserve">fish tissue </w:t>
      </w:r>
      <w:r>
        <w:t xml:space="preserve">data </w:t>
      </w:r>
      <w:r w:rsidR="001737B9">
        <w:t xml:space="preserve">such as mercury and PCBs </w:t>
      </w:r>
      <w:r w:rsidR="00D27B76">
        <w:t>were</w:t>
      </w:r>
      <w:r>
        <w:t xml:space="preserve"> assessed for waterbody</w:t>
      </w:r>
      <w:r w:rsidR="00A2792C">
        <w:t xml:space="preserve"> </w:t>
      </w:r>
      <w:r w:rsidR="00F865F3">
        <w:t>segment</w:t>
      </w:r>
      <w:r w:rsidR="00D31F76">
        <w:t>s</w:t>
      </w:r>
      <w:r w:rsidR="00A2792C">
        <w:t xml:space="preserve"> not designated with the Commercial and Sport Fishing (“COMM”) beneficial use in</w:t>
      </w:r>
      <w:r w:rsidR="0097464F">
        <w:t xml:space="preserve"> </w:t>
      </w:r>
      <w:r w:rsidR="00B02D7C">
        <w:t xml:space="preserve">the applicable </w:t>
      </w:r>
      <w:r w:rsidR="00BF2244">
        <w:t xml:space="preserve">Regional Water Board </w:t>
      </w:r>
      <w:r w:rsidR="00EF1A68">
        <w:t>B</w:t>
      </w:r>
      <w:r w:rsidR="004C1401">
        <w:t xml:space="preserve">asin </w:t>
      </w:r>
      <w:r w:rsidR="00EF1A68">
        <w:t>P</w:t>
      </w:r>
      <w:r w:rsidR="004C1401">
        <w:t>lans</w:t>
      </w:r>
      <w:r w:rsidR="007855A3">
        <w:t xml:space="preserve">. </w:t>
      </w:r>
      <w:r w:rsidR="00560A4E">
        <w:t xml:space="preserve">The COMM beneficial use is defined as “the commercial or recreational collection of fish, shellfish, or other organisms including, but not limited to, uses involving organisms intended for human consumption or bait purposes.” </w:t>
      </w:r>
      <w:r w:rsidR="00A62412">
        <w:t>Data were</w:t>
      </w:r>
      <w:r w:rsidR="00A62412" w:rsidDel="00077D8B">
        <w:t xml:space="preserve"> </w:t>
      </w:r>
      <w:r w:rsidR="00A62412">
        <w:t>assessed because evidence</w:t>
      </w:r>
      <w:r w:rsidR="00A62412" w:rsidDel="00140448">
        <w:t xml:space="preserve"> </w:t>
      </w:r>
      <w:r w:rsidR="00A041CA">
        <w:t xml:space="preserve">supports the conclusion </w:t>
      </w:r>
      <w:r w:rsidR="00A62412">
        <w:t xml:space="preserve">that the beneficial use is occurring. </w:t>
      </w:r>
      <w:r w:rsidR="007938D1">
        <w:t xml:space="preserve">Where pollutant levels exceed water quality objectives for human consumption and there is evidence that the use is </w:t>
      </w:r>
      <w:r w:rsidR="00D87891">
        <w:t>occurring</w:t>
      </w:r>
      <w:r w:rsidR="007938D1">
        <w:t xml:space="preserve">, the waterbody segment was placed on the 303(d) list. Where there is no evidence that the use is </w:t>
      </w:r>
      <w:r w:rsidR="00D87891">
        <w:t>occurring</w:t>
      </w:r>
      <w:r w:rsidR="007938D1">
        <w:t xml:space="preserve">, data </w:t>
      </w:r>
      <w:r w:rsidR="00D87891">
        <w:t>were</w:t>
      </w:r>
      <w:r w:rsidR="007938D1">
        <w:t xml:space="preserve"> evaluated but not used to determine beneficial use support. Instead,</w:t>
      </w:r>
      <w:r w:rsidR="007938D1" w:rsidDel="00C837AA">
        <w:t xml:space="preserve"> </w:t>
      </w:r>
      <w:r w:rsidR="007938D1">
        <w:t xml:space="preserve">waterbody segments were placed in </w:t>
      </w:r>
      <w:r w:rsidR="00464336">
        <w:t>category</w:t>
      </w:r>
      <w:r w:rsidR="007938D1">
        <w:t xml:space="preserve"> 3 </w:t>
      </w:r>
      <w:r w:rsidR="00F73F1B">
        <w:t xml:space="preserve">when there </w:t>
      </w:r>
      <w:r w:rsidR="00425F36">
        <w:t>were</w:t>
      </w:r>
      <w:r w:rsidR="00F73F1B">
        <w:t xml:space="preserve"> exceedances </w:t>
      </w:r>
      <w:r w:rsidR="007938D1">
        <w:t xml:space="preserve">indicating that the beneficial use may potentially be threatened. </w:t>
      </w:r>
    </w:p>
    <w:p w14:paraId="71BDE86A" w14:textId="43BD4A03" w:rsidR="006C0479" w:rsidRDefault="00EB0BB6" w:rsidP="00EB0BB6">
      <w:pPr>
        <w:pStyle w:val="Heading3"/>
      </w:pPr>
      <w:r>
        <w:t xml:space="preserve"> </w:t>
      </w:r>
      <w:bookmarkStart w:id="122" w:name="_Toc189048594"/>
      <w:r w:rsidR="00117509">
        <w:t>Assessment Methodology</w:t>
      </w:r>
      <w:bookmarkEnd w:id="122"/>
      <w:r w:rsidR="00117509">
        <w:t xml:space="preserve"> </w:t>
      </w:r>
    </w:p>
    <w:p w14:paraId="4FCD0554" w14:textId="6A4DD83C" w:rsidR="00C7316D" w:rsidRDefault="004C69B2" w:rsidP="002E71BD">
      <w:r>
        <w:t xml:space="preserve">Several listing or delisting factors were used to assess fish tissue depending on whether COMM is designated, whether fish consumption is occurring, and whether there are health advisories in place. The following sections describe each assessment approach. </w:t>
      </w:r>
      <w:r w:rsidR="00C97B59">
        <w:t xml:space="preserve">Waterbody Fact Sheets </w:t>
      </w:r>
      <w:r w:rsidR="00A00500">
        <w:t xml:space="preserve">for on-cycle regions </w:t>
      </w:r>
      <w:r w:rsidR="00197046">
        <w:t>include</w:t>
      </w:r>
      <w:r w:rsidR="00091A55">
        <w:t xml:space="preserve"> the appropriate </w:t>
      </w:r>
      <w:r w:rsidR="004D0C50">
        <w:t xml:space="preserve">listing </w:t>
      </w:r>
      <w:r w:rsidR="00626899">
        <w:t xml:space="preserve">or delisting </w:t>
      </w:r>
      <w:r w:rsidR="004D0C50">
        <w:t xml:space="preserve">factor </w:t>
      </w:r>
      <w:r w:rsidR="00C36740">
        <w:t xml:space="preserve">and </w:t>
      </w:r>
      <w:r w:rsidR="002856DF">
        <w:t xml:space="preserve">document any available </w:t>
      </w:r>
      <w:r w:rsidR="001B3BEA">
        <w:t xml:space="preserve">evidence that the use is </w:t>
      </w:r>
      <w:r w:rsidR="00197046">
        <w:t>occu</w:t>
      </w:r>
      <w:r w:rsidR="002856DF">
        <w:t>r</w:t>
      </w:r>
      <w:r w:rsidR="00197046">
        <w:t>ring</w:t>
      </w:r>
      <w:r w:rsidR="001B3BEA">
        <w:t xml:space="preserve">. </w:t>
      </w:r>
    </w:p>
    <w:p w14:paraId="3CD2F527" w14:textId="4685321F" w:rsidR="00D5485D" w:rsidRPr="005D48E7" w:rsidRDefault="00D41950" w:rsidP="00745157">
      <w:pPr>
        <w:rPr>
          <w:rStyle w:val="IntenseEmphasis"/>
        </w:rPr>
      </w:pPr>
      <w:r w:rsidRPr="005D48E7">
        <w:rPr>
          <w:rStyle w:val="IntenseEmphasis"/>
        </w:rPr>
        <w:t xml:space="preserve">Listing Policy Section 3.1 or 3.5 </w:t>
      </w:r>
      <w:r w:rsidR="00E706E3" w:rsidRPr="005D48E7">
        <w:rPr>
          <w:rStyle w:val="IntenseEmphasis"/>
        </w:rPr>
        <w:t xml:space="preserve">COMM </w:t>
      </w:r>
      <w:r w:rsidR="00E95F69" w:rsidRPr="005D48E7">
        <w:rPr>
          <w:rStyle w:val="IntenseEmphasis"/>
        </w:rPr>
        <w:t>Beneficial Use is Designated</w:t>
      </w:r>
    </w:p>
    <w:p w14:paraId="31BD947B" w14:textId="6B3354F5" w:rsidR="00A148AC" w:rsidRDefault="00BE6CB9" w:rsidP="002E71BD">
      <w:r>
        <w:t>I</w:t>
      </w:r>
      <w:r w:rsidR="005D552D">
        <w:t xml:space="preserve">f the </w:t>
      </w:r>
      <w:r>
        <w:t xml:space="preserve">waterbody segment is designated with the COMM </w:t>
      </w:r>
      <w:r w:rsidR="00734B99">
        <w:t xml:space="preserve">beneficial </w:t>
      </w:r>
      <w:r w:rsidR="00D45F3A">
        <w:t>use</w:t>
      </w:r>
      <w:r w:rsidR="008B314D">
        <w:t>,</w:t>
      </w:r>
      <w:r w:rsidR="001732F3">
        <w:t xml:space="preserve"> the data </w:t>
      </w:r>
      <w:r>
        <w:t>were</w:t>
      </w:r>
      <w:r w:rsidR="001732F3">
        <w:t xml:space="preserve"> </w:t>
      </w:r>
      <w:r w:rsidR="00883954">
        <w:t xml:space="preserve">assessed </w:t>
      </w:r>
      <w:r w:rsidR="00B33205">
        <w:t>using Listing Policy sections 3.1 or 3.5</w:t>
      </w:r>
      <w:r w:rsidR="0079648F">
        <w:t xml:space="preserve">. In some cases, </w:t>
      </w:r>
      <w:r w:rsidR="0001515B">
        <w:t xml:space="preserve">a waterbody </w:t>
      </w:r>
      <w:r w:rsidR="003B6FB3">
        <w:t>segment</w:t>
      </w:r>
      <w:r w:rsidR="0001515B">
        <w:t xml:space="preserve"> may not be </w:t>
      </w:r>
      <w:r w:rsidR="000A7E04">
        <w:t>explicitly</w:t>
      </w:r>
      <w:r w:rsidR="00742E37">
        <w:t xml:space="preserve"> designated with the COM</w:t>
      </w:r>
      <w:r w:rsidR="000A7E04">
        <w:t>M</w:t>
      </w:r>
      <w:r w:rsidR="00742E37">
        <w:t xml:space="preserve"> beneficial use</w:t>
      </w:r>
      <w:r w:rsidR="00DF5F73">
        <w:t xml:space="preserve">; however, </w:t>
      </w:r>
      <w:r w:rsidR="00142AE7">
        <w:t>th</w:t>
      </w:r>
      <w:r w:rsidR="00471A85">
        <w:t xml:space="preserve">e COMM beneficial use </w:t>
      </w:r>
      <w:r w:rsidR="00134F5B">
        <w:t>may be designated through the tributary rule</w:t>
      </w:r>
      <w:r w:rsidR="00AE42CC">
        <w:t xml:space="preserve">. </w:t>
      </w:r>
    </w:p>
    <w:p w14:paraId="5DA9E3E5" w14:textId="75615D91" w:rsidR="00D6070B" w:rsidRPr="005D48E7" w:rsidRDefault="00D6070B" w:rsidP="005D48E7">
      <w:pPr>
        <w:rPr>
          <w:rStyle w:val="IntenseEmphasis"/>
        </w:rPr>
      </w:pPr>
      <w:r w:rsidRPr="005D48E7">
        <w:rPr>
          <w:rStyle w:val="IntenseEmphasis"/>
        </w:rPr>
        <w:t>Listing Policy Section 3.4 Health Advisories</w:t>
      </w:r>
    </w:p>
    <w:p w14:paraId="60A91CBA" w14:textId="43CD0548" w:rsidR="00B75853" w:rsidRDefault="00CE14F9" w:rsidP="00B75853">
      <w:r>
        <w:t>Listing Policy section 3.4 Health Advisories</w:t>
      </w:r>
      <w:r w:rsidR="0086532F">
        <w:t xml:space="preserve"> provides</w:t>
      </w:r>
      <w:r w:rsidR="00BB7679">
        <w:t>,</w:t>
      </w:r>
      <w:r w:rsidR="0086532F">
        <w:t xml:space="preserve"> </w:t>
      </w:r>
      <w:r w:rsidR="00BB7679">
        <w:t>“</w:t>
      </w:r>
      <w:r w:rsidR="007351D1">
        <w:t>A</w:t>
      </w:r>
      <w:r w:rsidR="0086532F">
        <w:t xml:space="preserve"> water </w:t>
      </w:r>
      <w:r w:rsidR="007351D1">
        <w:t xml:space="preserve">segment </w:t>
      </w:r>
      <w:r w:rsidR="003A21AE">
        <w:t xml:space="preserve">shall be placed on the section 303(d) list if a health advisory </w:t>
      </w:r>
      <w:r w:rsidR="00640D39">
        <w:t xml:space="preserve">against the consumption of edible resident organisms, or a shellfish harvesting ban has been issued by the Office of Environmental Health Hazard Assessment (“OEHHA”), or Department of Health Services and there is a designated or existing fish consumption beneficial use for </w:t>
      </w:r>
      <w:r w:rsidR="000855BB">
        <w:t>t</w:t>
      </w:r>
      <w:r w:rsidR="00640D39">
        <w:t>he segment. In addition, water segment-specific data must be available indicating the evaluation guideline for tissue is exceed</w:t>
      </w:r>
      <w:r w:rsidR="00FB455B">
        <w:t>ed</w:t>
      </w:r>
      <w:r w:rsidR="00640D39">
        <w:t>.</w:t>
      </w:r>
      <w:r w:rsidR="009E11FD">
        <w:t>”</w:t>
      </w:r>
      <w:r w:rsidR="00640D39">
        <w:t xml:space="preserve"> </w:t>
      </w:r>
    </w:p>
    <w:p w14:paraId="6FD30BDA" w14:textId="2C85445D" w:rsidR="006C501E" w:rsidRDefault="00FC1461" w:rsidP="00B75853">
      <w:r>
        <w:t xml:space="preserve">If a </w:t>
      </w:r>
      <w:r w:rsidR="00A9261A">
        <w:t xml:space="preserve">health advisory exists, </w:t>
      </w:r>
      <w:r w:rsidR="002C6718">
        <w:t xml:space="preserve">the Waterbody Fact Sheet </w:t>
      </w:r>
      <w:r w:rsidR="00F761AB">
        <w:t>include</w:t>
      </w:r>
      <w:r w:rsidR="004A32EB">
        <w:t>s</w:t>
      </w:r>
      <w:r w:rsidR="00F761AB">
        <w:t xml:space="preserve"> specific information about that health advisory</w:t>
      </w:r>
      <w:r w:rsidR="00DD4100">
        <w:t xml:space="preserve"> </w:t>
      </w:r>
      <w:r w:rsidR="005B09E3">
        <w:t xml:space="preserve">specific to </w:t>
      </w:r>
      <w:r w:rsidR="00DD4100">
        <w:t>the waterbody under evaluation</w:t>
      </w:r>
      <w:r w:rsidR="00F761AB">
        <w:t xml:space="preserve">. For example, </w:t>
      </w:r>
      <w:r w:rsidR="002707FF">
        <w:t xml:space="preserve">statewide </w:t>
      </w:r>
      <w:r w:rsidR="00724299">
        <w:t xml:space="preserve">advisories exist </w:t>
      </w:r>
      <w:r w:rsidR="003129FC">
        <w:t xml:space="preserve">for mercury and PCBs for many fish species in all lakes, </w:t>
      </w:r>
      <w:r w:rsidR="00680DED">
        <w:t>reservoirs</w:t>
      </w:r>
      <w:r w:rsidR="0029641A">
        <w:t>, rivers, streams and coastal lagoons</w:t>
      </w:r>
      <w:r w:rsidR="00680DED">
        <w:t xml:space="preserve">, and some ocean waters. </w:t>
      </w:r>
      <w:r w:rsidR="00483FCE">
        <w:t>T</w:t>
      </w:r>
      <w:r w:rsidR="005127AC">
        <w:t xml:space="preserve">here are also </w:t>
      </w:r>
      <w:r w:rsidR="00B703F8">
        <w:t xml:space="preserve">some </w:t>
      </w:r>
      <w:r w:rsidR="005D4811">
        <w:t>waterbody</w:t>
      </w:r>
      <w:r w:rsidR="00861E42">
        <w:t xml:space="preserve"> segment</w:t>
      </w:r>
      <w:r w:rsidR="00962CB8">
        <w:t>-specific health advisorie</w:t>
      </w:r>
      <w:r w:rsidR="005D4811">
        <w:t xml:space="preserve">s that are based on other pollutants, such as selenium. </w:t>
      </w:r>
    </w:p>
    <w:p w14:paraId="044E35D6" w14:textId="58F7F541" w:rsidR="0067158E" w:rsidRDefault="0067158E" w:rsidP="00B75853">
      <w:r>
        <w:t>Waterbody Fact Sheet</w:t>
      </w:r>
      <w:r w:rsidR="008211AD">
        <w:t>s</w:t>
      </w:r>
      <w:r>
        <w:t xml:space="preserve"> </w:t>
      </w:r>
      <w:r w:rsidR="00483FCE">
        <w:t>include</w:t>
      </w:r>
      <w:r w:rsidR="00BF0706">
        <w:t xml:space="preserve"> </w:t>
      </w:r>
      <w:r w:rsidR="002321BA">
        <w:t>evidence</w:t>
      </w:r>
      <w:r w:rsidR="00BF0706">
        <w:t xml:space="preserve"> that </w:t>
      </w:r>
      <w:r w:rsidR="00E064F0">
        <w:t>supports the conclusion that</w:t>
      </w:r>
      <w:r w:rsidR="00BF0706">
        <w:t xml:space="preserve"> people</w:t>
      </w:r>
      <w:r w:rsidR="002321BA">
        <w:t xml:space="preserve"> are consuming </w:t>
      </w:r>
      <w:r w:rsidR="005F23F7">
        <w:t>fish</w:t>
      </w:r>
      <w:r w:rsidR="00265332">
        <w:t xml:space="preserve"> from the waterbody</w:t>
      </w:r>
      <w:r w:rsidR="00985FB4">
        <w:t xml:space="preserve"> segment</w:t>
      </w:r>
      <w:r w:rsidR="00265332">
        <w:t xml:space="preserve">. </w:t>
      </w:r>
      <w:r w:rsidR="00880D8B">
        <w:t xml:space="preserve">For the </w:t>
      </w:r>
      <w:r w:rsidR="005F23F7">
        <w:t>purposes</w:t>
      </w:r>
      <w:r w:rsidR="00880D8B">
        <w:t xml:space="preserve"> of the integrated report, </w:t>
      </w:r>
      <w:r w:rsidR="00DF41D9">
        <w:t xml:space="preserve">a presumption is made </w:t>
      </w:r>
      <w:r w:rsidR="003B24B6">
        <w:t>that if p</w:t>
      </w:r>
      <w:r w:rsidR="00517933">
        <w:t>eople are fishing</w:t>
      </w:r>
      <w:r w:rsidR="007A17A2">
        <w:t xml:space="preserve">, people are </w:t>
      </w:r>
      <w:r w:rsidR="007B773A">
        <w:t xml:space="preserve">also consuming fish. </w:t>
      </w:r>
      <w:r w:rsidR="005F23F7">
        <w:t>Therefore, evidence that fishing is occurring is sufficient as long as that evidence does not indicate that fishing is limited to catch-and-release.</w:t>
      </w:r>
      <w:r w:rsidR="00931E6B">
        <w:t xml:space="preserve"> There are many ways to show tha</w:t>
      </w:r>
      <w:r w:rsidR="00FD3E52">
        <w:t>t</w:t>
      </w:r>
      <w:r w:rsidR="001F3E9C">
        <w:t xml:space="preserve"> fishing is occurring for consumption</w:t>
      </w:r>
      <w:r w:rsidR="009776CB">
        <w:t xml:space="preserve">, the following are a few examples: </w:t>
      </w:r>
    </w:p>
    <w:p w14:paraId="779A4734" w14:textId="5029A7FA" w:rsidR="009776CB" w:rsidRDefault="00894878" w:rsidP="00010F69">
      <w:pPr>
        <w:pStyle w:val="ListParagraph"/>
        <w:numPr>
          <w:ilvl w:val="0"/>
          <w:numId w:val="28"/>
        </w:numPr>
      </w:pPr>
      <w:r>
        <w:t xml:space="preserve">If the waterbody </w:t>
      </w:r>
      <w:r w:rsidR="00F650D8">
        <w:t xml:space="preserve">segment </w:t>
      </w:r>
      <w:r>
        <w:t>was sampled for the SWAMP Bioaccumulation Monitoring Program surveys</w:t>
      </w:r>
      <w:r w:rsidR="00E724F7">
        <w:t xml:space="preserve">, which were </w:t>
      </w:r>
      <w:r w:rsidR="00971BE0">
        <w:t>specifically</w:t>
      </w:r>
      <w:r w:rsidR="00E724F7">
        <w:t xml:space="preserve"> </w:t>
      </w:r>
      <w:r w:rsidR="003A3488">
        <w:t xml:space="preserve">targeted to waters </w:t>
      </w:r>
      <w:r w:rsidR="00C32041">
        <w:t>used for fishing intended for consumption as part of the Safe to Eat Program</w:t>
      </w:r>
      <w:r>
        <w:t>.</w:t>
      </w:r>
    </w:p>
    <w:p w14:paraId="5D691274" w14:textId="2A5CD134" w:rsidR="000D35B1" w:rsidRDefault="000D35B1" w:rsidP="00010F69">
      <w:pPr>
        <w:pStyle w:val="ListParagraph"/>
        <w:numPr>
          <w:ilvl w:val="0"/>
          <w:numId w:val="28"/>
        </w:numPr>
        <w:spacing w:before="240"/>
      </w:pPr>
      <w:r>
        <w:t xml:space="preserve">If the waterbody </w:t>
      </w:r>
      <w:r w:rsidR="00F650D8">
        <w:t xml:space="preserve">segment </w:t>
      </w:r>
      <w:r>
        <w:t xml:space="preserve">was sampled by another monitoring effort for the purpose of evaluating risks to human from consumption. </w:t>
      </w:r>
    </w:p>
    <w:p w14:paraId="6381956A" w14:textId="1BABEF3A" w:rsidR="002A6D56" w:rsidRDefault="002A6D56" w:rsidP="00010F69">
      <w:pPr>
        <w:pStyle w:val="ListParagraph"/>
        <w:numPr>
          <w:ilvl w:val="0"/>
          <w:numId w:val="28"/>
        </w:numPr>
        <w:spacing w:before="240"/>
      </w:pPr>
      <w:r>
        <w:t xml:space="preserve">If a fishing derby (that does not solely consist of catch-and-release) takes place in the waterbody </w:t>
      </w:r>
      <w:r w:rsidR="00F650D8">
        <w:t xml:space="preserve">segment </w:t>
      </w:r>
      <w:r>
        <w:t>or other information about local knowledge show</w:t>
      </w:r>
      <w:r w:rsidR="003A3488">
        <w:t>s</w:t>
      </w:r>
      <w:r>
        <w:t xml:space="preserve"> fishing takes place. </w:t>
      </w:r>
    </w:p>
    <w:p w14:paraId="09FDBB38" w14:textId="16677616" w:rsidR="00E536A1" w:rsidRDefault="00E536A1" w:rsidP="00010F69">
      <w:pPr>
        <w:pStyle w:val="ListParagraph"/>
        <w:numPr>
          <w:ilvl w:val="0"/>
          <w:numId w:val="28"/>
        </w:numPr>
        <w:spacing w:before="240"/>
      </w:pPr>
      <w:r>
        <w:t xml:space="preserve">If the waterbody </w:t>
      </w:r>
      <w:r w:rsidR="00F650D8">
        <w:t xml:space="preserve">segment </w:t>
      </w:r>
      <w:r>
        <w:t>is on the California Department of Fish and Wildlife’s fish planting schedule or map</w:t>
      </w:r>
      <w:r w:rsidR="008C7E9E">
        <w:t xml:space="preserve"> for the purpose of recreational fishers for consumption and not catch and release sport</w:t>
      </w:r>
      <w:r>
        <w:t>.</w:t>
      </w:r>
    </w:p>
    <w:p w14:paraId="6F6BCE5D" w14:textId="77777777" w:rsidR="008E7BB0" w:rsidRDefault="008E7BB0" w:rsidP="00010F69">
      <w:pPr>
        <w:pStyle w:val="ListParagraph"/>
        <w:numPr>
          <w:ilvl w:val="0"/>
          <w:numId w:val="28"/>
        </w:numPr>
        <w:spacing w:before="240"/>
        <w:contextualSpacing w:val="0"/>
      </w:pPr>
      <w:r>
        <w:t>If a use survey provides evidence of fishing for consumption.</w:t>
      </w:r>
    </w:p>
    <w:p w14:paraId="7AC91143" w14:textId="4B49A71E" w:rsidR="005B7A0D" w:rsidRDefault="005B7A0D" w:rsidP="005B7A0D">
      <w:pPr>
        <w:spacing w:before="240"/>
      </w:pPr>
    </w:p>
    <w:p w14:paraId="6F66F35E" w14:textId="75E7E6F3" w:rsidR="007C4015" w:rsidRPr="006B1BA0" w:rsidRDefault="00782362" w:rsidP="006B1BA0">
      <w:pPr>
        <w:pStyle w:val="Heading4"/>
        <w:numPr>
          <w:ilvl w:val="0"/>
          <w:numId w:val="0"/>
        </w:numPr>
        <w:rPr>
          <w:rStyle w:val="IntenseEmphasis"/>
        </w:rPr>
      </w:pPr>
      <w:r w:rsidRPr="006B1BA0">
        <w:rPr>
          <w:rStyle w:val="IntenseEmphasis"/>
        </w:rPr>
        <w:t>Listing Policy Section 3.11</w:t>
      </w:r>
      <w:r w:rsidR="003B354F" w:rsidRPr="006B1BA0">
        <w:rPr>
          <w:rStyle w:val="IntenseEmphasis"/>
        </w:rPr>
        <w:t xml:space="preserve"> Situation Specific Weight of the Evidence </w:t>
      </w:r>
    </w:p>
    <w:p w14:paraId="3C847584" w14:textId="48EAF5A2" w:rsidR="00595797" w:rsidRDefault="003A3488" w:rsidP="00595797">
      <w:r>
        <w:t>The s</w:t>
      </w:r>
      <w:r w:rsidR="00E77EC7">
        <w:t xml:space="preserve">ituation </w:t>
      </w:r>
      <w:r>
        <w:t>s</w:t>
      </w:r>
      <w:r w:rsidR="00E77EC7">
        <w:t xml:space="preserve">pecific </w:t>
      </w:r>
      <w:r>
        <w:t>w</w:t>
      </w:r>
      <w:r w:rsidR="00E77EC7">
        <w:t xml:space="preserve">eight of </w:t>
      </w:r>
      <w:r>
        <w:t>e</w:t>
      </w:r>
      <w:r w:rsidR="00E77EC7">
        <w:t xml:space="preserve">vidence </w:t>
      </w:r>
      <w:r>
        <w:t>l</w:t>
      </w:r>
      <w:r w:rsidR="00E77EC7">
        <w:t xml:space="preserve">isting </w:t>
      </w:r>
      <w:r>
        <w:t>f</w:t>
      </w:r>
      <w:r w:rsidR="00E77EC7">
        <w:t xml:space="preserve">actor </w:t>
      </w:r>
      <w:r>
        <w:t>described in section 3.11 of the Listing Policy</w:t>
      </w:r>
      <w:r w:rsidR="00E77EC7">
        <w:t xml:space="preserve"> is applied </w:t>
      </w:r>
      <w:r w:rsidR="00D136FB">
        <w:t xml:space="preserve">where the </w:t>
      </w:r>
      <w:r w:rsidR="001E58E7">
        <w:t>COMM beneficial use is not designated</w:t>
      </w:r>
      <w:r w:rsidR="00E277FA">
        <w:t>, there is no fish consumption</w:t>
      </w:r>
      <w:r w:rsidR="00FB112A">
        <w:t xml:space="preserve"> </w:t>
      </w:r>
      <w:r w:rsidR="00DB0847">
        <w:t>advisory</w:t>
      </w:r>
      <w:r w:rsidR="00FB112A">
        <w:t xml:space="preserve"> in place, there is sufficient information to demonstrate the use is </w:t>
      </w:r>
      <w:r w:rsidR="00F15747">
        <w:t>occurring</w:t>
      </w:r>
      <w:r w:rsidR="00FB112A">
        <w:t xml:space="preserve"> or may </w:t>
      </w:r>
      <w:r w:rsidR="00F15747">
        <w:t>occur</w:t>
      </w:r>
      <w:r w:rsidR="00DB0847">
        <w:t xml:space="preserve">, </w:t>
      </w:r>
      <w:r w:rsidR="00A16D23">
        <w:t xml:space="preserve">or </w:t>
      </w:r>
      <w:r w:rsidR="003403D3">
        <w:t>the</w:t>
      </w:r>
      <w:r w:rsidR="00595797">
        <w:t xml:space="preserve"> water quality standard is not attained per antidegradation considerations. When using listing factor 3.11, the waterbody </w:t>
      </w:r>
      <w:r w:rsidR="00E43BF8">
        <w:t xml:space="preserve">segment </w:t>
      </w:r>
      <w:r w:rsidR="00595797">
        <w:t xml:space="preserve">would be </w:t>
      </w:r>
      <w:r w:rsidR="00CA7934">
        <w:t>listed</w:t>
      </w:r>
      <w:r w:rsidR="00595797">
        <w:t xml:space="preserve"> as impaired if fish tissue pollutant levels exceed objectives or evaluation guidelines per the binomial distribution described in Listing Policy section 3.1 for toxicants in water. </w:t>
      </w:r>
    </w:p>
    <w:p w14:paraId="01AE60C2" w14:textId="77777777" w:rsidR="00CA7934" w:rsidRDefault="00CA7934" w:rsidP="00595797">
      <w:r>
        <w:t xml:space="preserve">The USEPA’s regulations implementing the 303(d) listing requirements specify that the term “water quality standard applicable to such waters” to be evaluated for purposes of the 303(d) list “refer[s] to </w:t>
      </w:r>
      <w:r w:rsidRPr="614822DA">
        <w:rPr>
          <w:rFonts w:cstheme="minorBidi"/>
        </w:rPr>
        <w:t xml:space="preserve">those water quality standards established under section 303 of the Act, including numeric criteria, narrative criteria, waterbody </w:t>
      </w:r>
      <w:r>
        <w:rPr>
          <w:rFonts w:cstheme="minorBidi"/>
        </w:rPr>
        <w:t xml:space="preserve">segment </w:t>
      </w:r>
      <w:r w:rsidRPr="614822DA">
        <w:rPr>
          <w:rFonts w:cstheme="minorBidi"/>
        </w:rPr>
        <w:t xml:space="preserve">uses, and antidegradation </w:t>
      </w:r>
      <w:r w:rsidRPr="614822DA">
        <w:rPr>
          <w:rFonts w:cs="Arial"/>
        </w:rPr>
        <w:t xml:space="preserve">requirements.” (40 C.F.R § 130.7(b)(3).) </w:t>
      </w:r>
      <w:r w:rsidRPr="614822DA">
        <w:rPr>
          <w:rFonts w:eastAsia="Arial" w:cs="Arial"/>
          <w:szCs w:val="24"/>
        </w:rPr>
        <w:t xml:space="preserve">As a result, the water quality standards that section 130.7(b)(3) authorizes states to evaluate for the list are not limited to designated beneficial uses but include all waterbody </w:t>
      </w:r>
      <w:r>
        <w:rPr>
          <w:rFonts w:eastAsia="Arial" w:cs="Arial"/>
          <w:szCs w:val="24"/>
        </w:rPr>
        <w:t xml:space="preserve">segment </w:t>
      </w:r>
      <w:r w:rsidRPr="614822DA">
        <w:rPr>
          <w:rFonts w:eastAsia="Arial" w:cs="Arial"/>
          <w:szCs w:val="24"/>
        </w:rPr>
        <w:t xml:space="preserve">uses, as well as water quality objectives and antidegradation requirements. </w:t>
      </w:r>
      <w:r>
        <w:rPr>
          <w:rFonts w:cs="Arial"/>
        </w:rPr>
        <w:t>T</w:t>
      </w:r>
      <w:r>
        <w:t>he Water Boards have discretion under section 303(d) and the Listing Policy to evaluate data and information for all waterbody segment uses. (40 C.F.R. § 130.7(b)(3).) Additionally, developing the list shall include antidegradation considerations, including the protection of existing beneficial uses that are not designated. (Ibid.; Listing Policy, p. 1.)</w:t>
      </w:r>
    </w:p>
    <w:p w14:paraId="4530BF1A" w14:textId="033291E3" w:rsidR="0092258C" w:rsidRDefault="00DD4848" w:rsidP="00595797">
      <w:r>
        <w:t xml:space="preserve">To </w:t>
      </w:r>
      <w:r w:rsidR="00F04434">
        <w:t>show</w:t>
      </w:r>
      <w:r>
        <w:t xml:space="preserve"> that there is sufficient information to </w:t>
      </w:r>
      <w:r w:rsidR="00F04434">
        <w:t xml:space="preserve">demonstrate </w:t>
      </w:r>
      <w:r w:rsidR="003F5BC3">
        <w:t xml:space="preserve">the use is </w:t>
      </w:r>
      <w:r w:rsidR="003145D5">
        <w:t>occurring</w:t>
      </w:r>
      <w:r w:rsidR="003F5BC3">
        <w:t xml:space="preserve">, </w:t>
      </w:r>
      <w:r w:rsidR="00044095">
        <w:t xml:space="preserve">Waterbody Fact Sheets include </w:t>
      </w:r>
      <w:r w:rsidR="00C45F68">
        <w:t>evidence</w:t>
      </w:r>
      <w:r w:rsidR="00044095">
        <w:t xml:space="preserve"> that </w:t>
      </w:r>
      <w:r w:rsidR="000C13E7">
        <w:t xml:space="preserve">fishing is occurring for consumption, as described above. Additionally, </w:t>
      </w:r>
      <w:r w:rsidR="001C1FF2">
        <w:t xml:space="preserve">Waterbody Fact Sheets </w:t>
      </w:r>
      <w:r w:rsidR="004200BD">
        <w:t xml:space="preserve">include </w:t>
      </w:r>
      <w:r w:rsidR="007A2446">
        <w:t xml:space="preserve">justification required by the Listing Policy, as follows: </w:t>
      </w:r>
    </w:p>
    <w:p w14:paraId="2199A4FF" w14:textId="72B85135" w:rsidR="00FD21BE" w:rsidRDefault="00A13495" w:rsidP="00010F69">
      <w:pPr>
        <w:pStyle w:val="ListParagraph"/>
        <w:numPr>
          <w:ilvl w:val="0"/>
          <w:numId w:val="29"/>
        </w:numPr>
        <w:spacing w:before="240"/>
      </w:pPr>
      <w:r>
        <w:t>D</w:t>
      </w:r>
      <w:r w:rsidR="00FD21BE">
        <w:t xml:space="preserve">ata or information including current conditions supporting the </w:t>
      </w:r>
      <w:r w:rsidR="004521A3">
        <w:t>D</w:t>
      </w:r>
      <w:r w:rsidR="00FD21BE">
        <w:t xml:space="preserve">ecision </w:t>
      </w:r>
    </w:p>
    <w:p w14:paraId="1E5B8BAD" w14:textId="24105C0F" w:rsidR="00FD21BE" w:rsidRDefault="00A13495" w:rsidP="00010F69">
      <w:pPr>
        <w:pStyle w:val="ListParagraph"/>
        <w:numPr>
          <w:ilvl w:val="0"/>
          <w:numId w:val="29"/>
        </w:numPr>
        <w:spacing w:before="240"/>
      </w:pPr>
      <w:r>
        <w:t>Description of</w:t>
      </w:r>
      <w:r w:rsidR="00FD21BE">
        <w:t xml:space="preserve"> how the data or information affords a substantial basis in fact from which the decision can be reasonably inferred </w:t>
      </w:r>
    </w:p>
    <w:p w14:paraId="390A38CD" w14:textId="3DCF081D" w:rsidR="00FD21BE" w:rsidRDefault="00FD21BE" w:rsidP="00010F69">
      <w:pPr>
        <w:pStyle w:val="ListParagraph"/>
        <w:numPr>
          <w:ilvl w:val="0"/>
          <w:numId w:val="29"/>
        </w:numPr>
        <w:spacing w:before="240"/>
      </w:pPr>
      <w:r>
        <w:t>Demonstrat</w:t>
      </w:r>
      <w:r w:rsidR="00A13495">
        <w:t>ion</w:t>
      </w:r>
      <w:r>
        <w:t xml:space="preserve"> that the weight of evidence of the data and information indicate that the water quality standards is not attained </w:t>
      </w:r>
    </w:p>
    <w:p w14:paraId="48961570" w14:textId="5B8E067C" w:rsidR="00FD21BE" w:rsidRDefault="00FD21BE" w:rsidP="00010F69">
      <w:pPr>
        <w:pStyle w:val="ListParagraph"/>
        <w:numPr>
          <w:ilvl w:val="0"/>
          <w:numId w:val="29"/>
        </w:numPr>
        <w:spacing w:before="240"/>
        <w:contextualSpacing w:val="0"/>
      </w:pPr>
      <w:r>
        <w:t>Demonstrat</w:t>
      </w:r>
      <w:r w:rsidR="00A13495">
        <w:t>ion</w:t>
      </w:r>
      <w:r>
        <w:t xml:space="preserve"> that the approach used is scientifically defensible and reproducible </w:t>
      </w:r>
    </w:p>
    <w:p w14:paraId="3DAF6F52" w14:textId="35B7D9EE" w:rsidR="001C22D6" w:rsidRPr="00C76F79" w:rsidRDefault="00944408" w:rsidP="00C76F79">
      <w:pPr>
        <w:pStyle w:val="Heading4"/>
        <w:numPr>
          <w:ilvl w:val="0"/>
          <w:numId w:val="0"/>
        </w:numPr>
        <w:rPr>
          <w:rStyle w:val="IntenseEmphasis"/>
        </w:rPr>
      </w:pPr>
      <w:r w:rsidRPr="00C76F79">
        <w:rPr>
          <w:rStyle w:val="IntenseEmphasis"/>
        </w:rPr>
        <w:t xml:space="preserve">Category 3 Placements </w:t>
      </w:r>
    </w:p>
    <w:p w14:paraId="5D50A143" w14:textId="1F3A5C9E" w:rsidR="00641B95" w:rsidRDefault="00641B95" w:rsidP="00641B95">
      <w:pPr>
        <w:pStyle w:val="ListParagraph"/>
        <w:contextualSpacing w:val="0"/>
      </w:pPr>
      <w:r>
        <w:t>For waterbod</w:t>
      </w:r>
      <w:r w:rsidR="00362A61">
        <w:t>y segments</w:t>
      </w:r>
      <w:r>
        <w:t xml:space="preserve"> where COMM is not designated, there is no fish consumption advisory in place, there is insufficient information to demonstrate the use is </w:t>
      </w:r>
      <w:r w:rsidR="00A13495">
        <w:t>occurring</w:t>
      </w:r>
      <w:r>
        <w:t xml:space="preserve"> or may </w:t>
      </w:r>
      <w:r w:rsidR="00A13495">
        <w:t>occur</w:t>
      </w:r>
      <w:r>
        <w:t xml:space="preserve">, </w:t>
      </w:r>
      <w:r w:rsidR="006D552A">
        <w:t>but</w:t>
      </w:r>
      <w:r w:rsidR="00C03135">
        <w:t xml:space="preserve"> there are exceedances indicating that the beneficial use may potentially be threatened,</w:t>
      </w:r>
      <w:r>
        <w:t xml:space="preserve"> </w:t>
      </w:r>
      <w:r w:rsidR="00D34A6D">
        <w:t xml:space="preserve">the data </w:t>
      </w:r>
      <w:r w:rsidR="00A13495">
        <w:t>were</w:t>
      </w:r>
      <w:r w:rsidR="00D34A6D">
        <w:t xml:space="preserve"> </w:t>
      </w:r>
      <w:r>
        <w:t>evaluate</w:t>
      </w:r>
      <w:r w:rsidR="00D34A6D">
        <w:t>d</w:t>
      </w:r>
      <w:r>
        <w:t xml:space="preserve"> and the waterbody </w:t>
      </w:r>
      <w:r w:rsidR="0050625C">
        <w:t xml:space="preserve">segment </w:t>
      </w:r>
      <w:r>
        <w:t xml:space="preserve">placed into </w:t>
      </w:r>
      <w:r w:rsidR="00A51A13">
        <w:t>c</w:t>
      </w:r>
      <w:r>
        <w:t xml:space="preserve">ategory 3. Category 3 is the “watch list” that indicates the </w:t>
      </w:r>
      <w:r w:rsidR="00D57E0E">
        <w:t xml:space="preserve">beneficial </w:t>
      </w:r>
      <w:r>
        <w:t xml:space="preserve">use may be potentially threatened. </w:t>
      </w:r>
    </w:p>
    <w:p w14:paraId="72CBBC28" w14:textId="176757DD" w:rsidR="00E21A33" w:rsidRPr="00C76F79" w:rsidRDefault="00F16F1B" w:rsidP="00C76F79">
      <w:pPr>
        <w:pStyle w:val="Heading4"/>
        <w:numPr>
          <w:ilvl w:val="0"/>
          <w:numId w:val="0"/>
        </w:numPr>
        <w:rPr>
          <w:rStyle w:val="IntenseEmphasis"/>
        </w:rPr>
      </w:pPr>
      <w:r w:rsidRPr="00C76F79">
        <w:rPr>
          <w:rStyle w:val="IntenseEmphasis"/>
        </w:rPr>
        <w:t>D</w:t>
      </w:r>
      <w:r w:rsidR="00167BBD" w:rsidRPr="00C76F79">
        <w:rPr>
          <w:rStyle w:val="IntenseEmphasis"/>
        </w:rPr>
        <w:t>ata</w:t>
      </w:r>
      <w:r w:rsidRPr="00C76F79">
        <w:rPr>
          <w:rStyle w:val="IntenseEmphasis"/>
        </w:rPr>
        <w:t xml:space="preserve"> </w:t>
      </w:r>
      <w:r w:rsidR="00980180" w:rsidRPr="00C76F79">
        <w:rPr>
          <w:rStyle w:val="IntenseEmphasis"/>
        </w:rPr>
        <w:t xml:space="preserve">Not Used </w:t>
      </w:r>
    </w:p>
    <w:p w14:paraId="199C5DE6" w14:textId="0F345C04" w:rsidR="00C75EAD" w:rsidRDefault="00980180" w:rsidP="00C75EAD">
      <w:pPr>
        <w:pStyle w:val="ListParagraph"/>
        <w:contextualSpacing w:val="0"/>
      </w:pPr>
      <w:r>
        <w:t xml:space="preserve">Although all available data </w:t>
      </w:r>
      <w:r w:rsidR="00270B85">
        <w:t>were</w:t>
      </w:r>
      <w:r>
        <w:t xml:space="preserve"> evaluated, </w:t>
      </w:r>
      <w:r w:rsidR="00C75EAD">
        <w:t xml:space="preserve">it may be appropriate to </w:t>
      </w:r>
      <w:r>
        <w:t xml:space="preserve">not use some </w:t>
      </w:r>
      <w:r w:rsidR="00C75EAD">
        <w:t xml:space="preserve">fish tissue data </w:t>
      </w:r>
      <w:r>
        <w:t>to determine beneficial use attainment</w:t>
      </w:r>
      <w:r w:rsidR="00C75EAD">
        <w:t xml:space="preserve">. The following </w:t>
      </w:r>
      <w:r w:rsidR="00253349">
        <w:t>is an example of one such instance where data would not be used</w:t>
      </w:r>
      <w:r w:rsidR="00C75EAD">
        <w:t xml:space="preserve">: </w:t>
      </w:r>
    </w:p>
    <w:p w14:paraId="1ECAF408" w14:textId="77777777" w:rsidR="00C75EAD" w:rsidRDefault="00C75EAD" w:rsidP="00010F69">
      <w:pPr>
        <w:pStyle w:val="ListParagraph"/>
        <w:numPr>
          <w:ilvl w:val="0"/>
          <w:numId w:val="30"/>
        </w:numPr>
        <w:spacing w:before="240"/>
      </w:pPr>
      <w:r>
        <w:t xml:space="preserve">COMM is not designated, </w:t>
      </w:r>
    </w:p>
    <w:p w14:paraId="6B00A893" w14:textId="77777777" w:rsidR="00C75EAD" w:rsidRDefault="00C75EAD" w:rsidP="00010F69">
      <w:pPr>
        <w:pStyle w:val="ListParagraph"/>
        <w:numPr>
          <w:ilvl w:val="0"/>
          <w:numId w:val="30"/>
        </w:numPr>
        <w:spacing w:before="240"/>
      </w:pPr>
      <w:r>
        <w:t xml:space="preserve">there is no fish consumption advisory in place, </w:t>
      </w:r>
    </w:p>
    <w:p w14:paraId="13500F28" w14:textId="43EAE53C" w:rsidR="00C75EAD" w:rsidRDefault="00C75EAD" w:rsidP="00010F69">
      <w:pPr>
        <w:pStyle w:val="ListParagraph"/>
        <w:numPr>
          <w:ilvl w:val="0"/>
          <w:numId w:val="30"/>
        </w:numPr>
        <w:spacing w:before="240"/>
      </w:pPr>
      <w:r>
        <w:t xml:space="preserve">there is insufficient information to demonstrate the use is </w:t>
      </w:r>
      <w:r w:rsidR="00253349">
        <w:t>occurring</w:t>
      </w:r>
      <w:r>
        <w:t xml:space="preserve"> or may </w:t>
      </w:r>
      <w:r w:rsidR="00253349">
        <w:t>occur</w:t>
      </w:r>
      <w:r>
        <w:t xml:space="preserve">, and </w:t>
      </w:r>
    </w:p>
    <w:p w14:paraId="01623FD6" w14:textId="6DDD527B" w:rsidR="00C75EAD" w:rsidRDefault="00C75EAD" w:rsidP="00010F69">
      <w:pPr>
        <w:pStyle w:val="ListParagraph"/>
        <w:numPr>
          <w:ilvl w:val="0"/>
          <w:numId w:val="30"/>
        </w:numPr>
        <w:spacing w:before="240"/>
      </w:pPr>
      <w:r>
        <w:t xml:space="preserve">there’s an </w:t>
      </w:r>
      <w:r w:rsidR="00395E13">
        <w:t>valid</w:t>
      </w:r>
      <w:r>
        <w:t xml:space="preserve"> rulemaking that de-designates the Water Contact Recreation (“REC-1”) beneficial use for the waterbody </w:t>
      </w:r>
      <w:r w:rsidR="0050625C">
        <w:t>segment</w:t>
      </w:r>
      <w:r>
        <w:t xml:space="preserve"> and the only fish tissue data were collected in a manner that would involve water contact consistent with the REC-1 use. </w:t>
      </w:r>
    </w:p>
    <w:p w14:paraId="360B9C1E" w14:textId="01D38E81" w:rsidR="00D2038B" w:rsidRDefault="00967492" w:rsidP="00D2038B">
      <w:pPr>
        <w:pStyle w:val="Heading3"/>
      </w:pPr>
      <w:bookmarkStart w:id="123" w:name="_Toc189048595"/>
      <w:r>
        <w:t xml:space="preserve">Removal of </w:t>
      </w:r>
      <w:r w:rsidR="00D6319B">
        <w:t>Water Matrix LOEs</w:t>
      </w:r>
      <w:bookmarkEnd w:id="123"/>
    </w:p>
    <w:p w14:paraId="316F7EDE" w14:textId="52E4067E" w:rsidR="00253349" w:rsidRPr="00D2038B" w:rsidRDefault="003A39F2" w:rsidP="00D2038B">
      <w:r>
        <w:t xml:space="preserve">LOEs for fish tissue data </w:t>
      </w:r>
      <w:r w:rsidR="00121E4C">
        <w:t>from</w:t>
      </w:r>
      <w:r w:rsidR="005305B6">
        <w:t xml:space="preserve"> waters </w:t>
      </w:r>
      <w:r>
        <w:t>in the Central Valley and Colorado River Basin</w:t>
      </w:r>
      <w:r w:rsidR="005305B6">
        <w:t xml:space="preserve"> regions that were incorrectly labelled as </w:t>
      </w:r>
      <w:r w:rsidR="00F15258">
        <w:t xml:space="preserve">water matrix data were removed and not used to </w:t>
      </w:r>
      <w:r w:rsidR="003B0C06">
        <w:t xml:space="preserve">determine if the COMM </w:t>
      </w:r>
      <w:r w:rsidR="00660424">
        <w:t xml:space="preserve">beneficial </w:t>
      </w:r>
      <w:r w:rsidR="003B0C06">
        <w:t>use</w:t>
      </w:r>
      <w:r w:rsidR="00660424">
        <w:t xml:space="preserve"> was </w:t>
      </w:r>
      <w:r w:rsidR="003B0C06">
        <w:t xml:space="preserve">attained. </w:t>
      </w:r>
      <w:r w:rsidR="006518BC">
        <w:t xml:space="preserve">However, the water matrix data were retained and assessed </w:t>
      </w:r>
      <w:r w:rsidR="00121E4C">
        <w:t>for attainment of the municipal and domestic supply (“MUN”) beneficial use</w:t>
      </w:r>
      <w:r w:rsidR="00116527">
        <w:t xml:space="preserve"> as</w:t>
      </w:r>
      <w:r w:rsidR="00F62B47">
        <w:t>,</w:t>
      </w:r>
      <w:r w:rsidR="00116527">
        <w:t xml:space="preserve"> appropriate</w:t>
      </w:r>
      <w:r w:rsidR="00121E4C">
        <w:t xml:space="preserve">. </w:t>
      </w:r>
    </w:p>
    <w:p w14:paraId="31187C49" w14:textId="4B7BE722" w:rsidR="00A31EDE" w:rsidRPr="00D2038B" w:rsidRDefault="00941954" w:rsidP="00A31EDE">
      <w:pPr>
        <w:pStyle w:val="Heading3"/>
      </w:pPr>
      <w:bookmarkStart w:id="124" w:name="_Toc189048596"/>
      <w:r>
        <w:t>Addressing Impairments</w:t>
      </w:r>
      <w:r w:rsidR="00F7296E">
        <w:t xml:space="preserve"> and COMM Designations</w:t>
      </w:r>
      <w:bookmarkEnd w:id="124"/>
    </w:p>
    <w:p w14:paraId="0E9DB812" w14:textId="719C6B30" w:rsidR="00687398" w:rsidRDefault="00941954" w:rsidP="00941954">
      <w:r w:rsidRPr="00941954">
        <w:t xml:space="preserve">The State Water Board expects that TMDLs or other future actions to address waters on the 303(d) list where the COMM beneficial use is occurring, but not designated, will be undertaken </w:t>
      </w:r>
      <w:r w:rsidR="004816CF" w:rsidRPr="00941954">
        <w:t>concurrently</w:t>
      </w:r>
      <w:r w:rsidRPr="00941954">
        <w:t xml:space="preserve"> with or following the designation of the beneficial use in the water quality control plan. In addition, the State Water Board encourages the Regional Water Boards to use their discretion where appropriate in establishing permitting, monitoring, and other data collection requirements for the protection of an existing COMM </w:t>
      </w:r>
      <w:r w:rsidR="001D24AE">
        <w:t xml:space="preserve">beneficial </w:t>
      </w:r>
      <w:r w:rsidRPr="00941954">
        <w:t>use.</w:t>
      </w:r>
      <w:r w:rsidR="005F0DAA">
        <w:t xml:space="preserve"> </w:t>
      </w:r>
    </w:p>
    <w:p w14:paraId="30AA0948" w14:textId="478FE33E" w:rsidR="00941954" w:rsidRPr="00941954" w:rsidRDefault="00687398" w:rsidP="00941954">
      <w:r>
        <w:t>The assessment of fish tissue data for the purpose of the integrated report</w:t>
      </w:r>
      <w:r w:rsidR="0088781E">
        <w:t xml:space="preserve"> should not be construed as establishing a beneficial use. Establishing a beneficial use</w:t>
      </w:r>
      <w:r w:rsidR="002F2D5D">
        <w:t xml:space="preserve"> (like COMM)</w:t>
      </w:r>
      <w:r w:rsidR="0088781E">
        <w:t xml:space="preserve"> </w:t>
      </w:r>
      <w:r w:rsidR="00390BB4">
        <w:t>is appr</w:t>
      </w:r>
      <w:r w:rsidR="00A61BE0">
        <w:t xml:space="preserve">opriate when the </w:t>
      </w:r>
      <w:r w:rsidR="009158E2">
        <w:t xml:space="preserve">beneficial </w:t>
      </w:r>
      <w:r w:rsidR="0088781E">
        <w:t xml:space="preserve">use </w:t>
      </w:r>
      <w:r w:rsidR="00A61BE0">
        <w:t>is</w:t>
      </w:r>
      <w:r w:rsidR="0088781E">
        <w:t xml:space="preserve"> </w:t>
      </w:r>
      <w:r w:rsidR="008B7644">
        <w:t>occurring</w:t>
      </w:r>
      <w:r w:rsidR="0012740E">
        <w:t xml:space="preserve"> </w:t>
      </w:r>
      <w:r w:rsidR="009158E2">
        <w:t xml:space="preserve">and </w:t>
      </w:r>
      <w:r w:rsidR="00353E49">
        <w:t xml:space="preserve">the water quality is </w:t>
      </w:r>
      <w:r w:rsidR="00AF2133">
        <w:t xml:space="preserve">sufficient </w:t>
      </w:r>
      <w:r w:rsidR="00A61BE0">
        <w:t xml:space="preserve">to protect the beneficial </w:t>
      </w:r>
      <w:r w:rsidR="009E3BEF">
        <w:t>use and</w:t>
      </w:r>
      <w:r w:rsidR="00A61BE0">
        <w:t xml:space="preserve"> has been </w:t>
      </w:r>
      <w:r w:rsidR="00983AE1">
        <w:t>suff</w:t>
      </w:r>
      <w:r w:rsidR="00E01A22">
        <w:t xml:space="preserve">icient to protect the beneficial use </w:t>
      </w:r>
      <w:r w:rsidR="00E2454A">
        <w:t>since 1975.</w:t>
      </w:r>
      <w:r w:rsidR="008456F2">
        <w:t xml:space="preserve"> </w:t>
      </w:r>
      <w:r w:rsidR="006857EA">
        <w:t xml:space="preserve">Some waterbody segments may not have sufficient water quality to protect </w:t>
      </w:r>
      <w:r w:rsidR="008B7644">
        <w:t>consumption</w:t>
      </w:r>
      <w:r w:rsidR="006857EA">
        <w:t xml:space="preserve"> of some </w:t>
      </w:r>
      <w:r w:rsidR="008B7644">
        <w:t>species</w:t>
      </w:r>
      <w:r w:rsidR="006857EA">
        <w:t xml:space="preserve">, such as species that bioaccumulate mercury. </w:t>
      </w:r>
    </w:p>
    <w:p w14:paraId="75248E06" w14:textId="1841F6A1" w:rsidR="00B465C6" w:rsidRDefault="007E5CF7" w:rsidP="00597DE8">
      <w:pPr>
        <w:pStyle w:val="Heading1"/>
      </w:pPr>
      <w:bookmarkStart w:id="125" w:name="_Toc35339602"/>
      <w:bookmarkStart w:id="126" w:name="_Toc189048597"/>
      <w:r>
        <w:t xml:space="preserve">Previous Cycle </w:t>
      </w:r>
      <w:r w:rsidR="00F65AD6">
        <w:t xml:space="preserve">Assessment </w:t>
      </w:r>
      <w:r>
        <w:t>Error Remedies</w:t>
      </w:r>
      <w:bookmarkEnd w:id="126"/>
      <w:r>
        <w:t xml:space="preserve"> </w:t>
      </w:r>
    </w:p>
    <w:p w14:paraId="6E16A7A1" w14:textId="77777777" w:rsidR="00957FA8" w:rsidRDefault="00957FA8" w:rsidP="00957FA8">
      <w:pPr>
        <w:pStyle w:val="Heading2"/>
      </w:pPr>
      <w:bookmarkStart w:id="127" w:name="_Toc189048598"/>
      <w:r>
        <w:t>D</w:t>
      </w:r>
      <w:r w:rsidRPr="004C0FEB">
        <w:t xml:space="preserve">ata </w:t>
      </w:r>
      <w:r>
        <w:t>E</w:t>
      </w:r>
      <w:r w:rsidRPr="004C0FEB">
        <w:t xml:space="preserve">ntry </w:t>
      </w:r>
      <w:r>
        <w:t>D</w:t>
      </w:r>
      <w:r w:rsidRPr="004C0FEB">
        <w:t>iscrepancy</w:t>
      </w:r>
      <w:r>
        <w:t xml:space="preserve"> in the 2024 California Integrated Report</w:t>
      </w:r>
      <w:bookmarkEnd w:id="127"/>
    </w:p>
    <w:p w14:paraId="00C87A80" w14:textId="0C1778B6" w:rsidR="00957FA8" w:rsidRPr="006B5D1D" w:rsidRDefault="00957FA8" w:rsidP="00957FA8">
      <w:r>
        <w:t>D</w:t>
      </w:r>
      <w:r w:rsidRPr="002D1AE7">
        <w:t>ata entry adjustments were made for nine waterbody-p</w:t>
      </w:r>
      <w:r>
        <w:t>ollutant</w:t>
      </w:r>
      <w:r w:rsidRPr="002D1AE7">
        <w:t xml:space="preserve"> combinations to </w:t>
      </w:r>
      <w:r>
        <w:t xml:space="preserve">remedy data entry </w:t>
      </w:r>
      <w:r w:rsidRPr="002D1AE7">
        <w:t xml:space="preserve">discrepancies </w:t>
      </w:r>
      <w:r>
        <w:t xml:space="preserve">made in CalWQA during the development of the 2024 California Integrated Report. These </w:t>
      </w:r>
      <w:r w:rsidRPr="002D1AE7">
        <w:t xml:space="preserve">discrepancies </w:t>
      </w:r>
      <w:r>
        <w:t>were realized when the 2024 California Integrated Report was submitted</w:t>
      </w:r>
      <w:r w:rsidRPr="002D1AE7">
        <w:t xml:space="preserve"> to the </w:t>
      </w:r>
      <w:r w:rsidR="00313C98">
        <w:t>USEPA</w:t>
      </w:r>
      <w:r w:rsidRPr="002D1AE7">
        <w:t xml:space="preserve"> through ATTAINS.</w:t>
      </w:r>
      <w:r>
        <w:t xml:space="preserve"> The </w:t>
      </w:r>
      <w:r w:rsidRPr="009A5E22">
        <w:t>nine waterbody-pollutant combinations</w:t>
      </w:r>
      <w:r>
        <w:t>,</w:t>
      </w:r>
      <w:r w:rsidRPr="009A5E22">
        <w:t xml:space="preserve"> listed </w:t>
      </w:r>
      <w:r>
        <w:t xml:space="preserve">below </w:t>
      </w:r>
      <w:r w:rsidRPr="009A5E22">
        <w:t xml:space="preserve">in Table </w:t>
      </w:r>
      <w:r w:rsidR="00DD6EA7">
        <w:t>4-1</w:t>
      </w:r>
      <w:r w:rsidR="00FF0170">
        <w:t xml:space="preserve"> </w:t>
      </w:r>
      <w:r w:rsidR="00C74A63">
        <w:t>below</w:t>
      </w:r>
      <w:r w:rsidR="00FF0170" w:rsidRPr="003754DE">
        <w:rPr>
          <w:b/>
          <w:bCs/>
        </w:rPr>
        <w:t>,</w:t>
      </w:r>
      <w:r>
        <w:t xml:space="preserve"> were inadvertently placed into</w:t>
      </w:r>
      <w:r w:rsidRPr="009A5E22">
        <w:t xml:space="preserve"> </w:t>
      </w:r>
      <w:r w:rsidR="00972D59">
        <w:t>C</w:t>
      </w:r>
      <w:r w:rsidRPr="009A5E22">
        <w:t>ategory 4b</w:t>
      </w:r>
      <w:r>
        <w:t xml:space="preserve"> when the appropriate placement is </w:t>
      </w:r>
      <w:r w:rsidR="00972D59">
        <w:t>C</w:t>
      </w:r>
      <w:r>
        <w:t xml:space="preserve">ategory 5 with the indication that the impairment is being addressed by an advanced restoration plan. The </w:t>
      </w:r>
      <w:r w:rsidR="00313C98">
        <w:t>USEPA</w:t>
      </w:r>
      <w:r>
        <w:t xml:space="preserve"> reviewed the appropriateness of these category placements and indicated in their letter</w:t>
      </w:r>
      <w:r w:rsidR="001A1E95">
        <w:t xml:space="preserve"> </w:t>
      </w:r>
      <w:r w:rsidR="004712A9">
        <w:t>titled</w:t>
      </w:r>
      <w:r w:rsidR="001A1E95">
        <w:t xml:space="preserve"> </w:t>
      </w:r>
      <w:hyperlink r:id="rId57" w:history="1">
        <w:r w:rsidR="001A1E95" w:rsidRPr="001A1E95">
          <w:rPr>
            <w:rStyle w:val="Hyperlink"/>
          </w:rPr>
          <w:t>Partial Approval and Partial Disapproval of California’s 2024 List of Impaired Waters</w:t>
        </w:r>
      </w:hyperlink>
      <w:r>
        <w:t xml:space="preserve"> </w:t>
      </w:r>
      <w:r w:rsidR="00DC70D0">
        <w:t>(</w:t>
      </w:r>
      <w:hyperlink r:id="rId58" w:history="1">
        <w:r w:rsidR="003836DD" w:rsidRPr="003836DD">
          <w:rPr>
            <w:rStyle w:val="Hyperlink"/>
          </w:rPr>
          <w:t>https://www.epa.gov/system/files/documents/2024-12/ca-2024-303d-list-epa-partial-approval-disapproval-2024-12-12.pdf</w:t>
        </w:r>
      </w:hyperlink>
      <w:r w:rsidR="003836DD">
        <w:t>)</w:t>
      </w:r>
      <w:r>
        <w:t xml:space="preserve"> that </w:t>
      </w:r>
      <w:r w:rsidRPr="009A5E22">
        <w:t>the most appropriate classification for these nine waterbody-pollutant combinations</w:t>
      </w:r>
      <w:r w:rsidR="00EF19DF">
        <w:t xml:space="preserve"> is </w:t>
      </w:r>
      <w:r w:rsidR="00B95FBB">
        <w:t>c</w:t>
      </w:r>
      <w:r w:rsidR="00EF19DF">
        <w:t>ategory 5</w:t>
      </w:r>
      <w:r w:rsidRPr="009A5E22">
        <w:t xml:space="preserve">, as advanced restoration plans, rather than 4b plans, are in place for </w:t>
      </w:r>
      <w:r w:rsidRPr="00844852">
        <w:t>the nine waterbody-pollutant combinations.</w:t>
      </w:r>
      <w:r>
        <w:t xml:space="preserve"> These </w:t>
      </w:r>
      <w:r w:rsidRPr="009A5E22">
        <w:t>adjustments d</w:t>
      </w:r>
      <w:r>
        <w:t>id</w:t>
      </w:r>
      <w:r w:rsidRPr="009A5E22">
        <w:t xml:space="preserve"> not alter or affect the decisions and category classifications </w:t>
      </w:r>
      <w:r>
        <w:t xml:space="preserve">in the 2024 California Integrated Report </w:t>
      </w:r>
      <w:r w:rsidRPr="009A5E22">
        <w:t xml:space="preserve">adopted </w:t>
      </w:r>
      <w:r>
        <w:t>by the State Water Board</w:t>
      </w:r>
      <w:r w:rsidRPr="006A35D2">
        <w:t xml:space="preserve"> </w:t>
      </w:r>
      <w:r w:rsidRPr="009A5E22">
        <w:t>through Resolution No. 2024-0007</w:t>
      </w:r>
      <w:r>
        <w:t xml:space="preserve">. However, CalWQA was updated to reflect the accurate waterbody </w:t>
      </w:r>
      <w:r w:rsidR="003F39D8">
        <w:t>segment</w:t>
      </w:r>
      <w:r>
        <w:t xml:space="preserve"> category placement in the 2026 California Integrated Report.</w:t>
      </w:r>
    </w:p>
    <w:p w14:paraId="26104177" w14:textId="628CE9B7" w:rsidR="00957FA8" w:rsidRPr="00CC59F4" w:rsidRDefault="00957FA8" w:rsidP="003D210E">
      <w:pPr>
        <w:pStyle w:val="Caption"/>
      </w:pPr>
      <w:r w:rsidRPr="00CC59F4">
        <w:t xml:space="preserve">Table </w:t>
      </w:r>
      <w:r w:rsidR="00FF6FE6">
        <w:t>4</w:t>
      </w:r>
      <w:r w:rsidRPr="00CC59F4">
        <w:t>-</w:t>
      </w:r>
      <w:r w:rsidR="00FF6FE6">
        <w:t>1</w:t>
      </w:r>
      <w:r w:rsidRPr="00CC59F4">
        <w:t xml:space="preserve">: </w:t>
      </w:r>
      <w:bookmarkStart w:id="128" w:name="_Hlk175743873"/>
      <w:r w:rsidRPr="003754DE">
        <w:t xml:space="preserve">Nine Waterbody-Pollutant Combinations with </w:t>
      </w:r>
      <w:r w:rsidR="00EF19DF">
        <w:t>a</w:t>
      </w:r>
      <w:r w:rsidRPr="003754DE">
        <w:t xml:space="preserve"> Data Entry Discrepancy in California’s </w:t>
      </w:r>
      <w:r>
        <w:t>ATTAINS Submittal</w:t>
      </w:r>
      <w:r w:rsidRPr="003754DE">
        <w:t xml:space="preserve"> for the 2024 California Integrated Report </w:t>
      </w:r>
      <w:bookmarkEnd w:id="128"/>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Caption w:val="Table 4-1: Nine Waterbody-Pollutant Combinations with a Data Entry Discrepancy in California's ATTAINS Submittal for the 2024 California Integrated Report"/>
        <w:tblDescription w:val="This table provides a list of nine waterbody segments, their waterbody IDs, pollutant names, and decision IDs that had a discrepancy in California's ATTAINS submittal for the 2024 California Integrated Report"/>
      </w:tblPr>
      <w:tblGrid>
        <w:gridCol w:w="2276"/>
        <w:gridCol w:w="3638"/>
        <w:gridCol w:w="2268"/>
        <w:gridCol w:w="1162"/>
      </w:tblGrid>
      <w:tr w:rsidR="00957FA8" w:rsidRPr="00EC3B81" w14:paraId="27C002AE" w14:textId="77777777">
        <w:trPr>
          <w:cantSplit/>
          <w:trHeight w:val="732"/>
        </w:trPr>
        <w:tc>
          <w:tcPr>
            <w:tcW w:w="2276"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58AC3837" w14:textId="02E6267B" w:rsidR="00957FA8" w:rsidRPr="00EC3B81" w:rsidRDefault="00957FA8" w:rsidP="00554C2C">
            <w:pPr>
              <w:spacing w:before="120" w:after="120"/>
              <w:jc w:val="center"/>
            </w:pPr>
            <w:r w:rsidRPr="00EC3B81">
              <w:rPr>
                <w:b/>
                <w:bCs/>
              </w:rPr>
              <w:t xml:space="preserve">Waterbody </w:t>
            </w:r>
            <w:r w:rsidR="0000343B">
              <w:rPr>
                <w:b/>
                <w:bCs/>
              </w:rPr>
              <w:t xml:space="preserve">Segment </w:t>
            </w:r>
            <w:r w:rsidRPr="00EC3B81">
              <w:rPr>
                <w:b/>
                <w:bCs/>
              </w:rPr>
              <w:t>Name</w:t>
            </w:r>
          </w:p>
        </w:tc>
        <w:tc>
          <w:tcPr>
            <w:tcW w:w="3638"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61F56DFB" w14:textId="77777777" w:rsidR="00957FA8" w:rsidRPr="00EC3B81" w:rsidRDefault="00957FA8" w:rsidP="00554C2C">
            <w:pPr>
              <w:spacing w:before="120" w:after="120"/>
              <w:jc w:val="center"/>
            </w:pPr>
            <w:r>
              <w:rPr>
                <w:b/>
                <w:bCs/>
              </w:rPr>
              <w:t>Waterbody ID</w:t>
            </w:r>
          </w:p>
        </w:tc>
        <w:tc>
          <w:tcPr>
            <w:tcW w:w="2268"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1F89302B" w14:textId="27C021E8" w:rsidR="00957FA8" w:rsidRPr="00EC3B81" w:rsidRDefault="00957FA8" w:rsidP="00554C2C">
            <w:pPr>
              <w:spacing w:before="120" w:after="120"/>
              <w:jc w:val="center"/>
            </w:pPr>
            <w:r w:rsidRPr="00EC3B81">
              <w:rPr>
                <w:b/>
                <w:bCs/>
              </w:rPr>
              <w:t>P</w:t>
            </w:r>
            <w:r w:rsidR="003656A8">
              <w:rPr>
                <w:b/>
                <w:bCs/>
              </w:rPr>
              <w:t>ollutant</w:t>
            </w:r>
            <w:r w:rsidRPr="00EC3B81">
              <w:rPr>
                <w:b/>
                <w:bCs/>
              </w:rPr>
              <w:t xml:space="preserve"> Name</w:t>
            </w:r>
          </w:p>
        </w:tc>
        <w:tc>
          <w:tcPr>
            <w:tcW w:w="1162"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6D09B05E" w14:textId="77777777" w:rsidR="00957FA8" w:rsidRPr="00EC3B81" w:rsidRDefault="00957FA8" w:rsidP="00554C2C">
            <w:pPr>
              <w:spacing w:before="120" w:after="120"/>
              <w:jc w:val="center"/>
            </w:pPr>
            <w:r w:rsidRPr="00EC3B81">
              <w:rPr>
                <w:b/>
                <w:bCs/>
              </w:rPr>
              <w:t>Decision ID</w:t>
            </w:r>
          </w:p>
        </w:tc>
      </w:tr>
      <w:tr w:rsidR="00957FA8" w:rsidRPr="00EC3B81" w14:paraId="0BA6CEA7" w14:textId="77777777">
        <w:trPr>
          <w:cantSplit/>
          <w:trHeight w:val="675"/>
        </w:trPr>
        <w:tc>
          <w:tcPr>
            <w:tcW w:w="2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33A2DC" w14:textId="77777777" w:rsidR="00957FA8" w:rsidRPr="00EC3B81" w:rsidRDefault="00957FA8" w:rsidP="00554C2C">
            <w:pPr>
              <w:spacing w:before="120" w:after="120"/>
              <w:jc w:val="center"/>
            </w:pPr>
            <w:r w:rsidRPr="00EC3B81">
              <w:t>San Diego Bay</w:t>
            </w:r>
          </w:p>
        </w:tc>
        <w:tc>
          <w:tcPr>
            <w:tcW w:w="36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FB76A3" w14:textId="77777777" w:rsidR="00957FA8" w:rsidRPr="00EC3B81" w:rsidRDefault="00957FA8" w:rsidP="00554C2C">
            <w:pPr>
              <w:spacing w:before="120" w:after="120"/>
              <w:jc w:val="center"/>
            </w:pPr>
            <w:r w:rsidRPr="00EC3B81">
              <w:t>CAB9101000019990210132422</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032534" w14:textId="77777777" w:rsidR="00957FA8" w:rsidRPr="00EC3B81" w:rsidRDefault="00957FA8" w:rsidP="00554C2C">
            <w:pPr>
              <w:spacing w:before="120" w:after="120"/>
              <w:jc w:val="center"/>
            </w:pPr>
            <w:r w:rsidRPr="00EC3B81">
              <w:t>Polychlorinated Biphenyls (PCBs)</w:t>
            </w:r>
          </w:p>
        </w:tc>
        <w:tc>
          <w:tcPr>
            <w:tcW w:w="11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B71B81" w14:textId="77777777" w:rsidR="00957FA8" w:rsidRPr="00EC3B81" w:rsidRDefault="00957FA8" w:rsidP="00554C2C">
            <w:pPr>
              <w:spacing w:before="120" w:after="120"/>
              <w:jc w:val="center"/>
            </w:pPr>
            <w:r w:rsidRPr="00EC3B81">
              <w:t>148117</w:t>
            </w:r>
          </w:p>
        </w:tc>
      </w:tr>
      <w:tr w:rsidR="00957FA8" w:rsidRPr="00EC3B81" w14:paraId="0D02FAA4" w14:textId="77777777">
        <w:trPr>
          <w:cantSplit/>
          <w:trHeight w:val="660"/>
        </w:trPr>
        <w:tc>
          <w:tcPr>
            <w:tcW w:w="2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528548" w14:textId="77777777" w:rsidR="00957FA8" w:rsidRPr="00EC3B81" w:rsidRDefault="00957FA8" w:rsidP="00554C2C">
            <w:pPr>
              <w:spacing w:before="120" w:after="120"/>
              <w:jc w:val="center"/>
            </w:pPr>
            <w:r w:rsidRPr="00EC3B81">
              <w:t>Fitzgerald Marine Reserve at Moss Beach</w:t>
            </w:r>
          </w:p>
        </w:tc>
        <w:tc>
          <w:tcPr>
            <w:tcW w:w="36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CFEB5F" w14:textId="77777777" w:rsidR="00957FA8" w:rsidRPr="00EC3B81" w:rsidRDefault="00957FA8" w:rsidP="00554C2C">
            <w:pPr>
              <w:spacing w:before="120" w:after="120"/>
              <w:jc w:val="center"/>
            </w:pPr>
            <w:r w:rsidRPr="00EC3B81">
              <w:t>CAC2022100020190104026259</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854CEC" w14:textId="77777777" w:rsidR="00957FA8" w:rsidRPr="00EC3B81" w:rsidRDefault="00957FA8" w:rsidP="00554C2C">
            <w:pPr>
              <w:spacing w:before="120" w:after="120"/>
              <w:jc w:val="center"/>
            </w:pPr>
            <w:r w:rsidRPr="00EC3B81">
              <w:t>Pathogens</w:t>
            </w:r>
          </w:p>
        </w:tc>
        <w:tc>
          <w:tcPr>
            <w:tcW w:w="11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E50524" w14:textId="77777777" w:rsidR="00957FA8" w:rsidRPr="00EC3B81" w:rsidRDefault="00957FA8" w:rsidP="00554C2C">
            <w:pPr>
              <w:spacing w:before="120" w:after="120"/>
              <w:jc w:val="center"/>
            </w:pPr>
            <w:r w:rsidRPr="00EC3B81">
              <w:t>149885</w:t>
            </w:r>
          </w:p>
        </w:tc>
      </w:tr>
      <w:tr w:rsidR="00957FA8" w:rsidRPr="00EC3B81" w14:paraId="542A0C35" w14:textId="77777777">
        <w:trPr>
          <w:cantSplit/>
          <w:trHeight w:val="165"/>
        </w:trPr>
        <w:tc>
          <w:tcPr>
            <w:tcW w:w="2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5620C5" w14:textId="77777777" w:rsidR="00957FA8" w:rsidRPr="00EC3B81" w:rsidRDefault="00957FA8" w:rsidP="00554C2C">
            <w:pPr>
              <w:spacing w:before="120" w:after="120"/>
              <w:jc w:val="center"/>
            </w:pPr>
            <w:r w:rsidRPr="00EC3B81">
              <w:t>San Diego Bay Shoreline, at Harbor Island (East Basin)</w:t>
            </w:r>
          </w:p>
        </w:tc>
        <w:tc>
          <w:tcPr>
            <w:tcW w:w="36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34126F" w14:textId="77777777" w:rsidR="00957FA8" w:rsidRPr="00EC3B81" w:rsidRDefault="00957FA8" w:rsidP="00554C2C">
            <w:pPr>
              <w:spacing w:before="120" w:after="120"/>
              <w:jc w:val="center"/>
            </w:pPr>
            <w:r w:rsidRPr="00EC3B81">
              <w:t>CAB9082100020021230112926</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B4299A" w14:textId="77777777" w:rsidR="00957FA8" w:rsidRPr="00EC3B81" w:rsidRDefault="00957FA8" w:rsidP="00554C2C">
            <w:pPr>
              <w:spacing w:before="120" w:after="120"/>
              <w:jc w:val="center"/>
            </w:pPr>
            <w:r w:rsidRPr="00EC3B81">
              <w:t>Copper</w:t>
            </w:r>
          </w:p>
        </w:tc>
        <w:tc>
          <w:tcPr>
            <w:tcW w:w="11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CEDC3" w14:textId="77777777" w:rsidR="00957FA8" w:rsidRPr="00EC3B81" w:rsidRDefault="00957FA8" w:rsidP="00554C2C">
            <w:pPr>
              <w:spacing w:before="120" w:after="120"/>
              <w:jc w:val="center"/>
            </w:pPr>
            <w:r w:rsidRPr="00EC3B81">
              <w:t>148114</w:t>
            </w:r>
          </w:p>
        </w:tc>
      </w:tr>
      <w:tr w:rsidR="00957FA8" w:rsidRPr="00EC3B81" w14:paraId="453ED247" w14:textId="77777777">
        <w:trPr>
          <w:cantSplit/>
          <w:trHeight w:val="45"/>
        </w:trPr>
        <w:tc>
          <w:tcPr>
            <w:tcW w:w="2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233A33" w14:textId="77777777" w:rsidR="00957FA8" w:rsidRPr="00EC3B81" w:rsidRDefault="00957FA8" w:rsidP="00554C2C">
            <w:pPr>
              <w:spacing w:before="120" w:after="120"/>
              <w:jc w:val="center"/>
            </w:pPr>
            <w:r w:rsidRPr="00EC3B81">
              <w:t>San Gregorio Creek (San Mateo County)</w:t>
            </w:r>
          </w:p>
        </w:tc>
        <w:tc>
          <w:tcPr>
            <w:tcW w:w="36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7C946A" w14:textId="77777777" w:rsidR="00957FA8" w:rsidRPr="00EC3B81" w:rsidRDefault="00957FA8" w:rsidP="00554C2C">
            <w:pPr>
              <w:spacing w:before="120" w:after="120"/>
              <w:jc w:val="center"/>
            </w:pPr>
            <w:r w:rsidRPr="00EC3B81">
              <w:t>CAR2023001419980929144335</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5670EA" w14:textId="77777777" w:rsidR="00957FA8" w:rsidRPr="00EC3B81" w:rsidRDefault="00957FA8" w:rsidP="00554C2C">
            <w:pPr>
              <w:spacing w:before="120" w:after="120"/>
              <w:jc w:val="center"/>
            </w:pPr>
            <w:r w:rsidRPr="00EC3B81">
              <w:t>Sediment</w:t>
            </w:r>
          </w:p>
        </w:tc>
        <w:tc>
          <w:tcPr>
            <w:tcW w:w="11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682A6" w14:textId="77777777" w:rsidR="00957FA8" w:rsidRPr="00EC3B81" w:rsidRDefault="00957FA8" w:rsidP="00554C2C">
            <w:pPr>
              <w:spacing w:before="120" w:after="120"/>
              <w:jc w:val="center"/>
            </w:pPr>
            <w:r w:rsidRPr="00EC3B81">
              <w:t>151338</w:t>
            </w:r>
          </w:p>
        </w:tc>
      </w:tr>
      <w:tr w:rsidR="00957FA8" w:rsidRPr="00EC3B81" w14:paraId="3587058D" w14:textId="77777777">
        <w:trPr>
          <w:cantSplit/>
          <w:trHeight w:val="45"/>
        </w:trPr>
        <w:tc>
          <w:tcPr>
            <w:tcW w:w="2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15BB92" w14:textId="77777777" w:rsidR="00957FA8" w:rsidRPr="00EC3B81" w:rsidRDefault="00957FA8" w:rsidP="00554C2C">
            <w:pPr>
              <w:spacing w:before="120" w:after="120"/>
              <w:jc w:val="center"/>
            </w:pPr>
            <w:r w:rsidRPr="00EC3B81">
              <w:t>San Diego Bay Shoreline, Downtown Anchorage</w:t>
            </w:r>
          </w:p>
        </w:tc>
        <w:tc>
          <w:tcPr>
            <w:tcW w:w="36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C99858" w14:textId="77777777" w:rsidR="00957FA8" w:rsidRPr="00EC3B81" w:rsidRDefault="00957FA8" w:rsidP="00554C2C">
            <w:pPr>
              <w:spacing w:before="120" w:after="120"/>
              <w:jc w:val="center"/>
            </w:pPr>
            <w:r w:rsidRPr="00EC3B81">
              <w:t>CAB9082100019990210091816</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E64CAD" w14:textId="77777777" w:rsidR="00957FA8" w:rsidRPr="00EC3B81" w:rsidRDefault="00957FA8" w:rsidP="00554C2C">
            <w:pPr>
              <w:spacing w:before="120" w:after="120"/>
              <w:jc w:val="center"/>
            </w:pPr>
            <w:r w:rsidRPr="00EC3B81">
              <w:t>Toxicity</w:t>
            </w:r>
          </w:p>
        </w:tc>
        <w:tc>
          <w:tcPr>
            <w:tcW w:w="11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18411E" w14:textId="77777777" w:rsidR="00957FA8" w:rsidRPr="00EC3B81" w:rsidRDefault="00957FA8" w:rsidP="00554C2C">
            <w:pPr>
              <w:spacing w:before="120" w:after="120"/>
              <w:jc w:val="center"/>
            </w:pPr>
            <w:r w:rsidRPr="00EC3B81">
              <w:t>145493</w:t>
            </w:r>
          </w:p>
        </w:tc>
      </w:tr>
      <w:tr w:rsidR="00957FA8" w:rsidRPr="00EC3B81" w14:paraId="2A6B6C43" w14:textId="77777777">
        <w:trPr>
          <w:cantSplit/>
          <w:trHeight w:val="540"/>
        </w:trPr>
        <w:tc>
          <w:tcPr>
            <w:tcW w:w="2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ECC10D" w14:textId="77777777" w:rsidR="00957FA8" w:rsidRPr="00EC3B81" w:rsidRDefault="00957FA8" w:rsidP="00554C2C">
            <w:pPr>
              <w:spacing w:before="120" w:after="120"/>
              <w:jc w:val="center"/>
            </w:pPr>
            <w:r w:rsidRPr="00EC3B81">
              <w:t>San Diego Bay Shoreline, Downtown Anchorage</w:t>
            </w:r>
          </w:p>
        </w:tc>
        <w:tc>
          <w:tcPr>
            <w:tcW w:w="36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B6C67E" w14:textId="77777777" w:rsidR="00957FA8" w:rsidRPr="00EC3B81" w:rsidRDefault="00957FA8" w:rsidP="00554C2C">
            <w:pPr>
              <w:spacing w:before="120" w:after="120"/>
              <w:jc w:val="center"/>
            </w:pPr>
            <w:r w:rsidRPr="00EC3B81">
              <w:t>CAB9082100019990210091816</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E9C783" w14:textId="77777777" w:rsidR="00957FA8" w:rsidRPr="00EC3B81" w:rsidRDefault="00957FA8" w:rsidP="00554C2C">
            <w:pPr>
              <w:spacing w:before="120" w:after="120"/>
              <w:jc w:val="center"/>
            </w:pPr>
            <w:r w:rsidRPr="00EC3B81">
              <w:t>Benthic Macroinvertebrates Bioassessments</w:t>
            </w:r>
          </w:p>
        </w:tc>
        <w:tc>
          <w:tcPr>
            <w:tcW w:w="11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97AA41" w14:textId="77777777" w:rsidR="00957FA8" w:rsidRPr="00EC3B81" w:rsidRDefault="00957FA8" w:rsidP="00554C2C">
            <w:pPr>
              <w:spacing w:before="120" w:after="120"/>
              <w:jc w:val="center"/>
            </w:pPr>
            <w:r w:rsidRPr="00EC3B81">
              <w:t>145492</w:t>
            </w:r>
          </w:p>
        </w:tc>
      </w:tr>
      <w:tr w:rsidR="00957FA8" w:rsidRPr="00EC3B81" w14:paraId="358A8F10" w14:textId="77777777">
        <w:trPr>
          <w:cantSplit/>
          <w:trHeight w:val="960"/>
        </w:trPr>
        <w:tc>
          <w:tcPr>
            <w:tcW w:w="2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250859" w14:textId="77777777" w:rsidR="00957FA8" w:rsidRPr="00EC3B81" w:rsidRDefault="00957FA8" w:rsidP="00554C2C">
            <w:pPr>
              <w:spacing w:before="120" w:after="120"/>
              <w:jc w:val="center"/>
            </w:pPr>
            <w:r w:rsidRPr="00EC3B81">
              <w:t>San Diego Bay Shoreline, near Chollas Creek</w:t>
            </w:r>
          </w:p>
        </w:tc>
        <w:tc>
          <w:tcPr>
            <w:tcW w:w="36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BE3F83" w14:textId="77777777" w:rsidR="00957FA8" w:rsidRPr="00EC3B81" w:rsidRDefault="00957FA8" w:rsidP="00554C2C">
            <w:pPr>
              <w:spacing w:before="120" w:after="120"/>
              <w:jc w:val="center"/>
            </w:pPr>
            <w:r w:rsidRPr="00EC3B81">
              <w:t>CAB9082200019990210102831</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973DC2" w14:textId="77777777" w:rsidR="00957FA8" w:rsidRPr="00EC3B81" w:rsidRDefault="00957FA8" w:rsidP="00554C2C">
            <w:pPr>
              <w:spacing w:before="120" w:after="120"/>
              <w:jc w:val="center"/>
            </w:pPr>
            <w:r w:rsidRPr="00EC3B81">
              <w:t>Benthic Macroinvertebrates Bioassessments</w:t>
            </w:r>
          </w:p>
        </w:tc>
        <w:tc>
          <w:tcPr>
            <w:tcW w:w="11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292C05" w14:textId="77777777" w:rsidR="00957FA8" w:rsidRPr="00EC3B81" w:rsidRDefault="00957FA8" w:rsidP="00554C2C">
            <w:pPr>
              <w:spacing w:before="120" w:after="120"/>
              <w:jc w:val="center"/>
            </w:pPr>
            <w:r w:rsidRPr="00EC3B81">
              <w:t>148115</w:t>
            </w:r>
          </w:p>
        </w:tc>
      </w:tr>
      <w:tr w:rsidR="00957FA8" w:rsidRPr="00EC3B81" w14:paraId="3198E1C5" w14:textId="77777777">
        <w:trPr>
          <w:cantSplit/>
          <w:trHeight w:val="375"/>
        </w:trPr>
        <w:tc>
          <w:tcPr>
            <w:tcW w:w="2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9F2B16" w14:textId="77777777" w:rsidR="00957FA8" w:rsidRPr="00EC3B81" w:rsidRDefault="00957FA8" w:rsidP="00554C2C">
            <w:pPr>
              <w:spacing w:before="120" w:after="120"/>
              <w:jc w:val="center"/>
            </w:pPr>
            <w:r w:rsidRPr="00EC3B81">
              <w:t>San Diego Bay Shoreline, near Chollas Creek</w:t>
            </w:r>
          </w:p>
        </w:tc>
        <w:tc>
          <w:tcPr>
            <w:tcW w:w="36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44AF67" w14:textId="77777777" w:rsidR="00957FA8" w:rsidRPr="00EC3B81" w:rsidRDefault="00957FA8" w:rsidP="00554C2C">
            <w:pPr>
              <w:spacing w:before="120" w:after="120"/>
              <w:jc w:val="center"/>
            </w:pPr>
            <w:r w:rsidRPr="00EC3B81">
              <w:t>CAB9082200019990210102831</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09D60A" w14:textId="77777777" w:rsidR="00957FA8" w:rsidRPr="00EC3B81" w:rsidRDefault="00957FA8" w:rsidP="00554C2C">
            <w:pPr>
              <w:spacing w:before="120" w:after="120"/>
              <w:jc w:val="center"/>
            </w:pPr>
            <w:r w:rsidRPr="00EC3B81">
              <w:t>Toxicity</w:t>
            </w:r>
          </w:p>
        </w:tc>
        <w:tc>
          <w:tcPr>
            <w:tcW w:w="11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650C63" w14:textId="77777777" w:rsidR="00957FA8" w:rsidRPr="00EC3B81" w:rsidRDefault="00957FA8" w:rsidP="00554C2C">
            <w:pPr>
              <w:spacing w:before="120" w:after="120"/>
              <w:jc w:val="center"/>
            </w:pPr>
            <w:r w:rsidRPr="00EC3B81">
              <w:t>148116</w:t>
            </w:r>
          </w:p>
        </w:tc>
      </w:tr>
      <w:tr w:rsidR="00957FA8" w:rsidRPr="00EC3B81" w14:paraId="58A56C12" w14:textId="77777777">
        <w:trPr>
          <w:cantSplit/>
          <w:trHeight w:val="165"/>
        </w:trPr>
        <w:tc>
          <w:tcPr>
            <w:tcW w:w="2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1A180F" w14:textId="77777777" w:rsidR="00957FA8" w:rsidRPr="00EC3B81" w:rsidRDefault="00957FA8" w:rsidP="00554C2C">
            <w:pPr>
              <w:spacing w:before="120" w:after="120"/>
              <w:jc w:val="center"/>
            </w:pPr>
            <w:r w:rsidRPr="00EC3B81">
              <w:t>San Vicente Creek</w:t>
            </w:r>
          </w:p>
        </w:tc>
        <w:tc>
          <w:tcPr>
            <w:tcW w:w="36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19DAF4" w14:textId="77777777" w:rsidR="00957FA8" w:rsidRPr="00EC3B81" w:rsidRDefault="00957FA8" w:rsidP="00554C2C">
            <w:pPr>
              <w:spacing w:before="120" w:after="120"/>
              <w:jc w:val="center"/>
            </w:pPr>
            <w:r w:rsidRPr="00EC3B81">
              <w:t>CAR2022101220010905121128</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F1A4E0" w14:textId="77777777" w:rsidR="00957FA8" w:rsidRPr="00EC3B81" w:rsidRDefault="00957FA8" w:rsidP="00554C2C">
            <w:pPr>
              <w:spacing w:before="120" w:after="120"/>
              <w:jc w:val="center"/>
            </w:pPr>
            <w:r w:rsidRPr="00EC3B81">
              <w:t>Pathogens</w:t>
            </w:r>
          </w:p>
        </w:tc>
        <w:tc>
          <w:tcPr>
            <w:tcW w:w="11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4EDDF2" w14:textId="77777777" w:rsidR="00957FA8" w:rsidRPr="00EC3B81" w:rsidRDefault="00957FA8" w:rsidP="00554C2C">
            <w:pPr>
              <w:spacing w:before="120" w:after="120"/>
              <w:jc w:val="center"/>
            </w:pPr>
            <w:r w:rsidRPr="00EC3B81">
              <w:t>148715</w:t>
            </w:r>
          </w:p>
        </w:tc>
      </w:tr>
    </w:tbl>
    <w:p w14:paraId="66915609" w14:textId="3438B8A9" w:rsidR="00C3298F" w:rsidRDefault="00C3298F" w:rsidP="00C3298F">
      <w:pPr>
        <w:pStyle w:val="Heading2"/>
      </w:pPr>
      <w:bookmarkStart w:id="129" w:name="_Toc189048599"/>
      <w:r w:rsidRPr="00C74B6C">
        <w:t>Controllable Factors Water Quality Objectives</w:t>
      </w:r>
      <w:bookmarkEnd w:id="129"/>
    </w:p>
    <w:p w14:paraId="709E7ED1" w14:textId="28F4298F" w:rsidR="00C3298F" w:rsidRPr="00994FC0" w:rsidRDefault="00110472" w:rsidP="00C3298F">
      <w:r>
        <w:t xml:space="preserve">Water quality objectives are the limits or levels of water quality constituents </w:t>
      </w:r>
      <w:r w:rsidR="00A44188">
        <w:t xml:space="preserve">or characteristics which are established for the reasonable protection </w:t>
      </w:r>
      <w:r w:rsidR="008C508B">
        <w:t>of beneficial uses of water or to prevent nuisance within a specific area. (Wat. Code</w:t>
      </w:r>
      <w:r w:rsidR="001E2AD3">
        <w:t>, 13050, subd. (h).)</w:t>
      </w:r>
      <w:r w:rsidR="002F10C9">
        <w:t xml:space="preserve"> Water quality objectives</w:t>
      </w:r>
      <w:r w:rsidR="008D3FDF">
        <w:t xml:space="preserve"> can be narrative</w:t>
      </w:r>
      <w:r w:rsidR="00823B2D">
        <w:t xml:space="preserve"> (e.g., </w:t>
      </w:r>
      <w:r w:rsidR="00A752B0">
        <w:t xml:space="preserve">waters shall not contain toxic chemicals that </w:t>
      </w:r>
      <w:r w:rsidR="0056045C">
        <w:t>impair beneficial uses</w:t>
      </w:r>
      <w:r w:rsidR="00893B5A">
        <w:t>) or numeric</w:t>
      </w:r>
      <w:r w:rsidR="00340699">
        <w:t xml:space="preserve"> (e</w:t>
      </w:r>
      <w:r w:rsidR="006F7BC6">
        <w:t xml:space="preserve">.g., </w:t>
      </w:r>
      <w:r w:rsidR="00823B2D">
        <w:t>the maximum pollutant concentration levels permitted in a waterbody</w:t>
      </w:r>
      <w:r w:rsidR="00B052AB">
        <w:t xml:space="preserve"> segment</w:t>
      </w:r>
      <w:r w:rsidR="00735884">
        <w:t xml:space="preserve">). </w:t>
      </w:r>
      <w:r w:rsidR="00890E11">
        <w:t>Some</w:t>
      </w:r>
      <w:r w:rsidR="006A313C">
        <w:t xml:space="preserve"> water quality objectives contained in water quality control plans </w:t>
      </w:r>
      <w:r w:rsidR="00EB47B0">
        <w:t>also include narrative provisions that</w:t>
      </w:r>
      <w:r w:rsidR="00E1004D">
        <w:t xml:space="preserve"> </w:t>
      </w:r>
      <w:r w:rsidR="000C35C8">
        <w:t>state</w:t>
      </w:r>
      <w:r w:rsidR="00EB47B0">
        <w:t xml:space="preserve"> that</w:t>
      </w:r>
      <w:r w:rsidR="00E1004D">
        <w:t xml:space="preserve"> exceedance</w:t>
      </w:r>
      <w:r w:rsidR="00E36678">
        <w:t>s</w:t>
      </w:r>
      <w:r w:rsidR="00E1004D">
        <w:t xml:space="preserve"> </w:t>
      </w:r>
      <w:r w:rsidR="009B1EFA">
        <w:t>shall</w:t>
      </w:r>
      <w:r w:rsidR="00E12B57">
        <w:t xml:space="preserve"> not be </w:t>
      </w:r>
      <w:r w:rsidR="00BE41F7">
        <w:t>a result of</w:t>
      </w:r>
      <w:r w:rsidR="00E12B57">
        <w:t xml:space="preserve"> </w:t>
      </w:r>
      <w:r w:rsidR="007D56DF">
        <w:t>controllable</w:t>
      </w:r>
      <w:r w:rsidR="00E12B57">
        <w:t xml:space="preserve"> water quality factors</w:t>
      </w:r>
      <w:r w:rsidR="007D56DF">
        <w:t xml:space="preserve"> or waste discharges</w:t>
      </w:r>
      <w:r w:rsidR="00E85FCB">
        <w:t xml:space="preserve"> (here on ou</w:t>
      </w:r>
      <w:r w:rsidR="00963774">
        <w:t>t</w:t>
      </w:r>
      <w:r w:rsidR="00E85FCB">
        <w:t xml:space="preserve"> referred to as controllable water quality objectives</w:t>
      </w:r>
      <w:r w:rsidR="000C35C8">
        <w:t xml:space="preserve"> or controllable factors</w:t>
      </w:r>
      <w:r w:rsidR="00E85FCB">
        <w:t>)</w:t>
      </w:r>
      <w:r w:rsidR="007D56DF">
        <w:t xml:space="preserve">. </w:t>
      </w:r>
      <w:r w:rsidR="000C35C8">
        <w:t>The definition of a</w:t>
      </w:r>
      <w:r w:rsidR="004C5A74">
        <w:t xml:space="preserve"> controllable factor </w:t>
      </w:r>
      <w:r w:rsidR="00E17B93">
        <w:t xml:space="preserve">can vary across </w:t>
      </w:r>
      <w:r w:rsidR="00DD27C1">
        <w:t>basin plans</w:t>
      </w:r>
      <w:r w:rsidR="00E17B93">
        <w:t>. Generally, however, a</w:t>
      </w:r>
      <w:r w:rsidR="004C5A74">
        <w:t xml:space="preserve"> controllable factor is one that can be influenced or controlled with one or more reasonable management actions or be readily manageable. </w:t>
      </w:r>
      <w:r w:rsidR="00C57419">
        <w:t xml:space="preserve">Examples of </w:t>
      </w:r>
      <w:r w:rsidR="007D2B2A">
        <w:t>controllable</w:t>
      </w:r>
      <w:r w:rsidR="00C57419">
        <w:t xml:space="preserve"> water quality objectives include: </w:t>
      </w:r>
    </w:p>
    <w:p w14:paraId="2BDB5038" w14:textId="24F81044" w:rsidR="00C57419" w:rsidRPr="00994FC0" w:rsidRDefault="00C57419" w:rsidP="00010F69">
      <w:pPr>
        <w:pStyle w:val="ListParagraph"/>
        <w:numPr>
          <w:ilvl w:val="0"/>
          <w:numId w:val="37"/>
        </w:numPr>
      </w:pPr>
      <w:r>
        <w:t>The p</w:t>
      </w:r>
      <w:r w:rsidR="003B6BA1">
        <w:t>H</w:t>
      </w:r>
      <w:r>
        <w:t xml:space="preserve"> of </w:t>
      </w:r>
      <w:r w:rsidR="003B6BA1">
        <w:t>inland</w:t>
      </w:r>
      <w:r>
        <w:t xml:space="preserve"> surface waters shall not be raised above 8.5 or depressed below 6.5 as a result of </w:t>
      </w:r>
      <w:r w:rsidR="003B6BA1">
        <w:t>controllable</w:t>
      </w:r>
      <w:r>
        <w:t xml:space="preserve"> water quality factors</w:t>
      </w:r>
      <w:r w:rsidR="003B6BA1">
        <w:t xml:space="preserve">. </w:t>
      </w:r>
    </w:p>
    <w:p w14:paraId="51DABAC9" w14:textId="22A740DF" w:rsidR="009D7712" w:rsidRDefault="009D7712" w:rsidP="00010F69">
      <w:pPr>
        <w:pStyle w:val="ListParagraph"/>
        <w:numPr>
          <w:ilvl w:val="0"/>
          <w:numId w:val="37"/>
        </w:numPr>
      </w:pPr>
      <w:r>
        <w:t>At no time shall these WARM-</w:t>
      </w:r>
      <w:r w:rsidR="00A11DA1">
        <w:t>designated</w:t>
      </w:r>
      <w:r>
        <w:t xml:space="preserve"> waters be raised above 80</w:t>
      </w:r>
      <w:r w:rsidR="00B2441C">
        <w:t xml:space="preserve"> </w:t>
      </w:r>
      <w:r w:rsidR="002A29D9" w:rsidRPr="000B568B">
        <w:t>°</w:t>
      </w:r>
      <w:r w:rsidR="00B2441C">
        <w:t xml:space="preserve">F </w:t>
      </w:r>
      <w:r w:rsidR="0072577B">
        <w:t>as a result o</w:t>
      </w:r>
      <w:r w:rsidR="00090DC3">
        <w:t xml:space="preserve">f waste discharges. </w:t>
      </w:r>
    </w:p>
    <w:p w14:paraId="68177773" w14:textId="7FF9BFAF" w:rsidR="00090DC3" w:rsidRDefault="00CA4576" w:rsidP="00090DC3">
      <w:r>
        <w:t xml:space="preserve">Historically, </w:t>
      </w:r>
      <w:r w:rsidR="00A46F4F">
        <w:t xml:space="preserve">the source of </w:t>
      </w:r>
      <w:r w:rsidR="00500751">
        <w:t xml:space="preserve">an </w:t>
      </w:r>
      <w:r w:rsidR="00A46F4F">
        <w:t xml:space="preserve">exceedance </w:t>
      </w:r>
      <w:r w:rsidR="00402ABE">
        <w:t xml:space="preserve">was not </w:t>
      </w:r>
      <w:r w:rsidR="00B553E2">
        <w:t xml:space="preserve">identified before determining </w:t>
      </w:r>
      <w:r w:rsidR="00BA441A">
        <w:t>beneficial</w:t>
      </w:r>
      <w:r w:rsidR="00B553E2">
        <w:t xml:space="preserve"> use attainment</w:t>
      </w:r>
      <w:r w:rsidR="00757A08">
        <w:t xml:space="preserve"> even if the water quality objective </w:t>
      </w:r>
      <w:r w:rsidR="00AF7B55">
        <w:t xml:space="preserve">included </w:t>
      </w:r>
      <w:r w:rsidR="002079CB">
        <w:t xml:space="preserve">an </w:t>
      </w:r>
      <w:r w:rsidR="006F48BF">
        <w:t>explicit</w:t>
      </w:r>
      <w:r w:rsidR="002079CB">
        <w:t xml:space="preserve"> provision </w:t>
      </w:r>
      <w:r w:rsidR="00034AD9">
        <w:t>associated with a</w:t>
      </w:r>
      <w:r w:rsidR="00960305">
        <w:t xml:space="preserve"> controllable </w:t>
      </w:r>
      <w:r w:rsidR="00034AD9">
        <w:t>factor</w:t>
      </w:r>
      <w:r w:rsidR="002079CB">
        <w:t xml:space="preserve">. </w:t>
      </w:r>
      <w:r w:rsidR="00585E36">
        <w:t xml:space="preserve">However, </w:t>
      </w:r>
      <w:r w:rsidR="00D61853">
        <w:t>the historical practices</w:t>
      </w:r>
      <w:r w:rsidR="00585E36">
        <w:t xml:space="preserve"> </w:t>
      </w:r>
      <w:r w:rsidR="00AA4A17">
        <w:t>are</w:t>
      </w:r>
      <w:r w:rsidR="00BA0B8B">
        <w:t xml:space="preserve"> </w:t>
      </w:r>
      <w:r w:rsidR="00230F98">
        <w:t xml:space="preserve">not consistent with the plain meaning </w:t>
      </w:r>
      <w:r w:rsidR="00D61853">
        <w:t>of the objectives.</w:t>
      </w:r>
    </w:p>
    <w:p w14:paraId="2BF16CE1" w14:textId="1E60C9BD" w:rsidR="009E23C0" w:rsidRDefault="00A408F0" w:rsidP="00090DC3">
      <w:r>
        <w:t xml:space="preserve">During </w:t>
      </w:r>
      <w:r w:rsidR="008520E8">
        <w:t xml:space="preserve">the </w:t>
      </w:r>
      <w:r w:rsidR="00875B0F">
        <w:t>development of</w:t>
      </w:r>
      <w:r w:rsidR="008520E8">
        <w:t xml:space="preserve"> the </w:t>
      </w:r>
      <w:r w:rsidR="00807A68">
        <w:t>202</w:t>
      </w:r>
      <w:r w:rsidR="00E87053">
        <w:t>6</w:t>
      </w:r>
      <w:r w:rsidR="00807A68">
        <w:t xml:space="preserve"> California</w:t>
      </w:r>
      <w:r w:rsidR="00840C0C">
        <w:t xml:space="preserve"> </w:t>
      </w:r>
      <w:r w:rsidR="00807A68">
        <w:t>I</w:t>
      </w:r>
      <w:r w:rsidR="0051731D">
        <w:t xml:space="preserve">ntegrated </w:t>
      </w:r>
      <w:r w:rsidR="00807A68">
        <w:t>R</w:t>
      </w:r>
      <w:r w:rsidR="0051731D">
        <w:t>eport</w:t>
      </w:r>
      <w:r w:rsidR="007B183C">
        <w:t xml:space="preserve">, </w:t>
      </w:r>
      <w:r w:rsidR="00875B0F">
        <w:t>all D</w:t>
      </w:r>
      <w:r w:rsidR="00B675B8">
        <w:t>ecisions</w:t>
      </w:r>
      <w:r w:rsidR="007B183C">
        <w:t xml:space="preserve"> </w:t>
      </w:r>
      <w:r w:rsidR="00875B0F">
        <w:t xml:space="preserve">from previous </w:t>
      </w:r>
      <w:r w:rsidR="009C15C0">
        <w:t xml:space="preserve">integrated reports </w:t>
      </w:r>
      <w:r w:rsidR="006B5C23">
        <w:t>for Regional Water Boards</w:t>
      </w:r>
      <w:r w:rsidR="00DC06C1">
        <w:t xml:space="preserve"> that were on-cycle</w:t>
      </w:r>
      <w:r w:rsidR="00196290">
        <w:t xml:space="preserve"> were reviewed. </w:t>
      </w:r>
      <w:r w:rsidR="007B4EE9">
        <w:t>Decis</w:t>
      </w:r>
      <w:r w:rsidR="0020581E">
        <w:t>ions</w:t>
      </w:r>
      <w:r w:rsidR="0051731D">
        <w:t xml:space="preserve"> </w:t>
      </w:r>
      <w:r w:rsidR="00EA26CC">
        <w:t xml:space="preserve">were supplemented with evidence </w:t>
      </w:r>
      <w:r w:rsidR="006866CC">
        <w:t xml:space="preserve">that exceedances </w:t>
      </w:r>
      <w:r w:rsidR="003337D2">
        <w:t>were</w:t>
      </w:r>
      <w:r w:rsidR="006866CC">
        <w:t xml:space="preserve"> due to one or more </w:t>
      </w:r>
      <w:r w:rsidR="008F042A">
        <w:t>controllable</w:t>
      </w:r>
      <w:r w:rsidR="006866CC">
        <w:t xml:space="preserve"> factor</w:t>
      </w:r>
      <w:r w:rsidR="00E07C3C">
        <w:t>s</w:t>
      </w:r>
      <w:r w:rsidR="006866CC">
        <w:t xml:space="preserve"> or </w:t>
      </w:r>
      <w:r w:rsidR="008F042A">
        <w:t>waste discharge</w:t>
      </w:r>
      <w:r w:rsidR="00E07C3C">
        <w:t>s</w:t>
      </w:r>
      <w:r w:rsidR="0020581E">
        <w:t xml:space="preserve">, where </w:t>
      </w:r>
      <w:r w:rsidR="00A94E27">
        <w:t xml:space="preserve">data and information </w:t>
      </w:r>
      <w:r w:rsidR="009103F7">
        <w:t>were</w:t>
      </w:r>
      <w:r w:rsidR="00A94E27">
        <w:t xml:space="preserve"> available</w:t>
      </w:r>
      <w:r w:rsidR="0020581E">
        <w:t>.</w:t>
      </w:r>
      <w:r w:rsidR="006A47CE" w:rsidRPr="006A47CE">
        <w:t xml:space="preserve"> </w:t>
      </w:r>
      <w:r w:rsidR="007A7F26">
        <w:t xml:space="preserve">If there were appropriate exceedances </w:t>
      </w:r>
      <w:r w:rsidR="0079295C">
        <w:t xml:space="preserve">in accordance </w:t>
      </w:r>
      <w:r w:rsidR="00444B95">
        <w:t>with</w:t>
      </w:r>
      <w:r w:rsidR="0079295C">
        <w:t xml:space="preserve"> </w:t>
      </w:r>
      <w:r w:rsidR="0052434F">
        <w:t xml:space="preserve">Listing Policy sections 3.1 and 3.2, and the exceedances </w:t>
      </w:r>
      <w:r w:rsidR="009C2AD6">
        <w:t xml:space="preserve">were due to one or more controllable factors or waste discharges </w:t>
      </w:r>
      <w:r w:rsidR="005C67EF">
        <w:t>the waterbody</w:t>
      </w:r>
      <w:r w:rsidR="00444B95">
        <w:t xml:space="preserve">-pollutant combination was listed as impaired. </w:t>
      </w:r>
    </w:p>
    <w:p w14:paraId="7A338285" w14:textId="514D2DD1" w:rsidR="009B6DDB" w:rsidRPr="00994FC0" w:rsidRDefault="00556DDC" w:rsidP="00090DC3">
      <w:r>
        <w:t xml:space="preserve">If </w:t>
      </w:r>
      <w:r w:rsidR="00B015EE">
        <w:t>there was</w:t>
      </w:r>
      <w:r>
        <w:t xml:space="preserve"> </w:t>
      </w:r>
      <w:r w:rsidR="00CA539F">
        <w:t>no</w:t>
      </w:r>
      <w:r>
        <w:t xml:space="preserve"> evidence that an exceedance was due to a controllable source or waste discharge, </w:t>
      </w:r>
      <w:r w:rsidR="00267E0E">
        <w:t xml:space="preserve">the </w:t>
      </w:r>
      <w:r w:rsidR="00D54149">
        <w:t>waterbody-pollutant combination</w:t>
      </w:r>
      <w:r w:rsidR="003364BF">
        <w:t>s</w:t>
      </w:r>
      <w:r w:rsidR="00D54149">
        <w:t xml:space="preserve"> </w:t>
      </w:r>
      <w:r w:rsidR="003364BF">
        <w:t>were placed in</w:t>
      </w:r>
      <w:r w:rsidR="005D5A2A">
        <w:t xml:space="preserve"> </w:t>
      </w:r>
      <w:r w:rsidR="006A1259">
        <w:t>C</w:t>
      </w:r>
      <w:r w:rsidR="005D5A2A">
        <w:t xml:space="preserve">ategory 3 indicating that </w:t>
      </w:r>
      <w:r w:rsidR="008208AE">
        <w:t>there is i</w:t>
      </w:r>
      <w:r w:rsidR="003364BF">
        <w:t xml:space="preserve">nsufficient data and/or information to make a beneficial use support </w:t>
      </w:r>
      <w:r w:rsidR="0004578F">
        <w:t>determination,</w:t>
      </w:r>
      <w:r w:rsidR="003364BF">
        <w:t xml:space="preserve"> but data and/or information indicates beneficial uses may be potentially threatened.</w:t>
      </w:r>
      <w:r w:rsidR="00F3006D">
        <w:t xml:space="preserve"> </w:t>
      </w:r>
      <w:r w:rsidR="008C19E7">
        <w:t xml:space="preserve">Affected </w:t>
      </w:r>
      <w:r w:rsidR="00D50F0F">
        <w:t>Decisions</w:t>
      </w:r>
      <w:r w:rsidR="00E3031D">
        <w:t xml:space="preserve"> were </w:t>
      </w:r>
      <w:r w:rsidR="005215F4">
        <w:t xml:space="preserve">identified </w:t>
      </w:r>
      <w:r w:rsidR="008C19E7">
        <w:t xml:space="preserve">in the Central Valley and Colorado River Basin Water Boards. </w:t>
      </w:r>
      <w:r w:rsidR="005B3713">
        <w:t xml:space="preserve">Ninety </w:t>
      </w:r>
      <w:r w:rsidR="00CB2473">
        <w:t>Decisions</w:t>
      </w:r>
      <w:r w:rsidR="00B04D23">
        <w:t xml:space="preserve"> (</w:t>
      </w:r>
      <w:r w:rsidR="008E1A2F">
        <w:t xml:space="preserve">eighty-five </w:t>
      </w:r>
      <w:r w:rsidR="009A7802">
        <w:t xml:space="preserve">for pesticides, </w:t>
      </w:r>
      <w:r w:rsidR="00C7443E">
        <w:t xml:space="preserve">four </w:t>
      </w:r>
      <w:r w:rsidR="00746F80">
        <w:t xml:space="preserve">for temperature, </w:t>
      </w:r>
      <w:r w:rsidR="00411E40">
        <w:t>and one</w:t>
      </w:r>
      <w:r w:rsidR="001E2E23">
        <w:t xml:space="preserve"> </w:t>
      </w:r>
      <w:r w:rsidR="0046604F">
        <w:t>for</w:t>
      </w:r>
      <w:r w:rsidR="001E2E23">
        <w:t xml:space="preserve"> </w:t>
      </w:r>
      <w:r w:rsidR="00411E40">
        <w:t>mercury)</w:t>
      </w:r>
      <w:r w:rsidR="005B3713">
        <w:t xml:space="preserve"> in the Central Valley were supplemented with </w:t>
      </w:r>
      <w:r w:rsidR="00E91897">
        <w:t>evidence that exceedances were due to controllable factors. In the Colorado</w:t>
      </w:r>
      <w:r w:rsidR="001E2E23">
        <w:t xml:space="preserve"> River </w:t>
      </w:r>
      <w:r w:rsidR="00E91897">
        <w:t xml:space="preserve">Basin, </w:t>
      </w:r>
      <w:r w:rsidR="00A11953">
        <w:t xml:space="preserve">seven turbidity listings were </w:t>
      </w:r>
      <w:r w:rsidR="009602D4">
        <w:t xml:space="preserve">revised to </w:t>
      </w:r>
      <w:r w:rsidR="006845E1">
        <w:t>evaluate</w:t>
      </w:r>
      <w:r w:rsidR="009602D4">
        <w:t xml:space="preserve"> </w:t>
      </w:r>
      <w:r w:rsidR="00A1701E">
        <w:t xml:space="preserve">the </w:t>
      </w:r>
      <w:r w:rsidR="00C16C21">
        <w:t>narrative objective for turbidity instead</w:t>
      </w:r>
      <w:r w:rsidR="001E2E23">
        <w:t xml:space="preserve"> of the </w:t>
      </w:r>
      <w:r w:rsidR="00FE70CF">
        <w:t>controlla</w:t>
      </w:r>
      <w:r w:rsidR="00D91365">
        <w:t xml:space="preserve">ble factors </w:t>
      </w:r>
      <w:r w:rsidR="0FE36181">
        <w:t xml:space="preserve">narrative </w:t>
      </w:r>
      <w:r w:rsidR="00D91365">
        <w:t>objective</w:t>
      </w:r>
      <w:r w:rsidR="006B46DA">
        <w:t xml:space="preserve"> for aesthetic </w:t>
      </w:r>
      <w:r w:rsidR="004D1F93">
        <w:t>qualities</w:t>
      </w:r>
      <w:r w:rsidR="00555268">
        <w:t xml:space="preserve">, and three </w:t>
      </w:r>
      <w:r w:rsidR="00013585">
        <w:t>temperature</w:t>
      </w:r>
      <w:r w:rsidR="003E0357">
        <w:t xml:space="preserve"> decisions</w:t>
      </w:r>
      <w:r w:rsidR="00013585">
        <w:t xml:space="preserve"> were placed into Category 3 due to insufficient data and/or information</w:t>
      </w:r>
      <w:r w:rsidR="007D0342">
        <w:rPr>
          <w:rFonts w:eastAsia="Arial" w:cs="Arial"/>
        </w:rPr>
        <w:t>.</w:t>
      </w:r>
      <w:r w:rsidR="00965B5A">
        <w:rPr>
          <w:rFonts w:eastAsia="Arial" w:cs="Arial"/>
        </w:rPr>
        <w:t xml:space="preserve"> </w:t>
      </w:r>
      <w:r w:rsidR="00965B5A">
        <w:rPr>
          <w:rFonts w:cs="Arial"/>
        </w:rPr>
        <w:t xml:space="preserve">Integrated report assessments for all other Regional Water Boards will be </w:t>
      </w:r>
      <w:r w:rsidR="000514E2">
        <w:rPr>
          <w:rFonts w:cs="Arial"/>
        </w:rPr>
        <w:t xml:space="preserve">re-evaluated </w:t>
      </w:r>
      <w:r w:rsidR="00CD6F8D">
        <w:rPr>
          <w:rFonts w:cs="Arial"/>
        </w:rPr>
        <w:t xml:space="preserve">the next time that </w:t>
      </w:r>
      <w:r w:rsidR="00A66449">
        <w:rPr>
          <w:rFonts w:cs="Arial"/>
        </w:rPr>
        <w:t>R</w:t>
      </w:r>
      <w:r w:rsidR="00CD6F8D">
        <w:rPr>
          <w:rFonts w:cs="Arial"/>
        </w:rPr>
        <w:t>egional</w:t>
      </w:r>
      <w:r w:rsidR="00A66449">
        <w:rPr>
          <w:rFonts w:cs="Arial"/>
        </w:rPr>
        <w:t xml:space="preserve"> Water</w:t>
      </w:r>
      <w:r w:rsidR="00CD6F8D">
        <w:rPr>
          <w:rFonts w:cs="Arial"/>
        </w:rPr>
        <w:t xml:space="preserve"> </w:t>
      </w:r>
      <w:r w:rsidR="00A66449">
        <w:rPr>
          <w:rFonts w:cs="Arial"/>
        </w:rPr>
        <w:t>B</w:t>
      </w:r>
      <w:r w:rsidR="00CD6F8D">
        <w:rPr>
          <w:rFonts w:cs="Arial"/>
        </w:rPr>
        <w:t>oard is on</w:t>
      </w:r>
      <w:r w:rsidR="00325A28">
        <w:rPr>
          <w:rFonts w:cs="Arial"/>
        </w:rPr>
        <w:t>-</w:t>
      </w:r>
      <w:r w:rsidR="00CD6F8D">
        <w:rPr>
          <w:rFonts w:cs="Arial"/>
        </w:rPr>
        <w:t xml:space="preserve">cycle and assessing data. </w:t>
      </w:r>
      <w:r w:rsidR="00A30C37">
        <w:rPr>
          <w:rFonts w:cs="Arial"/>
        </w:rPr>
        <w:t xml:space="preserve">If data and information can be </w:t>
      </w:r>
      <w:r w:rsidR="0027542F">
        <w:rPr>
          <w:rFonts w:cs="Arial"/>
        </w:rPr>
        <w:t>added to the record on a fu</w:t>
      </w:r>
      <w:r w:rsidR="007E2951">
        <w:rPr>
          <w:rFonts w:cs="Arial"/>
        </w:rPr>
        <w:t>ture integrated report to indicate that th</w:t>
      </w:r>
      <w:r w:rsidR="00316CF7">
        <w:rPr>
          <w:rFonts w:cs="Arial"/>
        </w:rPr>
        <w:t xml:space="preserve">e </w:t>
      </w:r>
      <w:r w:rsidR="009F28FD">
        <w:rPr>
          <w:rFonts w:cs="Arial"/>
        </w:rPr>
        <w:t xml:space="preserve">exceedances </w:t>
      </w:r>
      <w:r w:rsidR="2E8C5BB2" w:rsidRPr="1EA2032A">
        <w:rPr>
          <w:rFonts w:cs="Arial"/>
        </w:rPr>
        <w:t>are</w:t>
      </w:r>
      <w:r w:rsidR="009F28FD">
        <w:rPr>
          <w:rFonts w:cs="Arial"/>
        </w:rPr>
        <w:t xml:space="preserve"> due to a controllable factor, </w:t>
      </w:r>
      <w:r w:rsidR="00EC7903">
        <w:rPr>
          <w:rFonts w:cs="Arial"/>
        </w:rPr>
        <w:t xml:space="preserve">that Decision may be revised to </w:t>
      </w:r>
      <w:r w:rsidR="009A47B2">
        <w:rPr>
          <w:rFonts w:cs="Arial"/>
        </w:rPr>
        <w:t xml:space="preserve">demonstrate that the waterbody-pollutant combination is impaired. </w:t>
      </w:r>
    </w:p>
    <w:p w14:paraId="3B7A24F6" w14:textId="35ECDB4C" w:rsidR="001B54BD" w:rsidRDefault="001B54BD" w:rsidP="001B54BD">
      <w:pPr>
        <w:pStyle w:val="Heading2"/>
      </w:pPr>
      <w:bookmarkStart w:id="130" w:name="_Toc189048600"/>
      <w:r>
        <w:t>Pyrethroids in Sediment Organic Carbon Normalization Error</w:t>
      </w:r>
      <w:bookmarkEnd w:id="130"/>
      <w:r>
        <w:t xml:space="preserve"> </w:t>
      </w:r>
    </w:p>
    <w:p w14:paraId="15AF259F" w14:textId="41942E61" w:rsidR="001B54BD" w:rsidRDefault="001B54BD" w:rsidP="00E9709E">
      <w:r>
        <w:rPr>
          <w:rStyle w:val="normaltextrun"/>
          <w:rFonts w:cs="Arial"/>
          <w:color w:val="000000"/>
          <w:shd w:val="clear" w:color="auto" w:fill="FFFFFF"/>
        </w:rPr>
        <w:t xml:space="preserve">During the 2020-2022 California Integrated Report, a </w:t>
      </w:r>
      <w:r w:rsidRPr="004502A9">
        <w:rPr>
          <w:rStyle w:val="normaltextrun"/>
          <w:rFonts w:cs="Arial"/>
          <w:color w:val="000000"/>
          <w:shd w:val="clear" w:color="auto" w:fill="FFFFFF"/>
        </w:rPr>
        <w:t>miscalculat</w:t>
      </w:r>
      <w:r>
        <w:rPr>
          <w:rStyle w:val="normaltextrun"/>
          <w:rFonts w:cs="Arial"/>
          <w:color w:val="000000"/>
          <w:shd w:val="clear" w:color="auto" w:fill="FFFFFF"/>
        </w:rPr>
        <w:t>ion</w:t>
      </w:r>
      <w:r w:rsidRPr="004502A9">
        <w:rPr>
          <w:rStyle w:val="normaltextrun"/>
          <w:rFonts w:cs="Arial"/>
          <w:color w:val="000000"/>
          <w:shd w:val="clear" w:color="auto" w:fill="FFFFFF"/>
        </w:rPr>
        <w:t xml:space="preserve"> </w:t>
      </w:r>
      <w:r>
        <w:rPr>
          <w:rStyle w:val="normaltextrun"/>
          <w:rFonts w:cs="Arial"/>
          <w:color w:val="000000"/>
          <w:shd w:val="clear" w:color="auto" w:fill="FFFFFF"/>
        </w:rPr>
        <w:t xml:space="preserve">of </w:t>
      </w:r>
      <w:r w:rsidRPr="004502A9">
        <w:rPr>
          <w:rStyle w:val="normaltextrun"/>
          <w:rFonts w:cs="Arial"/>
          <w:color w:val="000000"/>
          <w:shd w:val="clear" w:color="auto" w:fill="FFFFFF"/>
        </w:rPr>
        <w:t>the organic carbon normalization equation</w:t>
      </w:r>
      <w:r>
        <w:rPr>
          <w:rStyle w:val="normaltextrun"/>
          <w:rFonts w:cs="Arial"/>
          <w:color w:val="000000"/>
          <w:shd w:val="clear" w:color="auto" w:fill="FFFFFF"/>
        </w:rPr>
        <w:t>s</w:t>
      </w:r>
      <w:r w:rsidRPr="004502A9" w:rsidDel="00DE2705">
        <w:rPr>
          <w:rStyle w:val="normaltextrun"/>
          <w:rFonts w:cs="Arial"/>
          <w:color w:val="000000"/>
          <w:shd w:val="clear" w:color="auto" w:fill="FFFFFF"/>
        </w:rPr>
        <w:t xml:space="preserve"> </w:t>
      </w:r>
      <w:r>
        <w:rPr>
          <w:rStyle w:val="normaltextrun"/>
          <w:rFonts w:cs="Arial"/>
          <w:color w:val="000000"/>
          <w:shd w:val="clear" w:color="auto" w:fill="FFFFFF"/>
        </w:rPr>
        <w:t>was discovered</w:t>
      </w:r>
      <w:r w:rsidRPr="004502A9" w:rsidDel="00DE2705">
        <w:rPr>
          <w:rStyle w:val="normaltextrun"/>
          <w:rFonts w:cs="Arial"/>
          <w:color w:val="000000"/>
          <w:shd w:val="clear" w:color="auto" w:fill="FFFFFF"/>
        </w:rPr>
        <w:t xml:space="preserve"> </w:t>
      </w:r>
      <w:r w:rsidRPr="004502A9">
        <w:rPr>
          <w:rStyle w:val="normaltextrun"/>
          <w:rFonts w:cs="Arial"/>
          <w:color w:val="000000"/>
          <w:shd w:val="clear" w:color="auto" w:fill="FFFFFF"/>
        </w:rPr>
        <w:t>for</w:t>
      </w:r>
      <w:r w:rsidR="008B5CC8">
        <w:rPr>
          <w:rStyle w:val="normaltextrun"/>
          <w:rFonts w:cs="Arial"/>
          <w:color w:val="000000"/>
          <w:shd w:val="clear" w:color="auto" w:fill="FFFFFF"/>
        </w:rPr>
        <w:t xml:space="preserve"> </w:t>
      </w:r>
      <w:r w:rsidRPr="004502A9">
        <w:rPr>
          <w:rStyle w:val="normaltextrun"/>
          <w:rFonts w:cs="Arial"/>
          <w:color w:val="000000"/>
          <w:shd w:val="clear" w:color="auto" w:fill="FFFFFF"/>
        </w:rPr>
        <w:t>two pyrethroids</w:t>
      </w:r>
      <w:r>
        <w:rPr>
          <w:rStyle w:val="normaltextrun"/>
          <w:rFonts w:cs="Arial"/>
          <w:color w:val="000000"/>
          <w:shd w:val="clear" w:color="auto" w:fill="FFFFFF"/>
        </w:rPr>
        <w:t xml:space="preserve"> (</w:t>
      </w:r>
      <w:r w:rsidRPr="004502A9">
        <w:rPr>
          <w:rStyle w:val="normaltextrun"/>
          <w:rFonts w:cs="Arial"/>
          <w:color w:val="000000"/>
          <w:shd w:val="clear" w:color="auto" w:fill="FFFFFF"/>
        </w:rPr>
        <w:t>permethrin and cypermethrin</w:t>
      </w:r>
      <w:r>
        <w:rPr>
          <w:rStyle w:val="normaltextrun"/>
          <w:rFonts w:cs="Arial"/>
          <w:color w:val="000000"/>
          <w:shd w:val="clear" w:color="auto" w:fill="FFFFFF"/>
        </w:rPr>
        <w:t>) in the sediment matrix</w:t>
      </w:r>
      <w:r w:rsidRPr="004502A9">
        <w:rPr>
          <w:rStyle w:val="normaltextrun"/>
          <w:rFonts w:cs="Arial"/>
          <w:color w:val="000000"/>
          <w:shd w:val="clear" w:color="auto" w:fill="FFFFFF"/>
        </w:rPr>
        <w:t xml:space="preserve">. </w:t>
      </w:r>
      <w:r>
        <w:rPr>
          <w:rStyle w:val="normaltextrun"/>
          <w:rFonts w:cs="Arial"/>
          <w:color w:val="000000"/>
          <w:shd w:val="clear" w:color="auto" w:fill="FFFFFF"/>
        </w:rPr>
        <w:t xml:space="preserve">Since then, data for a third pyrethroid pesticide (deltamethrin) also was determined to have been affected by the organic carbon normalization error. </w:t>
      </w:r>
      <w:r w:rsidRPr="0CBF0BF2">
        <w:rPr>
          <w:rStyle w:val="normaltextrun"/>
          <w:rFonts w:cs="Arial"/>
          <w:color w:val="000000" w:themeColor="text1"/>
        </w:rPr>
        <w:t xml:space="preserve">This error affected previous listing cycle CalWQA Decisions in the North Coast, Central Coast, Central Valley, Colorado River, and San Diego Regional Water Boards. </w:t>
      </w:r>
      <w:r w:rsidR="00FE0B0C">
        <w:rPr>
          <w:rStyle w:val="normaltextrun"/>
          <w:rFonts w:cs="Arial"/>
          <w:color w:val="000000" w:themeColor="text1"/>
        </w:rPr>
        <w:t xml:space="preserve">Affected CalWQA Decisions </w:t>
      </w:r>
      <w:r w:rsidR="00732558">
        <w:rPr>
          <w:rStyle w:val="normaltextrun"/>
          <w:rFonts w:cs="Arial"/>
          <w:color w:val="000000" w:themeColor="text1"/>
        </w:rPr>
        <w:t xml:space="preserve">for the Central Coast, Central Valley, and San Diego Regional Water Boards </w:t>
      </w:r>
      <w:r w:rsidR="008358AE" w:rsidRPr="0CBF0BF2">
        <w:rPr>
          <w:rStyle w:val="normaltextrun"/>
          <w:rFonts w:cs="Arial"/>
          <w:color w:val="000000" w:themeColor="text1"/>
        </w:rPr>
        <w:t xml:space="preserve">were corrected </w:t>
      </w:r>
      <w:r w:rsidR="00732558">
        <w:rPr>
          <w:rStyle w:val="normaltextrun"/>
          <w:rFonts w:cs="Arial"/>
          <w:color w:val="000000" w:themeColor="text1"/>
        </w:rPr>
        <w:t>during</w:t>
      </w:r>
      <w:r w:rsidRPr="46DC1209">
        <w:rPr>
          <w:rStyle w:val="normaltextrun"/>
          <w:rFonts w:cs="Arial"/>
          <w:color w:val="000000" w:themeColor="text1"/>
        </w:rPr>
        <w:t xml:space="preserve"> the 2024 </w:t>
      </w:r>
      <w:r w:rsidR="2DBD40BB" w:rsidRPr="46DC1209">
        <w:rPr>
          <w:rStyle w:val="normaltextrun"/>
          <w:rFonts w:cs="Arial"/>
          <w:color w:val="000000" w:themeColor="text1"/>
        </w:rPr>
        <w:t xml:space="preserve">California Integrated </w:t>
      </w:r>
      <w:r w:rsidR="2DBD40BB" w:rsidRPr="1BBB8785">
        <w:rPr>
          <w:rStyle w:val="normaltextrun"/>
          <w:rFonts w:cs="Arial"/>
          <w:color w:val="000000" w:themeColor="text1"/>
        </w:rPr>
        <w:t>Report</w:t>
      </w:r>
      <w:r w:rsidRPr="0CBF0BF2">
        <w:rPr>
          <w:rStyle w:val="normaltextrun"/>
          <w:rFonts w:cs="Arial"/>
          <w:color w:val="000000" w:themeColor="text1"/>
        </w:rPr>
        <w:t xml:space="preserve">. </w:t>
      </w:r>
      <w:r w:rsidR="00442449">
        <w:rPr>
          <w:rStyle w:val="normaltextrun"/>
          <w:rFonts w:cs="Arial"/>
          <w:color w:val="000000" w:themeColor="text1"/>
        </w:rPr>
        <w:t>For</w:t>
      </w:r>
      <w:r w:rsidRPr="0CBF0BF2">
        <w:rPr>
          <w:rStyle w:val="normaltextrun"/>
          <w:rFonts w:cs="Arial"/>
          <w:color w:val="000000" w:themeColor="text1"/>
        </w:rPr>
        <w:t xml:space="preserve"> the 2026 California Integrated Report</w:t>
      </w:r>
      <w:r w:rsidR="51F0084E" w:rsidRPr="1BBB8785">
        <w:rPr>
          <w:rStyle w:val="normaltextrun"/>
          <w:rFonts w:cs="Arial"/>
          <w:color w:val="000000" w:themeColor="text1"/>
        </w:rPr>
        <w:t>,</w:t>
      </w:r>
      <w:r w:rsidRPr="0CBF0BF2">
        <w:rPr>
          <w:rStyle w:val="normaltextrun"/>
          <w:rFonts w:cs="Arial"/>
          <w:color w:val="000000" w:themeColor="text1"/>
        </w:rPr>
        <w:t xml:space="preserve"> </w:t>
      </w:r>
      <w:r w:rsidR="006E43E3">
        <w:rPr>
          <w:rStyle w:val="normaltextrun"/>
          <w:rFonts w:cs="Arial"/>
          <w:color w:val="000000"/>
          <w:shd w:val="clear" w:color="auto" w:fill="FFFFFF"/>
        </w:rPr>
        <w:t xml:space="preserve">CalWQA Decisions for the </w:t>
      </w:r>
      <w:r w:rsidRPr="0CBF0BF2">
        <w:rPr>
          <w:rStyle w:val="normaltextrun"/>
          <w:rFonts w:cs="Arial"/>
          <w:color w:val="000000" w:themeColor="text1"/>
        </w:rPr>
        <w:t xml:space="preserve">North Coast and Colorado River Water Boards </w:t>
      </w:r>
      <w:r>
        <w:rPr>
          <w:rStyle w:val="normaltextrun"/>
          <w:rFonts w:cs="Arial"/>
          <w:color w:val="000000"/>
          <w:shd w:val="clear" w:color="auto" w:fill="FFFFFF"/>
        </w:rPr>
        <w:t>affected by the miscalculation were corrected</w:t>
      </w:r>
      <w:r w:rsidRPr="14E4000F">
        <w:rPr>
          <w:rStyle w:val="normaltextrun"/>
          <w:rFonts w:cs="Arial"/>
          <w:color w:val="000000" w:themeColor="text1"/>
        </w:rPr>
        <w:t>.</w:t>
      </w:r>
      <w:r>
        <w:rPr>
          <w:rStyle w:val="normaltextrun"/>
          <w:rFonts w:cs="Arial"/>
          <w:color w:val="000000"/>
          <w:shd w:val="clear" w:color="auto" w:fill="FFFFFF"/>
        </w:rPr>
        <w:t xml:space="preserve"> Table </w:t>
      </w:r>
      <w:r w:rsidR="00236A88">
        <w:rPr>
          <w:rStyle w:val="normaltextrun"/>
          <w:rFonts w:cs="Arial"/>
          <w:color w:val="000000"/>
          <w:shd w:val="clear" w:color="auto" w:fill="FFFFFF"/>
        </w:rPr>
        <w:t>4</w:t>
      </w:r>
      <w:r>
        <w:rPr>
          <w:rStyle w:val="normaltextrun"/>
          <w:rFonts w:cs="Arial"/>
          <w:color w:val="000000"/>
          <w:shd w:val="clear" w:color="auto" w:fill="FFFFFF"/>
        </w:rPr>
        <w:t>-</w:t>
      </w:r>
      <w:r w:rsidR="00236A88">
        <w:rPr>
          <w:rStyle w:val="normaltextrun"/>
          <w:rFonts w:cs="Arial"/>
          <w:color w:val="000000"/>
          <w:shd w:val="clear" w:color="auto" w:fill="FFFFFF"/>
        </w:rPr>
        <w:t>2</w:t>
      </w:r>
      <w:r>
        <w:rPr>
          <w:rStyle w:val="normaltextrun"/>
          <w:rFonts w:cs="Arial"/>
          <w:color w:val="000000"/>
          <w:shd w:val="clear" w:color="auto" w:fill="FFFFFF"/>
        </w:rPr>
        <w:t xml:space="preserve">, below, provides a summary of the number of CalWQA </w:t>
      </w:r>
      <w:r w:rsidDel="00D9664A">
        <w:rPr>
          <w:rStyle w:val="normaltextrun"/>
          <w:rFonts w:cs="Arial"/>
          <w:color w:val="000000"/>
          <w:shd w:val="clear" w:color="auto" w:fill="FFFFFF"/>
        </w:rPr>
        <w:t>Decisions</w:t>
      </w:r>
      <w:r>
        <w:rPr>
          <w:rStyle w:val="normaltextrun"/>
          <w:rFonts w:cs="Arial"/>
          <w:color w:val="000000"/>
          <w:shd w:val="clear" w:color="auto" w:fill="FFFFFF"/>
        </w:rPr>
        <w:t xml:space="preserve"> </w:t>
      </w:r>
      <w:r w:rsidR="00970B6B">
        <w:rPr>
          <w:rStyle w:val="normaltextrun"/>
          <w:rFonts w:cs="Arial"/>
          <w:color w:val="000000"/>
          <w:shd w:val="clear" w:color="auto" w:fill="FFFFFF"/>
        </w:rPr>
        <w:t xml:space="preserve">corrected </w:t>
      </w:r>
      <w:r w:rsidRPr="0CBF0BF2">
        <w:rPr>
          <w:rStyle w:val="normaltextrun"/>
          <w:rFonts w:cs="Arial"/>
          <w:color w:val="000000" w:themeColor="text1"/>
        </w:rPr>
        <w:t xml:space="preserve">during the 2026 California Integrated Report </w:t>
      </w:r>
      <w:r>
        <w:rPr>
          <w:rStyle w:val="normaltextrun"/>
          <w:rFonts w:cs="Arial"/>
          <w:color w:val="000000"/>
          <w:shd w:val="clear" w:color="auto" w:fill="FFFFFF"/>
        </w:rPr>
        <w:t xml:space="preserve">for each waterbody-pollutant combination by </w:t>
      </w:r>
      <w:r w:rsidR="00045C35">
        <w:rPr>
          <w:rStyle w:val="normaltextrun"/>
          <w:rFonts w:cs="Arial"/>
          <w:color w:val="000000"/>
          <w:shd w:val="clear" w:color="auto" w:fill="FFFFFF"/>
        </w:rPr>
        <w:t>Regional Water Board</w:t>
      </w:r>
      <w:r>
        <w:rPr>
          <w:rStyle w:val="normaltextrun"/>
          <w:rFonts w:cs="Arial"/>
          <w:color w:val="000000"/>
          <w:shd w:val="clear" w:color="auto" w:fill="FFFFFF"/>
        </w:rPr>
        <w:t>. For the majority of the</w:t>
      </w:r>
      <w:r w:rsidR="00800E28" w:rsidRPr="00800E28" w:rsidDel="000E3504">
        <w:rPr>
          <w:rStyle w:val="normaltextrun"/>
          <w:rFonts w:cs="Arial"/>
          <w:color w:val="000000"/>
          <w:shd w:val="clear" w:color="auto" w:fill="FFFFFF"/>
        </w:rPr>
        <w:t xml:space="preserve"> </w:t>
      </w:r>
      <w:r w:rsidR="00800E28">
        <w:rPr>
          <w:rStyle w:val="normaltextrun"/>
          <w:rFonts w:cs="Arial"/>
          <w:color w:val="000000"/>
          <w:shd w:val="clear" w:color="auto" w:fill="FFFFFF"/>
        </w:rPr>
        <w:t>CalWQA Decisions</w:t>
      </w:r>
      <w:r>
        <w:rPr>
          <w:rStyle w:val="normaltextrun"/>
          <w:rFonts w:cs="Arial"/>
          <w:color w:val="000000"/>
          <w:shd w:val="clear" w:color="auto" w:fill="FFFFFF"/>
        </w:rPr>
        <w:t xml:space="preserve">, the listing status of the waterbody </w:t>
      </w:r>
      <w:r w:rsidR="001E2659">
        <w:rPr>
          <w:rStyle w:val="normaltextrun"/>
          <w:rFonts w:cs="Arial"/>
          <w:color w:val="000000"/>
          <w:shd w:val="clear" w:color="auto" w:fill="FFFFFF"/>
        </w:rPr>
        <w:t xml:space="preserve">segment </w:t>
      </w:r>
      <w:r>
        <w:rPr>
          <w:rStyle w:val="normaltextrun"/>
          <w:rFonts w:cs="Arial"/>
          <w:color w:val="000000"/>
          <w:shd w:val="clear" w:color="auto" w:fill="FFFFFF"/>
        </w:rPr>
        <w:t xml:space="preserve">for pyrethroids remained unchanged. </w:t>
      </w:r>
      <w:r w:rsidR="009F56D7">
        <w:rPr>
          <w:rStyle w:val="normaltextrun"/>
          <w:rFonts w:cs="Arial"/>
          <w:color w:val="000000"/>
          <w:shd w:val="clear" w:color="auto" w:fill="FFFFFF"/>
        </w:rPr>
        <w:t xml:space="preserve">However, </w:t>
      </w:r>
      <w:r w:rsidR="0002066A">
        <w:rPr>
          <w:rStyle w:val="normaltextrun"/>
          <w:rFonts w:cs="Arial"/>
          <w:color w:val="000000"/>
          <w:shd w:val="clear" w:color="auto" w:fill="FFFFFF"/>
        </w:rPr>
        <w:t xml:space="preserve">due to </w:t>
      </w:r>
      <w:r w:rsidR="003C6E34">
        <w:rPr>
          <w:rStyle w:val="normaltextrun"/>
          <w:rFonts w:cs="Arial"/>
          <w:color w:val="000000"/>
          <w:shd w:val="clear" w:color="auto" w:fill="FFFFFF"/>
        </w:rPr>
        <w:t>sample</w:t>
      </w:r>
      <w:r w:rsidR="006E5881">
        <w:rPr>
          <w:rStyle w:val="normaltextrun"/>
          <w:rFonts w:cs="Arial"/>
          <w:color w:val="000000"/>
          <w:shd w:val="clear" w:color="auto" w:fill="FFFFFF"/>
        </w:rPr>
        <w:t xml:space="preserve"> </w:t>
      </w:r>
      <w:r w:rsidR="00F71C8C">
        <w:rPr>
          <w:rStyle w:val="normaltextrun"/>
          <w:rFonts w:cs="Arial"/>
          <w:color w:val="000000"/>
          <w:shd w:val="clear" w:color="auto" w:fill="FFFFFF"/>
        </w:rPr>
        <w:t xml:space="preserve">exceedances of the </w:t>
      </w:r>
      <w:r w:rsidR="003C6E34">
        <w:rPr>
          <w:rStyle w:val="normaltextrun"/>
          <w:rFonts w:cs="Arial"/>
          <w:color w:val="000000"/>
          <w:shd w:val="clear" w:color="auto" w:fill="FFFFFF"/>
        </w:rPr>
        <w:t>aquatic life water matrix evaluation guideline,</w:t>
      </w:r>
      <w:r w:rsidR="00F71C8C">
        <w:rPr>
          <w:rStyle w:val="normaltextrun"/>
          <w:rFonts w:cs="Arial"/>
          <w:color w:val="000000"/>
          <w:shd w:val="clear" w:color="auto" w:fill="FFFFFF"/>
        </w:rPr>
        <w:t xml:space="preserve"> </w:t>
      </w:r>
      <w:r w:rsidR="00BB14D2">
        <w:rPr>
          <w:rStyle w:val="normaltextrun"/>
          <w:rFonts w:cs="Arial"/>
          <w:color w:val="000000"/>
          <w:shd w:val="clear" w:color="auto" w:fill="FFFFFF"/>
        </w:rPr>
        <w:t xml:space="preserve">ten </w:t>
      </w:r>
      <w:r w:rsidR="003C6E34">
        <w:rPr>
          <w:rStyle w:val="normaltextrun"/>
          <w:rFonts w:cs="Arial"/>
          <w:color w:val="000000"/>
          <w:shd w:val="clear" w:color="auto" w:fill="FFFFFF"/>
        </w:rPr>
        <w:t xml:space="preserve">of the </w:t>
      </w:r>
      <w:r w:rsidR="00C168B5">
        <w:rPr>
          <w:rStyle w:val="normaltextrun"/>
          <w:rFonts w:cs="Arial"/>
          <w:color w:val="000000"/>
          <w:shd w:val="clear" w:color="auto" w:fill="FFFFFF"/>
        </w:rPr>
        <w:t xml:space="preserve">45 </w:t>
      </w:r>
      <w:r w:rsidR="0085738A">
        <w:rPr>
          <w:rStyle w:val="normaltextrun"/>
          <w:rFonts w:cs="Arial"/>
          <w:color w:val="000000"/>
          <w:shd w:val="clear" w:color="auto" w:fill="FFFFFF"/>
        </w:rPr>
        <w:t xml:space="preserve">CalWQA Decisions </w:t>
      </w:r>
      <w:r w:rsidR="00C168B5">
        <w:rPr>
          <w:rStyle w:val="normaltextrun"/>
          <w:rFonts w:cs="Arial"/>
          <w:color w:val="000000"/>
          <w:shd w:val="clear" w:color="auto" w:fill="FFFFFF"/>
        </w:rPr>
        <w:t>in</w:t>
      </w:r>
      <w:r w:rsidR="0085738A">
        <w:rPr>
          <w:rStyle w:val="normaltextrun"/>
          <w:rFonts w:cs="Arial"/>
          <w:color w:val="000000"/>
          <w:shd w:val="clear" w:color="auto" w:fill="FFFFFF"/>
        </w:rPr>
        <w:t xml:space="preserve"> the Colorado </w:t>
      </w:r>
      <w:r w:rsidR="00063B64">
        <w:rPr>
          <w:rStyle w:val="normaltextrun"/>
          <w:rFonts w:cs="Arial"/>
          <w:color w:val="000000"/>
          <w:shd w:val="clear" w:color="auto" w:fill="FFFFFF"/>
        </w:rPr>
        <w:t xml:space="preserve">River </w:t>
      </w:r>
      <w:r w:rsidR="00BE2BE2">
        <w:rPr>
          <w:rStyle w:val="normaltextrun"/>
          <w:rFonts w:cs="Arial"/>
          <w:color w:val="000000"/>
          <w:shd w:val="clear" w:color="auto" w:fill="FFFFFF"/>
        </w:rPr>
        <w:t>R</w:t>
      </w:r>
      <w:r w:rsidR="00063B64">
        <w:rPr>
          <w:rStyle w:val="normaltextrun"/>
          <w:rFonts w:cs="Arial"/>
          <w:color w:val="000000"/>
          <w:shd w:val="clear" w:color="auto" w:fill="FFFFFF"/>
        </w:rPr>
        <w:t xml:space="preserve">egion </w:t>
      </w:r>
      <w:r w:rsidR="0002066A">
        <w:rPr>
          <w:rStyle w:val="normaltextrun"/>
          <w:rFonts w:cs="Arial"/>
          <w:color w:val="000000"/>
          <w:shd w:val="clear" w:color="auto" w:fill="FFFFFF"/>
        </w:rPr>
        <w:t>were</w:t>
      </w:r>
      <w:r w:rsidR="00BD23F1">
        <w:rPr>
          <w:rStyle w:val="normaltextrun"/>
          <w:rFonts w:cs="Arial"/>
          <w:color w:val="000000"/>
          <w:shd w:val="clear" w:color="auto" w:fill="FFFFFF"/>
        </w:rPr>
        <w:t xml:space="preserve"> </w:t>
      </w:r>
      <w:r w:rsidR="00AC102D">
        <w:rPr>
          <w:rStyle w:val="normaltextrun"/>
          <w:rFonts w:cs="Arial"/>
          <w:color w:val="000000"/>
          <w:shd w:val="clear" w:color="auto" w:fill="FFFFFF"/>
        </w:rPr>
        <w:t xml:space="preserve">listed </w:t>
      </w:r>
      <w:r w:rsidR="009C7A99">
        <w:rPr>
          <w:rStyle w:val="normaltextrun"/>
          <w:rFonts w:cs="Arial"/>
          <w:color w:val="000000"/>
          <w:shd w:val="clear" w:color="auto" w:fill="FFFFFF"/>
        </w:rPr>
        <w:t>on the 303(d) list for the 2026 California Integrated Report.</w:t>
      </w:r>
      <w:r w:rsidR="0002066A">
        <w:rPr>
          <w:rStyle w:val="normaltextrun"/>
          <w:rFonts w:cs="Arial"/>
          <w:color w:val="000000"/>
          <w:shd w:val="clear" w:color="auto" w:fill="FFFFFF"/>
        </w:rPr>
        <w:t xml:space="preserve"> </w:t>
      </w:r>
      <w:r w:rsidR="00656126">
        <w:rPr>
          <w:rStyle w:val="normaltextrun"/>
          <w:rFonts w:cs="Arial"/>
          <w:color w:val="000000"/>
          <w:shd w:val="clear" w:color="auto" w:fill="FFFFFF"/>
        </w:rPr>
        <w:t xml:space="preserve">See section </w:t>
      </w:r>
      <w:r w:rsidR="00C275E2">
        <w:rPr>
          <w:rStyle w:val="normaltextrun"/>
          <w:rFonts w:cs="Arial"/>
          <w:color w:val="000000"/>
          <w:shd w:val="clear" w:color="auto" w:fill="FFFFFF"/>
        </w:rPr>
        <w:t xml:space="preserve">3.6 for more information </w:t>
      </w:r>
      <w:r w:rsidR="009B0F9B">
        <w:rPr>
          <w:rStyle w:val="normaltextrun"/>
          <w:rFonts w:cs="Arial"/>
          <w:color w:val="000000"/>
          <w:shd w:val="clear" w:color="auto" w:fill="FFFFFF"/>
        </w:rPr>
        <w:t xml:space="preserve">on the assessment methodology for pyrethroids in sediment. </w:t>
      </w:r>
    </w:p>
    <w:p w14:paraId="1E25E56C" w14:textId="0BB71F7E" w:rsidR="00236A88" w:rsidRPr="00236A88" w:rsidRDefault="00236A88" w:rsidP="00236A88">
      <w:pPr>
        <w:pStyle w:val="Caption"/>
      </w:pPr>
      <w:r w:rsidRPr="00236A88">
        <w:t>Table 4-2: Number of CalWQA Decisions Affected by Pyrethroid Pesticide Miscalculated Organic Carbon Normalization Error</w:t>
      </w:r>
    </w:p>
    <w:tbl>
      <w:tblPr>
        <w:tblStyle w:val="TableGrid"/>
        <w:tblW w:w="7012" w:type="dxa"/>
        <w:tblCellMar>
          <w:top w:w="58" w:type="dxa"/>
          <w:bottom w:w="58" w:type="dxa"/>
        </w:tblCellMar>
        <w:tblLook w:val="04A0" w:firstRow="1" w:lastRow="0" w:firstColumn="1" w:lastColumn="0" w:noHBand="0" w:noVBand="1"/>
        <w:tblCaption w:val="Number of CalWQA Decisions Affected by Pyrethroid Pesticide Miscalculated Organic Carbon Normalization"/>
        <w:tblDescription w:val="This table shows the number of CalWQA decisions of pyrethroids, permethrin, cypermethrin, deltamethrin, and benthic community effects affected by the pyrethroid pesticide miscalculated organic carbon normalization for the Central Coast, Central Valley, and San Diego Regions. "/>
      </w:tblPr>
      <w:tblGrid>
        <w:gridCol w:w="2337"/>
        <w:gridCol w:w="2337"/>
        <w:gridCol w:w="2338"/>
      </w:tblGrid>
      <w:tr w:rsidR="001B54BD" w14:paraId="39E0DEE5" w14:textId="77777777">
        <w:trPr>
          <w:trHeight w:val="300"/>
        </w:trPr>
        <w:tc>
          <w:tcPr>
            <w:tcW w:w="2337" w:type="dxa"/>
            <w:shd w:val="clear" w:color="auto" w:fill="D9E2F3" w:themeFill="accent1" w:themeFillTint="33"/>
            <w:vAlign w:val="center"/>
          </w:tcPr>
          <w:p w14:paraId="7B4310A9" w14:textId="77777777" w:rsidR="001B54BD" w:rsidRPr="009C2D2D" w:rsidRDefault="001B54BD">
            <w:pPr>
              <w:spacing w:after="0"/>
              <w:jc w:val="center"/>
              <w:rPr>
                <w:rStyle w:val="normaltextrun"/>
                <w:rFonts w:cs="Arial"/>
                <w:b/>
                <w:bCs/>
                <w:color w:val="000000"/>
                <w:shd w:val="clear" w:color="auto" w:fill="FFFFFF"/>
              </w:rPr>
            </w:pPr>
            <w:r w:rsidRPr="009C2D2D">
              <w:rPr>
                <w:b/>
                <w:bCs/>
              </w:rPr>
              <w:t>Decision Pollutant</w:t>
            </w:r>
          </w:p>
        </w:tc>
        <w:tc>
          <w:tcPr>
            <w:tcW w:w="2337" w:type="dxa"/>
            <w:shd w:val="clear" w:color="auto" w:fill="D9E2F3" w:themeFill="accent1" w:themeFillTint="33"/>
            <w:vAlign w:val="center"/>
          </w:tcPr>
          <w:p w14:paraId="56E323AC" w14:textId="2CCEF334" w:rsidR="001B54BD" w:rsidRPr="009C2D2D" w:rsidRDefault="001B54BD">
            <w:pPr>
              <w:spacing w:after="0"/>
              <w:jc w:val="center"/>
              <w:rPr>
                <w:rStyle w:val="normaltextrun"/>
                <w:rFonts w:cs="Arial"/>
                <w:b/>
                <w:bCs/>
                <w:color w:val="000000"/>
                <w:shd w:val="clear" w:color="auto" w:fill="FFFFFF"/>
              </w:rPr>
            </w:pPr>
            <w:r w:rsidRPr="37C9A958">
              <w:rPr>
                <w:b/>
                <w:bCs/>
              </w:rPr>
              <w:t xml:space="preserve">North Coast </w:t>
            </w:r>
            <w:r w:rsidRPr="009C2D2D">
              <w:rPr>
                <w:b/>
                <w:bCs/>
              </w:rPr>
              <w:t xml:space="preserve">Region </w:t>
            </w:r>
          </w:p>
        </w:tc>
        <w:tc>
          <w:tcPr>
            <w:tcW w:w="2338" w:type="dxa"/>
            <w:shd w:val="clear" w:color="auto" w:fill="D9E2F3" w:themeFill="accent1" w:themeFillTint="33"/>
            <w:vAlign w:val="center"/>
          </w:tcPr>
          <w:p w14:paraId="62DC561F" w14:textId="63A15CF6" w:rsidR="001B54BD" w:rsidRPr="009C2D2D" w:rsidRDefault="001B54BD">
            <w:pPr>
              <w:spacing w:after="0"/>
              <w:jc w:val="center"/>
              <w:rPr>
                <w:rStyle w:val="normaltextrun"/>
                <w:rFonts w:cs="Arial"/>
                <w:b/>
                <w:bCs/>
                <w:color w:val="000000"/>
                <w:shd w:val="clear" w:color="auto" w:fill="FFFFFF"/>
              </w:rPr>
            </w:pPr>
            <w:r w:rsidRPr="37C9A958">
              <w:rPr>
                <w:b/>
                <w:bCs/>
              </w:rPr>
              <w:t>Colorado River</w:t>
            </w:r>
            <w:r w:rsidRPr="009C2D2D">
              <w:rPr>
                <w:b/>
                <w:bCs/>
              </w:rPr>
              <w:t xml:space="preserve"> Region </w:t>
            </w:r>
          </w:p>
        </w:tc>
      </w:tr>
      <w:tr w:rsidR="001B54BD" w14:paraId="1A7FA959" w14:textId="77777777">
        <w:trPr>
          <w:trHeight w:val="576"/>
        </w:trPr>
        <w:tc>
          <w:tcPr>
            <w:tcW w:w="2337" w:type="dxa"/>
            <w:vAlign w:val="center"/>
          </w:tcPr>
          <w:p w14:paraId="02D3C5CC" w14:textId="77777777" w:rsidR="001B54BD" w:rsidRDefault="001B54BD">
            <w:pPr>
              <w:spacing w:after="0"/>
              <w:rPr>
                <w:rStyle w:val="normaltextrun"/>
                <w:rFonts w:cs="Arial"/>
                <w:color w:val="000000"/>
                <w:shd w:val="clear" w:color="auto" w:fill="FFFFFF"/>
              </w:rPr>
            </w:pPr>
            <w:r>
              <w:rPr>
                <w:rStyle w:val="normaltextrun"/>
                <w:rFonts w:cs="Arial"/>
                <w:color w:val="000000"/>
                <w:shd w:val="clear" w:color="auto" w:fill="FFFFFF"/>
              </w:rPr>
              <w:t>Pyrethroids</w:t>
            </w:r>
          </w:p>
        </w:tc>
        <w:tc>
          <w:tcPr>
            <w:tcW w:w="2337" w:type="dxa"/>
            <w:vAlign w:val="center"/>
          </w:tcPr>
          <w:p w14:paraId="1157C4FB" w14:textId="75491F79" w:rsidR="001B54BD" w:rsidRDefault="001B54BD">
            <w:pPr>
              <w:spacing w:after="0"/>
              <w:jc w:val="center"/>
              <w:rPr>
                <w:rStyle w:val="normaltextrun"/>
                <w:rFonts w:eastAsiaTheme="minorEastAsia" w:cs="Arial"/>
                <w:color w:val="000000"/>
                <w:shd w:val="clear" w:color="auto" w:fill="FFFFFF"/>
              </w:rPr>
            </w:pPr>
            <w:r>
              <w:rPr>
                <w:rStyle w:val="normaltextrun"/>
                <w:rFonts w:cs="Arial"/>
                <w:color w:val="000000"/>
                <w:shd w:val="clear" w:color="auto" w:fill="FFFFFF"/>
              </w:rPr>
              <w:t>8</w:t>
            </w:r>
          </w:p>
        </w:tc>
        <w:tc>
          <w:tcPr>
            <w:tcW w:w="2338" w:type="dxa"/>
            <w:vAlign w:val="center"/>
          </w:tcPr>
          <w:p w14:paraId="6F2C888E" w14:textId="2A2DB5CC" w:rsidR="001B54BD" w:rsidRDefault="001B54BD">
            <w:pPr>
              <w:spacing w:after="0"/>
              <w:jc w:val="center"/>
              <w:rPr>
                <w:rFonts w:eastAsia="Arial" w:cs="Arial"/>
                <w:szCs w:val="24"/>
              </w:rPr>
            </w:pPr>
            <w:r w:rsidRPr="0C59F1F3">
              <w:rPr>
                <w:rStyle w:val="normaltextrun"/>
                <w:rFonts w:cs="Arial"/>
                <w:color w:val="000000" w:themeColor="text1"/>
              </w:rPr>
              <w:t>12</w:t>
            </w:r>
          </w:p>
        </w:tc>
      </w:tr>
      <w:tr w:rsidR="001B54BD" w14:paraId="39D10F28" w14:textId="77777777">
        <w:trPr>
          <w:trHeight w:val="576"/>
        </w:trPr>
        <w:tc>
          <w:tcPr>
            <w:tcW w:w="2337" w:type="dxa"/>
            <w:vAlign w:val="center"/>
          </w:tcPr>
          <w:p w14:paraId="2E907541" w14:textId="77777777" w:rsidR="001B54BD" w:rsidRDefault="001B54BD">
            <w:pPr>
              <w:spacing w:after="0"/>
              <w:rPr>
                <w:rStyle w:val="normaltextrun"/>
                <w:rFonts w:cs="Arial"/>
                <w:color w:val="000000"/>
                <w:shd w:val="clear" w:color="auto" w:fill="FFFFFF"/>
              </w:rPr>
            </w:pPr>
            <w:r>
              <w:rPr>
                <w:rStyle w:val="normaltextrun"/>
                <w:rFonts w:cs="Arial"/>
                <w:color w:val="000000"/>
                <w:shd w:val="clear" w:color="auto" w:fill="FFFFFF"/>
              </w:rPr>
              <w:t>Permethrin</w:t>
            </w:r>
          </w:p>
        </w:tc>
        <w:tc>
          <w:tcPr>
            <w:tcW w:w="2337" w:type="dxa"/>
            <w:vAlign w:val="center"/>
          </w:tcPr>
          <w:p w14:paraId="76EF01BF" w14:textId="0C168764" w:rsidR="001B54BD" w:rsidRDefault="001B54BD">
            <w:pPr>
              <w:spacing w:after="0"/>
              <w:jc w:val="center"/>
              <w:rPr>
                <w:rFonts w:eastAsia="Arial" w:cs="Arial"/>
                <w:szCs w:val="24"/>
              </w:rPr>
            </w:pPr>
            <w:r w:rsidRPr="0741913F">
              <w:rPr>
                <w:rStyle w:val="normaltextrun"/>
                <w:rFonts w:cs="Arial"/>
                <w:color w:val="000000" w:themeColor="text1"/>
              </w:rPr>
              <w:t>7</w:t>
            </w:r>
          </w:p>
        </w:tc>
        <w:tc>
          <w:tcPr>
            <w:tcW w:w="2338" w:type="dxa"/>
            <w:vAlign w:val="center"/>
          </w:tcPr>
          <w:p w14:paraId="4A22F2FF" w14:textId="1A4DF025" w:rsidR="001B54BD" w:rsidRDefault="001B54BD">
            <w:pPr>
              <w:spacing w:after="0"/>
              <w:jc w:val="center"/>
              <w:rPr>
                <w:rFonts w:eastAsia="Arial" w:cs="Arial"/>
                <w:szCs w:val="24"/>
              </w:rPr>
            </w:pPr>
            <w:r w:rsidRPr="0C59F1F3">
              <w:rPr>
                <w:rStyle w:val="normaltextrun"/>
                <w:rFonts w:cs="Arial"/>
                <w:color w:val="000000" w:themeColor="text1"/>
              </w:rPr>
              <w:t>9</w:t>
            </w:r>
          </w:p>
        </w:tc>
      </w:tr>
      <w:tr w:rsidR="001B54BD" w14:paraId="0A601425" w14:textId="77777777">
        <w:trPr>
          <w:trHeight w:val="576"/>
        </w:trPr>
        <w:tc>
          <w:tcPr>
            <w:tcW w:w="2337" w:type="dxa"/>
            <w:vAlign w:val="center"/>
          </w:tcPr>
          <w:p w14:paraId="243F484D" w14:textId="77777777" w:rsidR="001B54BD" w:rsidRDefault="001B54BD">
            <w:pPr>
              <w:spacing w:after="0"/>
              <w:rPr>
                <w:rStyle w:val="normaltextrun"/>
                <w:rFonts w:cs="Arial"/>
                <w:color w:val="000000"/>
                <w:shd w:val="clear" w:color="auto" w:fill="FFFFFF"/>
              </w:rPr>
            </w:pPr>
            <w:r>
              <w:rPr>
                <w:rStyle w:val="normaltextrun"/>
                <w:rFonts w:cs="Arial"/>
                <w:color w:val="000000"/>
                <w:shd w:val="clear" w:color="auto" w:fill="FFFFFF"/>
              </w:rPr>
              <w:t>Cypermethrin</w:t>
            </w:r>
          </w:p>
        </w:tc>
        <w:tc>
          <w:tcPr>
            <w:tcW w:w="2337" w:type="dxa"/>
            <w:vAlign w:val="center"/>
          </w:tcPr>
          <w:p w14:paraId="2AC5727D" w14:textId="3ABF6357" w:rsidR="001B54BD" w:rsidRDefault="001B54BD">
            <w:pPr>
              <w:spacing w:after="0"/>
              <w:jc w:val="center"/>
              <w:rPr>
                <w:rFonts w:eastAsia="Arial" w:cs="Arial"/>
                <w:szCs w:val="24"/>
              </w:rPr>
            </w:pPr>
            <w:r w:rsidRPr="55BC7891">
              <w:rPr>
                <w:rStyle w:val="normaltextrun"/>
                <w:rFonts w:cs="Arial"/>
                <w:color w:val="000000" w:themeColor="text1"/>
              </w:rPr>
              <w:t>7</w:t>
            </w:r>
          </w:p>
        </w:tc>
        <w:tc>
          <w:tcPr>
            <w:tcW w:w="2338" w:type="dxa"/>
            <w:vAlign w:val="center"/>
          </w:tcPr>
          <w:p w14:paraId="73C5E7F2" w14:textId="23C62EF1" w:rsidR="001B54BD" w:rsidRDefault="001B54BD">
            <w:pPr>
              <w:spacing w:after="0"/>
              <w:jc w:val="center"/>
              <w:rPr>
                <w:rStyle w:val="normaltextrun"/>
                <w:rFonts w:eastAsiaTheme="minorEastAsia" w:cs="Arial"/>
                <w:color w:val="000000"/>
                <w:shd w:val="clear" w:color="auto" w:fill="FFFFFF"/>
              </w:rPr>
            </w:pPr>
            <w:r>
              <w:rPr>
                <w:rStyle w:val="normaltextrun"/>
                <w:rFonts w:cs="Arial"/>
                <w:color w:val="000000"/>
                <w:shd w:val="clear" w:color="auto" w:fill="FFFFFF"/>
              </w:rPr>
              <w:t>12</w:t>
            </w:r>
          </w:p>
        </w:tc>
      </w:tr>
      <w:tr w:rsidR="001B54BD" w14:paraId="3FAD4B8E" w14:textId="77777777">
        <w:trPr>
          <w:trHeight w:val="576"/>
        </w:trPr>
        <w:tc>
          <w:tcPr>
            <w:tcW w:w="2337" w:type="dxa"/>
            <w:vAlign w:val="center"/>
          </w:tcPr>
          <w:p w14:paraId="22F19234" w14:textId="77777777" w:rsidR="001B54BD" w:rsidRDefault="001B54BD">
            <w:pPr>
              <w:spacing w:after="0"/>
              <w:rPr>
                <w:rStyle w:val="normaltextrun"/>
                <w:rFonts w:cs="Arial"/>
                <w:color w:val="000000"/>
                <w:shd w:val="clear" w:color="auto" w:fill="FFFFFF"/>
              </w:rPr>
            </w:pPr>
            <w:r>
              <w:rPr>
                <w:rStyle w:val="normaltextrun"/>
                <w:rFonts w:cs="Arial"/>
                <w:color w:val="000000"/>
                <w:shd w:val="clear" w:color="auto" w:fill="FFFFFF"/>
              </w:rPr>
              <w:t>Deltamethrin</w:t>
            </w:r>
          </w:p>
        </w:tc>
        <w:tc>
          <w:tcPr>
            <w:tcW w:w="2337" w:type="dxa"/>
            <w:vAlign w:val="center"/>
          </w:tcPr>
          <w:p w14:paraId="2882A8AA" w14:textId="1448530F" w:rsidR="001B54BD" w:rsidRDefault="001B54BD">
            <w:pPr>
              <w:spacing w:after="0"/>
              <w:jc w:val="center"/>
              <w:rPr>
                <w:rFonts w:eastAsia="Arial" w:cs="Arial"/>
                <w:szCs w:val="24"/>
              </w:rPr>
            </w:pPr>
            <w:r w:rsidRPr="175E176A">
              <w:rPr>
                <w:rStyle w:val="normaltextrun"/>
                <w:rFonts w:cs="Arial"/>
                <w:color w:val="000000" w:themeColor="text1"/>
              </w:rPr>
              <w:t>7</w:t>
            </w:r>
          </w:p>
        </w:tc>
        <w:tc>
          <w:tcPr>
            <w:tcW w:w="2338" w:type="dxa"/>
            <w:vAlign w:val="center"/>
          </w:tcPr>
          <w:p w14:paraId="378D3815" w14:textId="33203B7B" w:rsidR="001B54BD" w:rsidRDefault="001B54BD">
            <w:pPr>
              <w:spacing w:after="0"/>
              <w:jc w:val="center"/>
              <w:rPr>
                <w:rFonts w:eastAsia="Arial" w:cs="Arial"/>
                <w:szCs w:val="24"/>
              </w:rPr>
            </w:pPr>
            <w:r w:rsidRPr="1A2B2D41">
              <w:rPr>
                <w:rStyle w:val="normaltextrun"/>
                <w:rFonts w:cs="Arial"/>
                <w:color w:val="000000" w:themeColor="text1"/>
              </w:rPr>
              <w:t>12</w:t>
            </w:r>
          </w:p>
        </w:tc>
      </w:tr>
      <w:tr w:rsidR="001B54BD" w14:paraId="22518A18" w14:textId="77777777">
        <w:trPr>
          <w:trHeight w:val="576"/>
        </w:trPr>
        <w:tc>
          <w:tcPr>
            <w:tcW w:w="2337" w:type="dxa"/>
            <w:vAlign w:val="center"/>
          </w:tcPr>
          <w:p w14:paraId="6DAE34A0" w14:textId="77777777" w:rsidR="001B54BD" w:rsidRDefault="001B54BD">
            <w:pPr>
              <w:spacing w:after="0"/>
              <w:rPr>
                <w:rStyle w:val="normaltextrun"/>
                <w:rFonts w:cs="Arial"/>
                <w:color w:val="000000"/>
                <w:shd w:val="clear" w:color="auto" w:fill="FFFFFF"/>
              </w:rPr>
            </w:pPr>
            <w:r>
              <w:rPr>
                <w:rStyle w:val="normaltextrun"/>
                <w:rFonts w:cs="Arial"/>
                <w:color w:val="000000"/>
                <w:shd w:val="clear" w:color="auto" w:fill="FFFFFF"/>
              </w:rPr>
              <w:t>Total</w:t>
            </w:r>
          </w:p>
        </w:tc>
        <w:tc>
          <w:tcPr>
            <w:tcW w:w="2337" w:type="dxa"/>
            <w:vAlign w:val="center"/>
          </w:tcPr>
          <w:p w14:paraId="4F25C4B4" w14:textId="2427D6E2" w:rsidR="001B54BD" w:rsidRDefault="001B54BD">
            <w:pPr>
              <w:spacing w:after="0"/>
              <w:jc w:val="center"/>
              <w:rPr>
                <w:rFonts w:eastAsia="Arial" w:cs="Arial"/>
                <w:szCs w:val="24"/>
              </w:rPr>
            </w:pPr>
            <w:r w:rsidRPr="0FA017AF">
              <w:rPr>
                <w:rStyle w:val="normaltextrun"/>
                <w:rFonts w:cs="Arial"/>
                <w:color w:val="000000" w:themeColor="text1"/>
              </w:rPr>
              <w:t>29</w:t>
            </w:r>
          </w:p>
        </w:tc>
        <w:tc>
          <w:tcPr>
            <w:tcW w:w="2338" w:type="dxa"/>
            <w:vAlign w:val="center"/>
          </w:tcPr>
          <w:p w14:paraId="76F7FA7D" w14:textId="2CF21481" w:rsidR="001B54BD" w:rsidRDefault="001B54BD">
            <w:pPr>
              <w:spacing w:after="0"/>
              <w:jc w:val="center"/>
              <w:rPr>
                <w:rFonts w:eastAsia="Arial" w:cs="Arial"/>
                <w:szCs w:val="24"/>
              </w:rPr>
            </w:pPr>
            <w:r w:rsidRPr="43B3C93E">
              <w:rPr>
                <w:rStyle w:val="normaltextrun"/>
                <w:rFonts w:cs="Arial"/>
                <w:color w:val="000000" w:themeColor="text1"/>
              </w:rPr>
              <w:t>45</w:t>
            </w:r>
          </w:p>
        </w:tc>
      </w:tr>
    </w:tbl>
    <w:p w14:paraId="6372833D" w14:textId="3619D90E" w:rsidR="0096187C" w:rsidRDefault="00BB14CF" w:rsidP="000210A0">
      <w:pPr>
        <w:pStyle w:val="Heading2"/>
      </w:pPr>
      <w:bookmarkStart w:id="131" w:name="_Toc189048601"/>
      <w:r>
        <w:t xml:space="preserve">Interpretation of </w:t>
      </w:r>
      <w:r w:rsidR="00012585">
        <w:t>Listing Policy Section 6.1.4</w:t>
      </w:r>
      <w:r>
        <w:t xml:space="preserve"> for </w:t>
      </w:r>
      <w:r w:rsidR="00F54070">
        <w:t>QAPP</w:t>
      </w:r>
      <w:r>
        <w:t xml:space="preserve"> Requirements</w:t>
      </w:r>
      <w:bookmarkEnd w:id="131"/>
    </w:p>
    <w:p w14:paraId="764F7179" w14:textId="77777777" w:rsidR="000210A0" w:rsidRPr="002A0477" w:rsidRDefault="000210A0" w:rsidP="000210A0">
      <w:pPr>
        <w:rPr>
          <w:rFonts w:eastAsia="Arial" w:cs="Arial"/>
          <w:szCs w:val="24"/>
        </w:rPr>
      </w:pPr>
      <w:r>
        <w:t>In accordance with section 6.1.4 of the Listing Policy, data supported by a QAPP, QAPP-equivalent documentation, or from major monitoring programs in California are considered of adequate quality and acceptable for use in developing the 303(d) list. Regarding data from major monitoring programs, section 6.1.4 states:</w:t>
      </w:r>
    </w:p>
    <w:p w14:paraId="60C1287D" w14:textId="77777777" w:rsidR="000210A0" w:rsidRPr="00E76169" w:rsidRDefault="000210A0" w:rsidP="000210A0">
      <w:pPr>
        <w:ind w:left="360"/>
        <w:rPr>
          <w:rFonts w:eastAsia="Arial" w:cs="Arial"/>
          <w:szCs w:val="24"/>
        </w:rPr>
      </w:pPr>
      <w:r w:rsidRPr="002A0477">
        <w:rPr>
          <w:szCs w:val="24"/>
        </w:rPr>
        <w:t xml:space="preserve">The data from major monitoring programs in California and published U.S. Geological Survey (USGS) reports are considered of adequate quality. The major programs include </w:t>
      </w:r>
      <w:r>
        <w:rPr>
          <w:szCs w:val="24"/>
        </w:rPr>
        <w:t>SWAMP</w:t>
      </w:r>
      <w:r w:rsidRPr="002A0477">
        <w:rPr>
          <w:szCs w:val="24"/>
        </w:rPr>
        <w:t xml:space="preserve">, the Southern California Bight </w:t>
      </w:r>
      <w:r w:rsidRPr="00E76169">
        <w:rPr>
          <w:szCs w:val="24"/>
        </w:rPr>
        <w:t>Projects of the Southern California Coastal Water Research Project, U.S. EPA’s Environmental Monitoring and Assessment Program, the Regional Monitoring Program of the San Francisco Estuary Institute, and the [Bay Protection and Toxic Cleanup Program].</w:t>
      </w:r>
    </w:p>
    <w:p w14:paraId="2ECCA8D6" w14:textId="777D85D0" w:rsidR="003109B3" w:rsidRDefault="000210A0" w:rsidP="000210A0">
      <w:pPr>
        <w:rPr>
          <w:szCs w:val="24"/>
        </w:rPr>
      </w:pPr>
      <w:r>
        <w:t xml:space="preserve">This text has historically been construed </w:t>
      </w:r>
      <w:r w:rsidR="006D70E9">
        <w:t>as a non-</w:t>
      </w:r>
      <w:r>
        <w:t xml:space="preserve">exclusive list of the major monitoring programs from which data would be considered of adequate quality. </w:t>
      </w:r>
      <w:r w:rsidRPr="00E76169">
        <w:t xml:space="preserve">Therefore, data from </w:t>
      </w:r>
      <w:r w:rsidR="002569F3">
        <w:t>other</w:t>
      </w:r>
      <w:r w:rsidRPr="00E76169">
        <w:t xml:space="preserve"> major monitoring program</w:t>
      </w:r>
      <w:r w:rsidR="002569F3">
        <w:t>s</w:t>
      </w:r>
      <w:r w:rsidR="006D70E9">
        <w:t xml:space="preserve"> in California</w:t>
      </w:r>
      <w:r w:rsidRPr="00E76169">
        <w:t xml:space="preserve">, in addition to those identified under section 6.1.4, </w:t>
      </w:r>
      <w:r>
        <w:t xml:space="preserve">historically </w:t>
      </w:r>
      <w:r w:rsidR="000C1582">
        <w:t>were</w:t>
      </w:r>
      <w:r w:rsidRPr="00E76169">
        <w:t xml:space="preserve"> considered of adequate quality</w:t>
      </w:r>
      <w:r w:rsidR="00E70B2F">
        <w:t>.</w:t>
      </w:r>
      <w:r w:rsidR="003109B3">
        <w:t xml:space="preserve"> </w:t>
      </w:r>
      <w:r>
        <w:t>T</w:t>
      </w:r>
      <w:r w:rsidRPr="00E76169">
        <w:t xml:space="preserve">he 2024 303(d) List </w:t>
      </w:r>
      <w:r w:rsidRPr="0094678A">
        <w:rPr>
          <w:szCs w:val="24"/>
        </w:rPr>
        <w:t xml:space="preserve">contains </w:t>
      </w:r>
      <w:r w:rsidR="004A6585">
        <w:rPr>
          <w:szCs w:val="24"/>
        </w:rPr>
        <w:t>Decisions</w:t>
      </w:r>
      <w:r w:rsidRPr="0094678A">
        <w:rPr>
          <w:szCs w:val="24"/>
        </w:rPr>
        <w:t xml:space="preserve"> that rely on data submitted by approximately seven data providers for which staff </w:t>
      </w:r>
      <w:r w:rsidR="002F7D20">
        <w:rPr>
          <w:szCs w:val="24"/>
        </w:rPr>
        <w:t>had not</w:t>
      </w:r>
      <w:r w:rsidRPr="0094678A">
        <w:rPr>
          <w:szCs w:val="24"/>
        </w:rPr>
        <w:t xml:space="preserve"> </w:t>
      </w:r>
      <w:r w:rsidR="002F7D20" w:rsidRPr="0094678A">
        <w:rPr>
          <w:szCs w:val="24"/>
        </w:rPr>
        <w:t>verif</w:t>
      </w:r>
      <w:r w:rsidR="002F7D20">
        <w:rPr>
          <w:szCs w:val="24"/>
        </w:rPr>
        <w:t>ied</w:t>
      </w:r>
      <w:r w:rsidR="002F7D20" w:rsidRPr="0094678A">
        <w:rPr>
          <w:szCs w:val="24"/>
        </w:rPr>
        <w:t xml:space="preserve"> </w:t>
      </w:r>
      <w:r w:rsidRPr="0094678A">
        <w:rPr>
          <w:szCs w:val="24"/>
        </w:rPr>
        <w:t xml:space="preserve">whether the data </w:t>
      </w:r>
      <w:r w:rsidR="00F20E76">
        <w:rPr>
          <w:szCs w:val="24"/>
        </w:rPr>
        <w:t>were</w:t>
      </w:r>
      <w:r w:rsidRPr="0094678A">
        <w:rPr>
          <w:szCs w:val="24"/>
        </w:rPr>
        <w:t xml:space="preserve"> supported by a QAPP. </w:t>
      </w:r>
    </w:p>
    <w:p w14:paraId="36F5DF53" w14:textId="77777777" w:rsidR="00A26E3B" w:rsidRDefault="000210A0" w:rsidP="000210A0">
      <w:pPr>
        <w:rPr>
          <w:szCs w:val="24"/>
        </w:rPr>
      </w:pPr>
      <w:r>
        <w:rPr>
          <w:szCs w:val="24"/>
        </w:rPr>
        <w:t xml:space="preserve">In approving the 2024 303(d) List by </w:t>
      </w:r>
      <w:hyperlink r:id="rId59" w:history="1">
        <w:r w:rsidRPr="003271F3">
          <w:rPr>
            <w:rStyle w:val="Hyperlink"/>
            <w:szCs w:val="24"/>
          </w:rPr>
          <w:t>Resolution No. 2024-0007</w:t>
        </w:r>
      </w:hyperlink>
      <w:r>
        <w:rPr>
          <w:rStyle w:val="Hyperlink"/>
          <w:szCs w:val="24"/>
        </w:rPr>
        <w:t xml:space="preserve"> </w:t>
      </w:r>
      <w:r>
        <w:rPr>
          <w:szCs w:val="24"/>
        </w:rPr>
        <w:t>(</w:t>
      </w:r>
      <w:hyperlink r:id="rId60" w:history="1">
        <w:r w:rsidRPr="00B36F80">
          <w:rPr>
            <w:rStyle w:val="Hyperlink"/>
            <w:szCs w:val="24"/>
          </w:rPr>
          <w:t>https://www.waterboards.ca.gov/water_issues/programs/water_quality_assessment/2024_integrated_report/rs202</w:t>
        </w:r>
        <w:bookmarkStart w:id="132" w:name="_Hlt178160247"/>
        <w:bookmarkStart w:id="133" w:name="_Hlt178160248"/>
        <w:bookmarkEnd w:id="132"/>
        <w:bookmarkEnd w:id="133"/>
        <w:r w:rsidRPr="00B36F80">
          <w:rPr>
            <w:rStyle w:val="Hyperlink"/>
            <w:szCs w:val="24"/>
          </w:rPr>
          <w:t>4-0007.pdf</w:t>
        </w:r>
      </w:hyperlink>
      <w:r>
        <w:rPr>
          <w:szCs w:val="24"/>
        </w:rPr>
        <w:t xml:space="preserve">), the State </w:t>
      </w:r>
      <w:r w:rsidRPr="0094678A">
        <w:rPr>
          <w:szCs w:val="24"/>
        </w:rPr>
        <w:t xml:space="preserve">Water Board </w:t>
      </w:r>
      <w:r>
        <w:rPr>
          <w:szCs w:val="24"/>
        </w:rPr>
        <w:t xml:space="preserve">directed </w:t>
      </w:r>
      <w:r w:rsidRPr="0094678A">
        <w:rPr>
          <w:szCs w:val="24"/>
        </w:rPr>
        <w:t xml:space="preserve">staff to </w:t>
      </w:r>
      <w:r>
        <w:rPr>
          <w:szCs w:val="24"/>
        </w:rPr>
        <w:t>verify</w:t>
      </w:r>
      <w:r w:rsidRPr="0094678A">
        <w:rPr>
          <w:szCs w:val="24"/>
        </w:rPr>
        <w:t xml:space="preserve"> the existence of QAPPs acceptable for use (i.e., satisfy the minimum elements set forth in section 6.1.4) to support new 2024 303(d) List </w:t>
      </w:r>
      <w:r w:rsidR="00602885">
        <w:rPr>
          <w:szCs w:val="24"/>
        </w:rPr>
        <w:t>Decisions</w:t>
      </w:r>
      <w:r w:rsidRPr="00E76169">
        <w:rPr>
          <w:szCs w:val="24"/>
        </w:rPr>
        <w:t xml:space="preserve"> for data submitted by monitoring programs not explicitly identified in section 6.1.4 by September 2024, and update </w:t>
      </w:r>
      <w:r>
        <w:rPr>
          <w:szCs w:val="24"/>
        </w:rPr>
        <w:t>W</w:t>
      </w:r>
      <w:r w:rsidRPr="00E76169">
        <w:rPr>
          <w:szCs w:val="24"/>
        </w:rPr>
        <w:t xml:space="preserve">aterbody </w:t>
      </w:r>
      <w:r>
        <w:rPr>
          <w:szCs w:val="24"/>
        </w:rPr>
        <w:t>F</w:t>
      </w:r>
      <w:r w:rsidRPr="00E76169">
        <w:rPr>
          <w:szCs w:val="24"/>
        </w:rPr>
        <w:t xml:space="preserve">act </w:t>
      </w:r>
      <w:r>
        <w:rPr>
          <w:szCs w:val="24"/>
        </w:rPr>
        <w:t>S</w:t>
      </w:r>
      <w:r w:rsidRPr="00E76169">
        <w:rPr>
          <w:szCs w:val="24"/>
        </w:rPr>
        <w:t xml:space="preserve">heets with the documentation </w:t>
      </w:r>
      <w:r w:rsidR="009618C7">
        <w:rPr>
          <w:szCs w:val="24"/>
        </w:rPr>
        <w:t>in a future</w:t>
      </w:r>
      <w:r w:rsidRPr="00E76169">
        <w:rPr>
          <w:szCs w:val="24"/>
        </w:rPr>
        <w:t xml:space="preserve"> listing cycle. If</w:t>
      </w:r>
      <w:r>
        <w:rPr>
          <w:szCs w:val="24"/>
        </w:rPr>
        <w:t xml:space="preserve"> any</w:t>
      </w:r>
      <w:r w:rsidRPr="00E76169">
        <w:rPr>
          <w:szCs w:val="24"/>
        </w:rPr>
        <w:t xml:space="preserve"> such data </w:t>
      </w:r>
      <w:r>
        <w:rPr>
          <w:szCs w:val="24"/>
        </w:rPr>
        <w:t xml:space="preserve">set </w:t>
      </w:r>
      <w:r w:rsidRPr="00E76169">
        <w:rPr>
          <w:szCs w:val="24"/>
        </w:rPr>
        <w:t xml:space="preserve">is not verified as being supported by a QAPP, the </w:t>
      </w:r>
      <w:r w:rsidR="00602885">
        <w:rPr>
          <w:szCs w:val="24"/>
        </w:rPr>
        <w:t>Decision</w:t>
      </w:r>
      <w:r w:rsidRPr="00E76169">
        <w:rPr>
          <w:szCs w:val="24"/>
        </w:rPr>
        <w:t xml:space="preserve"> will be revised as needed no later than the 2028 listing cycle to ensure that such data </w:t>
      </w:r>
      <w:r>
        <w:rPr>
          <w:szCs w:val="24"/>
        </w:rPr>
        <w:t xml:space="preserve">set </w:t>
      </w:r>
      <w:r w:rsidRPr="00E76169">
        <w:rPr>
          <w:szCs w:val="24"/>
        </w:rPr>
        <w:t xml:space="preserve">is not used by itself to support a </w:t>
      </w:r>
      <w:r w:rsidR="00602885">
        <w:rPr>
          <w:szCs w:val="24"/>
        </w:rPr>
        <w:t>Decision</w:t>
      </w:r>
      <w:r w:rsidRPr="00E76169">
        <w:rPr>
          <w:szCs w:val="24"/>
        </w:rPr>
        <w:t xml:space="preserve">. </w:t>
      </w:r>
    </w:p>
    <w:p w14:paraId="1375C88A" w14:textId="249D59F9" w:rsidR="000210A0" w:rsidRPr="00E76169" w:rsidRDefault="00A26E3B" w:rsidP="000210A0">
      <w:pPr>
        <w:rPr>
          <w:szCs w:val="24"/>
        </w:rPr>
      </w:pPr>
      <w:r>
        <w:rPr>
          <w:szCs w:val="24"/>
        </w:rPr>
        <w:t xml:space="preserve">As of September 2024, staff </w:t>
      </w:r>
      <w:r w:rsidR="00BB0134">
        <w:rPr>
          <w:szCs w:val="24"/>
        </w:rPr>
        <w:t xml:space="preserve">have </w:t>
      </w:r>
      <w:r w:rsidR="00A41083">
        <w:rPr>
          <w:szCs w:val="24"/>
        </w:rPr>
        <w:t>verified the existence of QA Documents for</w:t>
      </w:r>
      <w:r w:rsidR="00655ACA">
        <w:rPr>
          <w:szCs w:val="24"/>
        </w:rPr>
        <w:t xml:space="preserve"> the </w:t>
      </w:r>
      <w:r w:rsidR="00836B03">
        <w:rPr>
          <w:szCs w:val="24"/>
        </w:rPr>
        <w:t>identified</w:t>
      </w:r>
      <w:r w:rsidR="00655ACA">
        <w:rPr>
          <w:szCs w:val="24"/>
        </w:rPr>
        <w:t xml:space="preserve"> data providers (ten individual data</w:t>
      </w:r>
      <w:r w:rsidR="00D56B5D">
        <w:rPr>
          <w:szCs w:val="24"/>
        </w:rPr>
        <w:t xml:space="preserve"> </w:t>
      </w:r>
      <w:r w:rsidR="00655ACA">
        <w:rPr>
          <w:szCs w:val="24"/>
        </w:rPr>
        <w:t>sets)</w:t>
      </w:r>
      <w:r w:rsidR="005675F2">
        <w:rPr>
          <w:szCs w:val="24"/>
        </w:rPr>
        <w:t xml:space="preserve"> that were </w:t>
      </w:r>
      <w:r w:rsidR="0022713A">
        <w:rPr>
          <w:szCs w:val="24"/>
        </w:rPr>
        <w:t xml:space="preserve">identified as </w:t>
      </w:r>
      <w:r w:rsidR="00A726EE">
        <w:rPr>
          <w:szCs w:val="24"/>
        </w:rPr>
        <w:t>major monitoring programs</w:t>
      </w:r>
      <w:r w:rsidR="00A53DCF">
        <w:rPr>
          <w:szCs w:val="24"/>
        </w:rPr>
        <w:t xml:space="preserve"> </w:t>
      </w:r>
      <w:r w:rsidR="00B81DA5">
        <w:rPr>
          <w:szCs w:val="24"/>
        </w:rPr>
        <w:t xml:space="preserve">and did not have </w:t>
      </w:r>
      <w:r w:rsidR="005D01FD">
        <w:rPr>
          <w:szCs w:val="24"/>
        </w:rPr>
        <w:t xml:space="preserve">QAPPs associated with the data. </w:t>
      </w:r>
      <w:r w:rsidR="006C6D08" w:rsidRPr="006C6D08">
        <w:rPr>
          <w:szCs w:val="24"/>
        </w:rPr>
        <w:t>The QA documentation</w:t>
      </w:r>
      <w:r w:rsidR="00E94139">
        <w:rPr>
          <w:szCs w:val="24"/>
        </w:rPr>
        <w:t xml:space="preserve"> for six of the ten </w:t>
      </w:r>
      <w:r w:rsidR="001D5E74">
        <w:rPr>
          <w:szCs w:val="24"/>
        </w:rPr>
        <w:t>data sets</w:t>
      </w:r>
      <w:r w:rsidR="00E94139">
        <w:rPr>
          <w:szCs w:val="24"/>
        </w:rPr>
        <w:t xml:space="preserve"> </w:t>
      </w:r>
      <w:r w:rsidR="006C6D08" w:rsidRPr="006C6D08">
        <w:rPr>
          <w:szCs w:val="24"/>
        </w:rPr>
        <w:t>meets</w:t>
      </w:r>
      <w:r w:rsidR="008336C2">
        <w:rPr>
          <w:szCs w:val="24"/>
        </w:rPr>
        <w:t xml:space="preserve"> the </w:t>
      </w:r>
      <w:r w:rsidR="006C6D08" w:rsidRPr="006C6D08">
        <w:rPr>
          <w:szCs w:val="24"/>
        </w:rPr>
        <w:t>requirements</w:t>
      </w:r>
      <w:r w:rsidR="008336C2">
        <w:rPr>
          <w:szCs w:val="24"/>
        </w:rPr>
        <w:t xml:space="preserve"> </w:t>
      </w:r>
      <w:r w:rsidR="000D148D">
        <w:rPr>
          <w:szCs w:val="24"/>
        </w:rPr>
        <w:t xml:space="preserve">of section 6.1.4 of the Listing Policy. </w:t>
      </w:r>
      <w:r w:rsidR="005636BA">
        <w:rPr>
          <w:szCs w:val="24"/>
        </w:rPr>
        <w:t xml:space="preserve">The remaining four </w:t>
      </w:r>
      <w:r w:rsidR="00C37039">
        <w:rPr>
          <w:szCs w:val="24"/>
        </w:rPr>
        <w:t>are</w:t>
      </w:r>
      <w:r w:rsidR="001D5E74">
        <w:rPr>
          <w:szCs w:val="24"/>
        </w:rPr>
        <w:t xml:space="preserve"> under review </w:t>
      </w:r>
      <w:r w:rsidR="00C7285B">
        <w:rPr>
          <w:szCs w:val="24"/>
        </w:rPr>
        <w:t xml:space="preserve">to </w:t>
      </w:r>
      <w:r w:rsidR="00C37039">
        <w:rPr>
          <w:szCs w:val="24"/>
        </w:rPr>
        <w:t xml:space="preserve">determine </w:t>
      </w:r>
      <w:r w:rsidR="006C6D08" w:rsidRPr="006C6D08">
        <w:rPr>
          <w:szCs w:val="24"/>
        </w:rPr>
        <w:t>compliance with these requirement</w:t>
      </w:r>
      <w:r w:rsidR="006C6D08">
        <w:rPr>
          <w:szCs w:val="24"/>
        </w:rPr>
        <w:t>s.</w:t>
      </w:r>
      <w:r w:rsidR="00A41083">
        <w:rPr>
          <w:szCs w:val="24"/>
        </w:rPr>
        <w:t xml:space="preserve"> </w:t>
      </w:r>
      <w:r w:rsidR="005448BD">
        <w:rPr>
          <w:rFonts w:eastAsia="Arial" w:cs="Arial"/>
        </w:rPr>
        <w:t>A status update of</w:t>
      </w:r>
      <w:r w:rsidR="0094044B">
        <w:rPr>
          <w:rFonts w:eastAsia="Arial" w:cs="Arial"/>
        </w:rPr>
        <w:t xml:space="preserve"> the </w:t>
      </w:r>
      <w:r w:rsidR="008010A0">
        <w:rPr>
          <w:rFonts w:eastAsia="Arial" w:cs="Arial"/>
        </w:rPr>
        <w:t xml:space="preserve">QAPP </w:t>
      </w:r>
      <w:r w:rsidR="0094044B">
        <w:rPr>
          <w:rFonts w:eastAsia="Arial" w:cs="Arial"/>
        </w:rPr>
        <w:t>verification</w:t>
      </w:r>
      <w:r w:rsidR="00183F25">
        <w:rPr>
          <w:rFonts w:eastAsia="Arial" w:cs="Arial"/>
        </w:rPr>
        <w:t xml:space="preserve"> process</w:t>
      </w:r>
      <w:r w:rsidR="00B47BB3">
        <w:rPr>
          <w:rFonts w:eastAsia="Arial" w:cs="Arial"/>
        </w:rPr>
        <w:t xml:space="preserve"> for</w:t>
      </w:r>
      <w:r w:rsidR="0094044B">
        <w:rPr>
          <w:rFonts w:eastAsia="Arial" w:cs="Arial"/>
        </w:rPr>
        <w:t xml:space="preserve"> the 2024 California Integrated Report </w:t>
      </w:r>
      <w:r w:rsidR="002356F1" w:rsidRPr="002356F1">
        <w:rPr>
          <w:rFonts w:eastAsia="Arial" w:cs="Arial"/>
        </w:rPr>
        <w:t>is</w:t>
      </w:r>
      <w:r w:rsidR="00EA5696">
        <w:rPr>
          <w:rFonts w:eastAsia="Arial" w:cs="Arial"/>
        </w:rPr>
        <w:t xml:space="preserve"> outlined in the following memo: </w:t>
      </w:r>
      <w:hyperlink r:id="rId61" w:history="1">
        <w:r w:rsidR="00C97CA2" w:rsidRPr="002356F1">
          <w:rPr>
            <w:rStyle w:val="Hyperlink"/>
            <w:rFonts w:eastAsia="Arial" w:cs="Arial"/>
          </w:rPr>
          <w:t>2024 Integrated Report</w:t>
        </w:r>
        <w:r w:rsidR="002356F1" w:rsidRPr="002356F1">
          <w:rPr>
            <w:rStyle w:val="Hyperlink"/>
            <w:rFonts w:eastAsia="Arial" w:cs="Arial"/>
          </w:rPr>
          <w:t xml:space="preserve"> – 2024 Cycle Resolution – Item 12</w:t>
        </w:r>
      </w:hyperlink>
      <w:r w:rsidR="002356F1">
        <w:rPr>
          <w:rFonts w:eastAsia="Arial" w:cs="Arial"/>
        </w:rPr>
        <w:t xml:space="preserve"> (</w:t>
      </w:r>
      <w:hyperlink r:id="rId62" w:history="1">
        <w:r w:rsidR="002356F1" w:rsidRPr="00B92545">
          <w:rPr>
            <w:rStyle w:val="Hyperlink"/>
            <w:rFonts w:eastAsia="Arial" w:cs="Arial"/>
          </w:rPr>
          <w:t>https://www.waterboards.ca.gov/water_issues/programs/water_quality_assessment/docs/2024-misassigned-qapps-memo.pdf</w:t>
        </w:r>
      </w:hyperlink>
      <w:r w:rsidR="002356F1">
        <w:rPr>
          <w:rFonts w:eastAsia="Arial" w:cs="Arial"/>
        </w:rPr>
        <w:t xml:space="preserve">). </w:t>
      </w:r>
    </w:p>
    <w:p w14:paraId="6156B6EA" w14:textId="0438DCCE" w:rsidR="00873D13" w:rsidRPr="00E76169" w:rsidRDefault="001D6980" w:rsidP="00873D13">
      <w:pPr>
        <w:rPr>
          <w:rFonts w:eastAsia="Arial" w:cs="Arial"/>
        </w:rPr>
      </w:pPr>
      <w:r w:rsidRPr="0BCB32BF">
        <w:rPr>
          <w:rFonts w:eastAsia="Arial" w:cs="Arial"/>
        </w:rPr>
        <w:t>For the</w:t>
      </w:r>
      <w:r w:rsidRPr="00E76169" w:rsidDel="001D6980">
        <w:t xml:space="preserve"> </w:t>
      </w:r>
      <w:r w:rsidR="000210A0" w:rsidRPr="00E76169">
        <w:t xml:space="preserve">2026 303(d) List, </w:t>
      </w:r>
      <w:r w:rsidR="000210A0">
        <w:t xml:space="preserve">the above-quoted excerpt from section 6.1.4 </w:t>
      </w:r>
      <w:r w:rsidR="006D36AA">
        <w:t>is</w:t>
      </w:r>
      <w:r w:rsidR="000210A0">
        <w:t xml:space="preserve"> interpreted as setting forth the exclusive list of “major monitoring programs” for which data submitted by those programs will be deemed of adequate quality, departing from the historical interpretation of that provision. That means that </w:t>
      </w:r>
      <w:r w:rsidR="000210A0" w:rsidRPr="00E76169">
        <w:t xml:space="preserve">all data submitted by a monitoring program that is not explicitly listed in Listing Policy section 6.1.4 must be supported by a QAPP for that data by itself to support a </w:t>
      </w:r>
      <w:r w:rsidR="009D697E">
        <w:t>Decision</w:t>
      </w:r>
      <w:r w:rsidR="000210A0" w:rsidRPr="00E76169">
        <w:t xml:space="preserve"> for a water segment. Moreover, beginning with the 2026 303(d) List, even though data used from the listed major monitoring programs are considered </w:t>
      </w:r>
      <w:r w:rsidR="000210A0">
        <w:t xml:space="preserve">to be of </w:t>
      </w:r>
      <w:r w:rsidR="000210A0" w:rsidRPr="00E76169">
        <w:t>adequate</w:t>
      </w:r>
      <w:r w:rsidR="000210A0">
        <w:t xml:space="preserve"> quality</w:t>
      </w:r>
      <w:r w:rsidR="000210A0" w:rsidRPr="00E76169">
        <w:t>,</w:t>
      </w:r>
      <w:r w:rsidR="000210A0">
        <w:t xml:space="preserve"> </w:t>
      </w:r>
      <w:r w:rsidR="000210A0" w:rsidRPr="00E76169">
        <w:t xml:space="preserve">QAPPs to </w:t>
      </w:r>
      <w:r w:rsidR="000210A0">
        <w:t xml:space="preserve">support the data </w:t>
      </w:r>
      <w:r w:rsidR="006B014B">
        <w:t>were</w:t>
      </w:r>
      <w:r w:rsidR="000210A0">
        <w:t xml:space="preserve"> </w:t>
      </w:r>
      <w:r w:rsidR="006B014B">
        <w:t>verified</w:t>
      </w:r>
      <w:r w:rsidR="000210A0" w:rsidRPr="00E76169">
        <w:t xml:space="preserve">. This shift in interpretation and implementation furthers ongoing efforts to continuously improve the data quality of the </w:t>
      </w:r>
      <w:r w:rsidR="000210A0">
        <w:t>i</w:t>
      </w:r>
      <w:r w:rsidR="000210A0" w:rsidRPr="00E76169">
        <w:t xml:space="preserve">ntegrated </w:t>
      </w:r>
      <w:r w:rsidR="000210A0">
        <w:t>r</w:t>
      </w:r>
      <w:r w:rsidR="000210A0" w:rsidRPr="00E76169">
        <w:t>eport.</w:t>
      </w:r>
      <w:r w:rsidR="00873D13">
        <w:t xml:space="preserve"> </w:t>
      </w:r>
      <w:r w:rsidR="00873D13">
        <w:rPr>
          <w:rFonts w:eastAsia="Arial" w:cs="Arial"/>
        </w:rPr>
        <w:t>A</w:t>
      </w:r>
      <w:r w:rsidR="00873D13" w:rsidRPr="0BCB32BF">
        <w:rPr>
          <w:rFonts w:eastAsia="Arial" w:cs="Arial"/>
        </w:rPr>
        <w:t xml:space="preserve"> list of the datasets and associated QAPPs from the 202</w:t>
      </w:r>
      <w:r w:rsidR="00873D13">
        <w:rPr>
          <w:rFonts w:eastAsia="Arial" w:cs="Arial"/>
        </w:rPr>
        <w:t>6</w:t>
      </w:r>
      <w:r w:rsidR="00873D13" w:rsidRPr="0BCB32BF">
        <w:rPr>
          <w:rFonts w:eastAsia="Arial" w:cs="Arial"/>
        </w:rPr>
        <w:t xml:space="preserve"> data solicitation is available in Appendix H: References Report</w:t>
      </w:r>
      <w:r w:rsidR="00873D13">
        <w:rPr>
          <w:rFonts w:eastAsia="Arial" w:cs="Arial"/>
        </w:rPr>
        <w:t>.</w:t>
      </w:r>
    </w:p>
    <w:p w14:paraId="06AA93CF" w14:textId="0DF4CE74" w:rsidR="0096187C" w:rsidRPr="0096187C" w:rsidRDefault="4BCBC93C" w:rsidP="00DD6E00">
      <w:pPr>
        <w:pStyle w:val="Heading2"/>
      </w:pPr>
      <w:bookmarkStart w:id="134" w:name="_Toc189048602"/>
      <w:r>
        <w:t>Mapping</w:t>
      </w:r>
      <w:r w:rsidR="6E2F08DE">
        <w:t xml:space="preserve"> </w:t>
      </w:r>
      <w:r w:rsidR="00617BD9">
        <w:t>Corrections</w:t>
      </w:r>
      <w:r w:rsidR="6E2F08DE">
        <w:t xml:space="preserve"> in the </w:t>
      </w:r>
      <w:r w:rsidR="079907DC">
        <w:t>C</w:t>
      </w:r>
      <w:r w:rsidR="6E2F08DE">
        <w:t xml:space="preserve">entral </w:t>
      </w:r>
      <w:r w:rsidR="494B23DD">
        <w:t>C</w:t>
      </w:r>
      <w:r w:rsidR="6E2F08DE">
        <w:t xml:space="preserve">oast </w:t>
      </w:r>
      <w:r w:rsidR="5EF02D77">
        <w:t>R</w:t>
      </w:r>
      <w:r w:rsidR="6E2F08DE">
        <w:t>egion</w:t>
      </w:r>
      <w:bookmarkEnd w:id="134"/>
    </w:p>
    <w:p w14:paraId="47F44B88" w14:textId="17022963" w:rsidR="68EDF5AA" w:rsidRDefault="27BC2BCF">
      <w:r>
        <w:t xml:space="preserve">The Central Coast Regional Water Quality Control Board was “off-cycle” for the 2026 California Integrated Report. No new data were assessed </w:t>
      </w:r>
      <w:r w:rsidR="00D8012D">
        <w:t xml:space="preserve">for the Central Coast </w:t>
      </w:r>
      <w:r w:rsidR="003D17D4">
        <w:t>R</w:t>
      </w:r>
      <w:r w:rsidR="00D8012D">
        <w:t>egion</w:t>
      </w:r>
      <w:r>
        <w:t xml:space="preserve">. </w:t>
      </w:r>
      <w:r w:rsidR="00D8012D">
        <w:t>However,</w:t>
      </w:r>
      <w:r>
        <w:t xml:space="preserve"> mapping </w:t>
      </w:r>
      <w:r w:rsidR="00DB4223">
        <w:t>changes</w:t>
      </w:r>
      <w:r>
        <w:t>, both spatial and name changes</w:t>
      </w:r>
      <w:r w:rsidR="00617BD9">
        <w:t>/corrections</w:t>
      </w:r>
      <w:r>
        <w:t>, beneficial use corrections, and station association corrections</w:t>
      </w:r>
      <w:r w:rsidR="00A31AF8">
        <w:t xml:space="preserve"> were made</w:t>
      </w:r>
      <w:r>
        <w:t xml:space="preserve">. </w:t>
      </w:r>
    </w:p>
    <w:p w14:paraId="7760447D" w14:textId="7F495ED4" w:rsidR="4C60E227" w:rsidRDefault="1081AC53" w:rsidP="4C60E227">
      <w:r>
        <w:t xml:space="preserve">See </w:t>
      </w:r>
      <w:r w:rsidRPr="00FF6FE6">
        <w:t xml:space="preserve">Table </w:t>
      </w:r>
      <w:r w:rsidR="00AE05ED" w:rsidRPr="00FF6FE6">
        <w:t>4-</w:t>
      </w:r>
      <w:r w:rsidR="00473AD4">
        <w:t>3</w:t>
      </w:r>
      <w:r w:rsidR="00C21942">
        <w:t>:</w:t>
      </w:r>
      <w:r w:rsidR="00AE05ED">
        <w:t xml:space="preserve"> </w:t>
      </w:r>
      <w:r w:rsidR="00AE05ED" w:rsidRPr="00AE05ED">
        <w:t xml:space="preserve">Mapping Corrections Resulting in a </w:t>
      </w:r>
      <w:r w:rsidR="00EB2B02">
        <w:t>Decision Change</w:t>
      </w:r>
      <w:r>
        <w:t xml:space="preserve"> for a summary of the </w:t>
      </w:r>
      <w:r w:rsidR="00A96E25">
        <w:t>“List” and “Delist” Decision changes</w:t>
      </w:r>
      <w:r>
        <w:t xml:space="preserve">. </w:t>
      </w:r>
    </w:p>
    <w:p w14:paraId="3D91E8E4" w14:textId="4BB26D68" w:rsidR="4C60E227" w:rsidRDefault="1081AC53" w:rsidP="00DD6E00">
      <w:pPr>
        <w:pStyle w:val="Heading3"/>
      </w:pPr>
      <w:bookmarkStart w:id="135" w:name="_Toc189048603"/>
      <w:r>
        <w:t xml:space="preserve">Mapping </w:t>
      </w:r>
      <w:r w:rsidR="00DB4223">
        <w:t>Changes</w:t>
      </w:r>
      <w:bookmarkEnd w:id="135"/>
    </w:p>
    <w:p w14:paraId="2B06AFEF" w14:textId="626F3F4B" w:rsidR="4C60E227" w:rsidRDefault="1081AC53" w:rsidP="4C60E227">
      <w:r>
        <w:t xml:space="preserve">Please see Appendix </w:t>
      </w:r>
      <w:r w:rsidR="00E12549">
        <w:t>G:</w:t>
      </w:r>
      <w:r>
        <w:t xml:space="preserve"> Miscellaneous Changes Report for a summary of the mapping </w:t>
      </w:r>
      <w:r w:rsidR="00DB4223">
        <w:t>changes</w:t>
      </w:r>
      <w:r>
        <w:t xml:space="preserve"> made during the 2026 cycle. </w:t>
      </w:r>
    </w:p>
    <w:p w14:paraId="569B8EB1" w14:textId="629F5753" w:rsidR="27BC2BCF" w:rsidRDefault="1081AC53" w:rsidP="00DD6E00">
      <w:pPr>
        <w:pStyle w:val="Heading3"/>
      </w:pPr>
      <w:bookmarkStart w:id="136" w:name="_Toc189048604"/>
      <w:r>
        <w:t>Be</w:t>
      </w:r>
      <w:r w:rsidR="0C77DEDB">
        <w:t xml:space="preserve">neficial </w:t>
      </w:r>
      <w:r w:rsidR="001863BB">
        <w:t>U</w:t>
      </w:r>
      <w:r w:rsidR="0C77DEDB">
        <w:t xml:space="preserve">se </w:t>
      </w:r>
      <w:r w:rsidR="001863BB">
        <w:t>C</w:t>
      </w:r>
      <w:r w:rsidR="0C77DEDB">
        <w:t>orrections</w:t>
      </w:r>
      <w:bookmarkEnd w:id="136"/>
    </w:p>
    <w:p w14:paraId="0E9C4F4C" w14:textId="2952414C" w:rsidR="0C77DEDB" w:rsidRPr="00DD6E00" w:rsidRDefault="0C77DEDB" w:rsidP="06535387">
      <w:pPr>
        <w:spacing w:after="160" w:line="259" w:lineRule="auto"/>
        <w:rPr>
          <w:rFonts w:eastAsia="Arial" w:cs="Arial"/>
          <w:color w:val="000000" w:themeColor="text1"/>
          <w:szCs w:val="24"/>
        </w:rPr>
      </w:pPr>
      <w:r w:rsidRPr="00DD6E00">
        <w:rPr>
          <w:rFonts w:eastAsia="Arial" w:cs="Arial"/>
          <w:color w:val="000000" w:themeColor="text1"/>
          <w:szCs w:val="24"/>
        </w:rPr>
        <w:t xml:space="preserve">There were several </w:t>
      </w:r>
      <w:r w:rsidR="00962431">
        <w:rPr>
          <w:rFonts w:eastAsia="Arial" w:cs="Arial"/>
          <w:color w:val="000000" w:themeColor="text1"/>
          <w:szCs w:val="24"/>
        </w:rPr>
        <w:t>waterbody segments</w:t>
      </w:r>
      <w:r w:rsidRPr="00DD6E00">
        <w:rPr>
          <w:rFonts w:eastAsia="Arial" w:cs="Arial"/>
          <w:color w:val="000000" w:themeColor="text1"/>
          <w:szCs w:val="24"/>
        </w:rPr>
        <w:t xml:space="preserve"> that were incorrectly assigned beneficial uses. These uses were corrected, and the </w:t>
      </w:r>
      <w:r w:rsidR="00C2016A">
        <w:rPr>
          <w:rFonts w:eastAsia="Arial" w:cs="Arial"/>
          <w:color w:val="000000" w:themeColor="text1"/>
          <w:szCs w:val="24"/>
        </w:rPr>
        <w:t>LOEs</w:t>
      </w:r>
      <w:r w:rsidRPr="00DD6E00">
        <w:rPr>
          <w:rFonts w:eastAsia="Arial" w:cs="Arial"/>
          <w:color w:val="000000" w:themeColor="text1"/>
          <w:szCs w:val="24"/>
        </w:rPr>
        <w:t xml:space="preserve"> associated with those incorrectly assigned beneficial uses were retired.</w:t>
      </w:r>
    </w:p>
    <w:p w14:paraId="608A8CA7" w14:textId="616FF039" w:rsidR="0C77DEDB" w:rsidRPr="00DD6E00" w:rsidRDefault="0C77DEDB" w:rsidP="00010F69">
      <w:pPr>
        <w:pStyle w:val="ListParagraph"/>
        <w:numPr>
          <w:ilvl w:val="0"/>
          <w:numId w:val="41"/>
        </w:numPr>
        <w:spacing w:after="160" w:line="259" w:lineRule="auto"/>
        <w:rPr>
          <w:rFonts w:eastAsia="Arial" w:cs="Arial"/>
          <w:color w:val="000000" w:themeColor="text1"/>
          <w:szCs w:val="24"/>
        </w:rPr>
      </w:pPr>
      <w:r w:rsidRPr="00DD6E00">
        <w:rPr>
          <w:rFonts w:eastAsia="Arial" w:cs="Arial"/>
          <w:color w:val="000000" w:themeColor="text1"/>
          <w:szCs w:val="24"/>
        </w:rPr>
        <w:t>Arroyo De La Cruz Lagoon</w:t>
      </w:r>
    </w:p>
    <w:p w14:paraId="6154898B" w14:textId="7B7B7629" w:rsidR="0C77DEDB" w:rsidRPr="00DD6E00" w:rsidRDefault="0C77DEDB" w:rsidP="00010F69">
      <w:pPr>
        <w:pStyle w:val="ListParagraph"/>
        <w:numPr>
          <w:ilvl w:val="1"/>
          <w:numId w:val="41"/>
        </w:numPr>
        <w:spacing w:after="160" w:line="259" w:lineRule="auto"/>
        <w:rPr>
          <w:rFonts w:eastAsia="Arial" w:cs="Arial"/>
          <w:color w:val="000000" w:themeColor="text1"/>
          <w:szCs w:val="24"/>
        </w:rPr>
      </w:pPr>
      <w:r w:rsidRPr="00DD6E00">
        <w:rPr>
          <w:rFonts w:eastAsia="Arial" w:cs="Arial"/>
          <w:color w:val="000000" w:themeColor="text1"/>
          <w:szCs w:val="24"/>
        </w:rPr>
        <w:t xml:space="preserve">The </w:t>
      </w:r>
      <w:r w:rsidR="00F314D0">
        <w:rPr>
          <w:rFonts w:eastAsia="Arial" w:cs="Arial"/>
          <w:color w:val="000000" w:themeColor="text1"/>
          <w:szCs w:val="24"/>
        </w:rPr>
        <w:t>A</w:t>
      </w:r>
      <w:r w:rsidRPr="00DD6E00">
        <w:rPr>
          <w:rFonts w:eastAsia="Arial" w:cs="Arial"/>
          <w:color w:val="000000" w:themeColor="text1"/>
          <w:szCs w:val="24"/>
        </w:rPr>
        <w:t xml:space="preserve">gricultural </w:t>
      </w:r>
      <w:r w:rsidR="00F314D0">
        <w:rPr>
          <w:rFonts w:eastAsia="Arial" w:cs="Arial"/>
          <w:color w:val="000000" w:themeColor="text1"/>
          <w:szCs w:val="24"/>
        </w:rPr>
        <w:t>S</w:t>
      </w:r>
      <w:r w:rsidRPr="00DD6E00">
        <w:rPr>
          <w:rFonts w:eastAsia="Arial" w:cs="Arial"/>
          <w:color w:val="000000" w:themeColor="text1"/>
          <w:szCs w:val="24"/>
        </w:rPr>
        <w:t>upply</w:t>
      </w:r>
      <w:r w:rsidR="00BA5413">
        <w:rPr>
          <w:rFonts w:eastAsia="Arial" w:cs="Arial"/>
          <w:color w:val="000000" w:themeColor="text1"/>
          <w:szCs w:val="24"/>
        </w:rPr>
        <w:t xml:space="preserve"> (“AGR”)</w:t>
      </w:r>
      <w:r w:rsidRPr="00DD6E00">
        <w:rPr>
          <w:rFonts w:eastAsia="Arial" w:cs="Arial"/>
          <w:color w:val="000000" w:themeColor="text1"/>
          <w:szCs w:val="24"/>
        </w:rPr>
        <w:t xml:space="preserve">, </w:t>
      </w:r>
      <w:r w:rsidR="00BA5413">
        <w:rPr>
          <w:rFonts w:eastAsia="Arial" w:cs="Arial"/>
          <w:color w:val="000000" w:themeColor="text1"/>
          <w:szCs w:val="24"/>
        </w:rPr>
        <w:t>MUN</w:t>
      </w:r>
      <w:r w:rsidRPr="00DD6E00">
        <w:rPr>
          <w:rFonts w:eastAsia="Arial" w:cs="Arial"/>
          <w:color w:val="000000" w:themeColor="text1"/>
          <w:szCs w:val="24"/>
        </w:rPr>
        <w:t xml:space="preserve">, and </w:t>
      </w:r>
      <w:r w:rsidR="00F314D0">
        <w:rPr>
          <w:rFonts w:eastAsia="Arial" w:cs="Arial"/>
          <w:color w:val="000000" w:themeColor="text1"/>
          <w:szCs w:val="24"/>
        </w:rPr>
        <w:t>WARM</w:t>
      </w:r>
      <w:r w:rsidRPr="00DD6E00">
        <w:rPr>
          <w:rFonts w:eastAsia="Arial" w:cs="Arial"/>
          <w:color w:val="000000" w:themeColor="text1"/>
          <w:szCs w:val="24"/>
        </w:rPr>
        <w:t xml:space="preserve"> beneficial uses were incorrectly assigned to this waterbody</w:t>
      </w:r>
      <w:r w:rsidR="00EC3624">
        <w:rPr>
          <w:rFonts w:eastAsia="Arial" w:cs="Arial"/>
          <w:color w:val="000000" w:themeColor="text1"/>
          <w:szCs w:val="24"/>
        </w:rPr>
        <w:t xml:space="preserve"> segment</w:t>
      </w:r>
      <w:r w:rsidRPr="00DD6E00">
        <w:rPr>
          <w:rFonts w:eastAsia="Arial" w:cs="Arial"/>
          <w:color w:val="000000" w:themeColor="text1"/>
          <w:szCs w:val="24"/>
        </w:rPr>
        <w:t xml:space="preserve">. The beneficial uses were unassigned, LOEs retired, and </w:t>
      </w:r>
      <w:r w:rsidR="00C2016A">
        <w:rPr>
          <w:rFonts w:eastAsia="Arial" w:cs="Arial"/>
          <w:color w:val="000000" w:themeColor="text1"/>
          <w:szCs w:val="24"/>
        </w:rPr>
        <w:t>D</w:t>
      </w:r>
      <w:r w:rsidRPr="00DD6E00">
        <w:rPr>
          <w:rFonts w:eastAsia="Arial" w:cs="Arial"/>
          <w:color w:val="000000" w:themeColor="text1"/>
          <w:szCs w:val="24"/>
        </w:rPr>
        <w:t xml:space="preserve">ecisions remade. </w:t>
      </w:r>
    </w:p>
    <w:p w14:paraId="6FDACB20" w14:textId="137860F3" w:rsidR="0C77DEDB" w:rsidRPr="00DD6E00" w:rsidRDefault="0C77DEDB" w:rsidP="00010F69">
      <w:pPr>
        <w:pStyle w:val="ListParagraph"/>
        <w:numPr>
          <w:ilvl w:val="1"/>
          <w:numId w:val="41"/>
        </w:numPr>
        <w:spacing w:after="160" w:line="259" w:lineRule="auto"/>
        <w:rPr>
          <w:rFonts w:eastAsia="Arial" w:cs="Arial"/>
          <w:color w:val="000000" w:themeColor="text1"/>
          <w:szCs w:val="24"/>
        </w:rPr>
      </w:pPr>
      <w:r w:rsidRPr="00DD6E00">
        <w:rPr>
          <w:rFonts w:eastAsia="Arial" w:cs="Arial"/>
          <w:color w:val="000000" w:themeColor="text1"/>
          <w:szCs w:val="24"/>
        </w:rPr>
        <w:t xml:space="preserve">No </w:t>
      </w:r>
      <w:r w:rsidR="00C2016A">
        <w:rPr>
          <w:rFonts w:eastAsia="Arial" w:cs="Arial"/>
          <w:color w:val="000000" w:themeColor="text1"/>
          <w:szCs w:val="24"/>
        </w:rPr>
        <w:t>“List”</w:t>
      </w:r>
      <w:r w:rsidRPr="00DD6E00">
        <w:rPr>
          <w:rFonts w:eastAsia="Arial" w:cs="Arial"/>
          <w:color w:val="000000" w:themeColor="text1"/>
          <w:szCs w:val="24"/>
        </w:rPr>
        <w:t xml:space="preserve"> or </w:t>
      </w:r>
      <w:r w:rsidR="00C2016A">
        <w:rPr>
          <w:rFonts w:eastAsia="Arial" w:cs="Arial"/>
          <w:color w:val="000000" w:themeColor="text1"/>
          <w:szCs w:val="24"/>
        </w:rPr>
        <w:t>“Delist” Decisions</w:t>
      </w:r>
      <w:r w:rsidRPr="00DD6E00">
        <w:rPr>
          <w:rFonts w:eastAsia="Arial" w:cs="Arial"/>
          <w:color w:val="000000" w:themeColor="text1"/>
          <w:szCs w:val="24"/>
        </w:rPr>
        <w:t xml:space="preserve"> resulted from these changes.</w:t>
      </w:r>
    </w:p>
    <w:p w14:paraId="2BEC1D2A" w14:textId="4D78E823" w:rsidR="0C77DEDB" w:rsidRPr="00DD6E00" w:rsidRDefault="0C77DEDB" w:rsidP="00010F69">
      <w:pPr>
        <w:pStyle w:val="ListParagraph"/>
        <w:numPr>
          <w:ilvl w:val="0"/>
          <w:numId w:val="41"/>
        </w:numPr>
        <w:spacing w:after="160" w:line="259" w:lineRule="auto"/>
        <w:rPr>
          <w:rFonts w:eastAsia="Arial" w:cs="Arial"/>
          <w:color w:val="000000" w:themeColor="text1"/>
          <w:szCs w:val="24"/>
        </w:rPr>
      </w:pPr>
      <w:r w:rsidRPr="00DD6E00">
        <w:rPr>
          <w:rFonts w:eastAsia="Arial" w:cs="Arial"/>
          <w:color w:val="000000" w:themeColor="text1"/>
          <w:szCs w:val="24"/>
        </w:rPr>
        <w:t>Waddell Creek Lagoon</w:t>
      </w:r>
    </w:p>
    <w:p w14:paraId="6BE9B6FE" w14:textId="39F98D17" w:rsidR="0C77DEDB" w:rsidRPr="00DD6E00" w:rsidRDefault="0C77DEDB" w:rsidP="00010F69">
      <w:pPr>
        <w:pStyle w:val="ListParagraph"/>
        <w:numPr>
          <w:ilvl w:val="1"/>
          <w:numId w:val="41"/>
        </w:numPr>
        <w:spacing w:after="160" w:line="259" w:lineRule="auto"/>
        <w:rPr>
          <w:rFonts w:eastAsia="Arial" w:cs="Arial"/>
          <w:color w:val="000000" w:themeColor="text1"/>
          <w:szCs w:val="24"/>
        </w:rPr>
      </w:pPr>
      <w:r w:rsidRPr="00DD6E00">
        <w:rPr>
          <w:rFonts w:eastAsia="Arial" w:cs="Arial"/>
          <w:color w:val="000000" w:themeColor="text1"/>
          <w:szCs w:val="24"/>
        </w:rPr>
        <w:t xml:space="preserve">The </w:t>
      </w:r>
      <w:r w:rsidR="00F8758D">
        <w:rPr>
          <w:rFonts w:eastAsia="Arial" w:cs="Arial"/>
          <w:color w:val="000000" w:themeColor="text1"/>
          <w:szCs w:val="24"/>
        </w:rPr>
        <w:t>AGR</w:t>
      </w:r>
      <w:r w:rsidRPr="00DD6E00">
        <w:rPr>
          <w:rFonts w:eastAsia="Arial" w:cs="Arial"/>
          <w:color w:val="000000" w:themeColor="text1"/>
          <w:szCs w:val="24"/>
        </w:rPr>
        <w:t xml:space="preserve">, </w:t>
      </w:r>
      <w:r w:rsidR="00F8758D">
        <w:rPr>
          <w:rFonts w:eastAsia="Arial" w:cs="Arial"/>
          <w:color w:val="000000" w:themeColor="text1"/>
          <w:szCs w:val="24"/>
        </w:rPr>
        <w:t>MUN</w:t>
      </w:r>
      <w:r w:rsidRPr="00DD6E00">
        <w:rPr>
          <w:rFonts w:eastAsia="Arial" w:cs="Arial"/>
          <w:color w:val="000000" w:themeColor="text1"/>
          <w:szCs w:val="24"/>
        </w:rPr>
        <w:t xml:space="preserve">, and </w:t>
      </w:r>
      <w:r w:rsidR="00F314D0">
        <w:rPr>
          <w:rFonts w:eastAsia="Arial" w:cs="Arial"/>
          <w:color w:val="000000" w:themeColor="text1"/>
          <w:szCs w:val="24"/>
        </w:rPr>
        <w:t>WARM</w:t>
      </w:r>
      <w:r w:rsidRPr="00DD6E00">
        <w:rPr>
          <w:rFonts w:eastAsia="Arial" w:cs="Arial"/>
          <w:color w:val="000000" w:themeColor="text1"/>
          <w:szCs w:val="24"/>
        </w:rPr>
        <w:t xml:space="preserve"> beneficial uses were incorrectly assigned to this waterbody</w:t>
      </w:r>
      <w:r w:rsidR="00C2016A">
        <w:rPr>
          <w:rFonts w:eastAsia="Arial" w:cs="Arial"/>
          <w:color w:val="000000" w:themeColor="text1"/>
          <w:szCs w:val="24"/>
        </w:rPr>
        <w:t xml:space="preserve"> segment</w:t>
      </w:r>
      <w:r w:rsidRPr="00DD6E00">
        <w:rPr>
          <w:rFonts w:eastAsia="Arial" w:cs="Arial"/>
          <w:color w:val="000000" w:themeColor="text1"/>
          <w:szCs w:val="24"/>
        </w:rPr>
        <w:t xml:space="preserve">. The beneficial uses were unassigned, LOEs retired, and </w:t>
      </w:r>
      <w:r w:rsidR="00C2016A">
        <w:rPr>
          <w:rFonts w:eastAsia="Arial" w:cs="Arial"/>
          <w:color w:val="000000" w:themeColor="text1"/>
          <w:szCs w:val="24"/>
        </w:rPr>
        <w:t>D</w:t>
      </w:r>
      <w:r w:rsidRPr="00DD6E00">
        <w:rPr>
          <w:rFonts w:eastAsia="Arial" w:cs="Arial"/>
          <w:color w:val="000000" w:themeColor="text1"/>
          <w:szCs w:val="24"/>
        </w:rPr>
        <w:t>ecisions remade.</w:t>
      </w:r>
    </w:p>
    <w:p w14:paraId="06C18B0C" w14:textId="6454D557" w:rsidR="0C77DEDB" w:rsidRPr="00DD6E00" w:rsidRDefault="00186E33" w:rsidP="00010F69">
      <w:pPr>
        <w:pStyle w:val="ListParagraph"/>
        <w:numPr>
          <w:ilvl w:val="1"/>
          <w:numId w:val="41"/>
        </w:numPr>
        <w:spacing w:after="160" w:line="259" w:lineRule="auto"/>
        <w:rPr>
          <w:rFonts w:eastAsia="Arial" w:cs="Arial"/>
          <w:color w:val="000000" w:themeColor="text1"/>
          <w:szCs w:val="24"/>
        </w:rPr>
      </w:pPr>
      <w:r>
        <w:rPr>
          <w:rFonts w:eastAsia="Arial" w:cs="Arial"/>
          <w:color w:val="000000" w:themeColor="text1"/>
          <w:szCs w:val="24"/>
        </w:rPr>
        <w:t>These changes resulted in “Delist” Decisions for arsenic, chloride, and sodium.</w:t>
      </w:r>
    </w:p>
    <w:p w14:paraId="2FAF5DB6" w14:textId="400111C4" w:rsidR="0C77DEDB" w:rsidRPr="00DD6E00" w:rsidRDefault="0C77DEDB" w:rsidP="00010F69">
      <w:pPr>
        <w:pStyle w:val="ListParagraph"/>
        <w:numPr>
          <w:ilvl w:val="0"/>
          <w:numId w:val="40"/>
        </w:numPr>
        <w:spacing w:after="160" w:line="259" w:lineRule="auto"/>
        <w:rPr>
          <w:rFonts w:eastAsia="Arial" w:cs="Arial"/>
          <w:color w:val="000000" w:themeColor="text1"/>
          <w:szCs w:val="24"/>
        </w:rPr>
      </w:pPr>
      <w:r w:rsidRPr="00DD6E00">
        <w:rPr>
          <w:rFonts w:eastAsia="Arial" w:cs="Arial"/>
          <w:color w:val="000000" w:themeColor="text1"/>
          <w:szCs w:val="24"/>
        </w:rPr>
        <w:t>Los Osos Creek Estuary</w:t>
      </w:r>
    </w:p>
    <w:p w14:paraId="4F935870" w14:textId="1CD9B509" w:rsidR="0C77DEDB" w:rsidRPr="00DD6E00" w:rsidRDefault="0C77DEDB" w:rsidP="00010F69">
      <w:pPr>
        <w:pStyle w:val="ListParagraph"/>
        <w:numPr>
          <w:ilvl w:val="1"/>
          <w:numId w:val="40"/>
        </w:numPr>
        <w:spacing w:after="160" w:line="259" w:lineRule="auto"/>
        <w:rPr>
          <w:rFonts w:eastAsia="Arial" w:cs="Arial"/>
          <w:color w:val="000000" w:themeColor="text1"/>
          <w:szCs w:val="24"/>
        </w:rPr>
      </w:pPr>
      <w:r w:rsidRPr="00DD6E00">
        <w:rPr>
          <w:rFonts w:eastAsia="Arial" w:cs="Arial"/>
          <w:color w:val="000000" w:themeColor="text1"/>
          <w:szCs w:val="24"/>
        </w:rPr>
        <w:t xml:space="preserve">The </w:t>
      </w:r>
      <w:r w:rsidR="00F8758D">
        <w:rPr>
          <w:rFonts w:eastAsia="Arial" w:cs="Arial"/>
          <w:color w:val="000000" w:themeColor="text1"/>
          <w:szCs w:val="24"/>
        </w:rPr>
        <w:t>AGR</w:t>
      </w:r>
      <w:r w:rsidRPr="00DD6E00">
        <w:rPr>
          <w:rFonts w:eastAsia="Arial" w:cs="Arial"/>
          <w:color w:val="000000" w:themeColor="text1"/>
          <w:szCs w:val="24"/>
        </w:rPr>
        <w:t xml:space="preserve"> and </w:t>
      </w:r>
      <w:r w:rsidR="00F8758D">
        <w:rPr>
          <w:rFonts w:eastAsia="Arial" w:cs="Arial"/>
          <w:color w:val="000000" w:themeColor="text1"/>
          <w:szCs w:val="24"/>
        </w:rPr>
        <w:t>MUN</w:t>
      </w:r>
      <w:r w:rsidRPr="00DD6E00">
        <w:rPr>
          <w:rFonts w:eastAsia="Arial" w:cs="Arial"/>
          <w:color w:val="000000" w:themeColor="text1"/>
          <w:szCs w:val="24"/>
        </w:rPr>
        <w:t xml:space="preserve"> beneficial uses were incorrectly assigned to this waterbody</w:t>
      </w:r>
      <w:r w:rsidR="00C2016A">
        <w:rPr>
          <w:rFonts w:eastAsia="Arial" w:cs="Arial"/>
          <w:color w:val="000000" w:themeColor="text1"/>
          <w:szCs w:val="24"/>
        </w:rPr>
        <w:t xml:space="preserve"> segment</w:t>
      </w:r>
      <w:r w:rsidRPr="00DD6E00">
        <w:rPr>
          <w:rFonts w:eastAsia="Arial" w:cs="Arial"/>
          <w:color w:val="000000" w:themeColor="text1"/>
          <w:szCs w:val="24"/>
        </w:rPr>
        <w:t xml:space="preserve">. The beneficial uses were unassigned, LOEs retired, and </w:t>
      </w:r>
      <w:r w:rsidR="00C2016A">
        <w:rPr>
          <w:rFonts w:eastAsia="Arial" w:cs="Arial"/>
          <w:color w:val="000000" w:themeColor="text1"/>
          <w:szCs w:val="24"/>
        </w:rPr>
        <w:t>D</w:t>
      </w:r>
      <w:r w:rsidRPr="00DD6E00">
        <w:rPr>
          <w:rFonts w:eastAsia="Arial" w:cs="Arial"/>
          <w:color w:val="000000" w:themeColor="text1"/>
          <w:szCs w:val="24"/>
        </w:rPr>
        <w:t>ecisions remade.</w:t>
      </w:r>
    </w:p>
    <w:p w14:paraId="5BEDEF6E" w14:textId="2B79E44A" w:rsidR="0C77DEDB" w:rsidRPr="00DD6E00" w:rsidRDefault="0C77DEDB" w:rsidP="00010F69">
      <w:pPr>
        <w:pStyle w:val="ListParagraph"/>
        <w:numPr>
          <w:ilvl w:val="1"/>
          <w:numId w:val="40"/>
        </w:numPr>
        <w:spacing w:after="160" w:line="259" w:lineRule="auto"/>
        <w:rPr>
          <w:rFonts w:eastAsia="Arial" w:cs="Arial"/>
          <w:color w:val="000000" w:themeColor="text1"/>
          <w:szCs w:val="24"/>
        </w:rPr>
      </w:pPr>
      <w:r w:rsidRPr="00DD6E00">
        <w:rPr>
          <w:rFonts w:eastAsia="Arial" w:cs="Arial"/>
          <w:color w:val="000000" w:themeColor="text1"/>
          <w:szCs w:val="24"/>
        </w:rPr>
        <w:t xml:space="preserve">No </w:t>
      </w:r>
      <w:r w:rsidR="00C2016A">
        <w:rPr>
          <w:rFonts w:eastAsia="Arial" w:cs="Arial"/>
          <w:color w:val="000000" w:themeColor="text1"/>
          <w:szCs w:val="24"/>
        </w:rPr>
        <w:t>“List”</w:t>
      </w:r>
      <w:r w:rsidRPr="00DD6E00">
        <w:rPr>
          <w:rFonts w:eastAsia="Arial" w:cs="Arial"/>
          <w:color w:val="000000" w:themeColor="text1"/>
          <w:szCs w:val="24"/>
        </w:rPr>
        <w:t xml:space="preserve"> or </w:t>
      </w:r>
      <w:r w:rsidR="00C2016A">
        <w:rPr>
          <w:rFonts w:eastAsia="Arial" w:cs="Arial"/>
          <w:color w:val="000000" w:themeColor="text1"/>
          <w:szCs w:val="24"/>
        </w:rPr>
        <w:t>“Delist” Decisions</w:t>
      </w:r>
      <w:r w:rsidRPr="00DD6E00">
        <w:rPr>
          <w:rFonts w:eastAsia="Arial" w:cs="Arial"/>
          <w:color w:val="000000" w:themeColor="text1"/>
          <w:szCs w:val="24"/>
        </w:rPr>
        <w:t xml:space="preserve"> resulted from these changes.</w:t>
      </w:r>
    </w:p>
    <w:p w14:paraId="295D9D75" w14:textId="7E2A20D3" w:rsidR="14745314" w:rsidRDefault="39CA9CF5" w:rsidP="00DD6E00">
      <w:pPr>
        <w:pStyle w:val="Heading3"/>
      </w:pPr>
      <w:bookmarkStart w:id="137" w:name="_Toc189048605"/>
      <w:r>
        <w:t xml:space="preserve">Station </w:t>
      </w:r>
      <w:r w:rsidR="001863BB">
        <w:t>A</w:t>
      </w:r>
      <w:r>
        <w:t xml:space="preserve">ssociation </w:t>
      </w:r>
      <w:r w:rsidR="001863BB">
        <w:t>C</w:t>
      </w:r>
      <w:r>
        <w:t>orrection</w:t>
      </w:r>
      <w:bookmarkEnd w:id="137"/>
    </w:p>
    <w:p w14:paraId="298D1340" w14:textId="76F248AF" w:rsidR="4D591C45" w:rsidRDefault="61AD5DDB" w:rsidP="28F42EEA">
      <w:r>
        <w:t xml:space="preserve">For Salsipuedes Creek (Santa Cruz County), staff corrected </w:t>
      </w:r>
      <w:r w:rsidR="384ECB1A">
        <w:t xml:space="preserve">167 LOEs that were originally identified as </w:t>
      </w:r>
      <w:r w:rsidR="001279F1">
        <w:t>monitoring station</w:t>
      </w:r>
      <w:r w:rsidR="384ECB1A">
        <w:t xml:space="preserve"> 305COR </w:t>
      </w:r>
      <w:r w:rsidR="004F7CE1">
        <w:t xml:space="preserve">but should have been identified as 305SAL. Data </w:t>
      </w:r>
      <w:r w:rsidR="384ECB1A">
        <w:t xml:space="preserve">collected by </w:t>
      </w:r>
      <w:r w:rsidR="583D04A3">
        <w:t xml:space="preserve">the </w:t>
      </w:r>
      <w:r w:rsidR="384ECB1A">
        <w:t>Cooperative Monitoring Program</w:t>
      </w:r>
      <w:r w:rsidR="004F7CE1">
        <w:t xml:space="preserve"> at the </w:t>
      </w:r>
      <w:r w:rsidR="001279F1">
        <w:t>monitoring station</w:t>
      </w:r>
      <w:r w:rsidR="004F7CE1">
        <w:t xml:space="preserve"> formerly named 305COR </w:t>
      </w:r>
      <w:r w:rsidR="00D408EB">
        <w:t>were</w:t>
      </w:r>
      <w:r w:rsidR="004F7CE1">
        <w:t xml:space="preserve"> collected from a location that </w:t>
      </w:r>
      <w:r w:rsidR="384ECB1A">
        <w:t xml:space="preserve">is approximately 1,500 meters upstream. </w:t>
      </w:r>
      <w:r w:rsidR="004F7CE1">
        <w:t xml:space="preserve">To correct this issue, the Cooperative Monitoring Program requested a </w:t>
      </w:r>
      <w:r w:rsidR="00155176">
        <w:t xml:space="preserve">monitoring </w:t>
      </w:r>
      <w:r w:rsidR="004F7CE1">
        <w:t>station code change in CEDEN for th</w:t>
      </w:r>
      <w:r w:rsidR="004C0062">
        <w:t>ese</w:t>
      </w:r>
      <w:r w:rsidR="004F7CE1">
        <w:t xml:space="preserve"> data</w:t>
      </w:r>
      <w:r w:rsidR="004C0062">
        <w:t>,</w:t>
      </w:r>
      <w:r w:rsidR="004F7CE1">
        <w:t xml:space="preserve"> which resulted in the need to revise the LOEs. These corrections did not result in any Decision changes.</w:t>
      </w:r>
    </w:p>
    <w:p w14:paraId="122CCCE1" w14:textId="23D10F43" w:rsidR="567AA4CA" w:rsidRDefault="21D302C3" w:rsidP="567AA4CA">
      <w:r>
        <w:t xml:space="preserve">For other station corrections that resulted in </w:t>
      </w:r>
      <w:r w:rsidR="002C0841">
        <w:t>Decision</w:t>
      </w:r>
      <w:r>
        <w:t xml:space="preserve"> changes, please see </w:t>
      </w:r>
      <w:r w:rsidRPr="006163E6">
        <w:t xml:space="preserve">Table </w:t>
      </w:r>
      <w:r w:rsidR="006163E6" w:rsidRPr="006163E6">
        <w:t>4-</w:t>
      </w:r>
      <w:r w:rsidR="00473AD4">
        <w:t>3</w:t>
      </w:r>
      <w:r>
        <w:t>.</w:t>
      </w:r>
    </w:p>
    <w:p w14:paraId="5DAD0A48" w14:textId="33701359" w:rsidR="4D591C45" w:rsidRPr="00E12549" w:rsidRDefault="4D591C45" w:rsidP="003D210E">
      <w:pPr>
        <w:pStyle w:val="Caption"/>
        <w:rPr>
          <w:rFonts w:asciiTheme="minorHAnsi" w:eastAsiaTheme="minorEastAsia" w:hAnsiTheme="minorHAnsi" w:cstheme="minorBidi"/>
        </w:rPr>
      </w:pPr>
      <w:r w:rsidRPr="00E12549">
        <w:t xml:space="preserve">Table </w:t>
      </w:r>
      <w:r w:rsidR="00AE05ED" w:rsidRPr="00FF6FE6">
        <w:t>4-</w:t>
      </w:r>
      <w:r w:rsidR="00473AD4">
        <w:t>3</w:t>
      </w:r>
      <w:r w:rsidR="00E12549">
        <w:t>:</w:t>
      </w:r>
      <w:r w:rsidRPr="00E12549">
        <w:t xml:space="preserve"> </w:t>
      </w:r>
      <w:r w:rsidR="00E12549">
        <w:t>M</w:t>
      </w:r>
      <w:r w:rsidRPr="00E12549">
        <w:t xml:space="preserve">apping </w:t>
      </w:r>
      <w:r w:rsidR="00AE05ED">
        <w:t>Corrections</w:t>
      </w:r>
      <w:r w:rsidR="00AE05ED" w:rsidRPr="00E12549">
        <w:t xml:space="preserve"> Resulting in </w:t>
      </w:r>
      <w:r w:rsidR="00AE05ED">
        <w:t xml:space="preserve">a </w:t>
      </w:r>
      <w:r w:rsidR="00B803FE">
        <w:t>Decision Change</w:t>
      </w:r>
      <w:r w:rsidR="00AE05ED">
        <w:t xml:space="preserve"> </w:t>
      </w:r>
    </w:p>
    <w:tbl>
      <w:tblPr>
        <w:tblStyle w:val="TableGrid"/>
        <w:tblW w:w="9535" w:type="dxa"/>
        <w:tblLayout w:type="fixed"/>
        <w:tblLook w:val="06A0" w:firstRow="1" w:lastRow="0" w:firstColumn="1" w:lastColumn="0" w:noHBand="1" w:noVBand="1"/>
        <w:tblCaption w:val="Mapping Corrections Resulting in a Decision Change"/>
        <w:tblDescription w:val="This table provides a summary of the mapping changes associated with waterbody segments in the Central Coast Region, including the waterbody segment name, pollutant name, reason for correction, and the current listing status. "/>
      </w:tblPr>
      <w:tblGrid>
        <w:gridCol w:w="2082"/>
        <w:gridCol w:w="1542"/>
        <w:gridCol w:w="4672"/>
        <w:gridCol w:w="1239"/>
      </w:tblGrid>
      <w:tr w:rsidR="6D7E83CD" w14:paraId="502462FD" w14:textId="77777777" w:rsidTr="00947F33">
        <w:trPr>
          <w:trHeight w:val="300"/>
        </w:trPr>
        <w:tc>
          <w:tcPr>
            <w:tcW w:w="2082" w:type="dxa"/>
            <w:shd w:val="clear" w:color="auto" w:fill="D9E2F3" w:themeFill="accent1" w:themeFillTint="33"/>
          </w:tcPr>
          <w:p w14:paraId="60FE9080" w14:textId="2AA3D169" w:rsidR="629169EE" w:rsidRPr="00DD6E00" w:rsidRDefault="629169EE" w:rsidP="00DD6E00">
            <w:pPr>
              <w:spacing w:before="120" w:after="120"/>
              <w:jc w:val="center"/>
              <w:rPr>
                <w:rFonts w:eastAsia="Arial" w:cs="Arial"/>
                <w:b/>
              </w:rPr>
            </w:pPr>
            <w:r w:rsidRPr="00DD6E00">
              <w:rPr>
                <w:rFonts w:eastAsia="Arial" w:cs="Arial"/>
                <w:b/>
              </w:rPr>
              <w:t>Waterbody</w:t>
            </w:r>
            <w:r w:rsidR="00DD6E00">
              <w:rPr>
                <w:rFonts w:eastAsia="Arial" w:cs="Arial"/>
                <w:b/>
              </w:rPr>
              <w:t xml:space="preserve"> </w:t>
            </w:r>
            <w:r w:rsidR="00F7655D">
              <w:rPr>
                <w:rFonts w:eastAsia="Arial" w:cs="Arial"/>
                <w:b/>
              </w:rPr>
              <w:t xml:space="preserve">Segment </w:t>
            </w:r>
            <w:r w:rsidR="00947F33">
              <w:rPr>
                <w:rFonts w:eastAsia="Arial" w:cs="Arial"/>
                <w:b/>
              </w:rPr>
              <w:t>Name</w:t>
            </w:r>
            <w:r w:rsidR="00DD6E00">
              <w:rPr>
                <w:rFonts w:eastAsia="Arial" w:cs="Arial"/>
                <w:b/>
              </w:rPr>
              <w:t xml:space="preserve"> </w:t>
            </w:r>
          </w:p>
        </w:tc>
        <w:tc>
          <w:tcPr>
            <w:tcW w:w="1542" w:type="dxa"/>
            <w:shd w:val="clear" w:color="auto" w:fill="D9E2F3" w:themeFill="accent1" w:themeFillTint="33"/>
          </w:tcPr>
          <w:p w14:paraId="31E14099" w14:textId="273FCB8F" w:rsidR="2BF24E81" w:rsidRPr="00DD6E00" w:rsidRDefault="2BF24E81" w:rsidP="00DD6E00">
            <w:pPr>
              <w:spacing w:before="120" w:after="120"/>
              <w:jc w:val="center"/>
              <w:rPr>
                <w:rFonts w:eastAsia="Arial" w:cs="Arial"/>
                <w:b/>
              </w:rPr>
            </w:pPr>
            <w:r w:rsidRPr="00DD6E00">
              <w:rPr>
                <w:rFonts w:eastAsia="Arial" w:cs="Arial"/>
                <w:b/>
              </w:rPr>
              <w:t>Pollutant</w:t>
            </w:r>
            <w:r w:rsidR="00FD3DE0">
              <w:rPr>
                <w:rFonts w:eastAsia="Arial" w:cs="Arial"/>
                <w:b/>
              </w:rPr>
              <w:t xml:space="preserve"> Name</w:t>
            </w:r>
          </w:p>
        </w:tc>
        <w:tc>
          <w:tcPr>
            <w:tcW w:w="4672" w:type="dxa"/>
            <w:shd w:val="clear" w:color="auto" w:fill="D9E2F3" w:themeFill="accent1" w:themeFillTint="33"/>
          </w:tcPr>
          <w:p w14:paraId="29ECDF4C" w14:textId="66D5AFF9" w:rsidR="2BF24E81" w:rsidRPr="00DD6E00" w:rsidRDefault="2BF24E81" w:rsidP="00DD6E00">
            <w:pPr>
              <w:spacing w:before="120" w:after="120"/>
              <w:jc w:val="center"/>
              <w:rPr>
                <w:rFonts w:eastAsia="Arial" w:cs="Arial"/>
                <w:b/>
              </w:rPr>
            </w:pPr>
            <w:r w:rsidRPr="00DD6E00">
              <w:rPr>
                <w:rFonts w:eastAsia="Arial" w:cs="Arial"/>
                <w:b/>
              </w:rPr>
              <w:t>Reaso</w:t>
            </w:r>
            <w:r w:rsidRPr="468E62F9">
              <w:rPr>
                <w:rFonts w:eastAsia="Arial" w:cs="Arial"/>
                <w:b/>
              </w:rPr>
              <w:t>n</w:t>
            </w:r>
            <w:r w:rsidR="00FD3DE0">
              <w:rPr>
                <w:rFonts w:eastAsia="Arial" w:cs="Arial"/>
                <w:b/>
                <w:bCs/>
              </w:rPr>
              <w:t xml:space="preserve"> for </w:t>
            </w:r>
            <w:r w:rsidR="003918B7">
              <w:rPr>
                <w:rFonts w:eastAsia="Arial" w:cs="Arial"/>
                <w:b/>
                <w:bCs/>
              </w:rPr>
              <w:t>Correction</w:t>
            </w:r>
          </w:p>
        </w:tc>
        <w:tc>
          <w:tcPr>
            <w:tcW w:w="1239" w:type="dxa"/>
            <w:shd w:val="clear" w:color="auto" w:fill="D9E2F3" w:themeFill="accent1" w:themeFillTint="33"/>
          </w:tcPr>
          <w:p w14:paraId="4185159E" w14:textId="6B66E86F" w:rsidR="6D7E83CD" w:rsidRPr="00DD6E00" w:rsidRDefault="2BF24E81" w:rsidP="00DD6E00">
            <w:pPr>
              <w:spacing w:before="120" w:after="120"/>
              <w:jc w:val="center"/>
              <w:rPr>
                <w:rFonts w:eastAsia="Arial" w:cs="Arial"/>
                <w:b/>
              </w:rPr>
            </w:pPr>
            <w:r w:rsidRPr="00DD6E00">
              <w:rPr>
                <w:rFonts w:eastAsia="Arial" w:cs="Arial"/>
                <w:b/>
              </w:rPr>
              <w:t>Status</w:t>
            </w:r>
          </w:p>
        </w:tc>
      </w:tr>
      <w:tr w:rsidR="6D7E83CD" w14:paraId="5A2736F6" w14:textId="77777777" w:rsidTr="00947F33">
        <w:trPr>
          <w:trHeight w:val="300"/>
        </w:trPr>
        <w:tc>
          <w:tcPr>
            <w:tcW w:w="2082" w:type="dxa"/>
          </w:tcPr>
          <w:p w14:paraId="45B76F74" w14:textId="09EB642E" w:rsidR="6BD4A0BF" w:rsidRPr="00DD6E00" w:rsidRDefault="6BD4A0BF" w:rsidP="00DD6E00">
            <w:pPr>
              <w:spacing w:before="120" w:after="120"/>
              <w:rPr>
                <w:rFonts w:eastAsia="Arial" w:cs="Arial"/>
                <w:color w:val="000000" w:themeColor="text1"/>
              </w:rPr>
            </w:pPr>
            <w:r w:rsidRPr="00DD6E00">
              <w:rPr>
                <w:rFonts w:eastAsia="Arial" w:cs="Arial"/>
                <w:color w:val="000000" w:themeColor="text1"/>
              </w:rPr>
              <w:t>Pacific Ocean Shoreline at Refugio Beach (Santa Barbara County)</w:t>
            </w:r>
          </w:p>
        </w:tc>
        <w:tc>
          <w:tcPr>
            <w:tcW w:w="1542" w:type="dxa"/>
          </w:tcPr>
          <w:p w14:paraId="7C1690AF" w14:textId="74447DC8" w:rsidR="6BD4A0BF" w:rsidRPr="00DD6E00" w:rsidRDefault="6BD4A0BF" w:rsidP="00DD6E00">
            <w:pPr>
              <w:spacing w:before="120" w:after="120"/>
              <w:rPr>
                <w:rFonts w:eastAsia="Arial" w:cs="Arial"/>
                <w:color w:val="000000" w:themeColor="text1"/>
              </w:rPr>
            </w:pPr>
            <w:r w:rsidRPr="00DD6E00">
              <w:rPr>
                <w:rFonts w:eastAsia="Arial" w:cs="Arial"/>
                <w:color w:val="000000" w:themeColor="text1"/>
              </w:rPr>
              <w:t>Enterococcus</w:t>
            </w:r>
          </w:p>
        </w:tc>
        <w:tc>
          <w:tcPr>
            <w:tcW w:w="4672" w:type="dxa"/>
          </w:tcPr>
          <w:p w14:paraId="292479B0" w14:textId="5B4837FE" w:rsidR="6BD4A0BF" w:rsidRPr="00DD6E00" w:rsidRDefault="6BD4A0BF" w:rsidP="00DD6E00">
            <w:pPr>
              <w:spacing w:before="120" w:after="120"/>
              <w:rPr>
                <w:rFonts w:eastAsia="Arial" w:cs="Arial"/>
                <w:color w:val="000000" w:themeColor="text1"/>
              </w:rPr>
            </w:pPr>
            <w:r w:rsidRPr="00DD6E00">
              <w:rPr>
                <w:rFonts w:eastAsia="Arial" w:cs="Arial"/>
                <w:color w:val="000000" w:themeColor="text1"/>
              </w:rPr>
              <w:t xml:space="preserve">Station WP0000183 was erroneously associated with Pacific Ocean at Arroyo Quemada Beach (Santa Barbara County) during the 2020-2022 cycle. This station should have been associated with Pacific Ocean at Refugio Beach (Santa Barbara County). This </w:t>
            </w:r>
            <w:r w:rsidR="43C371AB" w:rsidRPr="00DD6E00">
              <w:rPr>
                <w:rFonts w:eastAsia="Arial" w:cs="Arial"/>
                <w:color w:val="000000" w:themeColor="text1"/>
              </w:rPr>
              <w:t>2026</w:t>
            </w:r>
            <w:r w:rsidRPr="00DD6E00">
              <w:rPr>
                <w:rFonts w:eastAsia="Arial" w:cs="Arial"/>
                <w:color w:val="000000" w:themeColor="text1"/>
              </w:rPr>
              <w:t xml:space="preserve"> </w:t>
            </w:r>
            <w:r w:rsidR="00FC2A7D">
              <w:rPr>
                <w:rFonts w:eastAsia="Arial" w:cs="Arial"/>
                <w:color w:val="000000" w:themeColor="text1"/>
              </w:rPr>
              <w:t>D</w:t>
            </w:r>
            <w:r w:rsidRPr="00DD6E00">
              <w:rPr>
                <w:rFonts w:eastAsia="Arial" w:cs="Arial"/>
                <w:color w:val="000000" w:themeColor="text1"/>
              </w:rPr>
              <w:t>ecision correctly associate</w:t>
            </w:r>
            <w:r w:rsidR="002B2261">
              <w:rPr>
                <w:rFonts w:eastAsia="Arial" w:cs="Arial"/>
                <w:color w:val="000000" w:themeColor="text1"/>
              </w:rPr>
              <w:t>d</w:t>
            </w:r>
            <w:r w:rsidRPr="00DD6E00">
              <w:rPr>
                <w:rFonts w:eastAsia="Arial" w:cs="Arial"/>
                <w:color w:val="000000" w:themeColor="text1"/>
              </w:rPr>
              <w:t xml:space="preserve"> site WP0000183 with Pacific Ocean at Refugio Beach (Santa Barbara County). This result</w:t>
            </w:r>
            <w:r w:rsidR="002B2261">
              <w:rPr>
                <w:rFonts w:eastAsia="Arial" w:cs="Arial"/>
                <w:color w:val="000000" w:themeColor="text1"/>
              </w:rPr>
              <w:t>ed</w:t>
            </w:r>
            <w:r w:rsidRPr="00DD6E00">
              <w:rPr>
                <w:rFonts w:eastAsia="Arial" w:cs="Arial"/>
                <w:color w:val="000000" w:themeColor="text1"/>
              </w:rPr>
              <w:t xml:space="preserve"> in a </w:t>
            </w:r>
            <w:r w:rsidR="00FC2A7D">
              <w:rPr>
                <w:rFonts w:eastAsia="Arial" w:cs="Arial"/>
                <w:color w:val="000000" w:themeColor="text1"/>
              </w:rPr>
              <w:t>“List” Decision</w:t>
            </w:r>
            <w:r w:rsidRPr="00DD6E00">
              <w:rPr>
                <w:rFonts w:eastAsia="Arial" w:cs="Arial"/>
                <w:color w:val="000000" w:themeColor="text1"/>
              </w:rPr>
              <w:t xml:space="preserve"> for Pacific Ocean at Refugio Beach (Santa Barbara County) and a </w:t>
            </w:r>
            <w:r w:rsidR="00FC2A7D">
              <w:rPr>
                <w:rFonts w:eastAsia="Arial" w:cs="Arial"/>
                <w:color w:val="000000" w:themeColor="text1"/>
              </w:rPr>
              <w:t>“Delist” Decision</w:t>
            </w:r>
            <w:r w:rsidRPr="00DD6E00">
              <w:rPr>
                <w:rFonts w:eastAsia="Arial" w:cs="Arial"/>
                <w:color w:val="000000" w:themeColor="text1"/>
              </w:rPr>
              <w:t xml:space="preserve"> for Pacific Ocean at Arroyo Quemada Beach (Santa Barbara County).</w:t>
            </w:r>
          </w:p>
        </w:tc>
        <w:tc>
          <w:tcPr>
            <w:tcW w:w="1239" w:type="dxa"/>
          </w:tcPr>
          <w:p w14:paraId="3767F70E" w14:textId="3E08E6CE" w:rsidR="6D7E83CD" w:rsidRPr="00DD6E00" w:rsidRDefault="00485BA5" w:rsidP="00DD6E00">
            <w:pPr>
              <w:spacing w:before="120" w:after="120"/>
              <w:rPr>
                <w:rFonts w:eastAsia="Arial" w:cs="Arial"/>
              </w:rPr>
            </w:pPr>
            <w:r>
              <w:rPr>
                <w:rFonts w:eastAsia="Arial" w:cs="Arial"/>
              </w:rPr>
              <w:t>“</w:t>
            </w:r>
            <w:r w:rsidR="6F9C8B5B" w:rsidRPr="00DD6E00">
              <w:rPr>
                <w:rFonts w:eastAsia="Arial" w:cs="Arial"/>
              </w:rPr>
              <w:t>List</w:t>
            </w:r>
            <w:r>
              <w:rPr>
                <w:rFonts w:eastAsia="Arial" w:cs="Arial"/>
              </w:rPr>
              <w:t>”</w:t>
            </w:r>
          </w:p>
        </w:tc>
      </w:tr>
      <w:tr w:rsidR="6D7E83CD" w14:paraId="58A3DCF0" w14:textId="77777777" w:rsidTr="00947F33">
        <w:trPr>
          <w:trHeight w:val="300"/>
        </w:trPr>
        <w:tc>
          <w:tcPr>
            <w:tcW w:w="2082" w:type="dxa"/>
          </w:tcPr>
          <w:p w14:paraId="0D537B77" w14:textId="2EF56AAC"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Pacific Ocean Shoreline at Arroyo Quemada Beach (Santa Barbara County)</w:t>
            </w:r>
          </w:p>
        </w:tc>
        <w:tc>
          <w:tcPr>
            <w:tcW w:w="1542" w:type="dxa"/>
          </w:tcPr>
          <w:p w14:paraId="2B8D406C" w14:textId="320447E0"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Enterococcus</w:t>
            </w:r>
          </w:p>
        </w:tc>
        <w:tc>
          <w:tcPr>
            <w:tcW w:w="4672" w:type="dxa"/>
          </w:tcPr>
          <w:p w14:paraId="7F833F6F" w14:textId="1149EB0C"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 xml:space="preserve">Site WP0000183 was removed from Pacific Ocean at Arroyo Quemada Beach and correctly associated with Pacific Ocean at Refugio Beach (Santa Barbara County). With the removal of station WP0000183, this waterbody </w:t>
            </w:r>
            <w:r w:rsidR="00FC2A7D">
              <w:rPr>
                <w:rFonts w:eastAsia="Arial" w:cs="Arial"/>
                <w:color w:val="000000" w:themeColor="text1"/>
              </w:rPr>
              <w:t>segment</w:t>
            </w:r>
            <w:r w:rsidRPr="00DD6E00">
              <w:rPr>
                <w:rFonts w:eastAsia="Arial" w:cs="Arial"/>
                <w:color w:val="000000" w:themeColor="text1"/>
              </w:rPr>
              <w:t xml:space="preserve"> </w:t>
            </w:r>
            <w:r w:rsidR="00BF6D94">
              <w:rPr>
                <w:rFonts w:eastAsia="Arial" w:cs="Arial"/>
                <w:color w:val="000000" w:themeColor="text1"/>
              </w:rPr>
              <w:t>resulted as</w:t>
            </w:r>
            <w:r w:rsidRPr="00DD6E00">
              <w:rPr>
                <w:rFonts w:eastAsia="Arial" w:cs="Arial"/>
                <w:color w:val="000000" w:themeColor="text1"/>
              </w:rPr>
              <w:t xml:space="preserve"> </w:t>
            </w:r>
            <w:r w:rsidR="00FC2A7D">
              <w:rPr>
                <w:rFonts w:eastAsia="Arial" w:cs="Arial"/>
                <w:color w:val="000000" w:themeColor="text1"/>
              </w:rPr>
              <w:t>a “Delist” Decision</w:t>
            </w:r>
            <w:r w:rsidRPr="00DD6E00">
              <w:rPr>
                <w:rFonts w:eastAsia="Arial" w:cs="Arial"/>
                <w:color w:val="000000" w:themeColor="text1"/>
              </w:rPr>
              <w:t xml:space="preserve"> as there </w:t>
            </w:r>
            <w:r w:rsidR="00BF6D94">
              <w:rPr>
                <w:rFonts w:eastAsia="Arial" w:cs="Arial"/>
                <w:color w:val="000000" w:themeColor="text1"/>
              </w:rPr>
              <w:t>were</w:t>
            </w:r>
            <w:r w:rsidR="00BF6D94" w:rsidRPr="00DD6E00">
              <w:rPr>
                <w:rFonts w:eastAsia="Arial" w:cs="Arial"/>
                <w:color w:val="000000" w:themeColor="text1"/>
              </w:rPr>
              <w:t xml:space="preserve"> </w:t>
            </w:r>
            <w:r w:rsidRPr="00DD6E00">
              <w:rPr>
                <w:rFonts w:eastAsia="Arial" w:cs="Arial"/>
                <w:color w:val="000000" w:themeColor="text1"/>
              </w:rPr>
              <w:t xml:space="preserve">no data to indicate there </w:t>
            </w:r>
            <w:r w:rsidR="00BF6D94">
              <w:rPr>
                <w:rFonts w:eastAsia="Arial" w:cs="Arial"/>
                <w:color w:val="000000" w:themeColor="text1"/>
              </w:rPr>
              <w:t>was</w:t>
            </w:r>
            <w:r w:rsidR="00BF6D94" w:rsidRPr="00DD6E00">
              <w:rPr>
                <w:rFonts w:eastAsia="Arial" w:cs="Arial"/>
                <w:color w:val="000000" w:themeColor="text1"/>
              </w:rPr>
              <w:t xml:space="preserve"> </w:t>
            </w:r>
            <w:r w:rsidRPr="00DD6E00">
              <w:rPr>
                <w:rFonts w:eastAsia="Arial" w:cs="Arial"/>
                <w:color w:val="000000" w:themeColor="text1"/>
              </w:rPr>
              <w:t>an impairment.</w:t>
            </w:r>
          </w:p>
        </w:tc>
        <w:tc>
          <w:tcPr>
            <w:tcW w:w="1239" w:type="dxa"/>
          </w:tcPr>
          <w:p w14:paraId="6B65D3A9" w14:textId="1AA119AA" w:rsidR="6D7E83CD" w:rsidRPr="00DD6E00" w:rsidRDefault="00485BA5" w:rsidP="00DD6E00">
            <w:pPr>
              <w:spacing w:before="120" w:after="120"/>
              <w:rPr>
                <w:rFonts w:eastAsia="Arial" w:cs="Arial"/>
              </w:rPr>
            </w:pPr>
            <w:r>
              <w:rPr>
                <w:rFonts w:eastAsia="Arial" w:cs="Arial"/>
              </w:rPr>
              <w:t>“</w:t>
            </w:r>
            <w:r w:rsidR="36C6F0B1" w:rsidRPr="00DD6E00">
              <w:rPr>
                <w:rFonts w:eastAsia="Arial" w:cs="Arial"/>
              </w:rPr>
              <w:t>Delist</w:t>
            </w:r>
            <w:r>
              <w:rPr>
                <w:rFonts w:eastAsia="Arial" w:cs="Arial"/>
              </w:rPr>
              <w:t>”</w:t>
            </w:r>
          </w:p>
        </w:tc>
      </w:tr>
      <w:tr w:rsidR="6D7E83CD" w14:paraId="50B987E5" w14:textId="77777777" w:rsidTr="00947F33">
        <w:trPr>
          <w:trHeight w:val="300"/>
        </w:trPr>
        <w:tc>
          <w:tcPr>
            <w:tcW w:w="2082" w:type="dxa"/>
          </w:tcPr>
          <w:p w14:paraId="167A68D2" w14:textId="12652FA1"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Pacific Ocean Shoreline at East Beach (mouth of Sycamore Creek, Santa Barbara County)</w:t>
            </w:r>
          </w:p>
        </w:tc>
        <w:tc>
          <w:tcPr>
            <w:tcW w:w="1542" w:type="dxa"/>
          </w:tcPr>
          <w:p w14:paraId="141606BA" w14:textId="724DCFE9"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Total Coliform</w:t>
            </w:r>
          </w:p>
        </w:tc>
        <w:tc>
          <w:tcPr>
            <w:tcW w:w="4672" w:type="dxa"/>
          </w:tcPr>
          <w:p w14:paraId="73DB91BD" w14:textId="1597B96C"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 xml:space="preserve">Total coliform is no longer being used to evaluate attainment of the </w:t>
            </w:r>
            <w:r w:rsidR="00FC2A7D">
              <w:rPr>
                <w:rFonts w:eastAsia="Arial" w:cs="Arial"/>
                <w:color w:val="000000" w:themeColor="text1"/>
              </w:rPr>
              <w:t>REC-1</w:t>
            </w:r>
            <w:r w:rsidRPr="00DD6E00">
              <w:rPr>
                <w:rFonts w:eastAsia="Arial" w:cs="Arial"/>
                <w:color w:val="000000" w:themeColor="text1"/>
              </w:rPr>
              <w:t xml:space="preserve"> beneficial use in ocean waters. The </w:t>
            </w:r>
            <w:r w:rsidR="00B2437D" w:rsidRPr="00DD6E00">
              <w:rPr>
                <w:rFonts w:eastAsia="Arial" w:cs="Arial"/>
                <w:color w:val="000000" w:themeColor="text1"/>
              </w:rPr>
              <w:t>Decision</w:t>
            </w:r>
            <w:r w:rsidRPr="00DD6E00">
              <w:rPr>
                <w:rFonts w:eastAsia="Arial" w:cs="Arial"/>
                <w:color w:val="000000" w:themeColor="text1"/>
              </w:rPr>
              <w:t xml:space="preserve"> for the </w:t>
            </w:r>
            <w:r w:rsidR="00FC2A7D">
              <w:rPr>
                <w:rFonts w:eastAsia="Arial" w:cs="Arial"/>
                <w:color w:val="000000" w:themeColor="text1"/>
              </w:rPr>
              <w:t>SHELL</w:t>
            </w:r>
            <w:r w:rsidRPr="00DD6E00">
              <w:rPr>
                <w:rFonts w:eastAsia="Arial" w:cs="Arial"/>
                <w:color w:val="000000" w:themeColor="text1"/>
              </w:rPr>
              <w:t xml:space="preserve"> beneficial use. remain</w:t>
            </w:r>
            <w:r w:rsidR="00BF6D94">
              <w:rPr>
                <w:rFonts w:eastAsia="Arial" w:cs="Arial"/>
                <w:color w:val="000000" w:themeColor="text1"/>
              </w:rPr>
              <w:t>ed</w:t>
            </w:r>
            <w:r w:rsidRPr="00DD6E00">
              <w:rPr>
                <w:rFonts w:eastAsia="Arial" w:cs="Arial"/>
                <w:color w:val="000000" w:themeColor="text1"/>
              </w:rPr>
              <w:t xml:space="preserve"> </w:t>
            </w:r>
            <w:r w:rsidR="00FC2A7D">
              <w:rPr>
                <w:rFonts w:eastAsia="Arial" w:cs="Arial"/>
                <w:color w:val="000000" w:themeColor="text1"/>
              </w:rPr>
              <w:t>“Delist</w:t>
            </w:r>
            <w:r w:rsidR="00C13EDD">
              <w:rPr>
                <w:rFonts w:eastAsia="Arial" w:cs="Arial"/>
                <w:color w:val="000000" w:themeColor="text1"/>
              </w:rPr>
              <w:t>.</w:t>
            </w:r>
            <w:r w:rsidR="00FC2A7D">
              <w:rPr>
                <w:rFonts w:eastAsia="Arial" w:cs="Arial"/>
                <w:color w:val="000000" w:themeColor="text1"/>
              </w:rPr>
              <w:t>”</w:t>
            </w:r>
          </w:p>
        </w:tc>
        <w:tc>
          <w:tcPr>
            <w:tcW w:w="1239" w:type="dxa"/>
          </w:tcPr>
          <w:p w14:paraId="26EFA7D0" w14:textId="5EDA0E27" w:rsidR="6D7E83CD" w:rsidRPr="00DD6E00" w:rsidRDefault="00485BA5" w:rsidP="00DD6E00">
            <w:pPr>
              <w:spacing w:before="120" w:after="120"/>
              <w:rPr>
                <w:rFonts w:eastAsia="Arial" w:cs="Arial"/>
              </w:rPr>
            </w:pPr>
            <w:r>
              <w:rPr>
                <w:rFonts w:eastAsia="Arial" w:cs="Arial"/>
              </w:rPr>
              <w:t>“</w:t>
            </w:r>
            <w:r w:rsidR="102E6758" w:rsidRPr="00DD6E00">
              <w:rPr>
                <w:rFonts w:eastAsia="Arial" w:cs="Arial"/>
              </w:rPr>
              <w:t>Delist</w:t>
            </w:r>
            <w:r>
              <w:rPr>
                <w:rFonts w:eastAsia="Arial" w:cs="Arial"/>
              </w:rPr>
              <w:t>”</w:t>
            </w:r>
          </w:p>
        </w:tc>
      </w:tr>
      <w:tr w:rsidR="6D7E83CD" w14:paraId="0CB124D7" w14:textId="77777777" w:rsidTr="00947F33">
        <w:trPr>
          <w:trHeight w:val="300"/>
        </w:trPr>
        <w:tc>
          <w:tcPr>
            <w:tcW w:w="2082" w:type="dxa"/>
          </w:tcPr>
          <w:p w14:paraId="0B5559FE" w14:textId="02CBA192"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Pacific Ocean Shoreline at Gaviota Beach (mouth of Canada de la Gaviota Creek, Santa Barbara County)</w:t>
            </w:r>
          </w:p>
        </w:tc>
        <w:tc>
          <w:tcPr>
            <w:tcW w:w="1542" w:type="dxa"/>
          </w:tcPr>
          <w:p w14:paraId="10029E39" w14:textId="76D536BB"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Total Coliform</w:t>
            </w:r>
          </w:p>
        </w:tc>
        <w:tc>
          <w:tcPr>
            <w:tcW w:w="4672" w:type="dxa"/>
          </w:tcPr>
          <w:p w14:paraId="74525CAD" w14:textId="32E3B07A"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 xml:space="preserve">Total coliform is no longer being used to evaluate attainment of the </w:t>
            </w:r>
            <w:r w:rsidR="00FC2A7D">
              <w:rPr>
                <w:rFonts w:eastAsia="Arial" w:cs="Arial"/>
                <w:color w:val="000000" w:themeColor="text1"/>
              </w:rPr>
              <w:t>REC-1</w:t>
            </w:r>
            <w:r w:rsidRPr="00DD6E00">
              <w:rPr>
                <w:rFonts w:eastAsia="Arial" w:cs="Arial"/>
                <w:color w:val="000000" w:themeColor="text1"/>
              </w:rPr>
              <w:t xml:space="preserve"> beneficial use in ocean waters. The </w:t>
            </w:r>
            <w:r w:rsidR="00994C8B" w:rsidRPr="00DD6E00">
              <w:rPr>
                <w:rFonts w:eastAsia="Arial" w:cs="Arial"/>
                <w:color w:val="000000" w:themeColor="text1"/>
              </w:rPr>
              <w:t>Decision</w:t>
            </w:r>
            <w:r w:rsidRPr="00DD6E00">
              <w:rPr>
                <w:rFonts w:eastAsia="Arial" w:cs="Arial"/>
                <w:color w:val="000000" w:themeColor="text1"/>
              </w:rPr>
              <w:t xml:space="preserve"> for the </w:t>
            </w:r>
            <w:r w:rsidR="00FC2A7D">
              <w:rPr>
                <w:rFonts w:eastAsia="Arial" w:cs="Arial"/>
                <w:color w:val="000000" w:themeColor="text1"/>
              </w:rPr>
              <w:t>SHELL</w:t>
            </w:r>
            <w:r w:rsidRPr="00DD6E00">
              <w:rPr>
                <w:rFonts w:eastAsia="Arial" w:cs="Arial"/>
                <w:color w:val="000000" w:themeColor="text1"/>
              </w:rPr>
              <w:t xml:space="preserve"> beneficial use remains. remain</w:t>
            </w:r>
            <w:r w:rsidR="004160A3">
              <w:rPr>
                <w:rFonts w:eastAsia="Arial" w:cs="Arial"/>
                <w:color w:val="000000" w:themeColor="text1"/>
              </w:rPr>
              <w:t>ed</w:t>
            </w:r>
            <w:r w:rsidRPr="00DD6E00">
              <w:rPr>
                <w:rFonts w:eastAsia="Arial" w:cs="Arial"/>
                <w:color w:val="000000" w:themeColor="text1"/>
              </w:rPr>
              <w:t xml:space="preserve"> </w:t>
            </w:r>
            <w:r w:rsidR="001C4815">
              <w:rPr>
                <w:rFonts w:eastAsia="Arial" w:cs="Arial"/>
                <w:color w:val="000000" w:themeColor="text1"/>
              </w:rPr>
              <w:t>“Delist</w:t>
            </w:r>
            <w:r w:rsidR="00C13EDD">
              <w:rPr>
                <w:rFonts w:eastAsia="Arial" w:cs="Arial"/>
                <w:color w:val="000000" w:themeColor="text1"/>
              </w:rPr>
              <w:t>.</w:t>
            </w:r>
            <w:r w:rsidR="001C4815">
              <w:rPr>
                <w:rFonts w:eastAsia="Arial" w:cs="Arial"/>
                <w:color w:val="000000" w:themeColor="text1"/>
              </w:rPr>
              <w:t>”</w:t>
            </w:r>
          </w:p>
        </w:tc>
        <w:tc>
          <w:tcPr>
            <w:tcW w:w="1239" w:type="dxa"/>
          </w:tcPr>
          <w:p w14:paraId="41118619" w14:textId="4C46F737" w:rsidR="6D7E83CD" w:rsidRPr="00DD6E00" w:rsidRDefault="00485BA5" w:rsidP="00DD6E00">
            <w:pPr>
              <w:spacing w:before="120" w:after="120"/>
              <w:rPr>
                <w:rFonts w:eastAsia="Arial" w:cs="Arial"/>
              </w:rPr>
            </w:pPr>
            <w:r>
              <w:rPr>
                <w:rFonts w:eastAsia="Arial" w:cs="Arial"/>
              </w:rPr>
              <w:t>“</w:t>
            </w:r>
            <w:r w:rsidR="6E34C1B2" w:rsidRPr="00DD6E00">
              <w:rPr>
                <w:rFonts w:eastAsia="Arial" w:cs="Arial"/>
              </w:rPr>
              <w:t>Delist</w:t>
            </w:r>
            <w:r>
              <w:rPr>
                <w:rFonts w:eastAsia="Arial" w:cs="Arial"/>
              </w:rPr>
              <w:t>”</w:t>
            </w:r>
          </w:p>
        </w:tc>
      </w:tr>
      <w:tr w:rsidR="6D7E83CD" w14:paraId="62C86986" w14:textId="77777777" w:rsidTr="00947F33">
        <w:trPr>
          <w:trHeight w:val="300"/>
        </w:trPr>
        <w:tc>
          <w:tcPr>
            <w:tcW w:w="2082" w:type="dxa"/>
          </w:tcPr>
          <w:p w14:paraId="05CB6925" w14:textId="526DF9FF"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Waddell Creek Lagoon</w:t>
            </w:r>
          </w:p>
        </w:tc>
        <w:tc>
          <w:tcPr>
            <w:tcW w:w="1542" w:type="dxa"/>
          </w:tcPr>
          <w:p w14:paraId="322D452C" w14:textId="2669E3D5"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Arsenic</w:t>
            </w:r>
          </w:p>
        </w:tc>
        <w:tc>
          <w:tcPr>
            <w:tcW w:w="4672" w:type="dxa"/>
          </w:tcPr>
          <w:p w14:paraId="26FDCCA7" w14:textId="5C3A9772"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 xml:space="preserve">The LOE with the </w:t>
            </w:r>
            <w:r w:rsidR="000927B8">
              <w:rPr>
                <w:rFonts w:eastAsia="Arial" w:cs="Arial"/>
                <w:color w:val="000000" w:themeColor="text1"/>
              </w:rPr>
              <w:t>MUN</w:t>
            </w:r>
            <w:r w:rsidRPr="00DD6E00">
              <w:rPr>
                <w:rFonts w:eastAsia="Arial" w:cs="Arial"/>
                <w:color w:val="000000" w:themeColor="text1"/>
              </w:rPr>
              <w:t xml:space="preserve"> beneficial use was removed from this waterbody </w:t>
            </w:r>
            <w:r w:rsidR="001C4815">
              <w:rPr>
                <w:rFonts w:eastAsia="Arial" w:cs="Arial"/>
                <w:color w:val="000000" w:themeColor="text1"/>
              </w:rPr>
              <w:t>segment</w:t>
            </w:r>
            <w:r w:rsidRPr="00DD6E00">
              <w:rPr>
                <w:rFonts w:eastAsia="Arial" w:cs="Arial"/>
                <w:color w:val="000000" w:themeColor="text1"/>
              </w:rPr>
              <w:t xml:space="preserve"> as the </w:t>
            </w:r>
            <w:r w:rsidR="000927B8">
              <w:rPr>
                <w:rFonts w:eastAsia="Arial" w:cs="Arial"/>
                <w:color w:val="000000" w:themeColor="text1"/>
              </w:rPr>
              <w:t>MUN</w:t>
            </w:r>
            <w:r w:rsidR="00AC5889">
              <w:rPr>
                <w:rFonts w:eastAsia="Arial" w:cs="Arial"/>
                <w:color w:val="000000" w:themeColor="text1"/>
              </w:rPr>
              <w:t xml:space="preserve"> </w:t>
            </w:r>
            <w:r w:rsidR="000D569A">
              <w:rPr>
                <w:rFonts w:eastAsia="Arial" w:cs="Arial"/>
                <w:color w:val="000000" w:themeColor="text1"/>
              </w:rPr>
              <w:t>beneficial</w:t>
            </w:r>
            <w:r w:rsidRPr="00DD6E00">
              <w:rPr>
                <w:rFonts w:eastAsia="Arial" w:cs="Arial"/>
                <w:color w:val="000000" w:themeColor="text1"/>
              </w:rPr>
              <w:t xml:space="preserve"> use designation for this waterbody </w:t>
            </w:r>
            <w:r w:rsidR="001C4815">
              <w:rPr>
                <w:rFonts w:eastAsia="Arial" w:cs="Arial"/>
                <w:color w:val="000000" w:themeColor="text1"/>
              </w:rPr>
              <w:t>segment</w:t>
            </w:r>
            <w:r w:rsidRPr="00DD6E00">
              <w:rPr>
                <w:rFonts w:eastAsia="Arial" w:cs="Arial"/>
                <w:color w:val="000000" w:themeColor="text1"/>
              </w:rPr>
              <w:t xml:space="preserve"> was assigned in error</w:t>
            </w:r>
            <w:r w:rsidR="00034A77">
              <w:rPr>
                <w:rFonts w:eastAsia="Arial" w:cs="Arial"/>
                <w:color w:val="000000" w:themeColor="text1"/>
              </w:rPr>
              <w:t xml:space="preserve"> and has been corrected</w:t>
            </w:r>
            <w:r w:rsidRPr="00DD6E00">
              <w:rPr>
                <w:rFonts w:eastAsia="Arial" w:cs="Arial"/>
                <w:color w:val="000000" w:themeColor="text1"/>
              </w:rPr>
              <w:t>.</w:t>
            </w:r>
          </w:p>
        </w:tc>
        <w:tc>
          <w:tcPr>
            <w:tcW w:w="1239" w:type="dxa"/>
          </w:tcPr>
          <w:p w14:paraId="4FA1447D" w14:textId="56D479F0" w:rsidR="6D7E83CD" w:rsidRPr="00DD163E" w:rsidRDefault="00485BA5" w:rsidP="00DD6E00">
            <w:pPr>
              <w:spacing w:before="120" w:after="120"/>
              <w:rPr>
                <w:rFonts w:eastAsia="Arial" w:cs="Arial"/>
              </w:rPr>
            </w:pPr>
            <w:r>
              <w:rPr>
                <w:rFonts w:eastAsia="Arial" w:cs="Arial"/>
              </w:rPr>
              <w:t>“</w:t>
            </w:r>
            <w:r w:rsidR="0C300367" w:rsidRPr="00DD6E00">
              <w:rPr>
                <w:rFonts w:eastAsia="Arial" w:cs="Arial"/>
              </w:rPr>
              <w:t>Delist</w:t>
            </w:r>
            <w:r>
              <w:rPr>
                <w:rFonts w:eastAsia="Arial" w:cs="Arial"/>
              </w:rPr>
              <w:t>”</w:t>
            </w:r>
          </w:p>
          <w:p w14:paraId="0B03451F" w14:textId="398661A0" w:rsidR="6D7E83CD" w:rsidRPr="00DD6E00" w:rsidRDefault="6D7E83CD" w:rsidP="00DD6E00">
            <w:pPr>
              <w:spacing w:before="120" w:after="120"/>
              <w:rPr>
                <w:rFonts w:eastAsia="Arial" w:cs="Arial"/>
              </w:rPr>
            </w:pPr>
          </w:p>
        </w:tc>
      </w:tr>
      <w:tr w:rsidR="6D7E83CD" w14:paraId="295EC98E" w14:textId="77777777" w:rsidTr="00947F33">
        <w:trPr>
          <w:trHeight w:val="300"/>
        </w:trPr>
        <w:tc>
          <w:tcPr>
            <w:tcW w:w="2082" w:type="dxa"/>
          </w:tcPr>
          <w:p w14:paraId="0318CE4B" w14:textId="407282ED"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Waddell Creek Lagoon</w:t>
            </w:r>
          </w:p>
        </w:tc>
        <w:tc>
          <w:tcPr>
            <w:tcW w:w="1542" w:type="dxa"/>
          </w:tcPr>
          <w:p w14:paraId="1AB65D08" w14:textId="22A92B21"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Chloride</w:t>
            </w:r>
          </w:p>
        </w:tc>
        <w:tc>
          <w:tcPr>
            <w:tcW w:w="4672" w:type="dxa"/>
          </w:tcPr>
          <w:p w14:paraId="75B2ABC1" w14:textId="67D58331"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 xml:space="preserve">LOEs with the </w:t>
            </w:r>
            <w:r w:rsidR="000927B8">
              <w:rPr>
                <w:rFonts w:eastAsia="Arial" w:cs="Arial"/>
                <w:color w:val="000000" w:themeColor="text1"/>
              </w:rPr>
              <w:t>AGR</w:t>
            </w:r>
            <w:r w:rsidRPr="00DD6E00">
              <w:rPr>
                <w:rFonts w:eastAsia="Arial" w:cs="Arial"/>
                <w:color w:val="000000" w:themeColor="text1"/>
              </w:rPr>
              <w:t xml:space="preserve"> use were removed from this waterbody </w:t>
            </w:r>
            <w:r w:rsidR="001C4815">
              <w:rPr>
                <w:rFonts w:eastAsia="Arial" w:cs="Arial"/>
                <w:color w:val="000000" w:themeColor="text1"/>
              </w:rPr>
              <w:t>segment</w:t>
            </w:r>
            <w:r w:rsidRPr="00DD6E00">
              <w:rPr>
                <w:rFonts w:eastAsia="Arial" w:cs="Arial"/>
                <w:color w:val="000000" w:themeColor="text1"/>
              </w:rPr>
              <w:t xml:space="preserve"> as the </w:t>
            </w:r>
            <w:r w:rsidR="000927B8">
              <w:rPr>
                <w:rFonts w:eastAsia="Arial" w:cs="Arial"/>
                <w:color w:val="000000" w:themeColor="text1"/>
              </w:rPr>
              <w:t>AGR</w:t>
            </w:r>
            <w:r w:rsidRPr="00DD6E00">
              <w:rPr>
                <w:rFonts w:eastAsia="Arial" w:cs="Arial"/>
                <w:color w:val="000000" w:themeColor="text1"/>
              </w:rPr>
              <w:t xml:space="preserve"> beneficial use designation for this waterbody </w:t>
            </w:r>
            <w:r w:rsidR="001C4815">
              <w:rPr>
                <w:rFonts w:eastAsia="Arial" w:cs="Arial"/>
                <w:color w:val="000000" w:themeColor="text1"/>
              </w:rPr>
              <w:t>segment</w:t>
            </w:r>
            <w:r w:rsidRPr="00DD6E00">
              <w:rPr>
                <w:rFonts w:eastAsia="Arial" w:cs="Arial"/>
                <w:color w:val="000000" w:themeColor="text1"/>
              </w:rPr>
              <w:t xml:space="preserve"> was in error</w:t>
            </w:r>
            <w:r w:rsidR="00034A77">
              <w:rPr>
                <w:rFonts w:eastAsia="Arial" w:cs="Arial"/>
                <w:color w:val="000000" w:themeColor="text1"/>
              </w:rPr>
              <w:t xml:space="preserve"> and has been corrected</w:t>
            </w:r>
            <w:r w:rsidRPr="00DD6E00">
              <w:rPr>
                <w:rFonts w:eastAsia="Arial" w:cs="Arial"/>
                <w:color w:val="000000" w:themeColor="text1"/>
              </w:rPr>
              <w:t>.</w:t>
            </w:r>
          </w:p>
        </w:tc>
        <w:tc>
          <w:tcPr>
            <w:tcW w:w="1239" w:type="dxa"/>
          </w:tcPr>
          <w:p w14:paraId="24E99BE6" w14:textId="2CD9EBAE" w:rsidR="6D7E83CD" w:rsidRPr="00DD163E" w:rsidRDefault="00485BA5" w:rsidP="00DD6E00">
            <w:pPr>
              <w:spacing w:before="120" w:after="120"/>
              <w:rPr>
                <w:rFonts w:eastAsia="Arial" w:cs="Arial"/>
              </w:rPr>
            </w:pPr>
            <w:r>
              <w:rPr>
                <w:rFonts w:eastAsia="Arial" w:cs="Arial"/>
              </w:rPr>
              <w:t>“</w:t>
            </w:r>
            <w:r w:rsidR="6BD0F705" w:rsidRPr="00DD6E00">
              <w:rPr>
                <w:rFonts w:eastAsia="Arial" w:cs="Arial"/>
              </w:rPr>
              <w:t>Delist</w:t>
            </w:r>
            <w:r>
              <w:rPr>
                <w:rFonts w:eastAsia="Arial" w:cs="Arial"/>
              </w:rPr>
              <w:t>”</w:t>
            </w:r>
          </w:p>
          <w:p w14:paraId="6FD27B73" w14:textId="5B1A493F" w:rsidR="6D7E83CD" w:rsidRPr="00DD6E00" w:rsidRDefault="6D7E83CD" w:rsidP="00DD6E00">
            <w:pPr>
              <w:spacing w:before="120" w:after="120"/>
              <w:rPr>
                <w:rFonts w:eastAsia="Arial" w:cs="Arial"/>
              </w:rPr>
            </w:pPr>
          </w:p>
        </w:tc>
      </w:tr>
      <w:tr w:rsidR="6D7E83CD" w14:paraId="789ED866" w14:textId="77777777" w:rsidTr="00947F33">
        <w:trPr>
          <w:trHeight w:val="300"/>
        </w:trPr>
        <w:tc>
          <w:tcPr>
            <w:tcW w:w="2082" w:type="dxa"/>
          </w:tcPr>
          <w:p w14:paraId="0BCFA4B5" w14:textId="6C0DAA0D"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Waddell Creek Lagoon</w:t>
            </w:r>
          </w:p>
        </w:tc>
        <w:tc>
          <w:tcPr>
            <w:tcW w:w="1542" w:type="dxa"/>
          </w:tcPr>
          <w:p w14:paraId="757DBE3E" w14:textId="70319005"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Sodium</w:t>
            </w:r>
          </w:p>
        </w:tc>
        <w:tc>
          <w:tcPr>
            <w:tcW w:w="4672" w:type="dxa"/>
          </w:tcPr>
          <w:p w14:paraId="7F074EEA" w14:textId="38841FE9" w:rsidR="2CFF0C7B" w:rsidRPr="00DD6E00" w:rsidRDefault="2CFF0C7B" w:rsidP="00DD6E00">
            <w:pPr>
              <w:spacing w:before="120" w:after="120"/>
              <w:rPr>
                <w:rFonts w:eastAsia="Arial" w:cs="Arial"/>
                <w:color w:val="000000" w:themeColor="text1"/>
              </w:rPr>
            </w:pPr>
            <w:r w:rsidRPr="00DD6E00">
              <w:rPr>
                <w:rFonts w:eastAsia="Arial" w:cs="Arial"/>
                <w:color w:val="000000" w:themeColor="text1"/>
              </w:rPr>
              <w:t xml:space="preserve">LOEs with the </w:t>
            </w:r>
            <w:r w:rsidR="000927B8">
              <w:rPr>
                <w:rFonts w:eastAsia="Arial" w:cs="Arial"/>
                <w:color w:val="000000" w:themeColor="text1"/>
              </w:rPr>
              <w:t>AGR</w:t>
            </w:r>
            <w:r w:rsidRPr="00DD6E00">
              <w:rPr>
                <w:rFonts w:eastAsia="Arial" w:cs="Arial"/>
                <w:color w:val="000000" w:themeColor="text1"/>
              </w:rPr>
              <w:t xml:space="preserve"> beneficial use were removed from this waterbody </w:t>
            </w:r>
            <w:r w:rsidR="001C4815">
              <w:rPr>
                <w:rFonts w:eastAsia="Arial" w:cs="Arial"/>
                <w:color w:val="000000" w:themeColor="text1"/>
              </w:rPr>
              <w:t>segment</w:t>
            </w:r>
            <w:r w:rsidRPr="00DD6E00">
              <w:rPr>
                <w:rFonts w:eastAsia="Arial" w:cs="Arial"/>
                <w:color w:val="000000" w:themeColor="text1"/>
              </w:rPr>
              <w:t xml:space="preserve"> as the </w:t>
            </w:r>
            <w:r w:rsidR="00034A77">
              <w:rPr>
                <w:rFonts w:eastAsia="Arial" w:cs="Arial"/>
                <w:color w:val="000000" w:themeColor="text1"/>
              </w:rPr>
              <w:t>AGR</w:t>
            </w:r>
            <w:r w:rsidR="00034A77" w:rsidRPr="00DD6E00">
              <w:rPr>
                <w:rFonts w:eastAsia="Arial" w:cs="Arial"/>
                <w:color w:val="000000" w:themeColor="text1"/>
              </w:rPr>
              <w:t xml:space="preserve"> </w:t>
            </w:r>
            <w:r w:rsidRPr="00DD6E00">
              <w:rPr>
                <w:rFonts w:eastAsia="Arial" w:cs="Arial"/>
                <w:color w:val="000000" w:themeColor="text1"/>
              </w:rPr>
              <w:t xml:space="preserve">beneficial use designation for this waterbody </w:t>
            </w:r>
            <w:r w:rsidR="001C4815">
              <w:rPr>
                <w:rFonts w:eastAsia="Arial" w:cs="Arial"/>
                <w:color w:val="000000" w:themeColor="text1"/>
              </w:rPr>
              <w:t>segment</w:t>
            </w:r>
            <w:r w:rsidRPr="00DD6E00">
              <w:rPr>
                <w:rFonts w:eastAsia="Arial" w:cs="Arial"/>
                <w:color w:val="000000" w:themeColor="text1"/>
              </w:rPr>
              <w:t xml:space="preserve"> was in error</w:t>
            </w:r>
            <w:r w:rsidR="00034A77">
              <w:rPr>
                <w:rFonts w:eastAsia="Arial" w:cs="Arial"/>
                <w:color w:val="000000" w:themeColor="text1"/>
              </w:rPr>
              <w:t xml:space="preserve"> and has been corrected</w:t>
            </w:r>
            <w:r w:rsidR="001C4815">
              <w:rPr>
                <w:rFonts w:eastAsia="Arial" w:cs="Arial"/>
                <w:color w:val="000000" w:themeColor="text1"/>
              </w:rPr>
              <w:t>.</w:t>
            </w:r>
          </w:p>
        </w:tc>
        <w:tc>
          <w:tcPr>
            <w:tcW w:w="1239" w:type="dxa"/>
          </w:tcPr>
          <w:p w14:paraId="075D1D8C" w14:textId="30949DEC" w:rsidR="6D7E83CD" w:rsidRPr="00DD163E" w:rsidRDefault="00485BA5" w:rsidP="00DD6E00">
            <w:pPr>
              <w:spacing w:before="120" w:after="120"/>
              <w:rPr>
                <w:rFonts w:eastAsia="Arial" w:cs="Arial"/>
              </w:rPr>
            </w:pPr>
            <w:r>
              <w:rPr>
                <w:rFonts w:eastAsia="Arial" w:cs="Arial"/>
              </w:rPr>
              <w:t>“</w:t>
            </w:r>
            <w:r w:rsidR="4108CB65" w:rsidRPr="00DD6E00">
              <w:rPr>
                <w:rFonts w:eastAsia="Arial" w:cs="Arial"/>
              </w:rPr>
              <w:t>Delist</w:t>
            </w:r>
            <w:r>
              <w:rPr>
                <w:rFonts w:eastAsia="Arial" w:cs="Arial"/>
              </w:rPr>
              <w:t>”</w:t>
            </w:r>
          </w:p>
          <w:p w14:paraId="2A05F883" w14:textId="71E5ADBD" w:rsidR="6D7E83CD" w:rsidRPr="00DD6E00" w:rsidRDefault="6D7E83CD" w:rsidP="00DD6E00">
            <w:pPr>
              <w:spacing w:before="120" w:after="120"/>
              <w:rPr>
                <w:rFonts w:eastAsia="Arial" w:cs="Arial"/>
              </w:rPr>
            </w:pPr>
          </w:p>
        </w:tc>
      </w:tr>
    </w:tbl>
    <w:p w14:paraId="238E4D85" w14:textId="5B90A4FA" w:rsidR="007710C3" w:rsidRPr="004502A9" w:rsidRDefault="00C62EC1" w:rsidP="00597DE8">
      <w:pPr>
        <w:pStyle w:val="Heading1"/>
      </w:pPr>
      <w:bookmarkStart w:id="138" w:name="_Hlk60233134"/>
      <w:bookmarkStart w:id="139" w:name="_Toc189048606"/>
      <w:r>
        <w:t>North Coast</w:t>
      </w:r>
      <w:r w:rsidR="007710C3" w:rsidRPr="004502A9">
        <w:t xml:space="preserve"> Region</w:t>
      </w:r>
      <w:r w:rsidR="00184061">
        <w:t>al Water Board</w:t>
      </w:r>
      <w:bookmarkEnd w:id="139"/>
      <w:r w:rsidR="00927371">
        <w:t xml:space="preserve"> </w:t>
      </w:r>
      <w:bookmarkEnd w:id="125"/>
    </w:p>
    <w:p w14:paraId="5531C4C0" w14:textId="403116DF" w:rsidR="008A4B22" w:rsidRPr="00036BD4" w:rsidRDefault="00C62EC1" w:rsidP="008A4B22">
      <w:pPr>
        <w:rPr>
          <w:rFonts w:eastAsia="Arial" w:cs="Arial"/>
        </w:rPr>
      </w:pPr>
      <w:r w:rsidRPr="004502A9">
        <w:rPr>
          <w:rFonts w:eastAsia="Arial" w:cs="Arial"/>
        </w:rPr>
        <w:t xml:space="preserve">The </w:t>
      </w:r>
      <w:r>
        <w:rPr>
          <w:rFonts w:eastAsia="Arial" w:cs="Arial"/>
        </w:rPr>
        <w:t>North Coast</w:t>
      </w:r>
      <w:r w:rsidRPr="004502A9">
        <w:rPr>
          <w:rFonts w:eastAsia="Arial" w:cs="Arial"/>
        </w:rPr>
        <w:t xml:space="preserve"> Regional Water Quality Control Boa</w:t>
      </w:r>
      <w:r>
        <w:rPr>
          <w:rFonts w:eastAsia="Arial" w:cs="Arial"/>
        </w:rPr>
        <w:t xml:space="preserve">rd </w:t>
      </w:r>
      <w:r w:rsidR="008E1941">
        <w:rPr>
          <w:rFonts w:eastAsia="Arial" w:cs="Arial"/>
        </w:rPr>
        <w:t>wa</w:t>
      </w:r>
      <w:r w:rsidRPr="004502A9">
        <w:rPr>
          <w:rFonts w:eastAsia="Arial" w:cs="Arial"/>
        </w:rPr>
        <w:t xml:space="preserve">s “on-cycle” for the </w:t>
      </w:r>
      <w:r>
        <w:rPr>
          <w:rFonts w:eastAsia="Arial" w:cs="Arial"/>
        </w:rPr>
        <w:t>2026</w:t>
      </w:r>
      <w:r w:rsidRPr="004502A9">
        <w:rPr>
          <w:rFonts w:eastAsia="Arial" w:cs="Arial"/>
        </w:rPr>
        <w:t xml:space="preserve"> </w:t>
      </w:r>
      <w:r>
        <w:rPr>
          <w:rFonts w:eastAsia="Arial" w:cs="Arial"/>
        </w:rPr>
        <w:t>California Integrated Report</w:t>
      </w:r>
      <w:r w:rsidRPr="004502A9">
        <w:rPr>
          <w:rFonts w:eastAsia="Arial" w:cs="Arial"/>
        </w:rPr>
        <w:t xml:space="preserve">. </w:t>
      </w:r>
      <w:r w:rsidR="00CF03C9">
        <w:rPr>
          <w:rFonts w:eastAsia="Arial" w:cs="Arial"/>
        </w:rPr>
        <w:t>D</w:t>
      </w:r>
      <w:r w:rsidRPr="004502A9">
        <w:rPr>
          <w:rFonts w:eastAsia="Arial" w:cs="Arial"/>
        </w:rPr>
        <w:t xml:space="preserve">ata </w:t>
      </w:r>
      <w:r w:rsidR="001B79C8">
        <w:rPr>
          <w:rFonts w:eastAsia="Arial" w:cs="Arial"/>
        </w:rPr>
        <w:t>were</w:t>
      </w:r>
      <w:r w:rsidR="00CF03C9">
        <w:rPr>
          <w:rFonts w:eastAsia="Arial" w:cs="Arial"/>
        </w:rPr>
        <w:t xml:space="preserve"> assessed </w:t>
      </w:r>
      <w:r w:rsidRPr="004502A9">
        <w:rPr>
          <w:rFonts w:eastAsia="Arial" w:cs="Arial"/>
        </w:rPr>
        <w:t xml:space="preserve">from a total of </w:t>
      </w:r>
      <w:r w:rsidR="003F30D9">
        <w:rPr>
          <w:rFonts w:eastAsia="Arial" w:cs="Arial"/>
        </w:rPr>
        <w:t>1</w:t>
      </w:r>
      <w:r w:rsidR="003F30D9">
        <w:rPr>
          <w:rFonts w:cs="Arial"/>
        </w:rPr>
        <w:t>73</w:t>
      </w:r>
      <w:r w:rsidR="003F30D9">
        <w:rPr>
          <w:rFonts w:eastAsia="Arial" w:cs="Arial"/>
        </w:rPr>
        <w:t xml:space="preserve"> </w:t>
      </w:r>
      <w:r w:rsidR="008D5E24">
        <w:rPr>
          <w:rFonts w:eastAsia="Arial" w:cs="Arial"/>
        </w:rPr>
        <w:t>waterbody segments</w:t>
      </w:r>
      <w:r w:rsidRPr="004502A9">
        <w:rPr>
          <w:rFonts w:eastAsia="Arial" w:cs="Arial"/>
        </w:rPr>
        <w:t xml:space="preserve">, </w:t>
      </w:r>
      <w:r w:rsidR="00B91E90" w:rsidRPr="004502A9">
        <w:rPr>
          <w:rFonts w:eastAsia="Arial" w:cs="Arial"/>
        </w:rPr>
        <w:t xml:space="preserve">containing </w:t>
      </w:r>
      <w:r w:rsidR="004A7B7D">
        <w:rPr>
          <w:rFonts w:eastAsia="Arial" w:cs="Arial"/>
        </w:rPr>
        <w:t>4,</w:t>
      </w:r>
      <w:r w:rsidR="00017121">
        <w:rPr>
          <w:rFonts w:eastAsia="Arial" w:cs="Arial"/>
        </w:rPr>
        <w:t>833</w:t>
      </w:r>
      <w:r w:rsidRPr="004502A9">
        <w:rPr>
          <w:rFonts w:eastAsia="Arial" w:cs="Arial"/>
        </w:rPr>
        <w:t xml:space="preserve"> waterbody-pollutant combinations. Based on these assessments </w:t>
      </w:r>
      <w:r w:rsidR="00D64056">
        <w:rPr>
          <w:rFonts w:cs="Arial"/>
        </w:rPr>
        <w:t>77</w:t>
      </w:r>
      <w:r w:rsidR="00D64056">
        <w:rPr>
          <w:rFonts w:eastAsia="Arial" w:cs="Arial"/>
        </w:rPr>
        <w:t xml:space="preserve"> </w:t>
      </w:r>
      <w:r w:rsidRPr="004502A9">
        <w:rPr>
          <w:rFonts w:eastAsia="Arial" w:cs="Arial"/>
        </w:rPr>
        <w:t xml:space="preserve">waterbody-pollutant combinations are to be added to the 303(d) </w:t>
      </w:r>
      <w:r>
        <w:rPr>
          <w:rFonts w:eastAsia="Arial" w:cs="Arial"/>
        </w:rPr>
        <w:t>l</w:t>
      </w:r>
      <w:r w:rsidRPr="004502A9">
        <w:rPr>
          <w:rFonts w:eastAsia="Arial" w:cs="Arial"/>
        </w:rPr>
        <w:t>ist</w:t>
      </w:r>
      <w:r w:rsidR="004A7B7D">
        <w:rPr>
          <w:rFonts w:eastAsia="Arial" w:cs="Arial"/>
        </w:rPr>
        <w:t xml:space="preserve"> </w:t>
      </w:r>
      <w:r w:rsidR="004A7B7D" w:rsidRPr="004502A9">
        <w:rPr>
          <w:rFonts w:eastAsia="Arial" w:cs="Arial"/>
        </w:rPr>
        <w:t xml:space="preserve">and </w:t>
      </w:r>
      <w:r w:rsidR="00A50FD5">
        <w:rPr>
          <w:rFonts w:cs="Arial"/>
        </w:rPr>
        <w:t>13</w:t>
      </w:r>
      <w:r w:rsidR="004A7B7D">
        <w:rPr>
          <w:rFonts w:eastAsia="Arial" w:cs="Arial"/>
        </w:rPr>
        <w:t xml:space="preserve"> </w:t>
      </w:r>
      <w:r w:rsidR="004A7B7D" w:rsidRPr="004502A9">
        <w:rPr>
          <w:rFonts w:eastAsia="Arial" w:cs="Arial"/>
        </w:rPr>
        <w:t xml:space="preserve">waterbody-pollutant combinations are to be removed from the 303(d) </w:t>
      </w:r>
      <w:r w:rsidR="004A7B7D">
        <w:rPr>
          <w:rFonts w:eastAsia="Arial" w:cs="Arial"/>
        </w:rPr>
        <w:t>l</w:t>
      </w:r>
      <w:r w:rsidR="004A7B7D" w:rsidRPr="004502A9">
        <w:rPr>
          <w:rFonts w:eastAsia="Arial" w:cs="Arial"/>
        </w:rPr>
        <w:t>ist</w:t>
      </w:r>
      <w:r w:rsidRPr="004502A9">
        <w:rPr>
          <w:rFonts w:eastAsia="Arial" w:cs="Arial"/>
        </w:rPr>
        <w:t xml:space="preserve">. </w:t>
      </w:r>
      <w:r w:rsidR="008A4B22">
        <w:rPr>
          <w:rFonts w:eastAsia="Arial" w:cs="Arial"/>
        </w:rPr>
        <w:t>Selected a</w:t>
      </w:r>
      <w:r w:rsidR="008A4B22" w:rsidRPr="00036BD4">
        <w:rPr>
          <w:rFonts w:eastAsia="Arial" w:cs="Arial"/>
        </w:rPr>
        <w:t xml:space="preserve">ssessments specific to the </w:t>
      </w:r>
      <w:r w:rsidR="008A4B22">
        <w:rPr>
          <w:rFonts w:eastAsia="Arial" w:cs="Arial"/>
        </w:rPr>
        <w:t xml:space="preserve">North Coast </w:t>
      </w:r>
      <w:r w:rsidR="008A4B22" w:rsidRPr="00036BD4">
        <w:rPr>
          <w:rFonts w:eastAsia="Arial" w:cs="Arial"/>
        </w:rPr>
        <w:t xml:space="preserve">Regional Water Board are described in the following subsections. </w:t>
      </w:r>
    </w:p>
    <w:p w14:paraId="2BEFB4C5" w14:textId="316A301D" w:rsidR="00547E6C" w:rsidRPr="00966EF5" w:rsidRDefault="008B1ADB" w:rsidP="008A4B22">
      <w:pPr>
        <w:pStyle w:val="Heading2"/>
      </w:pPr>
      <w:bookmarkStart w:id="140" w:name="_Toc189048607"/>
      <w:r>
        <w:t>Mapping</w:t>
      </w:r>
      <w:r w:rsidRPr="00966EF5">
        <w:t xml:space="preserve"> </w:t>
      </w:r>
      <w:r w:rsidR="007618E6" w:rsidRPr="00966EF5">
        <w:t>of Ocean Waterbod</w:t>
      </w:r>
      <w:r>
        <w:t>y Segments</w:t>
      </w:r>
      <w:bookmarkEnd w:id="140"/>
      <w:r w:rsidR="00651618">
        <w:t xml:space="preserve"> </w:t>
      </w:r>
    </w:p>
    <w:p w14:paraId="4D6530EA" w14:textId="57E44B02" w:rsidR="005826C4" w:rsidRDefault="002E6806" w:rsidP="002E6806">
      <w:r>
        <w:t xml:space="preserve">For the 2026 California Integrated Report, </w:t>
      </w:r>
      <w:r w:rsidR="00A47F17">
        <w:t xml:space="preserve">12 new </w:t>
      </w:r>
      <w:r w:rsidR="00B72B2D">
        <w:t xml:space="preserve">ocean </w:t>
      </w:r>
      <w:r w:rsidR="008B1ADB">
        <w:t>waterbody segments</w:t>
      </w:r>
      <w:r w:rsidR="00651618">
        <w:t xml:space="preserve"> </w:t>
      </w:r>
      <w:r w:rsidR="008177C5">
        <w:t xml:space="preserve">were </w:t>
      </w:r>
      <w:r w:rsidR="00063E03">
        <w:t>mapped</w:t>
      </w:r>
      <w:r w:rsidR="008177C5">
        <w:t xml:space="preserve"> </w:t>
      </w:r>
      <w:r w:rsidR="003C0E91">
        <w:t xml:space="preserve">for the North Coast </w:t>
      </w:r>
      <w:r w:rsidR="00DA60BE">
        <w:t>Region</w:t>
      </w:r>
      <w:r w:rsidR="0017691B">
        <w:t>.</w:t>
      </w:r>
      <w:r w:rsidR="00083ABA">
        <w:t xml:space="preserve"> Prior to th</w:t>
      </w:r>
      <w:r w:rsidR="00E44171">
        <w:t xml:space="preserve">is cycle, </w:t>
      </w:r>
      <w:r w:rsidR="002C0FBA">
        <w:t>no ocean waterbody segments for the North Coast Region had been mapped</w:t>
      </w:r>
      <w:r w:rsidR="00E11CEA">
        <w:t xml:space="preserve">. In </w:t>
      </w:r>
      <w:r w:rsidR="009477EE">
        <w:t xml:space="preserve">some </w:t>
      </w:r>
      <w:r w:rsidR="00E11CEA">
        <w:t xml:space="preserve">instances, </w:t>
      </w:r>
      <w:r w:rsidR="0084681E">
        <w:t>data collected from the Pacific Ocean were associated with a beach or reach of coastline</w:t>
      </w:r>
      <w:r w:rsidR="008640EB">
        <w:t xml:space="preserve"> (e.g., indicator bacteria at </w:t>
      </w:r>
      <w:r w:rsidR="00E11CEA">
        <w:t xml:space="preserve">a </w:t>
      </w:r>
      <w:r w:rsidR="008640EB">
        <w:t xml:space="preserve">specific </w:t>
      </w:r>
      <w:r w:rsidR="00E11CEA">
        <w:t>beach</w:t>
      </w:r>
      <w:r w:rsidR="008640EB">
        <w:t>)</w:t>
      </w:r>
      <w:r w:rsidR="00E11CEA">
        <w:t>.</w:t>
      </w:r>
      <w:r w:rsidR="001205F4">
        <w:t xml:space="preserve"> In some instances</w:t>
      </w:r>
      <w:r w:rsidR="002C0FBA">
        <w:t>,</w:t>
      </w:r>
      <w:r w:rsidR="009B4A5E">
        <w:t xml:space="preserve"> </w:t>
      </w:r>
      <w:r w:rsidR="000336F6">
        <w:t xml:space="preserve">ocean data submitted </w:t>
      </w:r>
      <w:r w:rsidR="001B79C8">
        <w:t>were</w:t>
      </w:r>
      <w:r w:rsidR="000336F6">
        <w:t xml:space="preserve"> unable to be assessed properly. With the addition of these waterbody segments, the Water Board</w:t>
      </w:r>
      <w:r w:rsidR="00FB0C7A">
        <w:t>s</w:t>
      </w:r>
      <w:r w:rsidR="000336F6">
        <w:t xml:space="preserve"> evaluate</w:t>
      </w:r>
      <w:r w:rsidR="00FB0C7A">
        <w:t>d</w:t>
      </w:r>
      <w:r w:rsidR="000336F6">
        <w:t xml:space="preserve"> </w:t>
      </w:r>
      <w:r w:rsidR="2654B7C1">
        <w:t>available</w:t>
      </w:r>
      <w:r w:rsidR="000336F6">
        <w:t xml:space="preserve"> ocean data for the </w:t>
      </w:r>
      <w:r w:rsidR="009C6C58">
        <w:t xml:space="preserve">entirety of </w:t>
      </w:r>
      <w:r w:rsidR="0024513E">
        <w:t>the</w:t>
      </w:r>
      <w:r w:rsidR="009C6C58">
        <w:t xml:space="preserve"> </w:t>
      </w:r>
      <w:r w:rsidR="0024513E">
        <w:t>Pacific Ocean off the North Coast Region’s coast within the state’s 3-mile jurisdictional boundary</w:t>
      </w:r>
      <w:r w:rsidR="000336F6">
        <w:t xml:space="preserve">. </w:t>
      </w:r>
    </w:p>
    <w:p w14:paraId="127C8084" w14:textId="03D2AD7C" w:rsidR="002B0E91" w:rsidRDefault="00D32506" w:rsidP="002E6806">
      <w:r w:rsidRPr="00D32506">
        <w:t xml:space="preserve">The </w:t>
      </w:r>
      <w:r>
        <w:t xml:space="preserve">ocean </w:t>
      </w:r>
      <w:r w:rsidR="0002225F">
        <w:t>waterbody segments</w:t>
      </w:r>
      <w:r w:rsidRPr="00D32506">
        <w:t xml:space="preserve"> were </w:t>
      </w:r>
      <w:r w:rsidR="0002225F">
        <w:t>delineated</w:t>
      </w:r>
      <w:r w:rsidRPr="00D32506">
        <w:t xml:space="preserve"> by </w:t>
      </w:r>
      <w:r>
        <w:t>pulling</w:t>
      </w:r>
      <w:r w:rsidRPr="00D32506">
        <w:t xml:space="preserve"> the boundary extents from </w:t>
      </w:r>
      <w:r>
        <w:t>the North Coast Region’s</w:t>
      </w:r>
      <w:r w:rsidRPr="00D32506">
        <w:t xml:space="preserve"> hydrologic units</w:t>
      </w:r>
      <w:r>
        <w:t xml:space="preserve">, as defined in the </w:t>
      </w:r>
      <w:hyperlink r:id="rId63" w:history="1">
        <w:r w:rsidRPr="00CE06BD">
          <w:rPr>
            <w:rStyle w:val="Hyperlink"/>
          </w:rPr>
          <w:t>2018 Water Quality Control Plan for the North Coast Region</w:t>
        </w:r>
      </w:hyperlink>
      <w:r w:rsidR="00055551">
        <w:t xml:space="preserve"> (</w:t>
      </w:r>
      <w:hyperlink r:id="rId64" w:history="1">
        <w:r w:rsidR="00055551" w:rsidRPr="000F6E37">
          <w:rPr>
            <w:rStyle w:val="Hyperlink"/>
          </w:rPr>
          <w:t>https://www.waterbo</w:t>
        </w:r>
        <w:bookmarkStart w:id="141" w:name="_Hlt178083205"/>
        <w:bookmarkStart w:id="142" w:name="_Hlt178083206"/>
        <w:r w:rsidR="00055551" w:rsidRPr="000F6E37">
          <w:rPr>
            <w:rStyle w:val="Hyperlink"/>
          </w:rPr>
          <w:t>a</w:t>
        </w:r>
        <w:bookmarkEnd w:id="141"/>
        <w:bookmarkEnd w:id="142"/>
        <w:r w:rsidR="00055551" w:rsidRPr="000F6E37">
          <w:rPr>
            <w:rStyle w:val="Hyperlink"/>
          </w:rPr>
          <w:t>rds.ca.gov/northcoast/water_issues/programs/basin_plan/190204/Final%20Basin%20Plan_20180620_lmb.pdf</w:t>
        </w:r>
      </w:hyperlink>
      <w:r w:rsidR="00055551">
        <w:t>),</w:t>
      </w:r>
      <w:r w:rsidR="00521EF5">
        <w:t xml:space="preserve"> into California’s</w:t>
      </w:r>
      <w:r w:rsidR="004164E9">
        <w:t xml:space="preserve"> </w:t>
      </w:r>
      <w:r w:rsidR="00521EF5">
        <w:t>three</w:t>
      </w:r>
      <w:r w:rsidRPr="00D32506">
        <w:t>-mile state territorial waters.</w:t>
      </w:r>
      <w:r w:rsidR="00B95ACC">
        <w:t xml:space="preserve"> </w:t>
      </w:r>
    </w:p>
    <w:p w14:paraId="7B9EF29F" w14:textId="5E2209E0" w:rsidR="00B95ACC" w:rsidRDefault="002516E0" w:rsidP="002E6806">
      <w:r>
        <w:t xml:space="preserve">The beneficial uses for each waterbody </w:t>
      </w:r>
      <w:r w:rsidR="001D1931">
        <w:t xml:space="preserve">segment </w:t>
      </w:r>
      <w:r>
        <w:t xml:space="preserve">were determined using </w:t>
      </w:r>
      <w:r w:rsidR="00E123A2">
        <w:t>Table 2-1: Beneficial</w:t>
      </w:r>
      <w:r w:rsidR="00E123A2" w:rsidRPr="00E123A2">
        <w:t xml:space="preserve"> </w:t>
      </w:r>
      <w:r w:rsidR="00E123A2">
        <w:t>Uses</w:t>
      </w:r>
      <w:r w:rsidR="00E123A2" w:rsidRPr="00E123A2">
        <w:t xml:space="preserve"> </w:t>
      </w:r>
      <w:r w:rsidR="00E123A2">
        <w:t>of</w:t>
      </w:r>
      <w:r w:rsidR="00E123A2" w:rsidRPr="00E123A2">
        <w:t xml:space="preserve"> </w:t>
      </w:r>
      <w:r w:rsidR="00E123A2">
        <w:t>Waters</w:t>
      </w:r>
      <w:r w:rsidR="00E123A2" w:rsidRPr="00E123A2">
        <w:t xml:space="preserve"> </w:t>
      </w:r>
      <w:r w:rsidR="00E123A2">
        <w:t>of</w:t>
      </w:r>
      <w:r w:rsidR="00E123A2" w:rsidRPr="00E123A2">
        <w:t xml:space="preserve"> </w:t>
      </w:r>
      <w:r w:rsidR="00E123A2">
        <w:t>the</w:t>
      </w:r>
      <w:r w:rsidR="00E123A2" w:rsidRPr="00E123A2">
        <w:t xml:space="preserve"> </w:t>
      </w:r>
      <w:r w:rsidR="00E123A2">
        <w:t>North</w:t>
      </w:r>
      <w:r w:rsidR="00E123A2" w:rsidRPr="00E123A2">
        <w:t xml:space="preserve"> </w:t>
      </w:r>
      <w:r w:rsidR="00E123A2">
        <w:t>Coast</w:t>
      </w:r>
      <w:r w:rsidR="00E123A2" w:rsidRPr="00E123A2">
        <w:t xml:space="preserve"> </w:t>
      </w:r>
      <w:r w:rsidR="00E123A2">
        <w:t>Region</w:t>
      </w:r>
      <w:r w:rsidR="00AF0E98">
        <w:t xml:space="preserve"> for ocean </w:t>
      </w:r>
      <w:r w:rsidR="00022130">
        <w:t>waters</w:t>
      </w:r>
      <w:r w:rsidR="009321C6">
        <w:t xml:space="preserve"> </w:t>
      </w:r>
      <w:r w:rsidR="00141A11">
        <w:t>in the 2018 Water Quality Control Plan for the North Coast Region</w:t>
      </w:r>
      <w:r w:rsidR="00022130">
        <w:t>.</w:t>
      </w:r>
      <w:r w:rsidR="002B0E91">
        <w:t xml:space="preserve"> </w:t>
      </w:r>
      <w:r w:rsidR="00A876B0">
        <w:t xml:space="preserve">The full list of </w:t>
      </w:r>
      <w:r w:rsidR="00106740">
        <w:t xml:space="preserve">ocean </w:t>
      </w:r>
      <w:r w:rsidR="00006862">
        <w:t>waterbody segments</w:t>
      </w:r>
      <w:r w:rsidR="00A876B0">
        <w:t xml:space="preserve"> and their </w:t>
      </w:r>
      <w:r w:rsidR="005B36CC">
        <w:t xml:space="preserve">Waterbody IDs can be seen below in </w:t>
      </w:r>
      <w:r w:rsidR="005B36CC" w:rsidRPr="00C71BF2">
        <w:t xml:space="preserve">Table </w:t>
      </w:r>
      <w:r w:rsidR="00285CE4" w:rsidRPr="00C71BF2">
        <w:t>6</w:t>
      </w:r>
      <w:r w:rsidR="002B0E91" w:rsidRPr="00C71BF2">
        <w:t>-</w:t>
      </w:r>
      <w:r w:rsidR="00C71BF2" w:rsidRPr="00C71BF2">
        <w:t>1</w:t>
      </w:r>
      <w:r w:rsidR="005B36CC">
        <w:t xml:space="preserve">. </w:t>
      </w:r>
    </w:p>
    <w:p w14:paraId="68289A02" w14:textId="0FC6AAEE" w:rsidR="006A62EE" w:rsidRDefault="006A62EE" w:rsidP="006A62EE">
      <w:r>
        <w:t xml:space="preserve">State Water Board staff queried CEDEN to determine if any readily available data </w:t>
      </w:r>
      <w:r w:rsidR="003E1D70">
        <w:t xml:space="preserve">and information </w:t>
      </w:r>
      <w:r w:rsidR="00B23A6A">
        <w:t>were</w:t>
      </w:r>
      <w:r>
        <w:t xml:space="preserve"> </w:t>
      </w:r>
      <w:r w:rsidR="00C8323B">
        <w:t>available</w:t>
      </w:r>
      <w:r>
        <w:t xml:space="preserve"> </w:t>
      </w:r>
      <w:r w:rsidR="00C8323B">
        <w:t>for</w:t>
      </w:r>
      <w:r>
        <w:t xml:space="preserve"> the newly </w:t>
      </w:r>
      <w:r w:rsidR="00C8323B">
        <w:t>mapped</w:t>
      </w:r>
      <w:r>
        <w:t xml:space="preserve"> ocean </w:t>
      </w:r>
      <w:r w:rsidR="00C8323B">
        <w:t>waterbody segments</w:t>
      </w:r>
      <w:r>
        <w:t xml:space="preserve"> for the 2026 California Integrated Report. </w:t>
      </w:r>
      <w:r w:rsidR="0032690B">
        <w:t>F</w:t>
      </w:r>
      <w:r>
        <w:t xml:space="preserve">ish tissue data </w:t>
      </w:r>
      <w:r w:rsidR="00C41F3A">
        <w:t>collected</w:t>
      </w:r>
      <w:r>
        <w:t xml:space="preserve"> </w:t>
      </w:r>
      <w:r w:rsidR="00C41F3A">
        <w:t>from the</w:t>
      </w:r>
      <w:r>
        <w:t xml:space="preserve"> </w:t>
      </w:r>
      <w:r w:rsidRPr="00822F2B">
        <w:t>Pacific Ocean Smith River HU</w:t>
      </w:r>
      <w:r w:rsidR="000A3D2F">
        <w:t xml:space="preserve"> </w:t>
      </w:r>
      <w:r w:rsidR="00B23A6A">
        <w:t>were</w:t>
      </w:r>
      <w:r w:rsidR="000A3D2F">
        <w:t xml:space="preserve"> evaluated but it</w:t>
      </w:r>
      <w:r>
        <w:t xml:space="preserve"> did not meet the necessary data quality criteria per the Listing Policy to be assessed at this time. </w:t>
      </w:r>
    </w:p>
    <w:p w14:paraId="78A92514" w14:textId="7993C30B" w:rsidR="006A62EE" w:rsidRDefault="006A62EE" w:rsidP="006A62EE">
      <w:r>
        <w:t xml:space="preserve">Ocean acidification data </w:t>
      </w:r>
      <w:r w:rsidR="00B23A6A">
        <w:t>were</w:t>
      </w:r>
      <w:r>
        <w:t xml:space="preserve"> available for assessment, as detailed below in section 6.2</w:t>
      </w:r>
      <w:r w:rsidR="00AF081D">
        <w:t xml:space="preserve"> Ocean Acidification Assessments</w:t>
      </w:r>
      <w:r>
        <w:t xml:space="preserve">. </w:t>
      </w:r>
    </w:p>
    <w:p w14:paraId="0BBF0914" w14:textId="3EEC099C" w:rsidR="0067388F" w:rsidRDefault="0067388F" w:rsidP="0067388F">
      <w:pPr>
        <w:pStyle w:val="Caption"/>
        <w:keepNext/>
      </w:pPr>
      <w:r w:rsidRPr="00B5190E">
        <w:t xml:space="preserve">Table </w:t>
      </w:r>
      <w:r w:rsidR="00F1293C">
        <w:t>5</w:t>
      </w:r>
      <w:r w:rsidRPr="00B5190E">
        <w:noBreakHyphen/>
      </w:r>
      <w:r w:rsidR="00C71BF2" w:rsidRPr="00B5190E">
        <w:t>1</w:t>
      </w:r>
      <w:r>
        <w:t xml:space="preserve">: </w:t>
      </w:r>
      <w:r w:rsidR="00AA43FA">
        <w:t xml:space="preserve">Newly </w:t>
      </w:r>
      <w:r w:rsidR="00842E94">
        <w:t xml:space="preserve">Mapped </w:t>
      </w:r>
      <w:r w:rsidR="00AA43FA">
        <w:t xml:space="preserve">Ocean </w:t>
      </w:r>
      <w:r w:rsidR="000E4790">
        <w:t>Waterbody Segments</w:t>
      </w:r>
      <w:r w:rsidR="00AA43FA">
        <w:t xml:space="preserve"> in the North Coast Region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Newly Mapped Ocean Waterbody Segments in the North Coast Region"/>
        <w:tblDescription w:val="This table lists the newly mapped ocean waterbody segments in the North Coast region along with their Waterbody IDs. "/>
      </w:tblPr>
      <w:tblGrid>
        <w:gridCol w:w="5574"/>
        <w:gridCol w:w="3776"/>
      </w:tblGrid>
      <w:tr w:rsidR="0067388F" w:rsidRPr="004502A9" w14:paraId="0980F1FE" w14:textId="77777777" w:rsidTr="00286AEA">
        <w:tc>
          <w:tcPr>
            <w:tcW w:w="2981" w:type="pct"/>
            <w:shd w:val="clear" w:color="auto" w:fill="D9E2F3" w:themeFill="accent1" w:themeFillTint="33"/>
          </w:tcPr>
          <w:p w14:paraId="1E16CDB2" w14:textId="4B017D2B" w:rsidR="0067388F" w:rsidRPr="004502A9" w:rsidRDefault="0067388F" w:rsidP="003B0F9E">
            <w:pPr>
              <w:autoSpaceDE w:val="0"/>
              <w:autoSpaceDN w:val="0"/>
              <w:adjustRightInd w:val="0"/>
              <w:spacing w:before="120" w:after="120"/>
              <w:jc w:val="center"/>
              <w:rPr>
                <w:rFonts w:cs="Arial"/>
                <w:b/>
                <w:szCs w:val="24"/>
              </w:rPr>
            </w:pPr>
            <w:r>
              <w:rPr>
                <w:rFonts w:cs="Arial"/>
                <w:b/>
                <w:szCs w:val="24"/>
              </w:rPr>
              <w:t xml:space="preserve">Waterbody </w:t>
            </w:r>
            <w:r w:rsidR="00CA1904">
              <w:rPr>
                <w:rFonts w:cs="Arial"/>
                <w:b/>
                <w:szCs w:val="24"/>
              </w:rPr>
              <w:t>Segment</w:t>
            </w:r>
            <w:r>
              <w:rPr>
                <w:rFonts w:cs="Arial"/>
                <w:b/>
                <w:szCs w:val="24"/>
              </w:rPr>
              <w:t xml:space="preserve"> Name</w:t>
            </w:r>
          </w:p>
        </w:tc>
        <w:tc>
          <w:tcPr>
            <w:tcW w:w="2019" w:type="pct"/>
            <w:shd w:val="clear" w:color="auto" w:fill="D9E2F3" w:themeFill="accent1" w:themeFillTint="33"/>
          </w:tcPr>
          <w:p w14:paraId="6BDDF203" w14:textId="2393F272" w:rsidR="0067388F" w:rsidRPr="004502A9" w:rsidRDefault="0067388F" w:rsidP="00AA43FA">
            <w:pPr>
              <w:autoSpaceDE w:val="0"/>
              <w:autoSpaceDN w:val="0"/>
              <w:adjustRightInd w:val="0"/>
              <w:spacing w:before="120" w:after="120"/>
              <w:jc w:val="center"/>
              <w:rPr>
                <w:rFonts w:cs="Arial"/>
                <w:b/>
              </w:rPr>
            </w:pPr>
            <w:r>
              <w:rPr>
                <w:rFonts w:cs="Arial"/>
                <w:b/>
              </w:rPr>
              <w:t>Waterbody ID</w:t>
            </w:r>
          </w:p>
        </w:tc>
      </w:tr>
      <w:tr w:rsidR="0067388F" w:rsidRPr="004502A9" w14:paraId="20C95EC8" w14:textId="77777777" w:rsidTr="00286AEA">
        <w:tc>
          <w:tcPr>
            <w:tcW w:w="2981" w:type="pct"/>
          </w:tcPr>
          <w:p w14:paraId="32D05C5D" w14:textId="5B526B0E" w:rsidR="0067388F" w:rsidRPr="004502A9" w:rsidRDefault="00A75331" w:rsidP="00286AEA">
            <w:pPr>
              <w:autoSpaceDE w:val="0"/>
              <w:autoSpaceDN w:val="0"/>
              <w:adjustRightInd w:val="0"/>
              <w:spacing w:before="120" w:after="120"/>
              <w:rPr>
                <w:rFonts w:cs="Arial"/>
              </w:rPr>
            </w:pPr>
            <w:r w:rsidRPr="00A75331">
              <w:rPr>
                <w:rFonts w:cs="Arial"/>
              </w:rPr>
              <w:t>Pacific Ocean Winchuck River HU</w:t>
            </w:r>
          </w:p>
        </w:tc>
        <w:tc>
          <w:tcPr>
            <w:tcW w:w="2019" w:type="pct"/>
          </w:tcPr>
          <w:p w14:paraId="7E74335F" w14:textId="302B45D7" w:rsidR="0067388F" w:rsidRPr="004502A9" w:rsidRDefault="00EB193B" w:rsidP="00106740">
            <w:pPr>
              <w:autoSpaceDE w:val="0"/>
              <w:autoSpaceDN w:val="0"/>
              <w:adjustRightInd w:val="0"/>
              <w:spacing w:before="120" w:after="120"/>
              <w:jc w:val="center"/>
              <w:rPr>
                <w:rFonts w:cs="Arial"/>
              </w:rPr>
            </w:pPr>
            <w:r w:rsidRPr="00EB193B">
              <w:rPr>
                <w:rFonts w:cs="Arial"/>
              </w:rPr>
              <w:t>CAO1031100020240808036613</w:t>
            </w:r>
          </w:p>
        </w:tc>
      </w:tr>
      <w:tr w:rsidR="0067388F" w:rsidRPr="004502A9" w14:paraId="606FC03C" w14:textId="77777777" w:rsidTr="00286AEA">
        <w:tc>
          <w:tcPr>
            <w:tcW w:w="2981" w:type="pct"/>
          </w:tcPr>
          <w:p w14:paraId="6845E1A4" w14:textId="6EBAA6CD" w:rsidR="0067388F" w:rsidRPr="004502A9" w:rsidRDefault="00A47F17" w:rsidP="00286AEA">
            <w:pPr>
              <w:autoSpaceDE w:val="0"/>
              <w:autoSpaceDN w:val="0"/>
              <w:adjustRightInd w:val="0"/>
              <w:spacing w:before="120" w:after="120"/>
              <w:rPr>
                <w:rFonts w:cs="Arial"/>
                <w:szCs w:val="24"/>
              </w:rPr>
            </w:pPr>
            <w:r w:rsidRPr="00A47F17">
              <w:rPr>
                <w:rFonts w:cs="Arial"/>
              </w:rPr>
              <w:t>Pacific Ocean Smith River HU</w:t>
            </w:r>
          </w:p>
        </w:tc>
        <w:tc>
          <w:tcPr>
            <w:tcW w:w="2019" w:type="pct"/>
          </w:tcPr>
          <w:p w14:paraId="5BEE3940" w14:textId="74065AD4" w:rsidR="0067388F" w:rsidRPr="004502A9" w:rsidRDefault="003D396C" w:rsidP="00106740">
            <w:pPr>
              <w:autoSpaceDE w:val="0"/>
              <w:autoSpaceDN w:val="0"/>
              <w:adjustRightInd w:val="0"/>
              <w:spacing w:before="120" w:after="120"/>
              <w:jc w:val="center"/>
              <w:rPr>
                <w:rFonts w:cs="Arial"/>
                <w:szCs w:val="24"/>
              </w:rPr>
            </w:pPr>
            <w:r w:rsidRPr="003D396C">
              <w:rPr>
                <w:rFonts w:cs="Arial"/>
                <w:szCs w:val="24"/>
              </w:rPr>
              <w:t>CAO1031100020240730040982</w:t>
            </w:r>
          </w:p>
        </w:tc>
      </w:tr>
      <w:tr w:rsidR="0067388F" w:rsidRPr="004502A9" w14:paraId="282FBB47" w14:textId="77777777" w:rsidTr="00286AEA">
        <w:tc>
          <w:tcPr>
            <w:tcW w:w="2981" w:type="pct"/>
          </w:tcPr>
          <w:p w14:paraId="3A2EAFD7" w14:textId="652AE043" w:rsidR="0067388F" w:rsidRPr="004502A9" w:rsidRDefault="009F4A67" w:rsidP="00286AEA">
            <w:pPr>
              <w:autoSpaceDE w:val="0"/>
              <w:autoSpaceDN w:val="0"/>
              <w:adjustRightInd w:val="0"/>
              <w:spacing w:before="120" w:after="120"/>
              <w:rPr>
                <w:rFonts w:cs="Arial"/>
                <w:szCs w:val="24"/>
              </w:rPr>
            </w:pPr>
            <w:r w:rsidRPr="009F4A67">
              <w:rPr>
                <w:rFonts w:cs="Arial"/>
              </w:rPr>
              <w:t>Pacific Ocean Klamath River HU</w:t>
            </w:r>
          </w:p>
        </w:tc>
        <w:tc>
          <w:tcPr>
            <w:tcW w:w="2019" w:type="pct"/>
          </w:tcPr>
          <w:p w14:paraId="2C1C901E" w14:textId="522FE56C" w:rsidR="0067388F" w:rsidRPr="004502A9" w:rsidRDefault="00DA161C" w:rsidP="00106740">
            <w:pPr>
              <w:autoSpaceDE w:val="0"/>
              <w:autoSpaceDN w:val="0"/>
              <w:adjustRightInd w:val="0"/>
              <w:spacing w:before="120" w:after="120"/>
              <w:jc w:val="center"/>
              <w:rPr>
                <w:rFonts w:cs="Arial"/>
              </w:rPr>
            </w:pPr>
            <w:r w:rsidRPr="00DA161C">
              <w:rPr>
                <w:rFonts w:cs="Arial"/>
              </w:rPr>
              <w:t>CAO1051108020240730037633</w:t>
            </w:r>
          </w:p>
        </w:tc>
      </w:tr>
      <w:tr w:rsidR="0067388F" w:rsidRPr="004502A9" w14:paraId="21D518F1" w14:textId="77777777" w:rsidTr="00286AEA">
        <w:tc>
          <w:tcPr>
            <w:tcW w:w="2981" w:type="pct"/>
          </w:tcPr>
          <w:p w14:paraId="4A306BF5" w14:textId="0362DE83" w:rsidR="0067388F" w:rsidRPr="004502A9" w:rsidRDefault="00820213" w:rsidP="00286AEA">
            <w:pPr>
              <w:autoSpaceDE w:val="0"/>
              <w:autoSpaceDN w:val="0"/>
              <w:adjustRightInd w:val="0"/>
              <w:spacing w:before="120" w:after="120"/>
              <w:rPr>
                <w:rFonts w:cs="Arial"/>
                <w:szCs w:val="24"/>
              </w:rPr>
            </w:pPr>
            <w:r w:rsidRPr="00820213">
              <w:rPr>
                <w:rFonts w:cs="Arial"/>
                <w:szCs w:val="24"/>
              </w:rPr>
              <w:t>Pacific Ocean Redwood Creek HU</w:t>
            </w:r>
          </w:p>
        </w:tc>
        <w:tc>
          <w:tcPr>
            <w:tcW w:w="2019" w:type="pct"/>
          </w:tcPr>
          <w:p w14:paraId="3EAA75B0" w14:textId="7385904E" w:rsidR="0067388F" w:rsidRPr="004502A9" w:rsidRDefault="00381ADD" w:rsidP="00106740">
            <w:pPr>
              <w:autoSpaceDE w:val="0"/>
              <w:autoSpaceDN w:val="0"/>
              <w:adjustRightInd w:val="0"/>
              <w:spacing w:before="120" w:after="120"/>
              <w:jc w:val="center"/>
              <w:rPr>
                <w:rFonts w:cs="Arial"/>
              </w:rPr>
            </w:pPr>
            <w:r w:rsidRPr="00381ADD">
              <w:rPr>
                <w:rFonts w:cs="Arial"/>
              </w:rPr>
              <w:t>CAO1071002020240730039449</w:t>
            </w:r>
          </w:p>
        </w:tc>
      </w:tr>
      <w:tr w:rsidR="0067388F" w:rsidRPr="004502A9" w14:paraId="00E20064" w14:textId="77777777" w:rsidTr="00286AEA">
        <w:tc>
          <w:tcPr>
            <w:tcW w:w="2981" w:type="pct"/>
          </w:tcPr>
          <w:p w14:paraId="072A9AA3" w14:textId="4EFF47DE" w:rsidR="0067388F" w:rsidRDefault="000A2FBE" w:rsidP="00286AEA">
            <w:pPr>
              <w:autoSpaceDE w:val="0"/>
              <w:autoSpaceDN w:val="0"/>
              <w:adjustRightInd w:val="0"/>
              <w:spacing w:before="120" w:after="120"/>
              <w:rPr>
                <w:rFonts w:cs="Arial"/>
                <w:szCs w:val="24"/>
              </w:rPr>
            </w:pPr>
            <w:r w:rsidRPr="000A2FBE">
              <w:rPr>
                <w:rFonts w:cs="Arial"/>
                <w:szCs w:val="24"/>
              </w:rPr>
              <w:t>Pacific Ocean Trinidad HU</w:t>
            </w:r>
          </w:p>
        </w:tc>
        <w:tc>
          <w:tcPr>
            <w:tcW w:w="2019" w:type="pct"/>
          </w:tcPr>
          <w:p w14:paraId="087B24D4" w14:textId="3163A6D9" w:rsidR="0067388F" w:rsidRPr="004502A9" w:rsidRDefault="00ED133F" w:rsidP="00106740">
            <w:pPr>
              <w:autoSpaceDE w:val="0"/>
              <w:autoSpaceDN w:val="0"/>
              <w:adjustRightInd w:val="0"/>
              <w:spacing w:before="120" w:after="120"/>
              <w:jc w:val="center"/>
              <w:rPr>
                <w:rFonts w:cs="Arial"/>
              </w:rPr>
            </w:pPr>
            <w:r w:rsidRPr="00ED133F">
              <w:rPr>
                <w:rFonts w:cs="Arial"/>
              </w:rPr>
              <w:t>CAO1091003020240730047886</w:t>
            </w:r>
          </w:p>
        </w:tc>
      </w:tr>
      <w:tr w:rsidR="0067388F" w:rsidRPr="004502A9" w14:paraId="1FA14D33" w14:textId="77777777" w:rsidTr="00286AEA">
        <w:tc>
          <w:tcPr>
            <w:tcW w:w="2981" w:type="pct"/>
          </w:tcPr>
          <w:p w14:paraId="7935B233" w14:textId="146B04ED" w:rsidR="0067388F" w:rsidRPr="004502A9" w:rsidRDefault="00B35D74" w:rsidP="00286AEA">
            <w:pPr>
              <w:autoSpaceDE w:val="0"/>
              <w:autoSpaceDN w:val="0"/>
              <w:adjustRightInd w:val="0"/>
              <w:spacing w:before="120" w:after="120"/>
              <w:rPr>
                <w:rFonts w:cs="Arial"/>
                <w:szCs w:val="24"/>
              </w:rPr>
            </w:pPr>
            <w:r w:rsidRPr="00B35D74">
              <w:rPr>
                <w:rFonts w:cs="Arial"/>
                <w:szCs w:val="24"/>
              </w:rPr>
              <w:t>Pacific Ocean Mad River HU</w:t>
            </w:r>
          </w:p>
        </w:tc>
        <w:tc>
          <w:tcPr>
            <w:tcW w:w="2019" w:type="pct"/>
          </w:tcPr>
          <w:p w14:paraId="1C023F5F" w14:textId="76C6EB9B" w:rsidR="0067388F" w:rsidRPr="004502A9" w:rsidRDefault="005141CF" w:rsidP="00106740">
            <w:pPr>
              <w:autoSpaceDE w:val="0"/>
              <w:autoSpaceDN w:val="0"/>
              <w:adjustRightInd w:val="0"/>
              <w:spacing w:before="120" w:after="120"/>
              <w:jc w:val="center"/>
              <w:rPr>
                <w:rFonts w:cs="Arial"/>
                <w:szCs w:val="24"/>
              </w:rPr>
            </w:pPr>
            <w:r w:rsidRPr="005141CF">
              <w:rPr>
                <w:rFonts w:cs="Arial"/>
                <w:szCs w:val="24"/>
              </w:rPr>
              <w:t>CAO1091001020240730037184</w:t>
            </w:r>
          </w:p>
        </w:tc>
      </w:tr>
      <w:tr w:rsidR="005141CF" w:rsidRPr="004502A9" w14:paraId="644815C6" w14:textId="77777777" w:rsidTr="00286AEA">
        <w:tc>
          <w:tcPr>
            <w:tcW w:w="2981" w:type="pct"/>
          </w:tcPr>
          <w:p w14:paraId="488E01B2" w14:textId="616E86F4" w:rsidR="005141CF" w:rsidRPr="00B35D74" w:rsidRDefault="001C4A13" w:rsidP="00286AEA">
            <w:pPr>
              <w:autoSpaceDE w:val="0"/>
              <w:autoSpaceDN w:val="0"/>
              <w:adjustRightInd w:val="0"/>
              <w:spacing w:before="120" w:after="120"/>
              <w:rPr>
                <w:rFonts w:cs="Arial"/>
                <w:szCs w:val="24"/>
              </w:rPr>
            </w:pPr>
            <w:r w:rsidRPr="001C4A13">
              <w:rPr>
                <w:rFonts w:cs="Arial"/>
                <w:szCs w:val="24"/>
              </w:rPr>
              <w:t>Pacific Ocean Eureka Plain HU</w:t>
            </w:r>
          </w:p>
        </w:tc>
        <w:tc>
          <w:tcPr>
            <w:tcW w:w="2019" w:type="pct"/>
          </w:tcPr>
          <w:p w14:paraId="0AE3E801" w14:textId="4322325A" w:rsidR="005141CF" w:rsidRPr="005141CF" w:rsidRDefault="00A1461B" w:rsidP="00106740">
            <w:pPr>
              <w:autoSpaceDE w:val="0"/>
              <w:autoSpaceDN w:val="0"/>
              <w:adjustRightInd w:val="0"/>
              <w:spacing w:before="120" w:after="120"/>
              <w:jc w:val="center"/>
              <w:rPr>
                <w:rFonts w:cs="Arial"/>
                <w:szCs w:val="24"/>
              </w:rPr>
            </w:pPr>
            <w:r w:rsidRPr="00A1461B">
              <w:rPr>
                <w:rFonts w:cs="Arial"/>
                <w:szCs w:val="24"/>
              </w:rPr>
              <w:t>CAO1106000020240726051322</w:t>
            </w:r>
          </w:p>
        </w:tc>
      </w:tr>
      <w:tr w:rsidR="00A1461B" w:rsidRPr="004502A9" w14:paraId="30C84422" w14:textId="77777777" w:rsidTr="00286AEA">
        <w:tc>
          <w:tcPr>
            <w:tcW w:w="2981" w:type="pct"/>
          </w:tcPr>
          <w:p w14:paraId="50BA6A4E" w14:textId="392C97E8" w:rsidR="00A1461B" w:rsidRPr="001C4A13" w:rsidRDefault="00885226" w:rsidP="00286AEA">
            <w:pPr>
              <w:autoSpaceDE w:val="0"/>
              <w:autoSpaceDN w:val="0"/>
              <w:adjustRightInd w:val="0"/>
              <w:spacing w:before="120" w:after="120"/>
              <w:rPr>
                <w:rFonts w:cs="Arial"/>
                <w:szCs w:val="24"/>
              </w:rPr>
            </w:pPr>
            <w:r w:rsidRPr="00885226">
              <w:rPr>
                <w:rFonts w:cs="Arial"/>
                <w:szCs w:val="24"/>
              </w:rPr>
              <w:t>Pacific Ocean Eel River HU</w:t>
            </w:r>
          </w:p>
        </w:tc>
        <w:tc>
          <w:tcPr>
            <w:tcW w:w="2019" w:type="pct"/>
          </w:tcPr>
          <w:p w14:paraId="1A8D10C0" w14:textId="30EACE70" w:rsidR="00A1461B" w:rsidRPr="00A1461B" w:rsidRDefault="00B4756E" w:rsidP="00106740">
            <w:pPr>
              <w:autoSpaceDE w:val="0"/>
              <w:autoSpaceDN w:val="0"/>
              <w:adjustRightInd w:val="0"/>
              <w:spacing w:before="120" w:after="120"/>
              <w:jc w:val="center"/>
              <w:rPr>
                <w:rFonts w:cs="Arial"/>
                <w:szCs w:val="24"/>
              </w:rPr>
            </w:pPr>
            <w:r w:rsidRPr="00B4756E">
              <w:rPr>
                <w:rFonts w:cs="Arial"/>
                <w:szCs w:val="24"/>
              </w:rPr>
              <w:t>CAO1111103020240730038176</w:t>
            </w:r>
          </w:p>
        </w:tc>
      </w:tr>
      <w:tr w:rsidR="00B4756E" w:rsidRPr="004502A9" w14:paraId="31A3E146" w14:textId="77777777" w:rsidTr="00286AEA">
        <w:tc>
          <w:tcPr>
            <w:tcW w:w="2981" w:type="pct"/>
          </w:tcPr>
          <w:p w14:paraId="556267D6" w14:textId="546E8100" w:rsidR="00B4756E" w:rsidRPr="00885226" w:rsidRDefault="007478E9" w:rsidP="00286AEA">
            <w:pPr>
              <w:autoSpaceDE w:val="0"/>
              <w:autoSpaceDN w:val="0"/>
              <w:adjustRightInd w:val="0"/>
              <w:spacing w:before="120" w:after="120"/>
              <w:rPr>
                <w:rFonts w:cs="Arial"/>
                <w:szCs w:val="24"/>
              </w:rPr>
            </w:pPr>
            <w:r w:rsidRPr="007478E9">
              <w:rPr>
                <w:rFonts w:cs="Arial"/>
                <w:szCs w:val="24"/>
              </w:rPr>
              <w:t>Pacific Ocean Cape Mendocino HU</w:t>
            </w:r>
          </w:p>
        </w:tc>
        <w:tc>
          <w:tcPr>
            <w:tcW w:w="2019" w:type="pct"/>
          </w:tcPr>
          <w:p w14:paraId="3B366A96" w14:textId="40C7AEEB" w:rsidR="00B4756E" w:rsidRPr="00B4756E" w:rsidRDefault="00A840B2" w:rsidP="00106740">
            <w:pPr>
              <w:autoSpaceDE w:val="0"/>
              <w:autoSpaceDN w:val="0"/>
              <w:adjustRightInd w:val="0"/>
              <w:spacing w:before="120" w:after="120"/>
              <w:jc w:val="center"/>
              <w:rPr>
                <w:rFonts w:cs="Arial"/>
                <w:szCs w:val="24"/>
              </w:rPr>
            </w:pPr>
            <w:r w:rsidRPr="00A840B2">
              <w:rPr>
                <w:rFonts w:cs="Arial"/>
                <w:szCs w:val="24"/>
              </w:rPr>
              <w:t>CAO1123008020240725054507</w:t>
            </w:r>
          </w:p>
        </w:tc>
      </w:tr>
      <w:tr w:rsidR="00A840B2" w:rsidRPr="004502A9" w14:paraId="30BBB960" w14:textId="77777777" w:rsidTr="00286AEA">
        <w:tc>
          <w:tcPr>
            <w:tcW w:w="2981" w:type="pct"/>
          </w:tcPr>
          <w:p w14:paraId="641EBBE0" w14:textId="7EA80427" w:rsidR="00A840B2" w:rsidRPr="007478E9" w:rsidRDefault="00003E1C" w:rsidP="00286AEA">
            <w:pPr>
              <w:autoSpaceDE w:val="0"/>
              <w:autoSpaceDN w:val="0"/>
              <w:adjustRightInd w:val="0"/>
              <w:spacing w:before="120" w:after="120"/>
              <w:rPr>
                <w:rFonts w:cs="Arial"/>
                <w:szCs w:val="24"/>
              </w:rPr>
            </w:pPr>
            <w:r w:rsidRPr="00003E1C">
              <w:rPr>
                <w:rFonts w:cs="Arial"/>
                <w:szCs w:val="24"/>
              </w:rPr>
              <w:t>Pacific Ocean Mendocino Coast HU</w:t>
            </w:r>
          </w:p>
        </w:tc>
        <w:tc>
          <w:tcPr>
            <w:tcW w:w="2019" w:type="pct"/>
          </w:tcPr>
          <w:p w14:paraId="0A1A5F03" w14:textId="4CA8DC52" w:rsidR="00A840B2" w:rsidRPr="00A840B2" w:rsidRDefault="004903BA" w:rsidP="00106740">
            <w:pPr>
              <w:autoSpaceDE w:val="0"/>
              <w:autoSpaceDN w:val="0"/>
              <w:adjustRightInd w:val="0"/>
              <w:spacing w:before="120" w:after="120"/>
              <w:jc w:val="center"/>
              <w:rPr>
                <w:rFonts w:cs="Arial"/>
                <w:szCs w:val="24"/>
              </w:rPr>
            </w:pPr>
            <w:r w:rsidRPr="004903BA">
              <w:rPr>
                <w:rFonts w:cs="Arial"/>
                <w:szCs w:val="24"/>
              </w:rPr>
              <w:t>CAO1131102020240730055069</w:t>
            </w:r>
          </w:p>
        </w:tc>
      </w:tr>
      <w:tr w:rsidR="004903BA" w:rsidRPr="004502A9" w14:paraId="55EA5F4F" w14:textId="77777777" w:rsidTr="00286AEA">
        <w:tc>
          <w:tcPr>
            <w:tcW w:w="2981" w:type="pct"/>
          </w:tcPr>
          <w:p w14:paraId="7D4E2966" w14:textId="6F10C647" w:rsidR="004903BA" w:rsidRPr="00003E1C" w:rsidRDefault="00D73C1A" w:rsidP="00286AEA">
            <w:pPr>
              <w:autoSpaceDE w:val="0"/>
              <w:autoSpaceDN w:val="0"/>
              <w:adjustRightInd w:val="0"/>
              <w:spacing w:before="120" w:after="120"/>
              <w:rPr>
                <w:rFonts w:cs="Arial"/>
                <w:szCs w:val="24"/>
              </w:rPr>
            </w:pPr>
            <w:r w:rsidRPr="00D73C1A">
              <w:rPr>
                <w:rFonts w:cs="Arial"/>
                <w:szCs w:val="24"/>
              </w:rPr>
              <w:t>Pacific Ocean Russian River HU</w:t>
            </w:r>
          </w:p>
        </w:tc>
        <w:tc>
          <w:tcPr>
            <w:tcW w:w="2019" w:type="pct"/>
          </w:tcPr>
          <w:p w14:paraId="3A973573" w14:textId="15EF6540" w:rsidR="004903BA" w:rsidRPr="004903BA" w:rsidRDefault="00F76157" w:rsidP="00106740">
            <w:pPr>
              <w:autoSpaceDE w:val="0"/>
              <w:autoSpaceDN w:val="0"/>
              <w:adjustRightInd w:val="0"/>
              <w:spacing w:before="120" w:after="120"/>
              <w:jc w:val="center"/>
              <w:rPr>
                <w:rFonts w:cs="Arial"/>
                <w:szCs w:val="24"/>
              </w:rPr>
            </w:pPr>
            <w:r w:rsidRPr="00F76157">
              <w:rPr>
                <w:rFonts w:cs="Arial"/>
                <w:szCs w:val="24"/>
              </w:rPr>
              <w:t>CAO1139000020240730040561</w:t>
            </w:r>
          </w:p>
        </w:tc>
      </w:tr>
      <w:tr w:rsidR="00F76157" w:rsidRPr="004502A9" w14:paraId="6541123A" w14:textId="77777777" w:rsidTr="00286AEA">
        <w:tc>
          <w:tcPr>
            <w:tcW w:w="2981" w:type="pct"/>
          </w:tcPr>
          <w:p w14:paraId="01EBE345" w14:textId="58168D57" w:rsidR="00F76157" w:rsidRPr="00D73C1A" w:rsidRDefault="00C268DB" w:rsidP="00286AEA">
            <w:pPr>
              <w:autoSpaceDE w:val="0"/>
              <w:autoSpaceDN w:val="0"/>
              <w:adjustRightInd w:val="0"/>
              <w:spacing w:before="120" w:after="120"/>
              <w:rPr>
                <w:rFonts w:cs="Arial"/>
                <w:szCs w:val="24"/>
              </w:rPr>
            </w:pPr>
            <w:r w:rsidRPr="00C268DB">
              <w:rPr>
                <w:rFonts w:cs="Arial"/>
                <w:szCs w:val="24"/>
              </w:rPr>
              <w:t>Pacific Ocean Bodega HU</w:t>
            </w:r>
          </w:p>
        </w:tc>
        <w:tc>
          <w:tcPr>
            <w:tcW w:w="2019" w:type="pct"/>
          </w:tcPr>
          <w:p w14:paraId="517A8B5B" w14:textId="5C99B796" w:rsidR="00F76157" w:rsidRPr="00F76157" w:rsidRDefault="00286AEA" w:rsidP="00106740">
            <w:pPr>
              <w:autoSpaceDE w:val="0"/>
              <w:autoSpaceDN w:val="0"/>
              <w:adjustRightInd w:val="0"/>
              <w:spacing w:before="120" w:after="120"/>
              <w:jc w:val="center"/>
              <w:rPr>
                <w:rFonts w:cs="Arial"/>
                <w:szCs w:val="24"/>
              </w:rPr>
            </w:pPr>
            <w:r w:rsidRPr="00286AEA">
              <w:rPr>
                <w:rFonts w:cs="Arial"/>
                <w:szCs w:val="24"/>
              </w:rPr>
              <w:t>CAO1139000020240725055568</w:t>
            </w:r>
          </w:p>
        </w:tc>
      </w:tr>
    </w:tbl>
    <w:p w14:paraId="4DB0D957" w14:textId="4ED2D555" w:rsidR="00576F91" w:rsidRPr="00966EF5" w:rsidRDefault="00473145" w:rsidP="008A4B22">
      <w:pPr>
        <w:pStyle w:val="Heading2"/>
      </w:pPr>
      <w:bookmarkStart w:id="143" w:name="_Toc189048608"/>
      <w:r w:rsidRPr="00966EF5">
        <w:t>Ocean Acidification Assessments</w:t>
      </w:r>
      <w:bookmarkEnd w:id="143"/>
    </w:p>
    <w:p w14:paraId="49FAF161" w14:textId="6FCB9A66" w:rsidR="00547E6C" w:rsidRDefault="00547E6C" w:rsidP="008A4B22">
      <w:bookmarkStart w:id="144" w:name="_Hlk125978670"/>
      <w:r>
        <w:t xml:space="preserve">For the 2026 California Integrated Report, data from ocean waters </w:t>
      </w:r>
      <w:r w:rsidR="006E1192">
        <w:t>with</w:t>
      </w:r>
      <w:r>
        <w:t xml:space="preserve">in the </w:t>
      </w:r>
      <w:r w:rsidR="006E1192">
        <w:t>boundaries of</w:t>
      </w:r>
      <w:r>
        <w:t xml:space="preserve"> the </w:t>
      </w:r>
      <w:r>
        <w:rPr>
          <w:rFonts w:cs="Arial"/>
        </w:rPr>
        <w:t>North Coast</w:t>
      </w:r>
      <w:r>
        <w:t xml:space="preserve"> Regional Water Board were evaluated to determine if </w:t>
      </w:r>
      <w:r w:rsidR="00CE3454">
        <w:t xml:space="preserve">waterbody segments </w:t>
      </w:r>
      <w:r>
        <w:t xml:space="preserve">were impaired due to ocean acidification ("OA”). </w:t>
      </w:r>
      <w:r w:rsidR="00E854AF" w:rsidRPr="00E854AF">
        <w:t xml:space="preserve">The OA data </w:t>
      </w:r>
      <w:r w:rsidR="00456814">
        <w:t>were</w:t>
      </w:r>
      <w:r w:rsidR="00E854AF" w:rsidRPr="00E854AF">
        <w:t xml:space="preserve"> assessed using the situation-specific weight of evidence listing factor in section 3.11 of the Listing Policy to determine</w:t>
      </w:r>
      <w:r w:rsidRPr="006362FC">
        <w:t xml:space="preserve"> </w:t>
      </w:r>
      <w:r>
        <w:t>support of</w:t>
      </w:r>
      <w:r w:rsidRPr="006362FC">
        <w:t xml:space="preserve"> the Marine Habitat beneficial use.</w:t>
      </w:r>
      <w:r>
        <w:t xml:space="preserve"> </w:t>
      </w:r>
      <w:r w:rsidR="005B0403" w:rsidRPr="005B0403">
        <w:t>Beneficial use attainment was assessed instead of objective attainment because there is</w:t>
      </w:r>
      <w:r w:rsidR="005B0403" w:rsidRPr="005B0403" w:rsidDel="005B0403">
        <w:t xml:space="preserve"> </w:t>
      </w:r>
      <w:r>
        <w:t xml:space="preserve">no current </w:t>
      </w:r>
      <w:r w:rsidR="00C50131">
        <w:t xml:space="preserve">applicable </w:t>
      </w:r>
      <w:r>
        <w:t xml:space="preserve">objective in the Ocean Plan for aragonite saturation data. </w:t>
      </w:r>
      <w:r w:rsidR="00671B60">
        <w:t xml:space="preserve">The </w:t>
      </w:r>
      <w:r w:rsidR="00425093">
        <w:t xml:space="preserve">Ocean Plan water quality objective </w:t>
      </w:r>
      <w:r w:rsidR="005E0ED9">
        <w:t>specif</w:t>
      </w:r>
      <w:r w:rsidR="00064F27">
        <w:t>ies</w:t>
      </w:r>
      <w:r w:rsidR="005E0ED9">
        <w:t xml:space="preserve"> that marine </w:t>
      </w:r>
      <w:r w:rsidR="009070A9">
        <w:t>communities</w:t>
      </w:r>
      <w:r w:rsidR="00671B60">
        <w:t xml:space="preserve"> </w:t>
      </w:r>
      <w:r w:rsidR="001212F9">
        <w:t>shall not be degraded</w:t>
      </w:r>
      <w:r w:rsidR="0063538D">
        <w:t xml:space="preserve"> by discharges</w:t>
      </w:r>
      <w:r w:rsidR="001212F9">
        <w:t xml:space="preserve">. </w:t>
      </w:r>
      <w:r w:rsidR="00853CF6">
        <w:t>While a</w:t>
      </w:r>
      <w:r w:rsidR="00DF7DC5">
        <w:t>nthropogenic discharges</w:t>
      </w:r>
      <w:r w:rsidR="002C2D5E">
        <w:t xml:space="preserve"> of nutrients to </w:t>
      </w:r>
      <w:r w:rsidR="00B151FF">
        <w:t xml:space="preserve">California’s </w:t>
      </w:r>
      <w:r w:rsidR="002C2D5E">
        <w:t>ocean waters and carbon air emission</w:t>
      </w:r>
      <w:r w:rsidR="00F62705">
        <w:t>s</w:t>
      </w:r>
      <w:r w:rsidR="00DF7DC5">
        <w:t xml:space="preserve"> are </w:t>
      </w:r>
      <w:r w:rsidR="00585E80">
        <w:t xml:space="preserve">likely </w:t>
      </w:r>
      <w:r w:rsidR="005F0198">
        <w:t>cause</w:t>
      </w:r>
      <w:r w:rsidR="005B421C">
        <w:t>s</w:t>
      </w:r>
      <w:r w:rsidR="005F0198">
        <w:t xml:space="preserve"> of </w:t>
      </w:r>
      <w:r w:rsidR="009F4D1F">
        <w:t>OA</w:t>
      </w:r>
      <w:r w:rsidR="00B151FF">
        <w:t xml:space="preserve">, </w:t>
      </w:r>
      <w:r w:rsidR="000F1BAF">
        <w:t>d</w:t>
      </w:r>
      <w:r w:rsidR="00D65135">
        <w:t>ischargers have not been definitely determined to be causing or contributing to OA.</w:t>
      </w:r>
      <w:r>
        <w:t xml:space="preserve"> </w:t>
      </w:r>
    </w:p>
    <w:p w14:paraId="3B0AFA58" w14:textId="7048241D" w:rsidR="00547E6C" w:rsidRPr="00F263FC" w:rsidRDefault="00547E6C" w:rsidP="008A4B22">
      <w:r>
        <w:t xml:space="preserve">Ultimately, the requisite conditions under section 3.11 </w:t>
      </w:r>
      <w:r w:rsidR="00D1508A">
        <w:t>of the Listing Policy</w:t>
      </w:r>
      <w:r>
        <w:t xml:space="preserve"> could not all be satisfied to support </w:t>
      </w:r>
      <w:r w:rsidR="001C2B7C">
        <w:t>“List” D</w:t>
      </w:r>
      <w:r>
        <w:t>ecision</w:t>
      </w:r>
      <w:r w:rsidR="001C2B7C">
        <w:t>s</w:t>
      </w:r>
      <w:r w:rsidR="008B48D6">
        <w:t xml:space="preserve"> </w:t>
      </w:r>
      <w:r w:rsidR="00A177F1">
        <w:t xml:space="preserve">as there </w:t>
      </w:r>
      <w:r w:rsidR="001C2B7C">
        <w:t>were</w:t>
      </w:r>
      <w:r w:rsidR="00A177F1">
        <w:t xml:space="preserve"> no biological </w:t>
      </w:r>
      <w:r w:rsidR="00263A4A">
        <w:t>information</w:t>
      </w:r>
      <w:r w:rsidR="00A177F1">
        <w:t xml:space="preserve"> available to definitively ascertain </w:t>
      </w:r>
      <w:r w:rsidR="00633D88">
        <w:t>whether</w:t>
      </w:r>
      <w:r w:rsidR="00A177F1">
        <w:t xml:space="preserve"> severe dissolution of shell</w:t>
      </w:r>
      <w:r w:rsidR="00633D88">
        <w:t>ed</w:t>
      </w:r>
      <w:r w:rsidR="00A177F1">
        <w:t xml:space="preserve"> species </w:t>
      </w:r>
      <w:r w:rsidR="00633D88">
        <w:t>occurred</w:t>
      </w:r>
      <w:r w:rsidR="00263A4A">
        <w:t xml:space="preserve"> (see section </w:t>
      </w:r>
      <w:r w:rsidR="00504C32">
        <w:t>5</w:t>
      </w:r>
      <w:r w:rsidR="00263A4A">
        <w:t>.2.3</w:t>
      </w:r>
      <w:r w:rsidR="008633EA">
        <w:t>, below</w:t>
      </w:r>
      <w:r w:rsidR="00E142E0">
        <w:t>)</w:t>
      </w:r>
      <w:r w:rsidR="00633D88">
        <w:t>.</w:t>
      </w:r>
      <w:r w:rsidR="002C7B68">
        <w:t xml:space="preserve"> </w:t>
      </w:r>
      <w:r w:rsidR="00683E2F">
        <w:t>A</w:t>
      </w:r>
      <w:r w:rsidR="0059003F">
        <w:t>ssessment</w:t>
      </w:r>
      <w:r w:rsidR="00633D88">
        <w:t xml:space="preserve"> of the</w:t>
      </w:r>
      <w:r w:rsidR="00E142E0">
        <w:t xml:space="preserve"> chemistry</w:t>
      </w:r>
      <w:r w:rsidR="00633D88">
        <w:t xml:space="preserve"> data available</w:t>
      </w:r>
      <w:r w:rsidR="00683E2F">
        <w:t xml:space="preserve"> indicate</w:t>
      </w:r>
      <w:r w:rsidR="007F5618">
        <w:t>d</w:t>
      </w:r>
      <w:r>
        <w:t xml:space="preserve"> </w:t>
      </w:r>
      <w:r w:rsidR="00B3792E">
        <w:t>the</w:t>
      </w:r>
      <w:r w:rsidR="00B3792E" w:rsidRPr="00B3792E">
        <w:t xml:space="preserve"> </w:t>
      </w:r>
      <w:r w:rsidR="00B3792E" w:rsidRPr="00362BEA">
        <w:t xml:space="preserve">data and/or information </w:t>
      </w:r>
      <w:r w:rsidR="007F5618">
        <w:t>were</w:t>
      </w:r>
      <w:r w:rsidRPr="00362BEA">
        <w:t xml:space="preserve"> insufficient to make a beneficial use support determination</w:t>
      </w:r>
      <w:r w:rsidR="001C037E">
        <w:t xml:space="preserve"> based on</w:t>
      </w:r>
      <w:r w:rsidR="0029346C">
        <w:t xml:space="preserve"> </w:t>
      </w:r>
      <w:r w:rsidR="00064F27">
        <w:t xml:space="preserve">the </w:t>
      </w:r>
      <w:r w:rsidR="001C037E">
        <w:t>evaluation guideline noted</w:t>
      </w:r>
      <w:r w:rsidR="008633EA">
        <w:t xml:space="preserve"> below</w:t>
      </w:r>
      <w:r w:rsidR="001C037E">
        <w:t xml:space="preserve"> in section 5.2.1</w:t>
      </w:r>
      <w:r w:rsidR="001D20EA">
        <w:t>.</w:t>
      </w:r>
    </w:p>
    <w:p w14:paraId="2F32CF39" w14:textId="5D0DA20C" w:rsidR="00547E6C" w:rsidRPr="00A463FD" w:rsidRDefault="00916C33" w:rsidP="008A4B22">
      <w:pPr>
        <w:pStyle w:val="Heading3"/>
      </w:pPr>
      <w:bookmarkStart w:id="145" w:name="_Toc189048609"/>
      <w:r>
        <w:t>Evaluation Guideline</w:t>
      </w:r>
      <w:bookmarkEnd w:id="145"/>
    </w:p>
    <w:p w14:paraId="4B447B99" w14:textId="5582EE0A" w:rsidR="00547E6C" w:rsidRDefault="00547E6C" w:rsidP="008A4B22">
      <w:pPr>
        <w:rPr>
          <w:rFonts w:cs="Arial"/>
          <w:szCs w:val="24"/>
        </w:rPr>
      </w:pPr>
      <w:r w:rsidRPr="00FC764D">
        <w:rPr>
          <w:rStyle w:val="normaltextrun"/>
          <w:rFonts w:cs="Arial"/>
          <w:color w:val="000000"/>
          <w:szCs w:val="24"/>
          <w:shd w:val="clear" w:color="auto" w:fill="FFFFFF"/>
        </w:rPr>
        <w:t xml:space="preserve">Aragonite saturation state </w:t>
      </w:r>
      <w:r>
        <w:rPr>
          <w:rStyle w:val="normaltextrun"/>
          <w:rFonts w:cs="Arial"/>
          <w:color w:val="000000"/>
          <w:szCs w:val="24"/>
          <w:shd w:val="clear" w:color="auto" w:fill="FFFFFF"/>
        </w:rPr>
        <w:t>is</w:t>
      </w:r>
      <w:r w:rsidRPr="00FC764D">
        <w:rPr>
          <w:rStyle w:val="normaltextrun"/>
          <w:rFonts w:cs="Arial"/>
          <w:color w:val="000000"/>
          <w:szCs w:val="24"/>
          <w:shd w:val="clear" w:color="auto" w:fill="FFFFFF"/>
        </w:rPr>
        <w:t xml:space="preserve"> an indicator for OA impairment </w:t>
      </w:r>
      <w:r>
        <w:rPr>
          <w:rStyle w:val="normaltextrun"/>
          <w:rFonts w:cs="Arial"/>
          <w:color w:val="000000"/>
          <w:szCs w:val="24"/>
          <w:shd w:val="clear" w:color="auto" w:fill="FFFFFF"/>
        </w:rPr>
        <w:t xml:space="preserve">as it measures acidity-related </w:t>
      </w:r>
      <w:r w:rsidRPr="00FC764D">
        <w:rPr>
          <w:rStyle w:val="normaltextrun"/>
          <w:rFonts w:cs="Arial"/>
          <w:color w:val="000000"/>
          <w:szCs w:val="24"/>
          <w:shd w:val="clear" w:color="auto" w:fill="FFFFFF"/>
        </w:rPr>
        <w:t>impacts on marine life.</w:t>
      </w:r>
      <w:r>
        <w:rPr>
          <w:rStyle w:val="normaltextrun"/>
          <w:rFonts w:cs="Arial"/>
          <w:color w:val="000000"/>
          <w:szCs w:val="24"/>
          <w:shd w:val="clear" w:color="auto" w:fill="FFFFFF"/>
        </w:rPr>
        <w:t xml:space="preserve"> </w:t>
      </w:r>
      <w:r w:rsidRPr="00FC764D">
        <w:rPr>
          <w:rStyle w:val="normaltextrun"/>
          <w:rFonts w:cs="Arial"/>
          <w:color w:val="000000"/>
          <w:szCs w:val="24"/>
          <w:shd w:val="clear" w:color="auto" w:fill="FFFFFF"/>
        </w:rPr>
        <w:t>In Bednaršek 2014, it is noted that “ocean acidification results in the lowering of aragonite saturation levels in the surface layers, and several incubation studies have shown that rates of calcification in these organisms decrease as a result”</w:t>
      </w:r>
      <w:r>
        <w:rPr>
          <w:rStyle w:val="normaltextrun"/>
          <w:rFonts w:cs="Arial"/>
          <w:color w:val="000000"/>
          <w:szCs w:val="24"/>
          <w:shd w:val="clear" w:color="auto" w:fill="FFFFFF"/>
        </w:rPr>
        <w:t xml:space="preserve"> (Bednaršek 2014). </w:t>
      </w:r>
      <w:r w:rsidRPr="00FC764D">
        <w:rPr>
          <w:rStyle w:val="normaltextrun"/>
          <w:rFonts w:cs="Arial"/>
          <w:color w:val="000000"/>
          <w:szCs w:val="24"/>
          <w:shd w:val="clear" w:color="auto" w:fill="FFFFFF"/>
          <w:vertAlign w:val="superscript"/>
        </w:rPr>
        <w:t xml:space="preserve"> </w:t>
      </w:r>
      <w:r w:rsidRPr="00FC764D">
        <w:rPr>
          <w:rStyle w:val="normaltextrun"/>
          <w:rFonts w:cs="Arial"/>
          <w:color w:val="000000"/>
          <w:szCs w:val="24"/>
          <w:shd w:val="clear" w:color="auto" w:fill="FFFFFF"/>
        </w:rPr>
        <w:t xml:space="preserve">When rates of calcification decrease, there is reduced growth of shell species (pteropods), shell dissolution and thinning, and an increase in pteropod deaths. Thus, the aragonite saturation state of a waterbody </w:t>
      </w:r>
      <w:r w:rsidR="008507B2">
        <w:rPr>
          <w:rStyle w:val="normaltextrun"/>
          <w:rFonts w:cs="Arial"/>
          <w:color w:val="000000"/>
          <w:szCs w:val="24"/>
          <w:shd w:val="clear" w:color="auto" w:fill="FFFFFF"/>
        </w:rPr>
        <w:t>segment</w:t>
      </w:r>
      <w:r w:rsidRPr="00FC764D">
        <w:rPr>
          <w:rStyle w:val="normaltextrun"/>
          <w:rFonts w:cs="Arial"/>
          <w:color w:val="000000"/>
          <w:szCs w:val="24"/>
          <w:shd w:val="clear" w:color="auto" w:fill="FFFFFF"/>
        </w:rPr>
        <w:t xml:space="preserve"> can be used </w:t>
      </w:r>
      <w:r w:rsidR="00BA5793">
        <w:rPr>
          <w:rStyle w:val="normaltextrun"/>
          <w:rFonts w:cs="Arial"/>
          <w:color w:val="000000"/>
          <w:szCs w:val="24"/>
          <w:shd w:val="clear" w:color="auto" w:fill="FFFFFF"/>
        </w:rPr>
        <w:t xml:space="preserve">as </w:t>
      </w:r>
      <w:r w:rsidRPr="00FC764D">
        <w:rPr>
          <w:rStyle w:val="normaltextrun"/>
          <w:rFonts w:cs="Arial"/>
          <w:color w:val="000000"/>
          <w:szCs w:val="24"/>
          <w:shd w:val="clear" w:color="auto" w:fill="FFFFFF"/>
        </w:rPr>
        <w:t>an indicator for marine habitat impacts due to OA.</w:t>
      </w:r>
      <w:r>
        <w:rPr>
          <w:rStyle w:val="normaltextrun"/>
          <w:rFonts w:cs="Arial"/>
          <w:color w:val="000000"/>
          <w:szCs w:val="24"/>
          <w:shd w:val="clear" w:color="auto" w:fill="FFFFFF"/>
        </w:rPr>
        <w:t xml:space="preserve"> </w:t>
      </w:r>
    </w:p>
    <w:p w14:paraId="1D4677C6" w14:textId="00650BBA" w:rsidR="00547E6C" w:rsidRDefault="00547E6C" w:rsidP="008A4B22">
      <w:r w:rsidRPr="627AAD99">
        <w:rPr>
          <w:rFonts w:cs="Arial"/>
        </w:rPr>
        <w:t>Aragonite saturation state is not measured by a unit, but rather represented by the metric</w:t>
      </w:r>
      <w:r w:rsidR="008974C4">
        <w:rPr>
          <w:rFonts w:cs="Arial"/>
        </w:rPr>
        <w:t>,</w:t>
      </w:r>
      <w:r w:rsidRPr="627AAD99">
        <w:rPr>
          <w:rFonts w:cs="Arial"/>
        </w:rPr>
        <w:t xml:space="preserve"> </w:t>
      </w:r>
      <w:r w:rsidR="008974C4">
        <w:rPr>
          <w:rFonts w:cs="Arial"/>
        </w:rPr>
        <w:t>“</w:t>
      </w:r>
      <w:r w:rsidRPr="627AAD99">
        <w:rPr>
          <w:rFonts w:cs="Arial"/>
        </w:rPr>
        <w:t>omega aragonite,</w:t>
      </w:r>
      <w:r w:rsidR="008974C4">
        <w:rPr>
          <w:rFonts w:cs="Arial"/>
        </w:rPr>
        <w:t>”</w:t>
      </w:r>
      <w:r w:rsidRPr="627AAD99">
        <w:rPr>
          <w:rFonts w:cs="Arial"/>
        </w:rPr>
        <w:t xml:space="preserve"> notated as </w:t>
      </w:r>
      <w:r>
        <w:t>Ω</w:t>
      </w:r>
      <w:r w:rsidRPr="627AAD99">
        <w:rPr>
          <w:vertAlign w:val="subscript"/>
        </w:rPr>
        <w:t>ar</w:t>
      </w:r>
      <w:r>
        <w:t xml:space="preserve">. The mean omega aragonite saturation state is calculated </w:t>
      </w:r>
      <w:r w:rsidR="007F5618">
        <w:t>as</w:t>
      </w:r>
      <w:r>
        <w:t xml:space="preserve"> the product of the concentrations of dissolved calcium and carbonate ions in ocean water divided by their product at equilibrium (equation below) (Zeebe, 2003).  </w:t>
      </w:r>
    </w:p>
    <w:p w14:paraId="336D9C94" w14:textId="77777777" w:rsidR="00547E6C" w:rsidRPr="00956166" w:rsidRDefault="00547E6C" w:rsidP="008A4B22">
      <w:pPr>
        <w:jc w:val="center"/>
        <w:rPr>
          <w:rFonts w:cs="Arial"/>
          <w:szCs w:val="24"/>
        </w:rPr>
      </w:pPr>
      <w:r>
        <w:t>Ω</w:t>
      </w:r>
      <w:r w:rsidRPr="00C03488">
        <w:rPr>
          <w:vertAlign w:val="subscript"/>
        </w:rPr>
        <w:t>ar</w:t>
      </w:r>
      <w:r>
        <w:t xml:space="preserve">  = ( [Ca2+] × [CO3 2-] ) / [CaCO3]</w:t>
      </w:r>
    </w:p>
    <w:p w14:paraId="0F1CB5B5" w14:textId="3BE49771" w:rsidR="00547E6C" w:rsidRPr="00AA5BFB" w:rsidRDefault="00547E6C" w:rsidP="008A4B22">
      <w:pPr>
        <w:rPr>
          <w:rFonts w:cs="Arial"/>
        </w:rPr>
      </w:pPr>
      <w:r w:rsidRPr="627AAD99">
        <w:rPr>
          <w:rFonts w:cs="Arial"/>
        </w:rPr>
        <w:t xml:space="preserve">A mean omega aragonite saturation state threshold of 1.4 was used to evaluate data based off research from SCCWRP, including a paper by Nina Bednaršek in 2019 (Bednaršek 2019) and a study from Oregon State University (McLaughlin, 2015). A threshold below 1.4 in a waterbody </w:t>
      </w:r>
      <w:r w:rsidR="00916C33">
        <w:rPr>
          <w:rFonts w:cs="Arial"/>
        </w:rPr>
        <w:t>segment</w:t>
      </w:r>
      <w:r w:rsidR="00916C33" w:rsidRPr="627AAD99">
        <w:rPr>
          <w:rFonts w:cs="Arial"/>
        </w:rPr>
        <w:t xml:space="preserve"> </w:t>
      </w:r>
      <w:r w:rsidRPr="627AAD99">
        <w:rPr>
          <w:rFonts w:cs="Arial"/>
        </w:rPr>
        <w:t>would indicate potential impairment due to OA.</w:t>
      </w:r>
    </w:p>
    <w:p w14:paraId="5B738F5C" w14:textId="5FBDFACB" w:rsidR="00547E6C" w:rsidRPr="00AA5BFB" w:rsidRDefault="00547E6C" w:rsidP="008A4B22">
      <w:pPr>
        <w:rPr>
          <w:rFonts w:cs="Arial"/>
        </w:rPr>
      </w:pPr>
      <w:r w:rsidRPr="56C2C988">
        <w:rPr>
          <w:rFonts w:cs="Arial"/>
        </w:rPr>
        <w:t xml:space="preserve">In Bednaršek 2019, thresholds between 0.9 and 1.5 were found to indicate severe to mild shell dissolution of pteropods, with potential impairment indicated at approximately 1.2 ± 0.1 (for an overall threshold of 1.3) or below. Severe shell dissolution of pteropods indicates an impairment to the overall marine habitat. Continued studies at various stages within the pteropod life cycle have demonstrated dissolution at 1.0, 1.2, 1.25, and 1.5. </w:t>
      </w:r>
      <w:r w:rsidR="00916C33">
        <w:rPr>
          <w:rFonts w:cs="Arial"/>
        </w:rPr>
        <w:t>Waterbody segments</w:t>
      </w:r>
      <w:r w:rsidRPr="56C2C988">
        <w:rPr>
          <w:rFonts w:cs="Arial"/>
        </w:rPr>
        <w:t xml:space="preserve"> with aragonite saturation state levels &lt;1.0 are considered undersaturated and may have severe dissolution (Mekkes, 2021). In future </w:t>
      </w:r>
      <w:r>
        <w:rPr>
          <w:rFonts w:cs="Arial"/>
        </w:rPr>
        <w:t>listing cycles,</w:t>
      </w:r>
      <w:r w:rsidRPr="56C2C988">
        <w:rPr>
          <w:rFonts w:cs="Arial"/>
        </w:rPr>
        <w:t xml:space="preserve"> defining </w:t>
      </w:r>
      <w:r w:rsidR="00916C33">
        <w:rPr>
          <w:rFonts w:cs="Arial"/>
        </w:rPr>
        <w:t>evaluation guidelines</w:t>
      </w:r>
      <w:r w:rsidRPr="56C2C988">
        <w:rPr>
          <w:rFonts w:cs="Arial"/>
        </w:rPr>
        <w:t xml:space="preserve"> for likely impairment </w:t>
      </w:r>
      <w:r>
        <w:rPr>
          <w:rFonts w:cs="Arial"/>
        </w:rPr>
        <w:t>versus</w:t>
      </w:r>
      <w:r w:rsidRPr="56C2C988">
        <w:rPr>
          <w:rFonts w:cs="Arial"/>
        </w:rPr>
        <w:t xml:space="preserve"> potential impairment with the varying aragonite saturation states</w:t>
      </w:r>
      <w:r>
        <w:rPr>
          <w:rFonts w:cs="Arial"/>
        </w:rPr>
        <w:t xml:space="preserve"> will be considered</w:t>
      </w:r>
      <w:r w:rsidRPr="56C2C988">
        <w:rPr>
          <w:rFonts w:cs="Arial"/>
        </w:rPr>
        <w:t xml:space="preserve">. </w:t>
      </w:r>
    </w:p>
    <w:p w14:paraId="7B4F9582" w14:textId="77777777" w:rsidR="00547E6C" w:rsidRPr="00AA5BFB" w:rsidRDefault="00547E6C" w:rsidP="008A4B22">
      <w:pPr>
        <w:rPr>
          <w:rFonts w:cs="Arial"/>
        </w:rPr>
      </w:pPr>
      <w:r w:rsidRPr="24A69279">
        <w:rPr>
          <w:rFonts w:cs="Arial"/>
        </w:rPr>
        <w:t xml:space="preserve">An additional study conducted by Oregon State University concluded that the “maximum uncertainty of ±0.2 in the calculation of mean omega aragonite saturation state is required to adequately link changes in ocean chemistry to changes in ecosystem function” (McLaughlin 2015). Thus, the mean omega aragonite saturation state of 1.4, (1.2 ± 0.2) is considered to be a more accurate reflection of potential OA impairment. </w:t>
      </w:r>
    </w:p>
    <w:p w14:paraId="37279B4E" w14:textId="77777777" w:rsidR="00547E6C" w:rsidRPr="00592DE3" w:rsidRDefault="00547E6C" w:rsidP="008A4B22">
      <w:r>
        <w:rPr>
          <w:rFonts w:cs="Arial"/>
          <w:szCs w:val="24"/>
        </w:rPr>
        <w:t xml:space="preserve">Data collected from a depth range of 0-200 m were used to evaluate aragonite saturation state data per </w:t>
      </w:r>
      <w:r w:rsidRPr="00AA5BFB">
        <w:rPr>
          <w:rFonts w:cs="Arial"/>
          <w:szCs w:val="24"/>
        </w:rPr>
        <w:t xml:space="preserve">analyses conducted by SCCWRP and </w:t>
      </w:r>
      <w:r>
        <w:rPr>
          <w:rFonts w:cs="Arial"/>
          <w:szCs w:val="24"/>
        </w:rPr>
        <w:t>the National Oceanic and Atmospheric Administration (“</w:t>
      </w:r>
      <w:r w:rsidRPr="00AA5BFB">
        <w:rPr>
          <w:rFonts w:cs="Arial"/>
          <w:szCs w:val="24"/>
        </w:rPr>
        <w:t>NOAA</w:t>
      </w:r>
      <w:r>
        <w:rPr>
          <w:rFonts w:cs="Arial"/>
          <w:szCs w:val="24"/>
        </w:rPr>
        <w:t>”) (Bednaršek 2014).</w:t>
      </w:r>
      <w:r w:rsidRPr="00AA5BFB">
        <w:rPr>
          <w:rFonts w:cs="Arial"/>
          <w:szCs w:val="24"/>
        </w:rPr>
        <w:t xml:space="preserve"> </w:t>
      </w:r>
    </w:p>
    <w:p w14:paraId="057DDB94" w14:textId="593BF01A" w:rsidR="00547E6C" w:rsidRPr="00A463FD" w:rsidRDefault="00547E6C" w:rsidP="008A4B22">
      <w:pPr>
        <w:pStyle w:val="Heading3"/>
      </w:pPr>
      <w:bookmarkStart w:id="146" w:name="_Toc189048610"/>
      <w:r>
        <w:t>Data Assessed</w:t>
      </w:r>
      <w:bookmarkEnd w:id="146"/>
      <w:r>
        <w:t xml:space="preserve"> </w:t>
      </w:r>
    </w:p>
    <w:p w14:paraId="485D60E2" w14:textId="3B47930B" w:rsidR="00547E6C" w:rsidRDefault="00547E6C" w:rsidP="008A4B22">
      <w:r>
        <w:t xml:space="preserve">Only data within the territorial marine waters of the </w:t>
      </w:r>
      <w:r w:rsidR="007F5618">
        <w:t>s</w:t>
      </w:r>
      <w:r>
        <w:t xml:space="preserve">tate as defined by law (i.e., three nautical miles off the continental and island coastlines) were assessed. (Govt. Code, § 170.) </w:t>
      </w:r>
    </w:p>
    <w:p w14:paraId="48EEA7F8" w14:textId="4C52AC87" w:rsidR="00547E6C" w:rsidRDefault="00BB77CB" w:rsidP="008A4B22">
      <w:r>
        <w:t>No new</w:t>
      </w:r>
      <w:r w:rsidR="0027568A">
        <w:t xml:space="preserve"> ocean acidification</w:t>
      </w:r>
      <w:r w:rsidR="00547E6C">
        <w:t xml:space="preserve"> data </w:t>
      </w:r>
      <w:r>
        <w:t>or</w:t>
      </w:r>
      <w:r w:rsidR="00547E6C">
        <w:t xml:space="preserve"> information were </w:t>
      </w:r>
      <w:r>
        <w:t>received</w:t>
      </w:r>
      <w:r w:rsidR="00547E6C">
        <w:t xml:space="preserve"> during the data solicitation period for the 202</w:t>
      </w:r>
      <w:r w:rsidR="000C10E0">
        <w:t>6</w:t>
      </w:r>
      <w:r w:rsidR="00547E6C">
        <w:t xml:space="preserve"> California Integrated Report. Water Board</w:t>
      </w:r>
      <w:r w:rsidR="00F22CC5">
        <w:t>s</w:t>
      </w:r>
      <w:r w:rsidR="00547E6C">
        <w:t xml:space="preserve"> staff consulted with researchers at </w:t>
      </w:r>
      <w:r w:rsidR="00896FA7">
        <w:t xml:space="preserve">NOAA and </w:t>
      </w:r>
      <w:r w:rsidR="00547E6C">
        <w:t xml:space="preserve">SCCWRP to acquire mean omega aragonite saturation state data </w:t>
      </w:r>
      <w:r w:rsidR="00E37801">
        <w:t>with</w:t>
      </w:r>
      <w:r w:rsidR="00547E6C">
        <w:t xml:space="preserve"> varying geographic locations along California’s coastline. This includes data from the </w:t>
      </w:r>
      <w:r w:rsidR="00D057B5">
        <w:t xml:space="preserve">West Coast Ocean Acidification NOAA Cruises from 2011, 2013, and 2021. </w:t>
      </w:r>
      <w:r w:rsidR="00547E6C">
        <w:t xml:space="preserve"> </w:t>
      </w:r>
    </w:p>
    <w:p w14:paraId="50BD7EB6" w14:textId="58F5FE65" w:rsidR="00547E6C" w:rsidRDefault="00547E6C" w:rsidP="008A4B22">
      <w:r>
        <w:t xml:space="preserve">Data were evaluated using the following steps: </w:t>
      </w:r>
    </w:p>
    <w:p w14:paraId="10B2EB21" w14:textId="77777777" w:rsidR="00547E6C" w:rsidRDefault="00547E6C" w:rsidP="008A4B22">
      <w:pPr>
        <w:pStyle w:val="ListParagraph"/>
        <w:numPr>
          <w:ilvl w:val="0"/>
          <w:numId w:val="13"/>
        </w:numPr>
      </w:pPr>
      <w:r>
        <w:t xml:space="preserve">Continuous mean omega aragonite saturation state data from the same day at each station were averaged to a single sample point. </w:t>
      </w:r>
    </w:p>
    <w:p w14:paraId="3AF310C1" w14:textId="249DC088" w:rsidR="00547E6C" w:rsidRDefault="00547E6C" w:rsidP="008A4B22">
      <w:pPr>
        <w:pStyle w:val="ListParagraph"/>
        <w:numPr>
          <w:ilvl w:val="0"/>
          <w:numId w:val="13"/>
        </w:numPr>
      </w:pPr>
      <w:r>
        <w:t xml:space="preserve">Samples from the same station within 7-days </w:t>
      </w:r>
      <w:r w:rsidR="004110B0">
        <w:t xml:space="preserve">were </w:t>
      </w:r>
      <w:r>
        <w:t xml:space="preserve">averaged per section 6.1.5.6 of the Listing Policy. </w:t>
      </w:r>
    </w:p>
    <w:p w14:paraId="19D685B2" w14:textId="77777777" w:rsidR="00547E6C" w:rsidRDefault="00547E6C" w:rsidP="008A4B22">
      <w:pPr>
        <w:pStyle w:val="ListParagraph"/>
        <w:numPr>
          <w:ilvl w:val="0"/>
          <w:numId w:val="13"/>
        </w:numPr>
      </w:pPr>
      <w:r>
        <w:t xml:space="preserve">Exceedances of a waterbody segment were noted if averaged samples were less than or equal to the mean omega aragonite saturation state threshold of 1.4. </w:t>
      </w:r>
    </w:p>
    <w:p w14:paraId="55D3BF60" w14:textId="77777777" w:rsidR="00547E6C" w:rsidRDefault="00547E6C" w:rsidP="008A4B22">
      <w:pPr>
        <w:pStyle w:val="ListParagraph"/>
        <w:numPr>
          <w:ilvl w:val="0"/>
          <w:numId w:val="13"/>
        </w:numPr>
      </w:pPr>
      <w:r>
        <w:t>Mean omega aragonite saturation state samples and exceedances were evaluated using the Binomial Table for Conventional Pollutants in Listing Policy section 3.2.</w:t>
      </w:r>
    </w:p>
    <w:p w14:paraId="3761AB2E" w14:textId="0093BE95" w:rsidR="00547E6C" w:rsidRDefault="00547E6C" w:rsidP="008A4B22">
      <w:pPr>
        <w:pStyle w:val="ListParagraph"/>
        <w:numPr>
          <w:ilvl w:val="0"/>
          <w:numId w:val="13"/>
        </w:numPr>
      </w:pPr>
      <w:r>
        <w:t>Within CalWQA, the pollutant name for the mean omega aragonite saturation state calculation was identified as “Omega Aragonite</w:t>
      </w:r>
      <w:r w:rsidR="00FD3A2A">
        <w:t>.</w:t>
      </w:r>
      <w:r>
        <w:t xml:space="preserve">”  </w:t>
      </w:r>
    </w:p>
    <w:p w14:paraId="7CE46CD9" w14:textId="2C592981" w:rsidR="00916C33" w:rsidRDefault="00916C33" w:rsidP="008A4B22">
      <w:r>
        <w:t>As a result of this data assessment, two</w:t>
      </w:r>
      <w:r w:rsidRPr="00362BEA">
        <w:t xml:space="preserve"> </w:t>
      </w:r>
      <w:r>
        <w:t>waterbody segments were placed</w:t>
      </w:r>
      <w:r w:rsidRPr="00362BEA">
        <w:t xml:space="preserve"> in Cat</w:t>
      </w:r>
      <w:r>
        <w:t>egory</w:t>
      </w:r>
      <w:r w:rsidRPr="00362BEA">
        <w:t xml:space="preserve"> </w:t>
      </w:r>
      <w:r w:rsidR="001D7913">
        <w:t>2</w:t>
      </w:r>
      <w:r>
        <w:t>, Pacific Ocean Cape Mendocino HU and Pacific Ocean Smith River HU</w:t>
      </w:r>
      <w:r w:rsidR="001D7913">
        <w:t>, due to an insufficient number of samples</w:t>
      </w:r>
      <w:r w:rsidR="00106ADA">
        <w:t xml:space="preserve"> to make an assessment.</w:t>
      </w:r>
    </w:p>
    <w:p w14:paraId="38F0CD5E" w14:textId="77777777" w:rsidR="00547E6C" w:rsidRPr="00522130" w:rsidRDefault="00547E6C" w:rsidP="008A4B22">
      <w:pPr>
        <w:pStyle w:val="Heading3"/>
      </w:pPr>
      <w:bookmarkStart w:id="147" w:name="_Toc189048611"/>
      <w:r>
        <w:t>Data Gaps and Future Assessments</w:t>
      </w:r>
      <w:bookmarkEnd w:id="147"/>
    </w:p>
    <w:p w14:paraId="090357D5" w14:textId="05C7838B" w:rsidR="00547E6C" w:rsidRPr="00DF6E81" w:rsidRDefault="00547E6C" w:rsidP="00547E6C">
      <w:r>
        <w:t xml:space="preserve">Before </w:t>
      </w:r>
      <w:r w:rsidR="008B5468">
        <w:t>determining</w:t>
      </w:r>
      <w:r>
        <w:t xml:space="preserve"> an ocean </w:t>
      </w:r>
      <w:r w:rsidR="00E47CD4">
        <w:t>waterbody</w:t>
      </w:r>
      <w:r>
        <w:t xml:space="preserve"> segment as impaired for OA using aragonite saturation state as an evaluation guideline using section 3.11 of the Listing Policy, further research is needed to increase confidence that </w:t>
      </w:r>
      <w:r w:rsidR="00DC3F56">
        <w:t xml:space="preserve">the </w:t>
      </w:r>
      <w:r>
        <w:t xml:space="preserve">data assessed reflects waterbody </w:t>
      </w:r>
      <w:r w:rsidR="006862A0">
        <w:t xml:space="preserve">segment </w:t>
      </w:r>
      <w:r>
        <w:t xml:space="preserve">conditions. </w:t>
      </w:r>
      <w:r w:rsidR="00282F8D">
        <w:t xml:space="preserve">Throughout 2023 and 2024, </w:t>
      </w:r>
      <w:r>
        <w:t>Water Board</w:t>
      </w:r>
      <w:r w:rsidR="0045744D">
        <w:t>s</w:t>
      </w:r>
      <w:r>
        <w:t xml:space="preserve"> staff coordi</w:t>
      </w:r>
      <w:r w:rsidR="00282F8D">
        <w:t>nated</w:t>
      </w:r>
      <w:r>
        <w:t xml:space="preserve"> with SCCWRP, NOAA, </w:t>
      </w:r>
      <w:r w:rsidR="00027834">
        <w:t xml:space="preserve">as well as </w:t>
      </w:r>
      <w:r w:rsidR="00153B26">
        <w:t>an</w:t>
      </w:r>
      <w:r w:rsidR="009859E1">
        <w:t xml:space="preserve"> </w:t>
      </w:r>
      <w:r>
        <w:t>interstate workgroup</w:t>
      </w:r>
      <w:r w:rsidR="00153B26">
        <w:t xml:space="preserve"> </w:t>
      </w:r>
      <w:r w:rsidR="007F2CBA">
        <w:t>known as</w:t>
      </w:r>
      <w:r w:rsidR="007A573A">
        <w:t xml:space="preserve"> the </w:t>
      </w:r>
      <w:hyperlink r:id="rId65" w:history="1">
        <w:r w:rsidR="00A413C1" w:rsidRPr="007943B2">
          <w:rPr>
            <w:rStyle w:val="Hyperlink"/>
          </w:rPr>
          <w:t>Ocean Acidification and Hypoxia Technical Workgroup</w:t>
        </w:r>
      </w:hyperlink>
      <w:r w:rsidR="007F2CBA">
        <w:t xml:space="preserve"> (</w:t>
      </w:r>
      <w:hyperlink r:id="rId66" w:history="1">
        <w:r w:rsidR="006422A9">
          <w:rPr>
            <w:rStyle w:val="Hyperlink"/>
          </w:rPr>
          <w:t>https://www.oregon.gov/deq/wq/Documents/ir2024oahWGoverview.pdf</w:t>
        </w:r>
      </w:hyperlink>
      <w:r w:rsidR="007F2CBA">
        <w:t>)</w:t>
      </w:r>
      <w:r>
        <w:t xml:space="preserve"> to </w:t>
      </w:r>
      <w:r w:rsidR="00282F8D">
        <w:t xml:space="preserve">evaluate appropriate </w:t>
      </w:r>
      <w:r w:rsidR="005163F4">
        <w:t xml:space="preserve">biological </w:t>
      </w:r>
      <w:r w:rsidR="00282F8D">
        <w:t xml:space="preserve">indicators for aragonite saturation state, </w:t>
      </w:r>
      <w:r w:rsidR="00AE2877">
        <w:t>surface water depths</w:t>
      </w:r>
      <w:r w:rsidR="005163F4">
        <w:t xml:space="preserve"> for assessment</w:t>
      </w:r>
      <w:r w:rsidR="00AE2877">
        <w:t xml:space="preserve">, and </w:t>
      </w:r>
      <w:r w:rsidR="005163F4">
        <w:t xml:space="preserve">various strategies for </w:t>
      </w:r>
      <w:r w:rsidR="00FA5720">
        <w:t xml:space="preserve">OA </w:t>
      </w:r>
      <w:r w:rsidR="005163F4">
        <w:t>assessment</w:t>
      </w:r>
      <w:r w:rsidR="007F2CBA">
        <w:t>.</w:t>
      </w:r>
      <w:r w:rsidR="005163F4">
        <w:t xml:space="preserve"> </w:t>
      </w:r>
    </w:p>
    <w:p w14:paraId="0B41AA44" w14:textId="48088A56" w:rsidR="00254428" w:rsidRDefault="005163F4" w:rsidP="00074C57">
      <w:r>
        <w:t xml:space="preserve">While </w:t>
      </w:r>
      <w:r w:rsidR="00907282">
        <w:t>many</w:t>
      </w:r>
      <w:r>
        <w:t xml:space="preserve"> assessment</w:t>
      </w:r>
      <w:r w:rsidDel="009D560B">
        <w:t xml:space="preserve"> </w:t>
      </w:r>
      <w:r w:rsidR="009D560B">
        <w:t xml:space="preserve">methodology </w:t>
      </w:r>
      <w:r w:rsidR="00101485">
        <w:t>process questions</w:t>
      </w:r>
      <w:r>
        <w:t xml:space="preserve"> </w:t>
      </w:r>
      <w:r w:rsidR="00EC0725">
        <w:t xml:space="preserve">were evaluated </w:t>
      </w:r>
      <w:r w:rsidR="00290DA8">
        <w:t>by</w:t>
      </w:r>
      <w:r w:rsidR="00EC0725">
        <w:t xml:space="preserve"> </w:t>
      </w:r>
      <w:r w:rsidR="00290DA8">
        <w:t>the</w:t>
      </w:r>
      <w:r w:rsidR="00EC0725">
        <w:t xml:space="preserve"> interstate workgroup, </w:t>
      </w:r>
      <w:r w:rsidR="00475619">
        <w:t xml:space="preserve">biological data </w:t>
      </w:r>
      <w:r w:rsidR="00835252">
        <w:t xml:space="preserve">to </w:t>
      </w:r>
      <w:r w:rsidR="002A30B4">
        <w:t xml:space="preserve">determine </w:t>
      </w:r>
      <w:r w:rsidR="00A22027">
        <w:t>habitat compression</w:t>
      </w:r>
      <w:r w:rsidR="00657B60">
        <w:t xml:space="preserve">, loss, and dissolution rates of pteropods </w:t>
      </w:r>
      <w:r w:rsidR="00342C31">
        <w:t xml:space="preserve">in California </w:t>
      </w:r>
      <w:r w:rsidR="00D318B5">
        <w:t>ocean waters</w:t>
      </w:r>
      <w:r w:rsidR="008F3C62">
        <w:t xml:space="preserve"> </w:t>
      </w:r>
      <w:r w:rsidR="001100C1">
        <w:t>were</w:t>
      </w:r>
      <w:r w:rsidR="008F3C62">
        <w:t xml:space="preserve"> not available for assessment</w:t>
      </w:r>
      <w:r w:rsidR="005D255B">
        <w:t xml:space="preserve">. </w:t>
      </w:r>
      <w:r w:rsidR="00197BE9">
        <w:t xml:space="preserve">If biological data </w:t>
      </w:r>
      <w:r w:rsidR="00B7770B">
        <w:t xml:space="preserve">become </w:t>
      </w:r>
      <w:r w:rsidR="002E4BE5">
        <w:t>available</w:t>
      </w:r>
      <w:r w:rsidR="000C743B">
        <w:t xml:space="preserve"> in the future, </w:t>
      </w:r>
      <w:r w:rsidR="001100C1">
        <w:t xml:space="preserve">the data </w:t>
      </w:r>
      <w:r w:rsidR="000C743B">
        <w:t>may be used</w:t>
      </w:r>
      <w:r w:rsidR="00701FD2">
        <w:t xml:space="preserve"> for assessments if </w:t>
      </w:r>
      <w:r w:rsidR="000B1B0B">
        <w:t xml:space="preserve">provided in accordance with </w:t>
      </w:r>
      <w:r w:rsidR="00B814EC">
        <w:t xml:space="preserve">the </w:t>
      </w:r>
      <w:r w:rsidR="00085EE4">
        <w:t>submission guidelines in the</w:t>
      </w:r>
      <w:r w:rsidR="004E43BD">
        <w:t xml:space="preserve"> </w:t>
      </w:r>
      <w:r w:rsidR="008F0ABA">
        <w:t xml:space="preserve">data solicitation notice </w:t>
      </w:r>
      <w:r w:rsidR="004E43BD">
        <w:t>and</w:t>
      </w:r>
      <w:r w:rsidR="00B814EC">
        <w:t xml:space="preserve"> </w:t>
      </w:r>
      <w:r w:rsidR="004E43BD">
        <w:t>meet</w:t>
      </w:r>
      <w:r w:rsidR="00C34700">
        <w:t xml:space="preserve"> all </w:t>
      </w:r>
      <w:r w:rsidR="00B814EC">
        <w:t xml:space="preserve">quality assurance </w:t>
      </w:r>
      <w:r w:rsidR="004E43BD">
        <w:t>requirements</w:t>
      </w:r>
      <w:r w:rsidR="00B814EC">
        <w:t xml:space="preserve"> in the</w:t>
      </w:r>
      <w:r w:rsidR="008F0ABA">
        <w:t xml:space="preserve"> </w:t>
      </w:r>
      <w:r w:rsidR="00C34700">
        <w:t>Listing Policy</w:t>
      </w:r>
      <w:r w:rsidR="00A27CC3">
        <w:t>.</w:t>
      </w:r>
      <w:r w:rsidR="00C34700">
        <w:t xml:space="preserve"> </w:t>
      </w:r>
      <w:r w:rsidR="00564739">
        <w:t>A</w:t>
      </w:r>
      <w:r w:rsidR="00547E6C">
        <w:t>dditional metrics and data sources are being considered for OA assessments in future listing cycles</w:t>
      </w:r>
      <w:r w:rsidR="000C25C6">
        <w:t xml:space="preserve"> that will </w:t>
      </w:r>
      <w:r w:rsidR="00786E0B">
        <w:t xml:space="preserve">utilize biological </w:t>
      </w:r>
      <w:r w:rsidR="00A917A7">
        <w:t>data</w:t>
      </w:r>
      <w:r w:rsidR="00547E6C">
        <w:t>. These include</w:t>
      </w:r>
      <w:r w:rsidR="00547E6C" w:rsidRPr="00D6350C">
        <w:t xml:space="preserve"> </w:t>
      </w:r>
      <w:r w:rsidR="00547E6C">
        <w:t>model outputs from</w:t>
      </w:r>
      <w:r w:rsidR="00547E6C" w:rsidRPr="00D6350C">
        <w:t xml:space="preserve"> SCCWRP using the Regional Ocean Modeling System + Biogeochemical Elemental Cycling (“ROMS-BEC”)</w:t>
      </w:r>
      <w:r w:rsidR="007F6D67">
        <w:t xml:space="preserve"> model</w:t>
      </w:r>
      <w:r w:rsidR="00547E6C">
        <w:t xml:space="preserve">, which may be used once </w:t>
      </w:r>
      <w:r w:rsidR="00DB6591">
        <w:t>the peer review and validation process has been completed</w:t>
      </w:r>
      <w:r w:rsidR="00547E6C">
        <w:t>.</w:t>
      </w:r>
      <w:r w:rsidR="005412E5">
        <w:t xml:space="preserve"> An </w:t>
      </w:r>
      <w:hyperlink r:id="rId67" w:history="1">
        <w:r w:rsidR="005412E5" w:rsidRPr="007F2CBA">
          <w:rPr>
            <w:rStyle w:val="Hyperlink"/>
          </w:rPr>
          <w:t>Independent Review Panel</w:t>
        </w:r>
      </w:hyperlink>
      <w:r w:rsidR="007F2CBA">
        <w:t xml:space="preserve"> </w:t>
      </w:r>
      <w:r w:rsidR="000F0396">
        <w:t>(</w:t>
      </w:r>
      <w:hyperlink r:id="rId68" w:history="1">
        <w:r w:rsidR="000F0396" w:rsidRPr="00506069">
          <w:rPr>
            <w:rStyle w:val="Hyperlink"/>
          </w:rPr>
          <w:t>https://www.nwri-usa.org/socal-coastal-model-review</w:t>
        </w:r>
      </w:hyperlink>
      <w:r w:rsidR="000F0396">
        <w:t>)</w:t>
      </w:r>
      <w:r w:rsidR="005412E5">
        <w:t xml:space="preserve"> </w:t>
      </w:r>
      <w:r w:rsidR="00517FEC">
        <w:t xml:space="preserve">for the ROMS-BEC model </w:t>
      </w:r>
      <w:r w:rsidR="00827591">
        <w:t xml:space="preserve">was </w:t>
      </w:r>
      <w:r w:rsidR="003D244F">
        <w:t>established</w:t>
      </w:r>
      <w:r w:rsidR="00827591">
        <w:t xml:space="preserve"> in 2023</w:t>
      </w:r>
      <w:r w:rsidR="00951FC4">
        <w:t xml:space="preserve"> to </w:t>
      </w:r>
      <w:r w:rsidR="004D4AAB">
        <w:t xml:space="preserve">evaluate the validity and uncertainty of the model </w:t>
      </w:r>
      <w:r w:rsidR="00F6748F">
        <w:t xml:space="preserve">associated with </w:t>
      </w:r>
      <w:r w:rsidR="007F3DCB">
        <w:t>addressing management questions</w:t>
      </w:r>
      <w:r w:rsidR="000F0396">
        <w:t>.</w:t>
      </w:r>
      <w:r w:rsidR="007F3DCB">
        <w:t xml:space="preserve"> The final report </w:t>
      </w:r>
      <w:r w:rsidR="000A1353">
        <w:t>from</w:t>
      </w:r>
      <w:r w:rsidR="007F3DCB">
        <w:t xml:space="preserve"> this panel </w:t>
      </w:r>
      <w:r w:rsidR="00B31F02">
        <w:t>was published</w:t>
      </w:r>
      <w:r w:rsidR="007F3DCB">
        <w:t xml:space="preserve"> in </w:t>
      </w:r>
      <w:r w:rsidR="00B31F02">
        <w:t>October</w:t>
      </w:r>
      <w:r w:rsidR="007F3DCB">
        <w:t xml:space="preserve"> 2024. Additional</w:t>
      </w:r>
      <w:r w:rsidR="0094146D">
        <w:t xml:space="preserve"> efforts are currently underway to vali</w:t>
      </w:r>
      <w:r w:rsidR="00673F16">
        <w:t xml:space="preserve">date the data used </w:t>
      </w:r>
      <w:r w:rsidR="00C92E0F">
        <w:t>in the model for quality assurance purposes as well.</w:t>
      </w:r>
      <w:r w:rsidR="00547E6C">
        <w:t xml:space="preserve"> The ROMS-BEC model output results are expected to improve the understanding of waterbody </w:t>
      </w:r>
      <w:r w:rsidR="00FA339D">
        <w:t xml:space="preserve">segment </w:t>
      </w:r>
      <w:r w:rsidR="00547E6C">
        <w:t>conditions estimating</w:t>
      </w:r>
      <w:r w:rsidR="00547E6C" w:rsidRPr="00D6350C">
        <w:t xml:space="preserve"> acidity, hypoxia, and habitat compression.</w:t>
      </w:r>
      <w:r w:rsidR="00547E6C">
        <w:t xml:space="preserve"> Additional ROMS-BEC model outputs </w:t>
      </w:r>
      <w:r w:rsidR="00547E6C" w:rsidDel="00040F0B">
        <w:t>may</w:t>
      </w:r>
      <w:r w:rsidR="00547E6C">
        <w:t xml:space="preserve"> also</w:t>
      </w:r>
      <w:r w:rsidR="00547E6C" w:rsidDel="00147F20">
        <w:t xml:space="preserve"> </w:t>
      </w:r>
      <w:r w:rsidR="00547E6C">
        <w:t>illustrate the pre-industrial baseline for aragonite saturation state to compare against modern levels.</w:t>
      </w:r>
    </w:p>
    <w:p w14:paraId="6C2E9DA7" w14:textId="57F1098E" w:rsidR="00DA0093" w:rsidRDefault="004E1EAC" w:rsidP="002E6910">
      <w:pPr>
        <w:pStyle w:val="Heading2"/>
      </w:pPr>
      <w:bookmarkStart w:id="148" w:name="_Toc189048612"/>
      <w:bookmarkEnd w:id="144"/>
      <w:r>
        <w:t>Russian River Bacteria Data Reassessment</w:t>
      </w:r>
      <w:bookmarkEnd w:id="148"/>
    </w:p>
    <w:p w14:paraId="4150E5E3" w14:textId="7B8329DF" w:rsidR="00F314D0" w:rsidRDefault="008F2BA9" w:rsidP="0097447B">
      <w:pPr>
        <w:spacing w:after="0"/>
      </w:pPr>
      <w:r>
        <w:t>Consistent with</w:t>
      </w:r>
      <w:r w:rsidR="00C93354">
        <w:t xml:space="preserve"> State </w:t>
      </w:r>
      <w:r w:rsidR="00D945E8">
        <w:t>Water Board</w:t>
      </w:r>
      <w:r w:rsidR="003E19CE">
        <w:t xml:space="preserve"> </w:t>
      </w:r>
      <w:r w:rsidR="00A25A99">
        <w:t xml:space="preserve">Resolution No. 2020-0039, </w:t>
      </w:r>
      <w:r w:rsidR="00234EEE">
        <w:t xml:space="preserve">adopting resolution </w:t>
      </w:r>
      <w:r w:rsidR="001F50A0">
        <w:t>for the 2018 California Integrated Report,</w:t>
      </w:r>
      <w:r w:rsidR="00A25A99">
        <w:t xml:space="preserve"> </w:t>
      </w:r>
      <w:r w:rsidR="00B36249">
        <w:t xml:space="preserve">bacteria </w:t>
      </w:r>
      <w:r w:rsidR="00F41841">
        <w:t xml:space="preserve">data collected from </w:t>
      </w:r>
      <w:r w:rsidR="00B36249" w:rsidRPr="00381AC3">
        <w:t xml:space="preserve">12 subwatersheds of the Russian River watershed </w:t>
      </w:r>
      <w:r w:rsidR="0007513B">
        <w:t>were reassessed</w:t>
      </w:r>
      <w:r w:rsidR="001468AD">
        <w:t xml:space="preserve">. </w:t>
      </w:r>
      <w:r w:rsidR="0077394C">
        <w:t>During the development of the</w:t>
      </w:r>
      <w:r w:rsidR="008D0AB7" w:rsidRPr="00381AC3">
        <w:t xml:space="preserve"> 2018 </w:t>
      </w:r>
      <w:r w:rsidR="00E5223D">
        <w:t xml:space="preserve">California </w:t>
      </w:r>
      <w:r w:rsidR="008D0AB7" w:rsidRPr="00381AC3">
        <w:t xml:space="preserve">Integrated Report concerns </w:t>
      </w:r>
      <w:r w:rsidR="0077394C">
        <w:t>were raised with some assessments</w:t>
      </w:r>
      <w:r w:rsidR="008D0AB7" w:rsidRPr="00381AC3">
        <w:t xml:space="preserve">. Therefore, the bacteria </w:t>
      </w:r>
      <w:r w:rsidR="00CF110E">
        <w:t>assessments</w:t>
      </w:r>
      <w:r w:rsidR="008D0AB7" w:rsidRPr="00381AC3">
        <w:t xml:space="preserve"> for the Russian River waterbod</w:t>
      </w:r>
      <w:r w:rsidR="00901BF0">
        <w:t>y segments</w:t>
      </w:r>
      <w:r w:rsidR="008D0AB7" w:rsidRPr="00381AC3">
        <w:t xml:space="preserve"> remain</w:t>
      </w:r>
      <w:r w:rsidR="00901BF0">
        <w:t>ed</w:t>
      </w:r>
      <w:r w:rsidR="008D0AB7" w:rsidRPr="00381AC3">
        <w:t xml:space="preserve"> as </w:t>
      </w:r>
      <w:r w:rsidR="001F5D86">
        <w:t>adopted</w:t>
      </w:r>
      <w:r w:rsidR="001F5D86" w:rsidRPr="00381AC3">
        <w:t xml:space="preserve"> </w:t>
      </w:r>
      <w:r w:rsidR="008D0AB7" w:rsidRPr="00381AC3">
        <w:t xml:space="preserve">in the 2014/2016 California Integrated Report to provide adequate time for </w:t>
      </w:r>
      <w:r w:rsidR="004F6D2D">
        <w:t>the data to be reassessed</w:t>
      </w:r>
      <w:r w:rsidR="00381AC3" w:rsidRPr="00381AC3">
        <w:t>.</w:t>
      </w:r>
      <w:r w:rsidR="000D0929">
        <w:t xml:space="preserve"> </w:t>
      </w:r>
      <w:r w:rsidR="001C5D4E">
        <w:t>All bacteria data</w:t>
      </w:r>
      <w:r w:rsidR="00034AEE">
        <w:t xml:space="preserve"> from previous integrated reports, or</w:t>
      </w:r>
      <w:r w:rsidR="00E55F3E">
        <w:t xml:space="preserve"> new data submitted prior to the data solicitation cutoff date for the 2026 California Integrated Report </w:t>
      </w:r>
      <w:r w:rsidR="00E270A3">
        <w:t>were</w:t>
      </w:r>
      <w:r w:rsidR="00E55F3E">
        <w:t xml:space="preserve"> assessed </w:t>
      </w:r>
      <w:r w:rsidR="00A40645">
        <w:t xml:space="preserve">consistent with the </w:t>
      </w:r>
      <w:r w:rsidR="00022C5A">
        <w:t xml:space="preserve">methodology outlined </w:t>
      </w:r>
      <w:r w:rsidR="003321F1">
        <w:t>in section 3.</w:t>
      </w:r>
      <w:r w:rsidR="00AA71BA">
        <w:t>10</w:t>
      </w:r>
      <w:r w:rsidR="00B77778">
        <w:t xml:space="preserve"> Bacteria and REC-1 </w:t>
      </w:r>
      <w:r w:rsidR="00F314D0">
        <w:t>b</w:t>
      </w:r>
      <w:r w:rsidR="00B77778">
        <w:t xml:space="preserve">eneficial </w:t>
      </w:r>
      <w:r w:rsidR="00F314D0">
        <w:t>u</w:t>
      </w:r>
      <w:r w:rsidR="00B77778">
        <w:t>se</w:t>
      </w:r>
      <w:r w:rsidR="00381AC3" w:rsidRPr="00381AC3">
        <w:t>.</w:t>
      </w:r>
    </w:p>
    <w:p w14:paraId="12E2C37E" w14:textId="4A296E96" w:rsidR="00BB7334" w:rsidRPr="00860F23" w:rsidRDefault="00BB7334" w:rsidP="00B0143E">
      <w:pPr>
        <w:spacing w:before="240" w:after="0"/>
        <w:rPr>
          <w:rFonts w:cs="Arial"/>
        </w:rPr>
      </w:pPr>
      <w:r w:rsidRPr="1CB3A0CD">
        <w:rPr>
          <w:rFonts w:cs="Arial"/>
        </w:rPr>
        <w:t xml:space="preserve">In accordance with section 6.1.5.3 of the Listing Policy, data should be representative of the critical timing that the pollutant is expected to impact the waterbody. Lacking constant inputs, indicator bacteria do not persist in the environment for a long period and effects are of relatively short duration. </w:t>
      </w:r>
      <w:r w:rsidR="007337CC">
        <w:rPr>
          <w:rFonts w:cs="Arial"/>
        </w:rPr>
        <w:t>Because</w:t>
      </w:r>
      <w:r w:rsidRPr="1CB3A0CD">
        <w:rPr>
          <w:rFonts w:cs="Arial"/>
        </w:rPr>
        <w:t xml:space="preserve"> </w:t>
      </w:r>
      <w:r w:rsidR="2433D056" w:rsidRPr="1C9A54D5">
        <w:rPr>
          <w:rFonts w:cs="Arial"/>
        </w:rPr>
        <w:t xml:space="preserve">recent bacteria </w:t>
      </w:r>
      <w:r w:rsidR="2433D056" w:rsidRPr="34D4593D">
        <w:rPr>
          <w:rFonts w:cs="Arial"/>
        </w:rPr>
        <w:t xml:space="preserve">data </w:t>
      </w:r>
      <w:r w:rsidR="27AA7520" w:rsidRPr="34D4593D">
        <w:rPr>
          <w:rFonts w:cs="Arial"/>
        </w:rPr>
        <w:t>are a better</w:t>
      </w:r>
      <w:r w:rsidRPr="1CB3A0CD">
        <w:rPr>
          <w:rFonts w:cs="Arial"/>
        </w:rPr>
        <w:t xml:space="preserve"> indicator of current risks to human health</w:t>
      </w:r>
      <w:r w:rsidR="00501C3D">
        <w:rPr>
          <w:rFonts w:cs="Arial"/>
        </w:rPr>
        <w:t xml:space="preserve">, </w:t>
      </w:r>
      <w:r w:rsidR="00501C3D">
        <w:t>data collected on or after October 21, 2012</w:t>
      </w:r>
      <w:r w:rsidR="00800D08">
        <w:t xml:space="preserve"> </w:t>
      </w:r>
      <w:r w:rsidR="00800D08" w:rsidRPr="1CB3A0CD">
        <w:rPr>
          <w:rFonts w:cs="Arial"/>
        </w:rPr>
        <w:t xml:space="preserve">(i.e., data collected </w:t>
      </w:r>
      <w:r w:rsidR="004D6F34">
        <w:rPr>
          <w:rFonts w:cs="Arial"/>
        </w:rPr>
        <w:t>less</w:t>
      </w:r>
      <w:r w:rsidR="00800D08" w:rsidRPr="1CB3A0CD">
        <w:rPr>
          <w:rFonts w:cs="Arial"/>
        </w:rPr>
        <w:t xml:space="preserve"> than 10 years from the 2026 data solicitation cutoff date)</w:t>
      </w:r>
      <w:r w:rsidR="00501C3D">
        <w:t>, were compared with the ISWEBE Plan bacteria water quality objectives</w:t>
      </w:r>
      <w:r w:rsidRPr="1CB3A0CD">
        <w:rPr>
          <w:rFonts w:cs="Arial"/>
        </w:rPr>
        <w:t xml:space="preserve">. </w:t>
      </w:r>
      <w:r w:rsidR="000F36C1">
        <w:t>For previously assessed</w:t>
      </w:r>
      <w:r w:rsidR="001B299A">
        <w:t xml:space="preserve"> waterbod</w:t>
      </w:r>
      <w:r w:rsidR="001A6A87">
        <w:t>y segments</w:t>
      </w:r>
      <w:r w:rsidR="001B299A">
        <w:t xml:space="preserve"> without data collected after October 21, 2012, data collected before that date </w:t>
      </w:r>
      <w:r w:rsidR="00275E6D">
        <w:t>were</w:t>
      </w:r>
      <w:r w:rsidR="001B299A">
        <w:t xml:space="preserve"> used to compare to the water quality objectives</w:t>
      </w:r>
      <w:r w:rsidR="00EA7534">
        <w:t>.</w:t>
      </w:r>
      <w:r w:rsidR="002E0004" w:rsidRPr="002E0004">
        <w:t xml:space="preserve"> </w:t>
      </w:r>
      <w:r w:rsidR="002E0004">
        <w:t>As the ten-year assessment window shifts</w:t>
      </w:r>
      <w:r w:rsidR="002E0004" w:rsidDel="006208D2">
        <w:t xml:space="preserve"> </w:t>
      </w:r>
      <w:r w:rsidR="002E0004">
        <w:t>with each California Integrated Report cycle, waterbody segments may be put on the 303(d) list in a future assessment.</w:t>
      </w:r>
    </w:p>
    <w:p w14:paraId="6D2F260C" w14:textId="57C83A62" w:rsidR="002E0004" w:rsidRDefault="00C6052A" w:rsidP="007173BD">
      <w:pPr>
        <w:spacing w:before="240" w:after="0"/>
      </w:pPr>
      <w:r>
        <w:t>For the 2026 California Integrated Report</w:t>
      </w:r>
      <w:r w:rsidR="00481DD1">
        <w:t>,</w:t>
      </w:r>
      <w:r w:rsidR="00AD2FFB">
        <w:t xml:space="preserve"> </w:t>
      </w:r>
      <w:r w:rsidR="008352E5">
        <w:t xml:space="preserve">the </w:t>
      </w:r>
      <w:r w:rsidR="00A853F0">
        <w:t>REC-1</w:t>
      </w:r>
      <w:r w:rsidR="00AD2FFB">
        <w:t xml:space="preserve"> beneficial use</w:t>
      </w:r>
      <w:r>
        <w:t xml:space="preserve"> </w:t>
      </w:r>
      <w:r w:rsidR="008352E5">
        <w:t xml:space="preserve">was assessed </w:t>
      </w:r>
      <w:r w:rsidR="00927CAB">
        <w:t xml:space="preserve">by analyzing </w:t>
      </w:r>
      <w:r w:rsidR="00927CAB" w:rsidRPr="00FA339D">
        <w:t>Enterococcus</w:t>
      </w:r>
      <w:r w:rsidR="00927CAB">
        <w:t xml:space="preserve"> </w:t>
      </w:r>
      <w:r w:rsidR="00763C4E">
        <w:t xml:space="preserve">samples collected from saline </w:t>
      </w:r>
      <w:r w:rsidR="004707E4">
        <w:t>samp</w:t>
      </w:r>
      <w:r w:rsidR="008C02AA">
        <w:t xml:space="preserve">ling </w:t>
      </w:r>
      <w:r w:rsidR="00763C4E">
        <w:t xml:space="preserve">stations at the mouth of the Russian River </w:t>
      </w:r>
      <w:r w:rsidR="00F6703F">
        <w:t>and</w:t>
      </w:r>
      <w:r w:rsidR="00763C4E">
        <w:t xml:space="preserve"> </w:t>
      </w:r>
      <w:r w:rsidR="00927CAB" w:rsidRPr="00AD2FFB">
        <w:rPr>
          <w:i/>
          <w:iCs/>
        </w:rPr>
        <w:t>E. coli</w:t>
      </w:r>
      <w:r w:rsidR="00927CAB">
        <w:t xml:space="preserve"> </w:t>
      </w:r>
      <w:r w:rsidR="00F6703F">
        <w:t>samples collected from</w:t>
      </w:r>
      <w:r w:rsidR="00AA5ED1">
        <w:t xml:space="preserve"> </w:t>
      </w:r>
      <w:r w:rsidR="007B20BB">
        <w:t>freshwater</w:t>
      </w:r>
      <w:r w:rsidR="00AA5ED1">
        <w:t xml:space="preserve"> sampling stations in the remainder of the </w:t>
      </w:r>
      <w:r w:rsidR="00AD2FFB">
        <w:t>Russian River watershed.</w:t>
      </w:r>
      <w:r w:rsidR="006F30E1">
        <w:t xml:space="preserve"> </w:t>
      </w:r>
    </w:p>
    <w:p w14:paraId="65849889" w14:textId="1BAB5AC1" w:rsidR="00756FBB" w:rsidRDefault="002A3C27" w:rsidP="007173BD">
      <w:pPr>
        <w:spacing w:before="240" w:after="0"/>
      </w:pPr>
      <w:r>
        <w:t xml:space="preserve">Table </w:t>
      </w:r>
      <w:r w:rsidR="008F0ABA">
        <w:t>5</w:t>
      </w:r>
      <w:r w:rsidR="00387455" w:rsidRPr="00A04E92">
        <w:t>-</w:t>
      </w:r>
      <w:r w:rsidR="00B5190E">
        <w:t>2</w:t>
      </w:r>
      <w:r w:rsidR="00D311E2">
        <w:t xml:space="preserve"> </w:t>
      </w:r>
      <w:r w:rsidR="00B7264D">
        <w:t>summarizes</w:t>
      </w:r>
      <w:r w:rsidR="00387455">
        <w:t xml:space="preserve"> the </w:t>
      </w:r>
      <w:r w:rsidR="0056199B">
        <w:t>outcomes of reassessments</w:t>
      </w:r>
      <w:r w:rsidR="00563D5C">
        <w:t xml:space="preserve"> for indicator bacteria in the Russian River hydrologic unit.</w:t>
      </w:r>
      <w:r w:rsidR="001C3B63">
        <w:t xml:space="preserve"> Table </w:t>
      </w:r>
      <w:r w:rsidR="008F0ABA">
        <w:t>5</w:t>
      </w:r>
      <w:r w:rsidR="001C3B63">
        <w:t xml:space="preserve">-2 also </w:t>
      </w:r>
      <w:r w:rsidR="00731D92">
        <w:t>details the changes in the extent</w:t>
      </w:r>
      <w:r w:rsidR="00811741">
        <w:t>s</w:t>
      </w:r>
      <w:r w:rsidR="00731D92">
        <w:t xml:space="preserve"> of the waterbody segments</w:t>
      </w:r>
      <w:r w:rsidR="00811741">
        <w:t xml:space="preserve"> from </w:t>
      </w:r>
      <w:r w:rsidR="002533F3">
        <w:t>the</w:t>
      </w:r>
      <w:r w:rsidR="00811741">
        <w:t xml:space="preserve"> 2014</w:t>
      </w:r>
      <w:r w:rsidR="00280E03">
        <w:t>/</w:t>
      </w:r>
      <w:r w:rsidR="00811741">
        <w:t xml:space="preserve">2016 </w:t>
      </w:r>
      <w:r w:rsidR="002533F3">
        <w:t>California Integrated Report</w:t>
      </w:r>
      <w:r w:rsidR="00811741">
        <w:t xml:space="preserve"> to </w:t>
      </w:r>
      <w:r w:rsidR="002533F3">
        <w:t>the</w:t>
      </w:r>
      <w:r w:rsidR="00811741">
        <w:t xml:space="preserve"> 2026</w:t>
      </w:r>
      <w:r w:rsidR="002533F3">
        <w:t xml:space="preserve"> California Integrated Report</w:t>
      </w:r>
      <w:r w:rsidR="00731D92">
        <w:t xml:space="preserve">. </w:t>
      </w:r>
    </w:p>
    <w:p w14:paraId="5BDB322F" w14:textId="4D310B79" w:rsidR="0097447B" w:rsidRPr="00285CE4" w:rsidRDefault="0005735F" w:rsidP="00ED3994">
      <w:pPr>
        <w:pStyle w:val="Caption"/>
        <w:spacing w:before="240"/>
      </w:pPr>
      <w:r>
        <w:t xml:space="preserve">Table </w:t>
      </w:r>
      <w:r w:rsidR="00AB32F5">
        <w:t>5</w:t>
      </w:r>
      <w:r w:rsidR="00D311E2">
        <w:noBreakHyphen/>
      </w:r>
      <w:r w:rsidR="00B5190E">
        <w:t>2</w:t>
      </w:r>
      <w:r w:rsidR="00285CE4">
        <w:t>:</w:t>
      </w:r>
      <w:r w:rsidRPr="00285CE4">
        <w:t xml:space="preserve"> </w:t>
      </w:r>
      <w:r w:rsidR="0059341B" w:rsidRPr="00285CE4">
        <w:t xml:space="preserve">Russian River </w:t>
      </w:r>
      <w:r w:rsidR="004303CD">
        <w:t xml:space="preserve">Hydrologic Unit </w:t>
      </w:r>
      <w:r w:rsidR="00EB60EE">
        <w:t xml:space="preserve">Reassessment </w:t>
      </w:r>
      <w:r w:rsidR="00300CF1">
        <w:t>and Segment Extent</w:t>
      </w:r>
      <w:r w:rsidR="004303CD">
        <w:t xml:space="preserve"> Changes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f Russian River Indicator Bacteria Listings"/>
        <w:tblDescription w:val="Table that identifies which waterbodies are currently listed and the proposed listing status for the 2026 Integrated Report."/>
      </w:tblPr>
      <w:tblGrid>
        <w:gridCol w:w="2875"/>
        <w:gridCol w:w="1351"/>
        <w:gridCol w:w="1952"/>
        <w:gridCol w:w="1277"/>
        <w:gridCol w:w="1905"/>
      </w:tblGrid>
      <w:tr w:rsidR="00F6429B" w:rsidRPr="00F14522" w14:paraId="26B0B244" w14:textId="5C9F92C9" w:rsidTr="009C08F8">
        <w:trPr>
          <w:trHeight w:val="300"/>
          <w:tblHeader/>
        </w:trPr>
        <w:tc>
          <w:tcPr>
            <w:tcW w:w="2875" w:type="dxa"/>
            <w:shd w:val="clear" w:color="auto" w:fill="D9E2F3" w:themeFill="accent1" w:themeFillTint="33"/>
            <w:noWrap/>
            <w:vAlign w:val="center"/>
            <w:hideMark/>
          </w:tcPr>
          <w:p w14:paraId="305CDE66" w14:textId="33511E9A" w:rsidR="00F14522" w:rsidRPr="00F14522" w:rsidRDefault="00F14522" w:rsidP="009C08F8">
            <w:pPr>
              <w:spacing w:before="120" w:after="120"/>
              <w:jc w:val="center"/>
              <w:rPr>
                <w:rFonts w:eastAsia="Times New Roman" w:cs="Arial"/>
                <w:b/>
                <w:color w:val="000000"/>
                <w:szCs w:val="24"/>
              </w:rPr>
            </w:pPr>
            <w:r w:rsidRPr="00F14522">
              <w:rPr>
                <w:rFonts w:eastAsia="Times New Roman" w:cs="Arial"/>
                <w:b/>
                <w:color w:val="000000"/>
                <w:szCs w:val="24"/>
              </w:rPr>
              <w:t>Water</w:t>
            </w:r>
            <w:r w:rsidR="003B0F9E">
              <w:rPr>
                <w:rFonts w:eastAsia="Times New Roman" w:cs="Arial"/>
                <w:b/>
                <w:color w:val="000000"/>
                <w:szCs w:val="24"/>
              </w:rPr>
              <w:t>b</w:t>
            </w:r>
            <w:r w:rsidRPr="00F14522">
              <w:rPr>
                <w:rFonts w:eastAsia="Times New Roman" w:cs="Arial"/>
                <w:b/>
                <w:color w:val="000000"/>
                <w:szCs w:val="24"/>
              </w:rPr>
              <w:t>ody Name</w:t>
            </w:r>
          </w:p>
        </w:tc>
        <w:tc>
          <w:tcPr>
            <w:tcW w:w="1350" w:type="dxa"/>
            <w:shd w:val="clear" w:color="auto" w:fill="D9E2F3" w:themeFill="accent1" w:themeFillTint="33"/>
            <w:noWrap/>
            <w:vAlign w:val="center"/>
            <w:hideMark/>
          </w:tcPr>
          <w:p w14:paraId="75CCC897" w14:textId="048EA124" w:rsidR="00F14522" w:rsidRPr="00F14522" w:rsidRDefault="00E63830" w:rsidP="009C08F8">
            <w:pPr>
              <w:spacing w:before="120" w:after="120"/>
              <w:jc w:val="center"/>
              <w:rPr>
                <w:rFonts w:eastAsia="Times New Roman" w:cs="Arial"/>
                <w:b/>
                <w:color w:val="000000"/>
                <w:szCs w:val="24"/>
              </w:rPr>
            </w:pPr>
            <w:r w:rsidRPr="00E63830">
              <w:rPr>
                <w:b/>
                <w:bCs/>
              </w:rPr>
              <w:t>2014/2016</w:t>
            </w:r>
            <w:r w:rsidR="00E646E9">
              <w:rPr>
                <w:b/>
                <w:bCs/>
              </w:rPr>
              <w:t xml:space="preserve"> Decision</w:t>
            </w:r>
          </w:p>
        </w:tc>
        <w:tc>
          <w:tcPr>
            <w:tcW w:w="1953" w:type="dxa"/>
            <w:shd w:val="clear" w:color="auto" w:fill="D9E2F3" w:themeFill="accent1" w:themeFillTint="33"/>
            <w:vAlign w:val="center"/>
          </w:tcPr>
          <w:p w14:paraId="362A2FBD" w14:textId="1DD3D4A5" w:rsidR="4455B077" w:rsidRDefault="008A360F" w:rsidP="009C08F8">
            <w:pPr>
              <w:spacing w:before="120" w:after="120"/>
              <w:jc w:val="center"/>
              <w:rPr>
                <w:rFonts w:eastAsia="Times New Roman" w:cs="Arial"/>
                <w:b/>
                <w:bCs/>
                <w:color w:val="000000" w:themeColor="text1"/>
              </w:rPr>
            </w:pPr>
            <w:r>
              <w:rPr>
                <w:rFonts w:eastAsia="Times New Roman" w:cs="Arial"/>
                <w:b/>
                <w:bCs/>
                <w:color w:val="000000" w:themeColor="text1"/>
              </w:rPr>
              <w:t>2014</w:t>
            </w:r>
            <w:r w:rsidR="00940008">
              <w:rPr>
                <w:rFonts w:eastAsia="Times New Roman" w:cs="Arial"/>
                <w:b/>
                <w:bCs/>
                <w:color w:val="000000" w:themeColor="text1"/>
              </w:rPr>
              <w:t>/2016 Waterbody Segment</w:t>
            </w:r>
            <w:r w:rsidR="1A858E11" w:rsidRPr="71FEF26E">
              <w:rPr>
                <w:rFonts w:eastAsia="Times New Roman" w:cs="Arial"/>
                <w:b/>
                <w:bCs/>
                <w:color w:val="000000" w:themeColor="text1"/>
              </w:rPr>
              <w:t xml:space="preserve"> </w:t>
            </w:r>
            <w:r w:rsidR="41456EAF" w:rsidRPr="5173A279">
              <w:rPr>
                <w:rFonts w:eastAsia="Times New Roman" w:cs="Arial"/>
                <w:b/>
                <w:bCs/>
                <w:color w:val="000000" w:themeColor="text1"/>
              </w:rPr>
              <w:t>Extent</w:t>
            </w:r>
          </w:p>
        </w:tc>
        <w:tc>
          <w:tcPr>
            <w:tcW w:w="1277" w:type="dxa"/>
            <w:shd w:val="clear" w:color="auto" w:fill="D9E2F3" w:themeFill="accent1" w:themeFillTint="33"/>
            <w:noWrap/>
            <w:vAlign w:val="center"/>
            <w:hideMark/>
          </w:tcPr>
          <w:p w14:paraId="4C384B61" w14:textId="62916DD2" w:rsidR="00F14522" w:rsidRPr="00F14522" w:rsidRDefault="00F14522" w:rsidP="009C08F8">
            <w:pPr>
              <w:spacing w:before="120" w:after="120"/>
              <w:jc w:val="center"/>
              <w:rPr>
                <w:rFonts w:eastAsia="Times New Roman" w:cs="Arial"/>
                <w:b/>
                <w:color w:val="000000"/>
                <w:szCs w:val="24"/>
              </w:rPr>
            </w:pPr>
            <w:r w:rsidRPr="00F14522">
              <w:rPr>
                <w:rFonts w:eastAsia="Times New Roman" w:cs="Arial"/>
                <w:b/>
                <w:color w:val="000000"/>
                <w:szCs w:val="24"/>
              </w:rPr>
              <w:t>2026 Decision</w:t>
            </w:r>
          </w:p>
        </w:tc>
        <w:tc>
          <w:tcPr>
            <w:tcW w:w="1905" w:type="dxa"/>
            <w:shd w:val="clear" w:color="auto" w:fill="D9E2F3" w:themeFill="accent1" w:themeFillTint="33"/>
            <w:vAlign w:val="center"/>
          </w:tcPr>
          <w:p w14:paraId="271D31E0" w14:textId="002EEDC1" w:rsidR="37BE38D5" w:rsidRDefault="37B503D4" w:rsidP="009C08F8">
            <w:pPr>
              <w:spacing w:before="120" w:after="120"/>
              <w:jc w:val="center"/>
              <w:rPr>
                <w:rFonts w:eastAsia="Times New Roman" w:cs="Arial"/>
                <w:b/>
                <w:bCs/>
                <w:color w:val="000000" w:themeColor="text1"/>
              </w:rPr>
            </w:pPr>
            <w:r w:rsidRPr="5F88C5C3">
              <w:rPr>
                <w:rFonts w:eastAsia="Times New Roman" w:cs="Arial"/>
                <w:b/>
                <w:bCs/>
                <w:color w:val="000000" w:themeColor="text1"/>
              </w:rPr>
              <w:t xml:space="preserve">2026 </w:t>
            </w:r>
            <w:r w:rsidR="006F0288">
              <w:rPr>
                <w:rFonts w:eastAsia="Times New Roman" w:cs="Arial"/>
                <w:b/>
                <w:bCs/>
                <w:color w:val="000000" w:themeColor="text1"/>
              </w:rPr>
              <w:t>Waterbody Segment</w:t>
            </w:r>
            <w:r w:rsidR="006F0288" w:rsidRPr="54D74A5E">
              <w:rPr>
                <w:rFonts w:eastAsia="Times New Roman" w:cs="Arial"/>
                <w:b/>
                <w:bCs/>
                <w:color w:val="000000" w:themeColor="text1"/>
              </w:rPr>
              <w:t xml:space="preserve"> </w:t>
            </w:r>
            <w:r w:rsidR="2D4E2719" w:rsidRPr="5F88C5C3">
              <w:rPr>
                <w:rFonts w:eastAsia="Times New Roman" w:cs="Arial"/>
                <w:b/>
                <w:bCs/>
                <w:color w:val="000000" w:themeColor="text1"/>
              </w:rPr>
              <w:t>Extent</w:t>
            </w:r>
          </w:p>
        </w:tc>
      </w:tr>
      <w:tr w:rsidR="003361BA" w:rsidRPr="00F14522" w14:paraId="309A287E" w14:textId="6755D3C0" w:rsidTr="009C08F8">
        <w:trPr>
          <w:cantSplit/>
          <w:trHeight w:val="300"/>
        </w:trPr>
        <w:tc>
          <w:tcPr>
            <w:tcW w:w="2875" w:type="dxa"/>
            <w:shd w:val="clear" w:color="auto" w:fill="auto"/>
            <w:noWrap/>
            <w:vAlign w:val="center"/>
            <w:hideMark/>
          </w:tcPr>
          <w:p w14:paraId="2DE9DF22" w14:textId="77777777" w:rsidR="00F14522" w:rsidRPr="00F14522" w:rsidRDefault="00F14522" w:rsidP="009C08F8">
            <w:pPr>
              <w:spacing w:before="120" w:after="120"/>
              <w:rPr>
                <w:rFonts w:eastAsia="Times New Roman" w:cs="Arial"/>
                <w:color w:val="000000"/>
                <w:szCs w:val="24"/>
              </w:rPr>
            </w:pPr>
            <w:r w:rsidRPr="00F14522">
              <w:rPr>
                <w:rFonts w:eastAsia="Times New Roman" w:cs="Arial"/>
                <w:color w:val="000000"/>
                <w:szCs w:val="24"/>
              </w:rPr>
              <w:t>Russian River HU, Lower Russian River HA, Guerneville HSA</w:t>
            </w:r>
          </w:p>
        </w:tc>
        <w:tc>
          <w:tcPr>
            <w:tcW w:w="1350" w:type="dxa"/>
            <w:shd w:val="clear" w:color="auto" w:fill="auto"/>
            <w:noWrap/>
            <w:vAlign w:val="center"/>
            <w:hideMark/>
          </w:tcPr>
          <w:p w14:paraId="0021DA5F" w14:textId="69C664F1" w:rsidR="00F14522" w:rsidRPr="00F14522" w:rsidRDefault="00FC5F56" w:rsidP="009C08F8">
            <w:pPr>
              <w:spacing w:before="120" w:after="120"/>
              <w:jc w:val="center"/>
              <w:rPr>
                <w:rFonts w:eastAsia="Times New Roman" w:cs="Arial"/>
                <w:color w:val="000000"/>
                <w:szCs w:val="24"/>
              </w:rPr>
            </w:pPr>
            <w:r>
              <w:rPr>
                <w:rFonts w:eastAsia="Times New Roman" w:cs="Arial"/>
                <w:color w:val="000000"/>
                <w:szCs w:val="24"/>
              </w:rPr>
              <w:t>“</w:t>
            </w:r>
            <w:r w:rsidR="00AF2E0F">
              <w:rPr>
                <w:rFonts w:eastAsia="Times New Roman" w:cs="Arial"/>
                <w:color w:val="000000"/>
                <w:szCs w:val="24"/>
              </w:rPr>
              <w:t>L</w:t>
            </w:r>
            <w:r w:rsidR="00531210">
              <w:rPr>
                <w:rFonts w:eastAsia="Times New Roman" w:cs="Arial"/>
                <w:color w:val="000000"/>
                <w:szCs w:val="24"/>
              </w:rPr>
              <w:t>ist</w:t>
            </w:r>
            <w:r w:rsidR="00AF2E0F">
              <w:rPr>
                <w:rFonts w:eastAsia="Times New Roman" w:cs="Arial"/>
                <w:color w:val="000000"/>
                <w:szCs w:val="24"/>
              </w:rPr>
              <w:t>”</w:t>
            </w:r>
          </w:p>
        </w:tc>
        <w:tc>
          <w:tcPr>
            <w:tcW w:w="1953" w:type="dxa"/>
            <w:shd w:val="clear" w:color="auto" w:fill="auto"/>
            <w:vAlign w:val="center"/>
          </w:tcPr>
          <w:p w14:paraId="6431EFE8" w14:textId="734D7C4D" w:rsidR="4455B077" w:rsidRPr="53F5BDE6" w:rsidRDefault="50F34A3E" w:rsidP="009C08F8">
            <w:pPr>
              <w:spacing w:before="120" w:after="120"/>
              <w:jc w:val="center"/>
              <w:rPr>
                <w:rFonts w:eastAsia="Arial" w:cs="Arial"/>
                <w:color w:val="000000" w:themeColor="text1"/>
                <w:szCs w:val="24"/>
              </w:rPr>
            </w:pPr>
            <w:r w:rsidRPr="53F5BDE6">
              <w:rPr>
                <w:rFonts w:eastAsia="Arial" w:cs="Arial"/>
                <w:color w:val="000000" w:themeColor="text1"/>
                <w:szCs w:val="24"/>
              </w:rPr>
              <w:t>(1) the mainstem Russian River at Healdsburg Memorial Beach from the railroad bridge to the Highway 101 bridge, (2) the mainstem Russian River from Fife Creek to Dutch Bill Creek, and (3) the mainstem of Dutch Bill Creek.</w:t>
            </w:r>
          </w:p>
        </w:tc>
        <w:tc>
          <w:tcPr>
            <w:tcW w:w="1277" w:type="dxa"/>
            <w:shd w:val="clear" w:color="auto" w:fill="auto"/>
            <w:noWrap/>
            <w:vAlign w:val="center"/>
            <w:hideMark/>
          </w:tcPr>
          <w:p w14:paraId="2DC318C6" w14:textId="0143D384" w:rsidR="00F14522" w:rsidRPr="00F14522" w:rsidRDefault="00AF2E0F" w:rsidP="009C08F8">
            <w:pPr>
              <w:spacing w:before="120" w:after="120"/>
              <w:jc w:val="center"/>
              <w:rPr>
                <w:rFonts w:eastAsia="Times New Roman" w:cs="Arial"/>
                <w:color w:val="000000"/>
                <w:szCs w:val="24"/>
              </w:rPr>
            </w:pPr>
            <w:r>
              <w:rPr>
                <w:rFonts w:eastAsia="Times New Roman" w:cs="Arial"/>
                <w:color w:val="000000"/>
                <w:szCs w:val="24"/>
              </w:rPr>
              <w:t>“L</w:t>
            </w:r>
            <w:r w:rsidR="00595329">
              <w:rPr>
                <w:rFonts w:eastAsia="Times New Roman" w:cs="Arial"/>
                <w:color w:val="000000"/>
                <w:szCs w:val="24"/>
              </w:rPr>
              <w:t>ist</w:t>
            </w:r>
            <w:r>
              <w:rPr>
                <w:rFonts w:eastAsia="Times New Roman" w:cs="Arial"/>
                <w:color w:val="000000"/>
                <w:szCs w:val="24"/>
              </w:rPr>
              <w:t>”</w:t>
            </w:r>
          </w:p>
        </w:tc>
        <w:tc>
          <w:tcPr>
            <w:tcW w:w="1905" w:type="dxa"/>
            <w:shd w:val="clear" w:color="auto" w:fill="auto"/>
            <w:vAlign w:val="center"/>
          </w:tcPr>
          <w:p w14:paraId="64E797FD" w14:textId="13294556" w:rsidR="37BE38D5" w:rsidRPr="1DB14FF1" w:rsidRDefault="00BD1B98" w:rsidP="009C08F8">
            <w:pPr>
              <w:spacing w:before="120" w:after="120"/>
              <w:jc w:val="center"/>
              <w:rPr>
                <w:rFonts w:eastAsia="Arial" w:cs="Arial"/>
                <w:color w:val="000000" w:themeColor="text1"/>
                <w:szCs w:val="24"/>
              </w:rPr>
            </w:pPr>
            <w:r>
              <w:rPr>
                <w:rFonts w:eastAsia="Arial" w:cs="Arial"/>
                <w:color w:val="000000" w:themeColor="text1"/>
                <w:szCs w:val="24"/>
              </w:rPr>
              <w:t>M</w:t>
            </w:r>
            <w:r w:rsidR="6A5A5990" w:rsidRPr="1DB14FF1">
              <w:rPr>
                <w:rFonts w:eastAsia="Arial" w:cs="Arial"/>
                <w:color w:val="000000" w:themeColor="text1"/>
                <w:szCs w:val="24"/>
              </w:rPr>
              <w:t>ainstem Russian River from 200 meters upstream of Monte Rio Beach to 200 meters downstream of Monte Rio Beach</w:t>
            </w:r>
          </w:p>
        </w:tc>
      </w:tr>
      <w:tr w:rsidR="003361BA" w:rsidRPr="00F14522" w14:paraId="0F0839AB" w14:textId="69097426" w:rsidTr="009C08F8">
        <w:trPr>
          <w:cantSplit/>
          <w:trHeight w:val="300"/>
        </w:trPr>
        <w:tc>
          <w:tcPr>
            <w:tcW w:w="2875" w:type="dxa"/>
            <w:shd w:val="clear" w:color="auto" w:fill="auto"/>
            <w:noWrap/>
            <w:vAlign w:val="center"/>
            <w:hideMark/>
          </w:tcPr>
          <w:p w14:paraId="2510335B" w14:textId="77777777" w:rsidR="00F14522" w:rsidRPr="00F14522" w:rsidRDefault="00F14522" w:rsidP="009C08F8">
            <w:pPr>
              <w:spacing w:before="120" w:after="120"/>
              <w:rPr>
                <w:rFonts w:eastAsia="Times New Roman" w:cs="Arial"/>
                <w:color w:val="000000"/>
                <w:szCs w:val="24"/>
              </w:rPr>
            </w:pPr>
            <w:r w:rsidRPr="00F14522">
              <w:rPr>
                <w:rFonts w:eastAsia="Times New Roman" w:cs="Arial"/>
                <w:color w:val="000000"/>
                <w:szCs w:val="24"/>
              </w:rPr>
              <w:t>Russian River HU, Lower Russian River HA, Guerneville HSA, Green Valley Creek watershed</w:t>
            </w:r>
          </w:p>
        </w:tc>
        <w:tc>
          <w:tcPr>
            <w:tcW w:w="1350" w:type="dxa"/>
            <w:shd w:val="clear" w:color="auto" w:fill="auto"/>
            <w:noWrap/>
            <w:vAlign w:val="center"/>
            <w:hideMark/>
          </w:tcPr>
          <w:p w14:paraId="798EEBC4" w14:textId="13C95EFD" w:rsidR="00F14522" w:rsidRPr="00F14522" w:rsidRDefault="006A68AD" w:rsidP="009C08F8">
            <w:pPr>
              <w:spacing w:before="120" w:after="120"/>
              <w:jc w:val="center"/>
              <w:rPr>
                <w:rFonts w:eastAsia="Times New Roman" w:cs="Arial"/>
                <w:color w:val="000000"/>
                <w:szCs w:val="24"/>
              </w:rPr>
            </w:pPr>
            <w:r>
              <w:rPr>
                <w:rFonts w:eastAsia="Times New Roman" w:cs="Arial"/>
                <w:color w:val="000000"/>
                <w:szCs w:val="24"/>
              </w:rPr>
              <w:t>“L</w:t>
            </w:r>
            <w:r w:rsidR="00531210">
              <w:rPr>
                <w:rFonts w:eastAsia="Times New Roman" w:cs="Arial"/>
                <w:color w:val="000000"/>
                <w:szCs w:val="24"/>
              </w:rPr>
              <w:t>ist</w:t>
            </w:r>
            <w:r>
              <w:rPr>
                <w:rFonts w:eastAsia="Times New Roman" w:cs="Arial"/>
                <w:color w:val="000000"/>
                <w:szCs w:val="24"/>
              </w:rPr>
              <w:t>”</w:t>
            </w:r>
          </w:p>
        </w:tc>
        <w:tc>
          <w:tcPr>
            <w:tcW w:w="1953" w:type="dxa"/>
            <w:shd w:val="clear" w:color="auto" w:fill="auto"/>
            <w:vAlign w:val="center"/>
          </w:tcPr>
          <w:p w14:paraId="75815A50" w14:textId="77F083F4" w:rsidR="4455B077" w:rsidRDefault="27283E3C" w:rsidP="009C08F8">
            <w:pPr>
              <w:spacing w:before="120" w:after="120"/>
              <w:jc w:val="center"/>
              <w:rPr>
                <w:rFonts w:eastAsia="Times New Roman" w:cs="Arial"/>
                <w:color w:val="000000" w:themeColor="text1"/>
              </w:rPr>
            </w:pPr>
            <w:r w:rsidRPr="053BC324">
              <w:rPr>
                <w:rFonts w:eastAsia="Times New Roman" w:cs="Arial"/>
                <w:color w:val="000000" w:themeColor="text1"/>
              </w:rPr>
              <w:t>Entire waterbody</w:t>
            </w:r>
            <w:r w:rsidR="00B671FB">
              <w:rPr>
                <w:rFonts w:eastAsia="Times New Roman" w:cs="Arial"/>
                <w:color w:val="000000" w:themeColor="text1"/>
              </w:rPr>
              <w:t xml:space="preserve"> segment</w:t>
            </w:r>
          </w:p>
        </w:tc>
        <w:tc>
          <w:tcPr>
            <w:tcW w:w="1277" w:type="dxa"/>
            <w:shd w:val="clear" w:color="auto" w:fill="auto"/>
            <w:noWrap/>
            <w:vAlign w:val="center"/>
            <w:hideMark/>
          </w:tcPr>
          <w:p w14:paraId="7AF7C9DE" w14:textId="6468C59B" w:rsidR="00F14522" w:rsidRPr="00F14522" w:rsidRDefault="008A6350" w:rsidP="009C08F8">
            <w:pPr>
              <w:spacing w:before="120" w:after="120"/>
              <w:jc w:val="center"/>
              <w:rPr>
                <w:rFonts w:eastAsia="Times New Roman" w:cs="Arial"/>
                <w:color w:val="000000"/>
                <w:szCs w:val="24"/>
              </w:rPr>
            </w:pPr>
            <w:r>
              <w:rPr>
                <w:rFonts w:eastAsia="Times New Roman" w:cs="Arial"/>
                <w:color w:val="000000"/>
                <w:szCs w:val="24"/>
              </w:rPr>
              <w:t>“List”</w:t>
            </w:r>
          </w:p>
        </w:tc>
        <w:tc>
          <w:tcPr>
            <w:tcW w:w="1905" w:type="dxa"/>
            <w:shd w:val="clear" w:color="auto" w:fill="auto"/>
            <w:vAlign w:val="center"/>
          </w:tcPr>
          <w:p w14:paraId="1ACB71B2" w14:textId="3E550C6A" w:rsidR="37BE38D5" w:rsidRDefault="00BD1B98" w:rsidP="009C08F8">
            <w:pPr>
              <w:spacing w:before="120" w:after="120"/>
              <w:jc w:val="center"/>
              <w:rPr>
                <w:rFonts w:eastAsia="Times New Roman" w:cs="Arial"/>
                <w:color w:val="000000" w:themeColor="text1"/>
              </w:rPr>
            </w:pPr>
            <w:r>
              <w:rPr>
                <w:rFonts w:eastAsia="Times New Roman" w:cs="Arial"/>
                <w:color w:val="000000" w:themeColor="text1"/>
              </w:rPr>
              <w:t>M</w:t>
            </w:r>
            <w:r w:rsidR="00CE2C4C" w:rsidRPr="13A4F8AA">
              <w:rPr>
                <w:rFonts w:eastAsia="Times New Roman" w:cs="Arial"/>
                <w:color w:val="000000" w:themeColor="text1"/>
              </w:rPr>
              <w:t>ainstem</w:t>
            </w:r>
            <w:r w:rsidR="763A7836" w:rsidRPr="13A4F8AA">
              <w:rPr>
                <w:rFonts w:eastAsia="Times New Roman" w:cs="Arial"/>
                <w:color w:val="000000" w:themeColor="text1"/>
              </w:rPr>
              <w:t xml:space="preserve"> Green Valley Creek</w:t>
            </w:r>
          </w:p>
        </w:tc>
      </w:tr>
      <w:tr w:rsidR="003361BA" w:rsidRPr="00F14522" w14:paraId="3008EF1F" w14:textId="14C1D019" w:rsidTr="009C08F8">
        <w:trPr>
          <w:cantSplit/>
          <w:trHeight w:val="300"/>
        </w:trPr>
        <w:tc>
          <w:tcPr>
            <w:tcW w:w="2875" w:type="dxa"/>
            <w:shd w:val="clear" w:color="auto" w:fill="auto"/>
            <w:noWrap/>
            <w:vAlign w:val="center"/>
            <w:hideMark/>
          </w:tcPr>
          <w:p w14:paraId="5AC8CF67" w14:textId="77777777" w:rsidR="00F14522" w:rsidRPr="00F14522" w:rsidRDefault="00F14522" w:rsidP="009C08F8">
            <w:pPr>
              <w:spacing w:before="120" w:after="120"/>
              <w:rPr>
                <w:rFonts w:eastAsia="Times New Roman" w:cs="Arial"/>
                <w:color w:val="000000"/>
                <w:szCs w:val="24"/>
              </w:rPr>
            </w:pPr>
            <w:r w:rsidRPr="00F14522">
              <w:rPr>
                <w:rFonts w:eastAsia="Times New Roman" w:cs="Arial"/>
                <w:color w:val="000000"/>
                <w:szCs w:val="24"/>
              </w:rPr>
              <w:t>Russian River HU, Middle Russian River HA, Geyserville HSA</w:t>
            </w:r>
          </w:p>
        </w:tc>
        <w:tc>
          <w:tcPr>
            <w:tcW w:w="1350" w:type="dxa"/>
            <w:shd w:val="clear" w:color="auto" w:fill="auto"/>
            <w:noWrap/>
            <w:vAlign w:val="center"/>
            <w:hideMark/>
          </w:tcPr>
          <w:p w14:paraId="64C98014" w14:textId="7B735D25" w:rsidR="00F14522" w:rsidRPr="00F14522" w:rsidRDefault="006A68AD" w:rsidP="009C08F8">
            <w:pPr>
              <w:spacing w:before="120" w:after="120"/>
              <w:jc w:val="center"/>
              <w:rPr>
                <w:rFonts w:eastAsia="Times New Roman" w:cs="Arial"/>
                <w:color w:val="000000"/>
                <w:szCs w:val="24"/>
              </w:rPr>
            </w:pPr>
            <w:r>
              <w:rPr>
                <w:rFonts w:eastAsia="Times New Roman" w:cs="Arial"/>
                <w:color w:val="000000"/>
                <w:szCs w:val="24"/>
              </w:rPr>
              <w:t>“List”</w:t>
            </w:r>
          </w:p>
        </w:tc>
        <w:tc>
          <w:tcPr>
            <w:tcW w:w="1953" w:type="dxa"/>
            <w:shd w:val="clear" w:color="auto" w:fill="auto"/>
            <w:vAlign w:val="center"/>
          </w:tcPr>
          <w:p w14:paraId="1C21A68D" w14:textId="50686767" w:rsidR="4455B077" w:rsidRPr="0BBD22D0" w:rsidRDefault="737C5038" w:rsidP="009C08F8">
            <w:pPr>
              <w:spacing w:before="120" w:after="120"/>
              <w:jc w:val="center"/>
              <w:rPr>
                <w:rFonts w:eastAsia="Arial" w:cs="Arial"/>
                <w:color w:val="000000" w:themeColor="text1"/>
                <w:szCs w:val="24"/>
              </w:rPr>
            </w:pPr>
            <w:r w:rsidRPr="0BBD22D0">
              <w:rPr>
                <w:rFonts w:eastAsia="Arial" w:cs="Arial"/>
                <w:color w:val="000000" w:themeColor="text1"/>
                <w:szCs w:val="24"/>
              </w:rPr>
              <w:t>Stream 1 on Fitch Mountain</w:t>
            </w:r>
          </w:p>
        </w:tc>
        <w:tc>
          <w:tcPr>
            <w:tcW w:w="1277" w:type="dxa"/>
            <w:shd w:val="clear" w:color="auto" w:fill="auto"/>
            <w:noWrap/>
            <w:vAlign w:val="center"/>
            <w:hideMark/>
          </w:tcPr>
          <w:p w14:paraId="21435B0E" w14:textId="1E32C269" w:rsidR="00F14522" w:rsidRPr="00F14522" w:rsidRDefault="007A22B7" w:rsidP="009C08F8">
            <w:pPr>
              <w:spacing w:before="120" w:after="120"/>
              <w:jc w:val="center"/>
              <w:rPr>
                <w:rFonts w:eastAsia="Times New Roman" w:cs="Arial"/>
                <w:color w:val="000000"/>
                <w:szCs w:val="24"/>
              </w:rPr>
            </w:pPr>
            <w:r>
              <w:rPr>
                <w:rFonts w:eastAsia="Times New Roman" w:cs="Arial"/>
                <w:color w:val="000000"/>
                <w:szCs w:val="24"/>
              </w:rPr>
              <w:t>“Do</w:t>
            </w:r>
            <w:r w:rsidR="00CD2A8B">
              <w:rPr>
                <w:rFonts w:eastAsia="Times New Roman" w:cs="Arial"/>
                <w:color w:val="000000"/>
                <w:szCs w:val="24"/>
              </w:rPr>
              <w:t xml:space="preserve"> Not List”</w:t>
            </w:r>
          </w:p>
        </w:tc>
        <w:tc>
          <w:tcPr>
            <w:tcW w:w="1905" w:type="dxa"/>
            <w:shd w:val="clear" w:color="auto" w:fill="auto"/>
            <w:vAlign w:val="center"/>
          </w:tcPr>
          <w:p w14:paraId="62372C05" w14:textId="62500ED1" w:rsidR="37BE38D5" w:rsidRDefault="00BD1B98" w:rsidP="009C08F8">
            <w:pPr>
              <w:spacing w:before="120" w:after="120"/>
              <w:jc w:val="center"/>
              <w:rPr>
                <w:rFonts w:eastAsia="Times New Roman" w:cs="Arial"/>
                <w:color w:val="000000" w:themeColor="text1"/>
              </w:rPr>
            </w:pPr>
            <w:r>
              <w:rPr>
                <w:rFonts w:eastAsia="Times New Roman" w:cs="Arial"/>
                <w:color w:val="000000" w:themeColor="text1"/>
              </w:rPr>
              <w:t>N</w:t>
            </w:r>
            <w:r w:rsidR="006932FF">
              <w:rPr>
                <w:rFonts w:eastAsia="Times New Roman" w:cs="Arial"/>
                <w:color w:val="000000" w:themeColor="text1"/>
              </w:rPr>
              <w:t xml:space="preserve">ot </w:t>
            </w:r>
            <w:r>
              <w:rPr>
                <w:rFonts w:eastAsia="Times New Roman" w:cs="Arial"/>
                <w:color w:val="000000" w:themeColor="text1"/>
              </w:rPr>
              <w:t>A</w:t>
            </w:r>
            <w:r w:rsidR="006932FF">
              <w:rPr>
                <w:rFonts w:eastAsia="Times New Roman" w:cs="Arial"/>
                <w:color w:val="000000" w:themeColor="text1"/>
              </w:rPr>
              <w:t>pplicable</w:t>
            </w:r>
          </w:p>
        </w:tc>
      </w:tr>
      <w:tr w:rsidR="003361BA" w:rsidRPr="00F14522" w14:paraId="38AA62F6" w14:textId="5DBBDEBC" w:rsidTr="009C08F8">
        <w:trPr>
          <w:cantSplit/>
          <w:trHeight w:val="300"/>
        </w:trPr>
        <w:tc>
          <w:tcPr>
            <w:tcW w:w="2875" w:type="dxa"/>
            <w:shd w:val="clear" w:color="auto" w:fill="auto"/>
            <w:noWrap/>
            <w:vAlign w:val="center"/>
            <w:hideMark/>
          </w:tcPr>
          <w:p w14:paraId="72EF2FE5" w14:textId="77777777" w:rsidR="00F14522" w:rsidRPr="00F14522" w:rsidRDefault="00F14522" w:rsidP="009C08F8">
            <w:pPr>
              <w:spacing w:before="120" w:after="120"/>
              <w:rPr>
                <w:rFonts w:eastAsia="Times New Roman" w:cs="Arial"/>
                <w:color w:val="000000"/>
                <w:szCs w:val="24"/>
              </w:rPr>
            </w:pPr>
            <w:r w:rsidRPr="00F14522">
              <w:rPr>
                <w:rFonts w:eastAsia="Times New Roman" w:cs="Arial"/>
                <w:color w:val="000000"/>
                <w:szCs w:val="24"/>
              </w:rPr>
              <w:t>Russian River HU, Middle Russian River HA, Laguna HSA, mainstem Laguna de Santa Rosa</w:t>
            </w:r>
          </w:p>
        </w:tc>
        <w:tc>
          <w:tcPr>
            <w:tcW w:w="1350" w:type="dxa"/>
            <w:shd w:val="clear" w:color="auto" w:fill="auto"/>
            <w:noWrap/>
            <w:vAlign w:val="center"/>
            <w:hideMark/>
          </w:tcPr>
          <w:p w14:paraId="5D0D619F" w14:textId="2A749E9C" w:rsidR="00F14522" w:rsidRPr="00F14522" w:rsidRDefault="008A6350" w:rsidP="009C08F8">
            <w:pPr>
              <w:spacing w:before="120" w:after="120"/>
              <w:jc w:val="center"/>
              <w:rPr>
                <w:rFonts w:eastAsia="Times New Roman" w:cs="Arial"/>
                <w:color w:val="000000"/>
                <w:szCs w:val="24"/>
              </w:rPr>
            </w:pPr>
            <w:r>
              <w:rPr>
                <w:rFonts w:eastAsia="Times New Roman" w:cs="Arial"/>
                <w:color w:val="000000"/>
                <w:szCs w:val="24"/>
              </w:rPr>
              <w:t>“List”</w:t>
            </w:r>
          </w:p>
        </w:tc>
        <w:tc>
          <w:tcPr>
            <w:tcW w:w="1953" w:type="dxa"/>
            <w:shd w:val="clear" w:color="auto" w:fill="auto"/>
            <w:vAlign w:val="center"/>
          </w:tcPr>
          <w:p w14:paraId="395FE9B9" w14:textId="0D117FDC" w:rsidR="4455B077" w:rsidRDefault="374930C8" w:rsidP="009C08F8">
            <w:pPr>
              <w:spacing w:before="120" w:after="120"/>
              <w:jc w:val="center"/>
              <w:rPr>
                <w:rFonts w:eastAsia="Times New Roman" w:cs="Arial"/>
                <w:color w:val="000000" w:themeColor="text1"/>
              </w:rPr>
            </w:pPr>
            <w:r w:rsidRPr="32FAF961">
              <w:rPr>
                <w:rFonts w:eastAsia="Times New Roman" w:cs="Arial"/>
                <w:color w:val="000000" w:themeColor="text1"/>
              </w:rPr>
              <w:t>Entire waterbody</w:t>
            </w:r>
            <w:r w:rsidR="00B671FB">
              <w:rPr>
                <w:rFonts w:eastAsia="Times New Roman" w:cs="Arial"/>
                <w:color w:val="000000" w:themeColor="text1"/>
              </w:rPr>
              <w:t xml:space="preserve"> segment</w:t>
            </w:r>
          </w:p>
        </w:tc>
        <w:tc>
          <w:tcPr>
            <w:tcW w:w="1277" w:type="dxa"/>
            <w:shd w:val="clear" w:color="auto" w:fill="auto"/>
            <w:noWrap/>
            <w:vAlign w:val="center"/>
            <w:hideMark/>
          </w:tcPr>
          <w:p w14:paraId="6566ED4C" w14:textId="01F3D788" w:rsidR="00F14522" w:rsidRPr="00F14522" w:rsidRDefault="006A2BEA" w:rsidP="009C08F8">
            <w:pPr>
              <w:spacing w:before="120" w:after="120"/>
              <w:jc w:val="center"/>
              <w:rPr>
                <w:rFonts w:eastAsia="Times New Roman" w:cs="Arial"/>
                <w:color w:val="000000"/>
                <w:szCs w:val="24"/>
              </w:rPr>
            </w:pPr>
            <w:r>
              <w:rPr>
                <w:rFonts w:eastAsia="Times New Roman" w:cs="Arial"/>
                <w:color w:val="000000"/>
                <w:szCs w:val="24"/>
              </w:rPr>
              <w:t>“List”</w:t>
            </w:r>
          </w:p>
        </w:tc>
        <w:tc>
          <w:tcPr>
            <w:tcW w:w="1905" w:type="dxa"/>
            <w:shd w:val="clear" w:color="auto" w:fill="auto"/>
            <w:vAlign w:val="center"/>
          </w:tcPr>
          <w:p w14:paraId="17C6422A" w14:textId="2B0B9959" w:rsidR="37BE38D5" w:rsidRDefault="46EC825E" w:rsidP="009C08F8">
            <w:pPr>
              <w:spacing w:before="120" w:after="120"/>
              <w:jc w:val="center"/>
              <w:rPr>
                <w:rFonts w:eastAsia="Times New Roman" w:cs="Arial"/>
                <w:color w:val="000000" w:themeColor="text1"/>
              </w:rPr>
            </w:pPr>
            <w:r w:rsidRPr="7F33E515">
              <w:rPr>
                <w:rFonts w:eastAsia="Times New Roman" w:cs="Arial"/>
                <w:color w:val="000000" w:themeColor="text1"/>
              </w:rPr>
              <w:t>Entire waterbody</w:t>
            </w:r>
            <w:r w:rsidR="00B671FB">
              <w:rPr>
                <w:rFonts w:eastAsia="Times New Roman" w:cs="Arial"/>
                <w:color w:val="000000" w:themeColor="text1"/>
              </w:rPr>
              <w:t xml:space="preserve"> segment</w:t>
            </w:r>
          </w:p>
        </w:tc>
      </w:tr>
      <w:tr w:rsidR="003361BA" w:rsidRPr="00F14522" w14:paraId="0EF9A636" w14:textId="4BD96287" w:rsidTr="009C08F8">
        <w:trPr>
          <w:cantSplit/>
          <w:trHeight w:val="300"/>
        </w:trPr>
        <w:tc>
          <w:tcPr>
            <w:tcW w:w="2875" w:type="dxa"/>
            <w:shd w:val="clear" w:color="auto" w:fill="auto"/>
            <w:noWrap/>
            <w:vAlign w:val="center"/>
            <w:hideMark/>
          </w:tcPr>
          <w:p w14:paraId="7BA355D9" w14:textId="77777777" w:rsidR="00F14522" w:rsidRPr="00F14522" w:rsidRDefault="00F14522" w:rsidP="009C08F8">
            <w:pPr>
              <w:spacing w:before="120" w:after="120"/>
              <w:rPr>
                <w:rFonts w:eastAsia="Times New Roman" w:cs="Arial"/>
                <w:color w:val="000000"/>
                <w:szCs w:val="24"/>
              </w:rPr>
            </w:pPr>
            <w:r w:rsidRPr="00F14522">
              <w:rPr>
                <w:rFonts w:eastAsia="Times New Roman" w:cs="Arial"/>
                <w:color w:val="000000"/>
                <w:szCs w:val="24"/>
              </w:rPr>
              <w:t>Russian River HU, Middle Russian River HA, Laguna HSA, tributaries to the Laguna de Santa Rosa (except Santa Rosa Creek and its tributaries)</w:t>
            </w:r>
          </w:p>
        </w:tc>
        <w:tc>
          <w:tcPr>
            <w:tcW w:w="1350" w:type="dxa"/>
            <w:shd w:val="clear" w:color="auto" w:fill="auto"/>
            <w:noWrap/>
            <w:vAlign w:val="center"/>
            <w:hideMark/>
          </w:tcPr>
          <w:p w14:paraId="442167E8" w14:textId="1F5C2E89" w:rsidR="00F14522" w:rsidRPr="00F14522" w:rsidRDefault="008A6350" w:rsidP="009C08F8">
            <w:pPr>
              <w:spacing w:before="120" w:after="120"/>
              <w:jc w:val="center"/>
              <w:rPr>
                <w:rFonts w:eastAsia="Times New Roman" w:cs="Arial"/>
                <w:color w:val="000000"/>
                <w:szCs w:val="24"/>
              </w:rPr>
            </w:pPr>
            <w:r>
              <w:rPr>
                <w:rFonts w:eastAsia="Times New Roman" w:cs="Arial"/>
                <w:color w:val="000000"/>
                <w:szCs w:val="24"/>
              </w:rPr>
              <w:t>“List”</w:t>
            </w:r>
          </w:p>
        </w:tc>
        <w:tc>
          <w:tcPr>
            <w:tcW w:w="1953" w:type="dxa"/>
            <w:shd w:val="clear" w:color="auto" w:fill="auto"/>
            <w:vAlign w:val="center"/>
          </w:tcPr>
          <w:p w14:paraId="0F1430BD" w14:textId="7F087D2C" w:rsidR="4455B077" w:rsidRDefault="084E9F5F" w:rsidP="009C08F8">
            <w:pPr>
              <w:spacing w:before="120" w:after="120"/>
              <w:jc w:val="center"/>
              <w:rPr>
                <w:rFonts w:eastAsia="Times New Roman" w:cs="Arial"/>
                <w:color w:val="000000" w:themeColor="text1"/>
              </w:rPr>
            </w:pPr>
            <w:r w:rsidRPr="131799CD">
              <w:rPr>
                <w:rFonts w:eastAsia="Times New Roman" w:cs="Arial"/>
                <w:color w:val="000000" w:themeColor="text1"/>
              </w:rPr>
              <w:t>Entire waterbody</w:t>
            </w:r>
            <w:r w:rsidR="00B671FB">
              <w:rPr>
                <w:rFonts w:eastAsia="Times New Roman" w:cs="Arial"/>
                <w:color w:val="000000" w:themeColor="text1"/>
              </w:rPr>
              <w:t xml:space="preserve"> segment</w:t>
            </w:r>
          </w:p>
        </w:tc>
        <w:tc>
          <w:tcPr>
            <w:tcW w:w="1277" w:type="dxa"/>
            <w:shd w:val="clear" w:color="auto" w:fill="auto"/>
            <w:noWrap/>
            <w:vAlign w:val="center"/>
            <w:hideMark/>
          </w:tcPr>
          <w:p w14:paraId="509C15B5" w14:textId="09E0A1B9" w:rsidR="00F14522" w:rsidRPr="00F14522" w:rsidRDefault="006A2BEA" w:rsidP="009C08F8">
            <w:pPr>
              <w:spacing w:before="120" w:after="120"/>
              <w:jc w:val="center"/>
            </w:pPr>
            <w:r>
              <w:rPr>
                <w:rFonts w:eastAsia="Times New Roman" w:cs="Arial"/>
                <w:color w:val="000000" w:themeColor="text1"/>
              </w:rPr>
              <w:t xml:space="preserve"> “Do Not List”</w:t>
            </w:r>
          </w:p>
        </w:tc>
        <w:tc>
          <w:tcPr>
            <w:tcW w:w="1905" w:type="dxa"/>
            <w:shd w:val="clear" w:color="auto" w:fill="auto"/>
            <w:vAlign w:val="center"/>
          </w:tcPr>
          <w:p w14:paraId="2E6079ED" w14:textId="4B29AFED" w:rsidR="37BE38D5" w:rsidRDefault="00BD1B98" w:rsidP="009C08F8">
            <w:pPr>
              <w:spacing w:before="120" w:after="120"/>
              <w:jc w:val="center"/>
              <w:rPr>
                <w:rFonts w:eastAsia="Times New Roman" w:cs="Arial"/>
                <w:color w:val="000000" w:themeColor="text1"/>
              </w:rPr>
            </w:pPr>
            <w:r>
              <w:rPr>
                <w:rFonts w:eastAsia="Times New Roman" w:cs="Arial"/>
                <w:color w:val="000000" w:themeColor="text1"/>
              </w:rPr>
              <w:t>N</w:t>
            </w:r>
            <w:r w:rsidR="006932FF">
              <w:rPr>
                <w:rFonts w:eastAsia="Times New Roman" w:cs="Arial"/>
                <w:color w:val="000000" w:themeColor="text1"/>
              </w:rPr>
              <w:t xml:space="preserve">ot </w:t>
            </w:r>
            <w:r>
              <w:rPr>
                <w:rFonts w:eastAsia="Times New Roman" w:cs="Arial"/>
                <w:color w:val="000000" w:themeColor="text1"/>
              </w:rPr>
              <w:t>A</w:t>
            </w:r>
            <w:r w:rsidR="006932FF">
              <w:rPr>
                <w:rFonts w:eastAsia="Times New Roman" w:cs="Arial"/>
                <w:color w:val="000000" w:themeColor="text1"/>
              </w:rPr>
              <w:t>pplicable</w:t>
            </w:r>
          </w:p>
        </w:tc>
      </w:tr>
      <w:tr w:rsidR="003361BA" w:rsidRPr="00F14522" w14:paraId="440D8628" w14:textId="567F99F6" w:rsidTr="009C08F8">
        <w:trPr>
          <w:cantSplit/>
          <w:trHeight w:val="300"/>
        </w:trPr>
        <w:tc>
          <w:tcPr>
            <w:tcW w:w="2875" w:type="dxa"/>
            <w:shd w:val="clear" w:color="auto" w:fill="auto"/>
            <w:noWrap/>
            <w:vAlign w:val="center"/>
            <w:hideMark/>
          </w:tcPr>
          <w:p w14:paraId="4A767547" w14:textId="77777777" w:rsidR="00F14522" w:rsidRPr="00F14522" w:rsidRDefault="00F14522" w:rsidP="009C08F8">
            <w:pPr>
              <w:spacing w:before="120" w:after="120"/>
              <w:rPr>
                <w:rFonts w:eastAsia="Times New Roman" w:cs="Arial"/>
                <w:color w:val="000000"/>
                <w:szCs w:val="24"/>
              </w:rPr>
            </w:pPr>
            <w:r w:rsidRPr="00F14522">
              <w:rPr>
                <w:rFonts w:eastAsia="Times New Roman" w:cs="Arial"/>
                <w:color w:val="000000"/>
                <w:szCs w:val="24"/>
              </w:rPr>
              <w:t>Russian River HU, Middle Russian River HA, Santa Rosa HSA, mainstem Santa Rosa Creek</w:t>
            </w:r>
          </w:p>
        </w:tc>
        <w:tc>
          <w:tcPr>
            <w:tcW w:w="1350" w:type="dxa"/>
            <w:shd w:val="clear" w:color="auto" w:fill="auto"/>
            <w:noWrap/>
            <w:vAlign w:val="center"/>
            <w:hideMark/>
          </w:tcPr>
          <w:p w14:paraId="3D7DEF7F" w14:textId="0675DCD9" w:rsidR="00F14522" w:rsidRPr="00F14522" w:rsidRDefault="008A6350" w:rsidP="009C08F8">
            <w:pPr>
              <w:spacing w:before="120" w:after="120"/>
              <w:jc w:val="center"/>
              <w:rPr>
                <w:rFonts w:eastAsia="Times New Roman" w:cs="Arial"/>
                <w:color w:val="000000"/>
                <w:szCs w:val="24"/>
              </w:rPr>
            </w:pPr>
            <w:r>
              <w:rPr>
                <w:rFonts w:eastAsia="Times New Roman" w:cs="Arial"/>
                <w:color w:val="000000"/>
                <w:szCs w:val="24"/>
              </w:rPr>
              <w:t>“List”</w:t>
            </w:r>
          </w:p>
        </w:tc>
        <w:tc>
          <w:tcPr>
            <w:tcW w:w="1953" w:type="dxa"/>
            <w:shd w:val="clear" w:color="auto" w:fill="auto"/>
            <w:vAlign w:val="center"/>
          </w:tcPr>
          <w:p w14:paraId="5413DE1A" w14:textId="6FCDBE42" w:rsidR="4455B077" w:rsidRDefault="00BEB0EB" w:rsidP="009C08F8">
            <w:pPr>
              <w:spacing w:before="120" w:after="120"/>
              <w:jc w:val="center"/>
              <w:rPr>
                <w:rFonts w:eastAsia="Times New Roman" w:cs="Arial"/>
                <w:color w:val="000000" w:themeColor="text1"/>
              </w:rPr>
            </w:pPr>
            <w:r w:rsidRPr="3227708F">
              <w:rPr>
                <w:rFonts w:eastAsia="Times New Roman" w:cs="Arial"/>
                <w:color w:val="000000" w:themeColor="text1"/>
              </w:rPr>
              <w:t>Entire waterbody</w:t>
            </w:r>
            <w:r w:rsidR="00B671FB">
              <w:rPr>
                <w:rFonts w:eastAsia="Times New Roman" w:cs="Arial"/>
                <w:color w:val="000000" w:themeColor="text1"/>
              </w:rPr>
              <w:t xml:space="preserve"> segment</w:t>
            </w:r>
          </w:p>
        </w:tc>
        <w:tc>
          <w:tcPr>
            <w:tcW w:w="1277" w:type="dxa"/>
            <w:shd w:val="clear" w:color="auto" w:fill="auto"/>
            <w:noWrap/>
            <w:vAlign w:val="center"/>
            <w:hideMark/>
          </w:tcPr>
          <w:p w14:paraId="2359B8A6" w14:textId="0BB13B9D" w:rsidR="00F14522" w:rsidRPr="00F14522" w:rsidRDefault="006A2BEA" w:rsidP="009C08F8">
            <w:pPr>
              <w:spacing w:before="120" w:after="120"/>
              <w:jc w:val="center"/>
              <w:rPr>
                <w:rFonts w:eastAsia="Times New Roman" w:cs="Arial"/>
                <w:color w:val="000000"/>
                <w:szCs w:val="24"/>
              </w:rPr>
            </w:pPr>
            <w:r>
              <w:rPr>
                <w:rFonts w:eastAsia="Times New Roman" w:cs="Arial"/>
                <w:color w:val="000000"/>
                <w:szCs w:val="24"/>
              </w:rPr>
              <w:t>“List”</w:t>
            </w:r>
          </w:p>
        </w:tc>
        <w:tc>
          <w:tcPr>
            <w:tcW w:w="1905" w:type="dxa"/>
            <w:shd w:val="clear" w:color="auto" w:fill="auto"/>
            <w:vAlign w:val="center"/>
          </w:tcPr>
          <w:p w14:paraId="66A723A0" w14:textId="239053DB" w:rsidR="37BE38D5" w:rsidRDefault="520CA394" w:rsidP="009C08F8">
            <w:pPr>
              <w:spacing w:before="120" w:after="120"/>
              <w:jc w:val="center"/>
              <w:rPr>
                <w:rFonts w:eastAsia="Times New Roman" w:cs="Arial"/>
                <w:color w:val="000000" w:themeColor="text1"/>
              </w:rPr>
            </w:pPr>
            <w:r w:rsidRPr="2BC0F592">
              <w:rPr>
                <w:rFonts w:eastAsia="Times New Roman" w:cs="Arial"/>
                <w:color w:val="000000" w:themeColor="text1"/>
              </w:rPr>
              <w:t>Entire waterbody</w:t>
            </w:r>
            <w:r w:rsidR="00B671FB">
              <w:rPr>
                <w:rFonts w:eastAsia="Times New Roman" w:cs="Arial"/>
                <w:color w:val="000000" w:themeColor="text1"/>
              </w:rPr>
              <w:t xml:space="preserve"> segment</w:t>
            </w:r>
          </w:p>
        </w:tc>
      </w:tr>
      <w:tr w:rsidR="003361BA" w:rsidRPr="00F14522" w14:paraId="4FCEE6DD" w14:textId="56525849" w:rsidTr="009C08F8">
        <w:trPr>
          <w:cantSplit/>
          <w:trHeight w:val="300"/>
        </w:trPr>
        <w:tc>
          <w:tcPr>
            <w:tcW w:w="2875" w:type="dxa"/>
            <w:shd w:val="clear" w:color="auto" w:fill="auto"/>
            <w:noWrap/>
            <w:vAlign w:val="center"/>
            <w:hideMark/>
          </w:tcPr>
          <w:p w14:paraId="55E07BCE" w14:textId="77777777" w:rsidR="00F14522" w:rsidRPr="00F14522" w:rsidRDefault="00F14522" w:rsidP="009C08F8">
            <w:pPr>
              <w:spacing w:before="120" w:after="120"/>
              <w:rPr>
                <w:rFonts w:eastAsia="Times New Roman" w:cs="Arial"/>
                <w:color w:val="000000"/>
                <w:szCs w:val="24"/>
              </w:rPr>
            </w:pPr>
            <w:r w:rsidRPr="00F14522">
              <w:rPr>
                <w:rFonts w:eastAsia="Times New Roman" w:cs="Arial"/>
                <w:color w:val="000000"/>
                <w:szCs w:val="24"/>
              </w:rPr>
              <w:t>Russian River HU, Middle Russian River HA, Santa Rosa HSA, tributaries to Santa Rosa Creek</w:t>
            </w:r>
          </w:p>
        </w:tc>
        <w:tc>
          <w:tcPr>
            <w:tcW w:w="1350" w:type="dxa"/>
            <w:shd w:val="clear" w:color="auto" w:fill="auto"/>
            <w:noWrap/>
            <w:vAlign w:val="center"/>
            <w:hideMark/>
          </w:tcPr>
          <w:p w14:paraId="1FFA6E6C" w14:textId="52B486B9" w:rsidR="00F14522" w:rsidRPr="00F14522" w:rsidRDefault="008A6350" w:rsidP="009C08F8">
            <w:pPr>
              <w:spacing w:before="120" w:after="120"/>
              <w:jc w:val="center"/>
              <w:rPr>
                <w:rFonts w:eastAsia="Times New Roman" w:cs="Arial"/>
                <w:color w:val="000000"/>
                <w:szCs w:val="24"/>
              </w:rPr>
            </w:pPr>
            <w:r>
              <w:rPr>
                <w:rFonts w:eastAsia="Times New Roman" w:cs="Arial"/>
                <w:color w:val="000000"/>
                <w:szCs w:val="24"/>
              </w:rPr>
              <w:t>“List”</w:t>
            </w:r>
          </w:p>
        </w:tc>
        <w:tc>
          <w:tcPr>
            <w:tcW w:w="1953" w:type="dxa"/>
            <w:shd w:val="clear" w:color="auto" w:fill="auto"/>
            <w:vAlign w:val="center"/>
          </w:tcPr>
          <w:p w14:paraId="5967E94C" w14:textId="2DA52D7E" w:rsidR="4455B077" w:rsidRDefault="1724231C" w:rsidP="009C08F8">
            <w:pPr>
              <w:spacing w:before="120" w:after="120"/>
              <w:jc w:val="center"/>
              <w:rPr>
                <w:rFonts w:eastAsia="Times New Roman" w:cs="Arial"/>
                <w:color w:val="000000" w:themeColor="text1"/>
              </w:rPr>
            </w:pPr>
            <w:r w:rsidRPr="3227708F">
              <w:rPr>
                <w:rFonts w:eastAsia="Times New Roman" w:cs="Arial"/>
                <w:color w:val="000000" w:themeColor="text1"/>
              </w:rPr>
              <w:t>Entire waterbody</w:t>
            </w:r>
            <w:r w:rsidR="00B671FB">
              <w:rPr>
                <w:rFonts w:eastAsia="Times New Roman" w:cs="Arial"/>
                <w:color w:val="000000" w:themeColor="text1"/>
              </w:rPr>
              <w:t xml:space="preserve"> segment</w:t>
            </w:r>
          </w:p>
        </w:tc>
        <w:tc>
          <w:tcPr>
            <w:tcW w:w="1277" w:type="dxa"/>
            <w:shd w:val="clear" w:color="auto" w:fill="auto"/>
            <w:noWrap/>
            <w:vAlign w:val="center"/>
            <w:hideMark/>
          </w:tcPr>
          <w:p w14:paraId="656ADDE1" w14:textId="72A1453D" w:rsidR="00F14522" w:rsidRPr="00F14522" w:rsidRDefault="008A6350" w:rsidP="009C08F8">
            <w:pPr>
              <w:spacing w:before="120" w:after="120"/>
              <w:jc w:val="center"/>
            </w:pPr>
            <w:r>
              <w:rPr>
                <w:rFonts w:eastAsia="Times New Roman" w:cs="Arial"/>
                <w:color w:val="000000" w:themeColor="text1"/>
              </w:rPr>
              <w:t xml:space="preserve"> “Do Not List”</w:t>
            </w:r>
          </w:p>
        </w:tc>
        <w:tc>
          <w:tcPr>
            <w:tcW w:w="1905" w:type="dxa"/>
            <w:shd w:val="clear" w:color="auto" w:fill="auto"/>
            <w:vAlign w:val="center"/>
          </w:tcPr>
          <w:p w14:paraId="4BA32D51" w14:textId="078EB58F" w:rsidR="37BE38D5" w:rsidRDefault="003A4B05" w:rsidP="009C08F8">
            <w:pPr>
              <w:spacing w:before="120" w:after="120"/>
              <w:jc w:val="center"/>
              <w:rPr>
                <w:rFonts w:eastAsia="Times New Roman" w:cs="Arial"/>
                <w:color w:val="000000" w:themeColor="text1"/>
              </w:rPr>
            </w:pPr>
            <w:r>
              <w:rPr>
                <w:rFonts w:eastAsia="Times New Roman" w:cs="Arial"/>
                <w:color w:val="000000" w:themeColor="text1"/>
              </w:rPr>
              <w:t>N</w:t>
            </w:r>
            <w:r w:rsidR="006932FF">
              <w:rPr>
                <w:rFonts w:eastAsia="Times New Roman" w:cs="Arial"/>
                <w:color w:val="000000" w:themeColor="text1"/>
              </w:rPr>
              <w:t xml:space="preserve">ot </w:t>
            </w:r>
            <w:r>
              <w:rPr>
                <w:rFonts w:eastAsia="Times New Roman" w:cs="Arial"/>
                <w:color w:val="000000" w:themeColor="text1"/>
              </w:rPr>
              <w:t>A</w:t>
            </w:r>
            <w:r w:rsidR="006932FF">
              <w:rPr>
                <w:rFonts w:eastAsia="Times New Roman" w:cs="Arial"/>
                <w:color w:val="000000" w:themeColor="text1"/>
              </w:rPr>
              <w:t>pplicable</w:t>
            </w:r>
          </w:p>
        </w:tc>
      </w:tr>
      <w:tr w:rsidR="003361BA" w:rsidRPr="00F14522" w14:paraId="0204F5CD" w14:textId="77777777" w:rsidTr="009C08F8">
        <w:trPr>
          <w:cantSplit/>
          <w:trHeight w:val="300"/>
        </w:trPr>
        <w:tc>
          <w:tcPr>
            <w:tcW w:w="2875" w:type="dxa"/>
            <w:shd w:val="clear" w:color="auto" w:fill="auto"/>
            <w:noWrap/>
            <w:vAlign w:val="center"/>
          </w:tcPr>
          <w:p w14:paraId="21B6B480" w14:textId="2A37CD38" w:rsidR="00CB1E7E" w:rsidRPr="00F14522" w:rsidRDefault="00EB11F6" w:rsidP="009C08F8">
            <w:pPr>
              <w:spacing w:before="120" w:after="120"/>
              <w:rPr>
                <w:rFonts w:eastAsia="Times New Roman" w:cs="Arial"/>
                <w:color w:val="000000"/>
                <w:szCs w:val="24"/>
              </w:rPr>
            </w:pPr>
            <w:r w:rsidRPr="00EB11F6">
              <w:rPr>
                <w:rFonts w:eastAsia="Times New Roman" w:cs="Arial"/>
                <w:color w:val="000000"/>
                <w:szCs w:val="24"/>
              </w:rPr>
              <w:t>Russian River HU, Middle Russian River HA, Warm Springs HSA</w:t>
            </w:r>
          </w:p>
        </w:tc>
        <w:tc>
          <w:tcPr>
            <w:tcW w:w="1350" w:type="dxa"/>
            <w:shd w:val="clear" w:color="auto" w:fill="auto"/>
            <w:noWrap/>
            <w:vAlign w:val="center"/>
          </w:tcPr>
          <w:p w14:paraId="79374633" w14:textId="2E622DF1" w:rsidR="00CB1E7E" w:rsidRDefault="008A6350" w:rsidP="009C08F8">
            <w:pPr>
              <w:spacing w:before="120" w:after="120"/>
              <w:jc w:val="center"/>
              <w:rPr>
                <w:rFonts w:eastAsia="Times New Roman" w:cs="Arial"/>
                <w:color w:val="000000"/>
                <w:szCs w:val="24"/>
              </w:rPr>
            </w:pPr>
            <w:r>
              <w:rPr>
                <w:rFonts w:eastAsia="Times New Roman" w:cs="Arial"/>
                <w:color w:val="000000"/>
                <w:szCs w:val="24"/>
              </w:rPr>
              <w:t>“Do Not List”</w:t>
            </w:r>
          </w:p>
        </w:tc>
        <w:tc>
          <w:tcPr>
            <w:tcW w:w="1953" w:type="dxa"/>
            <w:shd w:val="clear" w:color="auto" w:fill="auto"/>
            <w:vAlign w:val="center"/>
          </w:tcPr>
          <w:p w14:paraId="588CF91A" w14:textId="3776B9AD" w:rsidR="00CB1E7E" w:rsidRPr="3227708F" w:rsidRDefault="008A6350" w:rsidP="009C08F8">
            <w:pPr>
              <w:spacing w:before="120" w:after="120"/>
              <w:jc w:val="center"/>
              <w:rPr>
                <w:rFonts w:eastAsia="Times New Roman" w:cs="Arial"/>
                <w:color w:val="000000" w:themeColor="text1"/>
              </w:rPr>
            </w:pPr>
            <w:r>
              <w:rPr>
                <w:rFonts w:eastAsia="Times New Roman" w:cs="Arial"/>
                <w:color w:val="000000" w:themeColor="text1"/>
              </w:rPr>
              <w:t>N</w:t>
            </w:r>
            <w:r w:rsidR="006932FF">
              <w:rPr>
                <w:rFonts w:eastAsia="Times New Roman" w:cs="Arial"/>
                <w:color w:val="000000" w:themeColor="text1"/>
              </w:rPr>
              <w:t xml:space="preserve">ot </w:t>
            </w:r>
            <w:r>
              <w:rPr>
                <w:rFonts w:eastAsia="Times New Roman" w:cs="Arial"/>
                <w:color w:val="000000" w:themeColor="text1"/>
              </w:rPr>
              <w:t>A</w:t>
            </w:r>
            <w:r w:rsidR="006932FF">
              <w:rPr>
                <w:rFonts w:eastAsia="Times New Roman" w:cs="Arial"/>
                <w:color w:val="000000" w:themeColor="text1"/>
              </w:rPr>
              <w:t>pplicable</w:t>
            </w:r>
          </w:p>
        </w:tc>
        <w:tc>
          <w:tcPr>
            <w:tcW w:w="1277" w:type="dxa"/>
            <w:shd w:val="clear" w:color="auto" w:fill="auto"/>
            <w:noWrap/>
            <w:vAlign w:val="center"/>
          </w:tcPr>
          <w:p w14:paraId="333D4DE9" w14:textId="1AD32360" w:rsidR="00CB1E7E" w:rsidRPr="4AE25A30" w:rsidRDefault="006A2BEA" w:rsidP="009C08F8">
            <w:pPr>
              <w:spacing w:before="120" w:after="120"/>
              <w:jc w:val="center"/>
              <w:rPr>
                <w:rFonts w:eastAsia="Times New Roman" w:cs="Arial"/>
                <w:color w:val="000000" w:themeColor="text1"/>
              </w:rPr>
            </w:pPr>
            <w:r>
              <w:rPr>
                <w:rFonts w:eastAsia="Times New Roman" w:cs="Arial"/>
                <w:color w:val="000000"/>
                <w:szCs w:val="24"/>
              </w:rPr>
              <w:t>“List”</w:t>
            </w:r>
          </w:p>
        </w:tc>
        <w:tc>
          <w:tcPr>
            <w:tcW w:w="1905" w:type="dxa"/>
            <w:shd w:val="clear" w:color="auto" w:fill="auto"/>
            <w:vAlign w:val="center"/>
          </w:tcPr>
          <w:p w14:paraId="51E2B9F6" w14:textId="2EE57681" w:rsidR="00CB1E7E" w:rsidRDefault="001F06FD" w:rsidP="009C08F8">
            <w:pPr>
              <w:spacing w:before="120" w:after="120"/>
              <w:jc w:val="center"/>
              <w:rPr>
                <w:rFonts w:eastAsia="Times New Roman" w:cs="Arial"/>
                <w:color w:val="000000" w:themeColor="text1"/>
              </w:rPr>
            </w:pPr>
            <w:r>
              <w:rPr>
                <w:rFonts w:eastAsia="Times New Roman" w:cs="Arial"/>
                <w:color w:val="000000" w:themeColor="text1"/>
              </w:rPr>
              <w:t>Foss Creek</w:t>
            </w:r>
          </w:p>
        </w:tc>
      </w:tr>
    </w:tbl>
    <w:p w14:paraId="789C1CA7" w14:textId="6C7C57FF" w:rsidR="007618E6" w:rsidRDefault="001571BD" w:rsidP="006B715F">
      <w:pPr>
        <w:pStyle w:val="Heading2"/>
      </w:pPr>
      <w:bookmarkStart w:id="149" w:name="_Toc189048613"/>
      <w:r>
        <w:t xml:space="preserve">Smith River Hydrologic Unit, Elk River Watershed </w:t>
      </w:r>
      <w:r w:rsidR="00D057B5">
        <w:t>Update</w:t>
      </w:r>
      <w:bookmarkEnd w:id="149"/>
    </w:p>
    <w:p w14:paraId="2062FFC6" w14:textId="4D362ADE" w:rsidR="00A055B9" w:rsidRPr="00CE1F8D" w:rsidRDefault="005B3B57" w:rsidP="00A055B9">
      <w:pPr>
        <w:rPr>
          <w:rFonts w:cs="Arial"/>
        </w:rPr>
      </w:pPr>
      <w:r>
        <w:rPr>
          <w:rFonts w:cs="Arial"/>
        </w:rPr>
        <w:t>D</w:t>
      </w:r>
      <w:r w:rsidR="0011214B">
        <w:rPr>
          <w:rFonts w:cs="Arial"/>
        </w:rPr>
        <w:t xml:space="preserve">ata </w:t>
      </w:r>
      <w:r w:rsidR="00117627">
        <w:rPr>
          <w:rFonts w:cs="Arial"/>
        </w:rPr>
        <w:t>were</w:t>
      </w:r>
      <w:r>
        <w:rPr>
          <w:rFonts w:cs="Arial"/>
        </w:rPr>
        <w:t xml:space="preserve"> submitted </w:t>
      </w:r>
      <w:r w:rsidR="0011214B">
        <w:rPr>
          <w:rFonts w:cs="Arial"/>
        </w:rPr>
        <w:t>for the</w:t>
      </w:r>
      <w:r w:rsidR="001426C4">
        <w:rPr>
          <w:rFonts w:cs="Arial"/>
        </w:rPr>
        <w:t xml:space="preserve"> </w:t>
      </w:r>
      <w:r w:rsidR="00A055B9">
        <w:rPr>
          <w:rFonts w:cs="Arial"/>
        </w:rPr>
        <w:t xml:space="preserve">Smith River HU, Elk Creek Watershed </w:t>
      </w:r>
      <w:r w:rsidR="00D010BF">
        <w:rPr>
          <w:rFonts w:cs="Arial"/>
        </w:rPr>
        <w:t xml:space="preserve">that </w:t>
      </w:r>
      <w:r w:rsidR="00117627">
        <w:rPr>
          <w:rFonts w:cs="Arial"/>
        </w:rPr>
        <w:t>were</w:t>
      </w:r>
      <w:r w:rsidR="00021124">
        <w:rPr>
          <w:rFonts w:cs="Arial"/>
        </w:rPr>
        <w:t xml:space="preserve"> attributed to</w:t>
      </w:r>
      <w:r w:rsidR="00A055B9">
        <w:rPr>
          <w:rFonts w:cs="Arial"/>
        </w:rPr>
        <w:t xml:space="preserve"> four sampling stations: </w:t>
      </w:r>
      <w:r w:rsidR="002E128B">
        <w:rPr>
          <w:rFonts w:cs="Arial"/>
        </w:rPr>
        <w:t>“</w:t>
      </w:r>
      <w:r w:rsidR="00A055B9">
        <w:rPr>
          <w:rFonts w:cs="Arial"/>
        </w:rPr>
        <w:t>EVR,</w:t>
      </w:r>
      <w:r w:rsidR="002E128B">
        <w:rPr>
          <w:rFonts w:cs="Arial"/>
        </w:rPr>
        <w:t>”</w:t>
      </w:r>
      <w:r w:rsidR="00A055B9">
        <w:rPr>
          <w:rFonts w:cs="Arial"/>
        </w:rPr>
        <w:t xml:space="preserve"> </w:t>
      </w:r>
      <w:r w:rsidR="002E128B">
        <w:rPr>
          <w:rFonts w:cs="Arial"/>
        </w:rPr>
        <w:t>“</w:t>
      </w:r>
      <w:r w:rsidR="00A055B9">
        <w:rPr>
          <w:rFonts w:cs="Arial"/>
        </w:rPr>
        <w:t>Stary Ranch West,</w:t>
      </w:r>
      <w:r w:rsidR="002E128B">
        <w:rPr>
          <w:rFonts w:cs="Arial"/>
        </w:rPr>
        <w:t>”</w:t>
      </w:r>
      <w:r w:rsidR="00A055B9">
        <w:rPr>
          <w:rFonts w:cs="Arial"/>
        </w:rPr>
        <w:t xml:space="preserve"> </w:t>
      </w:r>
      <w:r w:rsidR="002E128B">
        <w:rPr>
          <w:rFonts w:cs="Arial"/>
        </w:rPr>
        <w:t>“</w:t>
      </w:r>
      <w:r w:rsidR="00A055B9">
        <w:rPr>
          <w:rFonts w:cs="Arial"/>
        </w:rPr>
        <w:t>Stary Ranch North,</w:t>
      </w:r>
      <w:r w:rsidR="002E128B">
        <w:rPr>
          <w:rFonts w:cs="Arial"/>
        </w:rPr>
        <w:t>”</w:t>
      </w:r>
      <w:r w:rsidR="00A055B9">
        <w:rPr>
          <w:rFonts w:cs="Arial"/>
        </w:rPr>
        <w:t xml:space="preserve"> and </w:t>
      </w:r>
      <w:r w:rsidR="002E128B">
        <w:rPr>
          <w:rFonts w:cs="Arial"/>
        </w:rPr>
        <w:t>“</w:t>
      </w:r>
      <w:r w:rsidR="00A055B9">
        <w:rPr>
          <w:rFonts w:cs="Arial"/>
        </w:rPr>
        <w:t>Story Ranch East</w:t>
      </w:r>
      <w:r w:rsidR="00385430">
        <w:rPr>
          <w:rFonts w:cs="Arial"/>
        </w:rPr>
        <w:t>.</w:t>
      </w:r>
      <w:r w:rsidR="00437815">
        <w:rPr>
          <w:rFonts w:cs="Arial"/>
        </w:rPr>
        <w:t>” (</w:t>
      </w:r>
      <w:r w:rsidR="002C1243">
        <w:rPr>
          <w:rFonts w:cs="Arial"/>
        </w:rPr>
        <w:t xml:space="preserve">See </w:t>
      </w:r>
      <w:r w:rsidR="00437815">
        <w:rPr>
          <w:rFonts w:cs="Arial"/>
        </w:rPr>
        <w:t xml:space="preserve">Figure </w:t>
      </w:r>
      <w:r w:rsidR="008F0ABA">
        <w:rPr>
          <w:rFonts w:cs="Arial"/>
        </w:rPr>
        <w:t>5</w:t>
      </w:r>
      <w:r w:rsidR="00912D18">
        <w:rPr>
          <w:rFonts w:cs="Arial"/>
        </w:rPr>
        <w:t>-1</w:t>
      </w:r>
      <w:r w:rsidR="002C1243" w:rsidRPr="008119FB">
        <w:rPr>
          <w:rFonts w:cs="Arial"/>
        </w:rPr>
        <w:t xml:space="preserve"> below</w:t>
      </w:r>
      <w:r w:rsidR="002C1243">
        <w:rPr>
          <w:rFonts w:cs="Arial"/>
        </w:rPr>
        <w:t xml:space="preserve"> for a map of the sampling stations in the Smith River HU, Elk Creek Watershed</w:t>
      </w:r>
      <w:r w:rsidR="008B3AEE">
        <w:rPr>
          <w:rFonts w:cs="Arial"/>
        </w:rPr>
        <w:t>.</w:t>
      </w:r>
      <w:r w:rsidR="00437815">
        <w:rPr>
          <w:rFonts w:cs="Arial"/>
        </w:rPr>
        <w:t>)</w:t>
      </w:r>
      <w:r w:rsidR="00A055B9">
        <w:rPr>
          <w:rFonts w:cs="Arial"/>
        </w:rPr>
        <w:t xml:space="preserve"> The</w:t>
      </w:r>
      <w:r w:rsidR="00C44863">
        <w:rPr>
          <w:rFonts w:cs="Arial"/>
        </w:rPr>
        <w:t>se</w:t>
      </w:r>
      <w:r w:rsidR="00A055B9">
        <w:rPr>
          <w:rFonts w:cs="Arial"/>
        </w:rPr>
        <w:t xml:space="preserve"> sampling stations are located along the perimeter of Elk Valley Rancheria and the Elk Valley Off-Reservation Land Trust </w:t>
      </w:r>
      <w:r w:rsidR="00A457B6">
        <w:rPr>
          <w:rFonts w:cs="Arial"/>
        </w:rPr>
        <w:t xml:space="preserve">and </w:t>
      </w:r>
      <w:r w:rsidR="007C4476">
        <w:rPr>
          <w:rFonts w:cs="Arial"/>
        </w:rPr>
        <w:t>are</w:t>
      </w:r>
      <w:r w:rsidR="00021124">
        <w:rPr>
          <w:rFonts w:cs="Arial"/>
        </w:rPr>
        <w:t xml:space="preserve"> </w:t>
      </w:r>
      <w:r w:rsidR="00A457B6">
        <w:rPr>
          <w:rFonts w:cs="Arial"/>
        </w:rPr>
        <w:t>not</w:t>
      </w:r>
      <w:r w:rsidR="00A055B9">
        <w:rPr>
          <w:rFonts w:cs="Arial"/>
        </w:rPr>
        <w:t xml:space="preserve"> </w:t>
      </w:r>
      <w:r w:rsidR="007C4476">
        <w:rPr>
          <w:rFonts w:cs="Arial"/>
        </w:rPr>
        <w:t>with</w:t>
      </w:r>
      <w:r w:rsidR="00A055B9">
        <w:rPr>
          <w:rFonts w:cs="Arial"/>
        </w:rPr>
        <w:t xml:space="preserve">in </w:t>
      </w:r>
      <w:r w:rsidR="00ED7482">
        <w:rPr>
          <w:rFonts w:cs="Arial"/>
        </w:rPr>
        <w:t xml:space="preserve">receiving </w:t>
      </w:r>
      <w:r w:rsidR="00313069">
        <w:rPr>
          <w:rFonts w:cs="Arial"/>
        </w:rPr>
        <w:t>waterbody segments</w:t>
      </w:r>
      <w:r w:rsidR="00A055B9">
        <w:rPr>
          <w:rFonts w:cs="Arial"/>
        </w:rPr>
        <w:t xml:space="preserve">. </w:t>
      </w:r>
      <w:r w:rsidR="005E07D1">
        <w:rPr>
          <w:rFonts w:cs="Arial"/>
        </w:rPr>
        <w:t xml:space="preserve">Data that are not collected from receiving waters are not </w:t>
      </w:r>
      <w:r w:rsidR="007F2F34">
        <w:rPr>
          <w:rFonts w:cs="Arial"/>
        </w:rPr>
        <w:t>used to determine beneficial use support. Therefore</w:t>
      </w:r>
      <w:r w:rsidR="00026E93">
        <w:rPr>
          <w:rFonts w:cs="Arial"/>
        </w:rPr>
        <w:t xml:space="preserve">, </w:t>
      </w:r>
      <w:r w:rsidR="00C16EC1">
        <w:rPr>
          <w:rFonts w:cs="Arial"/>
        </w:rPr>
        <w:t>these data</w:t>
      </w:r>
      <w:r w:rsidR="00A055B9">
        <w:rPr>
          <w:rFonts w:cs="Arial"/>
        </w:rPr>
        <w:t xml:space="preserve"> were removed, which comprised </w:t>
      </w:r>
      <w:r w:rsidR="00C71BE5">
        <w:rPr>
          <w:rFonts w:cs="Arial"/>
        </w:rPr>
        <w:t xml:space="preserve">of </w:t>
      </w:r>
      <w:r w:rsidR="00A055B9">
        <w:rPr>
          <w:rFonts w:cs="Arial"/>
        </w:rPr>
        <w:t xml:space="preserve">all the data for Smith River HU, Elk Creek Watershed. Without </w:t>
      </w:r>
      <w:r w:rsidR="00A54F39">
        <w:rPr>
          <w:rFonts w:cs="Arial"/>
        </w:rPr>
        <w:t>data</w:t>
      </w:r>
      <w:r w:rsidR="00A055B9">
        <w:rPr>
          <w:rFonts w:cs="Arial"/>
        </w:rPr>
        <w:t xml:space="preserve"> to assess, data in </w:t>
      </w:r>
      <w:r w:rsidR="00716680">
        <w:rPr>
          <w:rFonts w:cs="Arial"/>
        </w:rPr>
        <w:t>LOEs</w:t>
      </w:r>
      <w:r w:rsidR="005312E5">
        <w:rPr>
          <w:rFonts w:cs="Arial"/>
        </w:rPr>
        <w:t xml:space="preserve"> created</w:t>
      </w:r>
      <w:r w:rsidR="00A055B9">
        <w:rPr>
          <w:rFonts w:cs="Arial"/>
        </w:rPr>
        <w:t xml:space="preserve"> for the 2018 and 2026 </w:t>
      </w:r>
      <w:r w:rsidR="00515C28">
        <w:rPr>
          <w:rFonts w:cs="Arial"/>
        </w:rPr>
        <w:t>California</w:t>
      </w:r>
      <w:r w:rsidR="00A055B9">
        <w:rPr>
          <w:rFonts w:cs="Arial"/>
        </w:rPr>
        <w:t xml:space="preserve"> Integrated Report were removed and the </w:t>
      </w:r>
      <w:r w:rsidR="00A350C0">
        <w:rPr>
          <w:rFonts w:cs="Arial"/>
        </w:rPr>
        <w:t>D</w:t>
      </w:r>
      <w:r w:rsidR="005E53D7">
        <w:rPr>
          <w:rFonts w:cs="Arial"/>
        </w:rPr>
        <w:t xml:space="preserve">ecisions </w:t>
      </w:r>
      <w:r w:rsidR="00A055B9">
        <w:rPr>
          <w:rFonts w:cs="Arial"/>
        </w:rPr>
        <w:t>retired. The station information for the</w:t>
      </w:r>
      <w:r w:rsidR="002B3A40">
        <w:rPr>
          <w:rFonts w:cs="Arial"/>
        </w:rPr>
        <w:t>se four</w:t>
      </w:r>
      <w:r w:rsidR="00A055B9">
        <w:rPr>
          <w:rFonts w:cs="Arial"/>
        </w:rPr>
        <w:t xml:space="preserve"> sampling stations have been updated so they will not generate </w:t>
      </w:r>
      <w:r w:rsidR="00716680">
        <w:rPr>
          <w:rFonts w:cs="Arial"/>
        </w:rPr>
        <w:t>LOEs</w:t>
      </w:r>
      <w:r w:rsidR="00A055B9">
        <w:rPr>
          <w:rFonts w:cs="Arial"/>
        </w:rPr>
        <w:t xml:space="preserve"> in future </w:t>
      </w:r>
      <w:r w:rsidR="00BA2222">
        <w:rPr>
          <w:rFonts w:cs="Arial"/>
        </w:rPr>
        <w:t xml:space="preserve">listing </w:t>
      </w:r>
      <w:r w:rsidR="00A055B9">
        <w:rPr>
          <w:rFonts w:cs="Arial"/>
        </w:rPr>
        <w:t>cycles.</w:t>
      </w:r>
      <w:r w:rsidR="00313069">
        <w:rPr>
          <w:rFonts w:cs="Arial"/>
        </w:rPr>
        <w:t xml:space="preserve"> </w:t>
      </w:r>
    </w:p>
    <w:p w14:paraId="100EBB63" w14:textId="1599C6E9" w:rsidR="00187641" w:rsidRPr="00187641" w:rsidRDefault="00187641" w:rsidP="00187641">
      <w:pPr>
        <w:pStyle w:val="Caption"/>
        <w:spacing w:before="0"/>
        <w:rPr>
          <w:rFonts w:cs="Arial"/>
          <w:i/>
          <w:szCs w:val="24"/>
        </w:rPr>
      </w:pPr>
      <w:r w:rsidRPr="008119FB">
        <w:t xml:space="preserve">Figure </w:t>
      </w:r>
      <w:r w:rsidR="00AB32F5">
        <w:t>5</w:t>
      </w:r>
      <w:r w:rsidRPr="008119FB">
        <w:noBreakHyphen/>
      </w:r>
      <w:r w:rsidR="008119FB" w:rsidRPr="008119FB">
        <w:t>1</w:t>
      </w:r>
      <w:r w:rsidRPr="008119FB">
        <w:t>:</w:t>
      </w:r>
      <w:r w:rsidRPr="008119FB">
        <w:rPr>
          <w:rFonts w:cs="Arial"/>
          <w:szCs w:val="24"/>
        </w:rPr>
        <w:t xml:space="preserve"> </w:t>
      </w:r>
      <w:r w:rsidR="00705985">
        <w:rPr>
          <w:rFonts w:cs="Arial"/>
          <w:szCs w:val="24"/>
        </w:rPr>
        <w:t>Smith River Hydrologic Unit, Elk Creek Watershed Sampling Stations</w:t>
      </w:r>
    </w:p>
    <w:p w14:paraId="10FB0CE6" w14:textId="77777777" w:rsidR="00A055B9" w:rsidRPr="00CE1F8D" w:rsidRDefault="00A055B9" w:rsidP="00A055B9">
      <w:pPr>
        <w:spacing w:after="0"/>
        <w:rPr>
          <w:rFonts w:cs="Arial"/>
        </w:rPr>
      </w:pPr>
      <w:r w:rsidRPr="00CE1F8D">
        <w:rPr>
          <w:rFonts w:cs="Arial"/>
          <w:noProof/>
        </w:rPr>
        <w:drawing>
          <wp:inline distT="0" distB="0" distL="0" distR="0" wp14:anchorId="1DCA213A" wp14:editId="6E696404">
            <wp:extent cx="5943600" cy="4592955"/>
            <wp:effectExtent l="0" t="0" r="0" b="0"/>
            <wp:docPr id="2102281784" name="Picture 1" descr="Map of the sampling stations in the Smith River HU, Elk Creek Watershed. The map shows that the sampling stations are along the perimeter of the Elk Valley Rancheria rather than being in water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81784" name="Picture 1" descr="Map of the sampling stations in the Smith River HU, Elk Creek Watershed. The map shows that the sampling stations are along the perimeter of the Elk Valley Rancheria rather than being in waterbodies."/>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F777AA0" w14:textId="53B5A35F" w:rsidR="001D5382" w:rsidRPr="001D5382" w:rsidRDefault="001D5382" w:rsidP="00A3765E">
      <w:pPr>
        <w:pStyle w:val="Heading2"/>
      </w:pPr>
      <w:bookmarkStart w:id="150" w:name="_Toc189048614"/>
      <w:r>
        <w:t>Klamath River Dam Removal Update</w:t>
      </w:r>
      <w:bookmarkEnd w:id="150"/>
    </w:p>
    <w:p w14:paraId="0F06056E" w14:textId="15A9F98A" w:rsidR="006B5923" w:rsidRDefault="00AE5D64" w:rsidP="00B5465D">
      <w:r>
        <w:t>Four dams</w:t>
      </w:r>
      <w:r w:rsidR="00E4231A">
        <w:t xml:space="preserve"> on the Klamath River </w:t>
      </w:r>
      <w:r w:rsidR="00AA2C42">
        <w:t>were</w:t>
      </w:r>
      <w:r w:rsidR="00E4231A">
        <w:t xml:space="preserve"> removed</w:t>
      </w:r>
      <w:r w:rsidR="00670637">
        <w:t xml:space="preserve"> during 2023 and 2024</w:t>
      </w:r>
      <w:r w:rsidR="00A26C0B">
        <w:t xml:space="preserve">, as shown </w:t>
      </w:r>
      <w:r w:rsidR="005F3C00">
        <w:t>below</w:t>
      </w:r>
      <w:r w:rsidR="00A26C0B">
        <w:t xml:space="preserve"> in </w:t>
      </w:r>
      <w:r w:rsidR="00A26C0B">
        <w:rPr>
          <w:szCs w:val="24"/>
        </w:rPr>
        <w:t xml:space="preserve">Figure </w:t>
      </w:r>
      <w:r w:rsidR="008F0ABA">
        <w:rPr>
          <w:szCs w:val="24"/>
        </w:rPr>
        <w:t>5</w:t>
      </w:r>
      <w:r w:rsidR="00F757AE">
        <w:rPr>
          <w:szCs w:val="24"/>
        </w:rPr>
        <w:t>-2</w:t>
      </w:r>
      <w:r w:rsidR="005F3C00">
        <w:rPr>
          <w:szCs w:val="24"/>
        </w:rPr>
        <w:t>.</w:t>
      </w:r>
      <w:r w:rsidR="00A26C0B">
        <w:rPr>
          <w:szCs w:val="24"/>
        </w:rPr>
        <w:t xml:space="preserve"> </w:t>
      </w:r>
      <w:r w:rsidR="00AF0A78">
        <w:t>JC Boyle dam is in Oregon and Iron Gate,</w:t>
      </w:r>
      <w:r w:rsidR="00457275">
        <w:t xml:space="preserve"> </w:t>
      </w:r>
      <w:r w:rsidR="00AF0A78">
        <w:t xml:space="preserve">Copco 1, and Copco 2 dams are in California. </w:t>
      </w:r>
      <w:r w:rsidR="0037440F">
        <w:t xml:space="preserve">The dam removals </w:t>
      </w:r>
      <w:r w:rsidR="00AA2C42">
        <w:t xml:space="preserve">have had and </w:t>
      </w:r>
      <w:r w:rsidR="0037440F">
        <w:t xml:space="preserve">will </w:t>
      </w:r>
      <w:r w:rsidR="00AA2C42">
        <w:t>continue to</w:t>
      </w:r>
      <w:r w:rsidR="0037440F">
        <w:t xml:space="preserve"> have a significant impact on Klamath River hydrology</w:t>
      </w:r>
      <w:r w:rsidR="00827BC9">
        <w:t xml:space="preserve"> and</w:t>
      </w:r>
      <w:r w:rsidR="001C6932">
        <w:t xml:space="preserve"> </w:t>
      </w:r>
      <w:r w:rsidR="00D02BDE">
        <w:t>water quality</w:t>
      </w:r>
      <w:r w:rsidR="007A0DE9">
        <w:t xml:space="preserve">, </w:t>
      </w:r>
      <w:r w:rsidR="004674CD">
        <w:t xml:space="preserve">temporarily and </w:t>
      </w:r>
      <w:r w:rsidR="00DA7CF1">
        <w:t>on a long-term basis.</w:t>
      </w:r>
      <w:r w:rsidR="00424252">
        <w:t xml:space="preserve"> </w:t>
      </w:r>
    </w:p>
    <w:p w14:paraId="1E999B66" w14:textId="35B662B5" w:rsidR="00F3581A" w:rsidRPr="009B6F31" w:rsidRDefault="00424252" w:rsidP="00B5465D">
      <w:r>
        <w:t>D</w:t>
      </w:r>
      <w:r w:rsidR="00CB1B82">
        <w:t xml:space="preserve">ata </w:t>
      </w:r>
      <w:r w:rsidR="006E1703">
        <w:t>evaluated</w:t>
      </w:r>
      <w:r w:rsidR="006B5923">
        <w:t xml:space="preserve"> for the 2026 Integrated Report were collected prior to the data s</w:t>
      </w:r>
      <w:r w:rsidR="00820444">
        <w:t xml:space="preserve">olicitation cut-off date of October 21, 2022. </w:t>
      </w:r>
      <w:r w:rsidR="004418B4" w:rsidRPr="004418B4">
        <w:t xml:space="preserve">The goal </w:t>
      </w:r>
      <w:r w:rsidR="004418B4">
        <w:t xml:space="preserve">of assessing data </w:t>
      </w:r>
      <w:r w:rsidR="004418B4" w:rsidRPr="004418B4">
        <w:t>is to determine if water quality standards are attained or not attained</w:t>
      </w:r>
      <w:r w:rsidR="009B6F31">
        <w:t xml:space="preserve"> </w:t>
      </w:r>
      <w:r w:rsidR="004418B4" w:rsidRPr="004418B4">
        <w:t>in the water segment under consideration. Data and information should be</w:t>
      </w:r>
      <w:r w:rsidR="009B6F31">
        <w:t xml:space="preserve"> as </w:t>
      </w:r>
      <w:r w:rsidR="004418B4" w:rsidRPr="004418B4">
        <w:t>representative as possible of true conditions of the water bod</w:t>
      </w:r>
      <w:r w:rsidR="009B6F31">
        <w:t>y</w:t>
      </w:r>
      <w:r w:rsidR="004418B4" w:rsidRPr="004418B4">
        <w:t>.</w:t>
      </w:r>
      <w:r w:rsidR="009B6F31">
        <w:t xml:space="preserve"> </w:t>
      </w:r>
      <w:r w:rsidR="00943377">
        <w:t>All d</w:t>
      </w:r>
      <w:r w:rsidR="00CB1B82">
        <w:t xml:space="preserve">ata </w:t>
      </w:r>
      <w:r w:rsidR="00ED0D6D">
        <w:t>from</w:t>
      </w:r>
      <w:r w:rsidR="00CB1B82">
        <w:t xml:space="preserve"> the </w:t>
      </w:r>
      <w:r w:rsidR="00D83DBD">
        <w:t>Klamath River</w:t>
      </w:r>
      <w:r w:rsidR="00CB1B82">
        <w:t xml:space="preserve"> </w:t>
      </w:r>
      <w:r w:rsidR="00946B8B">
        <w:t xml:space="preserve">mainstem </w:t>
      </w:r>
      <w:r w:rsidR="00CB1B82">
        <w:t xml:space="preserve">and reservoirs </w:t>
      </w:r>
      <w:r w:rsidR="00943377">
        <w:t xml:space="preserve">applicable to all pollutants </w:t>
      </w:r>
      <w:r w:rsidR="006E1703">
        <w:t>were</w:t>
      </w:r>
      <w:r w:rsidR="007B3323">
        <w:t xml:space="preserve"> evaluated</w:t>
      </w:r>
      <w:r w:rsidR="00D47D3D">
        <w:t xml:space="preserve"> but</w:t>
      </w:r>
      <w:r w:rsidR="00A1397C">
        <w:t xml:space="preserve"> not assessed for the 2026 </w:t>
      </w:r>
      <w:r w:rsidR="00FE417D">
        <w:t xml:space="preserve">California </w:t>
      </w:r>
      <w:r w:rsidR="00A1397C">
        <w:t xml:space="preserve">Integrated </w:t>
      </w:r>
      <w:r w:rsidR="00D4175C">
        <w:t>Report</w:t>
      </w:r>
      <w:r w:rsidR="006E1703">
        <w:t xml:space="preserve"> because pre-dam removal data do not reflect current water quality conditions</w:t>
      </w:r>
      <w:r w:rsidR="00D4175C">
        <w:t xml:space="preserve">. Data collected and submitted after the </w:t>
      </w:r>
      <w:r w:rsidR="008119FB">
        <w:t>drawdowns</w:t>
      </w:r>
      <w:r w:rsidR="00D4175C" w:rsidRPr="00D4175C">
        <w:rPr>
          <w:szCs w:val="24"/>
        </w:rPr>
        <w:t xml:space="preserve"> and dam removals will be assessed in </w:t>
      </w:r>
      <w:r w:rsidR="00381467">
        <w:rPr>
          <w:szCs w:val="24"/>
        </w:rPr>
        <w:t>a</w:t>
      </w:r>
      <w:r w:rsidR="00D4175C" w:rsidRPr="00D4175C">
        <w:rPr>
          <w:szCs w:val="24"/>
        </w:rPr>
        <w:t xml:space="preserve"> future </w:t>
      </w:r>
      <w:r w:rsidR="00E84EF7">
        <w:rPr>
          <w:szCs w:val="24"/>
        </w:rPr>
        <w:t>California</w:t>
      </w:r>
      <w:r w:rsidR="00D4175C" w:rsidRPr="00D4175C">
        <w:rPr>
          <w:szCs w:val="24"/>
        </w:rPr>
        <w:t xml:space="preserve"> Integrated Report. This </w:t>
      </w:r>
      <w:r w:rsidR="00772DBD">
        <w:rPr>
          <w:szCs w:val="24"/>
        </w:rPr>
        <w:t>approach</w:t>
      </w:r>
      <w:r w:rsidR="00D4175C" w:rsidRPr="00D4175C">
        <w:rPr>
          <w:szCs w:val="24"/>
        </w:rPr>
        <w:t xml:space="preserve"> is </w:t>
      </w:r>
      <w:r w:rsidR="00772DBD">
        <w:rPr>
          <w:szCs w:val="24"/>
        </w:rPr>
        <w:t>consistent</w:t>
      </w:r>
      <w:r w:rsidR="00D4175C" w:rsidRPr="00D4175C">
        <w:rPr>
          <w:szCs w:val="24"/>
        </w:rPr>
        <w:t xml:space="preserve"> with </w:t>
      </w:r>
      <w:r w:rsidR="00F86716">
        <w:rPr>
          <w:szCs w:val="24"/>
        </w:rPr>
        <w:t>s</w:t>
      </w:r>
      <w:r w:rsidR="00AC0F54" w:rsidRPr="00D4175C">
        <w:rPr>
          <w:szCs w:val="24"/>
        </w:rPr>
        <w:t>ection 6.1.5.3 of the Listing Policy</w:t>
      </w:r>
      <w:r w:rsidR="00772DBD">
        <w:rPr>
          <w:szCs w:val="24"/>
        </w:rPr>
        <w:t>, which</w:t>
      </w:r>
      <w:r w:rsidR="00AC0F54" w:rsidRPr="00D4175C">
        <w:rPr>
          <w:szCs w:val="24"/>
        </w:rPr>
        <w:t xml:space="preserve"> states that "</w:t>
      </w:r>
      <w:r w:rsidR="00772DBD">
        <w:rPr>
          <w:szCs w:val="24"/>
        </w:rPr>
        <w:t>[i]</w:t>
      </w:r>
      <w:r w:rsidR="00772DBD" w:rsidRPr="00D4175C">
        <w:rPr>
          <w:szCs w:val="24"/>
        </w:rPr>
        <w:t>f</w:t>
      </w:r>
      <w:r w:rsidR="00AC0F54" w:rsidRPr="00D4175C">
        <w:rPr>
          <w:szCs w:val="24"/>
        </w:rPr>
        <w:t xml:space="preserve"> the implementation of a management practice(s) has resulted in a change in the waterbody segment, only recently collected data [since the implementation of the management measure(s)] should be considered</w:t>
      </w:r>
      <w:r w:rsidR="00D4175C" w:rsidRPr="00D4175C">
        <w:rPr>
          <w:szCs w:val="24"/>
        </w:rPr>
        <w:t>.”</w:t>
      </w:r>
      <w:r w:rsidR="0068545C">
        <w:rPr>
          <w:szCs w:val="24"/>
        </w:rPr>
        <w:t xml:space="preserve"> The </w:t>
      </w:r>
      <w:r w:rsidR="0052508D">
        <w:rPr>
          <w:szCs w:val="24"/>
        </w:rPr>
        <w:t xml:space="preserve">Klamath River </w:t>
      </w:r>
      <w:r w:rsidR="00643D23">
        <w:rPr>
          <w:szCs w:val="24"/>
        </w:rPr>
        <w:t xml:space="preserve">waterbody segments </w:t>
      </w:r>
      <w:r w:rsidR="0052508D">
        <w:rPr>
          <w:szCs w:val="24"/>
        </w:rPr>
        <w:t xml:space="preserve">will be remapped in a future </w:t>
      </w:r>
      <w:r w:rsidR="005A1E6A">
        <w:rPr>
          <w:szCs w:val="24"/>
        </w:rPr>
        <w:t xml:space="preserve">listing </w:t>
      </w:r>
      <w:r w:rsidR="00643D23">
        <w:rPr>
          <w:szCs w:val="24"/>
        </w:rPr>
        <w:t>cycle to reflect the removal of the dams.</w:t>
      </w:r>
      <w:r w:rsidR="00946B8B">
        <w:rPr>
          <w:szCs w:val="24"/>
        </w:rPr>
        <w:t xml:space="preserve"> </w:t>
      </w:r>
    </w:p>
    <w:p w14:paraId="4DDAD03E" w14:textId="38665E44" w:rsidR="00D26737" w:rsidRDefault="00D26737" w:rsidP="00D26737">
      <w:pPr>
        <w:pStyle w:val="Caption"/>
        <w:spacing w:before="0"/>
        <w:rPr>
          <w:szCs w:val="24"/>
        </w:rPr>
      </w:pPr>
      <w:r w:rsidRPr="00E12549">
        <w:t xml:space="preserve">Figure </w:t>
      </w:r>
      <w:r w:rsidR="00AB32F5">
        <w:t>5</w:t>
      </w:r>
      <w:r w:rsidRPr="00E12549">
        <w:noBreakHyphen/>
      </w:r>
      <w:r>
        <w:fldChar w:fldCharType="begin"/>
      </w:r>
      <w:r>
        <w:instrText xml:space="preserve"> SEQ Figure \* ARABIC \s 1 </w:instrText>
      </w:r>
      <w:r>
        <w:fldChar w:fldCharType="separate"/>
      </w:r>
      <w:r w:rsidRPr="00E12549">
        <w:t>2</w:t>
      </w:r>
      <w:r>
        <w:fldChar w:fldCharType="end"/>
      </w:r>
      <w:r w:rsidR="00763958">
        <w:t>:</w:t>
      </w:r>
      <w:r w:rsidRPr="00E12549">
        <w:t xml:space="preserve"> </w:t>
      </w:r>
      <w:r w:rsidRPr="00E12549">
        <w:rPr>
          <w:szCs w:val="24"/>
        </w:rPr>
        <w:t xml:space="preserve">Map of </w:t>
      </w:r>
      <w:r>
        <w:rPr>
          <w:szCs w:val="24"/>
        </w:rPr>
        <w:t>R</w:t>
      </w:r>
      <w:r w:rsidRPr="00E12549">
        <w:rPr>
          <w:szCs w:val="24"/>
        </w:rPr>
        <w:t xml:space="preserve">emoved </w:t>
      </w:r>
      <w:r>
        <w:rPr>
          <w:szCs w:val="24"/>
        </w:rPr>
        <w:t>D</w:t>
      </w:r>
      <w:r w:rsidRPr="00E12549">
        <w:rPr>
          <w:szCs w:val="24"/>
        </w:rPr>
        <w:t xml:space="preserve">ams on the </w:t>
      </w:r>
      <w:r>
        <w:rPr>
          <w:szCs w:val="24"/>
        </w:rPr>
        <w:t>M</w:t>
      </w:r>
      <w:r w:rsidRPr="00E12549">
        <w:rPr>
          <w:szCs w:val="24"/>
        </w:rPr>
        <w:t>ainstem Klamath River</w:t>
      </w:r>
    </w:p>
    <w:p w14:paraId="2C1690C7" w14:textId="38BCF34F" w:rsidR="00101D7B" w:rsidRDefault="001F5460" w:rsidP="0012053E">
      <w:pPr>
        <w:spacing w:after="0"/>
        <w:rPr>
          <w:szCs w:val="24"/>
        </w:rPr>
      </w:pPr>
      <w:r>
        <w:rPr>
          <w:noProof/>
          <w:szCs w:val="24"/>
        </w:rPr>
        <w:drawing>
          <wp:inline distT="0" distB="0" distL="0" distR="0" wp14:anchorId="43CEF7D7" wp14:editId="1DB99C9E">
            <wp:extent cx="5943600" cy="4592955"/>
            <wp:effectExtent l="0" t="0" r="0" b="0"/>
            <wp:docPr id="1185128082" name="Picture 1" descr="Map of dams being removed on the Klamath River. The map shows the locations of John C Boyle dam in Oregon and Copco 1, Copco 2, and Iron Gate dams i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28082" name="Picture 1" descr="Map of dams being removed on the Klamath River. The map shows the locations of John C Boyle dam in Oregon and Copco 1, Copco 2, and Iron Gate dams in California."/>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FD17419" w14:textId="7601D2B6" w:rsidR="008119FB" w:rsidRPr="00E83696" w:rsidRDefault="008119FB" w:rsidP="0012053E">
      <w:pPr>
        <w:spacing w:after="0"/>
        <w:rPr>
          <w:i/>
          <w:iCs/>
          <w:szCs w:val="24"/>
        </w:rPr>
      </w:pPr>
      <w:r w:rsidRPr="00E83696">
        <w:rPr>
          <w:i/>
          <w:iCs/>
          <w:szCs w:val="24"/>
        </w:rPr>
        <w:t>Map created by Whitney Seymour, Geographer at the USGS California Water Science Center</w:t>
      </w:r>
    </w:p>
    <w:p w14:paraId="43A2C434" w14:textId="641310FE" w:rsidR="00B63E41" w:rsidRDefault="00B63E41" w:rsidP="00B63E41">
      <w:pPr>
        <w:spacing w:before="360"/>
        <w:rPr>
          <w:szCs w:val="24"/>
        </w:rPr>
      </w:pPr>
      <w:r>
        <w:rPr>
          <w:szCs w:val="24"/>
        </w:rPr>
        <w:t xml:space="preserve">While data for the Klamath River mainstem </w:t>
      </w:r>
      <w:r w:rsidR="003C663C">
        <w:rPr>
          <w:szCs w:val="24"/>
        </w:rPr>
        <w:t xml:space="preserve">and reservoirs </w:t>
      </w:r>
      <w:r w:rsidR="00A569EC">
        <w:rPr>
          <w:szCs w:val="24"/>
        </w:rPr>
        <w:t>were</w:t>
      </w:r>
      <w:r w:rsidR="0016385D">
        <w:rPr>
          <w:szCs w:val="24"/>
        </w:rPr>
        <w:t xml:space="preserve"> </w:t>
      </w:r>
      <w:r>
        <w:rPr>
          <w:szCs w:val="24"/>
        </w:rPr>
        <w:t>not assessed</w:t>
      </w:r>
      <w:r w:rsidR="00CB690C">
        <w:rPr>
          <w:szCs w:val="24"/>
        </w:rPr>
        <w:t xml:space="preserve"> for </w:t>
      </w:r>
      <w:r w:rsidR="00663ED0">
        <w:rPr>
          <w:szCs w:val="24"/>
        </w:rPr>
        <w:t>all</w:t>
      </w:r>
      <w:r w:rsidR="00CB690C">
        <w:rPr>
          <w:szCs w:val="24"/>
        </w:rPr>
        <w:t xml:space="preserve"> pollutants</w:t>
      </w:r>
      <w:r>
        <w:rPr>
          <w:szCs w:val="24"/>
        </w:rPr>
        <w:t xml:space="preserve">, data for tributaries to the mainstem Klamath River </w:t>
      </w:r>
      <w:r w:rsidR="0016385D">
        <w:rPr>
          <w:szCs w:val="24"/>
        </w:rPr>
        <w:t>were assessed</w:t>
      </w:r>
      <w:r>
        <w:rPr>
          <w:szCs w:val="24"/>
        </w:rPr>
        <w:t xml:space="preserve">, resulting in a </w:t>
      </w:r>
      <w:r w:rsidR="00284F34">
        <w:rPr>
          <w:szCs w:val="24"/>
        </w:rPr>
        <w:t>“L</w:t>
      </w:r>
      <w:r>
        <w:rPr>
          <w:szCs w:val="24"/>
        </w:rPr>
        <w:t>ist</w:t>
      </w:r>
      <w:r w:rsidR="00284F34">
        <w:rPr>
          <w:szCs w:val="24"/>
        </w:rPr>
        <w:t>”</w:t>
      </w:r>
      <w:r w:rsidR="00485BA5">
        <w:rPr>
          <w:szCs w:val="24"/>
        </w:rPr>
        <w:t xml:space="preserve"> </w:t>
      </w:r>
      <w:r w:rsidR="00284F34">
        <w:rPr>
          <w:szCs w:val="24"/>
        </w:rPr>
        <w:t>Decision</w:t>
      </w:r>
      <w:r>
        <w:rPr>
          <w:szCs w:val="24"/>
        </w:rPr>
        <w:t xml:space="preserve"> for turbidity </w:t>
      </w:r>
      <w:r w:rsidR="00363845">
        <w:rPr>
          <w:szCs w:val="24"/>
        </w:rPr>
        <w:t>impacts to the Municipal and Domestic Supply beneficial use</w:t>
      </w:r>
      <w:r>
        <w:rPr>
          <w:szCs w:val="24"/>
        </w:rPr>
        <w:t xml:space="preserve"> in Bogus Creek, which is in the Klamath River HU, Middle HA, Iron Gate Dam to Scott River waterbody</w:t>
      </w:r>
      <w:r w:rsidR="00A87B1C">
        <w:rPr>
          <w:szCs w:val="24"/>
        </w:rPr>
        <w:t xml:space="preserve"> segment</w:t>
      </w:r>
      <w:r>
        <w:rPr>
          <w:szCs w:val="24"/>
        </w:rPr>
        <w:t xml:space="preserve">. In addition, there are </w:t>
      </w:r>
      <w:r w:rsidR="000D54D5">
        <w:rPr>
          <w:szCs w:val="24"/>
        </w:rPr>
        <w:t>four</w:t>
      </w:r>
      <w:r>
        <w:rPr>
          <w:szCs w:val="24"/>
        </w:rPr>
        <w:t xml:space="preserve"> </w:t>
      </w:r>
      <w:r w:rsidR="00653A2A">
        <w:rPr>
          <w:szCs w:val="24"/>
        </w:rPr>
        <w:t>Decisions</w:t>
      </w:r>
      <w:r>
        <w:rPr>
          <w:szCs w:val="24"/>
        </w:rPr>
        <w:t xml:space="preserve"> that appear as new </w:t>
      </w:r>
      <w:r w:rsidR="006D0D89">
        <w:rPr>
          <w:szCs w:val="24"/>
        </w:rPr>
        <w:t xml:space="preserve">“List” Decisions; however, </w:t>
      </w:r>
      <w:r w:rsidR="00F974E9">
        <w:rPr>
          <w:szCs w:val="24"/>
        </w:rPr>
        <w:t>these Decisions are</w:t>
      </w:r>
      <w:r w:rsidR="001A6BD3">
        <w:rPr>
          <w:szCs w:val="24"/>
        </w:rPr>
        <w:t xml:space="preserve"> consistent with the 2018 California Integrated Report </w:t>
      </w:r>
      <w:r w:rsidR="00B247D7">
        <w:rPr>
          <w:szCs w:val="24"/>
        </w:rPr>
        <w:t>with the exception of</w:t>
      </w:r>
      <w:r>
        <w:rPr>
          <w:szCs w:val="24"/>
        </w:rPr>
        <w:t xml:space="preserve"> the pollutant name</w:t>
      </w:r>
      <w:r w:rsidR="00AB0046">
        <w:rPr>
          <w:szCs w:val="24"/>
        </w:rPr>
        <w:t>s</w:t>
      </w:r>
      <w:r>
        <w:rPr>
          <w:szCs w:val="24"/>
        </w:rPr>
        <w:t xml:space="preserve"> being updated. </w:t>
      </w:r>
      <w:r w:rsidR="002557BF">
        <w:rPr>
          <w:szCs w:val="24"/>
        </w:rPr>
        <w:t xml:space="preserve">See </w:t>
      </w:r>
      <w:r w:rsidR="002557BF" w:rsidRPr="00300CF1">
        <w:rPr>
          <w:szCs w:val="24"/>
        </w:rPr>
        <w:t xml:space="preserve">Table </w:t>
      </w:r>
      <w:r w:rsidR="008F0ABA">
        <w:rPr>
          <w:szCs w:val="24"/>
        </w:rPr>
        <w:t>5</w:t>
      </w:r>
      <w:r w:rsidR="002557BF" w:rsidRPr="00300CF1">
        <w:rPr>
          <w:szCs w:val="24"/>
        </w:rPr>
        <w:t>-</w:t>
      </w:r>
      <w:r w:rsidR="00300CF1" w:rsidRPr="00300CF1">
        <w:rPr>
          <w:szCs w:val="24"/>
        </w:rPr>
        <w:t>3</w:t>
      </w:r>
      <w:r w:rsidR="002557BF" w:rsidRPr="00300CF1">
        <w:rPr>
          <w:szCs w:val="24"/>
        </w:rPr>
        <w:t xml:space="preserve"> below for Decisions with new pollutant names.</w:t>
      </w:r>
    </w:p>
    <w:p w14:paraId="15476DF9" w14:textId="4D93524F" w:rsidR="00FC009B" w:rsidRPr="00E12549" w:rsidRDefault="000D54D5" w:rsidP="000D54D5">
      <w:pPr>
        <w:pStyle w:val="Caption"/>
        <w:rPr>
          <w:szCs w:val="24"/>
        </w:rPr>
      </w:pPr>
      <w:r w:rsidRPr="00300CF1">
        <w:t xml:space="preserve">Table </w:t>
      </w:r>
      <w:r w:rsidR="00AB32F5">
        <w:t>5</w:t>
      </w:r>
      <w:r w:rsidR="00D311E2" w:rsidRPr="00300CF1">
        <w:noBreakHyphen/>
      </w:r>
      <w:r w:rsidR="00300CF1" w:rsidRPr="00300CF1">
        <w:t>3</w:t>
      </w:r>
      <w:r w:rsidR="009C08F8" w:rsidRPr="00300CF1">
        <w:t>:</w:t>
      </w:r>
      <w:r w:rsidRPr="00300CF1">
        <w:t xml:space="preserve"> </w:t>
      </w:r>
      <w:r w:rsidR="00300CF1">
        <w:t>Klamath Riv</w:t>
      </w:r>
      <w:r w:rsidR="004303CD">
        <w:t xml:space="preserve">er </w:t>
      </w:r>
      <w:r w:rsidR="00F40BC7">
        <w:t xml:space="preserve">Hydrologic Unit </w:t>
      </w:r>
      <w:r w:rsidR="003122F9" w:rsidRPr="00300CF1">
        <w:t>D</w:t>
      </w:r>
      <w:r w:rsidR="007C3EF5" w:rsidRPr="00300CF1">
        <w:t>ecisions</w:t>
      </w:r>
      <w:r w:rsidR="007C3EF5" w:rsidRPr="00E12549">
        <w:t xml:space="preserve"> with </w:t>
      </w:r>
      <w:r w:rsidR="003122F9">
        <w:t>N</w:t>
      </w:r>
      <w:r w:rsidR="003122F9" w:rsidRPr="00E12549">
        <w:t xml:space="preserve">ew </w:t>
      </w:r>
      <w:r w:rsidR="003122F9">
        <w:t>P</w:t>
      </w:r>
      <w:r w:rsidR="003122F9" w:rsidRPr="00E12549">
        <w:t xml:space="preserve">ollutant </w:t>
      </w:r>
      <w:r w:rsidR="003122F9">
        <w:t>N</w:t>
      </w:r>
      <w:r w:rsidR="003122F9" w:rsidRPr="00E12549">
        <w:t>ames</w:t>
      </w:r>
    </w:p>
    <w:tbl>
      <w:tblPr>
        <w:tblStyle w:val="TableGrid"/>
        <w:tblW w:w="5000" w:type="pct"/>
        <w:tblLook w:val="04A0" w:firstRow="1" w:lastRow="0" w:firstColumn="1" w:lastColumn="0" w:noHBand="0" w:noVBand="1"/>
        <w:tblCaption w:val="Klamath River Hydrologic Unit Decisions with New Pollutant Names"/>
        <w:tblDescription w:val="This table lists the Klamath River hydrologic unit decisions that had name changes during the 2026 California Integrated Report listing cycle. It provides their 2018 Pollutant Name and their 2026 Pollutant Name. "/>
      </w:tblPr>
      <w:tblGrid>
        <w:gridCol w:w="4045"/>
        <w:gridCol w:w="2708"/>
        <w:gridCol w:w="2597"/>
      </w:tblGrid>
      <w:tr w:rsidR="00282012" w14:paraId="2EC9C692" w14:textId="24645470" w:rsidTr="00684D6C">
        <w:tc>
          <w:tcPr>
            <w:tcW w:w="2163" w:type="pct"/>
            <w:shd w:val="clear" w:color="auto" w:fill="D9E2F3" w:themeFill="accent1" w:themeFillTint="33"/>
          </w:tcPr>
          <w:p w14:paraId="321D8D84" w14:textId="08EA2ED7" w:rsidR="00282012" w:rsidRPr="005B722D" w:rsidRDefault="00282012" w:rsidP="00684D6C">
            <w:pPr>
              <w:spacing w:before="120" w:after="120"/>
              <w:jc w:val="center"/>
              <w:rPr>
                <w:b/>
                <w:szCs w:val="24"/>
              </w:rPr>
            </w:pPr>
            <w:r w:rsidRPr="005B722D">
              <w:rPr>
                <w:b/>
                <w:szCs w:val="24"/>
              </w:rPr>
              <w:t>Waterbody</w:t>
            </w:r>
            <w:r w:rsidR="00684D6C">
              <w:rPr>
                <w:b/>
                <w:szCs w:val="24"/>
              </w:rPr>
              <w:t xml:space="preserve"> </w:t>
            </w:r>
            <w:r w:rsidR="00485BA5">
              <w:rPr>
                <w:b/>
                <w:szCs w:val="24"/>
              </w:rPr>
              <w:t>Segment</w:t>
            </w:r>
            <w:r w:rsidR="00684D6C">
              <w:rPr>
                <w:b/>
                <w:szCs w:val="24"/>
              </w:rPr>
              <w:t xml:space="preserve"> Name</w:t>
            </w:r>
          </w:p>
        </w:tc>
        <w:tc>
          <w:tcPr>
            <w:tcW w:w="1448" w:type="pct"/>
            <w:shd w:val="clear" w:color="auto" w:fill="D9E2F3" w:themeFill="accent1" w:themeFillTint="33"/>
          </w:tcPr>
          <w:p w14:paraId="32CABCF9" w14:textId="2AE4B153" w:rsidR="00282012" w:rsidRPr="005B722D" w:rsidRDefault="00282012" w:rsidP="00684D6C">
            <w:pPr>
              <w:spacing w:before="120" w:after="120"/>
              <w:jc w:val="center"/>
              <w:rPr>
                <w:b/>
                <w:szCs w:val="24"/>
              </w:rPr>
            </w:pPr>
            <w:r w:rsidRPr="005B722D">
              <w:rPr>
                <w:b/>
                <w:szCs w:val="24"/>
              </w:rPr>
              <w:t>2018 Pollutant Name</w:t>
            </w:r>
          </w:p>
        </w:tc>
        <w:tc>
          <w:tcPr>
            <w:tcW w:w="1389" w:type="pct"/>
            <w:shd w:val="clear" w:color="auto" w:fill="D9E2F3" w:themeFill="accent1" w:themeFillTint="33"/>
          </w:tcPr>
          <w:p w14:paraId="26C062E4" w14:textId="389BC595" w:rsidR="00282012" w:rsidRPr="005B722D" w:rsidRDefault="005B722D" w:rsidP="00684D6C">
            <w:pPr>
              <w:spacing w:before="120" w:after="120"/>
              <w:jc w:val="center"/>
              <w:rPr>
                <w:b/>
                <w:szCs w:val="24"/>
              </w:rPr>
            </w:pPr>
            <w:r w:rsidRPr="005B722D">
              <w:rPr>
                <w:b/>
                <w:bCs/>
                <w:szCs w:val="24"/>
              </w:rPr>
              <w:t>2026 Pollutant Name</w:t>
            </w:r>
          </w:p>
        </w:tc>
      </w:tr>
      <w:tr w:rsidR="00282012" w14:paraId="533958A7" w14:textId="6C4A910D" w:rsidTr="00551BFB">
        <w:tc>
          <w:tcPr>
            <w:tcW w:w="2163" w:type="pct"/>
          </w:tcPr>
          <w:p w14:paraId="0DD3922E" w14:textId="36E38244" w:rsidR="00282012" w:rsidRDefault="00637881" w:rsidP="00684D6C">
            <w:pPr>
              <w:spacing w:before="120" w:after="120"/>
              <w:rPr>
                <w:szCs w:val="24"/>
              </w:rPr>
            </w:pPr>
            <w:r w:rsidRPr="00637881">
              <w:rPr>
                <w:szCs w:val="24"/>
              </w:rPr>
              <w:t>Klamath River HU, Middle HA, Oregon to Iron Gate</w:t>
            </w:r>
          </w:p>
        </w:tc>
        <w:tc>
          <w:tcPr>
            <w:tcW w:w="1448" w:type="pct"/>
          </w:tcPr>
          <w:p w14:paraId="089B9899" w14:textId="0B962C6D" w:rsidR="00282012" w:rsidRDefault="00A223BE" w:rsidP="00684D6C">
            <w:pPr>
              <w:spacing w:before="120" w:after="120"/>
              <w:rPr>
                <w:szCs w:val="24"/>
              </w:rPr>
            </w:pPr>
            <w:r w:rsidRPr="00A223BE">
              <w:rPr>
                <w:szCs w:val="24"/>
              </w:rPr>
              <w:t>Cyanobacteria hepatotoxic microcystins</w:t>
            </w:r>
          </w:p>
        </w:tc>
        <w:tc>
          <w:tcPr>
            <w:tcW w:w="1389" w:type="pct"/>
          </w:tcPr>
          <w:p w14:paraId="5439EDAA" w14:textId="16F99AD5" w:rsidR="00282012" w:rsidRDefault="00A223BE" w:rsidP="00684D6C">
            <w:pPr>
              <w:spacing w:before="120" w:after="120"/>
              <w:rPr>
                <w:szCs w:val="24"/>
              </w:rPr>
            </w:pPr>
            <w:r>
              <w:rPr>
                <w:szCs w:val="24"/>
              </w:rPr>
              <w:t>Microcystins</w:t>
            </w:r>
          </w:p>
        </w:tc>
      </w:tr>
      <w:tr w:rsidR="00282012" w14:paraId="223FDFBD" w14:textId="7229148F" w:rsidTr="00551BFB">
        <w:tc>
          <w:tcPr>
            <w:tcW w:w="2163" w:type="pct"/>
          </w:tcPr>
          <w:p w14:paraId="5A0AE76B" w14:textId="46DD14C5" w:rsidR="00282012" w:rsidRDefault="00AC4700" w:rsidP="00684D6C">
            <w:pPr>
              <w:spacing w:before="120" w:after="120"/>
              <w:rPr>
                <w:szCs w:val="24"/>
              </w:rPr>
            </w:pPr>
            <w:r w:rsidRPr="00AC4700">
              <w:rPr>
                <w:szCs w:val="24"/>
              </w:rPr>
              <w:t>Klamath River HU, Middle HA, Iron Gate Dam to Scott River</w:t>
            </w:r>
          </w:p>
        </w:tc>
        <w:tc>
          <w:tcPr>
            <w:tcW w:w="1448" w:type="pct"/>
          </w:tcPr>
          <w:p w14:paraId="6F5CCB29" w14:textId="6FB29A43" w:rsidR="00282012" w:rsidRDefault="00995585" w:rsidP="00684D6C">
            <w:pPr>
              <w:spacing w:before="120" w:after="120"/>
              <w:rPr>
                <w:szCs w:val="24"/>
              </w:rPr>
            </w:pPr>
            <w:r w:rsidRPr="00A223BE">
              <w:rPr>
                <w:szCs w:val="24"/>
              </w:rPr>
              <w:t>Cyanobacteria hepatotoxic microcystins</w:t>
            </w:r>
          </w:p>
        </w:tc>
        <w:tc>
          <w:tcPr>
            <w:tcW w:w="1389" w:type="pct"/>
          </w:tcPr>
          <w:p w14:paraId="55EAD52F" w14:textId="7430D3D2" w:rsidR="00282012" w:rsidRDefault="00995585" w:rsidP="00684D6C">
            <w:pPr>
              <w:spacing w:before="120" w:after="120"/>
              <w:rPr>
                <w:szCs w:val="24"/>
              </w:rPr>
            </w:pPr>
            <w:r>
              <w:rPr>
                <w:szCs w:val="24"/>
              </w:rPr>
              <w:t>Microcystins</w:t>
            </w:r>
          </w:p>
        </w:tc>
      </w:tr>
      <w:tr w:rsidR="00282012" w14:paraId="2DA81293" w14:textId="18DB443D" w:rsidTr="00551BFB">
        <w:tc>
          <w:tcPr>
            <w:tcW w:w="2163" w:type="pct"/>
          </w:tcPr>
          <w:p w14:paraId="07772BAE" w14:textId="4A245828" w:rsidR="00282012" w:rsidRDefault="00962CA7" w:rsidP="00684D6C">
            <w:pPr>
              <w:spacing w:before="120" w:after="120"/>
              <w:rPr>
                <w:szCs w:val="24"/>
              </w:rPr>
            </w:pPr>
            <w:r w:rsidRPr="00962CA7">
              <w:rPr>
                <w:szCs w:val="24"/>
              </w:rPr>
              <w:t>Klamath River HU, Middle HA and Lower HA, Scott River to Trinity River</w:t>
            </w:r>
          </w:p>
        </w:tc>
        <w:tc>
          <w:tcPr>
            <w:tcW w:w="1448" w:type="pct"/>
          </w:tcPr>
          <w:p w14:paraId="01D379C6" w14:textId="35FD6F73" w:rsidR="00282012" w:rsidRDefault="00962CA7" w:rsidP="00684D6C">
            <w:pPr>
              <w:spacing w:before="120" w:after="120"/>
              <w:rPr>
                <w:szCs w:val="24"/>
              </w:rPr>
            </w:pPr>
            <w:r w:rsidRPr="00A223BE">
              <w:rPr>
                <w:szCs w:val="24"/>
              </w:rPr>
              <w:t>Cyanobacteria hepatotoxic microcystins</w:t>
            </w:r>
          </w:p>
        </w:tc>
        <w:tc>
          <w:tcPr>
            <w:tcW w:w="1389" w:type="pct"/>
          </w:tcPr>
          <w:p w14:paraId="28F33FF4" w14:textId="012EFD29" w:rsidR="00282012" w:rsidRDefault="00962CA7" w:rsidP="00684D6C">
            <w:pPr>
              <w:spacing w:before="120" w:after="120"/>
              <w:rPr>
                <w:szCs w:val="24"/>
              </w:rPr>
            </w:pPr>
            <w:r>
              <w:rPr>
                <w:szCs w:val="24"/>
              </w:rPr>
              <w:t>Microcystins</w:t>
            </w:r>
          </w:p>
        </w:tc>
      </w:tr>
      <w:tr w:rsidR="00282012" w14:paraId="7232071A" w14:textId="7352D10F" w:rsidTr="00551BFB">
        <w:tc>
          <w:tcPr>
            <w:tcW w:w="2163" w:type="pct"/>
          </w:tcPr>
          <w:p w14:paraId="23DD604E" w14:textId="3AFC0182" w:rsidR="00282012" w:rsidRDefault="00AE14D6" w:rsidP="00684D6C">
            <w:pPr>
              <w:tabs>
                <w:tab w:val="left" w:pos="945"/>
              </w:tabs>
              <w:spacing w:before="120" w:after="120"/>
            </w:pPr>
            <w:r w:rsidRPr="00AE14D6">
              <w:rPr>
                <w:szCs w:val="24"/>
              </w:rPr>
              <w:t>Klamath River HU, Lower HA, Klamath Glen HSA</w:t>
            </w:r>
          </w:p>
        </w:tc>
        <w:tc>
          <w:tcPr>
            <w:tcW w:w="1448" w:type="pct"/>
          </w:tcPr>
          <w:p w14:paraId="7EC44E13" w14:textId="45C2B31D" w:rsidR="00282012" w:rsidRDefault="00AE14D6" w:rsidP="00684D6C">
            <w:pPr>
              <w:spacing w:before="120" w:after="120"/>
              <w:rPr>
                <w:szCs w:val="24"/>
              </w:rPr>
            </w:pPr>
            <w:r>
              <w:rPr>
                <w:szCs w:val="24"/>
              </w:rPr>
              <w:t>Sedimentation/Siltation</w:t>
            </w:r>
          </w:p>
        </w:tc>
        <w:tc>
          <w:tcPr>
            <w:tcW w:w="1389" w:type="pct"/>
          </w:tcPr>
          <w:p w14:paraId="4BF42284" w14:textId="1753D36B" w:rsidR="00282012" w:rsidRDefault="00AE14D6" w:rsidP="00684D6C">
            <w:pPr>
              <w:spacing w:before="120" w:after="120"/>
              <w:rPr>
                <w:szCs w:val="24"/>
              </w:rPr>
            </w:pPr>
            <w:r>
              <w:rPr>
                <w:szCs w:val="24"/>
              </w:rPr>
              <w:t>Sediment</w:t>
            </w:r>
          </w:p>
        </w:tc>
      </w:tr>
    </w:tbl>
    <w:p w14:paraId="5B85C7CA" w14:textId="6E7839B4" w:rsidR="00AC0F54" w:rsidRDefault="00382E97" w:rsidP="00382E97">
      <w:pPr>
        <w:pStyle w:val="Heading2"/>
      </w:pPr>
      <w:bookmarkStart w:id="151" w:name="_Toc189048615"/>
      <w:r>
        <w:t>North Coast Ocean Beaches Trash</w:t>
      </w:r>
      <w:r w:rsidR="002014A0">
        <w:t xml:space="preserve"> </w:t>
      </w:r>
      <w:r w:rsidR="00820AE0">
        <w:t>Assessment</w:t>
      </w:r>
      <w:bookmarkEnd w:id="151"/>
    </w:p>
    <w:p w14:paraId="320EB28D" w14:textId="2400D935" w:rsidR="00127948" w:rsidRDefault="19739ABD" w:rsidP="43D51476">
      <w:pPr>
        <w:rPr>
          <w:rFonts w:eastAsia="Arial" w:cs="Arial"/>
        </w:rPr>
      </w:pPr>
      <w:r>
        <w:t xml:space="preserve">For the 2026 California Integrated Report, </w:t>
      </w:r>
      <w:r w:rsidR="00627B78">
        <w:t xml:space="preserve">trash </w:t>
      </w:r>
      <w:r>
        <w:t xml:space="preserve">data </w:t>
      </w:r>
      <w:r w:rsidR="7CB4B714">
        <w:t xml:space="preserve">submitted by the Stanford Environmental Law Clinic </w:t>
      </w:r>
      <w:r>
        <w:t xml:space="preserve">from </w:t>
      </w:r>
      <w:r w:rsidR="003B5B65">
        <w:t xml:space="preserve">Clam Beach (near Strawberry Creek) and </w:t>
      </w:r>
      <w:r w:rsidR="18AF3619">
        <w:t xml:space="preserve">Eureka Plain HU, </w:t>
      </w:r>
      <w:r>
        <w:t>Humboldt Bay</w:t>
      </w:r>
      <w:r w:rsidR="18AF3619">
        <w:t xml:space="preserve">, North Jetty </w:t>
      </w:r>
      <w:r>
        <w:t xml:space="preserve">were evaluated to determine if the </w:t>
      </w:r>
      <w:r w:rsidR="00DD74A6">
        <w:t xml:space="preserve">waterbody </w:t>
      </w:r>
      <w:r w:rsidR="2E20F6D1">
        <w:t>segments were impaired</w:t>
      </w:r>
      <w:r w:rsidR="799C2C9A">
        <w:t xml:space="preserve"> </w:t>
      </w:r>
      <w:r w:rsidR="2E20F6D1">
        <w:t>for the non-contact recreation (</w:t>
      </w:r>
      <w:r w:rsidR="1FD46F56">
        <w:t>“REC-2”) beneficial use described in the North Coast Region Basin Plan</w:t>
      </w:r>
      <w:r w:rsidR="670039C8">
        <w:t xml:space="preserve">. </w:t>
      </w:r>
      <w:r w:rsidR="368EC197" w:rsidRPr="34578B44">
        <w:rPr>
          <w:rFonts w:eastAsia="Arial" w:cs="Arial"/>
        </w:rPr>
        <w:t>Section 2 of the North Coast Region Basin Plan defines the REC-2 beneficial use as “Uses of water for recreational activities involving proximity to water, but not normally involving body contact with water, where ingestion of water is reasonably possible. These uses include, but are not limited to, picnicking, sunbathing, hiking, beachcombing, camping, boating, tidepool and marine life study, hunting, sightseeing, or aesthetic enjoyment in conjunction with the above activities.”</w:t>
      </w:r>
      <w:r w:rsidDel="19739ABD">
        <w:t xml:space="preserve"> </w:t>
      </w:r>
      <w:r w:rsidR="3B7B2F15">
        <w:t xml:space="preserve">For Clam Beach (near Strawberry Creek), the REC-2 beneficial use was evaluated </w:t>
      </w:r>
      <w:r w:rsidR="00D4C78E">
        <w:t>using the</w:t>
      </w:r>
      <w:r w:rsidR="00433DA1">
        <w:t xml:space="preserve"> </w:t>
      </w:r>
      <w:r w:rsidR="00D4C78E">
        <w:t>California Ocean Plan narra</w:t>
      </w:r>
      <w:r w:rsidR="2A3FC65E">
        <w:t>tive objective</w:t>
      </w:r>
      <w:r w:rsidR="11BF0472">
        <w:t>.</w:t>
      </w:r>
      <w:r w:rsidR="00C67586">
        <w:t xml:space="preserve"> </w:t>
      </w:r>
      <w:r w:rsidR="11BF0472">
        <w:t>For Eureka Plain HU, Humboldt Bay, North Jetty,</w:t>
      </w:r>
      <w:r w:rsidR="66842643">
        <w:t xml:space="preserve"> the REC-2 beneficial use was evaluated using</w:t>
      </w:r>
      <w:r w:rsidR="11BF0472">
        <w:t xml:space="preserve"> a</w:t>
      </w:r>
      <w:r w:rsidR="003B5B65">
        <w:t xml:space="preserve"> North Coast Region Basin Plan narrative objective for </w:t>
      </w:r>
      <w:r w:rsidR="3478C8B5">
        <w:t>floating materials</w:t>
      </w:r>
      <w:r w:rsidR="0D5EDA0A">
        <w:t>.</w:t>
      </w:r>
      <w:r w:rsidR="6A206BAA">
        <w:t xml:space="preserve"> </w:t>
      </w:r>
      <w:r w:rsidR="24B72117" w:rsidRPr="6BF124C1">
        <w:rPr>
          <w:rFonts w:eastAsia="Arial" w:cs="Arial"/>
        </w:rPr>
        <w:t xml:space="preserve"> Section II of the Ocean Plan contains a narrative trash water quality objective that states</w:t>
      </w:r>
      <w:r w:rsidR="002868C0">
        <w:rPr>
          <w:rFonts w:eastAsia="Arial" w:cs="Arial"/>
        </w:rPr>
        <w:t>,</w:t>
      </w:r>
      <w:r w:rsidR="24B72117" w:rsidRPr="6BF124C1">
        <w:rPr>
          <w:rFonts w:eastAsia="Arial" w:cs="Arial"/>
        </w:rPr>
        <w:t xml:space="preserve"> “Trash shall not be present in ocean waters, along shorelines or adjacent areas in amounts that adversely affect beneficial uses or cause nuisance.”</w:t>
      </w:r>
      <w:r w:rsidR="00D24123">
        <w:rPr>
          <w:rFonts w:eastAsia="Arial" w:cs="Arial"/>
        </w:rPr>
        <w:t xml:space="preserve"> Chapter 3</w:t>
      </w:r>
      <w:r w:rsidR="00F7181D">
        <w:rPr>
          <w:rFonts w:eastAsia="Arial" w:cs="Arial"/>
        </w:rPr>
        <w:t xml:space="preserve"> of the North Coast Region Basin Plan</w:t>
      </w:r>
      <w:r w:rsidR="00D24123">
        <w:rPr>
          <w:rFonts w:eastAsia="Arial" w:cs="Arial"/>
        </w:rPr>
        <w:t xml:space="preserve"> </w:t>
      </w:r>
      <w:r w:rsidR="00F7181D">
        <w:rPr>
          <w:rFonts w:eastAsia="Arial" w:cs="Arial"/>
        </w:rPr>
        <w:t xml:space="preserve">contains a narrative </w:t>
      </w:r>
      <w:r w:rsidR="00341A92">
        <w:rPr>
          <w:rFonts w:eastAsia="Arial" w:cs="Arial"/>
        </w:rPr>
        <w:t xml:space="preserve">objective for </w:t>
      </w:r>
      <w:r w:rsidR="007C10AA">
        <w:rPr>
          <w:rFonts w:eastAsia="Arial" w:cs="Arial"/>
        </w:rPr>
        <w:t xml:space="preserve">floating materials </w:t>
      </w:r>
      <w:r w:rsidR="006B2F1C">
        <w:rPr>
          <w:rFonts w:eastAsia="Arial" w:cs="Arial"/>
        </w:rPr>
        <w:t>that states</w:t>
      </w:r>
      <w:r w:rsidR="00F75100">
        <w:rPr>
          <w:rFonts w:eastAsia="Arial" w:cs="Arial"/>
        </w:rPr>
        <w:t>, “</w:t>
      </w:r>
      <w:r w:rsidR="00AF39B1">
        <w:rPr>
          <w:rFonts w:eastAsia="Arial" w:cs="Arial"/>
        </w:rPr>
        <w:t>Waters shall not contain floating material, including solids, liquids, foams, and scum, in concentrations that cause nuisan</w:t>
      </w:r>
      <w:r w:rsidR="00BC2FEE">
        <w:rPr>
          <w:rFonts w:eastAsia="Arial" w:cs="Arial"/>
        </w:rPr>
        <w:t xml:space="preserve">ce </w:t>
      </w:r>
      <w:r w:rsidR="009429F0">
        <w:rPr>
          <w:rFonts w:eastAsia="Arial" w:cs="Arial"/>
        </w:rPr>
        <w:t>or adversely affect beneficial uses.”</w:t>
      </w:r>
      <w:r w:rsidR="00023005">
        <w:rPr>
          <w:rFonts w:eastAsia="Arial" w:cs="Arial"/>
        </w:rPr>
        <w:t xml:space="preserve"> </w:t>
      </w:r>
    </w:p>
    <w:p w14:paraId="30E4FE63" w14:textId="4A96B9D9" w:rsidR="00127948" w:rsidRDefault="0733BDDF" w:rsidP="214E1DC9">
      <w:r>
        <w:t xml:space="preserve">The data submitted by the Stanford Environmental Law Clinic </w:t>
      </w:r>
      <w:r w:rsidR="2965AF90">
        <w:t>we</w:t>
      </w:r>
      <w:r>
        <w:t xml:space="preserve">re not suitable for assessing beneficial use </w:t>
      </w:r>
      <w:r w:rsidR="00E449FF">
        <w:t xml:space="preserve">attainment </w:t>
      </w:r>
      <w:r>
        <w:t xml:space="preserve">due to inadequate data quality and lack of spatial detail to discern the area that was surveyed. </w:t>
      </w:r>
      <w:r w:rsidR="42829D46">
        <w:t xml:space="preserve">Section 2.2.2 Data and Information Quality Review </w:t>
      </w:r>
      <w:r w:rsidR="26140345">
        <w:t>and s</w:t>
      </w:r>
      <w:r w:rsidR="7BA8B4F4">
        <w:t>ection</w:t>
      </w:r>
      <w:r w:rsidR="4228F1A1">
        <w:t xml:space="preserve"> 6.1.</w:t>
      </w:r>
      <w:r w:rsidR="7D90A733">
        <w:t>4</w:t>
      </w:r>
      <w:r w:rsidR="4228F1A1">
        <w:t xml:space="preserve"> </w:t>
      </w:r>
      <w:r w:rsidR="37222A14">
        <w:t>of the Listing Policy outline the integrated report data quality assessment process</w:t>
      </w:r>
      <w:r w:rsidR="1B55AB6F">
        <w:t>.</w:t>
      </w:r>
      <w:r w:rsidR="7BA8B4F4">
        <w:t xml:space="preserve"> </w:t>
      </w:r>
      <w:r w:rsidR="001C18D1">
        <w:t>The</w:t>
      </w:r>
      <w:r w:rsidR="00957AE2">
        <w:t xml:space="preserve"> </w:t>
      </w:r>
      <w:r w:rsidR="000C5920">
        <w:t>t</w:t>
      </w:r>
      <w:r w:rsidR="00D31CF6">
        <w:t xml:space="preserve">rash data </w:t>
      </w:r>
      <w:r w:rsidR="693CCE50">
        <w:t>were</w:t>
      </w:r>
      <w:r w:rsidR="00D31CF6">
        <w:t xml:space="preserve"> collected </w:t>
      </w:r>
      <w:r w:rsidR="00250662">
        <w:t>during volunteer clean</w:t>
      </w:r>
      <w:r w:rsidR="00E25697">
        <w:t>-</w:t>
      </w:r>
      <w:r w:rsidR="00250662">
        <w:t xml:space="preserve">up days </w:t>
      </w:r>
      <w:r w:rsidR="74A0A7AA">
        <w:t xml:space="preserve">by individual groups and </w:t>
      </w:r>
      <w:r w:rsidR="00C75C42">
        <w:t xml:space="preserve">were reported two ways: 1) </w:t>
      </w:r>
      <w:r w:rsidR="00295069">
        <w:t xml:space="preserve">individual </w:t>
      </w:r>
      <w:r w:rsidR="00C75C42">
        <w:t>trash count by type</w:t>
      </w:r>
      <w:r w:rsidR="00996BCB">
        <w:t>,</w:t>
      </w:r>
      <w:r w:rsidR="00C75C42">
        <w:t xml:space="preserve"> and 2) trash weight collected. </w:t>
      </w:r>
      <w:r w:rsidR="6C686F42">
        <w:t xml:space="preserve">Each group reported an individual geographic coordinate set </w:t>
      </w:r>
      <w:r w:rsidR="48AD9E1E">
        <w:t>along with collection data</w:t>
      </w:r>
      <w:r w:rsidR="0931060A">
        <w:t>.</w:t>
      </w:r>
      <w:r w:rsidR="48AD9E1E">
        <w:t xml:space="preserve"> </w:t>
      </w:r>
      <w:r w:rsidR="0931060A">
        <w:t>Group trash data were</w:t>
      </w:r>
      <w:r w:rsidR="4CE42907">
        <w:t xml:space="preserve"> then</w:t>
      </w:r>
      <w:r w:rsidR="0931060A">
        <w:t xml:space="preserve"> tallied </w:t>
      </w:r>
      <w:r w:rsidR="212C870B">
        <w:t xml:space="preserve">using a </w:t>
      </w:r>
      <w:r w:rsidR="00A05F3D">
        <w:t xml:space="preserve">singular </w:t>
      </w:r>
      <w:r w:rsidR="009C32E4">
        <w:t xml:space="preserve">geographic coordinate </w:t>
      </w:r>
      <w:r w:rsidR="00195145">
        <w:t>set</w:t>
      </w:r>
      <w:r w:rsidR="00271B8C">
        <w:t xml:space="preserve"> for each </w:t>
      </w:r>
      <w:r w:rsidR="007C2E75">
        <w:t>beach</w:t>
      </w:r>
      <w:r w:rsidR="00195145">
        <w:t>.</w:t>
      </w:r>
      <w:r w:rsidR="00E26667">
        <w:t xml:space="preserve"> </w:t>
      </w:r>
      <w:r w:rsidR="4373E81D">
        <w:t xml:space="preserve">Because the distances </w:t>
      </w:r>
      <w:r w:rsidR="56273AD0">
        <w:t>cleaned</w:t>
      </w:r>
      <w:r w:rsidR="4373E81D">
        <w:t xml:space="preserve"> were estimated by the individual group</w:t>
      </w:r>
      <w:r w:rsidR="24A6FFB1">
        <w:t>s</w:t>
      </w:r>
      <w:r w:rsidR="4373E81D">
        <w:t xml:space="preserve"> and multiple individual groups were collecting data on the same day, the amount of trash (count or weight) per area is </w:t>
      </w:r>
      <w:r w:rsidR="008022EF">
        <w:t>uncertain</w:t>
      </w:r>
      <w:r w:rsidR="4373E81D">
        <w:t xml:space="preserve">. </w:t>
      </w:r>
      <w:r w:rsidR="592DF27F">
        <w:t xml:space="preserve">Additionally, assessing trash by weight is problematic as trash like bottles can trap water and/or sand thus skewing the trash results to estimate more trash than present on the beach.  </w:t>
      </w:r>
    </w:p>
    <w:p w14:paraId="4A401DE0" w14:textId="60C584A9" w:rsidR="00127948" w:rsidRDefault="00AA461D" w:rsidP="00D31CF6">
      <w:r>
        <w:t xml:space="preserve">The </w:t>
      </w:r>
      <w:r w:rsidR="009C7F1B">
        <w:t xml:space="preserve">QAPP equivalent document submitted with these data </w:t>
      </w:r>
      <w:r w:rsidR="00ED46D9">
        <w:t>indicate</w:t>
      </w:r>
      <w:r w:rsidR="5C66109F">
        <w:t>d</w:t>
      </w:r>
      <w:r w:rsidR="00ED46D9">
        <w:t xml:space="preserve"> </w:t>
      </w:r>
      <w:r w:rsidR="002601F4">
        <w:t xml:space="preserve">that each </w:t>
      </w:r>
      <w:r w:rsidR="00EC718E">
        <w:t xml:space="preserve">data collection </w:t>
      </w:r>
      <w:r w:rsidR="00B118DE">
        <w:t xml:space="preserve">group </w:t>
      </w:r>
      <w:r w:rsidR="00BA2C23">
        <w:t xml:space="preserve">was </w:t>
      </w:r>
      <w:r w:rsidR="00B118DE">
        <w:t xml:space="preserve">sent </w:t>
      </w:r>
      <w:r w:rsidR="005811DB">
        <w:t>out with</w:t>
      </w:r>
      <w:r w:rsidR="003878FF">
        <w:t xml:space="preserve"> </w:t>
      </w:r>
      <w:r w:rsidR="00AB41BE">
        <w:t xml:space="preserve">data cards on which </w:t>
      </w:r>
      <w:r w:rsidR="00682913">
        <w:t>volunteers record</w:t>
      </w:r>
      <w:r w:rsidR="00ED46D9">
        <w:t>ed</w:t>
      </w:r>
      <w:r w:rsidR="00682913">
        <w:t xml:space="preserve"> </w:t>
      </w:r>
      <w:r w:rsidR="00ED2DF6">
        <w:t xml:space="preserve">trash collection </w:t>
      </w:r>
      <w:r w:rsidR="00ED46D9">
        <w:t>d</w:t>
      </w:r>
      <w:r w:rsidR="009D5AA6">
        <w:t>ata</w:t>
      </w:r>
      <w:r w:rsidR="00AE4917">
        <w:t>, that</w:t>
      </w:r>
      <w:r w:rsidR="00ED2DF6">
        <w:t xml:space="preserve"> </w:t>
      </w:r>
      <w:r w:rsidR="00ED46D9">
        <w:t xml:space="preserve">the data cards were </w:t>
      </w:r>
      <w:r w:rsidR="00F20331">
        <w:t>not checked for accuracy</w:t>
      </w:r>
      <w:r w:rsidR="009D5AA6">
        <w:t>,</w:t>
      </w:r>
      <w:r w:rsidR="00E205F9">
        <w:t xml:space="preserve"> and that the</w:t>
      </w:r>
      <w:r w:rsidR="005026A3">
        <w:t xml:space="preserve"> submitted data </w:t>
      </w:r>
      <w:r w:rsidR="009D5AA6">
        <w:t xml:space="preserve">were </w:t>
      </w:r>
      <w:r w:rsidR="00221A4B">
        <w:t>viewed as estimates of trash</w:t>
      </w:r>
      <w:r w:rsidR="002D73B2">
        <w:t xml:space="preserve">. </w:t>
      </w:r>
    </w:p>
    <w:p w14:paraId="1B2AA4E5" w14:textId="0DA4F037" w:rsidR="505C1C6D" w:rsidRDefault="505C1C6D" w:rsidP="3713A76A">
      <w:r>
        <w:t xml:space="preserve">Despite not using these data to make a beneficial use support determination, the presence of trash on these coastlines indicates that the REC-2 beneficial use may be potentially threatened. Accordingly, the trash </w:t>
      </w:r>
      <w:r w:rsidR="002353B9">
        <w:t xml:space="preserve">Decisions </w:t>
      </w:r>
      <w:r>
        <w:t xml:space="preserve">for these waterbody-pollutant combinations state that beneficial uses are potentially threatened. As a result, Clam Beach (near Strawberry Creek) </w:t>
      </w:r>
      <w:r w:rsidR="00AC3E92">
        <w:t xml:space="preserve">and Eureka Plain HU, Humboldt Bay, North Jetty </w:t>
      </w:r>
      <w:r>
        <w:t>were placed in Category 3.</w:t>
      </w:r>
    </w:p>
    <w:p w14:paraId="0BE7DC8D" w14:textId="4CA2B91F" w:rsidR="007710C3" w:rsidRDefault="00E16B28" w:rsidP="00597DE8">
      <w:pPr>
        <w:pStyle w:val="Heading2"/>
      </w:pPr>
      <w:bookmarkStart w:id="152" w:name="_Toc35339608"/>
      <w:bookmarkStart w:id="153" w:name="_Toc189048616"/>
      <w:r>
        <w:t>North Coast</w:t>
      </w:r>
      <w:r w:rsidR="00122917">
        <w:t xml:space="preserve"> </w:t>
      </w:r>
      <w:r w:rsidR="007710C3">
        <w:t xml:space="preserve">Region 303(d) </w:t>
      </w:r>
      <w:r w:rsidR="00D76B76">
        <w:t>“</w:t>
      </w:r>
      <w:r w:rsidR="007710C3">
        <w:t>List</w:t>
      </w:r>
      <w:bookmarkStart w:id="154" w:name="_Hlk24470569"/>
      <w:bookmarkEnd w:id="152"/>
      <w:r w:rsidR="00D76B76">
        <w:t>” and “Delist” Decisions</w:t>
      </w:r>
      <w:bookmarkEnd w:id="153"/>
    </w:p>
    <w:p w14:paraId="37417A0D" w14:textId="3FFDD833" w:rsidR="00E24517" w:rsidRDefault="00E24517" w:rsidP="00177FA3">
      <w:r>
        <w:t xml:space="preserve">There are </w:t>
      </w:r>
      <w:r w:rsidR="004C6329">
        <w:rPr>
          <w:rFonts w:cs="Arial"/>
        </w:rPr>
        <w:t>77</w:t>
      </w:r>
      <w:r w:rsidR="004C6329">
        <w:t xml:space="preserve"> </w:t>
      </w:r>
      <w:r>
        <w:t xml:space="preserve">new “List” Decisions for waterbody-pollutant combinations in the North Coast Region and </w:t>
      </w:r>
      <w:r w:rsidR="001C47EC">
        <w:rPr>
          <w:rFonts w:cs="Arial"/>
        </w:rPr>
        <w:t>13</w:t>
      </w:r>
      <w:r w:rsidR="00774996">
        <w:rPr>
          <w:rFonts w:cs="Arial"/>
        </w:rPr>
        <w:t xml:space="preserve"> new</w:t>
      </w:r>
      <w:r w:rsidR="001C47EC">
        <w:t xml:space="preserve"> </w:t>
      </w:r>
      <w:r>
        <w:t xml:space="preserve">“Delist” Decisions for waterbody-pollutant combinations. If approved by the USEPA as recommended, the North Coast Region’s 303(d) list would be revised to have a total of </w:t>
      </w:r>
      <w:r w:rsidR="00145C0A">
        <w:rPr>
          <w:rFonts w:cs="Arial"/>
        </w:rPr>
        <w:t>2</w:t>
      </w:r>
      <w:r w:rsidR="00DC2E68">
        <w:rPr>
          <w:rFonts w:cs="Arial"/>
        </w:rPr>
        <w:t>81</w:t>
      </w:r>
      <w:r w:rsidR="00145C0A">
        <w:rPr>
          <w:rFonts w:cs="Arial"/>
        </w:rPr>
        <w:t xml:space="preserve"> </w:t>
      </w:r>
      <w:r>
        <w:t xml:space="preserve">waterbody-pollutant combinations on the 303(d) list. Tables </w:t>
      </w:r>
      <w:r w:rsidR="00B65409">
        <w:t>5</w:t>
      </w:r>
      <w:r>
        <w:t xml:space="preserve">-4 and </w:t>
      </w:r>
      <w:r w:rsidR="00B65409">
        <w:t>5</w:t>
      </w:r>
      <w:r>
        <w:t xml:space="preserve">-5 below summarize new “List” and “Delist” Decisions by pollutant category for the 2026 California Integrated Report. A list of individual Decisions can be found in Appendix A: 2026 303(d) List of Impaired Waters. </w:t>
      </w:r>
    </w:p>
    <w:p w14:paraId="15969AB1" w14:textId="41E70C41" w:rsidR="00D96D18" w:rsidRDefault="00D96D18" w:rsidP="00D96D18">
      <w:pPr>
        <w:pStyle w:val="Caption"/>
        <w:keepNext/>
      </w:pPr>
      <w:bookmarkStart w:id="155" w:name="_Toc118386795"/>
      <w:bookmarkStart w:id="156" w:name="_Toc118386827"/>
      <w:r>
        <w:t xml:space="preserve">Table </w:t>
      </w:r>
      <w:r w:rsidR="00AB32F5">
        <w:t>5</w:t>
      </w:r>
      <w:r>
        <w:noBreakHyphen/>
      </w:r>
      <w:r w:rsidR="00FB32BB">
        <w:t>4</w:t>
      </w:r>
      <w:r>
        <w:t xml:space="preserve">: </w:t>
      </w:r>
      <w:r w:rsidRPr="00617CE4">
        <w:t xml:space="preserve">Summary of </w:t>
      </w:r>
      <w:r w:rsidR="00E16B28">
        <w:t>North Coast</w:t>
      </w:r>
      <w:r w:rsidRPr="00617CE4">
        <w:t xml:space="preserve"> </w:t>
      </w:r>
      <w:r w:rsidR="00520227">
        <w:t>Region</w:t>
      </w:r>
      <w:r w:rsidR="00F5556D">
        <w:t>al Water Board</w:t>
      </w:r>
      <w:r w:rsidR="00520227">
        <w:t xml:space="preserve"> </w:t>
      </w:r>
      <w:r w:rsidRPr="00617CE4">
        <w:t>Waterbody</w:t>
      </w:r>
      <w:r w:rsidR="005A642D">
        <w:t>-</w:t>
      </w:r>
      <w:r w:rsidRPr="00617CE4">
        <w:t xml:space="preserve">Pollutant Combination </w:t>
      </w:r>
      <w:r w:rsidR="00BC7491">
        <w:t>“List”</w:t>
      </w:r>
      <w:r w:rsidRPr="00617CE4">
        <w:t xml:space="preserve"> </w:t>
      </w:r>
      <w:r w:rsidR="00345F68">
        <w:t>Decisions</w:t>
      </w:r>
      <w:r w:rsidRPr="00617CE4">
        <w:t xml:space="preserve"> by Pollutant Category</w:t>
      </w:r>
      <w:bookmarkEnd w:id="155"/>
      <w:bookmarkEnd w:id="156"/>
    </w:p>
    <w:tbl>
      <w:tblPr>
        <w:tblStyle w:val="AccblTable"/>
        <w:tblW w:w="9653" w:type="dxa"/>
        <w:tblCellMar>
          <w:top w:w="115" w:type="dxa"/>
          <w:bottom w:w="115" w:type="dxa"/>
        </w:tblCellMar>
        <w:tblLook w:val="04A0" w:firstRow="1" w:lastRow="0" w:firstColumn="1" w:lastColumn="0" w:noHBand="0" w:noVBand="1"/>
        <w:tblCaption w:val="Summary of North Coast Regional Water Board Waterbody-Pollutant Combination &quot;List&quot; Decisions by Pollutant Category"/>
        <w:tblDescription w:val="This table lists new recommended 303(d) listings for pollutants in the North Coast Region.  It lists the waterbody pollutant category, the number of new list decisions, list decisions changed from previous listing cycle, and the total. "/>
      </w:tblPr>
      <w:tblGrid>
        <w:gridCol w:w="2885"/>
        <w:gridCol w:w="2664"/>
        <w:gridCol w:w="2664"/>
        <w:gridCol w:w="1440"/>
      </w:tblGrid>
      <w:tr w:rsidR="00743C5D" w14:paraId="7544AE8E" w14:textId="77777777">
        <w:trPr>
          <w:cnfStyle w:val="100000000000" w:firstRow="1" w:lastRow="0" w:firstColumn="0" w:lastColumn="0" w:oddVBand="0" w:evenVBand="0" w:oddHBand="0" w:evenHBand="0" w:firstRowFirstColumn="0" w:firstRowLastColumn="0" w:lastRowFirstColumn="0" w:lastRowLastColumn="0"/>
        </w:trPr>
        <w:tc>
          <w:tcPr>
            <w:tcW w:w="2885" w:type="dxa"/>
          </w:tcPr>
          <w:p w14:paraId="6E381F99" w14:textId="77777777" w:rsidR="00FF65CF" w:rsidRDefault="00FF65CF">
            <w:pPr>
              <w:spacing w:after="0"/>
            </w:pPr>
            <w:r>
              <w:t>Pollutant Category</w:t>
            </w:r>
          </w:p>
        </w:tc>
        <w:tc>
          <w:tcPr>
            <w:tcW w:w="2664" w:type="dxa"/>
          </w:tcPr>
          <w:p w14:paraId="7A211236" w14:textId="77777777" w:rsidR="00FF65CF" w:rsidRDefault="00FF65CF">
            <w:pPr>
              <w:spacing w:after="0"/>
            </w:pPr>
            <w:r>
              <w:t>Number of New “List” Decisions</w:t>
            </w:r>
            <w:r>
              <w:rPr>
                <w:rStyle w:val="FootnoteReference"/>
              </w:rPr>
              <w:footnoteReference w:id="11"/>
            </w:r>
            <w:r>
              <w:t xml:space="preserve"> </w:t>
            </w:r>
          </w:p>
        </w:tc>
        <w:tc>
          <w:tcPr>
            <w:tcW w:w="2664" w:type="dxa"/>
          </w:tcPr>
          <w:p w14:paraId="61C49588" w14:textId="77777777" w:rsidR="00FF65CF" w:rsidRDefault="00FF65CF">
            <w:pPr>
              <w:spacing w:after="0"/>
            </w:pPr>
            <w:r>
              <w:t>Number of New “List” Decisions Changed from Previous Listing Cycle</w:t>
            </w:r>
            <w:r>
              <w:rPr>
                <w:rStyle w:val="FootnoteReference"/>
              </w:rPr>
              <w:footnoteReference w:id="12"/>
            </w:r>
          </w:p>
        </w:tc>
        <w:tc>
          <w:tcPr>
            <w:tcW w:w="1440" w:type="dxa"/>
          </w:tcPr>
          <w:p w14:paraId="4DA95C3F" w14:textId="77777777" w:rsidR="00FF65CF" w:rsidRDefault="00FF65CF">
            <w:pPr>
              <w:spacing w:after="0"/>
            </w:pPr>
            <w:r>
              <w:t xml:space="preserve">Total </w:t>
            </w:r>
          </w:p>
        </w:tc>
      </w:tr>
      <w:tr w:rsidR="00FF65CF" w14:paraId="00578A9B" w14:textId="77777777">
        <w:tc>
          <w:tcPr>
            <w:tcW w:w="2885" w:type="dxa"/>
            <w:vAlign w:val="top"/>
          </w:tcPr>
          <w:p w14:paraId="66E97D56" w14:textId="77777777" w:rsidR="00FF65CF" w:rsidRDefault="00FF65CF">
            <w:pPr>
              <w:spacing w:after="0"/>
            </w:pPr>
            <w:r>
              <w:t>Metals</w:t>
            </w:r>
          </w:p>
        </w:tc>
        <w:tc>
          <w:tcPr>
            <w:tcW w:w="2664" w:type="dxa"/>
          </w:tcPr>
          <w:p w14:paraId="267A40E8" w14:textId="77777777" w:rsidR="00FF65CF" w:rsidRDefault="00FF65CF">
            <w:pPr>
              <w:spacing w:after="0"/>
              <w:jc w:val="center"/>
            </w:pPr>
            <w:r>
              <w:t>1</w:t>
            </w:r>
          </w:p>
        </w:tc>
        <w:tc>
          <w:tcPr>
            <w:tcW w:w="2664" w:type="dxa"/>
          </w:tcPr>
          <w:p w14:paraId="3B18D701" w14:textId="57CDFBD8" w:rsidR="00FF65CF" w:rsidRDefault="00803282">
            <w:pPr>
              <w:spacing w:after="0"/>
              <w:jc w:val="center"/>
            </w:pPr>
            <w:r>
              <w:t>6</w:t>
            </w:r>
          </w:p>
        </w:tc>
        <w:tc>
          <w:tcPr>
            <w:tcW w:w="1440" w:type="dxa"/>
          </w:tcPr>
          <w:p w14:paraId="42FD0938" w14:textId="14436C55" w:rsidR="00FF65CF" w:rsidRDefault="00803282">
            <w:pPr>
              <w:spacing w:after="0"/>
              <w:jc w:val="center"/>
            </w:pPr>
            <w:r>
              <w:t>7</w:t>
            </w:r>
          </w:p>
        </w:tc>
      </w:tr>
      <w:tr w:rsidR="00FF65CF" w14:paraId="40043643" w14:textId="77777777">
        <w:tc>
          <w:tcPr>
            <w:tcW w:w="2885" w:type="dxa"/>
            <w:vAlign w:val="top"/>
          </w:tcPr>
          <w:p w14:paraId="396D06F2" w14:textId="77777777" w:rsidR="00FF65CF" w:rsidDel="00414FAE" w:rsidRDefault="00FF65CF">
            <w:pPr>
              <w:spacing w:after="0"/>
            </w:pPr>
            <w:r>
              <w:t>Nutrients (including dissolved oxygen)</w:t>
            </w:r>
          </w:p>
        </w:tc>
        <w:tc>
          <w:tcPr>
            <w:tcW w:w="2664" w:type="dxa"/>
          </w:tcPr>
          <w:p w14:paraId="26B032F5" w14:textId="799FAAB4" w:rsidR="00FF65CF" w:rsidRDefault="00BC018A">
            <w:pPr>
              <w:spacing w:after="0"/>
              <w:jc w:val="center"/>
            </w:pPr>
            <w:r>
              <w:t>1</w:t>
            </w:r>
          </w:p>
        </w:tc>
        <w:tc>
          <w:tcPr>
            <w:tcW w:w="2664" w:type="dxa"/>
          </w:tcPr>
          <w:p w14:paraId="509F95FA" w14:textId="77777777" w:rsidR="00FF65CF" w:rsidRDefault="00FF65CF">
            <w:pPr>
              <w:spacing w:after="0"/>
              <w:jc w:val="center"/>
            </w:pPr>
            <w:r>
              <w:t>6</w:t>
            </w:r>
          </w:p>
        </w:tc>
        <w:tc>
          <w:tcPr>
            <w:tcW w:w="1440" w:type="dxa"/>
          </w:tcPr>
          <w:p w14:paraId="154981C6" w14:textId="7D64B392" w:rsidR="00FF65CF" w:rsidRDefault="00BC018A">
            <w:pPr>
              <w:spacing w:after="0"/>
              <w:jc w:val="center"/>
            </w:pPr>
            <w:r>
              <w:t>7</w:t>
            </w:r>
          </w:p>
        </w:tc>
      </w:tr>
      <w:tr w:rsidR="00FF65CF" w14:paraId="71D94858" w14:textId="77777777">
        <w:tc>
          <w:tcPr>
            <w:tcW w:w="2885" w:type="dxa"/>
            <w:vAlign w:val="top"/>
          </w:tcPr>
          <w:p w14:paraId="7CA27E0E" w14:textId="77777777" w:rsidR="00FF65CF" w:rsidRPr="00437670" w:rsidRDefault="00FF65CF">
            <w:pPr>
              <w:spacing w:after="0"/>
            </w:pPr>
            <w:r>
              <w:t>Other Cause</w:t>
            </w:r>
          </w:p>
        </w:tc>
        <w:tc>
          <w:tcPr>
            <w:tcW w:w="2664" w:type="dxa"/>
          </w:tcPr>
          <w:p w14:paraId="00CAD780" w14:textId="1B49F5BB" w:rsidR="00FF65CF" w:rsidRPr="00437670" w:rsidRDefault="006E57B6">
            <w:pPr>
              <w:spacing w:after="0"/>
              <w:jc w:val="center"/>
            </w:pPr>
            <w:r>
              <w:t>10</w:t>
            </w:r>
          </w:p>
        </w:tc>
        <w:tc>
          <w:tcPr>
            <w:tcW w:w="2664" w:type="dxa"/>
          </w:tcPr>
          <w:p w14:paraId="00B9F915" w14:textId="7F64CCFD" w:rsidR="00FF65CF" w:rsidRDefault="00CA493E">
            <w:pPr>
              <w:spacing w:after="0"/>
              <w:jc w:val="center"/>
            </w:pPr>
            <w:r>
              <w:t>20</w:t>
            </w:r>
          </w:p>
        </w:tc>
        <w:tc>
          <w:tcPr>
            <w:tcW w:w="1440" w:type="dxa"/>
          </w:tcPr>
          <w:p w14:paraId="79955B37" w14:textId="2F18035A" w:rsidR="00FF65CF" w:rsidRDefault="00CA493E">
            <w:pPr>
              <w:spacing w:after="0"/>
              <w:jc w:val="center"/>
            </w:pPr>
            <w:r>
              <w:t>30</w:t>
            </w:r>
          </w:p>
        </w:tc>
      </w:tr>
      <w:tr w:rsidR="00FF65CF" w14:paraId="131F87A9" w14:textId="77777777">
        <w:tc>
          <w:tcPr>
            <w:tcW w:w="2885" w:type="dxa"/>
            <w:vAlign w:val="top"/>
          </w:tcPr>
          <w:p w14:paraId="37B9571F" w14:textId="77777777" w:rsidR="00FF65CF" w:rsidDel="001209E2" w:rsidRDefault="00FF65CF">
            <w:pPr>
              <w:spacing w:after="0"/>
            </w:pPr>
            <w:r>
              <w:t>Pathogens/Bacteria</w:t>
            </w:r>
          </w:p>
        </w:tc>
        <w:tc>
          <w:tcPr>
            <w:tcW w:w="2664" w:type="dxa"/>
          </w:tcPr>
          <w:p w14:paraId="5C50238A" w14:textId="77777777" w:rsidR="00FF65CF" w:rsidRDefault="00FF65CF">
            <w:pPr>
              <w:spacing w:after="0"/>
              <w:jc w:val="center"/>
            </w:pPr>
            <w:r>
              <w:t>0</w:t>
            </w:r>
          </w:p>
        </w:tc>
        <w:tc>
          <w:tcPr>
            <w:tcW w:w="2664" w:type="dxa"/>
          </w:tcPr>
          <w:p w14:paraId="097058D3" w14:textId="77777777" w:rsidR="00FF65CF" w:rsidRDefault="00FF65CF">
            <w:pPr>
              <w:spacing w:after="0"/>
              <w:jc w:val="center"/>
            </w:pPr>
            <w:r>
              <w:t>3</w:t>
            </w:r>
          </w:p>
        </w:tc>
        <w:tc>
          <w:tcPr>
            <w:tcW w:w="1440" w:type="dxa"/>
          </w:tcPr>
          <w:p w14:paraId="360C5B83" w14:textId="77777777" w:rsidR="00FF65CF" w:rsidRDefault="00FF65CF">
            <w:pPr>
              <w:spacing w:after="0"/>
              <w:jc w:val="center"/>
            </w:pPr>
            <w:r>
              <w:t>3</w:t>
            </w:r>
          </w:p>
        </w:tc>
      </w:tr>
      <w:tr w:rsidR="00FF65CF" w14:paraId="4934394D" w14:textId="77777777">
        <w:tc>
          <w:tcPr>
            <w:tcW w:w="2885" w:type="dxa"/>
          </w:tcPr>
          <w:p w14:paraId="3BA4146B" w14:textId="77777777" w:rsidR="00FF65CF" w:rsidDel="00414FAE" w:rsidRDefault="00FF65CF">
            <w:pPr>
              <w:spacing w:after="0"/>
            </w:pPr>
            <w:r>
              <w:t>Pesticides</w:t>
            </w:r>
          </w:p>
        </w:tc>
        <w:tc>
          <w:tcPr>
            <w:tcW w:w="2664" w:type="dxa"/>
          </w:tcPr>
          <w:p w14:paraId="20B0254A" w14:textId="77777777" w:rsidR="00FF65CF" w:rsidRDefault="00FF65CF">
            <w:pPr>
              <w:spacing w:after="0"/>
              <w:jc w:val="center"/>
            </w:pPr>
            <w:r>
              <w:t>5</w:t>
            </w:r>
          </w:p>
        </w:tc>
        <w:tc>
          <w:tcPr>
            <w:tcW w:w="2664" w:type="dxa"/>
          </w:tcPr>
          <w:p w14:paraId="20934840" w14:textId="77777777" w:rsidR="00FF65CF" w:rsidRDefault="00FF65CF">
            <w:pPr>
              <w:spacing w:after="0"/>
              <w:jc w:val="center"/>
            </w:pPr>
            <w:r>
              <w:t>0</w:t>
            </w:r>
          </w:p>
        </w:tc>
        <w:tc>
          <w:tcPr>
            <w:tcW w:w="1440" w:type="dxa"/>
          </w:tcPr>
          <w:p w14:paraId="4D4773D9" w14:textId="77777777" w:rsidR="00FF65CF" w:rsidRDefault="00FF65CF">
            <w:pPr>
              <w:spacing w:after="0"/>
              <w:jc w:val="center"/>
            </w:pPr>
            <w:r>
              <w:t>5</w:t>
            </w:r>
          </w:p>
        </w:tc>
      </w:tr>
      <w:tr w:rsidR="00FF65CF" w14:paraId="3C2408C4" w14:textId="77777777">
        <w:tc>
          <w:tcPr>
            <w:tcW w:w="2885" w:type="dxa"/>
          </w:tcPr>
          <w:p w14:paraId="73872745" w14:textId="77777777" w:rsidR="00FF65CF" w:rsidDel="00414FAE" w:rsidRDefault="00FF65CF">
            <w:pPr>
              <w:spacing w:after="0"/>
            </w:pPr>
            <w:r>
              <w:t>Salinity/Total Dissolved Solids/Chlorides/Sulfates</w:t>
            </w:r>
          </w:p>
        </w:tc>
        <w:tc>
          <w:tcPr>
            <w:tcW w:w="2664" w:type="dxa"/>
          </w:tcPr>
          <w:p w14:paraId="22FA7C47" w14:textId="77777777" w:rsidR="00FF65CF" w:rsidRDefault="00FF65CF">
            <w:pPr>
              <w:spacing w:after="0"/>
              <w:jc w:val="center"/>
            </w:pPr>
            <w:r>
              <w:t>1</w:t>
            </w:r>
          </w:p>
        </w:tc>
        <w:tc>
          <w:tcPr>
            <w:tcW w:w="2664" w:type="dxa"/>
          </w:tcPr>
          <w:p w14:paraId="7E7E6D28" w14:textId="77777777" w:rsidR="00FF65CF" w:rsidRDefault="00FF65CF">
            <w:pPr>
              <w:spacing w:after="0"/>
              <w:jc w:val="center"/>
            </w:pPr>
            <w:r>
              <w:t>13</w:t>
            </w:r>
          </w:p>
        </w:tc>
        <w:tc>
          <w:tcPr>
            <w:tcW w:w="1440" w:type="dxa"/>
          </w:tcPr>
          <w:p w14:paraId="532E8EAB" w14:textId="77777777" w:rsidR="00FF65CF" w:rsidRDefault="00FF65CF">
            <w:pPr>
              <w:spacing w:after="0"/>
              <w:jc w:val="center"/>
            </w:pPr>
            <w:r>
              <w:t>14</w:t>
            </w:r>
          </w:p>
        </w:tc>
      </w:tr>
      <w:tr w:rsidR="00FF65CF" w14:paraId="2F524CBB" w14:textId="77777777">
        <w:tc>
          <w:tcPr>
            <w:tcW w:w="2885" w:type="dxa"/>
            <w:vAlign w:val="top"/>
          </w:tcPr>
          <w:p w14:paraId="4D712E74" w14:textId="77777777" w:rsidR="00FF65CF" w:rsidRDefault="00FF65CF">
            <w:pPr>
              <w:spacing w:after="0"/>
            </w:pPr>
            <w:r>
              <w:t>Sediment</w:t>
            </w:r>
          </w:p>
        </w:tc>
        <w:tc>
          <w:tcPr>
            <w:tcW w:w="2664" w:type="dxa"/>
          </w:tcPr>
          <w:p w14:paraId="0A0FFD86" w14:textId="474559AE" w:rsidR="00FF65CF" w:rsidRDefault="000B7591">
            <w:pPr>
              <w:spacing w:after="0"/>
              <w:jc w:val="center"/>
            </w:pPr>
            <w:r>
              <w:t>8</w:t>
            </w:r>
          </w:p>
        </w:tc>
        <w:tc>
          <w:tcPr>
            <w:tcW w:w="2664" w:type="dxa"/>
          </w:tcPr>
          <w:p w14:paraId="227DA7F1" w14:textId="77777777" w:rsidR="00FF65CF" w:rsidRDefault="00FF65CF">
            <w:pPr>
              <w:spacing w:after="0"/>
              <w:jc w:val="center"/>
            </w:pPr>
            <w:r>
              <w:t>2</w:t>
            </w:r>
          </w:p>
        </w:tc>
        <w:tc>
          <w:tcPr>
            <w:tcW w:w="1440" w:type="dxa"/>
          </w:tcPr>
          <w:p w14:paraId="49A08D1C" w14:textId="4A8E34B6" w:rsidR="00FF65CF" w:rsidRDefault="000B7591">
            <w:pPr>
              <w:spacing w:after="0"/>
              <w:jc w:val="center"/>
            </w:pPr>
            <w:r>
              <w:t>10</w:t>
            </w:r>
          </w:p>
        </w:tc>
      </w:tr>
      <w:tr w:rsidR="00FF65CF" w14:paraId="6362F825" w14:textId="77777777">
        <w:tc>
          <w:tcPr>
            <w:tcW w:w="2885" w:type="dxa"/>
            <w:vAlign w:val="top"/>
          </w:tcPr>
          <w:p w14:paraId="03566872" w14:textId="77777777" w:rsidR="00FF65CF" w:rsidRDefault="00FF65CF">
            <w:pPr>
              <w:spacing w:after="0"/>
            </w:pPr>
            <w:r>
              <w:t>Toxic Inorganics</w:t>
            </w:r>
          </w:p>
        </w:tc>
        <w:tc>
          <w:tcPr>
            <w:tcW w:w="2664" w:type="dxa"/>
          </w:tcPr>
          <w:p w14:paraId="24F18DF8" w14:textId="77777777" w:rsidR="00FF65CF" w:rsidRDefault="00FF65CF">
            <w:pPr>
              <w:spacing w:after="0"/>
              <w:jc w:val="center"/>
            </w:pPr>
            <w:r>
              <w:t>1</w:t>
            </w:r>
          </w:p>
        </w:tc>
        <w:tc>
          <w:tcPr>
            <w:tcW w:w="2664" w:type="dxa"/>
          </w:tcPr>
          <w:p w14:paraId="61E0318B" w14:textId="77777777" w:rsidR="00FF65CF" w:rsidRDefault="00FF65CF">
            <w:pPr>
              <w:spacing w:after="0"/>
              <w:jc w:val="center"/>
            </w:pPr>
            <w:r>
              <w:t>0</w:t>
            </w:r>
          </w:p>
        </w:tc>
        <w:tc>
          <w:tcPr>
            <w:tcW w:w="1440" w:type="dxa"/>
          </w:tcPr>
          <w:p w14:paraId="70D98227" w14:textId="77777777" w:rsidR="00FF65CF" w:rsidRDefault="00FF65CF">
            <w:pPr>
              <w:spacing w:after="0"/>
              <w:jc w:val="center"/>
            </w:pPr>
            <w:r>
              <w:t>1</w:t>
            </w:r>
          </w:p>
        </w:tc>
      </w:tr>
      <w:tr w:rsidR="00FF65CF" w14:paraId="0E66F480" w14:textId="77777777">
        <w:tc>
          <w:tcPr>
            <w:tcW w:w="2885" w:type="dxa"/>
            <w:vAlign w:val="top"/>
          </w:tcPr>
          <w:p w14:paraId="20CF9072" w14:textId="77777777" w:rsidR="00FF65CF" w:rsidRPr="00FF5695" w:rsidRDefault="00FF65CF">
            <w:pPr>
              <w:spacing w:after="0"/>
              <w:rPr>
                <w:b/>
                <w:bCs/>
              </w:rPr>
            </w:pPr>
            <w:r w:rsidRPr="00FF5695">
              <w:rPr>
                <w:b/>
                <w:bCs/>
              </w:rPr>
              <w:t>Totals</w:t>
            </w:r>
          </w:p>
        </w:tc>
        <w:tc>
          <w:tcPr>
            <w:tcW w:w="2664" w:type="dxa"/>
          </w:tcPr>
          <w:p w14:paraId="55E53523" w14:textId="79CB7BC1" w:rsidR="00FF65CF" w:rsidRPr="00FF5695" w:rsidRDefault="006C72DC">
            <w:pPr>
              <w:spacing w:after="0"/>
              <w:jc w:val="center"/>
              <w:rPr>
                <w:b/>
                <w:bCs/>
              </w:rPr>
            </w:pPr>
            <w:r>
              <w:rPr>
                <w:b/>
                <w:bCs/>
              </w:rPr>
              <w:t>27</w:t>
            </w:r>
          </w:p>
        </w:tc>
        <w:tc>
          <w:tcPr>
            <w:tcW w:w="2664" w:type="dxa"/>
          </w:tcPr>
          <w:p w14:paraId="553463BE" w14:textId="4EFD260E" w:rsidR="00FF65CF" w:rsidRPr="00FF5695" w:rsidRDefault="00CE72BA">
            <w:pPr>
              <w:spacing w:after="0"/>
              <w:jc w:val="center"/>
              <w:rPr>
                <w:b/>
                <w:bCs/>
              </w:rPr>
            </w:pPr>
            <w:r>
              <w:rPr>
                <w:b/>
                <w:bCs/>
              </w:rPr>
              <w:t>50</w:t>
            </w:r>
          </w:p>
        </w:tc>
        <w:tc>
          <w:tcPr>
            <w:tcW w:w="1440" w:type="dxa"/>
          </w:tcPr>
          <w:p w14:paraId="55E35CAB" w14:textId="6D29E0F2" w:rsidR="00FF65CF" w:rsidRPr="00FF5695" w:rsidRDefault="00C65DAB">
            <w:pPr>
              <w:spacing w:after="0"/>
              <w:jc w:val="center"/>
              <w:rPr>
                <w:b/>
                <w:bCs/>
              </w:rPr>
            </w:pPr>
            <w:r>
              <w:rPr>
                <w:b/>
                <w:bCs/>
              </w:rPr>
              <w:t>77</w:t>
            </w:r>
          </w:p>
        </w:tc>
      </w:tr>
    </w:tbl>
    <w:p w14:paraId="0967BBF4" w14:textId="0DDF71F5" w:rsidR="00F16CB8" w:rsidRDefault="00F16CB8" w:rsidP="00F16CB8">
      <w:pPr>
        <w:pStyle w:val="Caption"/>
        <w:keepNext/>
      </w:pPr>
      <w:bookmarkStart w:id="157" w:name="_Hlk179190561"/>
      <w:bookmarkStart w:id="158" w:name="_Toc35339609"/>
      <w:bookmarkEnd w:id="154"/>
      <w:r>
        <w:t xml:space="preserve">Table </w:t>
      </w:r>
      <w:r w:rsidR="00AB32F5">
        <w:t>5</w:t>
      </w:r>
      <w:r>
        <w:t>-</w:t>
      </w:r>
      <w:r w:rsidR="00FB32BB">
        <w:t>5</w:t>
      </w:r>
      <w:r>
        <w:t xml:space="preserve">: </w:t>
      </w:r>
      <w:r w:rsidRPr="00DF1948">
        <w:t xml:space="preserve">Summary of </w:t>
      </w:r>
      <w:r>
        <w:rPr>
          <w:rFonts w:cs="Arial"/>
        </w:rPr>
        <w:t>North Coast</w:t>
      </w:r>
      <w:r>
        <w:t xml:space="preserve"> Region</w:t>
      </w:r>
      <w:r w:rsidR="00230EB1">
        <w:t>al Water Board</w:t>
      </w:r>
      <w:r>
        <w:t xml:space="preserve"> </w:t>
      </w:r>
      <w:r w:rsidRPr="00DF1948">
        <w:t>Waterbody</w:t>
      </w:r>
      <w:r w:rsidR="005A642D">
        <w:t>-</w:t>
      </w:r>
      <w:r w:rsidRPr="00DF1948">
        <w:t xml:space="preserve">Pollutant Combination </w:t>
      </w:r>
      <w:r w:rsidR="00BC7491">
        <w:t>“Delist”</w:t>
      </w:r>
      <w:r w:rsidRPr="00DF1948">
        <w:t xml:space="preserve"> </w:t>
      </w:r>
      <w:r w:rsidR="00345F68">
        <w:t>Decisions</w:t>
      </w:r>
      <w:r w:rsidRPr="00DF1948">
        <w:t xml:space="preserve"> by Pollutant Category</w:t>
      </w:r>
    </w:p>
    <w:tbl>
      <w:tblPr>
        <w:tblStyle w:val="AccblTable"/>
        <w:tblW w:w="9648" w:type="dxa"/>
        <w:tblCellMar>
          <w:top w:w="115" w:type="dxa"/>
          <w:bottom w:w="115" w:type="dxa"/>
        </w:tblCellMar>
        <w:tblLook w:val="04A0" w:firstRow="1" w:lastRow="0" w:firstColumn="1" w:lastColumn="0" w:noHBand="0" w:noVBand="1"/>
        <w:tblCaption w:val="Summary of North Coast Regional Water Board Waterbody-Pollutant Combination &quot;Delist&quot; Decisions by Pollutant Category"/>
        <w:tblDescription w:val="This table lists new recommended 303(d) delistings for pollutants in the North Coast Region.  It lists the waterbody pollutant category, the number of delistings due to water quality attainment, the number of delisting recommendations due to a change in assessment, and the totals."/>
      </w:tblPr>
      <w:tblGrid>
        <w:gridCol w:w="3978"/>
        <w:gridCol w:w="2216"/>
        <w:gridCol w:w="2236"/>
        <w:gridCol w:w="1218"/>
      </w:tblGrid>
      <w:tr w:rsidR="00181469" w14:paraId="182AF781" w14:textId="77777777" w:rsidTr="002B384F">
        <w:trPr>
          <w:cnfStyle w:val="100000000000" w:firstRow="1" w:lastRow="0" w:firstColumn="0" w:lastColumn="0" w:oddVBand="0" w:evenVBand="0" w:oddHBand="0" w:evenHBand="0" w:firstRowFirstColumn="0" w:firstRowLastColumn="0" w:lastRowFirstColumn="0" w:lastRowLastColumn="0"/>
        </w:trPr>
        <w:tc>
          <w:tcPr>
            <w:tcW w:w="3978" w:type="dxa"/>
          </w:tcPr>
          <w:bookmarkEnd w:id="157"/>
          <w:p w14:paraId="6BA22C4C" w14:textId="77777777" w:rsidR="00F16CB8" w:rsidRDefault="00F16CB8">
            <w:pPr>
              <w:spacing w:after="0"/>
            </w:pPr>
            <w:r>
              <w:t>Pollutant Category</w:t>
            </w:r>
          </w:p>
        </w:tc>
        <w:tc>
          <w:tcPr>
            <w:tcW w:w="2216" w:type="dxa"/>
          </w:tcPr>
          <w:p w14:paraId="478A4357" w14:textId="7E8CD467" w:rsidR="00F16CB8" w:rsidRDefault="00BC7491">
            <w:pPr>
              <w:spacing w:after="0"/>
            </w:pPr>
            <w:r>
              <w:t>“Delist”</w:t>
            </w:r>
            <w:r w:rsidR="00F16CB8">
              <w:t xml:space="preserve"> </w:t>
            </w:r>
            <w:r w:rsidR="0057772C">
              <w:t>Decision</w:t>
            </w:r>
            <w:r w:rsidR="00176A44">
              <w:t>s</w:t>
            </w:r>
            <w:r w:rsidR="00F16CB8">
              <w:t xml:space="preserve"> Due to Change in Water Quality</w:t>
            </w:r>
          </w:p>
        </w:tc>
        <w:tc>
          <w:tcPr>
            <w:tcW w:w="2236" w:type="dxa"/>
          </w:tcPr>
          <w:p w14:paraId="1E463175" w14:textId="7BBD7929" w:rsidR="00F16CB8" w:rsidRDefault="00BC7491">
            <w:pPr>
              <w:spacing w:after="0"/>
            </w:pPr>
            <w:r>
              <w:t xml:space="preserve">“Delist” </w:t>
            </w:r>
            <w:r w:rsidR="0057772C">
              <w:t>Decision</w:t>
            </w:r>
            <w:r w:rsidR="00176A44">
              <w:t>s</w:t>
            </w:r>
            <w:r>
              <w:t xml:space="preserve"> </w:t>
            </w:r>
            <w:r w:rsidR="00F16CB8">
              <w:t>Due to Other Changes</w:t>
            </w:r>
            <w:r w:rsidR="00F16CB8">
              <w:rPr>
                <w:rStyle w:val="FootnoteReference"/>
              </w:rPr>
              <w:footnoteReference w:id="13"/>
            </w:r>
          </w:p>
        </w:tc>
        <w:tc>
          <w:tcPr>
            <w:tcW w:w="1218" w:type="dxa"/>
          </w:tcPr>
          <w:p w14:paraId="05E4089C" w14:textId="77777777" w:rsidR="00F16CB8" w:rsidRDefault="00F16CB8">
            <w:pPr>
              <w:spacing w:after="0"/>
            </w:pPr>
            <w:r>
              <w:t xml:space="preserve">Total </w:t>
            </w:r>
          </w:p>
        </w:tc>
      </w:tr>
      <w:tr w:rsidR="008E384C" w14:paraId="09580ECA" w14:textId="77777777" w:rsidTr="002B384F">
        <w:trPr>
          <w:cantSplit w:val="0"/>
        </w:trPr>
        <w:tc>
          <w:tcPr>
            <w:tcW w:w="3978" w:type="dxa"/>
            <w:vAlign w:val="top"/>
          </w:tcPr>
          <w:p w14:paraId="7E012593" w14:textId="156CD458" w:rsidR="008E384C" w:rsidRDefault="00506F08" w:rsidP="008E384C">
            <w:pPr>
              <w:spacing w:after="0"/>
            </w:pPr>
            <w:r>
              <w:t>Pathogens/Bacteria</w:t>
            </w:r>
          </w:p>
        </w:tc>
        <w:tc>
          <w:tcPr>
            <w:tcW w:w="2216" w:type="dxa"/>
          </w:tcPr>
          <w:p w14:paraId="0D0B7503" w14:textId="7F7E915C" w:rsidR="008E384C" w:rsidRDefault="00676895" w:rsidP="008E384C">
            <w:pPr>
              <w:spacing w:after="0"/>
              <w:jc w:val="center"/>
            </w:pPr>
            <w:r>
              <w:t>0</w:t>
            </w:r>
          </w:p>
        </w:tc>
        <w:tc>
          <w:tcPr>
            <w:tcW w:w="2236" w:type="dxa"/>
          </w:tcPr>
          <w:p w14:paraId="0B94AA44" w14:textId="1263BC9C" w:rsidR="008E384C" w:rsidRDefault="00676895" w:rsidP="008E384C">
            <w:pPr>
              <w:spacing w:after="0"/>
              <w:jc w:val="center"/>
            </w:pPr>
            <w:r>
              <w:t>13</w:t>
            </w:r>
          </w:p>
        </w:tc>
        <w:tc>
          <w:tcPr>
            <w:tcW w:w="1218" w:type="dxa"/>
          </w:tcPr>
          <w:p w14:paraId="6154B2B1" w14:textId="151D7282" w:rsidR="008E384C" w:rsidRDefault="002B384F" w:rsidP="008E384C">
            <w:pPr>
              <w:spacing w:after="0"/>
              <w:jc w:val="center"/>
            </w:pPr>
            <w:r>
              <w:t>13</w:t>
            </w:r>
          </w:p>
        </w:tc>
      </w:tr>
      <w:tr w:rsidR="00A35491" w14:paraId="1133468A" w14:textId="77777777" w:rsidTr="002B384F">
        <w:trPr>
          <w:cantSplit w:val="0"/>
        </w:trPr>
        <w:tc>
          <w:tcPr>
            <w:tcW w:w="3978" w:type="dxa"/>
            <w:vAlign w:val="top"/>
          </w:tcPr>
          <w:p w14:paraId="3BF2DDDF" w14:textId="6BC4E27D" w:rsidR="00A35491" w:rsidRPr="004D1056" w:rsidRDefault="00A35491" w:rsidP="008E384C">
            <w:pPr>
              <w:spacing w:after="0"/>
              <w:rPr>
                <w:b/>
                <w:bCs/>
              </w:rPr>
            </w:pPr>
            <w:r w:rsidRPr="004D1056">
              <w:rPr>
                <w:b/>
                <w:bCs/>
              </w:rPr>
              <w:t>Totals</w:t>
            </w:r>
          </w:p>
        </w:tc>
        <w:tc>
          <w:tcPr>
            <w:tcW w:w="2216" w:type="dxa"/>
          </w:tcPr>
          <w:p w14:paraId="6F367858" w14:textId="37C277F2" w:rsidR="00A35491" w:rsidRPr="009753F9" w:rsidRDefault="009753F9" w:rsidP="008E384C">
            <w:pPr>
              <w:spacing w:after="0"/>
              <w:jc w:val="center"/>
              <w:rPr>
                <w:b/>
                <w:bCs/>
              </w:rPr>
            </w:pPr>
            <w:r w:rsidRPr="009753F9">
              <w:rPr>
                <w:b/>
                <w:bCs/>
              </w:rPr>
              <w:t>0</w:t>
            </w:r>
          </w:p>
        </w:tc>
        <w:tc>
          <w:tcPr>
            <w:tcW w:w="2236" w:type="dxa"/>
          </w:tcPr>
          <w:p w14:paraId="17B3BAFD" w14:textId="688379AA" w:rsidR="00A35491" w:rsidRPr="009753F9" w:rsidRDefault="009753F9" w:rsidP="008E384C">
            <w:pPr>
              <w:spacing w:after="0"/>
              <w:jc w:val="center"/>
              <w:rPr>
                <w:b/>
                <w:bCs/>
              </w:rPr>
            </w:pPr>
            <w:r w:rsidRPr="009753F9">
              <w:rPr>
                <w:b/>
                <w:bCs/>
              </w:rPr>
              <w:t>13</w:t>
            </w:r>
          </w:p>
        </w:tc>
        <w:tc>
          <w:tcPr>
            <w:tcW w:w="1218" w:type="dxa"/>
          </w:tcPr>
          <w:p w14:paraId="6519287E" w14:textId="1027594A" w:rsidR="00A35491" w:rsidRPr="009753F9" w:rsidRDefault="009753F9" w:rsidP="008E384C">
            <w:pPr>
              <w:spacing w:after="0"/>
              <w:jc w:val="center"/>
              <w:rPr>
                <w:b/>
                <w:bCs/>
              </w:rPr>
            </w:pPr>
            <w:r w:rsidRPr="009753F9">
              <w:rPr>
                <w:b/>
                <w:bCs/>
              </w:rPr>
              <w:t>13</w:t>
            </w:r>
          </w:p>
        </w:tc>
      </w:tr>
    </w:tbl>
    <w:p w14:paraId="79DEB772" w14:textId="1CACD8B1" w:rsidR="00E71BF5" w:rsidRDefault="00E71BF5" w:rsidP="00A3566B">
      <w:pPr>
        <w:pStyle w:val="Heading2"/>
      </w:pPr>
      <w:bookmarkStart w:id="159" w:name="_Toc189048617"/>
      <w:r>
        <w:t xml:space="preserve">North Coast Region </w:t>
      </w:r>
      <w:r w:rsidR="0043095A">
        <w:t xml:space="preserve">Prioritization </w:t>
      </w:r>
      <w:r>
        <w:t>of</w:t>
      </w:r>
      <w:r w:rsidR="0027679E">
        <w:t xml:space="preserve"> </w:t>
      </w:r>
      <w:r>
        <w:t>TMDLs and Other Efforts to Address Impaired Waters</w:t>
      </w:r>
      <w:bookmarkEnd w:id="159"/>
    </w:p>
    <w:p w14:paraId="022241DF" w14:textId="77777777" w:rsidR="00562558" w:rsidRDefault="00F37E03" w:rsidP="00326F29">
      <w:pPr>
        <w:spacing w:before="240"/>
        <w:rPr>
          <w:rFonts w:eastAsia="Arial" w:cs="Arial"/>
        </w:rPr>
      </w:pPr>
      <w:r w:rsidRPr="00F37E03">
        <w:t>Efforts to address impaired waterbodies identified on the CWA section 303(d) list can</w:t>
      </w:r>
      <w:r>
        <w:t xml:space="preserve"> </w:t>
      </w:r>
      <w:r w:rsidRPr="00F37E03">
        <w:rPr>
          <w:rFonts w:eastAsia="Arial" w:cs="Arial"/>
        </w:rPr>
        <w:t>include TMDLs, individual permits, or other programs of implementation, which are</w:t>
      </w:r>
      <w:r>
        <w:t xml:space="preserve"> </w:t>
      </w:r>
      <w:r w:rsidRPr="00F37E03">
        <w:rPr>
          <w:rFonts w:eastAsia="Arial" w:cs="Arial"/>
        </w:rPr>
        <w:t>sometimes known as TMDL alternative projects. The prioritization of TMDLs and other</w:t>
      </w:r>
      <w:r>
        <w:t xml:space="preserve"> </w:t>
      </w:r>
      <w:r w:rsidRPr="00F37E03">
        <w:rPr>
          <w:rFonts w:eastAsia="Arial" w:cs="Arial"/>
        </w:rPr>
        <w:t xml:space="preserve">efforts to address impaired waters in the </w:t>
      </w:r>
      <w:r>
        <w:rPr>
          <w:rFonts w:eastAsia="Arial" w:cs="Arial"/>
        </w:rPr>
        <w:t>North Coast</w:t>
      </w:r>
      <w:r w:rsidRPr="00F37E03">
        <w:rPr>
          <w:rFonts w:eastAsia="Arial" w:cs="Arial"/>
        </w:rPr>
        <w:t xml:space="preserve"> Region is based on the factors</w:t>
      </w:r>
      <w:r>
        <w:t xml:space="preserve"> </w:t>
      </w:r>
      <w:r w:rsidRPr="00F37E03">
        <w:rPr>
          <w:rFonts w:eastAsia="Arial" w:cs="Arial"/>
        </w:rPr>
        <w:t>required by section 5 of the Listing Policy and</w:t>
      </w:r>
      <w:r>
        <w:t xml:space="preserve"> </w:t>
      </w:r>
      <w:r w:rsidRPr="00F37E03">
        <w:rPr>
          <w:rFonts w:eastAsia="Arial" w:cs="Arial"/>
        </w:rPr>
        <w:t xml:space="preserve">consideration of several other factors, </w:t>
      </w:r>
      <w:r w:rsidR="00B408DA">
        <w:rPr>
          <w:rFonts w:eastAsia="Arial" w:cs="Arial"/>
        </w:rPr>
        <w:t>outline</w:t>
      </w:r>
      <w:r w:rsidR="00FC64AB">
        <w:rPr>
          <w:rFonts w:eastAsia="Arial" w:cs="Arial"/>
        </w:rPr>
        <w:t>d</w:t>
      </w:r>
      <w:r w:rsidR="00B408DA">
        <w:rPr>
          <w:rFonts w:eastAsia="Arial" w:cs="Arial"/>
        </w:rPr>
        <w:t xml:space="preserve"> in </w:t>
      </w:r>
      <w:r w:rsidR="00FC64AB">
        <w:rPr>
          <w:rFonts w:eastAsia="Arial" w:cs="Arial"/>
        </w:rPr>
        <w:t>section 2.</w:t>
      </w:r>
      <w:r w:rsidR="009678AA">
        <w:rPr>
          <w:rFonts w:eastAsia="Arial" w:cs="Arial"/>
        </w:rPr>
        <w:t>6: TMDLs and Other Efforts to Address Impaired Waters</w:t>
      </w:r>
      <w:r w:rsidR="00B3529B">
        <w:rPr>
          <w:rFonts w:eastAsia="Arial" w:cs="Arial"/>
        </w:rPr>
        <w:t xml:space="preserve">. </w:t>
      </w:r>
      <w:r w:rsidR="0072715A">
        <w:rPr>
          <w:rFonts w:eastAsia="Arial" w:cs="Arial"/>
        </w:rPr>
        <w:t xml:space="preserve">Information </w:t>
      </w:r>
      <w:r w:rsidR="002940E1">
        <w:rPr>
          <w:rFonts w:eastAsia="Arial" w:cs="Arial"/>
        </w:rPr>
        <w:t xml:space="preserve">outlining </w:t>
      </w:r>
      <w:r w:rsidR="0068349C">
        <w:rPr>
          <w:rFonts w:eastAsia="Arial" w:cs="Arial"/>
        </w:rPr>
        <w:t xml:space="preserve">how impaired waterbodies may be addressed through individual permits is outlined in section 1.1: </w:t>
      </w:r>
      <w:r w:rsidR="00647DAE">
        <w:rPr>
          <w:rFonts w:eastAsia="Arial" w:cs="Arial"/>
        </w:rPr>
        <w:t xml:space="preserve">The 303(d) List of Impaired Waters. </w:t>
      </w:r>
    </w:p>
    <w:p w14:paraId="4FC1A494" w14:textId="7178F069" w:rsidR="00E71BF5" w:rsidRPr="00F37E03" w:rsidRDefault="00964FF5" w:rsidP="00562558">
      <w:pPr>
        <w:spacing w:before="240"/>
        <w:contextualSpacing/>
      </w:pPr>
      <w:r w:rsidRPr="0B47F341">
        <w:rPr>
          <w:rFonts w:eastAsia="Arial" w:cs="Arial"/>
        </w:rPr>
        <w:t xml:space="preserve">The </w:t>
      </w:r>
      <w:r w:rsidR="00902C65">
        <w:rPr>
          <w:rFonts w:eastAsia="Arial" w:cs="Arial"/>
        </w:rPr>
        <w:t>following TMDLs were marked as</w:t>
      </w:r>
      <w:r w:rsidR="00313C5E">
        <w:rPr>
          <w:rFonts w:eastAsia="Arial" w:cs="Arial"/>
        </w:rPr>
        <w:t xml:space="preserve"> </w:t>
      </w:r>
      <w:r w:rsidR="00E808C2">
        <w:rPr>
          <w:rFonts w:eastAsia="Arial" w:cs="Arial"/>
        </w:rPr>
        <w:t xml:space="preserve">Priority Level </w:t>
      </w:r>
      <w:r w:rsidR="00313C5E">
        <w:rPr>
          <w:rFonts w:eastAsia="Arial" w:cs="Arial"/>
        </w:rPr>
        <w:t>H</w:t>
      </w:r>
      <w:r w:rsidR="00902C65">
        <w:rPr>
          <w:rFonts w:eastAsia="Arial" w:cs="Arial"/>
        </w:rPr>
        <w:t>igh</w:t>
      </w:r>
      <w:r w:rsidRPr="0B47F341">
        <w:rPr>
          <w:rFonts w:eastAsia="Arial" w:cs="Arial"/>
        </w:rPr>
        <w:t xml:space="preserve"> </w:t>
      </w:r>
      <w:r w:rsidR="00A70B9C">
        <w:rPr>
          <w:rFonts w:eastAsia="Arial" w:cs="Arial"/>
        </w:rPr>
        <w:t xml:space="preserve">per the CalWQA </w:t>
      </w:r>
      <w:r w:rsidRPr="0B47F341">
        <w:rPr>
          <w:rFonts w:eastAsia="Arial" w:cs="Arial"/>
        </w:rPr>
        <w:t xml:space="preserve">TMDL </w:t>
      </w:r>
      <w:r w:rsidR="00C57329">
        <w:rPr>
          <w:rFonts w:eastAsia="Arial" w:cs="Arial"/>
        </w:rPr>
        <w:t>P</w:t>
      </w:r>
      <w:r w:rsidR="00A70B9C">
        <w:rPr>
          <w:rFonts w:eastAsia="Arial" w:cs="Arial"/>
        </w:rPr>
        <w:t>rioritization effort described in Section</w:t>
      </w:r>
      <w:r w:rsidR="00991482">
        <w:rPr>
          <w:rFonts w:eastAsia="Arial" w:cs="Arial"/>
        </w:rPr>
        <w:t xml:space="preserve"> 2.7</w:t>
      </w:r>
      <w:r w:rsidR="00171FDF">
        <w:rPr>
          <w:rFonts w:eastAsia="Arial" w:cs="Arial"/>
        </w:rPr>
        <w:t>.</w:t>
      </w:r>
      <w:r w:rsidR="00171FDF" w:rsidRPr="00171FDF">
        <w:rPr>
          <w:rFonts w:eastAsia="Arial" w:cs="Arial"/>
        </w:rPr>
        <w:t xml:space="preserve"> </w:t>
      </w:r>
      <w:r w:rsidR="00171FDF">
        <w:rPr>
          <w:rFonts w:eastAsia="Arial" w:cs="Arial"/>
        </w:rPr>
        <w:t xml:space="preserve">A waterbody </w:t>
      </w:r>
      <w:r w:rsidR="00177E2F">
        <w:rPr>
          <w:rFonts w:eastAsia="Arial" w:cs="Arial"/>
        </w:rPr>
        <w:t>segment</w:t>
      </w:r>
      <w:r w:rsidR="00171FDF">
        <w:rPr>
          <w:rFonts w:eastAsia="Arial" w:cs="Arial"/>
        </w:rPr>
        <w:t xml:space="preserve"> </w:t>
      </w:r>
      <w:r w:rsidR="00804B00">
        <w:rPr>
          <w:rFonts w:eastAsia="Arial" w:cs="Arial"/>
        </w:rPr>
        <w:t xml:space="preserve">is </w:t>
      </w:r>
      <w:r w:rsidR="00171FDF">
        <w:rPr>
          <w:rFonts w:eastAsia="Arial" w:cs="Arial"/>
        </w:rPr>
        <w:t>assigned a priority level (</w:t>
      </w:r>
      <w:r w:rsidR="001E2886">
        <w:rPr>
          <w:rFonts w:eastAsia="Arial" w:cs="Arial"/>
        </w:rPr>
        <w:t>high, medium, low</w:t>
      </w:r>
      <w:r w:rsidR="00171FDF">
        <w:rPr>
          <w:rFonts w:eastAsia="Arial" w:cs="Arial"/>
        </w:rPr>
        <w:t>) when it is placed in Category 5 (</w:t>
      </w:r>
      <w:r w:rsidR="00454620">
        <w:rPr>
          <w:rFonts w:eastAsia="Arial" w:cs="Arial"/>
        </w:rPr>
        <w:t>i.e</w:t>
      </w:r>
      <w:r w:rsidR="001E2886">
        <w:rPr>
          <w:rFonts w:eastAsia="Arial" w:cs="Arial"/>
        </w:rPr>
        <w:t xml:space="preserve">., </w:t>
      </w:r>
      <w:r w:rsidR="001E2886">
        <w:t>t</w:t>
      </w:r>
      <w:r w:rsidR="00171FDF">
        <w:t xml:space="preserve">he water quality standard is not attained for at least one </w:t>
      </w:r>
      <w:r w:rsidR="00171FDF" w:rsidRPr="000E6166">
        <w:t xml:space="preserve">waterbody-pollutant </w:t>
      </w:r>
      <w:r w:rsidR="00171FDF">
        <w:t>combination and a TMDL is required.</w:t>
      </w:r>
      <w:r w:rsidR="00171FDF">
        <w:rPr>
          <w:rFonts w:eastAsia="Arial" w:cs="Arial"/>
        </w:rPr>
        <w:t>)</w:t>
      </w:r>
      <w:r w:rsidR="00B72396">
        <w:rPr>
          <w:rFonts w:eastAsia="Arial" w:cs="Arial"/>
        </w:rPr>
        <w:t xml:space="preserve"> </w:t>
      </w:r>
      <w:r w:rsidR="00991482">
        <w:rPr>
          <w:rFonts w:eastAsia="Arial" w:cs="Arial"/>
        </w:rPr>
        <w:t>High</w:t>
      </w:r>
      <w:r w:rsidRPr="0B47F341">
        <w:rPr>
          <w:rFonts w:eastAsia="Arial" w:cs="Arial"/>
        </w:rPr>
        <w:t xml:space="preserve"> </w:t>
      </w:r>
      <w:r w:rsidR="001567E9">
        <w:rPr>
          <w:rFonts w:eastAsia="Arial" w:cs="Arial"/>
        </w:rPr>
        <w:t>p</w:t>
      </w:r>
      <w:r w:rsidR="001567E9" w:rsidRPr="0B47F341">
        <w:rPr>
          <w:rFonts w:eastAsia="Arial" w:cs="Arial"/>
        </w:rPr>
        <w:t>riority</w:t>
      </w:r>
      <w:r w:rsidRPr="0B47F341">
        <w:rPr>
          <w:rFonts w:eastAsia="Arial" w:cs="Arial"/>
        </w:rPr>
        <w:t xml:space="preserve"> TMDL projects are listed in Table </w:t>
      </w:r>
      <w:r w:rsidR="00B65409">
        <w:rPr>
          <w:rFonts w:eastAsia="Arial" w:cs="Arial"/>
        </w:rPr>
        <w:t>5</w:t>
      </w:r>
      <w:r>
        <w:rPr>
          <w:rFonts w:eastAsia="Arial" w:cs="Arial"/>
        </w:rPr>
        <w:t>-</w:t>
      </w:r>
      <w:r w:rsidR="00FB32BB">
        <w:rPr>
          <w:rFonts w:eastAsia="Arial" w:cs="Arial"/>
        </w:rPr>
        <w:t>6</w:t>
      </w:r>
      <w:r>
        <w:rPr>
          <w:rFonts w:eastAsia="Arial" w:cs="Arial"/>
        </w:rPr>
        <w:t xml:space="preserve">: </w:t>
      </w:r>
      <w:r w:rsidR="00495886">
        <w:rPr>
          <w:rFonts w:eastAsia="Arial" w:cs="Arial"/>
        </w:rPr>
        <w:t xml:space="preserve">High Priority </w:t>
      </w:r>
      <w:r w:rsidR="0028048C">
        <w:rPr>
          <w:rFonts w:eastAsia="Arial" w:cs="Arial"/>
        </w:rPr>
        <w:t>North Coast</w:t>
      </w:r>
      <w:r>
        <w:rPr>
          <w:rFonts w:eastAsia="Arial" w:cs="Arial"/>
        </w:rPr>
        <w:t xml:space="preserve"> TMDLs</w:t>
      </w:r>
      <w:r w:rsidRPr="7FD97207">
        <w:rPr>
          <w:rFonts w:eastAsia="Arial" w:cs="Arial"/>
        </w:rPr>
        <w:t>.</w:t>
      </w:r>
      <w:r w:rsidRPr="0B47F341">
        <w:rPr>
          <w:rFonts w:eastAsia="Arial" w:cs="Arial"/>
        </w:rPr>
        <w:t xml:space="preserve"> </w:t>
      </w:r>
      <w:r w:rsidR="00514770" w:rsidRPr="00514770">
        <w:rPr>
          <w:rFonts w:eastAsia="Arial" w:cs="Arial"/>
        </w:rPr>
        <w:t xml:space="preserve">The </w:t>
      </w:r>
      <w:r w:rsidR="002F23E5">
        <w:rPr>
          <w:rFonts w:eastAsia="Arial" w:cs="Arial"/>
        </w:rPr>
        <w:t xml:space="preserve">prospective </w:t>
      </w:r>
      <w:r w:rsidR="00514770" w:rsidRPr="00514770">
        <w:rPr>
          <w:rFonts w:eastAsia="Arial" w:cs="Arial"/>
        </w:rPr>
        <w:t>TMDL completion date is defined as the date the Regional Water Board adopts the TMDL.</w:t>
      </w:r>
    </w:p>
    <w:p w14:paraId="40E5D124" w14:textId="7F06F4AF" w:rsidR="007F149F" w:rsidRPr="007F149F" w:rsidRDefault="007F149F" w:rsidP="007F149F">
      <w:pPr>
        <w:pStyle w:val="Caption"/>
        <w:keepNext/>
      </w:pPr>
      <w:r>
        <w:t xml:space="preserve">Table </w:t>
      </w:r>
      <w:r w:rsidR="00AB32F5">
        <w:t>5</w:t>
      </w:r>
      <w:r w:rsidR="00D311E2">
        <w:noBreakHyphen/>
      </w:r>
      <w:r w:rsidR="00FB32BB">
        <w:t>6</w:t>
      </w:r>
      <w:r>
        <w:t xml:space="preserve">: </w:t>
      </w:r>
      <w:r w:rsidR="00F57F9B">
        <w:rPr>
          <w:rFonts w:eastAsia="Arial" w:cs="Arial"/>
        </w:rPr>
        <w:t xml:space="preserve">North Coast Regional Water Board </w:t>
      </w:r>
      <w:r w:rsidR="006B77C5">
        <w:rPr>
          <w:rFonts w:eastAsia="Arial" w:cs="Arial"/>
        </w:rPr>
        <w:t xml:space="preserve">High Priority </w:t>
      </w:r>
      <w:r>
        <w:rPr>
          <w:rFonts w:eastAsia="Arial" w:cs="Arial"/>
        </w:rPr>
        <w:t>TMDLs</w:t>
      </w:r>
    </w:p>
    <w:tbl>
      <w:tblPr>
        <w:tblStyle w:val="AccblTable"/>
        <w:tblW w:w="0" w:type="auto"/>
        <w:tblCellMar>
          <w:top w:w="115" w:type="dxa"/>
          <w:bottom w:w="115" w:type="dxa"/>
        </w:tblCellMar>
        <w:tblLook w:val="04A0" w:firstRow="1" w:lastRow="0" w:firstColumn="1" w:lastColumn="0" w:noHBand="0" w:noVBand="1"/>
        <w:tblCaption w:val="Schedule for North Coast TMDLs and Other Efforts to Address Impaired Waters"/>
        <w:tblDescription w:val="This table is a list of TMDL projects and other efforts to address impaired waters and the year of their projected completion dates for the North Coast Region. "/>
      </w:tblPr>
      <w:tblGrid>
        <w:gridCol w:w="7015"/>
        <w:gridCol w:w="2335"/>
      </w:tblGrid>
      <w:tr w:rsidR="004358C4" w14:paraId="05869E67" w14:textId="3F17AB11" w:rsidTr="00850BF4">
        <w:trPr>
          <w:cnfStyle w:val="100000000000" w:firstRow="1" w:lastRow="0" w:firstColumn="0" w:lastColumn="0" w:oddVBand="0" w:evenVBand="0" w:oddHBand="0" w:evenHBand="0" w:firstRowFirstColumn="0" w:firstRowLastColumn="0" w:lastRowFirstColumn="0" w:lastRowLastColumn="0"/>
          <w:trHeight w:val="306"/>
        </w:trPr>
        <w:tc>
          <w:tcPr>
            <w:tcW w:w="7015" w:type="dxa"/>
          </w:tcPr>
          <w:p w14:paraId="24989AF0" w14:textId="77777777" w:rsidR="00CA3FA7" w:rsidRDefault="00CA3FA7">
            <w:pPr>
              <w:spacing w:after="0"/>
              <w:rPr>
                <w:rFonts w:eastAsia="Arial" w:cs="Arial"/>
              </w:rPr>
            </w:pPr>
            <w:r>
              <w:rPr>
                <w:rFonts w:eastAsia="Arial" w:cs="Arial"/>
              </w:rPr>
              <w:t xml:space="preserve">Project  </w:t>
            </w:r>
          </w:p>
        </w:tc>
        <w:tc>
          <w:tcPr>
            <w:tcW w:w="2335" w:type="dxa"/>
          </w:tcPr>
          <w:p w14:paraId="28F2DC4C" w14:textId="77777777" w:rsidR="00024E6C" w:rsidRDefault="00135E69">
            <w:pPr>
              <w:spacing w:after="0"/>
              <w:rPr>
                <w:rFonts w:eastAsia="Arial" w:cs="Arial"/>
                <w:b w:val="0"/>
              </w:rPr>
            </w:pPr>
            <w:r>
              <w:rPr>
                <w:rFonts w:eastAsia="Arial" w:cs="Arial"/>
              </w:rPr>
              <w:t xml:space="preserve">Prospective </w:t>
            </w:r>
          </w:p>
          <w:p w14:paraId="7EDD5988" w14:textId="7E0DAFAF" w:rsidR="00135E69" w:rsidRDefault="00024E6C">
            <w:pPr>
              <w:spacing w:after="0"/>
              <w:rPr>
                <w:rFonts w:eastAsia="Arial" w:cs="Arial"/>
              </w:rPr>
            </w:pPr>
            <w:r>
              <w:rPr>
                <w:rFonts w:eastAsia="Arial" w:cs="Arial"/>
              </w:rPr>
              <w:t>Completion</w:t>
            </w:r>
            <w:r w:rsidR="00135E69">
              <w:rPr>
                <w:rFonts w:eastAsia="Arial" w:cs="Arial"/>
              </w:rPr>
              <w:t xml:space="preserve"> Date</w:t>
            </w:r>
          </w:p>
        </w:tc>
      </w:tr>
      <w:tr w:rsidR="00CA3FA7" w14:paraId="0B6B9D38" w14:textId="312F444E" w:rsidTr="00850BF4">
        <w:trPr>
          <w:trHeight w:val="323"/>
        </w:trPr>
        <w:tc>
          <w:tcPr>
            <w:tcW w:w="7015" w:type="dxa"/>
          </w:tcPr>
          <w:p w14:paraId="18777A23" w14:textId="36AB3F9A" w:rsidR="00CA3FA7" w:rsidRPr="00FC0454" w:rsidRDefault="00AA628B" w:rsidP="00545578">
            <w:pPr>
              <w:spacing w:after="0"/>
              <w:rPr>
                <w:rFonts w:eastAsia="Calibri"/>
                <w:szCs w:val="24"/>
                <w:highlight w:val="yellow"/>
              </w:rPr>
            </w:pPr>
            <w:r w:rsidRPr="003E01B0">
              <w:rPr>
                <w:rFonts w:eastAsia="Arial" w:cs="Arial"/>
              </w:rPr>
              <w:t>Action Plan for the Russian River Watershed and the Russian River Pathogen TMDL</w:t>
            </w:r>
          </w:p>
        </w:tc>
        <w:tc>
          <w:tcPr>
            <w:tcW w:w="2335" w:type="dxa"/>
          </w:tcPr>
          <w:p w14:paraId="6EB56484" w14:textId="6F9A79F4" w:rsidR="004E4CB6" w:rsidRDefault="004E4CB6" w:rsidP="00EF6C7D">
            <w:pPr>
              <w:spacing w:after="0"/>
              <w:jc w:val="center"/>
              <w:rPr>
                <w:rFonts w:eastAsia="Arial" w:cs="Arial"/>
              </w:rPr>
            </w:pPr>
            <w:r>
              <w:rPr>
                <w:rFonts w:eastAsia="Arial" w:cs="Arial"/>
              </w:rPr>
              <w:t>2025</w:t>
            </w:r>
            <w:r w:rsidR="00545578">
              <w:rPr>
                <w:rFonts w:eastAsia="Arial" w:cs="Arial"/>
              </w:rPr>
              <w:t>-2026</w:t>
            </w:r>
          </w:p>
        </w:tc>
      </w:tr>
      <w:tr w:rsidR="004F5F97" w14:paraId="4F92932C" w14:textId="77777777" w:rsidTr="00850BF4">
        <w:trPr>
          <w:trHeight w:val="323"/>
        </w:trPr>
        <w:tc>
          <w:tcPr>
            <w:tcW w:w="7015" w:type="dxa"/>
          </w:tcPr>
          <w:p w14:paraId="4648967C" w14:textId="5C6A5A95" w:rsidR="004F5F97" w:rsidRDefault="004F5F97" w:rsidP="00545578">
            <w:pPr>
              <w:spacing w:after="0"/>
            </w:pPr>
            <w:r w:rsidRPr="004F5F97">
              <w:t>Laguna de Santa Rosa Watershed Sediment, Phosphorus, Nitrogen, and Temperature TMDLs</w:t>
            </w:r>
          </w:p>
        </w:tc>
        <w:tc>
          <w:tcPr>
            <w:tcW w:w="2335" w:type="dxa"/>
          </w:tcPr>
          <w:p w14:paraId="69C1EC49" w14:textId="7DCB82FB" w:rsidR="004F5F97" w:rsidRDefault="008C65DD" w:rsidP="00EF6C7D">
            <w:pPr>
              <w:spacing w:after="0"/>
              <w:jc w:val="center"/>
              <w:rPr>
                <w:rFonts w:eastAsia="Arial" w:cs="Arial"/>
              </w:rPr>
            </w:pPr>
            <w:r>
              <w:rPr>
                <w:rFonts w:eastAsia="Arial" w:cs="Arial"/>
              </w:rPr>
              <w:t>2025-2026</w:t>
            </w:r>
          </w:p>
        </w:tc>
      </w:tr>
    </w:tbl>
    <w:p w14:paraId="4FCB4D33" w14:textId="523406BA" w:rsidR="00A61277" w:rsidRPr="000C6C9D" w:rsidRDefault="7F0F154E" w:rsidP="005632BC">
      <w:pPr>
        <w:pStyle w:val="Heading3"/>
      </w:pPr>
      <w:bookmarkStart w:id="160" w:name="_Toc35339610"/>
      <w:bookmarkStart w:id="161" w:name="_Toc189048618"/>
      <w:bookmarkEnd w:id="138"/>
      <w:bookmarkEnd w:id="158"/>
      <w:r w:rsidRPr="000C6C9D">
        <w:t xml:space="preserve">Impairments </w:t>
      </w:r>
      <w:r w:rsidR="00E4345E">
        <w:t xml:space="preserve">Expected </w:t>
      </w:r>
      <w:r w:rsidR="00DB5ACF">
        <w:t>to</w:t>
      </w:r>
      <w:r w:rsidR="00EA367E">
        <w:t xml:space="preserve"> Be</w:t>
      </w:r>
      <w:r w:rsidRPr="000C6C9D">
        <w:t xml:space="preserve"> Addressed by</w:t>
      </w:r>
      <w:r w:rsidR="006D5F30">
        <w:t xml:space="preserve"> </w:t>
      </w:r>
      <w:r w:rsidR="00B72396">
        <w:t>4b Demonstration</w:t>
      </w:r>
      <w:r w:rsidR="005D7E51">
        <w:t>s</w:t>
      </w:r>
      <w:bookmarkEnd w:id="161"/>
    </w:p>
    <w:p w14:paraId="3CB93D2D" w14:textId="0EBE40E3" w:rsidR="00BF677C" w:rsidRDefault="00127121" w:rsidP="00FD2F84">
      <w:bookmarkStart w:id="162" w:name="_Toc115184492"/>
      <w:r>
        <w:t xml:space="preserve">The </w:t>
      </w:r>
      <w:hyperlink r:id="rId71" w:history="1">
        <w:r w:rsidR="00577915" w:rsidRPr="0082515F">
          <w:rPr>
            <w:rStyle w:val="Hyperlink"/>
          </w:rPr>
          <w:t>Coastal Pathogen Project</w:t>
        </w:r>
      </w:hyperlink>
      <w:r w:rsidR="00577915">
        <w:rPr>
          <w:rStyle w:val="Hyperlink"/>
        </w:rPr>
        <w:t xml:space="preserve"> </w:t>
      </w:r>
      <w:r w:rsidR="006D2CFD" w:rsidRPr="08E425FB">
        <w:rPr>
          <w:rStyle w:val="Hyperlink"/>
        </w:rPr>
        <w:t>(</w:t>
      </w:r>
      <w:hyperlink r:id="rId72">
        <w:r w:rsidR="00C67BAB" w:rsidRPr="08E425FB">
          <w:rPr>
            <w:rStyle w:val="Hyperlink"/>
          </w:rPr>
          <w:t>https://www.waterboards.ca.gov/northcoast/water_issues/programs/tmdls/coastal_pathogen/</w:t>
        </w:r>
      </w:hyperlink>
      <w:r w:rsidR="00C67BAB" w:rsidRPr="08E425FB">
        <w:rPr>
          <w:rStyle w:val="Hyperlink"/>
        </w:rPr>
        <w:t>)</w:t>
      </w:r>
      <w:r w:rsidR="00577915" w:rsidRPr="08E425FB">
        <w:rPr>
          <w:rStyle w:val="Hyperlink"/>
        </w:rPr>
        <w:t xml:space="preserve"> </w:t>
      </w:r>
      <w:r w:rsidR="003401E4">
        <w:t xml:space="preserve">is </w:t>
      </w:r>
      <w:r w:rsidR="496E4F65">
        <w:t xml:space="preserve">being developed as </w:t>
      </w:r>
      <w:r w:rsidR="003401E4">
        <w:t xml:space="preserve">a </w:t>
      </w:r>
      <w:r w:rsidR="002B3F67">
        <w:t xml:space="preserve">Category 4b </w:t>
      </w:r>
      <w:r w:rsidR="00131AE9">
        <w:t>project</w:t>
      </w:r>
      <w:r w:rsidR="000D3C7B">
        <w:t xml:space="preserve"> in the North Coast Region</w:t>
      </w:r>
      <w:r w:rsidR="00D73070">
        <w:t xml:space="preserve">. </w:t>
      </w:r>
      <w:r w:rsidR="000D3C7B">
        <w:t>REC-1</w:t>
      </w:r>
      <w:r w:rsidR="0099140E">
        <w:t xml:space="preserve"> and </w:t>
      </w:r>
      <w:r w:rsidR="000D3C7B">
        <w:t>SHELL</w:t>
      </w:r>
      <w:r w:rsidR="00601888">
        <w:t xml:space="preserve"> </w:t>
      </w:r>
      <w:r w:rsidR="00A93655">
        <w:t xml:space="preserve">beneficial uses are impaired by pathogens in </w:t>
      </w:r>
      <w:r w:rsidR="001D635D">
        <w:t xml:space="preserve">coastal </w:t>
      </w:r>
      <w:r w:rsidR="00A95D84">
        <w:t>waterbody segments</w:t>
      </w:r>
      <w:r w:rsidR="001D635D">
        <w:t xml:space="preserve">. </w:t>
      </w:r>
      <w:r w:rsidR="00907E65">
        <w:t>The North Coast Regional Water Board is planning to address t</w:t>
      </w:r>
      <w:r w:rsidR="00180087">
        <w:t>hese impairments through regulatory programs</w:t>
      </w:r>
      <w:r w:rsidR="00907E65">
        <w:t xml:space="preserve"> that ensure standards will be attained in a reasonable period of time</w:t>
      </w:r>
      <w:r w:rsidR="00180087">
        <w:t>.</w:t>
      </w:r>
      <w:r w:rsidR="009F45FB">
        <w:t xml:space="preserve"> The North Coast Regional Water Board is planning to submit evidence </w:t>
      </w:r>
      <w:r w:rsidR="00EA7118">
        <w:t xml:space="preserve">to the USEPA </w:t>
      </w:r>
      <w:r w:rsidR="009F45FB">
        <w:t xml:space="preserve">demonstrating the waterbody-pollutant combinations </w:t>
      </w:r>
      <w:r w:rsidR="00BF478B">
        <w:t>meet Category 4b conditions after the 2026 California Integrated Report</w:t>
      </w:r>
      <w:r w:rsidR="00555CBC">
        <w:t xml:space="preserve"> is submitted to USEPA</w:t>
      </w:r>
      <w:r w:rsidR="00D95B55">
        <w:t>.</w:t>
      </w:r>
      <w:r w:rsidR="006635D1">
        <w:t xml:space="preserve"> </w:t>
      </w:r>
    </w:p>
    <w:p w14:paraId="202937AE" w14:textId="2944DBC6" w:rsidR="007710C3" w:rsidRPr="004502A9" w:rsidRDefault="007710C3" w:rsidP="00597DE8">
      <w:pPr>
        <w:pStyle w:val="Heading1"/>
      </w:pPr>
      <w:bookmarkStart w:id="163" w:name="_Toc189048619"/>
      <w:bookmarkEnd w:id="162"/>
      <w:r w:rsidRPr="004502A9">
        <w:t>Central Valley Region</w:t>
      </w:r>
      <w:r w:rsidR="00184061">
        <w:t>al Water Board</w:t>
      </w:r>
      <w:bookmarkEnd w:id="163"/>
      <w:r w:rsidRPr="004502A9">
        <w:t xml:space="preserve"> </w:t>
      </w:r>
    </w:p>
    <w:p w14:paraId="5CCFF91E" w14:textId="3CE8111C" w:rsidR="0015405C" w:rsidRDefault="00AC10A6" w:rsidP="007710C3">
      <w:pPr>
        <w:autoSpaceDE w:val="0"/>
        <w:autoSpaceDN w:val="0"/>
        <w:adjustRightInd w:val="0"/>
        <w:rPr>
          <w:rFonts w:cs="Arial"/>
        </w:rPr>
      </w:pPr>
      <w:r>
        <w:rPr>
          <w:rFonts w:cs="Arial"/>
        </w:rPr>
        <w:t xml:space="preserve">Water quality data from portions of </w:t>
      </w:r>
      <w:r w:rsidR="00AA57ED">
        <w:rPr>
          <w:rFonts w:cs="Arial"/>
        </w:rPr>
        <w:t xml:space="preserve">the Central Valley region </w:t>
      </w:r>
      <w:r w:rsidR="00E2580B">
        <w:rPr>
          <w:rFonts w:cs="Arial"/>
        </w:rPr>
        <w:t>are</w:t>
      </w:r>
      <w:r w:rsidR="00AA57ED">
        <w:rPr>
          <w:rFonts w:cs="Arial"/>
        </w:rPr>
        <w:t xml:space="preserve"> assessed each listing cycle in success</w:t>
      </w:r>
      <w:r w:rsidR="00BA42B9">
        <w:rPr>
          <w:rFonts w:cs="Arial"/>
        </w:rPr>
        <w:t>ive</w:t>
      </w:r>
      <w:r w:rsidR="00AA57ED">
        <w:rPr>
          <w:rFonts w:cs="Arial"/>
        </w:rPr>
        <w:t xml:space="preserve"> order, regardless as to whether the region is “on cycle” or “off cycle”.</w:t>
      </w:r>
      <w:r w:rsidR="002664ED">
        <w:rPr>
          <w:rFonts w:cs="Arial"/>
        </w:rPr>
        <w:t xml:space="preserve"> </w:t>
      </w:r>
      <w:r w:rsidR="007710C3" w:rsidRPr="004502A9">
        <w:rPr>
          <w:rFonts w:cs="Arial"/>
        </w:rPr>
        <w:t>The Central Valley Regional Water Board was “o</w:t>
      </w:r>
      <w:r w:rsidR="00FE2D38">
        <w:rPr>
          <w:rFonts w:cs="Arial"/>
        </w:rPr>
        <w:t>ff</w:t>
      </w:r>
      <w:r w:rsidR="007710C3" w:rsidRPr="004502A9">
        <w:rPr>
          <w:rFonts w:cs="Arial"/>
        </w:rPr>
        <w:t xml:space="preserve">-cycle” </w:t>
      </w:r>
      <w:r w:rsidR="002F4057">
        <w:rPr>
          <w:rFonts w:cs="Arial"/>
        </w:rPr>
        <w:t xml:space="preserve">for the </w:t>
      </w:r>
      <w:r w:rsidR="00C6428D">
        <w:rPr>
          <w:rFonts w:cs="Arial"/>
        </w:rPr>
        <w:t>2026</w:t>
      </w:r>
      <w:r w:rsidR="002F4057">
        <w:rPr>
          <w:rFonts w:cs="Arial"/>
        </w:rPr>
        <w:t xml:space="preserve"> California Integrated Report,</w:t>
      </w:r>
      <w:r w:rsidR="00F3095E">
        <w:rPr>
          <w:rFonts w:cs="Arial"/>
        </w:rPr>
        <w:t xml:space="preserve"> yet</w:t>
      </w:r>
      <w:r w:rsidR="00A511F2">
        <w:rPr>
          <w:rFonts w:cs="Arial"/>
        </w:rPr>
        <w:t xml:space="preserve"> </w:t>
      </w:r>
      <w:r w:rsidR="005C1C15">
        <w:rPr>
          <w:rFonts w:cs="Arial"/>
        </w:rPr>
        <w:t xml:space="preserve">assessments </w:t>
      </w:r>
      <w:r w:rsidR="00A511F2">
        <w:rPr>
          <w:rFonts w:cs="Arial"/>
        </w:rPr>
        <w:t xml:space="preserve">were conducted </w:t>
      </w:r>
      <w:r w:rsidR="005C1C15">
        <w:rPr>
          <w:rFonts w:cs="Arial"/>
        </w:rPr>
        <w:t xml:space="preserve">for </w:t>
      </w:r>
      <w:r w:rsidR="00A7535D">
        <w:rPr>
          <w:rFonts w:cs="Arial"/>
        </w:rPr>
        <w:t xml:space="preserve">all </w:t>
      </w:r>
      <w:r w:rsidR="005C1C15">
        <w:rPr>
          <w:rFonts w:cs="Arial"/>
        </w:rPr>
        <w:t>water</w:t>
      </w:r>
      <w:r w:rsidR="00A7535D">
        <w:rPr>
          <w:rFonts w:cs="Arial"/>
        </w:rPr>
        <w:t>body segments</w:t>
      </w:r>
      <w:r w:rsidR="005C1C15">
        <w:rPr>
          <w:rFonts w:cs="Arial"/>
        </w:rPr>
        <w:t xml:space="preserve"> within the </w:t>
      </w:r>
      <w:r w:rsidR="00331FDE">
        <w:rPr>
          <w:rFonts w:cs="Arial"/>
        </w:rPr>
        <w:t>San Joaquin</w:t>
      </w:r>
      <w:r w:rsidR="005C1C15">
        <w:rPr>
          <w:rFonts w:cs="Arial"/>
        </w:rPr>
        <w:t xml:space="preserve"> River watershed</w:t>
      </w:r>
      <w:r w:rsidR="00A7535D">
        <w:rPr>
          <w:rFonts w:cs="Arial"/>
        </w:rPr>
        <w:t xml:space="preserve">, rather than other “off-cycle” assessments that focused on </w:t>
      </w:r>
      <w:r w:rsidR="00477C2F">
        <w:rPr>
          <w:rFonts w:cs="Arial"/>
        </w:rPr>
        <w:t xml:space="preserve">a specific waterbody segment or </w:t>
      </w:r>
      <w:r w:rsidR="00BD7AE7">
        <w:rPr>
          <w:rFonts w:cs="Arial"/>
        </w:rPr>
        <w:t>a specific datase</w:t>
      </w:r>
      <w:r w:rsidR="00D234B2">
        <w:rPr>
          <w:rFonts w:cs="Arial"/>
        </w:rPr>
        <w:t>t</w:t>
      </w:r>
      <w:r w:rsidR="005C1C15">
        <w:rPr>
          <w:rFonts w:cs="Arial"/>
        </w:rPr>
        <w:t xml:space="preserve">. </w:t>
      </w:r>
      <w:r w:rsidR="00A511F2">
        <w:rPr>
          <w:rFonts w:cs="Arial"/>
        </w:rPr>
        <w:t xml:space="preserve">The </w:t>
      </w:r>
      <w:r w:rsidR="00331FDE">
        <w:rPr>
          <w:rFonts w:cs="Arial"/>
        </w:rPr>
        <w:t>San Joaquin</w:t>
      </w:r>
      <w:r w:rsidR="00A511F2">
        <w:rPr>
          <w:rFonts w:cs="Arial"/>
        </w:rPr>
        <w:t xml:space="preserve"> River watershed </w:t>
      </w:r>
      <w:r w:rsidR="007C364C">
        <w:t>includes the mainstem of the San Joaquin River upstream of the legal boundary of the Sacramento-San Joaquin Delta and all surface waters tributary to the mainstem</w:t>
      </w:r>
      <w:r w:rsidR="005C1C15">
        <w:rPr>
          <w:rFonts w:cs="Arial"/>
        </w:rPr>
        <w:t xml:space="preserve">. </w:t>
      </w:r>
      <w:r w:rsidR="00635DD3">
        <w:rPr>
          <w:rFonts w:cs="Arial"/>
        </w:rPr>
        <w:t xml:space="preserve">The other </w:t>
      </w:r>
      <w:r w:rsidR="0018084F">
        <w:rPr>
          <w:rFonts w:cs="Arial"/>
        </w:rPr>
        <w:t xml:space="preserve">watersheds in the Central Valley </w:t>
      </w:r>
      <w:r w:rsidR="002801C0">
        <w:rPr>
          <w:rFonts w:cs="Arial"/>
        </w:rPr>
        <w:t>Region</w:t>
      </w:r>
      <w:r w:rsidR="008C0E03" w:rsidRPr="008C0E03">
        <w:rPr>
          <w:rFonts w:cs="Arial"/>
        </w:rPr>
        <w:t xml:space="preserve"> </w:t>
      </w:r>
      <w:r w:rsidR="008C0E03">
        <w:rPr>
          <w:rFonts w:cs="Arial"/>
        </w:rPr>
        <w:t xml:space="preserve">will be assessed in subsequent </w:t>
      </w:r>
      <w:r w:rsidR="00805EC3">
        <w:rPr>
          <w:rFonts w:cs="Arial"/>
        </w:rPr>
        <w:t xml:space="preserve">listing cycles </w:t>
      </w:r>
      <w:r w:rsidR="008C0E03">
        <w:rPr>
          <w:rFonts w:cs="Arial"/>
        </w:rPr>
        <w:t>through a rotating basin approach</w:t>
      </w:r>
      <w:r w:rsidR="006236AF">
        <w:rPr>
          <w:rFonts w:cs="Arial"/>
        </w:rPr>
        <w:t>.</w:t>
      </w:r>
      <w:r w:rsidR="000E0D21">
        <w:rPr>
          <w:rFonts w:cs="Arial"/>
        </w:rPr>
        <w:t xml:space="preserve"> </w:t>
      </w:r>
      <w:r w:rsidR="00026601">
        <w:rPr>
          <w:rFonts w:cs="Arial"/>
        </w:rPr>
        <w:t>T</w:t>
      </w:r>
      <w:r w:rsidR="00D17774">
        <w:rPr>
          <w:rFonts w:cs="Arial"/>
        </w:rPr>
        <w:t>he</w:t>
      </w:r>
      <w:r w:rsidR="002801C0">
        <w:rPr>
          <w:rFonts w:cs="Arial"/>
        </w:rPr>
        <w:t xml:space="preserve"> Sacramento-San Joaquin </w:t>
      </w:r>
      <w:r w:rsidR="00C02C9D">
        <w:rPr>
          <w:rFonts w:cs="Arial"/>
        </w:rPr>
        <w:t xml:space="preserve">River </w:t>
      </w:r>
      <w:r w:rsidR="002801C0">
        <w:rPr>
          <w:rFonts w:cs="Arial"/>
        </w:rPr>
        <w:t>Delta (</w:t>
      </w:r>
      <w:r w:rsidR="007A1795">
        <w:rPr>
          <w:rFonts w:cs="Arial"/>
        </w:rPr>
        <w:t>“</w:t>
      </w:r>
      <w:r w:rsidR="002801C0">
        <w:rPr>
          <w:rFonts w:cs="Arial"/>
        </w:rPr>
        <w:t>Delta</w:t>
      </w:r>
      <w:r w:rsidR="007A1795">
        <w:rPr>
          <w:rFonts w:cs="Arial"/>
        </w:rPr>
        <w:t>”</w:t>
      </w:r>
      <w:r w:rsidR="002801C0">
        <w:rPr>
          <w:rFonts w:cs="Arial"/>
        </w:rPr>
        <w:t>) and the Tulare Lake Basin</w:t>
      </w:r>
      <w:r w:rsidR="00636975">
        <w:rPr>
          <w:rFonts w:cs="Arial"/>
        </w:rPr>
        <w:t xml:space="preserve"> will be assessed </w:t>
      </w:r>
      <w:r w:rsidR="006C2FD1">
        <w:rPr>
          <w:rFonts w:cs="Arial"/>
        </w:rPr>
        <w:t>for</w:t>
      </w:r>
      <w:r w:rsidR="000515E8">
        <w:rPr>
          <w:rFonts w:cs="Arial"/>
        </w:rPr>
        <w:t xml:space="preserve"> </w:t>
      </w:r>
      <w:r w:rsidR="00636975">
        <w:rPr>
          <w:rFonts w:cs="Arial"/>
        </w:rPr>
        <w:t xml:space="preserve">the 2028 </w:t>
      </w:r>
      <w:r w:rsidR="002F4057">
        <w:rPr>
          <w:rFonts w:cs="Arial"/>
        </w:rPr>
        <w:t>California Integrated Report</w:t>
      </w:r>
      <w:r w:rsidR="008A5962">
        <w:rPr>
          <w:rFonts w:cs="Arial"/>
        </w:rPr>
        <w:t>, the</w:t>
      </w:r>
      <w:r w:rsidR="00D17774">
        <w:rPr>
          <w:rFonts w:cs="Arial"/>
        </w:rPr>
        <w:t xml:space="preserve"> Sacramento River watershed will be assessed for the 2030 </w:t>
      </w:r>
      <w:r w:rsidR="00C9641B">
        <w:rPr>
          <w:rFonts w:cs="Arial"/>
        </w:rPr>
        <w:t xml:space="preserve">California </w:t>
      </w:r>
      <w:r w:rsidR="00D17774">
        <w:rPr>
          <w:rFonts w:cs="Arial"/>
        </w:rPr>
        <w:t>Integrated Report</w:t>
      </w:r>
      <w:r w:rsidR="001E3B42">
        <w:rPr>
          <w:rFonts w:cs="Arial"/>
        </w:rPr>
        <w:t>.</w:t>
      </w:r>
      <w:r w:rsidR="002801C0">
        <w:rPr>
          <w:rFonts w:cs="Arial"/>
        </w:rPr>
        <w:t xml:space="preserve"> </w:t>
      </w:r>
    </w:p>
    <w:p w14:paraId="6849D4DE" w14:textId="0A8C9907" w:rsidR="007710C3" w:rsidRPr="002328AD" w:rsidRDefault="00CF25C1" w:rsidP="007857D9">
      <w:pPr>
        <w:rPr>
          <w:rFonts w:eastAsia="Arial" w:cs="Arial"/>
          <w:szCs w:val="24"/>
        </w:rPr>
      </w:pPr>
      <w:r>
        <w:rPr>
          <w:rFonts w:cs="Arial"/>
        </w:rPr>
        <w:t xml:space="preserve">For the </w:t>
      </w:r>
      <w:r w:rsidR="00C6428D">
        <w:rPr>
          <w:rFonts w:cs="Arial"/>
        </w:rPr>
        <w:t>2026</w:t>
      </w:r>
      <w:r w:rsidR="00F42B05">
        <w:rPr>
          <w:rFonts w:cs="Arial"/>
        </w:rPr>
        <w:t xml:space="preserve"> </w:t>
      </w:r>
      <w:r w:rsidR="00FF6A7B">
        <w:rPr>
          <w:rFonts w:cs="Arial"/>
        </w:rPr>
        <w:t xml:space="preserve">California </w:t>
      </w:r>
      <w:r w:rsidR="00F42B05">
        <w:rPr>
          <w:rFonts w:cs="Arial"/>
        </w:rPr>
        <w:t>Integrated</w:t>
      </w:r>
      <w:r w:rsidR="008B22EA">
        <w:rPr>
          <w:rFonts w:cs="Arial"/>
        </w:rPr>
        <w:t xml:space="preserve"> Re</w:t>
      </w:r>
      <w:r w:rsidR="003866D3">
        <w:rPr>
          <w:rFonts w:cs="Arial"/>
        </w:rPr>
        <w:t xml:space="preserve">port, </w:t>
      </w:r>
      <w:r w:rsidR="00F939A3">
        <w:rPr>
          <w:rFonts w:eastAsia="Arial" w:cs="Arial"/>
        </w:rPr>
        <w:t>data were</w:t>
      </w:r>
      <w:r w:rsidR="00647CFC" w:rsidRPr="004502A9">
        <w:rPr>
          <w:rFonts w:eastAsia="Arial" w:cs="Arial"/>
        </w:rPr>
        <w:t xml:space="preserve"> assessed from a total of </w:t>
      </w:r>
      <w:r w:rsidR="00512EFB">
        <w:rPr>
          <w:rFonts w:cs="Arial"/>
        </w:rPr>
        <w:t>437</w:t>
      </w:r>
      <w:r w:rsidR="00512EFB">
        <w:rPr>
          <w:rFonts w:eastAsia="Arial" w:cs="Arial"/>
        </w:rPr>
        <w:t xml:space="preserve"> </w:t>
      </w:r>
      <w:r w:rsidR="00647CFC" w:rsidRPr="004502A9">
        <w:rPr>
          <w:rFonts w:eastAsia="Arial" w:cs="Arial"/>
        </w:rPr>
        <w:t>waterbod</w:t>
      </w:r>
      <w:r w:rsidR="00174CB7">
        <w:rPr>
          <w:rFonts w:eastAsia="Arial" w:cs="Arial"/>
        </w:rPr>
        <w:t>y segments</w:t>
      </w:r>
      <w:r w:rsidR="00647CFC" w:rsidRPr="004502A9">
        <w:rPr>
          <w:rFonts w:eastAsia="Arial" w:cs="Arial"/>
        </w:rPr>
        <w:t xml:space="preserve">, containing </w:t>
      </w:r>
      <w:r w:rsidR="004A7B7D">
        <w:rPr>
          <w:rFonts w:cs="Arial"/>
        </w:rPr>
        <w:t>4,7</w:t>
      </w:r>
      <w:r w:rsidR="00F0779C">
        <w:rPr>
          <w:rFonts w:cs="Arial"/>
        </w:rPr>
        <w:t>50</w:t>
      </w:r>
      <w:r w:rsidR="007857D9">
        <w:rPr>
          <w:rFonts w:cs="Arial"/>
        </w:rPr>
        <w:t xml:space="preserve"> </w:t>
      </w:r>
      <w:r w:rsidR="00647CFC" w:rsidRPr="004502A9">
        <w:rPr>
          <w:rFonts w:eastAsia="Arial" w:cs="Arial"/>
        </w:rPr>
        <w:t xml:space="preserve">waterbody-pollutant combinations. Based on these assessments, </w:t>
      </w:r>
      <w:r w:rsidR="00E11351">
        <w:rPr>
          <w:rFonts w:cs="Arial"/>
        </w:rPr>
        <w:t xml:space="preserve">149 </w:t>
      </w:r>
      <w:r w:rsidR="00647CFC" w:rsidRPr="004502A9">
        <w:rPr>
          <w:rFonts w:eastAsia="Arial" w:cs="Arial"/>
        </w:rPr>
        <w:t xml:space="preserve">waterbody-pollutant combinations are to be added to </w:t>
      </w:r>
      <w:r w:rsidR="00CB5BA5" w:rsidRPr="004502A9">
        <w:rPr>
          <w:rFonts w:eastAsia="Arial" w:cs="Arial"/>
        </w:rPr>
        <w:t xml:space="preserve">the 303(d) </w:t>
      </w:r>
      <w:r w:rsidR="00CB5BA5">
        <w:rPr>
          <w:rFonts w:eastAsia="Arial" w:cs="Arial"/>
        </w:rPr>
        <w:t>l</w:t>
      </w:r>
      <w:r w:rsidR="00CB5BA5" w:rsidRPr="004502A9">
        <w:rPr>
          <w:rFonts w:eastAsia="Arial" w:cs="Arial"/>
        </w:rPr>
        <w:t xml:space="preserve">ist </w:t>
      </w:r>
      <w:r w:rsidR="00647CFC" w:rsidRPr="004502A9">
        <w:rPr>
          <w:rFonts w:eastAsia="Arial" w:cs="Arial"/>
        </w:rPr>
        <w:t xml:space="preserve">and </w:t>
      </w:r>
      <w:r w:rsidR="00E11351">
        <w:rPr>
          <w:rFonts w:cs="Arial"/>
        </w:rPr>
        <w:t>75</w:t>
      </w:r>
      <w:r w:rsidR="00DB2209">
        <w:rPr>
          <w:rFonts w:eastAsia="Arial" w:cs="Arial"/>
        </w:rPr>
        <w:t xml:space="preserve"> </w:t>
      </w:r>
      <w:r w:rsidR="00647CFC" w:rsidRPr="004502A9">
        <w:rPr>
          <w:rFonts w:eastAsia="Arial" w:cs="Arial"/>
        </w:rPr>
        <w:t xml:space="preserve">waterbody-pollutant combinations are to be removed from the 303(d) </w:t>
      </w:r>
      <w:r w:rsidR="000A28BF">
        <w:rPr>
          <w:rFonts w:eastAsia="Arial" w:cs="Arial"/>
        </w:rPr>
        <w:t>l</w:t>
      </w:r>
      <w:r w:rsidR="00647CFC" w:rsidRPr="004502A9">
        <w:rPr>
          <w:rFonts w:eastAsia="Arial" w:cs="Arial"/>
        </w:rPr>
        <w:t xml:space="preserve">ist. </w:t>
      </w:r>
      <w:r w:rsidR="002328AD">
        <w:rPr>
          <w:rFonts w:eastAsia="Arial" w:cs="Arial"/>
          <w:szCs w:val="24"/>
        </w:rPr>
        <w:t>Selected a</w:t>
      </w:r>
      <w:r w:rsidR="002328AD" w:rsidRPr="004502A9">
        <w:rPr>
          <w:rFonts w:eastAsia="Arial" w:cs="Arial"/>
          <w:szCs w:val="24"/>
        </w:rPr>
        <w:t xml:space="preserve">ssessments specific to the Central Valley Regional Water Board are described in the following subsections. </w:t>
      </w:r>
    </w:p>
    <w:p w14:paraId="070B1D88" w14:textId="0718FF6D" w:rsidR="007710C3" w:rsidRPr="00A273AD" w:rsidRDefault="5611EDB0" w:rsidP="008A4B22">
      <w:pPr>
        <w:pStyle w:val="Heading2"/>
      </w:pPr>
      <w:bookmarkStart w:id="164" w:name="_Toc189048620"/>
      <w:r>
        <w:t>Delta Remapping</w:t>
      </w:r>
      <w:bookmarkEnd w:id="164"/>
    </w:p>
    <w:p w14:paraId="7E946266" w14:textId="6026F5FE" w:rsidR="6B157585" w:rsidRDefault="6B157585" w:rsidP="00364145">
      <w:pPr>
        <w:spacing w:after="0"/>
      </w:pPr>
      <w:r>
        <w:t xml:space="preserve">Sacramento–San Joaquin </w:t>
      </w:r>
      <w:r w:rsidR="003E4EDF">
        <w:t xml:space="preserve">River </w:t>
      </w:r>
      <w:r>
        <w:t xml:space="preserve">Delta </w:t>
      </w:r>
      <w:r w:rsidR="00E935FA">
        <w:t xml:space="preserve">(“Delta”) </w:t>
      </w:r>
      <w:r w:rsidR="004E7B8D">
        <w:t xml:space="preserve">waterbody segments </w:t>
      </w:r>
      <w:r>
        <w:t xml:space="preserve">were remapped and reassessed for the 2026 California Integrated Report in two phases to best reflect the water quality conditions within the Delta.  </w:t>
      </w:r>
    </w:p>
    <w:p w14:paraId="470BA839" w14:textId="20ED90D4" w:rsidR="6B157585" w:rsidRDefault="6B157585" w:rsidP="003D391F">
      <w:pPr>
        <w:spacing w:before="240" w:after="0"/>
      </w:pPr>
      <w:r>
        <w:t xml:space="preserve">The first phase of the Delta remapping occurred </w:t>
      </w:r>
      <w:r w:rsidR="00893FC7">
        <w:t xml:space="preserve">during the development of </w:t>
      </w:r>
      <w:r>
        <w:t xml:space="preserve">the 2024 California Integrated Report. </w:t>
      </w:r>
      <w:r w:rsidR="00AB1556">
        <w:t>W</w:t>
      </w:r>
      <w:r>
        <w:t>aterbody segments that extend from outside the Delta to inside its boundary</w:t>
      </w:r>
      <w:r w:rsidR="004D7D8D">
        <w:t xml:space="preserve"> were reviewed and updated</w:t>
      </w:r>
      <w:r>
        <w:t xml:space="preserve">. Seven waterbody segments were each split into two WBIDs at the Delta boundary, which resulted in 14 revised waterbody segments. These splits reflected the spatial and temporal nature of the waterbody segments and the site-specific objectives. The remapping process included a review and reassociation of </w:t>
      </w:r>
      <w:r w:rsidR="00EA5981">
        <w:t>monitoring</w:t>
      </w:r>
      <w:r>
        <w:t xml:space="preserve"> stations, movement of over 1,000 revised LOEs to an updated waterbody segment, and updated CalWQA </w:t>
      </w:r>
      <w:r w:rsidR="0086313A">
        <w:t>Decisions</w:t>
      </w:r>
      <w:r>
        <w:t xml:space="preserve">. Decisions on the original seven waterbody segments were retired.  </w:t>
      </w:r>
    </w:p>
    <w:p w14:paraId="2DDFBCFA" w14:textId="4AE5259B" w:rsidR="0020663B" w:rsidRDefault="6B157585" w:rsidP="0086313A">
      <w:pPr>
        <w:spacing w:before="240"/>
      </w:pPr>
      <w:r>
        <w:t xml:space="preserve">The second phase of the Delta remapping occurred </w:t>
      </w:r>
      <w:r w:rsidR="00893FC7">
        <w:t xml:space="preserve">during the development of </w:t>
      </w:r>
      <w:r>
        <w:t xml:space="preserve">the 2026 California Integrated Report. </w:t>
      </w:r>
      <w:r w:rsidR="004D7D8D">
        <w:t>S</w:t>
      </w:r>
      <w:r>
        <w:t xml:space="preserve">even Delta </w:t>
      </w:r>
      <w:r w:rsidR="004A5E1B">
        <w:t xml:space="preserve">subareas </w:t>
      </w:r>
      <w:r w:rsidR="004D7D8D">
        <w:t xml:space="preserve">were removed </w:t>
      </w:r>
      <w:r>
        <w:t xml:space="preserve">and </w:t>
      </w:r>
      <w:r w:rsidR="005551A3">
        <w:t xml:space="preserve">LOEs were </w:t>
      </w:r>
      <w:r w:rsidR="00B15254">
        <w:t>added</w:t>
      </w:r>
      <w:r w:rsidR="005551A3">
        <w:t xml:space="preserve"> </w:t>
      </w:r>
      <w:r>
        <w:t xml:space="preserve">to a specific waterbody </w:t>
      </w:r>
      <w:r w:rsidR="002A5809">
        <w:t xml:space="preserve">segment </w:t>
      </w:r>
      <w:r>
        <w:t xml:space="preserve">within the Delta. This allows the </w:t>
      </w:r>
      <w:r w:rsidR="00B15254">
        <w:t xml:space="preserve">Central Valley </w:t>
      </w:r>
      <w:r>
        <w:t>Region</w:t>
      </w:r>
      <w:r w:rsidR="00EB38EB">
        <w:t>al Water Board</w:t>
      </w:r>
      <w:r>
        <w:t xml:space="preserve"> to more accurately assess waterbody segments. This part of the reassessment included extracting data, by location, from LOEs within the Delta </w:t>
      </w:r>
      <w:r w:rsidR="000B2C58">
        <w:t xml:space="preserve">subareas </w:t>
      </w:r>
      <w:r>
        <w:t xml:space="preserve">and developing new LOEs for the corresponding waterbody segment. To reflect the importance of the Delta </w:t>
      </w:r>
      <w:r w:rsidR="004E1AEF">
        <w:t>subareas</w:t>
      </w:r>
      <w:r>
        <w:t xml:space="preserve">, individual waterbody segments were renamed to include the Delta </w:t>
      </w:r>
      <w:r w:rsidR="00C406C9">
        <w:t>sub</w:t>
      </w:r>
      <w:r>
        <w:t>area in the waterbody</w:t>
      </w:r>
      <w:r w:rsidR="002405A4">
        <w:t xml:space="preserve"> segment</w:t>
      </w:r>
      <w:r>
        <w:t xml:space="preserve"> name (e.g. Discovery Bay (in Delta Waterways, central portion)). The process included a review and reassociation of </w:t>
      </w:r>
      <w:r w:rsidR="006D60FF">
        <w:t>monitoring</w:t>
      </w:r>
      <w:r>
        <w:t xml:space="preserve"> stations, development of over 500 revised LOEs, and updated CalWQA </w:t>
      </w:r>
      <w:r w:rsidR="00E9733D">
        <w:t>Decisions</w:t>
      </w:r>
      <w:r>
        <w:t xml:space="preserve">. </w:t>
      </w:r>
      <w:r w:rsidR="00650309">
        <w:t xml:space="preserve">284 </w:t>
      </w:r>
      <w:r>
        <w:t xml:space="preserve">Decisions on the original Delta subarea segments were retired. </w:t>
      </w:r>
      <w:r w:rsidR="00CB3977">
        <w:t>Most</w:t>
      </w:r>
      <w:r w:rsidR="00811D7F">
        <w:t xml:space="preserve"> of the </w:t>
      </w:r>
      <w:r w:rsidR="00426EEF">
        <w:t>Decisions</w:t>
      </w:r>
      <w:r w:rsidR="00811D7F">
        <w:t xml:space="preserve"> stayed the same</w:t>
      </w:r>
      <w:r w:rsidR="003C4EF0">
        <w:t>;</w:t>
      </w:r>
      <w:r w:rsidR="00811D7F">
        <w:t xml:space="preserve"> however</w:t>
      </w:r>
      <w:r w:rsidR="003C4EF0">
        <w:t>,</w:t>
      </w:r>
      <w:r w:rsidR="00811D7F">
        <w:t xml:space="preserve"> there were nine new </w:t>
      </w:r>
      <w:r w:rsidR="00E92577">
        <w:t>“L</w:t>
      </w:r>
      <w:r w:rsidR="00630B29">
        <w:t>ist</w:t>
      </w:r>
      <w:r w:rsidR="00E92577">
        <w:t>”</w:t>
      </w:r>
      <w:r w:rsidR="00955011">
        <w:t xml:space="preserve"> </w:t>
      </w:r>
      <w:r w:rsidR="00765EBB">
        <w:t>Decisions</w:t>
      </w:r>
      <w:r w:rsidR="000A5083">
        <w:t xml:space="preserve"> and four new </w:t>
      </w:r>
      <w:r w:rsidR="003C2946">
        <w:t>“D</w:t>
      </w:r>
      <w:r w:rsidR="000A5083">
        <w:t>elist</w:t>
      </w:r>
      <w:r w:rsidR="003C2946">
        <w:t>”</w:t>
      </w:r>
      <w:r w:rsidR="000A5083">
        <w:t xml:space="preserve"> </w:t>
      </w:r>
      <w:r w:rsidR="00765EBB">
        <w:t>Decisions</w:t>
      </w:r>
      <w:r w:rsidR="000A5083">
        <w:t xml:space="preserve">. </w:t>
      </w:r>
    </w:p>
    <w:p w14:paraId="6ECBB7DB" w14:textId="307D2FFB" w:rsidR="7A9DA4F2" w:rsidRDefault="7A9DA4F2" w:rsidP="008A4B22">
      <w:pPr>
        <w:pStyle w:val="Heading2"/>
      </w:pPr>
      <w:bookmarkStart w:id="165" w:name="_Toc189048621"/>
      <w:r>
        <w:t>Orestimba Creek Remapping</w:t>
      </w:r>
      <w:bookmarkEnd w:id="165"/>
    </w:p>
    <w:p w14:paraId="3B7FCB79" w14:textId="7C55AB44" w:rsidR="7A9DA4F2" w:rsidRPr="007C2215" w:rsidRDefault="7A9DA4F2" w:rsidP="1A628DA7">
      <w:pPr>
        <w:rPr>
          <w:rFonts w:eastAsia="Arial" w:cs="Arial"/>
          <w:szCs w:val="24"/>
        </w:rPr>
      </w:pPr>
      <w:r w:rsidRPr="007C2215">
        <w:rPr>
          <w:rFonts w:eastAsia="Arial" w:cs="Arial"/>
          <w:szCs w:val="24"/>
        </w:rPr>
        <w:t xml:space="preserve">Two segments of Orestimba Creek were merged to improve the assessment of </w:t>
      </w:r>
      <w:r w:rsidR="008F4A1A">
        <w:rPr>
          <w:rFonts w:eastAsia="Arial" w:cs="Arial"/>
          <w:szCs w:val="24"/>
        </w:rPr>
        <w:t>data</w:t>
      </w:r>
      <w:r w:rsidR="00DD501A">
        <w:rPr>
          <w:rFonts w:eastAsia="Arial" w:cs="Arial"/>
          <w:szCs w:val="24"/>
        </w:rPr>
        <w:t xml:space="preserve"> for </w:t>
      </w:r>
      <w:r w:rsidRPr="007C2215">
        <w:rPr>
          <w:rFonts w:eastAsia="Arial" w:cs="Arial"/>
          <w:szCs w:val="24"/>
        </w:rPr>
        <w:t xml:space="preserve">the Orestimba Creek valley floor waterbody segment. This type of assessment more accurately reflects its water quality by combining the LOEs between the Delta Mendota Canal and the San Joaquin River. </w:t>
      </w:r>
    </w:p>
    <w:p w14:paraId="2833B7AD" w14:textId="1AF590CF" w:rsidR="71F39986" w:rsidRPr="007C2215" w:rsidRDefault="7A9DA4F2" w:rsidP="71F39986">
      <w:pPr>
        <w:rPr>
          <w:rFonts w:eastAsia="Arial" w:cs="Arial"/>
          <w:szCs w:val="24"/>
        </w:rPr>
      </w:pPr>
      <w:r w:rsidRPr="007C2215">
        <w:rPr>
          <w:rFonts w:eastAsia="Arial" w:cs="Arial"/>
          <w:szCs w:val="24"/>
        </w:rPr>
        <w:t xml:space="preserve">WBID CAR5422003219990126113826 (Orestimba Creek (above Kilburn Road)) and WBID CAR5355000020021209154446 (Orestimba Creek (below Kilburn Road)) were retired and merged to become WBID CAR5355000020240312037489 (Orestimba Creek, east of the Delta Mendota Canal (Stanislaus County)). WBID CAR5422003020230419038158 </w:t>
      </w:r>
      <w:r w:rsidR="00B165E2">
        <w:rPr>
          <w:rFonts w:eastAsia="Arial" w:cs="Arial"/>
          <w:szCs w:val="24"/>
        </w:rPr>
        <w:t xml:space="preserve">was also renamed </w:t>
      </w:r>
      <w:r w:rsidRPr="007C2215">
        <w:rPr>
          <w:rFonts w:eastAsia="Arial" w:cs="Arial"/>
          <w:szCs w:val="24"/>
        </w:rPr>
        <w:t>to Orestimba Creek, west of the Delta Mendota Canal (Stanislaus County) to standardize the naming convention for Orestimba Creek.</w:t>
      </w:r>
      <w:r w:rsidR="00EE4319">
        <w:rPr>
          <w:rFonts w:eastAsia="Arial" w:cs="Arial"/>
          <w:szCs w:val="24"/>
        </w:rPr>
        <w:t xml:space="preserve"> </w:t>
      </w:r>
      <w:r w:rsidR="00BD6D11">
        <w:rPr>
          <w:rFonts w:eastAsia="Arial" w:cs="Arial"/>
          <w:szCs w:val="24"/>
        </w:rPr>
        <w:t>Of the original 21</w:t>
      </w:r>
      <w:r w:rsidR="00171C0F">
        <w:rPr>
          <w:rFonts w:eastAsia="Arial" w:cs="Arial"/>
          <w:szCs w:val="24"/>
        </w:rPr>
        <w:t>5</w:t>
      </w:r>
      <w:r w:rsidR="00BD6D11">
        <w:rPr>
          <w:rFonts w:eastAsia="Arial" w:cs="Arial"/>
          <w:szCs w:val="24"/>
        </w:rPr>
        <w:t xml:space="preserve"> </w:t>
      </w:r>
      <w:r w:rsidR="00B3263C">
        <w:rPr>
          <w:rFonts w:eastAsia="Arial" w:cs="Arial"/>
          <w:szCs w:val="24"/>
        </w:rPr>
        <w:t>D</w:t>
      </w:r>
      <w:r w:rsidR="00BD6D11">
        <w:rPr>
          <w:rFonts w:eastAsia="Arial" w:cs="Arial"/>
          <w:szCs w:val="24"/>
        </w:rPr>
        <w:t xml:space="preserve">ecisions </w:t>
      </w:r>
      <w:r w:rsidR="00B53CC2">
        <w:rPr>
          <w:rFonts w:eastAsia="Arial" w:cs="Arial"/>
          <w:szCs w:val="24"/>
        </w:rPr>
        <w:t>for</w:t>
      </w:r>
      <w:r w:rsidR="00BD6D11">
        <w:rPr>
          <w:rFonts w:eastAsia="Arial" w:cs="Arial"/>
          <w:szCs w:val="24"/>
        </w:rPr>
        <w:t xml:space="preserve"> the two waterbody segments</w:t>
      </w:r>
      <w:r w:rsidR="00B82705">
        <w:rPr>
          <w:rFonts w:eastAsia="Arial" w:cs="Arial"/>
          <w:szCs w:val="24"/>
        </w:rPr>
        <w:t>,</w:t>
      </w:r>
      <w:r w:rsidR="00BD6D11">
        <w:rPr>
          <w:rFonts w:eastAsia="Arial" w:cs="Arial"/>
          <w:szCs w:val="24"/>
        </w:rPr>
        <w:t xml:space="preserve"> 13</w:t>
      </w:r>
      <w:r w:rsidR="008F2C91">
        <w:rPr>
          <w:rFonts w:eastAsia="Arial" w:cs="Arial"/>
          <w:szCs w:val="24"/>
        </w:rPr>
        <w:t>6</w:t>
      </w:r>
      <w:r w:rsidR="00BD6D11">
        <w:rPr>
          <w:rFonts w:eastAsia="Arial" w:cs="Arial"/>
          <w:szCs w:val="24"/>
        </w:rPr>
        <w:t xml:space="preserve"> </w:t>
      </w:r>
      <w:r w:rsidR="00276118">
        <w:rPr>
          <w:rFonts w:eastAsia="Arial" w:cs="Arial"/>
          <w:szCs w:val="24"/>
        </w:rPr>
        <w:t>D</w:t>
      </w:r>
      <w:r w:rsidR="00BD6D11">
        <w:rPr>
          <w:rFonts w:eastAsia="Arial" w:cs="Arial"/>
          <w:szCs w:val="24"/>
        </w:rPr>
        <w:t xml:space="preserve">ecisions were revised as part of the remapping effort. 79 </w:t>
      </w:r>
      <w:r w:rsidR="002B0F79">
        <w:rPr>
          <w:rFonts w:eastAsia="Arial" w:cs="Arial"/>
          <w:szCs w:val="24"/>
        </w:rPr>
        <w:t>D</w:t>
      </w:r>
      <w:r w:rsidR="00BD6D11">
        <w:rPr>
          <w:rFonts w:eastAsia="Arial" w:cs="Arial"/>
          <w:szCs w:val="24"/>
        </w:rPr>
        <w:t xml:space="preserve">ecisions were retired, </w:t>
      </w:r>
      <w:r w:rsidR="0051630E">
        <w:rPr>
          <w:rFonts w:eastAsia="Arial" w:cs="Arial"/>
          <w:szCs w:val="24"/>
        </w:rPr>
        <w:t>18</w:t>
      </w:r>
      <w:r w:rsidR="00BD6D11">
        <w:rPr>
          <w:rFonts w:eastAsia="Arial" w:cs="Arial"/>
          <w:szCs w:val="24"/>
        </w:rPr>
        <w:t xml:space="preserve"> </w:t>
      </w:r>
      <w:bookmarkStart w:id="166" w:name="_Hlk180148368"/>
      <w:r w:rsidR="002B0F79">
        <w:rPr>
          <w:rFonts w:eastAsia="Arial" w:cs="Arial"/>
          <w:szCs w:val="24"/>
        </w:rPr>
        <w:t>D</w:t>
      </w:r>
      <w:r w:rsidR="00BD6D11">
        <w:rPr>
          <w:rFonts w:eastAsia="Arial" w:cs="Arial"/>
          <w:szCs w:val="24"/>
        </w:rPr>
        <w:t xml:space="preserve">ecisions </w:t>
      </w:r>
      <w:bookmarkEnd w:id="166"/>
      <w:r w:rsidR="00BD6D11">
        <w:rPr>
          <w:rFonts w:eastAsia="Arial" w:cs="Arial"/>
          <w:szCs w:val="24"/>
        </w:rPr>
        <w:t>rem</w:t>
      </w:r>
      <w:r w:rsidR="0041452C">
        <w:rPr>
          <w:rFonts w:eastAsia="Arial" w:cs="Arial"/>
          <w:szCs w:val="24"/>
        </w:rPr>
        <w:t>a</w:t>
      </w:r>
      <w:r w:rsidR="00BD6D11">
        <w:rPr>
          <w:rFonts w:eastAsia="Arial" w:cs="Arial"/>
          <w:szCs w:val="24"/>
        </w:rPr>
        <w:t>ined as “List” or “Do not Delist”</w:t>
      </w:r>
      <w:r w:rsidR="00B82705">
        <w:rPr>
          <w:rFonts w:eastAsia="Arial" w:cs="Arial"/>
          <w:szCs w:val="24"/>
        </w:rPr>
        <w:t xml:space="preserve">, </w:t>
      </w:r>
      <w:r w:rsidR="00A22142">
        <w:rPr>
          <w:rFonts w:eastAsia="Arial" w:cs="Arial"/>
          <w:szCs w:val="24"/>
        </w:rPr>
        <w:t>113</w:t>
      </w:r>
      <w:r w:rsidR="00B82705">
        <w:rPr>
          <w:rFonts w:eastAsia="Arial" w:cs="Arial"/>
          <w:szCs w:val="24"/>
        </w:rPr>
        <w:t xml:space="preserve"> </w:t>
      </w:r>
      <w:r w:rsidR="00DF7B5D">
        <w:rPr>
          <w:rFonts w:eastAsia="Arial" w:cs="Arial"/>
          <w:szCs w:val="24"/>
        </w:rPr>
        <w:t xml:space="preserve">Decisions </w:t>
      </w:r>
      <w:r w:rsidR="00B82705">
        <w:rPr>
          <w:rFonts w:eastAsia="Arial" w:cs="Arial"/>
          <w:szCs w:val="24"/>
        </w:rPr>
        <w:t xml:space="preserve">remained as “Do not List” </w:t>
      </w:r>
      <w:r w:rsidR="00A37D8F">
        <w:rPr>
          <w:rFonts w:eastAsia="Arial" w:cs="Arial"/>
          <w:szCs w:val="24"/>
        </w:rPr>
        <w:t xml:space="preserve">and </w:t>
      </w:r>
      <w:r w:rsidR="008F2C91">
        <w:rPr>
          <w:rFonts w:eastAsia="Arial" w:cs="Arial"/>
          <w:szCs w:val="24"/>
        </w:rPr>
        <w:t>5</w:t>
      </w:r>
      <w:r w:rsidR="00A37D8F">
        <w:rPr>
          <w:rFonts w:eastAsia="Arial" w:cs="Arial"/>
          <w:szCs w:val="24"/>
        </w:rPr>
        <w:t xml:space="preserve"> </w:t>
      </w:r>
      <w:r w:rsidR="004F068B">
        <w:rPr>
          <w:rFonts w:eastAsia="Arial" w:cs="Arial"/>
          <w:szCs w:val="24"/>
        </w:rPr>
        <w:t xml:space="preserve">Decisions </w:t>
      </w:r>
      <w:r w:rsidR="00A37D8F">
        <w:rPr>
          <w:rFonts w:eastAsia="Arial" w:cs="Arial"/>
          <w:szCs w:val="24"/>
        </w:rPr>
        <w:t xml:space="preserve">remained as </w:t>
      </w:r>
      <w:r w:rsidR="009111B0">
        <w:rPr>
          <w:rFonts w:eastAsia="Arial" w:cs="Arial"/>
          <w:szCs w:val="24"/>
        </w:rPr>
        <w:t>“Delist”</w:t>
      </w:r>
      <w:r w:rsidR="00BD6D11">
        <w:rPr>
          <w:rFonts w:eastAsia="Arial" w:cs="Arial"/>
          <w:szCs w:val="24"/>
        </w:rPr>
        <w:t>.</w:t>
      </w:r>
    </w:p>
    <w:p w14:paraId="63959980" w14:textId="0041C2A0" w:rsidR="00ED3C42" w:rsidRDefault="00EE14A4" w:rsidP="00597DE8">
      <w:pPr>
        <w:pStyle w:val="Heading2"/>
      </w:pPr>
      <w:bookmarkStart w:id="167" w:name="_Toc189048622"/>
      <w:r>
        <w:t xml:space="preserve">Modified and </w:t>
      </w:r>
      <w:r w:rsidR="00ED3C42">
        <w:t>Constructed Waters</w:t>
      </w:r>
      <w:bookmarkEnd w:id="167"/>
    </w:p>
    <w:p w14:paraId="613F3E67" w14:textId="73664D95" w:rsidR="000D0FC0" w:rsidRDefault="00D817B6" w:rsidP="00ED3C42">
      <w:r w:rsidRPr="00D817B6">
        <w:t xml:space="preserve">Data received during the 2026 </w:t>
      </w:r>
      <w:r w:rsidR="00EC545C">
        <w:t>California</w:t>
      </w:r>
      <w:r w:rsidRPr="00D817B6">
        <w:t xml:space="preserve"> Integrated Report data solicitation period from </w:t>
      </w:r>
      <w:r w:rsidR="008115F6">
        <w:t>2</w:t>
      </w:r>
      <w:r w:rsidR="5F473320">
        <w:t>8</w:t>
      </w:r>
      <w:r w:rsidR="008115F6" w:rsidRPr="00D817B6">
        <w:t xml:space="preserve"> </w:t>
      </w:r>
      <w:r w:rsidR="002417E5">
        <w:t>waterbody segments</w:t>
      </w:r>
      <w:r w:rsidRPr="00D817B6">
        <w:t xml:space="preserve"> in Central Valley Region were </w:t>
      </w:r>
      <w:r w:rsidR="00731192">
        <w:t xml:space="preserve">evaluated but </w:t>
      </w:r>
      <w:r w:rsidRPr="00D817B6">
        <w:t>not used to determine standards attainment</w:t>
      </w:r>
      <w:r w:rsidR="00A90FEC">
        <w:t xml:space="preserve"> </w:t>
      </w:r>
      <w:r w:rsidR="00525BD5">
        <w:t>as</w:t>
      </w:r>
      <w:r w:rsidR="006423EE">
        <w:t xml:space="preserve"> an interim </w:t>
      </w:r>
      <w:r w:rsidR="00813F9A">
        <w:t>approach</w:t>
      </w:r>
      <w:r w:rsidRPr="00D817B6">
        <w:t xml:space="preserve">. These data are from </w:t>
      </w:r>
      <w:r w:rsidR="006A2245">
        <w:t>waterbody segments</w:t>
      </w:r>
      <w:r w:rsidR="001D61CC" w:rsidRPr="00D817B6">
        <w:t xml:space="preserve"> </w:t>
      </w:r>
      <w:r w:rsidRPr="00D817B6">
        <w:t xml:space="preserve">for which no </w:t>
      </w:r>
      <w:r w:rsidR="00453269">
        <w:t>determination</w:t>
      </w:r>
      <w:r w:rsidRPr="00D817B6">
        <w:t xml:space="preserve"> has been made regarding </w:t>
      </w:r>
      <w:r w:rsidR="00883B08">
        <w:t>the jurisdictional</w:t>
      </w:r>
      <w:r w:rsidR="00883B08" w:rsidRPr="00D817B6">
        <w:t xml:space="preserve"> </w:t>
      </w:r>
      <w:r w:rsidRPr="00D817B6">
        <w:t xml:space="preserve">status as waters of the United States </w:t>
      </w:r>
      <w:r w:rsidR="008C0B19">
        <w:t>(</w:t>
      </w:r>
      <w:r w:rsidR="6135726C">
        <w:t>"</w:t>
      </w:r>
      <w:r w:rsidR="008C0B19">
        <w:t xml:space="preserve">WOTUS”) </w:t>
      </w:r>
      <w:r w:rsidRPr="00D817B6">
        <w:t xml:space="preserve">under the </w:t>
      </w:r>
      <w:r w:rsidR="009B2808">
        <w:t>CWA</w:t>
      </w:r>
      <w:r w:rsidRPr="00D817B6">
        <w:t xml:space="preserve">. Examples of such </w:t>
      </w:r>
      <w:r w:rsidR="006A2245">
        <w:t>waterbody segments</w:t>
      </w:r>
      <w:r w:rsidRPr="00D817B6">
        <w:t xml:space="preserve"> include constructed drains</w:t>
      </w:r>
      <w:r w:rsidR="00452CCC">
        <w:t>,</w:t>
      </w:r>
      <w:r w:rsidRPr="00D817B6">
        <w:t xml:space="preserve"> canals</w:t>
      </w:r>
      <w:r w:rsidR="002E0CD6">
        <w:t>,</w:t>
      </w:r>
      <w:r w:rsidRPr="00D817B6">
        <w:t xml:space="preserve"> or other </w:t>
      </w:r>
      <w:r w:rsidR="006A2245">
        <w:t>waterbody segments</w:t>
      </w:r>
      <w:r w:rsidRPr="00D817B6">
        <w:t xml:space="preserve"> that were modified or constructed with the primary purpose of conveying agricultural flows. As the </w:t>
      </w:r>
      <w:r w:rsidR="009B2808">
        <w:t>i</w:t>
      </w:r>
      <w:r w:rsidR="009B2808" w:rsidRPr="00D817B6">
        <w:t xml:space="preserve">ntegrated </w:t>
      </w:r>
      <w:r w:rsidR="009B2808">
        <w:t>r</w:t>
      </w:r>
      <w:r w:rsidR="009B2808" w:rsidRPr="00D817B6">
        <w:t xml:space="preserve">eport </w:t>
      </w:r>
      <w:r w:rsidRPr="00D817B6">
        <w:t xml:space="preserve">is authorized under the </w:t>
      </w:r>
      <w:r w:rsidR="00582056">
        <w:t>CWA</w:t>
      </w:r>
      <w:r w:rsidRPr="00D817B6">
        <w:t xml:space="preserve"> and is therefore limited to </w:t>
      </w:r>
      <w:r w:rsidR="00150832" w:rsidRPr="00D817B6">
        <w:t>WOTUS</w:t>
      </w:r>
      <w:r w:rsidRPr="00D817B6">
        <w:t xml:space="preserve">, and as the </w:t>
      </w:r>
      <w:r w:rsidR="00650A84">
        <w:t>jurisdictional</w:t>
      </w:r>
      <w:r w:rsidR="00650A84" w:rsidRPr="00D817B6">
        <w:t xml:space="preserve"> </w:t>
      </w:r>
      <w:r w:rsidRPr="00D817B6">
        <w:t xml:space="preserve">status of these </w:t>
      </w:r>
      <w:r w:rsidR="004D0F2A">
        <w:t>waterbody segments</w:t>
      </w:r>
      <w:r w:rsidRPr="00D817B6">
        <w:t xml:space="preserve"> is uncertain, data were not </w:t>
      </w:r>
      <w:r w:rsidR="00215233">
        <w:t>used</w:t>
      </w:r>
      <w:r w:rsidR="00186FDA">
        <w:t>.</w:t>
      </w:r>
      <w:r w:rsidR="00215233" w:rsidRPr="00D817B6">
        <w:t xml:space="preserve"> </w:t>
      </w:r>
      <w:r w:rsidRPr="00D817B6">
        <w:t xml:space="preserve"> </w:t>
      </w:r>
    </w:p>
    <w:p w14:paraId="5A4F5CEA" w14:textId="78A0E29C" w:rsidR="00ED3C42" w:rsidRPr="00ED3C42" w:rsidRDefault="007761F5" w:rsidP="00ED3C42">
      <w:r>
        <w:t xml:space="preserve">This interim </w:t>
      </w:r>
      <w:r w:rsidR="00CB0205">
        <w:t xml:space="preserve">approach only applies to the 28 waterbody segments identified </w:t>
      </w:r>
      <w:r w:rsidR="0034597F">
        <w:t xml:space="preserve">in </w:t>
      </w:r>
      <w:r w:rsidR="0034597F" w:rsidRPr="006F47F5">
        <w:t xml:space="preserve">Appendix </w:t>
      </w:r>
      <w:r w:rsidR="0034597F">
        <w:rPr>
          <w:rStyle w:val="cf01"/>
          <w:rFonts w:ascii="Arial" w:hAnsi="Arial" w:cs="Arial"/>
          <w:sz w:val="24"/>
          <w:szCs w:val="24"/>
        </w:rPr>
        <w:t>M</w:t>
      </w:r>
      <w:r w:rsidR="0034597F" w:rsidRPr="006F47F5">
        <w:rPr>
          <w:rStyle w:val="cf01"/>
          <w:rFonts w:ascii="Arial" w:hAnsi="Arial" w:cs="Arial"/>
          <w:sz w:val="24"/>
          <w:szCs w:val="24"/>
        </w:rPr>
        <w:t>:</w:t>
      </w:r>
      <w:r w:rsidR="0034597F" w:rsidRPr="006F47F5">
        <w:t xml:space="preserve"> </w:t>
      </w:r>
      <w:r w:rsidR="0034597F">
        <w:t xml:space="preserve">List of Modified and Constructed Waters in the Central Valley Region. </w:t>
      </w:r>
      <w:r w:rsidR="009C124E">
        <w:t xml:space="preserve">Central Valley Regional Water Board staff </w:t>
      </w:r>
      <w:r w:rsidR="00635182">
        <w:t>indicated that evidence will show that these waterbody segments are not likely WOTUS</w:t>
      </w:r>
      <w:r w:rsidR="00BD0EA4">
        <w:t xml:space="preserve"> and staff is currently gathering </w:t>
      </w:r>
      <w:r w:rsidR="00BE758B">
        <w:t xml:space="preserve">the </w:t>
      </w:r>
      <w:r w:rsidR="00BD0EA4">
        <w:t>evidence</w:t>
      </w:r>
      <w:r w:rsidR="00D9374D">
        <w:t>. I</w:t>
      </w:r>
      <w:r w:rsidR="00523EFA">
        <w:t xml:space="preserve">t is expected that Central Valley Water Board staff will </w:t>
      </w:r>
      <w:r w:rsidR="007D540B">
        <w:t xml:space="preserve">supplement the record with justification that </w:t>
      </w:r>
      <w:r w:rsidR="000905C4">
        <w:t xml:space="preserve">waterbodies </w:t>
      </w:r>
      <w:r w:rsidR="005D4548">
        <w:t xml:space="preserve">are </w:t>
      </w:r>
      <w:r w:rsidR="00211307">
        <w:t>clearly not WOTUS</w:t>
      </w:r>
      <w:r w:rsidR="006C4175">
        <w:t xml:space="preserve"> </w:t>
      </w:r>
      <w:r w:rsidR="00D817B6" w:rsidRPr="00D817B6">
        <w:t xml:space="preserve">during the </w:t>
      </w:r>
      <w:r w:rsidR="00EC64A0">
        <w:t xml:space="preserve">development of </w:t>
      </w:r>
      <w:r w:rsidR="00D817B6" w:rsidRPr="00D817B6">
        <w:t>2028</w:t>
      </w:r>
      <w:r w:rsidR="00BF3F2A">
        <w:t xml:space="preserve"> </w:t>
      </w:r>
      <w:r w:rsidR="00B43467">
        <w:t>California Integrated Report</w:t>
      </w:r>
      <w:r w:rsidR="00560F2C">
        <w:t>.</w:t>
      </w:r>
      <w:r w:rsidR="006B5F42">
        <w:t xml:space="preserve"> </w:t>
      </w:r>
      <w:r w:rsidR="009731BF">
        <w:t xml:space="preserve">If the evidence </w:t>
      </w:r>
      <w:r w:rsidR="00605F66">
        <w:t>is unclear or ambiguous</w:t>
      </w:r>
      <w:r w:rsidR="00A1665E">
        <w:t xml:space="preserve">, </w:t>
      </w:r>
      <w:r w:rsidR="0017111D">
        <w:t xml:space="preserve">data </w:t>
      </w:r>
      <w:r w:rsidR="0089009B">
        <w:t xml:space="preserve">for the waterbodies </w:t>
      </w:r>
      <w:r w:rsidR="0017111D">
        <w:t>will be assessed</w:t>
      </w:r>
      <w:r w:rsidR="00D16AF1">
        <w:t xml:space="preserve"> and revisions made to Decisions</w:t>
      </w:r>
      <w:r w:rsidR="004D0046">
        <w:t xml:space="preserve"> in the </w:t>
      </w:r>
      <w:r w:rsidR="004D0046" w:rsidRPr="00D817B6">
        <w:t>2028</w:t>
      </w:r>
      <w:r w:rsidR="004D0046">
        <w:t xml:space="preserve"> California Integrated Report. </w:t>
      </w:r>
      <w:r w:rsidR="003E5878">
        <w:t>For all other waterbody segments, t</w:t>
      </w:r>
      <w:r w:rsidR="007941D9" w:rsidRPr="007941D9">
        <w:t xml:space="preserve">he State Water Board defers to the federal agencies to determine whether a waterbody is a federal jurisdictional water. </w:t>
      </w:r>
      <w:r w:rsidR="003E5878">
        <w:t>Unless</w:t>
      </w:r>
      <w:r w:rsidR="007941D9" w:rsidRPr="007941D9">
        <w:t xml:space="preserve"> relevant information makes it absolutely clear the waterbody is not a </w:t>
      </w:r>
      <w:r w:rsidR="001518E0">
        <w:t>WOTUS</w:t>
      </w:r>
      <w:r w:rsidR="007941D9" w:rsidRPr="007941D9">
        <w:t xml:space="preserve">, the waterbody will </w:t>
      </w:r>
      <w:r w:rsidR="001C4272">
        <w:t xml:space="preserve">not </w:t>
      </w:r>
      <w:r w:rsidR="007941D9" w:rsidRPr="007941D9">
        <w:t xml:space="preserve">be included on the proposed final 303(d) list. However, if the information is unclear or ambiguous, the waterbody will remain on the proposed final 303(d) list. </w:t>
      </w:r>
      <w:r w:rsidR="002056ED">
        <w:t xml:space="preserve">Relevant information may include a </w:t>
      </w:r>
      <w:r w:rsidR="002056ED" w:rsidRPr="002056ED">
        <w:t xml:space="preserve">jurisdictional determination made by the U.S. Army Corps of Engineers </w:t>
      </w:r>
      <w:r w:rsidR="0017639F">
        <w:t xml:space="preserve">or the USEPA. </w:t>
      </w:r>
    </w:p>
    <w:p w14:paraId="3E6FD005" w14:textId="77777777" w:rsidR="001C1B41" w:rsidRPr="004502A9" w:rsidRDefault="001C1B41" w:rsidP="00597DE8">
      <w:pPr>
        <w:pStyle w:val="Heading2"/>
      </w:pPr>
      <w:bookmarkStart w:id="168" w:name="_Toc189048623"/>
      <w:r w:rsidRPr="00897ECA">
        <w:t>Central Valley Region</w:t>
      </w:r>
      <w:r>
        <w:t xml:space="preserve"> Data Reassessments</w:t>
      </w:r>
      <w:bookmarkEnd w:id="168"/>
    </w:p>
    <w:p w14:paraId="628C2515" w14:textId="5B655F2D" w:rsidR="001C1B41" w:rsidRPr="004502A9" w:rsidRDefault="001C1B41" w:rsidP="001C1B41">
      <w:pPr>
        <w:rPr>
          <w:rFonts w:cs="Arial"/>
        </w:rPr>
      </w:pPr>
      <w:r w:rsidRPr="004502A9">
        <w:rPr>
          <w:rFonts w:cs="Arial"/>
        </w:rPr>
        <w:t xml:space="preserve">The following describes </w:t>
      </w:r>
      <w:r>
        <w:rPr>
          <w:rFonts w:cs="Arial"/>
        </w:rPr>
        <w:t>data reassessments conducted in response</w:t>
      </w:r>
      <w:r w:rsidRPr="004502A9">
        <w:rPr>
          <w:rFonts w:cs="Arial"/>
        </w:rPr>
        <w:t xml:space="preserve"> to comments received</w:t>
      </w:r>
      <w:r>
        <w:rPr>
          <w:rFonts w:cs="Arial"/>
        </w:rPr>
        <w:t xml:space="preserve"> during</w:t>
      </w:r>
      <w:r w:rsidR="00B90DB3">
        <w:rPr>
          <w:rFonts w:cs="Arial"/>
        </w:rPr>
        <w:t xml:space="preserve"> the </w:t>
      </w:r>
      <w:r>
        <w:rPr>
          <w:rFonts w:cs="Arial"/>
        </w:rPr>
        <w:t xml:space="preserve">2020-2022 </w:t>
      </w:r>
      <w:r w:rsidR="00C761E2">
        <w:rPr>
          <w:rFonts w:cs="Arial"/>
        </w:rPr>
        <w:t xml:space="preserve">California </w:t>
      </w:r>
      <w:r>
        <w:rPr>
          <w:rFonts w:cs="Arial"/>
        </w:rPr>
        <w:t>Integrated Report.</w:t>
      </w:r>
      <w:r w:rsidRPr="004502A9">
        <w:rPr>
          <w:rFonts w:cs="Arial"/>
        </w:rPr>
        <w:t xml:space="preserve"> For additional documentation of </w:t>
      </w:r>
      <w:r>
        <w:rPr>
          <w:rFonts w:cs="Arial"/>
        </w:rPr>
        <w:t>data reassessments</w:t>
      </w:r>
      <w:r w:rsidRPr="004502A9">
        <w:rPr>
          <w:rFonts w:cs="Arial"/>
        </w:rPr>
        <w:t>, please reference the Summary of Comments and Responses</w:t>
      </w:r>
      <w:r>
        <w:rPr>
          <w:rFonts w:cs="Arial"/>
        </w:rPr>
        <w:t xml:space="preserve"> for the 2020-2022 </w:t>
      </w:r>
      <w:r w:rsidR="00C761E2">
        <w:rPr>
          <w:rFonts w:cs="Arial"/>
        </w:rPr>
        <w:t xml:space="preserve">California </w:t>
      </w:r>
      <w:r>
        <w:rPr>
          <w:rFonts w:cs="Arial"/>
        </w:rPr>
        <w:t>Integrated Report</w:t>
      </w:r>
      <w:r w:rsidR="00573C1B">
        <w:rPr>
          <w:rStyle w:val="FootnoteReference"/>
          <w:rFonts w:cs="Arial"/>
        </w:rPr>
        <w:footnoteReference w:id="14"/>
      </w:r>
      <w:r>
        <w:rPr>
          <w:rFonts w:cs="Arial"/>
        </w:rPr>
        <w:t xml:space="preserve"> for Clean Water Act 303(d) </w:t>
      </w:r>
      <w:r w:rsidR="000A28BF">
        <w:rPr>
          <w:rFonts w:cs="Arial"/>
        </w:rPr>
        <w:t>l</w:t>
      </w:r>
      <w:r>
        <w:rPr>
          <w:rFonts w:cs="Arial"/>
        </w:rPr>
        <w:t xml:space="preserve">ist and 305(b) </w:t>
      </w:r>
      <w:r w:rsidR="000A28BF">
        <w:rPr>
          <w:rFonts w:cs="Arial"/>
        </w:rPr>
        <w:t>r</w:t>
      </w:r>
      <w:r>
        <w:rPr>
          <w:rFonts w:cs="Arial"/>
        </w:rPr>
        <w:t>eport</w:t>
      </w:r>
      <w:r w:rsidRPr="004502A9">
        <w:rPr>
          <w:rFonts w:cs="Arial"/>
        </w:rPr>
        <w:t xml:space="preserve">. </w:t>
      </w:r>
      <w:r w:rsidR="00356586">
        <w:rPr>
          <w:rFonts w:eastAsia="Arial" w:cs="Arial"/>
          <w:color w:val="000000" w:themeColor="text1"/>
        </w:rPr>
        <w:t xml:space="preserve">In some instances, LOEs from previous </w:t>
      </w:r>
      <w:r w:rsidR="002D6B91">
        <w:rPr>
          <w:rFonts w:eastAsia="Arial" w:cs="Arial"/>
          <w:color w:val="000000" w:themeColor="text1"/>
        </w:rPr>
        <w:t xml:space="preserve">listing </w:t>
      </w:r>
      <w:r w:rsidR="00356586">
        <w:rPr>
          <w:rFonts w:eastAsia="Arial" w:cs="Arial"/>
          <w:color w:val="000000" w:themeColor="text1"/>
        </w:rPr>
        <w:t xml:space="preserve">cycles were retired. For more information, see </w:t>
      </w:r>
      <w:r w:rsidR="00185E10">
        <w:rPr>
          <w:rFonts w:eastAsia="Arial" w:cs="Arial"/>
          <w:color w:val="000000" w:themeColor="text1"/>
        </w:rPr>
        <w:t>s</w:t>
      </w:r>
      <w:r w:rsidR="00356586">
        <w:rPr>
          <w:rFonts w:eastAsia="Arial" w:cs="Arial"/>
          <w:color w:val="000000" w:themeColor="text1"/>
        </w:rPr>
        <w:t xml:space="preserve">ection 2.3.2 and Appendix </w:t>
      </w:r>
      <w:r w:rsidR="00C63A5E">
        <w:rPr>
          <w:rFonts w:eastAsia="Arial" w:cs="Arial"/>
          <w:color w:val="000000" w:themeColor="text1"/>
        </w:rPr>
        <w:t>J</w:t>
      </w:r>
      <w:r w:rsidR="00356586">
        <w:rPr>
          <w:rFonts w:eastAsia="Arial" w:cs="Arial"/>
          <w:color w:val="000000" w:themeColor="text1"/>
        </w:rPr>
        <w:t>: List of Retired Lines of Evidence.</w:t>
      </w:r>
      <w:r>
        <w:rPr>
          <w:rFonts w:eastAsia="Arial" w:cs="Arial"/>
          <w:color w:val="000000" w:themeColor="text1"/>
        </w:rPr>
        <w:t xml:space="preserve"> </w:t>
      </w:r>
    </w:p>
    <w:p w14:paraId="2E319759" w14:textId="0FE110D8" w:rsidR="001C1B41" w:rsidRPr="00897ECA" w:rsidRDefault="4153135F" w:rsidP="005632BC">
      <w:pPr>
        <w:pStyle w:val="Heading3"/>
      </w:pPr>
      <w:bookmarkStart w:id="169" w:name="_Toc189048624"/>
      <w:r>
        <w:t>Chloride Objectives</w:t>
      </w:r>
      <w:bookmarkEnd w:id="169"/>
      <w:r>
        <w:t xml:space="preserve"> </w:t>
      </w:r>
      <w:r w:rsidRPr="41EC96B7">
        <w:rPr>
          <w:rFonts w:eastAsia="Calibri Light"/>
        </w:rPr>
        <w:t xml:space="preserve"> </w:t>
      </w:r>
    </w:p>
    <w:p w14:paraId="3F87F43E" w14:textId="4D016EEA" w:rsidR="001C1B41" w:rsidRDefault="001C1B41" w:rsidP="001C1B41">
      <w:r>
        <w:t>During</w:t>
      </w:r>
      <w:r w:rsidR="007B287C">
        <w:t xml:space="preserve"> the 2020-2022 California Integrated Report</w:t>
      </w:r>
      <w:r w:rsidR="006471FD">
        <w:t>,</w:t>
      </w:r>
      <w:r>
        <w:t xml:space="preserve"> a commenter identified an error with </w:t>
      </w:r>
      <w:r w:rsidR="006471FD">
        <w:t>the application of</w:t>
      </w:r>
      <w:r>
        <w:t xml:space="preserve"> the chloride water quality objective in the Delta.</w:t>
      </w:r>
      <w:r w:rsidR="0088195A">
        <w:t xml:space="preserve"> </w:t>
      </w:r>
      <w:r>
        <w:t xml:space="preserve">Historically, the </w:t>
      </w:r>
      <w:r w:rsidR="001B5B4B" w:rsidRPr="0030660A">
        <w:t>Secondary Maximum Contaminant Levels</w:t>
      </w:r>
      <w:r w:rsidR="001B5B4B">
        <w:t xml:space="preserve"> (“SMCLs”)</w:t>
      </w:r>
      <w:r w:rsidR="006471FD">
        <w:t xml:space="preserve"> </w:t>
      </w:r>
      <w:r w:rsidR="00802D26">
        <w:t>were</w:t>
      </w:r>
      <w:r w:rsidR="006471FD">
        <w:t xml:space="preserve"> used</w:t>
      </w:r>
      <w:r>
        <w:t xml:space="preserve"> to assess “MUN</w:t>
      </w:r>
      <w:r w:rsidR="00C07F43">
        <w:t>”</w:t>
      </w:r>
      <w:r>
        <w:t xml:space="preserve"> in the legal Delta. </w:t>
      </w:r>
      <w:r w:rsidR="00FB760C">
        <w:t>In the 2020-2022 California Integrated Report</w:t>
      </w:r>
      <w:r>
        <w:t xml:space="preserve"> it was determined that the only points where chloride objectives should be evaluated are at the two compliance points identified in the Bay-Delta Water Quality Control Plan</w:t>
      </w:r>
      <w:r w:rsidR="00487D40">
        <w:t xml:space="preserve"> (“Bay</w:t>
      </w:r>
      <w:r w:rsidR="00282EC1">
        <w:t>-Delta Plan”)</w:t>
      </w:r>
      <w:r>
        <w:t>.</w:t>
      </w:r>
      <w:r w:rsidR="0088195A">
        <w:t xml:space="preserve"> </w:t>
      </w:r>
      <w:r>
        <w:t xml:space="preserve">In the </w:t>
      </w:r>
      <w:r w:rsidR="00FB760C">
        <w:t>2020-2022 California Integrated Report</w:t>
      </w:r>
      <w:r>
        <w:t xml:space="preserve"> Response to Comments, the </w:t>
      </w:r>
      <w:r w:rsidR="002E1BF7">
        <w:t xml:space="preserve">State Water </w:t>
      </w:r>
      <w:r>
        <w:t xml:space="preserve">Board committed to revising assessments that incorrectly applied the </w:t>
      </w:r>
      <w:r w:rsidR="00802D26">
        <w:t>SMCLs</w:t>
      </w:r>
      <w:r>
        <w:t xml:space="preserve"> for the protection of MUN in the Delta </w:t>
      </w:r>
      <w:r w:rsidR="06038C69">
        <w:t>in a future cycle</w:t>
      </w:r>
      <w:r w:rsidDel="001C1B41">
        <w:t>.</w:t>
      </w:r>
      <w:r>
        <w:t xml:space="preserve"> </w:t>
      </w:r>
    </w:p>
    <w:p w14:paraId="5D7E6637" w14:textId="000352EB" w:rsidR="74AA029D" w:rsidRDefault="001C1B41" w:rsidP="74A1F221">
      <w:r>
        <w:t>During</w:t>
      </w:r>
      <w:r w:rsidR="2BCA9A7A">
        <w:t xml:space="preserve"> the </w:t>
      </w:r>
      <w:r w:rsidR="005D7A97">
        <w:t xml:space="preserve">development of the </w:t>
      </w:r>
      <w:r w:rsidR="2BCA9A7A">
        <w:t xml:space="preserve">2026 California Integrated Report, </w:t>
      </w:r>
      <w:r w:rsidR="00182E4C">
        <w:t>c</w:t>
      </w:r>
      <w:r w:rsidR="74AA029D">
        <w:t xml:space="preserve">hloride </w:t>
      </w:r>
      <w:r w:rsidR="00182E4C">
        <w:t>data</w:t>
      </w:r>
      <w:r w:rsidR="74AA029D">
        <w:t xml:space="preserve"> in the Delta were reassessed </w:t>
      </w:r>
      <w:r w:rsidR="00254D93">
        <w:t>using the chloride objectiv</w:t>
      </w:r>
      <w:r w:rsidR="00591C9D">
        <w:t xml:space="preserve">e </w:t>
      </w:r>
      <w:r w:rsidR="003E7A26">
        <w:t xml:space="preserve">in </w:t>
      </w:r>
      <w:r w:rsidR="74AA029D">
        <w:t xml:space="preserve">the Bay-Delta Plan to protect the MUN </w:t>
      </w:r>
      <w:r w:rsidR="00742260">
        <w:t>beneficial use</w:t>
      </w:r>
      <w:r w:rsidR="0060217A">
        <w:t xml:space="preserve">. </w:t>
      </w:r>
      <w:r w:rsidR="00A3361A">
        <w:t xml:space="preserve">The chloride objective only applies at the following </w:t>
      </w:r>
      <w:r w:rsidR="74AA029D">
        <w:t xml:space="preserve">specific </w:t>
      </w:r>
      <w:r w:rsidR="00485AFD">
        <w:t xml:space="preserve">compliance </w:t>
      </w:r>
      <w:r w:rsidR="74AA029D">
        <w:t>points within the Delta</w:t>
      </w:r>
      <w:r w:rsidR="00485AFD">
        <w:t>:</w:t>
      </w:r>
      <w:r w:rsidR="74AA029D">
        <w:t xml:space="preserve">  </w:t>
      </w:r>
    </w:p>
    <w:p w14:paraId="41BE1D71" w14:textId="7B6A1129" w:rsidR="74AA029D" w:rsidRDefault="74AA029D" w:rsidP="00010F69">
      <w:pPr>
        <w:pStyle w:val="ListParagraph"/>
        <w:numPr>
          <w:ilvl w:val="0"/>
          <w:numId w:val="36"/>
        </w:numPr>
        <w:spacing w:after="120"/>
        <w:rPr>
          <w:szCs w:val="24"/>
        </w:rPr>
      </w:pPr>
      <w:r>
        <w:t xml:space="preserve">Contra Costa Canal at Pumping Plant #1 </w:t>
      </w:r>
    </w:p>
    <w:p w14:paraId="62DA88C7" w14:textId="3A7BE99B" w:rsidR="74AA029D" w:rsidRDefault="74AA029D" w:rsidP="00010F69">
      <w:pPr>
        <w:pStyle w:val="ListParagraph"/>
        <w:numPr>
          <w:ilvl w:val="0"/>
          <w:numId w:val="36"/>
        </w:numPr>
        <w:spacing w:after="120"/>
      </w:pPr>
      <w:r>
        <w:t xml:space="preserve">San Joaquin River at Antioch Water Works Intake </w:t>
      </w:r>
    </w:p>
    <w:p w14:paraId="4C613833" w14:textId="71AB96FD" w:rsidR="74AA029D" w:rsidRDefault="74AA029D" w:rsidP="00010F69">
      <w:pPr>
        <w:pStyle w:val="ListParagraph"/>
        <w:numPr>
          <w:ilvl w:val="0"/>
          <w:numId w:val="36"/>
        </w:numPr>
        <w:spacing w:after="120"/>
        <w:rPr>
          <w:szCs w:val="24"/>
        </w:rPr>
      </w:pPr>
      <w:r>
        <w:t xml:space="preserve">West Canal at </w:t>
      </w:r>
      <w:r w:rsidR="00B30C89">
        <w:t xml:space="preserve">the </w:t>
      </w:r>
      <w:r>
        <w:t xml:space="preserve">mouth of Clifton Court Forebay </w:t>
      </w:r>
    </w:p>
    <w:p w14:paraId="72260CC0" w14:textId="02BFD8D6" w:rsidR="74AA029D" w:rsidRDefault="74AA029D" w:rsidP="00010F69">
      <w:pPr>
        <w:pStyle w:val="ListParagraph"/>
        <w:numPr>
          <w:ilvl w:val="0"/>
          <w:numId w:val="36"/>
        </w:numPr>
        <w:spacing w:after="120"/>
        <w:rPr>
          <w:szCs w:val="24"/>
        </w:rPr>
      </w:pPr>
      <w:r>
        <w:t xml:space="preserve">Delta-Mendota Canal at Tracy Pumping Plant  </w:t>
      </w:r>
    </w:p>
    <w:p w14:paraId="7D91B8D0" w14:textId="35E98D29" w:rsidR="74AA029D" w:rsidRDefault="74AA029D" w:rsidP="00010F69">
      <w:pPr>
        <w:pStyle w:val="ListParagraph"/>
        <w:numPr>
          <w:ilvl w:val="0"/>
          <w:numId w:val="36"/>
        </w:numPr>
        <w:spacing w:after="120"/>
        <w:rPr>
          <w:szCs w:val="24"/>
        </w:rPr>
      </w:pPr>
      <w:r>
        <w:t xml:space="preserve">Barker Slough at North Bay Aqueduct Intake  </w:t>
      </w:r>
    </w:p>
    <w:p w14:paraId="73232ECA" w14:textId="4F87CCCC" w:rsidR="74AA029D" w:rsidRDefault="74AA029D" w:rsidP="00010F69">
      <w:pPr>
        <w:pStyle w:val="ListParagraph"/>
        <w:numPr>
          <w:ilvl w:val="0"/>
          <w:numId w:val="36"/>
        </w:numPr>
        <w:rPr>
          <w:szCs w:val="24"/>
        </w:rPr>
      </w:pPr>
      <w:r>
        <w:t xml:space="preserve">Cache Slough at City of Vallejo Intake  </w:t>
      </w:r>
    </w:p>
    <w:p w14:paraId="00AB42A4" w14:textId="0083A3EE" w:rsidR="74AA029D" w:rsidRDefault="74AA029D" w:rsidP="74A1F221">
      <w:r>
        <w:t xml:space="preserve">Since no data </w:t>
      </w:r>
      <w:r w:rsidR="00485AFD">
        <w:t>were</w:t>
      </w:r>
      <w:r>
        <w:t xml:space="preserve"> collected within the standardized mapping distance of 250 meters</w:t>
      </w:r>
      <w:r w:rsidR="00766B86">
        <w:t xml:space="preserve"> of the compliance points</w:t>
      </w:r>
      <w:r>
        <w:t xml:space="preserve">, past LOEs </w:t>
      </w:r>
      <w:r w:rsidR="00766B86">
        <w:t xml:space="preserve">with data collected farther than 250 meters from </w:t>
      </w:r>
      <w:r>
        <w:t>the compliance points were removed and 32 decisions</w:t>
      </w:r>
      <w:r w:rsidR="5C3FAE33">
        <w:t>,</w:t>
      </w:r>
      <w:r>
        <w:t xml:space="preserve"> were retired. </w:t>
      </w:r>
      <w:r w:rsidR="00E21067">
        <w:t>The reassessments did not result in any new “List” or “Delist” Decisions.</w:t>
      </w:r>
      <w:r>
        <w:t xml:space="preserve"> Moving forward, new chloride data </w:t>
      </w:r>
      <w:r w:rsidR="00BC146B">
        <w:t xml:space="preserve">collected from </w:t>
      </w:r>
      <w:r>
        <w:t xml:space="preserve">the </w:t>
      </w:r>
      <w:r w:rsidR="00BC146B">
        <w:t>Bay-</w:t>
      </w:r>
      <w:r>
        <w:t xml:space="preserve">Delta will be assessed based on the </w:t>
      </w:r>
      <w:r w:rsidR="00766B86">
        <w:t xml:space="preserve">objectives </w:t>
      </w:r>
      <w:r>
        <w:t>in the Bay</w:t>
      </w:r>
      <w:r w:rsidR="00EF3D95">
        <w:t>-</w:t>
      </w:r>
      <w:r>
        <w:t xml:space="preserve">Delta Plan.  </w:t>
      </w:r>
    </w:p>
    <w:p w14:paraId="098E3BE2" w14:textId="53DBD4FE" w:rsidR="001C1B41" w:rsidRPr="00897ECA" w:rsidRDefault="4153135F" w:rsidP="005632BC">
      <w:pPr>
        <w:pStyle w:val="Heading3"/>
      </w:pPr>
      <w:bookmarkStart w:id="170" w:name="_Toc189048625"/>
      <w:r>
        <w:t>Westside San Joaquin Coalition Pesticide Data Re</w:t>
      </w:r>
      <w:r w:rsidR="00D44352">
        <w:t>a</w:t>
      </w:r>
      <w:r>
        <w:t>ssessments</w:t>
      </w:r>
      <w:bookmarkEnd w:id="170"/>
      <w:r>
        <w:t xml:space="preserve"> </w:t>
      </w:r>
    </w:p>
    <w:p w14:paraId="1D79F1AD" w14:textId="68BF12CF" w:rsidR="00FB585E" w:rsidRDefault="001C1B41" w:rsidP="00F9247B">
      <w:r w:rsidRPr="00A44ED1">
        <w:t xml:space="preserve">Data from the Westside San Joaquin Water Quality Coalition from years 2004-2009 were submitted for the 2012 </w:t>
      </w:r>
      <w:r w:rsidR="00C761E2">
        <w:t xml:space="preserve">California </w:t>
      </w:r>
      <w:r w:rsidRPr="00A44ED1">
        <w:t xml:space="preserve">Integrated Report. Data associated with these </w:t>
      </w:r>
      <w:r w:rsidR="007911B0">
        <w:rPr>
          <w:rStyle w:val="normaltextrun"/>
          <w:rFonts w:cs="Arial"/>
          <w:color w:val="000000"/>
          <w:shd w:val="clear" w:color="auto" w:fill="FFFFFF"/>
        </w:rPr>
        <w:t>CalWQA</w:t>
      </w:r>
      <w:r>
        <w:rPr>
          <w:rStyle w:val="normaltextrun"/>
          <w:rFonts w:cs="Arial"/>
          <w:color w:val="000000"/>
          <w:shd w:val="clear" w:color="auto" w:fill="FFFFFF"/>
        </w:rPr>
        <w:t xml:space="preserve"> </w:t>
      </w:r>
      <w:r w:rsidR="00721B1E">
        <w:t>D</w:t>
      </w:r>
      <w:r w:rsidRPr="00A44ED1">
        <w:t xml:space="preserve">ecisions were re-assessed using aquatic life benchmarks for the 2020-2022 </w:t>
      </w:r>
      <w:r w:rsidR="00C761E2">
        <w:t xml:space="preserve">California </w:t>
      </w:r>
      <w:r w:rsidRPr="00A44ED1">
        <w:t>Integrated Report.</w:t>
      </w:r>
      <w:r>
        <w:t xml:space="preserve"> </w:t>
      </w:r>
      <w:r w:rsidR="62C28047" w:rsidRPr="00A44ED1">
        <w:t xml:space="preserve">During the </w:t>
      </w:r>
      <w:r w:rsidR="00140528">
        <w:t xml:space="preserve">development of the </w:t>
      </w:r>
      <w:r w:rsidR="62C28047" w:rsidRPr="00A44ED1">
        <w:t xml:space="preserve">2024 California Integrated Report, multiple </w:t>
      </w:r>
      <w:r w:rsidR="08D26050" w:rsidRPr="00A44ED1">
        <w:t>issues</w:t>
      </w:r>
      <w:r w:rsidR="62C28047" w:rsidRPr="00A44ED1">
        <w:t xml:space="preserve"> were found with the re-assessed</w:t>
      </w:r>
      <w:r w:rsidR="63CE02FC">
        <w:t xml:space="preserve"> </w:t>
      </w:r>
      <w:r w:rsidR="63CBCC64">
        <w:t>data</w:t>
      </w:r>
      <w:r w:rsidR="1731FC8E">
        <w:t>:</w:t>
      </w:r>
      <w:r w:rsidR="63CBCC64">
        <w:t xml:space="preserve"> </w:t>
      </w:r>
    </w:p>
    <w:p w14:paraId="707F8E03" w14:textId="1079C3C4" w:rsidR="00FB585E" w:rsidRDefault="57EDFE6F" w:rsidP="1C4A1E9C">
      <w:pPr>
        <w:pStyle w:val="ListParagraph"/>
        <w:numPr>
          <w:ilvl w:val="0"/>
          <w:numId w:val="16"/>
        </w:numPr>
      </w:pPr>
      <w:bookmarkStart w:id="171" w:name="_Hlk180057997"/>
      <w:r>
        <w:t>The range of dates for the replacement LOEs are larger than the original LOEs which resulted in duplicative assessments.</w:t>
      </w:r>
    </w:p>
    <w:p w14:paraId="3CE31AD0" w14:textId="22C0DB13" w:rsidR="00FB585E" w:rsidRDefault="57EDFE6F" w:rsidP="1C4A1E9C">
      <w:pPr>
        <w:pStyle w:val="ListParagraph"/>
        <w:numPr>
          <w:ilvl w:val="0"/>
          <w:numId w:val="16"/>
        </w:numPr>
      </w:pPr>
      <w:r>
        <w:t xml:space="preserve">The data used </w:t>
      </w:r>
      <w:r w:rsidR="00832AC9">
        <w:t xml:space="preserve">a </w:t>
      </w:r>
      <w:r>
        <w:t>reference code</w:t>
      </w:r>
      <w:r w:rsidR="009307AB">
        <w:t xml:space="preserve"> in CalWQA</w:t>
      </w:r>
      <w:r>
        <w:t xml:space="preserve"> </w:t>
      </w:r>
      <w:r w:rsidR="00832AC9">
        <w:t xml:space="preserve">that </w:t>
      </w:r>
      <w:r>
        <w:t>does not correspond to the data being reassessed.</w:t>
      </w:r>
    </w:p>
    <w:p w14:paraId="2A4EC757" w14:textId="55F36C99" w:rsidR="00FB585E" w:rsidRDefault="57EDFE6F" w:rsidP="1C4A1E9C">
      <w:pPr>
        <w:pStyle w:val="ListParagraph"/>
        <w:numPr>
          <w:ilvl w:val="0"/>
          <w:numId w:val="16"/>
        </w:numPr>
      </w:pPr>
      <w:r>
        <w:t>There is no data reference in CalWQA corresponding to the reassessed data.</w:t>
      </w:r>
      <w:r w:rsidR="00810B73">
        <w:t xml:space="preserve"> </w:t>
      </w:r>
      <w:r w:rsidR="009A0D12">
        <w:t>Th</w:t>
      </w:r>
      <w:r w:rsidR="00004FDE">
        <w:t>e</w:t>
      </w:r>
      <w:r w:rsidR="009A0D12">
        <w:t xml:space="preserve"> data </w:t>
      </w:r>
      <w:r w:rsidR="00004FDE">
        <w:t>were</w:t>
      </w:r>
      <w:r w:rsidR="009A0D12" w:rsidDel="00004FDE">
        <w:t xml:space="preserve"> </w:t>
      </w:r>
      <w:r w:rsidR="00004FDE">
        <w:t>erroneously</w:t>
      </w:r>
      <w:r w:rsidR="009A0D12">
        <w:t xml:space="preserve"> assessed </w:t>
      </w:r>
      <w:r w:rsidR="00A25349">
        <w:t xml:space="preserve">during the 2024 California Integrated Report and </w:t>
      </w:r>
      <w:r w:rsidR="00004FDE">
        <w:t>were</w:t>
      </w:r>
      <w:r w:rsidR="00A25349">
        <w:t xml:space="preserve"> </w:t>
      </w:r>
      <w:r w:rsidR="00E70D3A">
        <w:t>removed from</w:t>
      </w:r>
      <w:r w:rsidR="00A25349">
        <w:t xml:space="preserve"> the 2026 California Integrated Report.</w:t>
      </w:r>
    </w:p>
    <w:p w14:paraId="0E4F823D" w14:textId="4B91AD34" w:rsidR="00FB585E" w:rsidRDefault="57EDFE6F" w:rsidP="1C4A1E9C">
      <w:pPr>
        <w:pStyle w:val="ListParagraph"/>
        <w:numPr>
          <w:ilvl w:val="0"/>
          <w:numId w:val="16"/>
        </w:numPr>
      </w:pPr>
      <w:r>
        <w:t>The data used in the reassessments came from a different source than the data on file.</w:t>
      </w:r>
    </w:p>
    <w:p w14:paraId="10D96E36" w14:textId="0F1DB901" w:rsidR="00365646" w:rsidRDefault="63CBCC64" w:rsidP="000F6B80">
      <w:r>
        <w:t>The</w:t>
      </w:r>
      <w:r w:rsidR="000F6B80">
        <w:t>se</w:t>
      </w:r>
      <w:r w:rsidR="782D36EB">
        <w:t xml:space="preserve"> </w:t>
      </w:r>
      <w:r w:rsidR="5EDC0459">
        <w:t xml:space="preserve">issues were </w:t>
      </w:r>
      <w:r w:rsidR="782D36EB">
        <w:t>corrected</w:t>
      </w:r>
      <w:r w:rsidR="5EDC0459">
        <w:t xml:space="preserve"> </w:t>
      </w:r>
      <w:r w:rsidR="000F6B80">
        <w:t>in</w:t>
      </w:r>
      <w:r w:rsidR="5EDC0459">
        <w:t xml:space="preserve"> the 2026 California Integrated Report</w:t>
      </w:r>
      <w:r w:rsidR="00F83DE2">
        <w:t xml:space="preserve"> by </w:t>
      </w:r>
      <w:r w:rsidR="00434B8A" w:rsidRPr="00434B8A">
        <w:t>retiring the erroneous LOEs and replacing them with new, corrected LOEs</w:t>
      </w:r>
      <w:r w:rsidR="00455B54">
        <w:t xml:space="preserve"> from </w:t>
      </w:r>
      <w:r w:rsidR="00F83DE2">
        <w:t>re</w:t>
      </w:r>
      <w:r w:rsidR="008A47CD">
        <w:t>-re</w:t>
      </w:r>
      <w:r w:rsidR="00FC3F10">
        <w:t xml:space="preserve">assessing </w:t>
      </w:r>
      <w:r w:rsidR="00435D87">
        <w:t xml:space="preserve">the </w:t>
      </w:r>
      <w:r w:rsidR="00CD1A9C">
        <w:t xml:space="preserve">correct </w:t>
      </w:r>
      <w:r w:rsidR="00435D87">
        <w:t xml:space="preserve">data. </w:t>
      </w:r>
      <w:bookmarkEnd w:id="171"/>
      <w:r w:rsidR="00455B54">
        <w:t>Additionally, t</w:t>
      </w:r>
      <w:r w:rsidR="00C94EFB">
        <w:t xml:space="preserve">he </w:t>
      </w:r>
      <w:r w:rsidR="00434B8A" w:rsidRPr="00434B8A">
        <w:t xml:space="preserve">erroneous LOEs </w:t>
      </w:r>
      <w:r w:rsidR="00C94EFB">
        <w:t xml:space="preserve">were removed </w:t>
      </w:r>
      <w:r w:rsidR="00434B8A" w:rsidRPr="00434B8A">
        <w:t xml:space="preserve">from each </w:t>
      </w:r>
      <w:r w:rsidR="00054417" w:rsidRPr="00434B8A">
        <w:t>decision,</w:t>
      </w:r>
      <w:r w:rsidR="00434B8A" w:rsidRPr="00434B8A">
        <w:t xml:space="preserve"> and this corrected </w:t>
      </w:r>
      <w:r w:rsidR="00455B54" w:rsidRPr="00434B8A">
        <w:t>all</w:t>
      </w:r>
      <w:r w:rsidR="00434B8A" w:rsidRPr="00434B8A">
        <w:t xml:space="preserve"> the previously identified issues</w:t>
      </w:r>
      <w:r w:rsidR="00073217">
        <w:t>.</w:t>
      </w:r>
      <w:r w:rsidR="03339051">
        <w:t xml:space="preserve"> The reassessments did not result</w:t>
      </w:r>
      <w:r w:rsidR="6FE15938">
        <w:t xml:space="preserve"> in </w:t>
      </w:r>
      <w:r w:rsidR="03339051">
        <w:t>any</w:t>
      </w:r>
      <w:r w:rsidR="5EDC0459">
        <w:t xml:space="preserve"> new “List” or “Delist” </w:t>
      </w:r>
      <w:r w:rsidR="0ACFCF84">
        <w:t>Decisions</w:t>
      </w:r>
      <w:r w:rsidR="4BB5633F">
        <w:t xml:space="preserve">. </w:t>
      </w:r>
      <w:r w:rsidR="00365646">
        <w:t xml:space="preserve">  </w:t>
      </w:r>
    </w:p>
    <w:p w14:paraId="6A22B2B4" w14:textId="77777777" w:rsidR="001C1B41" w:rsidRPr="00897ECA" w:rsidRDefault="4153135F" w:rsidP="005632BC">
      <w:pPr>
        <w:pStyle w:val="Heading3"/>
      </w:pPr>
      <w:bookmarkStart w:id="172" w:name="_Toc189048626"/>
      <w:r>
        <w:t>Assessment of Salinity in the Lower San Joaquin River According to New Water Quality Objectives</w:t>
      </w:r>
      <w:bookmarkEnd w:id="172"/>
    </w:p>
    <w:p w14:paraId="502EA35E" w14:textId="2318C785" w:rsidR="001C1B41" w:rsidRDefault="001C1B41" w:rsidP="001C1B41">
      <w:r>
        <w:t>On</w:t>
      </w:r>
      <w:r w:rsidDel="00856F8B">
        <w:t xml:space="preserve"> </w:t>
      </w:r>
      <w:r w:rsidR="003603C8">
        <w:t>June</w:t>
      </w:r>
      <w:r>
        <w:t xml:space="preserve"> </w:t>
      </w:r>
      <w:r w:rsidR="00856F8B">
        <w:t xml:space="preserve">9, </w:t>
      </w:r>
      <w:r>
        <w:t>2017</w:t>
      </w:r>
      <w:r w:rsidR="00856F8B">
        <w:t>,</w:t>
      </w:r>
      <w:r>
        <w:t xml:space="preserve"> the Central Valley </w:t>
      </w:r>
      <w:r w:rsidR="006A69A1">
        <w:t xml:space="preserve">Regional </w:t>
      </w:r>
      <w:r>
        <w:t xml:space="preserve">Water Board adopted Resolution R5-2017-0062 amending the </w:t>
      </w:r>
      <w:r w:rsidR="00BC48A8">
        <w:t>Central Valley Regional Water Qual</w:t>
      </w:r>
      <w:r w:rsidR="006A74AC">
        <w:t>ity Control Basin Plan</w:t>
      </w:r>
      <w:r>
        <w:t xml:space="preserve"> to add specific conductivity (“SC”) water quality objectives in the San Joaquin River between the mouth of the Merced River and the Airport Way Bridge near Vernalis. The amendment was approved in December 2018 by the USEPA. The amendment sets an SC water quality objective of 1,550 micro-Siemens per centimeter (µS/cm) except during extended dry periods when the water quality objective will be 2,470 µS/cm. Compliance with these</w:t>
      </w:r>
      <w:r w:rsidR="005C2DD1">
        <w:t xml:space="preserve"> water quality</w:t>
      </w:r>
      <w:r>
        <w:t xml:space="preserve"> objectives is to be determined at two locations: Crows Landing for the segment </w:t>
      </w:r>
      <w:r w:rsidR="00D05DDA">
        <w:t>“</w:t>
      </w:r>
      <w:r>
        <w:t>San Joaquin River (Merced River to Tuolumne River)</w:t>
      </w:r>
      <w:r w:rsidR="00D05DDA">
        <w:t>”</w:t>
      </w:r>
      <w:r>
        <w:t xml:space="preserve"> and Maze Road for the segment </w:t>
      </w:r>
      <w:r w:rsidR="00B92E37">
        <w:t>“</w:t>
      </w:r>
      <w:r>
        <w:t>San Joaquin River (Tuolumne River to Stanislaus River)</w:t>
      </w:r>
      <w:r w:rsidR="00B92E37">
        <w:t>.</w:t>
      </w:r>
      <w:r w:rsidR="006A74AC">
        <w:t>”</w:t>
      </w:r>
      <w:r>
        <w:t xml:space="preserve"> </w:t>
      </w:r>
    </w:p>
    <w:p w14:paraId="6D15CCED" w14:textId="10273CD0" w:rsidR="00911018" w:rsidRDefault="007C3044" w:rsidP="00E303CC">
      <w:r>
        <w:t>Prior to the data solicitation cut-off date for the 2026</w:t>
      </w:r>
      <w:r w:rsidR="00911018">
        <w:t xml:space="preserve"> </w:t>
      </w:r>
      <w:r w:rsidR="00D712AF">
        <w:t xml:space="preserve">California </w:t>
      </w:r>
      <w:r w:rsidR="00911018">
        <w:t xml:space="preserve">Integrated Report, </w:t>
      </w:r>
      <w:r w:rsidR="00911018" w:rsidRPr="00E2278E">
        <w:t xml:space="preserve">additional salinity data </w:t>
      </w:r>
      <w:r w:rsidR="008B1D4C">
        <w:t xml:space="preserve">for the waterbody segments </w:t>
      </w:r>
      <w:r w:rsidR="008B1D4C" w:rsidRPr="70E2FB75">
        <w:rPr>
          <w:rFonts w:eastAsia="Arial" w:cs="Arial"/>
          <w:szCs w:val="24"/>
        </w:rPr>
        <w:t>San Joaquin River (Merced River to Tuolumne River) and San Joaquin River (Tuolumne River to Stanislaus River)</w:t>
      </w:r>
      <w:r w:rsidR="008B1D4C">
        <w:rPr>
          <w:rFonts w:eastAsia="Arial" w:cs="Arial"/>
          <w:szCs w:val="24"/>
        </w:rPr>
        <w:t xml:space="preserve"> </w:t>
      </w:r>
      <w:r w:rsidR="00911018">
        <w:t>were uploaded in CEDEN</w:t>
      </w:r>
      <w:r w:rsidR="00911018" w:rsidRPr="00E2278E">
        <w:t xml:space="preserve">. </w:t>
      </w:r>
      <w:r w:rsidR="00F2097B">
        <w:t xml:space="preserve">New data were assessed and older data previously submitted </w:t>
      </w:r>
      <w:r>
        <w:t>were</w:t>
      </w:r>
      <w:r w:rsidR="00911018">
        <w:t xml:space="preserve"> </w:t>
      </w:r>
      <w:r w:rsidR="00AA2732">
        <w:t>re</w:t>
      </w:r>
      <w:r w:rsidR="00911018">
        <w:t>assessed using the</w:t>
      </w:r>
      <w:r w:rsidR="00E67B7C">
        <w:t>se</w:t>
      </w:r>
      <w:r w:rsidR="00911018">
        <w:t xml:space="preserve"> </w:t>
      </w:r>
      <w:r w:rsidR="000E219C">
        <w:t>water quality</w:t>
      </w:r>
      <w:r w:rsidR="00EC2405">
        <w:t xml:space="preserve"> objectives</w:t>
      </w:r>
      <w:r w:rsidR="00911018" w:rsidRPr="70E2FB75">
        <w:rPr>
          <w:rFonts w:eastAsia="Arial" w:cs="Arial"/>
          <w:szCs w:val="24"/>
        </w:rPr>
        <w:t xml:space="preserve">. </w:t>
      </w:r>
    </w:p>
    <w:p w14:paraId="5A923F85" w14:textId="48913F1D" w:rsidR="001C1B41" w:rsidRPr="004A6777" w:rsidRDefault="0067769C" w:rsidP="005632BC">
      <w:pPr>
        <w:pStyle w:val="Heading3"/>
      </w:pPr>
      <w:bookmarkStart w:id="173" w:name="_Toc189048627"/>
      <w:r>
        <w:t>Rea</w:t>
      </w:r>
      <w:r w:rsidRPr="00847737">
        <w:t xml:space="preserve">ssessment </w:t>
      </w:r>
      <w:r w:rsidR="000554B5" w:rsidRPr="00847737">
        <w:t xml:space="preserve">of </w:t>
      </w:r>
      <w:r w:rsidR="4153135F" w:rsidRPr="00847737">
        <w:t>Secondary M</w:t>
      </w:r>
      <w:r w:rsidR="00DC4687" w:rsidRPr="00847737">
        <w:t>aximum Contaminant Level</w:t>
      </w:r>
      <w:r w:rsidR="000554B5" w:rsidRPr="00847737">
        <w:t>s</w:t>
      </w:r>
      <w:bookmarkEnd w:id="173"/>
      <w:r w:rsidR="4153135F" w:rsidRPr="00847737">
        <w:t xml:space="preserve"> </w:t>
      </w:r>
    </w:p>
    <w:p w14:paraId="35C1BB77" w14:textId="73C64CC7" w:rsidR="00DD5FEF" w:rsidRDefault="00DD5FEF" w:rsidP="00DD5FEF">
      <w:r w:rsidRPr="0030660A">
        <w:t xml:space="preserve">The Central Valley Salinity Alternatives for Long-Term Sustainably Basin Plan Amendment (“CV-SALTS Amendment”) (R5-2020-0057) revised the chemical constituents water quality objective and included direction for the application of </w:t>
      </w:r>
      <w:r w:rsidR="0046257D">
        <w:t>SMCLs</w:t>
      </w:r>
      <w:r w:rsidRPr="0030660A">
        <w:t xml:space="preserve"> to protect the MUN beneficial use. </w:t>
      </w:r>
      <w:r>
        <w:t>During</w:t>
      </w:r>
      <w:r w:rsidRPr="0030660A">
        <w:t xml:space="preserve"> the 2020-2022 California Integrated Report, the State Water Board committed to </w:t>
      </w:r>
      <w:r>
        <w:t>re</w:t>
      </w:r>
      <w:r w:rsidRPr="0030660A">
        <w:t xml:space="preserve">assessing data </w:t>
      </w:r>
      <w:r>
        <w:t>according to these revised</w:t>
      </w:r>
      <w:r w:rsidRPr="0030660A">
        <w:t xml:space="preserve"> </w:t>
      </w:r>
      <w:r>
        <w:t xml:space="preserve">water quality </w:t>
      </w:r>
      <w:r w:rsidRPr="0030660A">
        <w:t>objective</w:t>
      </w:r>
      <w:r>
        <w:t>s. During</w:t>
      </w:r>
      <w:r w:rsidRPr="0030660A">
        <w:t xml:space="preserve"> the 2024 California Integrated Report, data from </w:t>
      </w:r>
      <w:r w:rsidR="00B601E4">
        <w:t>waterbody segments</w:t>
      </w:r>
      <w:r w:rsidRPr="0030660A">
        <w:t xml:space="preserve"> in the Sacramento River </w:t>
      </w:r>
      <w:r>
        <w:t>Basin were</w:t>
      </w:r>
      <w:r w:rsidRPr="0030660A">
        <w:t xml:space="preserve"> reassessed</w:t>
      </w:r>
      <w:r>
        <w:t xml:space="preserve">. Data from the San Joaquin River Basin </w:t>
      </w:r>
      <w:r w:rsidR="00F40238">
        <w:t>were</w:t>
      </w:r>
      <w:r>
        <w:t xml:space="preserve"> reassessed </w:t>
      </w:r>
      <w:r w:rsidR="00F40238">
        <w:t>in</w:t>
      </w:r>
      <w:r>
        <w:t xml:space="preserve"> the 2026 </w:t>
      </w:r>
      <w:r w:rsidR="00E6437B">
        <w:t xml:space="preserve">California </w:t>
      </w:r>
      <w:r>
        <w:t>Integrated Report. Data for the Sacramento-San Joaquin River Delta</w:t>
      </w:r>
      <w:r w:rsidR="2B9FB561">
        <w:t xml:space="preserve"> and the Tulare Lake Basin</w:t>
      </w:r>
      <w:r>
        <w:t xml:space="preserve"> will be reassessed </w:t>
      </w:r>
      <w:r w:rsidR="00354AE3">
        <w:t>in</w:t>
      </w:r>
      <w:r>
        <w:t xml:space="preserve"> the 2028 </w:t>
      </w:r>
      <w:r w:rsidR="00E6437B">
        <w:t xml:space="preserve">California </w:t>
      </w:r>
      <w:r>
        <w:t>Integrated Report.</w:t>
      </w:r>
    </w:p>
    <w:p w14:paraId="41408DE8" w14:textId="4A008F96" w:rsidR="00DD5FEF" w:rsidRDefault="00DD5FEF" w:rsidP="00DD5FEF">
      <w:r w:rsidRPr="0030660A">
        <w:t>Annual averages were utilized for assessment of all SMCL</w:t>
      </w:r>
      <w:r w:rsidR="003F49E7">
        <w:t>s</w:t>
      </w:r>
      <w:r w:rsidRPr="0030660A">
        <w:t xml:space="preserve"> constituents to determine support for the MUN beneficial use. </w:t>
      </w:r>
    </w:p>
    <w:p w14:paraId="6490C92F" w14:textId="77777777" w:rsidR="00DD5FEF" w:rsidRDefault="00DD5FEF" w:rsidP="00DD5FEF">
      <w:r w:rsidRPr="0030660A">
        <w:t xml:space="preserve">The following constituents from Table 64449-A were assessed to determine support of the MUN beneficial use: </w:t>
      </w:r>
    </w:p>
    <w:p w14:paraId="2182E9FE" w14:textId="77777777" w:rsidR="00DD5FEF" w:rsidRDefault="00DD5FEF" w:rsidP="00010F69">
      <w:pPr>
        <w:pStyle w:val="ListParagraph"/>
        <w:numPr>
          <w:ilvl w:val="0"/>
          <w:numId w:val="39"/>
        </w:numPr>
        <w:spacing w:after="160" w:line="278" w:lineRule="auto"/>
      </w:pPr>
      <w:r>
        <w:t>Copper</w:t>
      </w:r>
    </w:p>
    <w:p w14:paraId="3657678D" w14:textId="77777777" w:rsidR="00DD5FEF" w:rsidRDefault="00DD5FEF" w:rsidP="00010F69">
      <w:pPr>
        <w:pStyle w:val="ListParagraph"/>
        <w:numPr>
          <w:ilvl w:val="0"/>
          <w:numId w:val="39"/>
        </w:numPr>
        <w:spacing w:after="160" w:line="278" w:lineRule="auto"/>
      </w:pPr>
      <w:r>
        <w:t>Iron</w:t>
      </w:r>
    </w:p>
    <w:p w14:paraId="522C617E" w14:textId="77777777" w:rsidR="00DD5FEF" w:rsidRDefault="00DD5FEF" w:rsidP="00010F69">
      <w:pPr>
        <w:pStyle w:val="ListParagraph"/>
        <w:numPr>
          <w:ilvl w:val="0"/>
          <w:numId w:val="39"/>
        </w:numPr>
        <w:spacing w:after="160" w:line="278" w:lineRule="auto"/>
      </w:pPr>
      <w:r>
        <w:t>Manganese</w:t>
      </w:r>
    </w:p>
    <w:p w14:paraId="0BA4ED60" w14:textId="77777777" w:rsidR="00DD5FEF" w:rsidRDefault="00DD5FEF" w:rsidP="00010F69">
      <w:pPr>
        <w:pStyle w:val="ListParagraph"/>
        <w:numPr>
          <w:ilvl w:val="0"/>
          <w:numId w:val="39"/>
        </w:numPr>
        <w:spacing w:after="160" w:line="278" w:lineRule="auto"/>
      </w:pPr>
      <w:r>
        <w:t>Methyl-tert-butyl-ether (“MTBE”)</w:t>
      </w:r>
    </w:p>
    <w:p w14:paraId="5133441B" w14:textId="77777777" w:rsidR="00DD5FEF" w:rsidRDefault="00DD5FEF" w:rsidP="00010F69">
      <w:pPr>
        <w:pStyle w:val="ListParagraph"/>
        <w:numPr>
          <w:ilvl w:val="0"/>
          <w:numId w:val="39"/>
        </w:numPr>
        <w:spacing w:after="160" w:line="278" w:lineRule="auto"/>
      </w:pPr>
      <w:r>
        <w:t>Silver</w:t>
      </w:r>
    </w:p>
    <w:p w14:paraId="36C89D8B" w14:textId="77777777" w:rsidR="00DD5FEF" w:rsidRDefault="00DD5FEF" w:rsidP="00010F69">
      <w:pPr>
        <w:pStyle w:val="ListParagraph"/>
        <w:numPr>
          <w:ilvl w:val="0"/>
          <w:numId w:val="39"/>
        </w:numPr>
        <w:spacing w:after="160" w:line="278" w:lineRule="auto"/>
      </w:pPr>
      <w:r>
        <w:t>Thiobencarb</w:t>
      </w:r>
    </w:p>
    <w:p w14:paraId="4950C040" w14:textId="77777777" w:rsidR="00DD5FEF" w:rsidRDefault="00DD5FEF" w:rsidP="00010F69">
      <w:pPr>
        <w:pStyle w:val="ListParagraph"/>
        <w:numPr>
          <w:ilvl w:val="0"/>
          <w:numId w:val="39"/>
        </w:numPr>
        <w:spacing w:after="160" w:line="278" w:lineRule="auto"/>
      </w:pPr>
      <w:r>
        <w:t>Zinc</w:t>
      </w:r>
    </w:p>
    <w:p w14:paraId="39EC4086" w14:textId="1AD5E7C0" w:rsidR="00DD5FEF" w:rsidRDefault="00DD5FEF" w:rsidP="00DD5FEF">
      <w:r>
        <w:t>P</w:t>
      </w:r>
      <w:r w:rsidRPr="0030660A">
        <w:t xml:space="preserve">er the CV-SALTS Amendment, only samples that </w:t>
      </w:r>
      <w:r w:rsidR="00EE39F2">
        <w:t>were</w:t>
      </w:r>
      <w:r w:rsidRPr="0030660A" w:rsidDel="00EE39F2">
        <w:t xml:space="preserve"> </w:t>
      </w:r>
      <w:r w:rsidRPr="0030660A">
        <w:t xml:space="preserve">passed through a 1.5- micron filter </w:t>
      </w:r>
      <w:r w:rsidR="00552067">
        <w:t>were</w:t>
      </w:r>
      <w:r>
        <w:t xml:space="preserve"> </w:t>
      </w:r>
      <w:r w:rsidRPr="0030660A">
        <w:t xml:space="preserve">used to determine </w:t>
      </w:r>
      <w:r w:rsidR="00523F7D" w:rsidRPr="0030660A">
        <w:t xml:space="preserve">MUN </w:t>
      </w:r>
      <w:r w:rsidRPr="0030660A">
        <w:t>beneficial use support. The CV</w:t>
      </w:r>
      <w:r w:rsidR="00EE39F2">
        <w:t>-</w:t>
      </w:r>
      <w:r w:rsidRPr="0030660A">
        <w:t xml:space="preserve">SALTS Amendment does not allow for the use of whole water concentrations (total) to assess data </w:t>
      </w:r>
      <w:r w:rsidR="00EE39F2">
        <w:t>using</w:t>
      </w:r>
      <w:r w:rsidRPr="0030660A" w:rsidDel="00EE39F2">
        <w:t xml:space="preserve"> </w:t>
      </w:r>
      <w:r w:rsidRPr="0030660A">
        <w:t xml:space="preserve">these SMCLs. Water quality data utilizing filtration described in the CV-SALTS Amendment is not yet commonly available. In the absence of such data, dissolved concentrations were used in place of filtered samples for assessment of metals under the SMCLs. </w:t>
      </w:r>
    </w:p>
    <w:p w14:paraId="37743663" w14:textId="4013E6D2" w:rsidR="00DD5FEF" w:rsidRDefault="00DD5FEF" w:rsidP="00DD5FEF">
      <w:r w:rsidRPr="0030660A">
        <w:t>The SMCL</w:t>
      </w:r>
      <w:r w:rsidR="00222692">
        <w:t>s</w:t>
      </w:r>
      <w:r w:rsidRPr="0030660A">
        <w:t xml:space="preserve"> constituents and associated numeric thresholds from Table 64449-B are presented in Table </w:t>
      </w:r>
      <w:r w:rsidR="006C54B3">
        <w:t>6</w:t>
      </w:r>
      <w:r w:rsidR="00C876E5">
        <w:t>-1</w:t>
      </w:r>
      <w:r w:rsidRPr="0030660A">
        <w:t xml:space="preserve">. </w:t>
      </w:r>
    </w:p>
    <w:p w14:paraId="0057486A" w14:textId="2524F018" w:rsidR="00DD5FEF" w:rsidRDefault="00DD5FEF" w:rsidP="00DD5FEF">
      <w:pPr>
        <w:pStyle w:val="Caption"/>
        <w:keepNext/>
      </w:pPr>
      <w:r>
        <w:t xml:space="preserve">Table </w:t>
      </w:r>
      <w:r w:rsidR="00AB32F5">
        <w:t>6</w:t>
      </w:r>
      <w:r w:rsidR="00C876E5" w:rsidRPr="006A2614">
        <w:t>-1</w:t>
      </w:r>
      <w:r>
        <w:t>: Secondary Maximum Contaminant Levels 'Consumer Acceptance Contaminant Level Ranges</w:t>
      </w:r>
      <w:r w:rsidR="006A2614">
        <w:t>’</w:t>
      </w:r>
      <w:r w:rsidR="00590FBD" w:rsidRPr="00590FBD">
        <w:t xml:space="preserve"> </w:t>
      </w:r>
      <w:r w:rsidR="00590FBD">
        <w:t>(Title 22, California Code of Regulations; Table 64449 B)</w:t>
      </w:r>
    </w:p>
    <w:tbl>
      <w:tblPr>
        <w:tblStyle w:val="TableGrid"/>
        <w:tblW w:w="0" w:type="auto"/>
        <w:tblLook w:val="04A0" w:firstRow="1" w:lastRow="0" w:firstColumn="1" w:lastColumn="0" w:noHBand="0" w:noVBand="1"/>
        <w:tblCaption w:val="Secondary Maximum Contaminant Levels 'Consumer Aceptance Contaminant Level Ranges' (Title 22, California Code of Regulations; Table 64449B)"/>
        <w:tblDescription w:val="This table lists the constituent units and maximum contaminant level ranges for secondary MCLs. "/>
      </w:tblPr>
      <w:tblGrid>
        <w:gridCol w:w="2515"/>
        <w:gridCol w:w="2159"/>
        <w:gridCol w:w="2338"/>
        <w:gridCol w:w="2338"/>
      </w:tblGrid>
      <w:tr w:rsidR="00DD5FEF" w14:paraId="67FE3069" w14:textId="77777777" w:rsidTr="008B5A7F">
        <w:tc>
          <w:tcPr>
            <w:tcW w:w="2515" w:type="dxa"/>
            <w:shd w:val="clear" w:color="auto" w:fill="D9E2F3" w:themeFill="accent1" w:themeFillTint="33"/>
          </w:tcPr>
          <w:p w14:paraId="2F81B2D2" w14:textId="77777777" w:rsidR="00DD5FEF" w:rsidRPr="00207925" w:rsidRDefault="00DD5FEF" w:rsidP="008B5A7F">
            <w:pPr>
              <w:spacing w:before="120" w:after="120"/>
              <w:rPr>
                <w:b/>
                <w:bCs/>
              </w:rPr>
            </w:pPr>
            <w:r w:rsidRPr="00207925">
              <w:rPr>
                <w:b/>
                <w:bCs/>
              </w:rPr>
              <w:t>Constituent, Units</w:t>
            </w:r>
          </w:p>
        </w:tc>
        <w:tc>
          <w:tcPr>
            <w:tcW w:w="6835" w:type="dxa"/>
            <w:gridSpan w:val="3"/>
            <w:shd w:val="clear" w:color="auto" w:fill="D9E2F3" w:themeFill="accent1" w:themeFillTint="33"/>
          </w:tcPr>
          <w:p w14:paraId="1DB5F17E" w14:textId="77777777" w:rsidR="00DD5FEF" w:rsidRPr="00207925" w:rsidRDefault="00DD5FEF" w:rsidP="008B5A7F">
            <w:pPr>
              <w:spacing w:before="120" w:after="120"/>
              <w:jc w:val="center"/>
              <w:rPr>
                <w:b/>
                <w:bCs/>
              </w:rPr>
            </w:pPr>
            <w:r w:rsidRPr="00207925">
              <w:rPr>
                <w:b/>
                <w:bCs/>
              </w:rPr>
              <w:t>Maximum Contaminant Level Ranges</w:t>
            </w:r>
          </w:p>
        </w:tc>
      </w:tr>
      <w:tr w:rsidR="00DD5FEF" w14:paraId="3FC80F93" w14:textId="77777777" w:rsidTr="008B5A7F">
        <w:tc>
          <w:tcPr>
            <w:tcW w:w="2515" w:type="dxa"/>
            <w:shd w:val="clear" w:color="auto" w:fill="auto"/>
          </w:tcPr>
          <w:p w14:paraId="1D940A7B" w14:textId="77777777" w:rsidR="00DD5FEF" w:rsidRDefault="00DD5FEF" w:rsidP="008B5A7F">
            <w:pPr>
              <w:spacing w:before="120" w:after="120"/>
            </w:pPr>
          </w:p>
        </w:tc>
        <w:tc>
          <w:tcPr>
            <w:tcW w:w="2159" w:type="dxa"/>
          </w:tcPr>
          <w:p w14:paraId="5362DE75" w14:textId="77777777" w:rsidR="00DD5FEF" w:rsidRDefault="00DD5FEF" w:rsidP="008B5A7F">
            <w:pPr>
              <w:spacing w:before="120" w:after="120"/>
              <w:jc w:val="center"/>
            </w:pPr>
            <w:r>
              <w:t>Recommended</w:t>
            </w:r>
          </w:p>
        </w:tc>
        <w:tc>
          <w:tcPr>
            <w:tcW w:w="2338" w:type="dxa"/>
          </w:tcPr>
          <w:p w14:paraId="12FD1D2D" w14:textId="77777777" w:rsidR="00DD5FEF" w:rsidRDefault="00DD5FEF" w:rsidP="008B5A7F">
            <w:pPr>
              <w:spacing w:before="120" w:after="120"/>
              <w:jc w:val="center"/>
            </w:pPr>
            <w:r>
              <w:t>Upper</w:t>
            </w:r>
          </w:p>
        </w:tc>
        <w:tc>
          <w:tcPr>
            <w:tcW w:w="2338" w:type="dxa"/>
          </w:tcPr>
          <w:p w14:paraId="135505B1" w14:textId="77777777" w:rsidR="00DD5FEF" w:rsidRDefault="00DD5FEF" w:rsidP="008B5A7F">
            <w:pPr>
              <w:spacing w:before="120" w:after="120"/>
              <w:jc w:val="center"/>
            </w:pPr>
            <w:r>
              <w:t>Short Term</w:t>
            </w:r>
          </w:p>
        </w:tc>
      </w:tr>
      <w:tr w:rsidR="00DD5FEF" w14:paraId="33913724" w14:textId="77777777" w:rsidTr="008B5A7F">
        <w:tc>
          <w:tcPr>
            <w:tcW w:w="2515" w:type="dxa"/>
          </w:tcPr>
          <w:p w14:paraId="790A3DAF" w14:textId="77777777" w:rsidR="00DD5FEF" w:rsidRDefault="00DD5FEF" w:rsidP="008B5A7F">
            <w:pPr>
              <w:spacing w:before="120" w:after="120"/>
            </w:pPr>
            <w:r>
              <w:t>Total Dissolved Solids, mg/L</w:t>
            </w:r>
          </w:p>
        </w:tc>
        <w:tc>
          <w:tcPr>
            <w:tcW w:w="2159" w:type="dxa"/>
          </w:tcPr>
          <w:p w14:paraId="18ED6720" w14:textId="77777777" w:rsidR="00DD5FEF" w:rsidRDefault="00DD5FEF" w:rsidP="008B5A7F">
            <w:pPr>
              <w:spacing w:before="120" w:after="120"/>
              <w:jc w:val="center"/>
            </w:pPr>
            <w:r>
              <w:t>500</w:t>
            </w:r>
          </w:p>
        </w:tc>
        <w:tc>
          <w:tcPr>
            <w:tcW w:w="2338" w:type="dxa"/>
          </w:tcPr>
          <w:p w14:paraId="6699F689" w14:textId="77777777" w:rsidR="00DD5FEF" w:rsidRDefault="00DD5FEF" w:rsidP="008B5A7F">
            <w:pPr>
              <w:spacing w:before="120" w:after="120"/>
              <w:jc w:val="center"/>
            </w:pPr>
            <w:r>
              <w:t>100</w:t>
            </w:r>
          </w:p>
        </w:tc>
        <w:tc>
          <w:tcPr>
            <w:tcW w:w="2338" w:type="dxa"/>
          </w:tcPr>
          <w:p w14:paraId="3B93E3A6" w14:textId="77777777" w:rsidR="00DD5FEF" w:rsidRDefault="00DD5FEF" w:rsidP="008B5A7F">
            <w:pPr>
              <w:spacing w:before="120" w:after="120"/>
              <w:jc w:val="center"/>
            </w:pPr>
            <w:r>
              <w:t>1,500</w:t>
            </w:r>
          </w:p>
        </w:tc>
      </w:tr>
      <w:tr w:rsidR="00DD5FEF" w14:paraId="26F888C7" w14:textId="77777777" w:rsidTr="008B5A7F">
        <w:tc>
          <w:tcPr>
            <w:tcW w:w="2515" w:type="dxa"/>
          </w:tcPr>
          <w:p w14:paraId="64FD1FC4" w14:textId="77777777" w:rsidR="00DD5FEF" w:rsidRDefault="00DD5FEF" w:rsidP="008B5A7F">
            <w:pPr>
              <w:spacing w:before="120" w:after="120"/>
            </w:pPr>
            <w:r>
              <w:t>Specific Conductance, µS/cm</w:t>
            </w:r>
          </w:p>
        </w:tc>
        <w:tc>
          <w:tcPr>
            <w:tcW w:w="2159" w:type="dxa"/>
          </w:tcPr>
          <w:p w14:paraId="5DB88B2D" w14:textId="77777777" w:rsidR="00DD5FEF" w:rsidRDefault="00DD5FEF" w:rsidP="008B5A7F">
            <w:pPr>
              <w:spacing w:before="120" w:after="120"/>
              <w:jc w:val="center"/>
            </w:pPr>
            <w:r>
              <w:t>900</w:t>
            </w:r>
          </w:p>
        </w:tc>
        <w:tc>
          <w:tcPr>
            <w:tcW w:w="2338" w:type="dxa"/>
          </w:tcPr>
          <w:p w14:paraId="0BC0298C" w14:textId="77777777" w:rsidR="00DD5FEF" w:rsidRDefault="00DD5FEF" w:rsidP="008B5A7F">
            <w:pPr>
              <w:spacing w:before="120" w:after="120"/>
              <w:jc w:val="center"/>
            </w:pPr>
            <w:r>
              <w:t>1,600</w:t>
            </w:r>
          </w:p>
        </w:tc>
        <w:tc>
          <w:tcPr>
            <w:tcW w:w="2338" w:type="dxa"/>
          </w:tcPr>
          <w:p w14:paraId="66069E6C" w14:textId="77777777" w:rsidR="00DD5FEF" w:rsidRDefault="00DD5FEF" w:rsidP="008B5A7F">
            <w:pPr>
              <w:spacing w:before="120" w:after="120"/>
              <w:jc w:val="center"/>
            </w:pPr>
            <w:r>
              <w:t>2,200</w:t>
            </w:r>
          </w:p>
        </w:tc>
      </w:tr>
      <w:tr w:rsidR="00DD5FEF" w14:paraId="35DA6281" w14:textId="77777777" w:rsidTr="008B5A7F">
        <w:tc>
          <w:tcPr>
            <w:tcW w:w="2515" w:type="dxa"/>
          </w:tcPr>
          <w:p w14:paraId="27A3F138" w14:textId="77777777" w:rsidR="00DD5FEF" w:rsidRDefault="00DD5FEF" w:rsidP="008B5A7F">
            <w:pPr>
              <w:spacing w:before="120" w:after="120"/>
            </w:pPr>
            <w:r>
              <w:t>Chloride, mg/L</w:t>
            </w:r>
          </w:p>
        </w:tc>
        <w:tc>
          <w:tcPr>
            <w:tcW w:w="2159" w:type="dxa"/>
          </w:tcPr>
          <w:p w14:paraId="5769AA4A" w14:textId="77777777" w:rsidR="00DD5FEF" w:rsidRDefault="00DD5FEF" w:rsidP="008B5A7F">
            <w:pPr>
              <w:spacing w:before="120" w:after="120"/>
              <w:jc w:val="center"/>
            </w:pPr>
            <w:r>
              <w:t>250</w:t>
            </w:r>
          </w:p>
        </w:tc>
        <w:tc>
          <w:tcPr>
            <w:tcW w:w="2338" w:type="dxa"/>
          </w:tcPr>
          <w:p w14:paraId="0BB6B486" w14:textId="77777777" w:rsidR="00DD5FEF" w:rsidRDefault="00DD5FEF" w:rsidP="008B5A7F">
            <w:pPr>
              <w:spacing w:before="120" w:after="120"/>
              <w:jc w:val="center"/>
            </w:pPr>
            <w:r>
              <w:t>500</w:t>
            </w:r>
          </w:p>
        </w:tc>
        <w:tc>
          <w:tcPr>
            <w:tcW w:w="2338" w:type="dxa"/>
          </w:tcPr>
          <w:p w14:paraId="7B3831C6" w14:textId="77777777" w:rsidR="00DD5FEF" w:rsidRDefault="00DD5FEF" w:rsidP="008B5A7F">
            <w:pPr>
              <w:spacing w:before="120" w:after="120"/>
              <w:jc w:val="center"/>
            </w:pPr>
            <w:r>
              <w:t>600</w:t>
            </w:r>
          </w:p>
        </w:tc>
      </w:tr>
      <w:tr w:rsidR="00DD5FEF" w14:paraId="3EACFB1B" w14:textId="77777777" w:rsidTr="008B5A7F">
        <w:tc>
          <w:tcPr>
            <w:tcW w:w="2515" w:type="dxa"/>
          </w:tcPr>
          <w:p w14:paraId="1601C628" w14:textId="77777777" w:rsidR="00DD5FEF" w:rsidRDefault="00DD5FEF" w:rsidP="008B5A7F">
            <w:pPr>
              <w:spacing w:before="120" w:after="120"/>
            </w:pPr>
            <w:r>
              <w:t>Sulfate, mg/L</w:t>
            </w:r>
          </w:p>
        </w:tc>
        <w:tc>
          <w:tcPr>
            <w:tcW w:w="2159" w:type="dxa"/>
          </w:tcPr>
          <w:p w14:paraId="5D1BB775" w14:textId="77777777" w:rsidR="00DD5FEF" w:rsidRDefault="00DD5FEF" w:rsidP="008B5A7F">
            <w:pPr>
              <w:spacing w:before="120" w:after="120"/>
              <w:jc w:val="center"/>
            </w:pPr>
            <w:r>
              <w:t>250</w:t>
            </w:r>
          </w:p>
        </w:tc>
        <w:tc>
          <w:tcPr>
            <w:tcW w:w="2338" w:type="dxa"/>
          </w:tcPr>
          <w:p w14:paraId="0B59F5EC" w14:textId="77777777" w:rsidR="00DD5FEF" w:rsidRDefault="00DD5FEF" w:rsidP="008B5A7F">
            <w:pPr>
              <w:spacing w:before="120" w:after="120"/>
              <w:jc w:val="center"/>
            </w:pPr>
            <w:r>
              <w:t>500</w:t>
            </w:r>
          </w:p>
        </w:tc>
        <w:tc>
          <w:tcPr>
            <w:tcW w:w="2338" w:type="dxa"/>
          </w:tcPr>
          <w:p w14:paraId="153C203A" w14:textId="77777777" w:rsidR="00DD5FEF" w:rsidRDefault="00DD5FEF" w:rsidP="008B5A7F">
            <w:pPr>
              <w:spacing w:before="120" w:after="120"/>
              <w:jc w:val="center"/>
            </w:pPr>
            <w:r>
              <w:t>600</w:t>
            </w:r>
          </w:p>
        </w:tc>
      </w:tr>
    </w:tbl>
    <w:p w14:paraId="21D45C93" w14:textId="1AAA2347" w:rsidR="00DD5FEF" w:rsidRDefault="00DD5FEF" w:rsidP="00D108D4">
      <w:pPr>
        <w:spacing w:before="240"/>
      </w:pPr>
      <w:r>
        <w:t>C</w:t>
      </w:r>
      <w:r w:rsidRPr="0030660A">
        <w:t xml:space="preserve">oncentrations of total dissolved solids, specific conductivity, chloride, and sulfate above the upper level of the </w:t>
      </w:r>
      <w:r w:rsidR="00677DA9">
        <w:t>SMCLs</w:t>
      </w:r>
      <w:r w:rsidRPr="0030660A">
        <w:t xml:space="preserve"> range in Table 64449-B were counted as exceedances. Concentrations below the recommended level of the </w:t>
      </w:r>
      <w:r w:rsidR="00180159">
        <w:t>SMCL</w:t>
      </w:r>
      <w:r w:rsidR="00E84B58">
        <w:t>s</w:t>
      </w:r>
      <w:r w:rsidRPr="0030660A">
        <w:t xml:space="preserve"> range were not counted as exceedances. For concentrations between the recommended and upper levels, a demonstration that it is not reasonable or feasible to achieve the lower (i.e., recommended) level is needed to determine the appropriate threshold and identify if there are any exceedances. Without a demonstration of achievability, the level to use as the objective for </w:t>
      </w:r>
      <w:r w:rsidR="0036741F">
        <w:t>i</w:t>
      </w:r>
      <w:r w:rsidRPr="0030660A">
        <w:t xml:space="preserve">ntegrated </w:t>
      </w:r>
      <w:r w:rsidR="0036741F">
        <w:t>r</w:t>
      </w:r>
      <w:r w:rsidRPr="0030660A">
        <w:t xml:space="preserve">eport purposes is uncertain. Therefore, in such circumstances, concentrations between the recommended and upper levels were not counted as exceedances but were considered as evidence to place a waterbody </w:t>
      </w:r>
      <w:r w:rsidR="000B1659">
        <w:t>segment</w:t>
      </w:r>
      <w:r w:rsidRPr="0030660A">
        <w:t xml:space="preserve"> in Category 3, indicating there is insufficient data and/or information to make a beneficial use support determination but data and/or information indicates beneficial uses may be potentially threatened. </w:t>
      </w:r>
      <w:r w:rsidR="00E877F3" w:rsidRPr="0030660A">
        <w:t>For the 202</w:t>
      </w:r>
      <w:r w:rsidR="00E877F3">
        <w:t>6</w:t>
      </w:r>
      <w:r w:rsidR="00E877F3" w:rsidRPr="0030660A">
        <w:t xml:space="preserve"> California Integrated Report, data were reassessed for </w:t>
      </w:r>
      <w:r w:rsidR="00E877F3">
        <w:t>waterbody segments</w:t>
      </w:r>
      <w:r w:rsidR="00E877F3" w:rsidRPr="0030660A">
        <w:t xml:space="preserve"> in the </w:t>
      </w:r>
      <w:r w:rsidR="00E877F3">
        <w:t>Joaquin River Basin</w:t>
      </w:r>
      <w:r w:rsidR="00E877F3" w:rsidRPr="0030660A">
        <w:t xml:space="preserve"> </w:t>
      </w:r>
      <w:r w:rsidR="00E877F3">
        <w:t xml:space="preserve">and Tulare Lake Basin </w:t>
      </w:r>
      <w:r w:rsidR="00E877F3" w:rsidRPr="0030660A">
        <w:t>as described above</w:t>
      </w:r>
      <w:r w:rsidR="00E877F3">
        <w:t>.</w:t>
      </w:r>
    </w:p>
    <w:p w14:paraId="25C0A017" w14:textId="171D51C7" w:rsidR="007710C3" w:rsidRPr="004502A9" w:rsidRDefault="007710C3" w:rsidP="00597DE8">
      <w:pPr>
        <w:pStyle w:val="Heading2"/>
      </w:pPr>
      <w:bookmarkStart w:id="174" w:name="_Toc189048628"/>
      <w:r>
        <w:t xml:space="preserve">Central Valley Region 303(d) </w:t>
      </w:r>
      <w:r w:rsidR="00C44456">
        <w:t>“</w:t>
      </w:r>
      <w:r>
        <w:t>List</w:t>
      </w:r>
      <w:r w:rsidR="00C44456">
        <w:t>” and “Delist”</w:t>
      </w:r>
      <w:r w:rsidR="00BE076A">
        <w:t xml:space="preserve"> Decisions</w:t>
      </w:r>
      <w:bookmarkEnd w:id="174"/>
    </w:p>
    <w:p w14:paraId="07BCC322" w14:textId="5B4FE368" w:rsidR="002D75D0" w:rsidRDefault="002D75D0" w:rsidP="00617CC0">
      <w:r>
        <w:t xml:space="preserve">There are </w:t>
      </w:r>
      <w:r w:rsidR="00E11351">
        <w:rPr>
          <w:rFonts w:cs="Arial"/>
        </w:rPr>
        <w:t xml:space="preserve">149 </w:t>
      </w:r>
      <w:r>
        <w:t>new “List” Decisions for waterbody-pollutant combinations in th</w:t>
      </w:r>
      <w:r w:rsidR="005C3CB0">
        <w:t>e</w:t>
      </w:r>
      <w:r w:rsidR="005C3CB0" w:rsidRPr="005C3CB0">
        <w:t xml:space="preserve"> </w:t>
      </w:r>
      <w:r w:rsidR="005C3CB0">
        <w:t>Central Valley</w:t>
      </w:r>
      <w:r>
        <w:t xml:space="preserve"> Region and </w:t>
      </w:r>
      <w:r w:rsidR="007449E4">
        <w:rPr>
          <w:rFonts w:cs="Arial"/>
        </w:rPr>
        <w:t>7</w:t>
      </w:r>
      <w:r w:rsidR="00E11351">
        <w:rPr>
          <w:rFonts w:cs="Arial"/>
        </w:rPr>
        <w:t>5</w:t>
      </w:r>
      <w:r>
        <w:t xml:space="preserve"> “Delist” Decisions for waterbody-pollutant combinations. If approved by the USEPA as recommended, the </w:t>
      </w:r>
      <w:r w:rsidR="005C3CB0">
        <w:t xml:space="preserve">Central Valley </w:t>
      </w:r>
      <w:r>
        <w:t xml:space="preserve">Region’s 303(d) list would be revised to have a total of </w:t>
      </w:r>
      <w:r w:rsidR="00E11351">
        <w:rPr>
          <w:rFonts w:cs="Arial"/>
        </w:rPr>
        <w:t>1,320</w:t>
      </w:r>
      <w:r w:rsidR="007449E4">
        <w:t xml:space="preserve"> </w:t>
      </w:r>
      <w:r>
        <w:t xml:space="preserve">waterbody-pollutant combinations on the 303(d) list. Tables </w:t>
      </w:r>
      <w:r w:rsidR="006C54B3">
        <w:t>6</w:t>
      </w:r>
      <w:r w:rsidR="00C825CE">
        <w:t>-2</w:t>
      </w:r>
      <w:r>
        <w:t xml:space="preserve"> and </w:t>
      </w:r>
      <w:r w:rsidR="006C54B3">
        <w:t>6</w:t>
      </w:r>
      <w:r w:rsidR="00C825CE">
        <w:t>-3</w:t>
      </w:r>
      <w:r>
        <w:t xml:space="preserve"> below summarize new “List” and “Delist” Decisions by pollutant category for the 2026 California Integrated Report. A list of individual Decisions can be found in Appendix A: 2026 303(d) List of Impaired Waters. </w:t>
      </w:r>
    </w:p>
    <w:p w14:paraId="30A56B8C" w14:textId="5B896F8C" w:rsidR="00D00763" w:rsidRDefault="00D00763" w:rsidP="00D00763">
      <w:pPr>
        <w:pStyle w:val="Caption"/>
        <w:keepNext/>
      </w:pPr>
      <w:bookmarkStart w:id="175" w:name="_Toc118386798"/>
      <w:bookmarkStart w:id="176" w:name="_Toc118386830"/>
      <w:r>
        <w:t xml:space="preserve">Table </w:t>
      </w:r>
      <w:r w:rsidR="00AB32F5">
        <w:t>6</w:t>
      </w:r>
      <w:r>
        <w:noBreakHyphen/>
      </w:r>
      <w:r w:rsidR="0067600D">
        <w:t>2</w:t>
      </w:r>
      <w:r>
        <w:t xml:space="preserve">: </w:t>
      </w:r>
      <w:bookmarkStart w:id="177" w:name="_Hlk179193601"/>
      <w:r w:rsidRPr="00DE5CB7">
        <w:t xml:space="preserve">Summary of Central Valley </w:t>
      </w:r>
      <w:r w:rsidR="00176B40">
        <w:t>Region</w:t>
      </w:r>
      <w:r w:rsidR="00735D90">
        <w:t>al Water Board</w:t>
      </w:r>
      <w:r w:rsidR="00176B40">
        <w:t xml:space="preserve"> </w:t>
      </w:r>
      <w:r w:rsidRPr="00DE5CB7">
        <w:t>Waterbody</w:t>
      </w:r>
      <w:r w:rsidR="0066244A">
        <w:t>-</w:t>
      </w:r>
      <w:r w:rsidRPr="00DE5CB7">
        <w:t xml:space="preserve">Pollutant Combination </w:t>
      </w:r>
      <w:r w:rsidR="002D5AC9">
        <w:t>“List”</w:t>
      </w:r>
      <w:r w:rsidRPr="00DE5CB7">
        <w:t xml:space="preserve"> </w:t>
      </w:r>
      <w:r w:rsidR="00556350">
        <w:t>Decisions</w:t>
      </w:r>
      <w:r w:rsidR="00556350" w:rsidRPr="00DE5CB7">
        <w:t xml:space="preserve"> </w:t>
      </w:r>
      <w:r w:rsidRPr="00DE5CB7">
        <w:t>by Pollutant Category</w:t>
      </w:r>
      <w:bookmarkEnd w:id="175"/>
      <w:bookmarkEnd w:id="176"/>
    </w:p>
    <w:tbl>
      <w:tblPr>
        <w:tblStyle w:val="AccblTable"/>
        <w:tblW w:w="9653" w:type="dxa"/>
        <w:tblLayout w:type="fixed"/>
        <w:tblCellMar>
          <w:top w:w="115" w:type="dxa"/>
          <w:bottom w:w="115" w:type="dxa"/>
        </w:tblCellMar>
        <w:tblLook w:val="04A0" w:firstRow="1" w:lastRow="0" w:firstColumn="1" w:lastColumn="0" w:noHBand="0" w:noVBand="1"/>
        <w:tblCaption w:val="Summary of Central Valley Regional Water Board WWaterbody-Pollutant Combination &quot;List&quot; Decisions by Pollutant Category"/>
        <w:tblDescription w:val="This table lists new recommended 303(d) listings for pollutants in the Central Valley Region.  It lists the waterbody-pollutant category, the number of new list decisions, number of new list decisions changed from previous cycle listings, and the total. "/>
      </w:tblPr>
      <w:tblGrid>
        <w:gridCol w:w="2885"/>
        <w:gridCol w:w="2664"/>
        <w:gridCol w:w="2664"/>
        <w:gridCol w:w="1440"/>
      </w:tblGrid>
      <w:tr w:rsidR="00181469" w14:paraId="2CFFEE59" w14:textId="77777777" w:rsidTr="00F00531">
        <w:trPr>
          <w:cnfStyle w:val="100000000000" w:firstRow="1" w:lastRow="0" w:firstColumn="0" w:lastColumn="0" w:oddVBand="0" w:evenVBand="0" w:oddHBand="0" w:evenHBand="0" w:firstRowFirstColumn="0" w:firstRowLastColumn="0" w:lastRowFirstColumn="0" w:lastRowLastColumn="0"/>
        </w:trPr>
        <w:tc>
          <w:tcPr>
            <w:tcW w:w="2885" w:type="dxa"/>
          </w:tcPr>
          <w:bookmarkEnd w:id="177"/>
          <w:p w14:paraId="45787928" w14:textId="57A64C98" w:rsidR="00617CC0" w:rsidRDefault="00617CC0" w:rsidP="00F00531">
            <w:pPr>
              <w:spacing w:after="0"/>
            </w:pPr>
            <w:r>
              <w:t>Pollutant Category</w:t>
            </w:r>
          </w:p>
        </w:tc>
        <w:tc>
          <w:tcPr>
            <w:tcW w:w="2664" w:type="dxa"/>
          </w:tcPr>
          <w:p w14:paraId="39CCCA60" w14:textId="3E6952B4" w:rsidR="00617CC0" w:rsidRDefault="008E0C88" w:rsidP="00F00531">
            <w:pPr>
              <w:spacing w:after="0"/>
            </w:pPr>
            <w:r>
              <w:t xml:space="preserve">Number of New </w:t>
            </w:r>
            <w:r w:rsidR="0065792E">
              <w:t>“</w:t>
            </w:r>
            <w:r w:rsidR="002D5AC9">
              <w:t>List”</w:t>
            </w:r>
            <w:r>
              <w:t xml:space="preserve"> </w:t>
            </w:r>
            <w:r w:rsidR="00150751">
              <w:t>Decisions</w:t>
            </w:r>
            <w:r>
              <w:rPr>
                <w:rStyle w:val="FootnoteReference"/>
              </w:rPr>
              <w:footnoteReference w:id="15"/>
            </w:r>
            <w:r>
              <w:t xml:space="preserve"> </w:t>
            </w:r>
          </w:p>
        </w:tc>
        <w:tc>
          <w:tcPr>
            <w:tcW w:w="2664" w:type="dxa"/>
          </w:tcPr>
          <w:p w14:paraId="007C8C5C" w14:textId="5EC74456" w:rsidR="00617CC0" w:rsidRDefault="008E0C88" w:rsidP="00F00531">
            <w:pPr>
              <w:spacing w:after="0"/>
            </w:pPr>
            <w:r>
              <w:t xml:space="preserve">Number of New </w:t>
            </w:r>
            <w:r w:rsidR="002D5AC9">
              <w:t>“List”</w:t>
            </w:r>
            <w:r>
              <w:t xml:space="preserve"> </w:t>
            </w:r>
            <w:r w:rsidR="00150751">
              <w:t xml:space="preserve">Decisions </w:t>
            </w:r>
            <w:r>
              <w:t xml:space="preserve">Changed from Previous </w:t>
            </w:r>
            <w:r w:rsidR="003C5911">
              <w:t xml:space="preserve">Listing </w:t>
            </w:r>
            <w:r>
              <w:t>Cycle</w:t>
            </w:r>
            <w:r>
              <w:rPr>
                <w:rStyle w:val="FootnoteReference"/>
              </w:rPr>
              <w:footnoteReference w:id="16"/>
            </w:r>
          </w:p>
        </w:tc>
        <w:tc>
          <w:tcPr>
            <w:tcW w:w="1440" w:type="dxa"/>
          </w:tcPr>
          <w:p w14:paraId="452163D6" w14:textId="28A7A5D5" w:rsidR="00617CC0" w:rsidRDefault="00617CC0" w:rsidP="00F00531">
            <w:pPr>
              <w:spacing w:after="0"/>
            </w:pPr>
            <w:r>
              <w:t xml:space="preserve">Total </w:t>
            </w:r>
          </w:p>
        </w:tc>
      </w:tr>
      <w:tr w:rsidR="006D2BCC" w14:paraId="120A4E9B" w14:textId="77777777" w:rsidTr="00272061">
        <w:tc>
          <w:tcPr>
            <w:tcW w:w="2885" w:type="dxa"/>
            <w:vAlign w:val="top"/>
          </w:tcPr>
          <w:p w14:paraId="716796F5" w14:textId="01E4B005" w:rsidR="006D2BCC" w:rsidRDefault="00D3198E" w:rsidP="006D2BCC">
            <w:pPr>
              <w:spacing w:after="0"/>
            </w:pPr>
            <w:r>
              <w:t>Metals</w:t>
            </w:r>
          </w:p>
        </w:tc>
        <w:tc>
          <w:tcPr>
            <w:tcW w:w="2664" w:type="dxa"/>
          </w:tcPr>
          <w:p w14:paraId="2E1731E9" w14:textId="0C58163B" w:rsidR="006D2BCC" w:rsidRDefault="000A7F4D" w:rsidP="006D2BCC">
            <w:pPr>
              <w:spacing w:after="0"/>
              <w:jc w:val="center"/>
            </w:pPr>
            <w:r>
              <w:t>4</w:t>
            </w:r>
          </w:p>
        </w:tc>
        <w:tc>
          <w:tcPr>
            <w:tcW w:w="2664" w:type="dxa"/>
          </w:tcPr>
          <w:p w14:paraId="4AE289B1" w14:textId="65927360" w:rsidR="006D2BCC" w:rsidRDefault="00506718" w:rsidP="006D2BCC">
            <w:pPr>
              <w:spacing w:after="0"/>
              <w:jc w:val="center"/>
            </w:pPr>
            <w:r>
              <w:t>29</w:t>
            </w:r>
          </w:p>
        </w:tc>
        <w:tc>
          <w:tcPr>
            <w:tcW w:w="1440" w:type="dxa"/>
          </w:tcPr>
          <w:p w14:paraId="6FC9212A" w14:textId="3E610703" w:rsidR="006D2BCC" w:rsidRDefault="000D6E61" w:rsidP="006D2BCC">
            <w:pPr>
              <w:spacing w:after="0"/>
              <w:jc w:val="center"/>
            </w:pPr>
            <w:r>
              <w:t>33</w:t>
            </w:r>
          </w:p>
        </w:tc>
      </w:tr>
      <w:tr w:rsidR="006D2BCC" w14:paraId="0BADF819" w14:textId="77777777" w:rsidTr="00272061">
        <w:tc>
          <w:tcPr>
            <w:tcW w:w="2885" w:type="dxa"/>
            <w:vAlign w:val="top"/>
          </w:tcPr>
          <w:p w14:paraId="30765E03" w14:textId="3D416817" w:rsidR="006D2BCC" w:rsidRDefault="00D3198E" w:rsidP="006D2BCC">
            <w:pPr>
              <w:spacing w:after="0"/>
            </w:pPr>
            <w:r>
              <w:t>Nutrients (including dissolved oxygen)</w:t>
            </w:r>
          </w:p>
        </w:tc>
        <w:tc>
          <w:tcPr>
            <w:tcW w:w="2664" w:type="dxa"/>
          </w:tcPr>
          <w:p w14:paraId="48015A6D" w14:textId="054A22AD" w:rsidR="006D2BCC" w:rsidRDefault="00386BB3" w:rsidP="006D2BCC">
            <w:pPr>
              <w:spacing w:after="0"/>
              <w:jc w:val="center"/>
            </w:pPr>
            <w:r>
              <w:t>2</w:t>
            </w:r>
          </w:p>
        </w:tc>
        <w:tc>
          <w:tcPr>
            <w:tcW w:w="2664" w:type="dxa"/>
          </w:tcPr>
          <w:p w14:paraId="76F6F06B" w14:textId="19BFDFCB" w:rsidR="006D2BCC" w:rsidRDefault="006513E9" w:rsidP="006D2BCC">
            <w:pPr>
              <w:spacing w:after="0"/>
              <w:jc w:val="center"/>
            </w:pPr>
            <w:r>
              <w:t>4</w:t>
            </w:r>
          </w:p>
        </w:tc>
        <w:tc>
          <w:tcPr>
            <w:tcW w:w="1440" w:type="dxa"/>
          </w:tcPr>
          <w:p w14:paraId="7A723D7E" w14:textId="21F9DD7A" w:rsidR="006D2BCC" w:rsidRDefault="00001453" w:rsidP="006D2BCC">
            <w:pPr>
              <w:spacing w:after="0"/>
              <w:jc w:val="center"/>
            </w:pPr>
            <w:r>
              <w:t>6</w:t>
            </w:r>
          </w:p>
        </w:tc>
      </w:tr>
      <w:tr w:rsidR="006D2BCC" w14:paraId="2F6EB166" w14:textId="77777777" w:rsidTr="00272061">
        <w:tc>
          <w:tcPr>
            <w:tcW w:w="2885" w:type="dxa"/>
            <w:vAlign w:val="top"/>
          </w:tcPr>
          <w:p w14:paraId="2C138B29" w14:textId="1142FDA6" w:rsidR="006D2BCC" w:rsidRDefault="00D3198E" w:rsidP="006D2BCC">
            <w:pPr>
              <w:spacing w:after="0"/>
            </w:pPr>
            <w:r>
              <w:t>Other Cause</w:t>
            </w:r>
          </w:p>
        </w:tc>
        <w:tc>
          <w:tcPr>
            <w:tcW w:w="2664" w:type="dxa"/>
          </w:tcPr>
          <w:p w14:paraId="04CE6097" w14:textId="22D3F41C" w:rsidR="006D2BCC" w:rsidRDefault="00A37EE9" w:rsidP="006D2BCC">
            <w:pPr>
              <w:spacing w:after="0"/>
              <w:jc w:val="center"/>
            </w:pPr>
            <w:r>
              <w:t>1</w:t>
            </w:r>
            <w:r w:rsidR="00371C63">
              <w:t>5</w:t>
            </w:r>
          </w:p>
        </w:tc>
        <w:tc>
          <w:tcPr>
            <w:tcW w:w="2664" w:type="dxa"/>
          </w:tcPr>
          <w:p w14:paraId="7C5C3946" w14:textId="38489C28" w:rsidR="006D2BCC" w:rsidRDefault="00371C63" w:rsidP="006D2BCC">
            <w:pPr>
              <w:spacing w:after="0"/>
              <w:jc w:val="center"/>
            </w:pPr>
            <w:r>
              <w:t>7</w:t>
            </w:r>
          </w:p>
        </w:tc>
        <w:tc>
          <w:tcPr>
            <w:tcW w:w="1440" w:type="dxa"/>
          </w:tcPr>
          <w:p w14:paraId="790E2A03" w14:textId="549B7708" w:rsidR="006D2BCC" w:rsidRDefault="00371C63" w:rsidP="006D2BCC">
            <w:pPr>
              <w:spacing w:after="0"/>
              <w:jc w:val="center"/>
            </w:pPr>
            <w:r>
              <w:t>22</w:t>
            </w:r>
          </w:p>
        </w:tc>
      </w:tr>
      <w:tr w:rsidR="006D2BCC" w14:paraId="29D21FAD" w14:textId="77777777" w:rsidTr="00D3198E">
        <w:tc>
          <w:tcPr>
            <w:tcW w:w="2885" w:type="dxa"/>
            <w:vAlign w:val="top"/>
          </w:tcPr>
          <w:p w14:paraId="449856B8" w14:textId="520971C4" w:rsidR="006D2BCC" w:rsidRDefault="006D2BCC" w:rsidP="006D2BCC">
            <w:pPr>
              <w:spacing w:after="0"/>
            </w:pPr>
            <w:r>
              <w:t>Pathogens/Bacteria</w:t>
            </w:r>
          </w:p>
        </w:tc>
        <w:tc>
          <w:tcPr>
            <w:tcW w:w="2664" w:type="dxa"/>
          </w:tcPr>
          <w:p w14:paraId="2343A152" w14:textId="12DF95CF" w:rsidR="006D2BCC" w:rsidRDefault="00D73C11" w:rsidP="006D2BCC">
            <w:pPr>
              <w:spacing w:after="0"/>
              <w:jc w:val="center"/>
            </w:pPr>
            <w:r>
              <w:t>0</w:t>
            </w:r>
          </w:p>
        </w:tc>
        <w:tc>
          <w:tcPr>
            <w:tcW w:w="2664" w:type="dxa"/>
          </w:tcPr>
          <w:p w14:paraId="74907D69" w14:textId="011E247A" w:rsidR="006D2BCC" w:rsidRDefault="006F653C" w:rsidP="006D2BCC">
            <w:pPr>
              <w:spacing w:after="0"/>
              <w:jc w:val="center"/>
            </w:pPr>
            <w:r>
              <w:t>1</w:t>
            </w:r>
          </w:p>
        </w:tc>
        <w:tc>
          <w:tcPr>
            <w:tcW w:w="1440" w:type="dxa"/>
          </w:tcPr>
          <w:p w14:paraId="66280EF1" w14:textId="0620A40E" w:rsidR="006D2BCC" w:rsidRDefault="00001453" w:rsidP="006D2BCC">
            <w:pPr>
              <w:spacing w:after="0"/>
              <w:jc w:val="center"/>
            </w:pPr>
            <w:r>
              <w:t>1</w:t>
            </w:r>
          </w:p>
        </w:tc>
      </w:tr>
      <w:tr w:rsidR="006D2BCC" w14:paraId="445DF9A5" w14:textId="77777777" w:rsidTr="00272061">
        <w:tc>
          <w:tcPr>
            <w:tcW w:w="2885" w:type="dxa"/>
          </w:tcPr>
          <w:p w14:paraId="7D15E771" w14:textId="4F5E4957" w:rsidR="006D2BCC" w:rsidRDefault="006D2BCC" w:rsidP="006D2BCC">
            <w:pPr>
              <w:spacing w:after="0"/>
            </w:pPr>
            <w:r>
              <w:t>Pesticides</w:t>
            </w:r>
          </w:p>
        </w:tc>
        <w:tc>
          <w:tcPr>
            <w:tcW w:w="2664" w:type="dxa"/>
          </w:tcPr>
          <w:p w14:paraId="4C5CD1B6" w14:textId="2B56CF77" w:rsidR="006D2BCC" w:rsidRDefault="00127E74" w:rsidP="006D2BCC">
            <w:pPr>
              <w:spacing w:after="0"/>
              <w:jc w:val="center"/>
            </w:pPr>
            <w:r>
              <w:t>21</w:t>
            </w:r>
          </w:p>
        </w:tc>
        <w:tc>
          <w:tcPr>
            <w:tcW w:w="2664" w:type="dxa"/>
          </w:tcPr>
          <w:p w14:paraId="1FE6101B" w14:textId="3C61C5BF" w:rsidR="006D2BCC" w:rsidRDefault="00506718" w:rsidP="006D2BCC">
            <w:pPr>
              <w:spacing w:after="0"/>
              <w:jc w:val="center"/>
            </w:pPr>
            <w:r>
              <w:t>40</w:t>
            </w:r>
          </w:p>
        </w:tc>
        <w:tc>
          <w:tcPr>
            <w:tcW w:w="1440" w:type="dxa"/>
          </w:tcPr>
          <w:p w14:paraId="58049F3E" w14:textId="0DEC0F19" w:rsidR="006D2BCC" w:rsidRDefault="000D6E61" w:rsidP="006D2BCC">
            <w:pPr>
              <w:spacing w:after="0"/>
              <w:jc w:val="center"/>
            </w:pPr>
            <w:r>
              <w:t>61</w:t>
            </w:r>
          </w:p>
        </w:tc>
      </w:tr>
      <w:tr w:rsidR="006D2BCC" w14:paraId="7DE13745" w14:textId="77777777" w:rsidTr="00D3198E">
        <w:tc>
          <w:tcPr>
            <w:tcW w:w="2885" w:type="dxa"/>
          </w:tcPr>
          <w:p w14:paraId="643F0CE6" w14:textId="6F305FFA" w:rsidR="006D2BCC" w:rsidRDefault="00D3198E" w:rsidP="006D2BCC">
            <w:pPr>
              <w:spacing w:after="0"/>
            </w:pPr>
            <w:r>
              <w:t>Salinity/Total Dissolved Solids/Chlorides/Sulfates</w:t>
            </w:r>
          </w:p>
        </w:tc>
        <w:tc>
          <w:tcPr>
            <w:tcW w:w="2664" w:type="dxa"/>
          </w:tcPr>
          <w:p w14:paraId="61DECB37" w14:textId="6C7D33CA" w:rsidR="006D2BCC" w:rsidRDefault="003C2393" w:rsidP="006D2BCC">
            <w:pPr>
              <w:spacing w:after="0"/>
              <w:jc w:val="center"/>
            </w:pPr>
            <w:r>
              <w:t>3</w:t>
            </w:r>
          </w:p>
        </w:tc>
        <w:tc>
          <w:tcPr>
            <w:tcW w:w="2664" w:type="dxa"/>
          </w:tcPr>
          <w:p w14:paraId="3B26D9E4" w14:textId="30991326" w:rsidR="006D2BCC" w:rsidRDefault="003F28B2" w:rsidP="006D2BCC">
            <w:pPr>
              <w:spacing w:after="0"/>
              <w:jc w:val="center"/>
            </w:pPr>
            <w:r>
              <w:t>17</w:t>
            </w:r>
          </w:p>
        </w:tc>
        <w:tc>
          <w:tcPr>
            <w:tcW w:w="1440" w:type="dxa"/>
          </w:tcPr>
          <w:p w14:paraId="5C81E2A8" w14:textId="54342F9E" w:rsidR="006D2BCC" w:rsidRDefault="00580B31" w:rsidP="006D2BCC">
            <w:pPr>
              <w:spacing w:after="0"/>
              <w:jc w:val="center"/>
            </w:pPr>
            <w:r>
              <w:t>20</w:t>
            </w:r>
          </w:p>
        </w:tc>
      </w:tr>
      <w:tr w:rsidR="003C2393" w14:paraId="610DD942" w14:textId="77777777" w:rsidTr="00D3198E">
        <w:tc>
          <w:tcPr>
            <w:tcW w:w="2885" w:type="dxa"/>
          </w:tcPr>
          <w:p w14:paraId="1299C5AA" w14:textId="76510CF7" w:rsidR="003C2393" w:rsidRDefault="003C2393" w:rsidP="00D3198E">
            <w:pPr>
              <w:spacing w:after="0"/>
            </w:pPr>
            <w:r>
              <w:t>Total Toxics</w:t>
            </w:r>
          </w:p>
        </w:tc>
        <w:tc>
          <w:tcPr>
            <w:tcW w:w="2664" w:type="dxa"/>
          </w:tcPr>
          <w:p w14:paraId="3040C0A2" w14:textId="1BD86A14" w:rsidR="003C2393" w:rsidRDefault="003C2393" w:rsidP="00D3198E">
            <w:pPr>
              <w:spacing w:after="0"/>
              <w:jc w:val="center"/>
            </w:pPr>
            <w:r>
              <w:t>2</w:t>
            </w:r>
          </w:p>
        </w:tc>
        <w:tc>
          <w:tcPr>
            <w:tcW w:w="2664" w:type="dxa"/>
          </w:tcPr>
          <w:p w14:paraId="3F2AD155" w14:textId="311EAC2F" w:rsidR="003C2393" w:rsidRDefault="0016558C" w:rsidP="00D3198E">
            <w:pPr>
              <w:spacing w:after="0"/>
              <w:jc w:val="center"/>
            </w:pPr>
            <w:r>
              <w:t>0</w:t>
            </w:r>
          </w:p>
        </w:tc>
        <w:tc>
          <w:tcPr>
            <w:tcW w:w="1440" w:type="dxa"/>
          </w:tcPr>
          <w:p w14:paraId="68AD727B" w14:textId="4583B097" w:rsidR="003C2393" w:rsidRDefault="00580B31" w:rsidP="00D3198E">
            <w:pPr>
              <w:spacing w:after="0"/>
              <w:jc w:val="center"/>
            </w:pPr>
            <w:r>
              <w:t>2</w:t>
            </w:r>
          </w:p>
        </w:tc>
      </w:tr>
      <w:tr w:rsidR="006D2BCC" w14:paraId="28CCF8AC" w14:textId="77777777" w:rsidTr="00272061">
        <w:tc>
          <w:tcPr>
            <w:tcW w:w="2885" w:type="dxa"/>
            <w:vAlign w:val="top"/>
          </w:tcPr>
          <w:p w14:paraId="291F1DBF" w14:textId="07B589CA" w:rsidR="006D2BCC" w:rsidRPr="00A67D5B" w:rsidRDefault="00885421" w:rsidP="006D2BCC">
            <w:pPr>
              <w:spacing w:after="0"/>
              <w:rPr>
                <w:rFonts w:cs="Arial"/>
                <w:color w:val="000000"/>
                <w:szCs w:val="24"/>
              </w:rPr>
            </w:pPr>
            <w:r>
              <w:t>Toxic Organics</w:t>
            </w:r>
          </w:p>
        </w:tc>
        <w:tc>
          <w:tcPr>
            <w:tcW w:w="2664" w:type="dxa"/>
          </w:tcPr>
          <w:p w14:paraId="29C4E561" w14:textId="340BFC56" w:rsidR="006D2BCC" w:rsidRDefault="00127E74" w:rsidP="006D2BCC">
            <w:pPr>
              <w:spacing w:after="0"/>
              <w:jc w:val="center"/>
            </w:pPr>
            <w:r>
              <w:t>1</w:t>
            </w:r>
          </w:p>
        </w:tc>
        <w:tc>
          <w:tcPr>
            <w:tcW w:w="2664" w:type="dxa"/>
          </w:tcPr>
          <w:p w14:paraId="01A08E89" w14:textId="783C9571" w:rsidR="006D2BCC" w:rsidRDefault="0016558C" w:rsidP="006D2BCC">
            <w:pPr>
              <w:spacing w:after="0"/>
              <w:jc w:val="center"/>
            </w:pPr>
            <w:r>
              <w:t>3</w:t>
            </w:r>
          </w:p>
        </w:tc>
        <w:tc>
          <w:tcPr>
            <w:tcW w:w="1440" w:type="dxa"/>
          </w:tcPr>
          <w:p w14:paraId="0788DE83" w14:textId="6B325934" w:rsidR="006D2BCC" w:rsidRDefault="00127233" w:rsidP="006D2BCC">
            <w:pPr>
              <w:spacing w:after="0"/>
              <w:jc w:val="center"/>
            </w:pPr>
            <w:r>
              <w:t>4</w:t>
            </w:r>
          </w:p>
        </w:tc>
      </w:tr>
      <w:tr w:rsidR="004C6A31" w14:paraId="09454407" w14:textId="77777777" w:rsidTr="00272061">
        <w:tc>
          <w:tcPr>
            <w:tcW w:w="2885" w:type="dxa"/>
            <w:vAlign w:val="top"/>
          </w:tcPr>
          <w:p w14:paraId="0C868350" w14:textId="41036EF3" w:rsidR="004C6A31" w:rsidRPr="004C6A31" w:rsidRDefault="004C6A31" w:rsidP="006D2BCC">
            <w:pPr>
              <w:spacing w:after="0"/>
              <w:rPr>
                <w:b/>
                <w:bCs/>
              </w:rPr>
            </w:pPr>
            <w:r w:rsidRPr="004C6A31">
              <w:rPr>
                <w:b/>
                <w:bCs/>
              </w:rPr>
              <w:t>Totals</w:t>
            </w:r>
          </w:p>
        </w:tc>
        <w:tc>
          <w:tcPr>
            <w:tcW w:w="2664" w:type="dxa"/>
          </w:tcPr>
          <w:p w14:paraId="1F684E6F" w14:textId="0594FDEE" w:rsidR="004C6A31" w:rsidRPr="00021206" w:rsidRDefault="00A40F95" w:rsidP="006D2BCC">
            <w:pPr>
              <w:spacing w:after="0"/>
              <w:jc w:val="center"/>
              <w:rPr>
                <w:b/>
                <w:bCs/>
              </w:rPr>
            </w:pPr>
            <w:r>
              <w:rPr>
                <w:b/>
                <w:bCs/>
              </w:rPr>
              <w:t>4</w:t>
            </w:r>
            <w:r w:rsidR="007836EB">
              <w:rPr>
                <w:b/>
                <w:bCs/>
              </w:rPr>
              <w:t>8</w:t>
            </w:r>
          </w:p>
        </w:tc>
        <w:tc>
          <w:tcPr>
            <w:tcW w:w="2664" w:type="dxa"/>
          </w:tcPr>
          <w:p w14:paraId="7F95BEE7" w14:textId="3FDE4570" w:rsidR="004C6A31" w:rsidRPr="0050340A" w:rsidRDefault="005F3B9F" w:rsidP="006D2BCC">
            <w:pPr>
              <w:spacing w:after="0"/>
              <w:jc w:val="center"/>
              <w:rPr>
                <w:b/>
                <w:bCs/>
              </w:rPr>
            </w:pPr>
            <w:r>
              <w:rPr>
                <w:b/>
                <w:bCs/>
              </w:rPr>
              <w:t>101</w:t>
            </w:r>
          </w:p>
        </w:tc>
        <w:tc>
          <w:tcPr>
            <w:tcW w:w="1440" w:type="dxa"/>
          </w:tcPr>
          <w:p w14:paraId="2EC9A82B" w14:textId="4D1AB972" w:rsidR="004C6A31" w:rsidRPr="0063782B" w:rsidRDefault="003A3661" w:rsidP="006D2BCC">
            <w:pPr>
              <w:spacing w:after="0"/>
              <w:jc w:val="center"/>
              <w:rPr>
                <w:b/>
                <w:bCs/>
              </w:rPr>
            </w:pPr>
            <w:r>
              <w:rPr>
                <w:b/>
                <w:bCs/>
              </w:rPr>
              <w:t>1</w:t>
            </w:r>
            <w:r w:rsidR="005F3B9F">
              <w:rPr>
                <w:b/>
                <w:bCs/>
              </w:rPr>
              <w:t>49</w:t>
            </w:r>
          </w:p>
        </w:tc>
      </w:tr>
    </w:tbl>
    <w:p w14:paraId="262F4820" w14:textId="27457BD7" w:rsidR="00D00763" w:rsidRDefault="00D00763" w:rsidP="00BA4DA1">
      <w:pPr>
        <w:pStyle w:val="Caption"/>
        <w:keepNext/>
        <w:spacing w:before="360"/>
      </w:pPr>
      <w:bookmarkStart w:id="178" w:name="_Toc118386799"/>
      <w:bookmarkStart w:id="179" w:name="_Toc118386831"/>
      <w:r>
        <w:t xml:space="preserve">Table </w:t>
      </w:r>
      <w:r w:rsidR="00AB32F5">
        <w:t>6</w:t>
      </w:r>
      <w:r>
        <w:noBreakHyphen/>
      </w:r>
      <w:r w:rsidR="00B159C0">
        <w:t>3</w:t>
      </w:r>
      <w:r>
        <w:t xml:space="preserve">: </w:t>
      </w:r>
      <w:r w:rsidRPr="00576AD7">
        <w:t xml:space="preserve">Summary of Central Valley </w:t>
      </w:r>
      <w:r w:rsidR="00AC039D">
        <w:t>Region</w:t>
      </w:r>
      <w:r w:rsidR="00E41F34">
        <w:t>al Water Board</w:t>
      </w:r>
      <w:r w:rsidR="00AC039D">
        <w:t xml:space="preserve"> </w:t>
      </w:r>
      <w:r w:rsidRPr="00576AD7">
        <w:t>Waterbody</w:t>
      </w:r>
      <w:r w:rsidR="002032CF">
        <w:t>-</w:t>
      </w:r>
      <w:r w:rsidRPr="00576AD7">
        <w:t xml:space="preserve">Pollutant Combination </w:t>
      </w:r>
      <w:r w:rsidR="002D5AC9">
        <w:t>“Delist”</w:t>
      </w:r>
      <w:r w:rsidRPr="00576AD7">
        <w:t xml:space="preserve"> </w:t>
      </w:r>
      <w:r w:rsidR="00556350">
        <w:t>Decisions</w:t>
      </w:r>
      <w:r w:rsidR="00556350" w:rsidRPr="00576AD7">
        <w:t xml:space="preserve"> </w:t>
      </w:r>
      <w:r w:rsidRPr="00576AD7">
        <w:t>by Pollutant Category</w:t>
      </w:r>
      <w:bookmarkEnd w:id="178"/>
      <w:bookmarkEnd w:id="179"/>
    </w:p>
    <w:tbl>
      <w:tblPr>
        <w:tblStyle w:val="AccblTable"/>
        <w:tblW w:w="9653" w:type="dxa"/>
        <w:tblCellMar>
          <w:top w:w="115" w:type="dxa"/>
          <w:bottom w:w="115" w:type="dxa"/>
        </w:tblCellMar>
        <w:tblLook w:val="04A0" w:firstRow="1" w:lastRow="0" w:firstColumn="1" w:lastColumn="0" w:noHBand="0" w:noVBand="1"/>
        <w:tblCaption w:val="Summary of Central Valley Regional Water Board Waterbody-Pollutant Combination &quot;Delist&quot; Decisions by Pollutant Category"/>
        <w:tblDescription w:val="This table lists new recommended 303(d) delistings for pollutants in the Central Valley Region.  It lists the waterbody pollutant category, the number of delistings due to water quality attainment, the number of delisting due to a change in assessment, and the totals."/>
      </w:tblPr>
      <w:tblGrid>
        <w:gridCol w:w="2885"/>
        <w:gridCol w:w="2664"/>
        <w:gridCol w:w="2664"/>
        <w:gridCol w:w="1440"/>
      </w:tblGrid>
      <w:tr w:rsidR="00181469" w14:paraId="54A679C7" w14:textId="77777777" w:rsidTr="00F00531">
        <w:trPr>
          <w:cnfStyle w:val="100000000000" w:firstRow="1" w:lastRow="0" w:firstColumn="0" w:lastColumn="0" w:oddVBand="0" w:evenVBand="0" w:oddHBand="0" w:evenHBand="0" w:firstRowFirstColumn="0" w:firstRowLastColumn="0" w:lastRowFirstColumn="0" w:lastRowLastColumn="0"/>
          <w:trHeight w:val="739"/>
        </w:trPr>
        <w:tc>
          <w:tcPr>
            <w:tcW w:w="2885" w:type="dxa"/>
          </w:tcPr>
          <w:p w14:paraId="599A876D" w14:textId="77777777" w:rsidR="00617CC0" w:rsidRDefault="00617CC0" w:rsidP="00F00531">
            <w:pPr>
              <w:spacing w:after="0"/>
            </w:pPr>
            <w:r>
              <w:t>Pollutant Category</w:t>
            </w:r>
          </w:p>
        </w:tc>
        <w:tc>
          <w:tcPr>
            <w:tcW w:w="2664" w:type="dxa"/>
          </w:tcPr>
          <w:p w14:paraId="184A3831" w14:textId="10E33396" w:rsidR="00617CC0" w:rsidRDefault="002D5AC9" w:rsidP="00F00531">
            <w:pPr>
              <w:spacing w:after="0"/>
            </w:pPr>
            <w:r>
              <w:t>“Delist</w:t>
            </w:r>
            <w:r w:rsidR="0047187B">
              <w:t>” Decision</w:t>
            </w:r>
            <w:r w:rsidR="00271BB1">
              <w:t>s</w:t>
            </w:r>
            <w:r w:rsidR="00617CC0">
              <w:t xml:space="preserve"> Due to </w:t>
            </w:r>
            <w:r w:rsidR="006B6588" w:rsidRPr="006B6588">
              <w:t xml:space="preserve">Change in </w:t>
            </w:r>
            <w:r w:rsidR="00617CC0">
              <w:t>Water Quality</w:t>
            </w:r>
          </w:p>
        </w:tc>
        <w:tc>
          <w:tcPr>
            <w:tcW w:w="2664" w:type="dxa"/>
          </w:tcPr>
          <w:p w14:paraId="725A703D" w14:textId="773EB33E" w:rsidR="00617CC0" w:rsidRDefault="0047187B" w:rsidP="00F00531">
            <w:pPr>
              <w:spacing w:after="0"/>
            </w:pPr>
            <w:r>
              <w:t>“Delist” Decision</w:t>
            </w:r>
            <w:r w:rsidR="00271BB1">
              <w:t>s</w:t>
            </w:r>
            <w:r w:rsidR="00617CC0">
              <w:t xml:space="preserve"> Due to </w:t>
            </w:r>
            <w:r w:rsidR="00E83542">
              <w:t>Other Changes</w:t>
            </w:r>
            <w:r w:rsidR="00E83542">
              <w:rPr>
                <w:rStyle w:val="FootnoteReference"/>
              </w:rPr>
              <w:footnoteReference w:id="17"/>
            </w:r>
          </w:p>
        </w:tc>
        <w:tc>
          <w:tcPr>
            <w:tcW w:w="1440" w:type="dxa"/>
          </w:tcPr>
          <w:p w14:paraId="1290B618" w14:textId="77777777" w:rsidR="00617CC0" w:rsidRDefault="00617CC0" w:rsidP="00F00531">
            <w:pPr>
              <w:spacing w:after="0"/>
            </w:pPr>
            <w:r>
              <w:t xml:space="preserve">Total </w:t>
            </w:r>
          </w:p>
        </w:tc>
      </w:tr>
      <w:tr w:rsidR="006D2BCC" w14:paraId="247B59D6" w14:textId="77777777" w:rsidTr="00272061">
        <w:tc>
          <w:tcPr>
            <w:tcW w:w="2885" w:type="dxa"/>
            <w:vAlign w:val="top"/>
          </w:tcPr>
          <w:p w14:paraId="119AB6F0" w14:textId="7926AB99" w:rsidR="006D2BCC" w:rsidRDefault="00E84B84" w:rsidP="006D2BCC">
            <w:pPr>
              <w:spacing w:after="0"/>
            </w:pPr>
            <w:r>
              <w:t>Metals</w:t>
            </w:r>
          </w:p>
        </w:tc>
        <w:tc>
          <w:tcPr>
            <w:tcW w:w="2664" w:type="dxa"/>
          </w:tcPr>
          <w:p w14:paraId="7768E163" w14:textId="43077061" w:rsidR="006D2BCC" w:rsidRDefault="00452114" w:rsidP="006D2BCC">
            <w:pPr>
              <w:spacing w:after="0"/>
              <w:jc w:val="center"/>
            </w:pPr>
            <w:r>
              <w:t>3</w:t>
            </w:r>
          </w:p>
        </w:tc>
        <w:tc>
          <w:tcPr>
            <w:tcW w:w="2664" w:type="dxa"/>
          </w:tcPr>
          <w:p w14:paraId="0D9B88C1" w14:textId="2E5F104D" w:rsidR="006D2BCC" w:rsidRDefault="00A402CA" w:rsidP="006D2BCC">
            <w:pPr>
              <w:spacing w:after="0"/>
              <w:jc w:val="center"/>
            </w:pPr>
            <w:r>
              <w:t>3</w:t>
            </w:r>
          </w:p>
        </w:tc>
        <w:tc>
          <w:tcPr>
            <w:tcW w:w="1440" w:type="dxa"/>
          </w:tcPr>
          <w:p w14:paraId="22DA1C45" w14:textId="21A9F887" w:rsidR="006D2BCC" w:rsidRDefault="00A402CA" w:rsidP="006D2BCC">
            <w:pPr>
              <w:spacing w:after="0"/>
              <w:jc w:val="center"/>
            </w:pPr>
            <w:r>
              <w:t>6</w:t>
            </w:r>
          </w:p>
        </w:tc>
      </w:tr>
      <w:tr w:rsidR="006D2BCC" w14:paraId="311AA0A0" w14:textId="77777777" w:rsidTr="00272061">
        <w:tc>
          <w:tcPr>
            <w:tcW w:w="2885" w:type="dxa"/>
            <w:vAlign w:val="top"/>
          </w:tcPr>
          <w:p w14:paraId="2B322742" w14:textId="5B920969" w:rsidR="006D2BCC" w:rsidRDefault="00E84B84" w:rsidP="006D2BCC">
            <w:pPr>
              <w:spacing w:after="0"/>
            </w:pPr>
            <w:r>
              <w:t>Nutrients (including dissolved oxygen)</w:t>
            </w:r>
          </w:p>
        </w:tc>
        <w:tc>
          <w:tcPr>
            <w:tcW w:w="2664" w:type="dxa"/>
          </w:tcPr>
          <w:p w14:paraId="3E18D183" w14:textId="7E97957D" w:rsidR="006D2BCC" w:rsidRDefault="001E706B" w:rsidP="006D2BCC">
            <w:pPr>
              <w:spacing w:after="0"/>
              <w:jc w:val="center"/>
            </w:pPr>
            <w:r>
              <w:t>1</w:t>
            </w:r>
          </w:p>
        </w:tc>
        <w:tc>
          <w:tcPr>
            <w:tcW w:w="2664" w:type="dxa"/>
          </w:tcPr>
          <w:p w14:paraId="592A73D1" w14:textId="5F35CC9C" w:rsidR="006D2BCC" w:rsidRDefault="001E706B" w:rsidP="006D2BCC">
            <w:pPr>
              <w:spacing w:after="0"/>
              <w:jc w:val="center"/>
            </w:pPr>
            <w:r>
              <w:t>0</w:t>
            </w:r>
          </w:p>
        </w:tc>
        <w:tc>
          <w:tcPr>
            <w:tcW w:w="1440" w:type="dxa"/>
          </w:tcPr>
          <w:p w14:paraId="4CAA01FA" w14:textId="1C167B5C" w:rsidR="006D2BCC" w:rsidRDefault="001E706B" w:rsidP="006D2BCC">
            <w:pPr>
              <w:spacing w:after="0"/>
              <w:jc w:val="center"/>
            </w:pPr>
            <w:r>
              <w:t>1</w:t>
            </w:r>
          </w:p>
        </w:tc>
      </w:tr>
      <w:tr w:rsidR="006D2BCC" w14:paraId="26F36B34" w14:textId="77777777" w:rsidTr="00272061">
        <w:tc>
          <w:tcPr>
            <w:tcW w:w="2885" w:type="dxa"/>
            <w:vAlign w:val="top"/>
          </w:tcPr>
          <w:p w14:paraId="6590D491" w14:textId="0C7FF2AA" w:rsidR="006D2BCC" w:rsidRDefault="00E84B84" w:rsidP="006D2BCC">
            <w:pPr>
              <w:spacing w:after="0"/>
            </w:pPr>
            <w:r>
              <w:t>Other Cause</w:t>
            </w:r>
          </w:p>
        </w:tc>
        <w:tc>
          <w:tcPr>
            <w:tcW w:w="2664" w:type="dxa"/>
          </w:tcPr>
          <w:p w14:paraId="0037B298" w14:textId="0CE9F56A" w:rsidR="006D2BCC" w:rsidRDefault="009D29A3" w:rsidP="006D2BCC">
            <w:pPr>
              <w:spacing w:after="0"/>
              <w:jc w:val="center"/>
            </w:pPr>
            <w:r>
              <w:t>3</w:t>
            </w:r>
          </w:p>
        </w:tc>
        <w:tc>
          <w:tcPr>
            <w:tcW w:w="2664" w:type="dxa"/>
          </w:tcPr>
          <w:p w14:paraId="73CB249E" w14:textId="28712604" w:rsidR="006D2BCC" w:rsidRDefault="009D29A3" w:rsidP="006D2BCC">
            <w:pPr>
              <w:spacing w:after="0"/>
              <w:jc w:val="center"/>
            </w:pPr>
            <w:r>
              <w:t>0</w:t>
            </w:r>
          </w:p>
        </w:tc>
        <w:tc>
          <w:tcPr>
            <w:tcW w:w="1440" w:type="dxa"/>
          </w:tcPr>
          <w:p w14:paraId="5348B277" w14:textId="1A9D6EBD" w:rsidR="006D2BCC" w:rsidRDefault="009D29A3" w:rsidP="006D2BCC">
            <w:pPr>
              <w:spacing w:after="0"/>
              <w:jc w:val="center"/>
            </w:pPr>
            <w:r>
              <w:t>3</w:t>
            </w:r>
          </w:p>
        </w:tc>
      </w:tr>
      <w:tr w:rsidR="006D2BCC" w14:paraId="2EF5E207" w14:textId="77777777" w:rsidTr="004145B5">
        <w:tc>
          <w:tcPr>
            <w:tcW w:w="2885" w:type="dxa"/>
            <w:vAlign w:val="top"/>
          </w:tcPr>
          <w:p w14:paraId="636479EA" w14:textId="238D1E5B" w:rsidR="006D2BCC" w:rsidRDefault="006D2BCC" w:rsidP="006D2BCC">
            <w:pPr>
              <w:spacing w:after="0"/>
            </w:pPr>
            <w:r>
              <w:t>Pathogens/Bacteria</w:t>
            </w:r>
          </w:p>
        </w:tc>
        <w:tc>
          <w:tcPr>
            <w:tcW w:w="2664" w:type="dxa"/>
          </w:tcPr>
          <w:p w14:paraId="20A5DF8D" w14:textId="77075D7F" w:rsidR="006D2BCC" w:rsidRDefault="004145B5" w:rsidP="006D2BCC">
            <w:pPr>
              <w:spacing w:after="0"/>
              <w:jc w:val="center"/>
            </w:pPr>
            <w:r>
              <w:t>1</w:t>
            </w:r>
          </w:p>
        </w:tc>
        <w:tc>
          <w:tcPr>
            <w:tcW w:w="2664" w:type="dxa"/>
          </w:tcPr>
          <w:p w14:paraId="167DDA06" w14:textId="2B78AA2F" w:rsidR="006D2BCC" w:rsidRDefault="004145B5" w:rsidP="006D2BCC">
            <w:pPr>
              <w:spacing w:after="0"/>
              <w:jc w:val="center"/>
            </w:pPr>
            <w:r>
              <w:t>1</w:t>
            </w:r>
          </w:p>
        </w:tc>
        <w:tc>
          <w:tcPr>
            <w:tcW w:w="1440" w:type="dxa"/>
          </w:tcPr>
          <w:p w14:paraId="7521DBB0" w14:textId="0FFE3CA0" w:rsidR="006D2BCC" w:rsidRDefault="004145B5" w:rsidP="006D2BCC">
            <w:pPr>
              <w:spacing w:after="0"/>
              <w:jc w:val="center"/>
            </w:pPr>
            <w:r>
              <w:t>2</w:t>
            </w:r>
          </w:p>
        </w:tc>
      </w:tr>
      <w:tr w:rsidR="006D2BCC" w14:paraId="23390CB5" w14:textId="77777777" w:rsidTr="00F00531">
        <w:tc>
          <w:tcPr>
            <w:tcW w:w="2885" w:type="dxa"/>
          </w:tcPr>
          <w:p w14:paraId="29ED0062" w14:textId="77D23E2E" w:rsidR="006D2BCC" w:rsidRDefault="006D2BCC" w:rsidP="006D2BCC">
            <w:pPr>
              <w:spacing w:after="0"/>
            </w:pPr>
            <w:r>
              <w:t>Pesticides</w:t>
            </w:r>
          </w:p>
        </w:tc>
        <w:tc>
          <w:tcPr>
            <w:tcW w:w="2664" w:type="dxa"/>
          </w:tcPr>
          <w:p w14:paraId="04348147" w14:textId="6A7989BD" w:rsidR="006D2BCC" w:rsidRDefault="00EC7F06" w:rsidP="006D2BCC">
            <w:pPr>
              <w:spacing w:after="0"/>
              <w:jc w:val="center"/>
            </w:pPr>
            <w:r>
              <w:t>3</w:t>
            </w:r>
          </w:p>
        </w:tc>
        <w:tc>
          <w:tcPr>
            <w:tcW w:w="2664" w:type="dxa"/>
          </w:tcPr>
          <w:p w14:paraId="6D5033D1" w14:textId="1895F207" w:rsidR="006D2BCC" w:rsidRDefault="006D7012" w:rsidP="006D2BCC">
            <w:pPr>
              <w:spacing w:after="0"/>
              <w:jc w:val="center"/>
            </w:pPr>
            <w:r>
              <w:t>30</w:t>
            </w:r>
          </w:p>
        </w:tc>
        <w:tc>
          <w:tcPr>
            <w:tcW w:w="1440" w:type="dxa"/>
          </w:tcPr>
          <w:p w14:paraId="38E0CD84" w14:textId="4B72B209" w:rsidR="006D2BCC" w:rsidRDefault="006D7012" w:rsidP="006D2BCC">
            <w:pPr>
              <w:spacing w:after="0"/>
              <w:jc w:val="center"/>
            </w:pPr>
            <w:r>
              <w:t>33</w:t>
            </w:r>
          </w:p>
        </w:tc>
      </w:tr>
      <w:tr w:rsidR="006D2BCC" w14:paraId="7EC7B486" w14:textId="77777777" w:rsidTr="004145B5">
        <w:tc>
          <w:tcPr>
            <w:tcW w:w="2885" w:type="dxa"/>
          </w:tcPr>
          <w:p w14:paraId="5EA947BB" w14:textId="57A86298" w:rsidR="006D2BCC" w:rsidRDefault="00E84B84" w:rsidP="006D2BCC">
            <w:pPr>
              <w:spacing w:after="0"/>
            </w:pPr>
            <w:r>
              <w:t>Salinity/Total Dissolved Solids/Chlorides/Sulfates</w:t>
            </w:r>
          </w:p>
        </w:tc>
        <w:tc>
          <w:tcPr>
            <w:tcW w:w="2664" w:type="dxa"/>
          </w:tcPr>
          <w:p w14:paraId="1F31B1D1" w14:textId="2EAF1C07" w:rsidR="006D2BCC" w:rsidRDefault="004D4F21" w:rsidP="006D2BCC">
            <w:pPr>
              <w:spacing w:after="0"/>
              <w:jc w:val="center"/>
            </w:pPr>
            <w:r>
              <w:t>0</w:t>
            </w:r>
          </w:p>
        </w:tc>
        <w:tc>
          <w:tcPr>
            <w:tcW w:w="2664" w:type="dxa"/>
          </w:tcPr>
          <w:p w14:paraId="507F7372" w14:textId="15492980" w:rsidR="006D2BCC" w:rsidRDefault="007241FA" w:rsidP="006D2BCC">
            <w:pPr>
              <w:spacing w:after="0"/>
              <w:jc w:val="center"/>
            </w:pPr>
            <w:r>
              <w:t>2</w:t>
            </w:r>
            <w:r w:rsidR="00FE0E45">
              <w:t>7</w:t>
            </w:r>
          </w:p>
        </w:tc>
        <w:tc>
          <w:tcPr>
            <w:tcW w:w="1440" w:type="dxa"/>
          </w:tcPr>
          <w:p w14:paraId="447CB20F" w14:textId="32C9DA3C" w:rsidR="006D2BCC" w:rsidRDefault="005A125D" w:rsidP="006D2BCC">
            <w:pPr>
              <w:spacing w:after="0"/>
              <w:jc w:val="center"/>
            </w:pPr>
            <w:r>
              <w:t>27</w:t>
            </w:r>
          </w:p>
        </w:tc>
      </w:tr>
      <w:tr w:rsidR="006D2BCC" w14:paraId="505967E9" w14:textId="77777777" w:rsidTr="004145B5">
        <w:tc>
          <w:tcPr>
            <w:tcW w:w="2885" w:type="dxa"/>
          </w:tcPr>
          <w:p w14:paraId="15CC9C77" w14:textId="71DB5308" w:rsidR="006D2BCC" w:rsidRDefault="00E84B84" w:rsidP="006D2BCC">
            <w:pPr>
              <w:spacing w:after="0"/>
            </w:pPr>
            <w:r>
              <w:t>Total Toxics</w:t>
            </w:r>
          </w:p>
        </w:tc>
        <w:tc>
          <w:tcPr>
            <w:tcW w:w="2664" w:type="dxa"/>
          </w:tcPr>
          <w:p w14:paraId="659B396D" w14:textId="3D15F8E4" w:rsidR="006D2BCC" w:rsidRDefault="00206A32" w:rsidP="006D2BCC">
            <w:pPr>
              <w:spacing w:after="0"/>
              <w:jc w:val="center"/>
            </w:pPr>
            <w:r>
              <w:t>0</w:t>
            </w:r>
          </w:p>
        </w:tc>
        <w:tc>
          <w:tcPr>
            <w:tcW w:w="2664" w:type="dxa"/>
          </w:tcPr>
          <w:p w14:paraId="0EF6ED48" w14:textId="3FB13990" w:rsidR="006D2BCC" w:rsidRDefault="00206A32" w:rsidP="006D2BCC">
            <w:pPr>
              <w:spacing w:after="0"/>
              <w:jc w:val="center"/>
            </w:pPr>
            <w:r>
              <w:t>2</w:t>
            </w:r>
          </w:p>
        </w:tc>
        <w:tc>
          <w:tcPr>
            <w:tcW w:w="1440" w:type="dxa"/>
          </w:tcPr>
          <w:p w14:paraId="31F99F1A" w14:textId="41E2A111" w:rsidR="006D2BCC" w:rsidRDefault="00206A32" w:rsidP="006D2BCC">
            <w:pPr>
              <w:spacing w:after="0"/>
              <w:jc w:val="center"/>
            </w:pPr>
            <w:r>
              <w:t>2</w:t>
            </w:r>
          </w:p>
        </w:tc>
      </w:tr>
      <w:tr w:rsidR="00E84B84" w14:paraId="68CC57D2" w14:textId="77777777" w:rsidTr="004145B5">
        <w:tc>
          <w:tcPr>
            <w:tcW w:w="2885" w:type="dxa"/>
            <w:vAlign w:val="top"/>
          </w:tcPr>
          <w:p w14:paraId="29A5112C" w14:textId="0252021D" w:rsidR="00E84B84" w:rsidRDefault="00E84B84" w:rsidP="00E84B84">
            <w:pPr>
              <w:spacing w:after="0"/>
            </w:pPr>
            <w:r>
              <w:t>Toxic Organics</w:t>
            </w:r>
          </w:p>
        </w:tc>
        <w:tc>
          <w:tcPr>
            <w:tcW w:w="2664" w:type="dxa"/>
          </w:tcPr>
          <w:p w14:paraId="3C9096BB" w14:textId="70F21605" w:rsidR="00E84B84" w:rsidRDefault="00CC35B0" w:rsidP="00E84B84">
            <w:pPr>
              <w:spacing w:after="0"/>
              <w:jc w:val="center"/>
            </w:pPr>
            <w:r>
              <w:t>0</w:t>
            </w:r>
          </w:p>
        </w:tc>
        <w:tc>
          <w:tcPr>
            <w:tcW w:w="2664" w:type="dxa"/>
          </w:tcPr>
          <w:p w14:paraId="11F3644B" w14:textId="2342FB65" w:rsidR="00E84B84" w:rsidRDefault="007241FA" w:rsidP="00E84B84">
            <w:pPr>
              <w:spacing w:after="0"/>
              <w:jc w:val="center"/>
            </w:pPr>
            <w:r>
              <w:t>1</w:t>
            </w:r>
          </w:p>
        </w:tc>
        <w:tc>
          <w:tcPr>
            <w:tcW w:w="1440" w:type="dxa"/>
          </w:tcPr>
          <w:p w14:paraId="415B5B5A" w14:textId="5BB32443" w:rsidR="00E84B84" w:rsidRDefault="007241FA" w:rsidP="00E84B84">
            <w:pPr>
              <w:spacing w:after="0"/>
              <w:jc w:val="center"/>
            </w:pPr>
            <w:r>
              <w:t>1</w:t>
            </w:r>
          </w:p>
        </w:tc>
      </w:tr>
      <w:tr w:rsidR="001C6939" w14:paraId="749E1780" w14:textId="77777777" w:rsidTr="004145B5">
        <w:tc>
          <w:tcPr>
            <w:tcW w:w="2885" w:type="dxa"/>
            <w:vAlign w:val="top"/>
          </w:tcPr>
          <w:p w14:paraId="7BF67201" w14:textId="254256DE" w:rsidR="001C6939" w:rsidRPr="001C6939" w:rsidRDefault="001C6939" w:rsidP="00E84B84">
            <w:pPr>
              <w:spacing w:after="0"/>
              <w:rPr>
                <w:b/>
                <w:bCs/>
              </w:rPr>
            </w:pPr>
            <w:r w:rsidRPr="001C6939">
              <w:rPr>
                <w:b/>
                <w:bCs/>
              </w:rPr>
              <w:t>Totals</w:t>
            </w:r>
          </w:p>
        </w:tc>
        <w:tc>
          <w:tcPr>
            <w:tcW w:w="2664" w:type="dxa"/>
          </w:tcPr>
          <w:p w14:paraId="388077EA" w14:textId="34A09ED9" w:rsidR="001C6939" w:rsidRPr="001C6939" w:rsidRDefault="001C6939" w:rsidP="00E84B84">
            <w:pPr>
              <w:spacing w:after="0"/>
              <w:jc w:val="center"/>
              <w:rPr>
                <w:b/>
                <w:bCs/>
              </w:rPr>
            </w:pPr>
            <w:r w:rsidRPr="001C6939">
              <w:rPr>
                <w:b/>
                <w:bCs/>
              </w:rPr>
              <w:t>11</w:t>
            </w:r>
          </w:p>
        </w:tc>
        <w:tc>
          <w:tcPr>
            <w:tcW w:w="2664" w:type="dxa"/>
          </w:tcPr>
          <w:p w14:paraId="3385270C" w14:textId="04C5F542" w:rsidR="001C6939" w:rsidRPr="001C6939" w:rsidRDefault="00C71896" w:rsidP="00E84B84">
            <w:pPr>
              <w:spacing w:after="0"/>
              <w:jc w:val="center"/>
              <w:rPr>
                <w:b/>
                <w:bCs/>
              </w:rPr>
            </w:pPr>
            <w:r>
              <w:rPr>
                <w:b/>
                <w:bCs/>
              </w:rPr>
              <w:t>6</w:t>
            </w:r>
            <w:r w:rsidR="00E267A4">
              <w:rPr>
                <w:b/>
                <w:bCs/>
              </w:rPr>
              <w:t>4</w:t>
            </w:r>
          </w:p>
        </w:tc>
        <w:tc>
          <w:tcPr>
            <w:tcW w:w="1440" w:type="dxa"/>
          </w:tcPr>
          <w:p w14:paraId="1637C570" w14:textId="395EA710" w:rsidR="001C6939" w:rsidRPr="001C6939" w:rsidRDefault="00DC4134" w:rsidP="00E84B84">
            <w:pPr>
              <w:spacing w:after="0"/>
              <w:jc w:val="center"/>
              <w:rPr>
                <w:b/>
                <w:bCs/>
              </w:rPr>
            </w:pPr>
            <w:r>
              <w:rPr>
                <w:b/>
                <w:bCs/>
              </w:rPr>
              <w:t>7</w:t>
            </w:r>
            <w:r w:rsidR="00E267A4">
              <w:rPr>
                <w:b/>
                <w:bCs/>
              </w:rPr>
              <w:t>5</w:t>
            </w:r>
          </w:p>
        </w:tc>
      </w:tr>
    </w:tbl>
    <w:p w14:paraId="2D8FAB3D" w14:textId="1E383F24" w:rsidR="7FC0481A" w:rsidRDefault="7FC0481A" w:rsidP="0D2A02D8">
      <w:pPr>
        <w:pStyle w:val="Heading2"/>
      </w:pPr>
      <w:bookmarkStart w:id="180" w:name="_Toc189048629"/>
      <w:r>
        <w:t>Central Valley</w:t>
      </w:r>
      <w:r w:rsidR="245434BB">
        <w:t xml:space="preserve"> Prioritization of TMDLs and Other Efforts to Address Impaired Waters</w:t>
      </w:r>
      <w:bookmarkEnd w:id="180"/>
    </w:p>
    <w:p w14:paraId="222013F0" w14:textId="77777777" w:rsidR="00B75ECB" w:rsidRDefault="00B75ECB" w:rsidP="004E242F">
      <w:pPr>
        <w:spacing w:before="240"/>
        <w:rPr>
          <w:rFonts w:eastAsia="Arial" w:cs="Arial"/>
        </w:rPr>
      </w:pPr>
      <w:bookmarkStart w:id="181" w:name="_Hlk175300973"/>
      <w:r w:rsidRPr="00F37E03">
        <w:t>Efforts to address impaired waterbodies identified on the CWA section 303(d) list can</w:t>
      </w:r>
      <w:r>
        <w:t xml:space="preserve"> </w:t>
      </w:r>
      <w:r w:rsidRPr="00F37E03">
        <w:rPr>
          <w:rFonts w:eastAsia="Arial" w:cs="Arial"/>
        </w:rPr>
        <w:t>include TMDLs, individual permits, or other programs of implementation, which are</w:t>
      </w:r>
      <w:r>
        <w:t xml:space="preserve"> </w:t>
      </w:r>
      <w:r w:rsidRPr="00F37E03">
        <w:rPr>
          <w:rFonts w:eastAsia="Arial" w:cs="Arial"/>
        </w:rPr>
        <w:t>sometimes known as TMDL alternative projects. The prioritization of TMDLs and other</w:t>
      </w:r>
      <w:r>
        <w:t xml:space="preserve"> </w:t>
      </w:r>
      <w:r w:rsidRPr="00F37E03">
        <w:rPr>
          <w:rFonts w:eastAsia="Arial" w:cs="Arial"/>
        </w:rPr>
        <w:t xml:space="preserve">efforts to address impaired waters in the </w:t>
      </w:r>
      <w:r>
        <w:rPr>
          <w:rFonts w:eastAsia="Arial" w:cs="Arial"/>
        </w:rPr>
        <w:t>North Coast</w:t>
      </w:r>
      <w:r w:rsidRPr="00F37E03">
        <w:rPr>
          <w:rFonts w:eastAsia="Arial" w:cs="Arial"/>
        </w:rPr>
        <w:t xml:space="preserve"> Region is based on the factors</w:t>
      </w:r>
      <w:r>
        <w:t xml:space="preserve"> </w:t>
      </w:r>
      <w:r w:rsidRPr="00F37E03">
        <w:rPr>
          <w:rFonts w:eastAsia="Arial" w:cs="Arial"/>
        </w:rPr>
        <w:t>required by section 5 of the Listing Policy and</w:t>
      </w:r>
      <w:r>
        <w:t xml:space="preserve"> </w:t>
      </w:r>
      <w:r w:rsidRPr="00F37E03">
        <w:rPr>
          <w:rFonts w:eastAsia="Arial" w:cs="Arial"/>
        </w:rPr>
        <w:t xml:space="preserve">consideration of several other factors, </w:t>
      </w:r>
      <w:r>
        <w:rPr>
          <w:rFonts w:eastAsia="Arial" w:cs="Arial"/>
        </w:rPr>
        <w:t xml:space="preserve">outlined in section 2.6: TMDLs and Other Efforts to Address Impaired Waters. Information outlining how impaired waterbodies may be addressed through individual permits is outlined in section 1.1: The 303(d) List of Impaired Waters. </w:t>
      </w:r>
    </w:p>
    <w:p w14:paraId="7B4F9A0E" w14:textId="29B66315" w:rsidR="008239DC" w:rsidRDefault="00230F1B" w:rsidP="00A70765">
      <w:pPr>
        <w:rPr>
          <w:rFonts w:eastAsia="Arial" w:cs="Arial"/>
        </w:rPr>
      </w:pPr>
      <w:r w:rsidRPr="00230F1B">
        <w:rPr>
          <w:rFonts w:eastAsia="Arial" w:cs="Arial"/>
        </w:rPr>
        <w:t xml:space="preserve">TMDL prioritization is influenced by </w:t>
      </w:r>
      <w:r w:rsidR="008E361D">
        <w:rPr>
          <w:rFonts w:eastAsia="Arial" w:cs="Arial"/>
        </w:rPr>
        <w:t>t</w:t>
      </w:r>
      <w:r w:rsidRPr="00230F1B">
        <w:rPr>
          <w:rFonts w:eastAsia="Arial" w:cs="Arial"/>
        </w:rPr>
        <w:t xml:space="preserve">he Triennial Review of the two </w:t>
      </w:r>
      <w:r w:rsidR="00EE39F2">
        <w:rPr>
          <w:rFonts w:eastAsia="Arial" w:cs="Arial"/>
        </w:rPr>
        <w:t>r</w:t>
      </w:r>
      <w:r w:rsidRPr="00230F1B">
        <w:rPr>
          <w:rFonts w:eastAsia="Arial" w:cs="Arial"/>
        </w:rPr>
        <w:t xml:space="preserve">egional </w:t>
      </w:r>
      <w:r w:rsidR="00EE39F2">
        <w:rPr>
          <w:rFonts w:eastAsia="Arial" w:cs="Arial"/>
        </w:rPr>
        <w:t>b</w:t>
      </w:r>
      <w:r w:rsidRPr="00230F1B">
        <w:rPr>
          <w:rFonts w:eastAsia="Arial" w:cs="Arial"/>
        </w:rPr>
        <w:t xml:space="preserve">asin </w:t>
      </w:r>
      <w:r w:rsidR="00EE39F2">
        <w:rPr>
          <w:rFonts w:eastAsia="Arial" w:cs="Arial"/>
        </w:rPr>
        <w:t>p</w:t>
      </w:r>
      <w:r w:rsidRPr="00230F1B">
        <w:rPr>
          <w:rFonts w:eastAsia="Arial" w:cs="Arial"/>
        </w:rPr>
        <w:t>lans</w:t>
      </w:r>
      <w:r w:rsidR="00BD456D">
        <w:rPr>
          <w:rFonts w:eastAsia="Arial" w:cs="Arial"/>
        </w:rPr>
        <w:t>.</w:t>
      </w:r>
      <w:r w:rsidRPr="00230F1B">
        <w:rPr>
          <w:rFonts w:eastAsia="Arial" w:cs="Arial"/>
        </w:rPr>
        <w:t xml:space="preserve"> </w:t>
      </w:r>
      <w:r w:rsidR="00BD456D">
        <w:rPr>
          <w:rFonts w:eastAsia="Arial" w:cs="Arial"/>
        </w:rPr>
        <w:t>The Triennial Review</w:t>
      </w:r>
      <w:r w:rsidR="008E361D">
        <w:rPr>
          <w:rFonts w:eastAsia="Arial" w:cs="Arial"/>
        </w:rPr>
        <w:t xml:space="preserve"> </w:t>
      </w:r>
      <w:r w:rsidRPr="00230F1B">
        <w:rPr>
          <w:rFonts w:eastAsia="Arial" w:cs="Arial"/>
        </w:rPr>
        <w:t xml:space="preserve">consists of solicitation for comments on water quality issues in the Central Valley </w:t>
      </w:r>
      <w:r w:rsidR="0098340A" w:rsidRPr="40345E41">
        <w:rPr>
          <w:rFonts w:eastAsia="Arial" w:cs="Arial"/>
        </w:rPr>
        <w:t>Region</w:t>
      </w:r>
      <w:r w:rsidR="0098340A">
        <w:rPr>
          <w:rFonts w:eastAsia="Arial" w:cs="Arial"/>
        </w:rPr>
        <w:t xml:space="preserve"> </w:t>
      </w:r>
      <w:r w:rsidRPr="00230F1B">
        <w:rPr>
          <w:rFonts w:eastAsia="Arial" w:cs="Arial"/>
        </w:rPr>
        <w:t xml:space="preserve">that may need to be addressed through </w:t>
      </w:r>
      <w:r w:rsidR="00F60380">
        <w:rPr>
          <w:rFonts w:eastAsia="Arial" w:cs="Arial"/>
        </w:rPr>
        <w:t>b</w:t>
      </w:r>
      <w:r w:rsidRPr="00230F1B">
        <w:rPr>
          <w:rFonts w:eastAsia="Arial" w:cs="Arial"/>
        </w:rPr>
        <w:t xml:space="preserve">asin </w:t>
      </w:r>
      <w:r w:rsidR="00F60380">
        <w:rPr>
          <w:rFonts w:eastAsia="Arial" w:cs="Arial"/>
        </w:rPr>
        <w:t>p</w:t>
      </w:r>
      <w:r w:rsidRPr="00230F1B">
        <w:rPr>
          <w:rFonts w:eastAsia="Arial" w:cs="Arial"/>
        </w:rPr>
        <w:t xml:space="preserve">lan amendments and preparing a work plan for each </w:t>
      </w:r>
      <w:r w:rsidR="00B23E1C">
        <w:rPr>
          <w:rFonts w:eastAsia="Arial" w:cs="Arial"/>
        </w:rPr>
        <w:t>b</w:t>
      </w:r>
      <w:r w:rsidRPr="00230F1B">
        <w:rPr>
          <w:rFonts w:eastAsia="Arial" w:cs="Arial"/>
        </w:rPr>
        <w:t xml:space="preserve">asin </w:t>
      </w:r>
      <w:r w:rsidR="00B23E1C">
        <w:rPr>
          <w:rFonts w:eastAsia="Arial" w:cs="Arial"/>
        </w:rPr>
        <w:t>p</w:t>
      </w:r>
      <w:r w:rsidRPr="00230F1B">
        <w:rPr>
          <w:rFonts w:eastAsia="Arial" w:cs="Arial"/>
        </w:rPr>
        <w:t xml:space="preserve">lan which describes the actions the </w:t>
      </w:r>
      <w:r w:rsidR="0098340A">
        <w:rPr>
          <w:rFonts w:eastAsia="Arial" w:cs="Arial"/>
        </w:rPr>
        <w:t xml:space="preserve">Central Valley </w:t>
      </w:r>
      <w:r w:rsidRPr="00230F1B">
        <w:rPr>
          <w:rFonts w:eastAsia="Arial" w:cs="Arial"/>
        </w:rPr>
        <w:t xml:space="preserve">Regional Water Board may take over the next three years to investigate and respond to the issues. Additionally, input from the Central Valley Regional Water Board and the regional executive management team are incorporated into work planning through the portfolio management process. Priorities are established through the content of the Triennial Review, annual consultations with program managers, and direction from the </w:t>
      </w:r>
      <w:r w:rsidR="00C4266A">
        <w:rPr>
          <w:rFonts w:eastAsia="Arial" w:cs="Arial"/>
        </w:rPr>
        <w:t xml:space="preserve">Central Valley </w:t>
      </w:r>
      <w:r w:rsidRPr="00230F1B">
        <w:rPr>
          <w:rFonts w:eastAsia="Arial" w:cs="Arial"/>
        </w:rPr>
        <w:t xml:space="preserve">Regional Water Board during yearly presentations by the Executive Officer. Finally, the TMDL prioritization is influenced by other work going on within the </w:t>
      </w:r>
      <w:r w:rsidR="00C4266A">
        <w:rPr>
          <w:rFonts w:eastAsia="Arial" w:cs="Arial"/>
        </w:rPr>
        <w:t>r</w:t>
      </w:r>
      <w:r w:rsidRPr="00230F1B">
        <w:rPr>
          <w:rFonts w:eastAsia="Arial" w:cs="Arial"/>
        </w:rPr>
        <w:t xml:space="preserve">egion. Regulatory programs such as the ILRP address water quality impairments throughout the </w:t>
      </w:r>
      <w:r w:rsidR="00FE5CB6">
        <w:rPr>
          <w:rFonts w:eastAsia="Arial" w:cs="Arial"/>
        </w:rPr>
        <w:t>r</w:t>
      </w:r>
      <w:r w:rsidRPr="00230F1B">
        <w:rPr>
          <w:rFonts w:eastAsia="Arial" w:cs="Arial"/>
        </w:rPr>
        <w:t xml:space="preserve">egion. Programs that can ensure that water quality standards will be met in a reasonable amount of time obviate the need for the development of a TMDL. </w:t>
      </w:r>
    </w:p>
    <w:p w14:paraId="455293BD" w14:textId="0CCFB211" w:rsidR="00F72441" w:rsidRDefault="008239DC" w:rsidP="00537B2E">
      <w:pPr>
        <w:rPr>
          <w:rFonts w:eastAsia="Arial" w:cs="Arial"/>
        </w:rPr>
      </w:pPr>
      <w:r>
        <w:rPr>
          <w:rFonts w:eastAsia="Arial" w:cs="Arial"/>
        </w:rPr>
        <w:t xml:space="preserve">Within the </w:t>
      </w:r>
      <w:r w:rsidR="00FE5CB6">
        <w:rPr>
          <w:rFonts w:eastAsia="Arial" w:cs="Arial"/>
        </w:rPr>
        <w:t>i</w:t>
      </w:r>
      <w:r>
        <w:rPr>
          <w:rFonts w:eastAsia="Arial" w:cs="Arial"/>
        </w:rPr>
        <w:t xml:space="preserve">ntegrated </w:t>
      </w:r>
      <w:r w:rsidR="00FE5CB6">
        <w:rPr>
          <w:rFonts w:eastAsia="Arial" w:cs="Arial"/>
        </w:rPr>
        <w:t>r</w:t>
      </w:r>
      <w:r>
        <w:rPr>
          <w:rFonts w:eastAsia="Arial" w:cs="Arial"/>
        </w:rPr>
        <w:t>eport, the Central Valley Region</w:t>
      </w:r>
      <w:r w:rsidR="000F4E1C">
        <w:rPr>
          <w:rFonts w:eastAsia="Arial" w:cs="Arial"/>
        </w:rPr>
        <w:t>al Water Board</w:t>
      </w:r>
      <w:r>
        <w:rPr>
          <w:rFonts w:eastAsia="Arial" w:cs="Arial"/>
        </w:rPr>
        <w:t xml:space="preserve"> identified </w:t>
      </w:r>
      <w:r w:rsidR="00423EB2">
        <w:rPr>
          <w:rFonts w:eastAsia="Arial" w:cs="Arial"/>
        </w:rPr>
        <w:t xml:space="preserve">all </w:t>
      </w:r>
      <w:r w:rsidR="003D28C9">
        <w:rPr>
          <w:rFonts w:eastAsia="Arial" w:cs="Arial"/>
        </w:rPr>
        <w:t xml:space="preserve">Category 5 </w:t>
      </w:r>
      <w:r>
        <w:rPr>
          <w:rFonts w:eastAsia="Arial" w:cs="Arial"/>
        </w:rPr>
        <w:t xml:space="preserve">listings as </w:t>
      </w:r>
      <w:r w:rsidR="00423EB2">
        <w:rPr>
          <w:rFonts w:eastAsia="Arial" w:cs="Arial"/>
        </w:rPr>
        <w:t xml:space="preserve">a </w:t>
      </w:r>
      <w:r>
        <w:rPr>
          <w:rFonts w:eastAsia="Arial" w:cs="Arial"/>
        </w:rPr>
        <w:t xml:space="preserve">low priority for TMDL development. </w:t>
      </w:r>
      <w:r w:rsidR="00F72441">
        <w:rPr>
          <w:rFonts w:eastAsia="Arial" w:cs="Arial"/>
        </w:rPr>
        <w:t>Instead of prioritizing the development of a new TMDL, t</w:t>
      </w:r>
      <w:r w:rsidR="00423EB2">
        <w:rPr>
          <w:rFonts w:eastAsia="Arial" w:cs="Arial"/>
        </w:rPr>
        <w:t xml:space="preserve">he Central Valley Regional Water Board is </w:t>
      </w:r>
      <w:r w:rsidR="00015BFE">
        <w:rPr>
          <w:rFonts w:eastAsia="Arial" w:cs="Arial"/>
        </w:rPr>
        <w:t xml:space="preserve">instead </w:t>
      </w:r>
      <w:r w:rsidR="00423EB2">
        <w:rPr>
          <w:rFonts w:eastAsia="Arial" w:cs="Arial"/>
        </w:rPr>
        <w:t xml:space="preserve">prioritizing </w:t>
      </w:r>
      <w:r w:rsidR="00F72441">
        <w:rPr>
          <w:rFonts w:eastAsia="Arial" w:cs="Arial"/>
        </w:rPr>
        <w:t xml:space="preserve">revisions to the existing </w:t>
      </w:r>
      <w:r w:rsidR="00F72441" w:rsidRPr="000F18CA">
        <w:rPr>
          <w:rFonts w:eastAsia="Arial" w:cs="Arial"/>
        </w:rPr>
        <w:t>Sacramento-San Joaquin Delta Methylmercury TMDL</w:t>
      </w:r>
      <w:r w:rsidR="00F72441">
        <w:rPr>
          <w:rFonts w:eastAsia="Arial" w:cs="Arial"/>
        </w:rPr>
        <w:t xml:space="preserve">. </w:t>
      </w:r>
      <w:r w:rsidR="003D28C9">
        <w:rPr>
          <w:rFonts w:eastAsia="Arial" w:cs="Arial"/>
        </w:rPr>
        <w:t xml:space="preserve">All waterbody segments covered under the existing </w:t>
      </w:r>
      <w:r w:rsidR="003D28C9" w:rsidRPr="000F18CA">
        <w:rPr>
          <w:rFonts w:eastAsia="Arial" w:cs="Arial"/>
        </w:rPr>
        <w:t>Sacramento-San Joaquin Delta Methylmercury TMDL</w:t>
      </w:r>
      <w:r w:rsidR="003D28C9">
        <w:rPr>
          <w:rFonts w:eastAsia="Arial" w:cs="Arial"/>
        </w:rPr>
        <w:t xml:space="preserve"> are in Category 4a. </w:t>
      </w:r>
      <w:r w:rsidR="00F72441">
        <w:rPr>
          <w:rFonts w:eastAsia="Arial" w:cs="Arial"/>
        </w:rPr>
        <w:t xml:space="preserve">For more information, see the </w:t>
      </w:r>
      <w:hyperlink r:id="rId73" w:history="1">
        <w:r w:rsidR="00F72441" w:rsidRPr="00B27A5F">
          <w:rPr>
            <w:rStyle w:val="Hyperlink"/>
            <w:rFonts w:eastAsia="Arial" w:cs="Arial"/>
          </w:rPr>
          <w:t>Sacramento-San Joaquin Delta Methylmercury TMDL’s web page</w:t>
        </w:r>
      </w:hyperlink>
      <w:r w:rsidR="00F72441">
        <w:rPr>
          <w:rFonts w:eastAsia="Arial" w:cs="Arial"/>
        </w:rPr>
        <w:t xml:space="preserve"> (</w:t>
      </w:r>
      <w:hyperlink r:id="rId74" w:history="1">
        <w:r w:rsidR="00F72441" w:rsidRPr="00D42433">
          <w:rPr>
            <w:rStyle w:val="Hyperlink"/>
            <w:rFonts w:eastAsia="Arial" w:cs="Arial"/>
          </w:rPr>
          <w:t>https://www.waterboards.ca.gov/centralvalley/water_issues/tmdl/central_valley_projects/delta_hg/</w:t>
        </w:r>
      </w:hyperlink>
      <w:r w:rsidR="00F72441">
        <w:rPr>
          <w:rFonts w:eastAsia="Arial" w:cs="Arial"/>
        </w:rPr>
        <w:t xml:space="preserve">). </w:t>
      </w:r>
      <w:r w:rsidRPr="186C60C1">
        <w:rPr>
          <w:rFonts w:eastAsia="Arial" w:cs="Arial"/>
        </w:rPr>
        <w:t xml:space="preserve"> </w:t>
      </w:r>
    </w:p>
    <w:p w14:paraId="1C6BBFAB" w14:textId="22D225B3" w:rsidR="00F27318" w:rsidRDefault="008239DC" w:rsidP="00537B2E">
      <w:pPr>
        <w:rPr>
          <w:rFonts w:eastAsia="Arial" w:cs="Arial"/>
        </w:rPr>
      </w:pPr>
      <w:r>
        <w:rPr>
          <w:rFonts w:eastAsia="Arial" w:cs="Arial"/>
        </w:rPr>
        <w:t>A low priority designation does not indicate a low priority of importance for the waterbody-pollutant impairment</w:t>
      </w:r>
      <w:r w:rsidR="008B1159">
        <w:rPr>
          <w:rFonts w:eastAsia="Arial" w:cs="Arial"/>
        </w:rPr>
        <w:t xml:space="preserve">. </w:t>
      </w:r>
      <w:r w:rsidR="00487B1C">
        <w:rPr>
          <w:rFonts w:eastAsia="Arial" w:cs="Arial"/>
        </w:rPr>
        <w:t>T</w:t>
      </w:r>
      <w:r w:rsidR="008B1159" w:rsidRPr="186C60C1">
        <w:rPr>
          <w:rFonts w:eastAsia="Arial" w:cs="Arial"/>
        </w:rPr>
        <w:t>he</w:t>
      </w:r>
      <w:r w:rsidR="008B1159">
        <w:rPr>
          <w:rFonts w:eastAsia="Arial" w:cs="Arial"/>
        </w:rPr>
        <w:t xml:space="preserve"> </w:t>
      </w:r>
      <w:r w:rsidR="00FC6F3A">
        <w:rPr>
          <w:rFonts w:eastAsia="Arial" w:cs="Arial"/>
        </w:rPr>
        <w:t>Central Valley Region</w:t>
      </w:r>
      <w:r w:rsidR="00FE5CB6">
        <w:rPr>
          <w:rFonts w:eastAsia="Arial" w:cs="Arial"/>
        </w:rPr>
        <w:t>al Water Board</w:t>
      </w:r>
      <w:r w:rsidR="00FC6F3A">
        <w:rPr>
          <w:rFonts w:eastAsia="Arial" w:cs="Arial"/>
        </w:rPr>
        <w:t xml:space="preserve"> utilizes the approach described </w:t>
      </w:r>
      <w:r w:rsidR="00C075FD">
        <w:rPr>
          <w:rFonts w:eastAsia="Arial" w:cs="Arial"/>
        </w:rPr>
        <w:t xml:space="preserve">in section </w:t>
      </w:r>
      <w:r w:rsidR="002850DD">
        <w:rPr>
          <w:rFonts w:eastAsia="Arial" w:cs="Arial"/>
        </w:rPr>
        <w:t>2.7</w:t>
      </w:r>
      <w:r w:rsidR="00FC6F3A">
        <w:rPr>
          <w:rFonts w:eastAsia="Arial" w:cs="Arial"/>
        </w:rPr>
        <w:t xml:space="preserve"> to prioritize TMDL development. </w:t>
      </w:r>
      <w:r w:rsidR="005A233E">
        <w:rPr>
          <w:rFonts w:eastAsia="Arial" w:cs="Arial"/>
        </w:rPr>
        <w:t xml:space="preserve">As impairments are identified as a higher priority through this process, the listing priority within the </w:t>
      </w:r>
      <w:r w:rsidR="00C05F66">
        <w:rPr>
          <w:rFonts w:eastAsia="Arial" w:cs="Arial"/>
        </w:rPr>
        <w:t>i</w:t>
      </w:r>
      <w:r w:rsidR="005A233E">
        <w:rPr>
          <w:rFonts w:eastAsia="Arial" w:cs="Arial"/>
        </w:rPr>
        <w:t xml:space="preserve">ntegrated </w:t>
      </w:r>
      <w:r w:rsidR="00C05F66">
        <w:rPr>
          <w:rFonts w:eastAsia="Arial" w:cs="Arial"/>
        </w:rPr>
        <w:t>r</w:t>
      </w:r>
      <w:r w:rsidR="005A233E">
        <w:rPr>
          <w:rFonts w:eastAsia="Arial" w:cs="Arial"/>
        </w:rPr>
        <w:t xml:space="preserve">eport will be updated. </w:t>
      </w:r>
      <w:bookmarkEnd w:id="181"/>
    </w:p>
    <w:p w14:paraId="04734DF7" w14:textId="7CA39003" w:rsidR="007710C3" w:rsidRDefault="00F3161B" w:rsidP="00597DE8">
      <w:pPr>
        <w:pStyle w:val="Heading1"/>
      </w:pPr>
      <w:bookmarkStart w:id="182" w:name="_Toc189048630"/>
      <w:r>
        <w:t>Lahontan</w:t>
      </w:r>
      <w:r w:rsidR="007710C3" w:rsidRPr="004502A9">
        <w:t xml:space="preserve"> Region</w:t>
      </w:r>
      <w:r w:rsidR="009322E1">
        <w:t>al Water Board</w:t>
      </w:r>
      <w:bookmarkEnd w:id="182"/>
      <w:r w:rsidR="007710C3" w:rsidRPr="004502A9">
        <w:t xml:space="preserve"> </w:t>
      </w:r>
    </w:p>
    <w:p w14:paraId="32219861" w14:textId="3AE97E5B" w:rsidR="0082471D" w:rsidRPr="00560A53" w:rsidRDefault="0082471D" w:rsidP="0082471D">
      <w:pPr>
        <w:rPr>
          <w:rFonts w:eastAsia="Arial" w:cs="Arial"/>
        </w:rPr>
      </w:pPr>
      <w:bookmarkStart w:id="183" w:name="_Toc35339625"/>
      <w:bookmarkStart w:id="184" w:name="_Toc383584615"/>
      <w:bookmarkStart w:id="185" w:name="_Toc2265942"/>
      <w:bookmarkStart w:id="186" w:name="_Toc19788834"/>
      <w:bookmarkEnd w:id="160"/>
      <w:r w:rsidRPr="004502A9">
        <w:rPr>
          <w:rFonts w:eastAsia="Arial" w:cs="Arial"/>
        </w:rPr>
        <w:t xml:space="preserve">The </w:t>
      </w:r>
      <w:r w:rsidR="00F3161B">
        <w:rPr>
          <w:rFonts w:cs="Arial"/>
        </w:rPr>
        <w:t>Lahontan</w:t>
      </w:r>
      <w:r w:rsidRPr="004502A9">
        <w:rPr>
          <w:rFonts w:eastAsia="Arial" w:cs="Arial"/>
        </w:rPr>
        <w:t xml:space="preserve"> Regional Water Quality Control Boa</w:t>
      </w:r>
      <w:r>
        <w:rPr>
          <w:rFonts w:eastAsia="Arial" w:cs="Arial"/>
        </w:rPr>
        <w:t>rd i</w:t>
      </w:r>
      <w:r w:rsidRPr="004502A9">
        <w:rPr>
          <w:rFonts w:eastAsia="Arial" w:cs="Arial"/>
        </w:rPr>
        <w:t xml:space="preserve">s “on-cycle” for the </w:t>
      </w:r>
      <w:r>
        <w:rPr>
          <w:rFonts w:eastAsia="Arial" w:cs="Arial"/>
        </w:rPr>
        <w:t>2026</w:t>
      </w:r>
      <w:r w:rsidRPr="004502A9">
        <w:rPr>
          <w:rFonts w:eastAsia="Arial" w:cs="Arial"/>
        </w:rPr>
        <w:t xml:space="preserve"> </w:t>
      </w:r>
      <w:r>
        <w:rPr>
          <w:rFonts w:eastAsia="Arial" w:cs="Arial"/>
        </w:rPr>
        <w:t>California Integrated Report</w:t>
      </w:r>
      <w:r w:rsidRPr="004502A9">
        <w:rPr>
          <w:rFonts w:eastAsia="Arial" w:cs="Arial"/>
        </w:rPr>
        <w:t xml:space="preserve">. </w:t>
      </w:r>
      <w:r w:rsidR="00AF584C">
        <w:rPr>
          <w:rFonts w:eastAsia="Arial" w:cs="Arial"/>
        </w:rPr>
        <w:t>Data was assessed</w:t>
      </w:r>
      <w:r w:rsidRPr="004502A9">
        <w:rPr>
          <w:rFonts w:eastAsia="Arial" w:cs="Arial"/>
        </w:rPr>
        <w:t xml:space="preserve"> from a total of </w:t>
      </w:r>
      <w:r w:rsidR="0017336C">
        <w:rPr>
          <w:rFonts w:cs="Arial"/>
        </w:rPr>
        <w:t>23</w:t>
      </w:r>
      <w:r w:rsidR="00AB5967">
        <w:rPr>
          <w:rFonts w:cs="Arial"/>
        </w:rPr>
        <w:t>6</w:t>
      </w:r>
      <w:r>
        <w:rPr>
          <w:rFonts w:eastAsia="Arial" w:cs="Arial"/>
        </w:rPr>
        <w:t xml:space="preserve"> </w:t>
      </w:r>
      <w:r w:rsidRPr="004502A9">
        <w:rPr>
          <w:rFonts w:eastAsia="Arial" w:cs="Arial"/>
        </w:rPr>
        <w:t>waterbod</w:t>
      </w:r>
      <w:r w:rsidR="00023BEE">
        <w:rPr>
          <w:rFonts w:eastAsia="Arial" w:cs="Arial"/>
        </w:rPr>
        <w:t>y segments</w:t>
      </w:r>
      <w:r w:rsidRPr="004502A9">
        <w:rPr>
          <w:rFonts w:eastAsia="Arial" w:cs="Arial"/>
        </w:rPr>
        <w:t xml:space="preserve">, containing </w:t>
      </w:r>
      <w:r w:rsidR="00E87B3A">
        <w:rPr>
          <w:rFonts w:cs="Arial"/>
        </w:rPr>
        <w:t>3,10</w:t>
      </w:r>
      <w:r w:rsidR="00CD04A0">
        <w:rPr>
          <w:rFonts w:cs="Arial"/>
        </w:rPr>
        <w:t>4</w:t>
      </w:r>
      <w:r w:rsidRPr="004502A9">
        <w:rPr>
          <w:rFonts w:eastAsia="Arial" w:cs="Arial"/>
        </w:rPr>
        <w:t xml:space="preserve"> waterbody-pollutant combinations. Based on these assessments </w:t>
      </w:r>
      <w:r w:rsidR="00B53B97">
        <w:rPr>
          <w:rFonts w:cs="Arial"/>
        </w:rPr>
        <w:t>151</w:t>
      </w:r>
      <w:r w:rsidR="00B53B97">
        <w:rPr>
          <w:rFonts w:eastAsia="Arial" w:cs="Arial"/>
        </w:rPr>
        <w:t xml:space="preserve"> </w:t>
      </w:r>
      <w:r w:rsidRPr="004502A9">
        <w:rPr>
          <w:rFonts w:eastAsia="Arial" w:cs="Arial"/>
        </w:rPr>
        <w:t xml:space="preserve">waterbody-pollutant combinations are to be added to the 303(d) </w:t>
      </w:r>
      <w:r>
        <w:rPr>
          <w:rFonts w:eastAsia="Arial" w:cs="Arial"/>
        </w:rPr>
        <w:t>l</w:t>
      </w:r>
      <w:r w:rsidRPr="004502A9">
        <w:rPr>
          <w:rFonts w:eastAsia="Arial" w:cs="Arial"/>
        </w:rPr>
        <w:t>ist</w:t>
      </w:r>
      <w:r w:rsidR="00980668">
        <w:rPr>
          <w:rFonts w:eastAsia="Arial" w:cs="Arial"/>
        </w:rPr>
        <w:t xml:space="preserve"> </w:t>
      </w:r>
      <w:r w:rsidR="00980668" w:rsidRPr="004502A9">
        <w:rPr>
          <w:rFonts w:eastAsia="Arial" w:cs="Arial"/>
        </w:rPr>
        <w:t xml:space="preserve">and </w:t>
      </w:r>
      <w:r w:rsidR="000A62B1">
        <w:rPr>
          <w:rFonts w:cs="Arial"/>
        </w:rPr>
        <w:t>35</w:t>
      </w:r>
      <w:r w:rsidR="00980668">
        <w:rPr>
          <w:rFonts w:eastAsia="Arial" w:cs="Arial"/>
        </w:rPr>
        <w:t xml:space="preserve"> </w:t>
      </w:r>
      <w:r w:rsidR="00980668" w:rsidRPr="004502A9">
        <w:rPr>
          <w:rFonts w:eastAsia="Arial" w:cs="Arial"/>
        </w:rPr>
        <w:t xml:space="preserve">waterbody-pollutant combinations are to be removed from the 303(d) </w:t>
      </w:r>
      <w:r w:rsidR="00980668">
        <w:rPr>
          <w:rFonts w:eastAsia="Arial" w:cs="Arial"/>
        </w:rPr>
        <w:t>l</w:t>
      </w:r>
      <w:r w:rsidR="00980668" w:rsidRPr="004502A9">
        <w:rPr>
          <w:rFonts w:eastAsia="Arial" w:cs="Arial"/>
        </w:rPr>
        <w:t>ist</w:t>
      </w:r>
      <w:r w:rsidRPr="004502A9">
        <w:rPr>
          <w:rFonts w:eastAsia="Arial" w:cs="Arial"/>
        </w:rPr>
        <w:t xml:space="preserve">. </w:t>
      </w:r>
      <w:r w:rsidR="00560A53">
        <w:rPr>
          <w:rFonts w:eastAsia="Arial" w:cs="Arial"/>
        </w:rPr>
        <w:t>Selected a</w:t>
      </w:r>
      <w:r w:rsidR="00560A53" w:rsidRPr="00036BD4">
        <w:rPr>
          <w:rFonts w:eastAsia="Arial" w:cs="Arial"/>
        </w:rPr>
        <w:t xml:space="preserve">ssessments specific to the </w:t>
      </w:r>
      <w:r w:rsidR="00560A53">
        <w:rPr>
          <w:rFonts w:cs="Arial"/>
        </w:rPr>
        <w:t>Lahontan</w:t>
      </w:r>
      <w:r w:rsidR="00560A53" w:rsidRPr="00036BD4">
        <w:rPr>
          <w:rFonts w:eastAsia="Arial" w:cs="Arial"/>
        </w:rPr>
        <w:t xml:space="preserve"> </w:t>
      </w:r>
      <w:r w:rsidR="00560A53">
        <w:rPr>
          <w:rFonts w:eastAsia="Arial" w:cs="Arial"/>
        </w:rPr>
        <w:t xml:space="preserve">Regional </w:t>
      </w:r>
      <w:r w:rsidR="00560A53" w:rsidRPr="00036BD4">
        <w:rPr>
          <w:rFonts w:eastAsia="Arial" w:cs="Arial"/>
        </w:rPr>
        <w:t xml:space="preserve">Water Board are described in the following subsections. </w:t>
      </w:r>
    </w:p>
    <w:p w14:paraId="5DF35B07" w14:textId="139AC670" w:rsidR="00FC6ECB" w:rsidRPr="00560E36" w:rsidRDefault="00C15E43" w:rsidP="00560A53">
      <w:pPr>
        <w:pStyle w:val="Heading2"/>
      </w:pPr>
      <w:bookmarkStart w:id="187" w:name="_Toc189048631"/>
      <w:r>
        <w:t xml:space="preserve">Indicator Bacteria Assessments Using Revised </w:t>
      </w:r>
      <w:r w:rsidR="00464C0A">
        <w:t>Bacteria Objectives</w:t>
      </w:r>
      <w:bookmarkEnd w:id="187"/>
    </w:p>
    <w:p w14:paraId="4E199E05" w14:textId="11A6E099" w:rsidR="00F26ED1" w:rsidRDefault="001357D4" w:rsidP="007B32E0">
      <w:r>
        <w:t xml:space="preserve">In 2023 the Lahontan </w:t>
      </w:r>
      <w:r w:rsidR="00F641AE">
        <w:t>Regional</w:t>
      </w:r>
      <w:r>
        <w:t xml:space="preserve"> Water Board a</w:t>
      </w:r>
      <w:r w:rsidR="00B171CA">
        <w:t>dopted</w:t>
      </w:r>
      <w:r>
        <w:t xml:space="preserve"> a </w:t>
      </w:r>
      <w:hyperlink r:id="rId75">
        <w:r w:rsidRPr="07D37722">
          <w:rPr>
            <w:rStyle w:val="Hyperlink"/>
          </w:rPr>
          <w:t xml:space="preserve">Basin Plan </w:t>
        </w:r>
        <w:r w:rsidR="00E17454" w:rsidRPr="07D37722">
          <w:rPr>
            <w:rStyle w:val="Hyperlink"/>
          </w:rPr>
          <w:t>Amendment</w:t>
        </w:r>
      </w:hyperlink>
      <w:r w:rsidR="00782DDC">
        <w:t xml:space="preserve"> </w:t>
      </w:r>
      <w:r w:rsidR="005532A0">
        <w:t>(</w:t>
      </w:r>
      <w:hyperlink r:id="rId76">
        <w:r w:rsidR="005532A0" w:rsidRPr="501B74B9">
          <w:rPr>
            <w:rStyle w:val="Hyperlink"/>
          </w:rPr>
          <w:t>https://www.waterboards.ca.gov/lahontan/water_issues/programs/basin_plan/bacteria_water_quality_objectives_amendment.html</w:t>
        </w:r>
      </w:hyperlink>
      <w:r w:rsidR="005532A0">
        <w:t xml:space="preserve">) </w:t>
      </w:r>
      <w:r w:rsidR="00782DDC">
        <w:t>(</w:t>
      </w:r>
      <w:r w:rsidR="001A4B7F">
        <w:t>R</w:t>
      </w:r>
      <w:r w:rsidR="00782DDC">
        <w:t>esolution</w:t>
      </w:r>
      <w:r w:rsidR="001A4B7F">
        <w:t xml:space="preserve"> No.</w:t>
      </w:r>
      <w:r w:rsidR="00782DDC">
        <w:t xml:space="preserve"> </w:t>
      </w:r>
      <w:r w:rsidR="001835F5">
        <w:t>R6T</w:t>
      </w:r>
      <w:r w:rsidR="00D11FE5">
        <w:t>-</w:t>
      </w:r>
      <w:r w:rsidR="00314605">
        <w:t>2023</w:t>
      </w:r>
      <w:r w:rsidR="008B4417">
        <w:t>-0025)</w:t>
      </w:r>
      <w:r>
        <w:t xml:space="preserve"> </w:t>
      </w:r>
      <w:r w:rsidR="002804F5">
        <w:t xml:space="preserve">removing </w:t>
      </w:r>
      <w:r w:rsidR="00626966">
        <w:t xml:space="preserve">the </w:t>
      </w:r>
      <w:r w:rsidR="002804F5">
        <w:t xml:space="preserve">fecal coliform </w:t>
      </w:r>
      <w:r w:rsidR="003D7966">
        <w:t>water quality objective</w:t>
      </w:r>
      <w:r w:rsidR="003465D3">
        <w:t xml:space="preserve"> from the Water Quality Control Plan for the Lahontan Region</w:t>
      </w:r>
      <w:r w:rsidR="00FC3506">
        <w:t xml:space="preserve"> (</w:t>
      </w:r>
      <w:r w:rsidR="005532A0">
        <w:t>“</w:t>
      </w:r>
      <w:r w:rsidR="00FC3506">
        <w:t>Lahontan Bas</w:t>
      </w:r>
      <w:r w:rsidR="00467488">
        <w:t>i</w:t>
      </w:r>
      <w:r w:rsidR="00FC3506">
        <w:t>n Plan</w:t>
      </w:r>
      <w:r w:rsidR="005532A0">
        <w:t>”</w:t>
      </w:r>
      <w:r w:rsidR="00FC3506">
        <w:t>)</w:t>
      </w:r>
      <w:r w:rsidR="00626966">
        <w:t xml:space="preserve">. The </w:t>
      </w:r>
      <w:r w:rsidR="003C4A7C">
        <w:t>Amendment</w:t>
      </w:r>
      <w:r w:rsidR="006C51A2">
        <w:t xml:space="preserve"> was</w:t>
      </w:r>
      <w:r w:rsidR="006C51A2" w:rsidDel="00186C3D">
        <w:t xml:space="preserve"> </w:t>
      </w:r>
      <w:r w:rsidR="00186C3D">
        <w:t>adopted</w:t>
      </w:r>
      <w:r w:rsidR="006C51A2">
        <w:t xml:space="preserve"> by </w:t>
      </w:r>
      <w:r w:rsidR="009C3796">
        <w:t>the State Wa</w:t>
      </w:r>
      <w:r w:rsidR="00D152B4">
        <w:t xml:space="preserve">ter Board in </w:t>
      </w:r>
      <w:r w:rsidR="00F72513">
        <w:t xml:space="preserve">2024 </w:t>
      </w:r>
      <w:r w:rsidR="001A4B7F">
        <w:t xml:space="preserve">(Resolution No. </w:t>
      </w:r>
      <w:r w:rsidR="00624126">
        <w:t>2024-</w:t>
      </w:r>
      <w:r w:rsidR="009C18DD">
        <w:t xml:space="preserve">003) </w:t>
      </w:r>
      <w:r w:rsidR="00F72513">
        <w:t xml:space="preserve">and </w:t>
      </w:r>
      <w:r w:rsidR="00D75B74">
        <w:t xml:space="preserve">is expected to be </w:t>
      </w:r>
      <w:r w:rsidR="00766D02">
        <w:t xml:space="preserve">approved by USEPA </w:t>
      </w:r>
      <w:r w:rsidR="00D75B74">
        <w:t>in 202</w:t>
      </w:r>
      <w:r w:rsidR="00C10D7D">
        <w:t>5</w:t>
      </w:r>
      <w:r w:rsidR="003C4A7C">
        <w:t>.</w:t>
      </w:r>
      <w:r w:rsidR="00A95C00">
        <w:t xml:space="preserve"> </w:t>
      </w:r>
      <w:r w:rsidR="00A93FE9">
        <w:t>Therefore,</w:t>
      </w:r>
      <w:r w:rsidR="00617418">
        <w:t xml:space="preserve"> the fecal coliform lines of evidence </w:t>
      </w:r>
      <w:r w:rsidR="00907389">
        <w:t xml:space="preserve">utilized in past indicator bacteria </w:t>
      </w:r>
      <w:r w:rsidR="00E05849">
        <w:t xml:space="preserve">Decisions </w:t>
      </w:r>
      <w:r w:rsidR="009103A3">
        <w:t>wer</w:t>
      </w:r>
      <w:r w:rsidR="002E6043">
        <w:t xml:space="preserve">e not included in </w:t>
      </w:r>
      <w:r w:rsidR="002D5AEE">
        <w:t xml:space="preserve">the </w:t>
      </w:r>
      <w:r w:rsidR="00E475D1">
        <w:t>2026 California Integrated Report</w:t>
      </w:r>
      <w:r w:rsidR="00E9017F">
        <w:t xml:space="preserve">. </w:t>
      </w:r>
      <w:r w:rsidR="00760EDE">
        <w:t xml:space="preserve">2026 </w:t>
      </w:r>
      <w:r w:rsidR="00283F94">
        <w:t>California</w:t>
      </w:r>
      <w:r w:rsidR="00760EDE">
        <w:t xml:space="preserve"> Integrated Report i</w:t>
      </w:r>
      <w:r w:rsidR="00562B89">
        <w:t xml:space="preserve">ndicator </w:t>
      </w:r>
      <w:r w:rsidR="00DA4B87">
        <w:t>bacteria</w:t>
      </w:r>
      <w:r w:rsidR="00562B89" w:rsidDel="00E475D1">
        <w:t xml:space="preserve"> </w:t>
      </w:r>
      <w:r w:rsidR="00E475D1">
        <w:t>Decisions</w:t>
      </w:r>
      <w:r w:rsidR="00562B89">
        <w:t xml:space="preserve"> were made using</w:t>
      </w:r>
      <w:r w:rsidR="00B36AFD">
        <w:t xml:space="preserve"> the </w:t>
      </w:r>
      <w:r w:rsidR="00562B89">
        <w:t xml:space="preserve">statewide </w:t>
      </w:r>
      <w:r w:rsidR="00562B89" w:rsidRPr="586F978B">
        <w:rPr>
          <w:i/>
          <w:iCs/>
        </w:rPr>
        <w:t>E.</w:t>
      </w:r>
      <w:r w:rsidR="00562B89" w:rsidRPr="00562B89">
        <w:rPr>
          <w:i/>
          <w:iCs/>
        </w:rPr>
        <w:t xml:space="preserve"> coli</w:t>
      </w:r>
      <w:r w:rsidR="00562B89">
        <w:t xml:space="preserve"> water quality objective.</w:t>
      </w:r>
      <w:r w:rsidR="0028267E">
        <w:t xml:space="preserve"> </w:t>
      </w:r>
      <w:r w:rsidR="002A71C2">
        <w:t xml:space="preserve">Consistent with the direction provided in the statewide </w:t>
      </w:r>
      <w:r w:rsidR="002A71C2" w:rsidRPr="003066C4">
        <w:rPr>
          <w:i/>
          <w:iCs/>
        </w:rPr>
        <w:t>E. coli</w:t>
      </w:r>
      <w:r w:rsidR="002A71C2">
        <w:t xml:space="preserve"> water quality objective, </w:t>
      </w:r>
      <w:r w:rsidR="00141611">
        <w:t>ge</w:t>
      </w:r>
      <w:r w:rsidR="00AA03B1">
        <w:t>o</w:t>
      </w:r>
      <w:r w:rsidR="00141611">
        <w:t>metric mea</w:t>
      </w:r>
      <w:r w:rsidR="00AA03B1">
        <w:t>n</w:t>
      </w:r>
      <w:r w:rsidR="00141611">
        <w:t xml:space="preserve">s were only generated if there were 5 </w:t>
      </w:r>
      <w:r w:rsidR="00145FE0">
        <w:t xml:space="preserve">or more </w:t>
      </w:r>
      <w:r w:rsidR="00141611">
        <w:t>samples collected within a 6</w:t>
      </w:r>
      <w:r w:rsidR="00BB1FE4">
        <w:t>-wee</w:t>
      </w:r>
      <w:r w:rsidR="006F5B61">
        <w:t>k</w:t>
      </w:r>
      <w:r w:rsidR="00141611">
        <w:t xml:space="preserve"> period</w:t>
      </w:r>
      <w:r w:rsidR="00136D2C">
        <w:t>. If less than 5 samples were collected within a 6-week period,</w:t>
      </w:r>
      <w:r w:rsidR="0099217D">
        <w:t xml:space="preserve"> </w:t>
      </w:r>
      <w:r w:rsidR="0030099D">
        <w:t xml:space="preserve">attainment of the </w:t>
      </w:r>
      <w:r w:rsidR="00136D2C" w:rsidRPr="003066C4">
        <w:rPr>
          <w:i/>
          <w:iCs/>
        </w:rPr>
        <w:t>E. coli</w:t>
      </w:r>
      <w:r w:rsidR="00136D2C">
        <w:t xml:space="preserve"> </w:t>
      </w:r>
      <w:r w:rsidR="0030099D">
        <w:t xml:space="preserve">objective was assessed based </w:t>
      </w:r>
      <w:r w:rsidR="005A37A3">
        <w:t>solely</w:t>
      </w:r>
      <w:r w:rsidR="0030099D">
        <w:t xml:space="preserve"> on attainment of the </w:t>
      </w:r>
      <w:r w:rsidR="00226BD8">
        <w:t xml:space="preserve">objective’s </w:t>
      </w:r>
      <w:r w:rsidR="0030099D">
        <w:t>statistical threshold value</w:t>
      </w:r>
      <w:r w:rsidR="00136D2C">
        <w:t>.</w:t>
      </w:r>
      <w:r w:rsidR="00715DE1">
        <w:t xml:space="preserve"> </w:t>
      </w:r>
      <w:r w:rsidR="008C64C5">
        <w:t xml:space="preserve">See </w:t>
      </w:r>
      <w:r w:rsidR="00060E85">
        <w:t>Section</w:t>
      </w:r>
      <w:r w:rsidR="008C64C5">
        <w:t xml:space="preserve"> 3.9 for Bacteria and REC-1 Beneficial Use for an </w:t>
      </w:r>
      <w:r w:rsidR="00E4340B">
        <w:t xml:space="preserve">in-depth description of the </w:t>
      </w:r>
      <w:r w:rsidR="00D1287A">
        <w:t>statewide bacteria numeric water quality objectives</w:t>
      </w:r>
      <w:r w:rsidR="00136D2C">
        <w:t>.</w:t>
      </w:r>
      <w:r w:rsidR="00715DE1">
        <w:t xml:space="preserve"> </w:t>
      </w:r>
    </w:p>
    <w:p w14:paraId="28ADCE80" w14:textId="427D4B12" w:rsidR="007B32E0" w:rsidRDefault="00D66E56" w:rsidP="007B32E0">
      <w:r>
        <w:t xml:space="preserve">In </w:t>
      </w:r>
      <w:r w:rsidR="004326B8">
        <w:t>3</w:t>
      </w:r>
      <w:r w:rsidR="005C6D3A">
        <w:t>2</w:t>
      </w:r>
      <w:r>
        <w:t xml:space="preserve"> cases </w:t>
      </w:r>
      <w:r w:rsidR="008D7A30">
        <w:t xml:space="preserve">where </w:t>
      </w:r>
      <w:r w:rsidR="00C351FA">
        <w:t xml:space="preserve">waterbody segments </w:t>
      </w:r>
      <w:r w:rsidR="008D7A30">
        <w:t>were previously listed based on the fecal coliform water quality objective,</w:t>
      </w:r>
      <w:r>
        <w:t xml:space="preserve"> the </w:t>
      </w:r>
      <w:r w:rsidR="006D66A3" w:rsidRPr="003066C4">
        <w:rPr>
          <w:i/>
          <w:iCs/>
        </w:rPr>
        <w:t>E.</w:t>
      </w:r>
      <w:r w:rsidR="006D66A3" w:rsidRPr="003066C4">
        <w:rPr>
          <w:i/>
        </w:rPr>
        <w:t xml:space="preserve"> coli</w:t>
      </w:r>
      <w:r w:rsidR="006D66A3">
        <w:t xml:space="preserve"> water quality objectiv</w:t>
      </w:r>
      <w:r w:rsidR="00A91AA0">
        <w:t>e was consistently attained</w:t>
      </w:r>
      <w:r w:rsidR="00A603FD">
        <w:t>,</w:t>
      </w:r>
      <w:r w:rsidR="00A91AA0">
        <w:t xml:space="preserve"> so </w:t>
      </w:r>
      <w:r w:rsidR="006E35B9">
        <w:t>waterbody</w:t>
      </w:r>
      <w:r w:rsidR="00C47125">
        <w:t xml:space="preserve">-pollutant combination </w:t>
      </w:r>
      <w:r w:rsidR="00535229">
        <w:t>Decisions</w:t>
      </w:r>
      <w:r w:rsidR="006E35B9">
        <w:t xml:space="preserve"> </w:t>
      </w:r>
      <w:r w:rsidR="00535229">
        <w:t>were updated to “D</w:t>
      </w:r>
      <w:r w:rsidR="006E35B9">
        <w:t>eli</w:t>
      </w:r>
      <w:r w:rsidR="00D92ED4">
        <w:t>s</w:t>
      </w:r>
      <w:r w:rsidR="006E35B9">
        <w:t>t</w:t>
      </w:r>
      <w:r w:rsidR="00535229">
        <w:t>”</w:t>
      </w:r>
      <w:r w:rsidR="006E35B9">
        <w:t xml:space="preserve"> for </w:t>
      </w:r>
      <w:r w:rsidR="00303EC4">
        <w:t>indictor bacteria</w:t>
      </w:r>
      <w:r w:rsidR="006E35B9">
        <w:t>.</w:t>
      </w:r>
      <w:r w:rsidR="00F26ED1">
        <w:t xml:space="preserve"> </w:t>
      </w:r>
      <w:r w:rsidR="006E35B9">
        <w:t>In one case (Indian Creek)</w:t>
      </w:r>
      <w:r w:rsidR="008D72F0">
        <w:t>,</w:t>
      </w:r>
      <w:r w:rsidR="006E35B9">
        <w:t xml:space="preserve"> the </w:t>
      </w:r>
      <w:r w:rsidR="00957173">
        <w:t xml:space="preserve">listing for fecal indicator bacteria </w:t>
      </w:r>
      <w:r w:rsidR="006A7895">
        <w:t xml:space="preserve">was </w:t>
      </w:r>
      <w:r w:rsidR="00957173">
        <w:t xml:space="preserve">based </w:t>
      </w:r>
      <w:r w:rsidR="00CF7DB3">
        <w:t>solely</w:t>
      </w:r>
      <w:r w:rsidR="000848C4">
        <w:t xml:space="preserve"> on </w:t>
      </w:r>
      <w:r w:rsidR="00957173">
        <w:t>fecal coliform</w:t>
      </w:r>
      <w:r w:rsidR="006A7895">
        <w:t xml:space="preserve"> </w:t>
      </w:r>
      <w:r w:rsidR="72E0B129">
        <w:t>dat</w:t>
      </w:r>
      <w:r w:rsidR="4B8531B1">
        <w:t>a</w:t>
      </w:r>
      <w:r w:rsidR="006A7895">
        <w:t xml:space="preserve"> </w:t>
      </w:r>
      <w:r w:rsidR="000848C4">
        <w:t>and</w:t>
      </w:r>
      <w:r w:rsidR="00957173">
        <w:t xml:space="preserve"> </w:t>
      </w:r>
      <w:r w:rsidR="00957173" w:rsidRPr="006E23E8">
        <w:rPr>
          <w:i/>
        </w:rPr>
        <w:t>E. coli</w:t>
      </w:r>
      <w:r w:rsidR="00957173">
        <w:t xml:space="preserve"> data was not available</w:t>
      </w:r>
      <w:r w:rsidR="00996DE7">
        <w:t>, so the waterbody</w:t>
      </w:r>
      <w:r w:rsidR="001E351F">
        <w:t xml:space="preserve">-pollutant combination </w:t>
      </w:r>
      <w:r w:rsidR="00C47125">
        <w:t xml:space="preserve">Decision </w:t>
      </w:r>
      <w:r w:rsidR="001E351F">
        <w:t xml:space="preserve">was </w:t>
      </w:r>
      <w:r w:rsidR="00C47125">
        <w:t>updated to “D</w:t>
      </w:r>
      <w:r w:rsidR="001E351F">
        <w:t>elist</w:t>
      </w:r>
      <w:r w:rsidR="00122DE6">
        <w:t>”</w:t>
      </w:r>
      <w:r w:rsidR="001E351F">
        <w:t xml:space="preserve"> based on the original (fecal coliform-based) listing being flawed</w:t>
      </w:r>
      <w:r w:rsidR="000E39A5">
        <w:t>. T</w:t>
      </w:r>
      <w:r w:rsidR="00DB1377">
        <w:t>h</w:t>
      </w:r>
      <w:r w:rsidR="0006710E">
        <w:t>e</w:t>
      </w:r>
      <w:r w:rsidR="00DB1377">
        <w:t xml:space="preserve"> waterbody</w:t>
      </w:r>
      <w:r w:rsidR="00E2383D">
        <w:t>-</w:t>
      </w:r>
      <w:r w:rsidR="00DB1377">
        <w:t xml:space="preserve">pollutant combination </w:t>
      </w:r>
      <w:r w:rsidR="0006710E">
        <w:t>of indicator bacteria in Ind</w:t>
      </w:r>
      <w:r w:rsidR="00FB2239">
        <w:t>i</w:t>
      </w:r>
      <w:r w:rsidR="0006710E">
        <w:t xml:space="preserve">an Creek </w:t>
      </w:r>
      <w:r w:rsidR="00DB1377">
        <w:t xml:space="preserve">was </w:t>
      </w:r>
      <w:r w:rsidR="003A5B35">
        <w:t xml:space="preserve">placed </w:t>
      </w:r>
      <w:r w:rsidR="00E2383D">
        <w:t>in category 3</w:t>
      </w:r>
      <w:r w:rsidR="00F90F41">
        <w:t>.</w:t>
      </w:r>
      <w:r w:rsidR="00E2383D">
        <w:t xml:space="preserve"> </w:t>
      </w:r>
      <w:r w:rsidR="00F90F41">
        <w:t xml:space="preserve">As </w:t>
      </w:r>
      <w:r w:rsidR="00E2383D">
        <w:t xml:space="preserve">discussed in </w:t>
      </w:r>
      <w:r w:rsidR="00810B19">
        <w:t>S</w:t>
      </w:r>
      <w:r w:rsidR="00E2383D">
        <w:t xml:space="preserve">ection 2.5 </w:t>
      </w:r>
      <w:r w:rsidR="00ED3A6A">
        <w:t>Integrated Report Condition Categories</w:t>
      </w:r>
      <w:r w:rsidR="00E2383D">
        <w:t xml:space="preserve">, </w:t>
      </w:r>
      <w:r w:rsidR="00F42758">
        <w:t>c</w:t>
      </w:r>
      <w:r w:rsidR="00F90F41">
        <w:t xml:space="preserve">ategory 3 </w:t>
      </w:r>
      <w:r w:rsidR="00E2383D">
        <w:t>is defined as</w:t>
      </w:r>
      <w:r w:rsidR="00324176">
        <w:t xml:space="preserve"> </w:t>
      </w:r>
      <w:r w:rsidR="00E2383D">
        <w:t>“</w:t>
      </w:r>
      <w:r w:rsidR="00C74B5F">
        <w:t>Insufficient data and/or information to make a beneficial use support determination but data and/or information indicates beneficial uses may be potentially threatened.</w:t>
      </w:r>
      <w:r w:rsidR="00E2383D">
        <w:t>”</w:t>
      </w:r>
      <w:r w:rsidR="002237D0">
        <w:t xml:space="preserve"> </w:t>
      </w:r>
      <w:r w:rsidR="00303EC4">
        <w:t xml:space="preserve"> </w:t>
      </w:r>
    </w:p>
    <w:p w14:paraId="6AC177DA" w14:textId="715EFDD1" w:rsidR="00C238AC" w:rsidRDefault="007E004E" w:rsidP="00560A53">
      <w:pPr>
        <w:pStyle w:val="Heading2"/>
      </w:pPr>
      <w:bookmarkStart w:id="188" w:name="_Toc189048632"/>
      <w:r>
        <w:t>Dissolved Oxygen</w:t>
      </w:r>
      <w:r w:rsidR="00DE3018">
        <w:t xml:space="preserve"> </w:t>
      </w:r>
      <w:r w:rsidR="00760E1B">
        <w:t>Using Percent Saturation</w:t>
      </w:r>
      <w:bookmarkEnd w:id="188"/>
    </w:p>
    <w:p w14:paraId="2744F35E" w14:textId="589BB417" w:rsidR="008C0A48" w:rsidRDefault="00E77324" w:rsidP="00C238AC">
      <w:r>
        <w:t>Dissolved oxygen (</w:t>
      </w:r>
      <w:r w:rsidR="00ED3A6A">
        <w:t>“</w:t>
      </w:r>
      <w:r>
        <w:t>DO</w:t>
      </w:r>
      <w:r w:rsidR="00ED3A6A">
        <w:t>”</w:t>
      </w:r>
      <w:r>
        <w:t xml:space="preserve">) </w:t>
      </w:r>
      <w:r w:rsidR="00074184">
        <w:t xml:space="preserve">water quality </w:t>
      </w:r>
      <w:r>
        <w:t xml:space="preserve">objectives in the Lahontan Basin Plan </w:t>
      </w:r>
      <w:r w:rsidR="521C85D6">
        <w:t>state that</w:t>
      </w:r>
      <w:r w:rsidR="0066516F">
        <w:t xml:space="preserve"> minimum DO </w:t>
      </w:r>
      <w:r>
        <w:t xml:space="preserve">concentrations </w:t>
      </w:r>
      <w:r w:rsidR="74E8BC51">
        <w:t xml:space="preserve">shall not be less than specific </w:t>
      </w:r>
      <w:r w:rsidR="009A504B">
        <w:t>numeric</w:t>
      </w:r>
      <w:r w:rsidR="00C50746">
        <w:t xml:space="preserve"> </w:t>
      </w:r>
      <w:r w:rsidR="00D05E19">
        <w:t>values</w:t>
      </w:r>
      <w:r>
        <w:t xml:space="preserve"> </w:t>
      </w:r>
      <w:r w:rsidR="00A443BA">
        <w:t>and</w:t>
      </w:r>
      <w:r w:rsidR="6DEFE252">
        <w:t xml:space="preserve"> also</w:t>
      </w:r>
      <w:r w:rsidR="0066516F">
        <w:t xml:space="preserve"> </w:t>
      </w:r>
      <w:r w:rsidR="00BA4267">
        <w:t>state that minimum</w:t>
      </w:r>
      <w:r w:rsidR="00807A3F">
        <w:t xml:space="preserve"> DO</w:t>
      </w:r>
      <w:r w:rsidR="00BA4267">
        <w:t xml:space="preserve"> concentrations shall not be less than 80 </w:t>
      </w:r>
      <w:r w:rsidR="003309CB">
        <w:t>percent</w:t>
      </w:r>
      <w:r w:rsidR="00BA4267">
        <w:t xml:space="preserve"> of saturation. </w:t>
      </w:r>
    </w:p>
    <w:p w14:paraId="5E5B5713" w14:textId="7C3998C4" w:rsidR="00C238AC" w:rsidRPr="00C238AC" w:rsidRDefault="00BA4267" w:rsidP="00C238AC">
      <w:r>
        <w:t>Attainment of the 8</w:t>
      </w:r>
      <w:r w:rsidR="00B52EFE">
        <w:t>0</w:t>
      </w:r>
      <w:r>
        <w:t xml:space="preserve"> </w:t>
      </w:r>
      <w:r w:rsidR="00DA624C">
        <w:t xml:space="preserve">percent </w:t>
      </w:r>
      <w:r w:rsidR="00DD626D">
        <w:t>saturation</w:t>
      </w:r>
      <w:r w:rsidR="00B52EFE">
        <w:t xml:space="preserve"> threshold</w:t>
      </w:r>
      <w:r>
        <w:t xml:space="preserve"> was assessed </w:t>
      </w:r>
      <w:r w:rsidR="005F2AEA">
        <w:t xml:space="preserve">by comparing </w:t>
      </w:r>
      <w:r w:rsidR="008F4347">
        <w:t xml:space="preserve">minimum </w:t>
      </w:r>
      <w:r w:rsidR="005F2AEA">
        <w:t>DO concentration</w:t>
      </w:r>
      <w:r w:rsidR="001B62AB">
        <w:t>s</w:t>
      </w:r>
      <w:r w:rsidR="005F2AEA">
        <w:t xml:space="preserve"> to </w:t>
      </w:r>
      <w:r w:rsidR="005742A0">
        <w:t xml:space="preserve">fully </w:t>
      </w:r>
      <w:r w:rsidR="005F2AEA">
        <w:t>saturat</w:t>
      </w:r>
      <w:r w:rsidR="00902E82">
        <w:t>ed DO</w:t>
      </w:r>
      <w:r w:rsidR="005F2AEA">
        <w:t xml:space="preserve"> </w:t>
      </w:r>
      <w:r w:rsidR="00137294">
        <w:t>concentration</w:t>
      </w:r>
      <w:r w:rsidR="00363872">
        <w:t>s</w:t>
      </w:r>
      <w:r w:rsidR="00B20DE6">
        <w:t xml:space="preserve">. </w:t>
      </w:r>
      <w:r w:rsidR="005742A0">
        <w:t xml:space="preserve">Fully </w:t>
      </w:r>
      <w:r w:rsidR="000E2BE8">
        <w:t>saturat</w:t>
      </w:r>
      <w:r w:rsidR="00902E82">
        <w:t>ed</w:t>
      </w:r>
      <w:r w:rsidR="000E2BE8">
        <w:t xml:space="preserve"> </w:t>
      </w:r>
      <w:r w:rsidR="00902E82">
        <w:t xml:space="preserve">DO </w:t>
      </w:r>
      <w:r w:rsidR="000E2BE8">
        <w:t>concentrations</w:t>
      </w:r>
      <w:r w:rsidR="007C702F">
        <w:t xml:space="preserve"> were </w:t>
      </w:r>
      <w:r w:rsidR="00363872">
        <w:t>calculated using</w:t>
      </w:r>
      <w:r w:rsidR="00C131E9">
        <w:t xml:space="preserve"> </w:t>
      </w:r>
      <w:r w:rsidR="00A23EC6">
        <w:t>accompanying</w:t>
      </w:r>
      <w:r w:rsidR="00137294">
        <w:t xml:space="preserve"> </w:t>
      </w:r>
      <w:r w:rsidR="003C366A">
        <w:t xml:space="preserve">temperature </w:t>
      </w:r>
      <w:r w:rsidR="00CD70BD">
        <w:t>data</w:t>
      </w:r>
      <w:r w:rsidR="003C366A">
        <w:t xml:space="preserve"> and</w:t>
      </w:r>
      <w:r w:rsidR="0029516B">
        <w:t xml:space="preserve"> </w:t>
      </w:r>
      <w:r w:rsidR="003C366A">
        <w:t>elevation</w:t>
      </w:r>
      <w:r w:rsidR="00C54B9D">
        <w:t xml:space="preserve"> </w:t>
      </w:r>
      <w:r w:rsidR="00DD626D">
        <w:t>of the sample site</w:t>
      </w:r>
      <w:r w:rsidR="003309CB">
        <w:t>, utilizing</w:t>
      </w:r>
      <w:r w:rsidR="008B082F">
        <w:t xml:space="preserve"> </w:t>
      </w:r>
      <w:r w:rsidR="00722837">
        <w:t xml:space="preserve">the </w:t>
      </w:r>
      <w:r w:rsidR="008B082F">
        <w:t xml:space="preserve">equations </w:t>
      </w:r>
      <w:r w:rsidR="00722837">
        <w:t>from</w:t>
      </w:r>
      <w:r w:rsidR="008B082F">
        <w:t xml:space="preserve"> Benson and K</w:t>
      </w:r>
      <w:r w:rsidR="00091201">
        <w:t>rause (1984)</w:t>
      </w:r>
      <w:r w:rsidR="003C366A">
        <w:t>.</w:t>
      </w:r>
      <w:r w:rsidR="0088185A">
        <w:t xml:space="preserve"> </w:t>
      </w:r>
      <w:r w:rsidR="00CA3EC1">
        <w:t xml:space="preserve">If minimum concentrations were less than 80 percent of the fully saturated </w:t>
      </w:r>
      <w:r w:rsidR="00902E82">
        <w:t xml:space="preserve">DO </w:t>
      </w:r>
      <w:r w:rsidR="00CA3EC1">
        <w:t xml:space="preserve">concentrations, then the </w:t>
      </w:r>
      <w:r w:rsidR="00074184">
        <w:t xml:space="preserve">water quality </w:t>
      </w:r>
      <w:r w:rsidR="00CA3EC1">
        <w:t xml:space="preserve">objective was not met. </w:t>
      </w:r>
      <w:r w:rsidR="0088185A">
        <w:t>This</w:t>
      </w:r>
      <w:r w:rsidR="00D743F7">
        <w:t xml:space="preserve"> approach</w:t>
      </w:r>
      <w:r w:rsidR="0088185A">
        <w:t xml:space="preserve"> resulted in a more thorough assessment of </w:t>
      </w:r>
      <w:r w:rsidR="009650C2">
        <w:t xml:space="preserve">beneficial use </w:t>
      </w:r>
      <w:r w:rsidR="0088185A">
        <w:t>attainment of the</w:t>
      </w:r>
      <w:r w:rsidR="00784371">
        <w:t xml:space="preserve"> </w:t>
      </w:r>
      <w:r w:rsidR="00345C10">
        <w:t>80</w:t>
      </w:r>
      <w:r w:rsidR="00784371">
        <w:t xml:space="preserve"> precent</w:t>
      </w:r>
      <w:r w:rsidR="0092020C">
        <w:t xml:space="preserve"> saturation</w:t>
      </w:r>
      <w:r w:rsidR="00D52604">
        <w:t xml:space="preserve"> threshold</w:t>
      </w:r>
      <w:r w:rsidR="00AD1000">
        <w:t>,</w:t>
      </w:r>
      <w:r w:rsidR="00DF5776">
        <w:t xml:space="preserve"> </w:t>
      </w:r>
      <w:r w:rsidR="00BC09CB">
        <w:t>compared to previous cycles</w:t>
      </w:r>
      <w:r w:rsidR="000A4485">
        <w:t>. In previous cycles</w:t>
      </w:r>
      <w:r w:rsidR="003347CB">
        <w:t xml:space="preserve">, </w:t>
      </w:r>
      <w:r w:rsidR="5DE5A35F">
        <w:t xml:space="preserve">attainment of the </w:t>
      </w:r>
      <w:r w:rsidR="001B7107">
        <w:t xml:space="preserve">80 </w:t>
      </w:r>
      <w:r w:rsidR="5DE5A35F">
        <w:t xml:space="preserve">percent saturation threshold was only assessed when </w:t>
      </w:r>
      <w:r w:rsidR="00345C10">
        <w:t xml:space="preserve">DO </w:t>
      </w:r>
      <w:r w:rsidR="5DE5A35F">
        <w:t>data were reported</w:t>
      </w:r>
      <w:r w:rsidR="00475945">
        <w:t xml:space="preserve"> in </w:t>
      </w:r>
      <w:r w:rsidR="5DE5A35F">
        <w:t>the form of percen</w:t>
      </w:r>
      <w:r w:rsidR="3E7F316B">
        <w:t>t</w:t>
      </w:r>
      <w:r w:rsidR="5DE5A35F">
        <w:t xml:space="preserve"> satura</w:t>
      </w:r>
      <w:r w:rsidR="2EB686AD">
        <w:t>t</w:t>
      </w:r>
      <w:r w:rsidR="5DE5A35F">
        <w:t xml:space="preserve">ion. </w:t>
      </w:r>
      <w:r w:rsidR="7501AFE5">
        <w:t>Th</w:t>
      </w:r>
      <w:r w:rsidR="00F344CB">
        <w:t>e</w:t>
      </w:r>
      <w:r w:rsidR="7501AFE5">
        <w:t xml:space="preserve"> more thorough assessment</w:t>
      </w:r>
      <w:r w:rsidR="00F344CB">
        <w:t xml:space="preserve"> </w:t>
      </w:r>
      <w:r w:rsidR="00137D46">
        <w:t>of DO data in the 2026 California Integrated Report</w:t>
      </w:r>
      <w:r w:rsidR="00475945">
        <w:t xml:space="preserve"> resulted in </w:t>
      </w:r>
      <w:r w:rsidR="009A0428">
        <w:t xml:space="preserve">several </w:t>
      </w:r>
      <w:r w:rsidR="00475945">
        <w:t xml:space="preserve">new DO </w:t>
      </w:r>
      <w:r w:rsidR="2F442B46">
        <w:t>“</w:t>
      </w:r>
      <w:r w:rsidR="00137D46">
        <w:t>List” Decisions</w:t>
      </w:r>
      <w:r w:rsidR="009145A6">
        <w:t>.</w:t>
      </w:r>
    </w:p>
    <w:p w14:paraId="54A437E4" w14:textId="0064CD05" w:rsidR="00C238AC" w:rsidRDefault="005A36D7" w:rsidP="00560A53">
      <w:pPr>
        <w:pStyle w:val="Heading2"/>
      </w:pPr>
      <w:bookmarkStart w:id="189" w:name="_Toc189048633"/>
      <w:r>
        <w:t>90</w:t>
      </w:r>
      <w:r w:rsidRPr="005A36D7">
        <w:rPr>
          <w:vertAlign w:val="superscript"/>
        </w:rPr>
        <w:t>th</w:t>
      </w:r>
      <w:r>
        <w:t xml:space="preserve"> Percentile Site Specific Objectives</w:t>
      </w:r>
      <w:bookmarkEnd w:id="189"/>
    </w:p>
    <w:p w14:paraId="3B00F9F9" w14:textId="67BECD7C" w:rsidR="00C238AC" w:rsidRPr="000B0D8D" w:rsidRDefault="00E759AB" w:rsidP="00C238AC">
      <w:r>
        <w:t>Many of the site</w:t>
      </w:r>
      <w:r w:rsidR="00D20217">
        <w:t>-</w:t>
      </w:r>
      <w:r>
        <w:t xml:space="preserve">specific objectives in the Lahontan Region contain a maximum annual average concentration as well as </w:t>
      </w:r>
      <w:r w:rsidR="00621C26">
        <w:t>maximum</w:t>
      </w:r>
      <w:r>
        <w:t xml:space="preserve"> </w:t>
      </w:r>
      <w:r w:rsidR="00D23D1E">
        <w:t>90</w:t>
      </w:r>
      <w:r w:rsidR="00D23D1E" w:rsidRPr="00C60D95">
        <w:t>th</w:t>
      </w:r>
      <w:r w:rsidR="00D23D1E">
        <w:t xml:space="preserve"> percentile</w:t>
      </w:r>
      <w:r w:rsidR="00FD0BED">
        <w:t xml:space="preserve"> concentration</w:t>
      </w:r>
      <w:r w:rsidR="00D23D1E">
        <w:t>.</w:t>
      </w:r>
      <w:r w:rsidR="00FD0BED">
        <w:t xml:space="preserve"> The 90</w:t>
      </w:r>
      <w:r w:rsidR="00FD0BED" w:rsidRPr="00C60D95">
        <w:t>th</w:t>
      </w:r>
      <w:r w:rsidR="00FD0BED">
        <w:t xml:space="preserve"> percentile concentrations were assessed only when there were 10 or more samples </w:t>
      </w:r>
      <w:r w:rsidR="00D41FD6">
        <w:t>available, consistent with the Lahontan Basin Plan</w:t>
      </w:r>
      <w:r w:rsidR="0015282C">
        <w:t>,</w:t>
      </w:r>
      <w:r w:rsidR="00A13DD1">
        <w:t xml:space="preserve"> which</w:t>
      </w:r>
      <w:r w:rsidR="0007617F">
        <w:t xml:space="preserve"> defines the 90</w:t>
      </w:r>
      <w:r w:rsidR="0007617F" w:rsidRPr="00C60D95">
        <w:t>th</w:t>
      </w:r>
      <w:r w:rsidR="0007617F">
        <w:t xml:space="preserve"> percentile as </w:t>
      </w:r>
      <w:r w:rsidR="0077350C">
        <w:t>a</w:t>
      </w:r>
      <w:r w:rsidR="0027134A">
        <w:t xml:space="preserve"> value which only 10%</w:t>
      </w:r>
      <w:r w:rsidR="0037592C">
        <w:t xml:space="preserve"> of the data exceeds</w:t>
      </w:r>
      <w:r w:rsidR="00E15E60">
        <w:t xml:space="preserve">. </w:t>
      </w:r>
    </w:p>
    <w:p w14:paraId="4C54E435" w14:textId="7194BBBF" w:rsidR="00C238AC" w:rsidRDefault="007970EE" w:rsidP="00560A53">
      <w:pPr>
        <w:pStyle w:val="Heading2"/>
      </w:pPr>
      <w:bookmarkStart w:id="190" w:name="_Toc189048634"/>
      <w:r>
        <w:t>Haiwee</w:t>
      </w:r>
      <w:r w:rsidR="007868B1">
        <w:t xml:space="preserve"> Reservoir</w:t>
      </w:r>
      <w:r w:rsidR="006270D7">
        <w:t xml:space="preserve"> Copper</w:t>
      </w:r>
      <w:bookmarkEnd w:id="190"/>
      <w:r w:rsidR="006270D7">
        <w:t xml:space="preserve"> </w:t>
      </w:r>
    </w:p>
    <w:p w14:paraId="4EEFB66E" w14:textId="045C26EB" w:rsidR="001E578B" w:rsidRPr="001E578B" w:rsidRDefault="001E578B" w:rsidP="001E578B">
      <w:r>
        <w:t xml:space="preserve">Haiwee </w:t>
      </w:r>
      <w:r w:rsidR="007868B1">
        <w:t>R</w:t>
      </w:r>
      <w:r>
        <w:t>eservoir</w:t>
      </w:r>
      <w:r w:rsidR="00F65681">
        <w:t xml:space="preserve"> has bee</w:t>
      </w:r>
      <w:r w:rsidR="007B5059">
        <w:t>n</w:t>
      </w:r>
      <w:r w:rsidR="00E84397">
        <w:t xml:space="preserve"> listed on the 303(d) list for copper </w:t>
      </w:r>
      <w:r w:rsidR="007B5059">
        <w:t xml:space="preserve">since </w:t>
      </w:r>
      <w:r w:rsidR="00AE00F0">
        <w:t xml:space="preserve">1994 as a result of </w:t>
      </w:r>
      <w:r w:rsidR="00F002AB">
        <w:t>fish tiss</w:t>
      </w:r>
      <w:r w:rsidR="002461DA">
        <w:t>u</w:t>
      </w:r>
      <w:r w:rsidR="00F002AB">
        <w:t xml:space="preserve">e concentrations and observed fish kills in </w:t>
      </w:r>
      <w:r w:rsidR="00F20B7D">
        <w:t>1991 and 1994.</w:t>
      </w:r>
      <w:r w:rsidR="00FB4915">
        <w:t xml:space="preserve"> The data assessment </w:t>
      </w:r>
      <w:r w:rsidR="00A669CF">
        <w:t xml:space="preserve">for the 2026 </w:t>
      </w:r>
      <w:r w:rsidR="0077679B">
        <w:t>California I</w:t>
      </w:r>
      <w:r w:rsidR="00A669CF">
        <w:t xml:space="preserve">ntegrated </w:t>
      </w:r>
      <w:r w:rsidR="0077679B">
        <w:t>R</w:t>
      </w:r>
      <w:r w:rsidR="00A669CF">
        <w:t>eport</w:t>
      </w:r>
      <w:r w:rsidR="006E3F16">
        <w:t xml:space="preserve"> (</w:t>
      </w:r>
      <w:r w:rsidR="0077679B">
        <w:t>D</w:t>
      </w:r>
      <w:r w:rsidR="006E3F16">
        <w:t xml:space="preserve">ecision </w:t>
      </w:r>
      <w:r w:rsidR="0077679B">
        <w:t xml:space="preserve">ID </w:t>
      </w:r>
      <w:r w:rsidR="00E74EBC" w:rsidRPr="00E74EBC">
        <w:t>161558</w:t>
      </w:r>
      <w:r w:rsidR="00E74EBC">
        <w:t>)</w:t>
      </w:r>
      <w:r w:rsidR="00A669CF">
        <w:t xml:space="preserve"> utilized </w:t>
      </w:r>
      <w:r w:rsidR="00C84DEC">
        <w:t>recently collected</w:t>
      </w:r>
      <w:r w:rsidR="00A669CF" w:rsidDel="00C84DEC">
        <w:t xml:space="preserve"> </w:t>
      </w:r>
      <w:r w:rsidR="00BC34E0">
        <w:t>dissolved copper concentration</w:t>
      </w:r>
      <w:r w:rsidR="009750D1">
        <w:t xml:space="preserve"> data</w:t>
      </w:r>
      <w:r w:rsidR="00BC34E0">
        <w:t xml:space="preserve"> </w:t>
      </w:r>
      <w:r w:rsidR="00934F3D">
        <w:t xml:space="preserve">(consistent with CTR criteria) </w:t>
      </w:r>
      <w:r w:rsidR="00E84397">
        <w:t xml:space="preserve">which </w:t>
      </w:r>
      <w:r w:rsidR="00934F3D">
        <w:t xml:space="preserve">showed no </w:t>
      </w:r>
      <w:r w:rsidR="00745DD9">
        <w:t>exceedances</w:t>
      </w:r>
      <w:r w:rsidR="00A65190">
        <w:t xml:space="preserve"> of the CTR criteria.</w:t>
      </w:r>
      <w:r w:rsidR="00FA4880">
        <w:t xml:space="preserve"> Therefore</w:t>
      </w:r>
      <w:r w:rsidR="004C6DF8">
        <w:t>,</w:t>
      </w:r>
      <w:r w:rsidR="00FA4880">
        <w:t xml:space="preserve"> </w:t>
      </w:r>
      <w:r w:rsidR="00FB4915">
        <w:t xml:space="preserve">the </w:t>
      </w:r>
      <w:r w:rsidR="00CC5921">
        <w:t>Decision</w:t>
      </w:r>
      <w:r w:rsidR="00FB4915">
        <w:t xml:space="preserve"> </w:t>
      </w:r>
      <w:r w:rsidR="00CC5921">
        <w:t>for</w:t>
      </w:r>
      <w:r w:rsidR="00FB4915">
        <w:t xml:space="preserve"> copper in Haiwee </w:t>
      </w:r>
      <w:r w:rsidR="0077679B">
        <w:t>R</w:t>
      </w:r>
      <w:r w:rsidR="00FB4915">
        <w:t xml:space="preserve">eservoir is </w:t>
      </w:r>
      <w:r w:rsidR="7EE4583A">
        <w:t>“</w:t>
      </w:r>
      <w:r w:rsidR="002A311D">
        <w:t>D</w:t>
      </w:r>
      <w:r w:rsidR="00FB4915">
        <w:t>elist</w:t>
      </w:r>
      <w:r w:rsidR="002A311D">
        <w:t>”</w:t>
      </w:r>
      <w:r w:rsidR="00FB4915">
        <w:t xml:space="preserve"> from the 303(d) list in the 2026 California Integrated Report.</w:t>
      </w:r>
    </w:p>
    <w:p w14:paraId="212591CB" w14:textId="28C0E468" w:rsidR="00093638" w:rsidRDefault="00712277" w:rsidP="00560A53">
      <w:pPr>
        <w:pStyle w:val="Heading2"/>
      </w:pPr>
      <w:bookmarkStart w:id="191" w:name="_Toc189048635"/>
      <w:r>
        <w:t>Crowley Lake Mercury</w:t>
      </w:r>
      <w:bookmarkEnd w:id="191"/>
    </w:p>
    <w:p w14:paraId="55916E17" w14:textId="017EEF10" w:rsidR="00093638" w:rsidRDefault="00B00E6B" w:rsidP="008B35B3">
      <w:r>
        <w:t xml:space="preserve">The </w:t>
      </w:r>
      <w:r w:rsidR="00712277">
        <w:t xml:space="preserve">Crowley Lake </w:t>
      </w:r>
      <w:r w:rsidR="23C7E532">
        <w:t>“</w:t>
      </w:r>
      <w:r w:rsidR="002A311D">
        <w:t>List” Decision</w:t>
      </w:r>
      <w:r w:rsidR="00600660">
        <w:t xml:space="preserve"> for mercury </w:t>
      </w:r>
      <w:r w:rsidR="00E12B20">
        <w:t xml:space="preserve">for the COMM beneficial use </w:t>
      </w:r>
      <w:r w:rsidR="00600660">
        <w:t xml:space="preserve">in 2018 </w:t>
      </w:r>
      <w:r>
        <w:t xml:space="preserve">was </w:t>
      </w:r>
      <w:r w:rsidR="00600660">
        <w:t xml:space="preserve">based on a </w:t>
      </w:r>
      <w:r w:rsidR="00981309">
        <w:t xml:space="preserve">situation-specific </w:t>
      </w:r>
      <w:r w:rsidR="00600660">
        <w:t xml:space="preserve">weight of </w:t>
      </w:r>
      <w:r w:rsidR="00981309">
        <w:t xml:space="preserve">the </w:t>
      </w:r>
      <w:r w:rsidR="00600660">
        <w:t xml:space="preserve">evidence </w:t>
      </w:r>
      <w:r w:rsidR="00981309">
        <w:t>approach</w:t>
      </w:r>
      <w:r w:rsidR="00E12B20">
        <w:t xml:space="preserve"> </w:t>
      </w:r>
      <w:r w:rsidR="00656F5D">
        <w:t>(</w:t>
      </w:r>
      <w:r w:rsidR="008B35B3">
        <w:t>Listing</w:t>
      </w:r>
      <w:r w:rsidR="00E12B20">
        <w:t xml:space="preserve"> Policy section 3.11)</w:t>
      </w:r>
      <w:r w:rsidR="00B94B66">
        <w:t xml:space="preserve"> because of the limited data available. Since the 2018 </w:t>
      </w:r>
      <w:r w:rsidR="003B2B73">
        <w:t>California Integrated Report</w:t>
      </w:r>
      <w:r w:rsidR="008A1D1C">
        <w:t>,</w:t>
      </w:r>
      <w:r w:rsidR="00B94B66">
        <w:t xml:space="preserve"> the Lahontan</w:t>
      </w:r>
      <w:r w:rsidR="006A2265">
        <w:t xml:space="preserve"> Regional</w:t>
      </w:r>
      <w:r w:rsidR="00B94B66">
        <w:t xml:space="preserve"> Water Board</w:t>
      </w:r>
      <w:r w:rsidR="00E12B20">
        <w:t xml:space="preserve"> </w:t>
      </w:r>
      <w:r w:rsidR="002712D3">
        <w:t>supported collection and analysis of</w:t>
      </w:r>
      <w:r w:rsidR="00861271">
        <w:t xml:space="preserve"> additional fish tissue sample</w:t>
      </w:r>
      <w:r w:rsidR="00552399">
        <w:t>s</w:t>
      </w:r>
      <w:r w:rsidR="009D59C2">
        <w:t>.</w:t>
      </w:r>
      <w:r w:rsidR="008A1D1C">
        <w:t xml:space="preserve"> Th</w:t>
      </w:r>
      <w:r w:rsidR="00321314">
        <w:t>e results of the analysis of these samples</w:t>
      </w:r>
      <w:r w:rsidR="00F13477">
        <w:t xml:space="preserve"> confirmed the </w:t>
      </w:r>
      <w:r w:rsidR="00895E84">
        <w:t xml:space="preserve">concentrations </w:t>
      </w:r>
      <w:r w:rsidR="008B35B3">
        <w:t xml:space="preserve">of mercury </w:t>
      </w:r>
      <w:r w:rsidR="00895E84">
        <w:t xml:space="preserve">in fish tissue from Crowley Lake are above the </w:t>
      </w:r>
      <w:r w:rsidR="008B35B3">
        <w:t>objective</w:t>
      </w:r>
      <w:r w:rsidR="00895E84">
        <w:t xml:space="preserve"> for COMM</w:t>
      </w:r>
      <w:r w:rsidR="008B35B3">
        <w:t>, as documented in the “</w:t>
      </w:r>
      <w:r w:rsidR="00865DCE">
        <w:t>Do Not Delist</w:t>
      </w:r>
      <w:r w:rsidR="008B35B3">
        <w:t xml:space="preserve">” </w:t>
      </w:r>
      <w:r w:rsidR="00865DCE">
        <w:t xml:space="preserve">Decision </w:t>
      </w:r>
      <w:r w:rsidR="008B35B3">
        <w:t>for mercury in Crowley Lake.</w:t>
      </w:r>
    </w:p>
    <w:p w14:paraId="5A71EE4C" w14:textId="3956E4B9" w:rsidR="00C238AC" w:rsidRDefault="00E02567" w:rsidP="00560A53">
      <w:pPr>
        <w:pStyle w:val="Heading2"/>
      </w:pPr>
      <w:bookmarkStart w:id="192" w:name="_Toc189048636"/>
      <w:r>
        <w:t>Tahoe Keys Sailing Lagoon</w:t>
      </w:r>
      <w:bookmarkEnd w:id="192"/>
    </w:p>
    <w:p w14:paraId="6F54D8EB" w14:textId="52574B1F" w:rsidR="00A73F5A" w:rsidRDefault="009F74D4" w:rsidP="00A73F5A">
      <w:pPr>
        <w:rPr>
          <w:rFonts w:cs="Arial"/>
        </w:rPr>
      </w:pPr>
      <w:r>
        <w:t>In 2022, t</w:t>
      </w:r>
      <w:r w:rsidR="001569FA">
        <w:t>he Tahoe Keys</w:t>
      </w:r>
      <w:r w:rsidR="00A21516">
        <w:t xml:space="preserve"> Sailing Lagoon was f</w:t>
      </w:r>
      <w:r w:rsidR="00E54708">
        <w:t>illed in</w:t>
      </w:r>
      <w:r>
        <w:t xml:space="preserve"> </w:t>
      </w:r>
      <w:r w:rsidR="00FE57F4">
        <w:t xml:space="preserve">and </w:t>
      </w:r>
      <w:r w:rsidR="00CA18FD">
        <w:t>restored to</w:t>
      </w:r>
      <w:r w:rsidR="00FE57F4">
        <w:t xml:space="preserve"> wetlands </w:t>
      </w:r>
      <w:r>
        <w:t xml:space="preserve">as part of the </w:t>
      </w:r>
      <w:hyperlink r:id="rId77" w:history="1">
        <w:r w:rsidRPr="00A1259D">
          <w:rPr>
            <w:rStyle w:val="Hyperlink"/>
          </w:rPr>
          <w:t>Upper Truckee River Marsh Restoration</w:t>
        </w:r>
      </w:hyperlink>
      <w:r w:rsidR="00A1259D">
        <w:t xml:space="preserve"> </w:t>
      </w:r>
      <w:r w:rsidR="00C37FA9">
        <w:t>(</w:t>
      </w:r>
      <w:hyperlink r:id="rId78" w:history="1">
        <w:r w:rsidR="00C37FA9" w:rsidRPr="00C37FA9">
          <w:rPr>
            <w:rStyle w:val="Hyperlink"/>
          </w:rPr>
          <w:t>https://tahoe.ca.gov/upper-truckee-marsh/</w:t>
        </w:r>
      </w:hyperlink>
      <w:r w:rsidR="00C37FA9">
        <w:t xml:space="preserve">) </w:t>
      </w:r>
      <w:r w:rsidR="00A1259D">
        <w:t>project. Therefore</w:t>
      </w:r>
      <w:r w:rsidR="00D61E17">
        <w:t>,</w:t>
      </w:r>
      <w:r w:rsidR="00A1259D">
        <w:t xml:space="preserve"> all the </w:t>
      </w:r>
      <w:r w:rsidR="00FE57F4">
        <w:t>past decisions and</w:t>
      </w:r>
      <w:r w:rsidR="00E54708">
        <w:t xml:space="preserve"> </w:t>
      </w:r>
      <w:r w:rsidR="00B3324B">
        <w:t>lines of evidence</w:t>
      </w:r>
      <w:r w:rsidR="003A0DA5" w:rsidRPr="003A0DA5">
        <w:t xml:space="preserve"> </w:t>
      </w:r>
      <w:r w:rsidR="003A0DA5">
        <w:t>for this waterbody</w:t>
      </w:r>
      <w:r w:rsidR="00656D27">
        <w:t xml:space="preserve"> segment</w:t>
      </w:r>
      <w:r w:rsidR="00B3324B">
        <w:t xml:space="preserve">, including one </w:t>
      </w:r>
      <w:r w:rsidR="00894AEA">
        <w:t>303(d) listing for pH</w:t>
      </w:r>
      <w:r w:rsidR="001E0878">
        <w:t>,</w:t>
      </w:r>
      <w:r w:rsidR="00894AEA">
        <w:t xml:space="preserve"> were retired</w:t>
      </w:r>
      <w:r w:rsidR="00D14422">
        <w:t xml:space="preserve"> </w:t>
      </w:r>
      <w:r w:rsidR="00691640">
        <w:t>from the 2026 California Integrated Report.</w:t>
      </w:r>
      <w:r w:rsidR="00894AEA">
        <w:t xml:space="preserve"> </w:t>
      </w:r>
      <w:r w:rsidR="00A73F5A" w:rsidRPr="004502A9">
        <w:rPr>
          <w:rFonts w:eastAsia="Arial" w:cs="Arial"/>
        </w:rPr>
        <w:t xml:space="preserve">LOEs retired during the </w:t>
      </w:r>
      <w:r w:rsidR="00A73F5A">
        <w:rPr>
          <w:rFonts w:eastAsia="Arial" w:cs="Arial"/>
        </w:rPr>
        <w:t>listing cycle for the 2026 California Integrated Report</w:t>
      </w:r>
      <w:r w:rsidR="00A73F5A" w:rsidRPr="004502A9">
        <w:rPr>
          <w:rFonts w:eastAsia="Arial" w:cs="Arial"/>
        </w:rPr>
        <w:t xml:space="preserve"> are available in Appendix </w:t>
      </w:r>
      <w:r w:rsidR="00BD4716">
        <w:rPr>
          <w:rFonts w:cs="Arial"/>
        </w:rPr>
        <w:t>J</w:t>
      </w:r>
      <w:r w:rsidR="00A73F5A" w:rsidRPr="004502A9">
        <w:rPr>
          <w:rFonts w:cs="Arial"/>
        </w:rPr>
        <w:t>: List of Retired Lines of Evidence</w:t>
      </w:r>
      <w:r w:rsidR="00A73F5A">
        <w:t>.</w:t>
      </w:r>
      <w:r w:rsidR="001B31F9" w:rsidRPr="001B31F9">
        <w:t xml:space="preserve"> </w:t>
      </w:r>
      <w:r w:rsidR="00A15208">
        <w:t>Additionally, see Section 2.3.2 for Lines of Evidence for additional explanation on retired LOEs.</w:t>
      </w:r>
    </w:p>
    <w:p w14:paraId="17624FE5" w14:textId="42952D5D" w:rsidR="007710C3" w:rsidRDefault="00674FE8" w:rsidP="00597DE8">
      <w:pPr>
        <w:pStyle w:val="Heading2"/>
      </w:pPr>
      <w:bookmarkStart w:id="193" w:name="_Toc189048637"/>
      <w:r>
        <w:t>Lahontan</w:t>
      </w:r>
      <w:r w:rsidR="00AA1939">
        <w:t xml:space="preserve"> </w:t>
      </w:r>
      <w:r w:rsidR="3C8E4200">
        <w:t>Region</w:t>
      </w:r>
      <w:r w:rsidR="00184061">
        <w:t>al Water Board</w:t>
      </w:r>
      <w:r w:rsidR="3C8E4200">
        <w:t xml:space="preserve"> 303(d) </w:t>
      </w:r>
      <w:r w:rsidR="0030659E">
        <w:t>“</w:t>
      </w:r>
      <w:r w:rsidR="3C8E4200">
        <w:t>List</w:t>
      </w:r>
      <w:r w:rsidR="0030659E">
        <w:t>” and “Delist” Decisions</w:t>
      </w:r>
      <w:bookmarkEnd w:id="193"/>
    </w:p>
    <w:p w14:paraId="2EF84036" w14:textId="173C06B6" w:rsidR="00FC6ECB" w:rsidRDefault="00FC6ECB" w:rsidP="00FC6ECB">
      <w:r>
        <w:t xml:space="preserve">There are </w:t>
      </w:r>
      <w:r w:rsidR="003E1163">
        <w:rPr>
          <w:rFonts w:cs="Arial"/>
        </w:rPr>
        <w:t>1</w:t>
      </w:r>
      <w:r w:rsidR="00600F1B">
        <w:rPr>
          <w:rFonts w:cs="Arial"/>
        </w:rPr>
        <w:t>51</w:t>
      </w:r>
      <w:r w:rsidR="001A04E9">
        <w:t xml:space="preserve"> </w:t>
      </w:r>
      <w:r>
        <w:t xml:space="preserve">new </w:t>
      </w:r>
      <w:r w:rsidR="00792FD8">
        <w:t>“List” Decisions for</w:t>
      </w:r>
      <w:r>
        <w:t xml:space="preserve"> waterbody-pollutant combinations in the </w:t>
      </w:r>
      <w:r w:rsidR="00F3161B">
        <w:rPr>
          <w:rFonts w:cs="Arial"/>
        </w:rPr>
        <w:t>Lahontan</w:t>
      </w:r>
      <w:r w:rsidR="00F3161B">
        <w:t xml:space="preserve"> </w:t>
      </w:r>
      <w:r>
        <w:t xml:space="preserve">Region and </w:t>
      </w:r>
      <w:r w:rsidR="003A0D21">
        <w:rPr>
          <w:rFonts w:cs="Arial"/>
        </w:rPr>
        <w:t>35</w:t>
      </w:r>
      <w:r w:rsidR="003A0D21">
        <w:t xml:space="preserve"> </w:t>
      </w:r>
      <w:r w:rsidR="00792FD8">
        <w:t xml:space="preserve">“Delist” Decisions </w:t>
      </w:r>
      <w:r w:rsidR="00D61DF0">
        <w:t xml:space="preserve">for </w:t>
      </w:r>
      <w:r>
        <w:t>waterbody</w:t>
      </w:r>
      <w:r w:rsidR="006F2B9F">
        <w:t>-</w:t>
      </w:r>
      <w:r>
        <w:t xml:space="preserve">pollutant combinations. If approved by the </w:t>
      </w:r>
      <w:r w:rsidR="00313C98">
        <w:t>USEPA</w:t>
      </w:r>
      <w:r>
        <w:t xml:space="preserve"> as recommended, the </w:t>
      </w:r>
      <w:r w:rsidR="00F3161B">
        <w:rPr>
          <w:rFonts w:cs="Arial"/>
        </w:rPr>
        <w:t>Lahontan</w:t>
      </w:r>
      <w:r>
        <w:t xml:space="preserve"> Region’s 303(d) </w:t>
      </w:r>
      <w:r w:rsidR="002163F3">
        <w:t>l</w:t>
      </w:r>
      <w:r>
        <w:t xml:space="preserve">ist would be revised to have a total of </w:t>
      </w:r>
      <w:r w:rsidR="00600F1B">
        <w:t xml:space="preserve">372 </w:t>
      </w:r>
      <w:r>
        <w:t xml:space="preserve">waterbody-pollutant combinations on the 303(d) </w:t>
      </w:r>
      <w:r w:rsidR="002163F3">
        <w:t>l</w:t>
      </w:r>
      <w:r>
        <w:t xml:space="preserve">ist. Tables </w:t>
      </w:r>
      <w:r w:rsidR="00480919">
        <w:t>8-1</w:t>
      </w:r>
      <w:r>
        <w:t xml:space="preserve"> and </w:t>
      </w:r>
      <w:r w:rsidR="00480919">
        <w:t>8-2</w:t>
      </w:r>
      <w:r>
        <w:t xml:space="preserve"> below summarize new </w:t>
      </w:r>
      <w:r w:rsidR="00080F22">
        <w:t>“List” and “Delist” Decisions</w:t>
      </w:r>
      <w:r>
        <w:t xml:space="preserve"> by pollutant category for the </w:t>
      </w:r>
      <w:r w:rsidR="00C6428D">
        <w:t>2026</w:t>
      </w:r>
      <w:r>
        <w:t xml:space="preserve"> </w:t>
      </w:r>
      <w:r w:rsidR="009D00C2">
        <w:t xml:space="preserve">California </w:t>
      </w:r>
      <w:r>
        <w:t xml:space="preserve">Integrated Report. A list of individual </w:t>
      </w:r>
      <w:r w:rsidR="007A2E1D">
        <w:t>Decisions</w:t>
      </w:r>
      <w:r>
        <w:t xml:space="preserve"> can be found in Appendix </w:t>
      </w:r>
      <w:r w:rsidR="00480919">
        <w:t>A</w:t>
      </w:r>
      <w:r>
        <w:t>:</w:t>
      </w:r>
      <w:r w:rsidR="00480919">
        <w:t xml:space="preserve"> </w:t>
      </w:r>
      <w:r w:rsidR="00C6428D">
        <w:t>2026</w:t>
      </w:r>
      <w:r w:rsidR="00480919">
        <w:t xml:space="preserve"> 303(d) List of Impaired Waters</w:t>
      </w:r>
      <w:r>
        <w:t xml:space="preserve">. </w:t>
      </w:r>
    </w:p>
    <w:p w14:paraId="381D30F7" w14:textId="1C83B665" w:rsidR="00257FC9" w:rsidRDefault="00257FC9" w:rsidP="1347CEBF">
      <w:r w:rsidRPr="00257FC9">
        <w:t xml:space="preserve">Tables </w:t>
      </w:r>
      <w:r w:rsidR="0037324F">
        <w:t>7</w:t>
      </w:r>
      <w:r w:rsidRPr="00257FC9">
        <w:t xml:space="preserve">-1 and </w:t>
      </w:r>
      <w:r w:rsidR="0037324F">
        <w:t>7</w:t>
      </w:r>
      <w:r w:rsidRPr="00257FC9">
        <w:t xml:space="preserve">-2 below reference a Pollutant Category labeled “Toxicant Pollutants,” which includes pollutants assessed using Tables 3.1 and 4.1 of the Listing Policy, such as aromatic hydrocarbons, solvents, and other organic and inorganic toxins. Additionally, </w:t>
      </w:r>
      <w:r w:rsidR="005B0C30">
        <w:t>the</w:t>
      </w:r>
      <w:r w:rsidRPr="00257FC9">
        <w:t xml:space="preserve"> Pollutant Category labeled </w:t>
      </w:r>
      <w:r w:rsidR="005B0C30">
        <w:t xml:space="preserve">as </w:t>
      </w:r>
      <w:r w:rsidRPr="00257FC9">
        <w:t xml:space="preserve">“Conventional Pollutants,” </w:t>
      </w:r>
      <w:r w:rsidR="009F2AF8">
        <w:t>refers to</w:t>
      </w:r>
      <w:r w:rsidRPr="00257FC9">
        <w:t xml:space="preserve"> pollutants assessed using Tables 3.2 and 4.2 of the Listing Policy, including chloride, sulfates, and electrical conductivity.</w:t>
      </w:r>
    </w:p>
    <w:p w14:paraId="080C0EFA" w14:textId="160EA4FC" w:rsidR="00480919" w:rsidRDefault="00480919" w:rsidP="00480919">
      <w:pPr>
        <w:pStyle w:val="Caption"/>
        <w:keepNext/>
      </w:pPr>
      <w:bookmarkStart w:id="194" w:name="_Toc118386804"/>
      <w:bookmarkStart w:id="195" w:name="_Toc118386836"/>
      <w:r>
        <w:t xml:space="preserve">Table </w:t>
      </w:r>
      <w:r w:rsidR="00AB32F5">
        <w:t>7</w:t>
      </w:r>
      <w:r w:rsidR="00D311E2">
        <w:noBreakHyphen/>
      </w:r>
      <w:r w:rsidR="00D311E2">
        <w:fldChar w:fldCharType="begin"/>
      </w:r>
      <w:r w:rsidR="00D311E2">
        <w:instrText xml:space="preserve"> SEQ Table \* ARABIC \s 1 </w:instrText>
      </w:r>
      <w:r w:rsidR="00D311E2">
        <w:fldChar w:fldCharType="separate"/>
      </w:r>
      <w:r w:rsidR="00D311E2">
        <w:rPr>
          <w:noProof/>
        </w:rPr>
        <w:t>1</w:t>
      </w:r>
      <w:r w:rsidR="00D311E2">
        <w:rPr>
          <w:noProof/>
        </w:rPr>
        <w:fldChar w:fldCharType="end"/>
      </w:r>
      <w:r>
        <w:t xml:space="preserve">: </w:t>
      </w:r>
      <w:r w:rsidRPr="00E62F70">
        <w:t xml:space="preserve">Summary of </w:t>
      </w:r>
      <w:r w:rsidR="00F3161B">
        <w:rPr>
          <w:rFonts w:cs="Arial"/>
        </w:rPr>
        <w:t>Lahontan</w:t>
      </w:r>
      <w:r w:rsidRPr="00E62F70">
        <w:t xml:space="preserve"> </w:t>
      </w:r>
      <w:r w:rsidR="00AD50CF">
        <w:t>Region</w:t>
      </w:r>
      <w:r w:rsidR="00846529">
        <w:t>al Water Board</w:t>
      </w:r>
      <w:r w:rsidR="00AD50CF">
        <w:t xml:space="preserve"> </w:t>
      </w:r>
      <w:r w:rsidRPr="00E62F70">
        <w:t>Waterbody</w:t>
      </w:r>
      <w:r w:rsidR="002D6247">
        <w:t>-</w:t>
      </w:r>
      <w:r w:rsidRPr="00E62F70">
        <w:t xml:space="preserve">Pollutant Combination </w:t>
      </w:r>
      <w:r w:rsidR="0047187B">
        <w:t xml:space="preserve">“List” </w:t>
      </w:r>
      <w:r w:rsidR="00EE138F">
        <w:t>Decisions</w:t>
      </w:r>
      <w:r w:rsidR="00EE138F" w:rsidRPr="00E62F70">
        <w:t xml:space="preserve"> </w:t>
      </w:r>
      <w:r w:rsidRPr="00E62F70">
        <w:t>by Pollutant Category</w:t>
      </w:r>
      <w:bookmarkEnd w:id="194"/>
      <w:bookmarkEnd w:id="195"/>
    </w:p>
    <w:tbl>
      <w:tblPr>
        <w:tblStyle w:val="AccblTable"/>
        <w:tblW w:w="9648" w:type="dxa"/>
        <w:tblCellMar>
          <w:top w:w="115" w:type="dxa"/>
          <w:bottom w:w="115" w:type="dxa"/>
        </w:tblCellMar>
        <w:tblLook w:val="04A0" w:firstRow="1" w:lastRow="0" w:firstColumn="1" w:lastColumn="0" w:noHBand="0" w:noVBand="1"/>
        <w:tblCaption w:val="Summary of Lahontan Regional Water Board Waterbody-Pollutant Combination &quot;List&quot; Decisions by Pollutant Category"/>
        <w:tblDescription w:val="This table lists new recommended 303(d) listings for pollutants in the Lahontan Region.  It lists the waterbody pollutant category, the number of new listings, the number of new list decisions changed from previous listing cycles, and the total. "/>
      </w:tblPr>
      <w:tblGrid>
        <w:gridCol w:w="3978"/>
        <w:gridCol w:w="2261"/>
        <w:gridCol w:w="2199"/>
        <w:gridCol w:w="1210"/>
      </w:tblGrid>
      <w:tr w:rsidR="00181469" w14:paraId="3925F74E" w14:textId="77777777" w:rsidTr="00370804">
        <w:trPr>
          <w:cnfStyle w:val="100000000000" w:firstRow="1" w:lastRow="0" w:firstColumn="0" w:lastColumn="0" w:oddVBand="0" w:evenVBand="0" w:oddHBand="0" w:evenHBand="0" w:firstRowFirstColumn="0" w:firstRowLastColumn="0" w:lastRowFirstColumn="0" w:lastRowLastColumn="0"/>
        </w:trPr>
        <w:tc>
          <w:tcPr>
            <w:tcW w:w="3978" w:type="dxa"/>
          </w:tcPr>
          <w:p w14:paraId="696230F5" w14:textId="777BE8D5" w:rsidR="00FC6ECB" w:rsidRDefault="00FC6ECB" w:rsidP="00F00531">
            <w:pPr>
              <w:spacing w:after="0"/>
            </w:pPr>
            <w:r>
              <w:t>Pollutant Category</w:t>
            </w:r>
          </w:p>
        </w:tc>
        <w:tc>
          <w:tcPr>
            <w:tcW w:w="2261" w:type="dxa"/>
          </w:tcPr>
          <w:p w14:paraId="76FD2721" w14:textId="7A6FBA08" w:rsidR="00FC6ECB" w:rsidRDefault="008E0C88" w:rsidP="00F00531">
            <w:pPr>
              <w:spacing w:after="0"/>
            </w:pPr>
            <w:r>
              <w:t xml:space="preserve">Number of New </w:t>
            </w:r>
            <w:r w:rsidR="0047187B">
              <w:t>“List”</w:t>
            </w:r>
            <w:r>
              <w:t xml:space="preserve"> </w:t>
            </w:r>
            <w:r w:rsidR="00150751">
              <w:t>Decisions</w:t>
            </w:r>
            <w:r>
              <w:rPr>
                <w:rStyle w:val="FootnoteReference"/>
              </w:rPr>
              <w:footnoteReference w:id="18"/>
            </w:r>
            <w:r>
              <w:t xml:space="preserve"> </w:t>
            </w:r>
          </w:p>
        </w:tc>
        <w:tc>
          <w:tcPr>
            <w:tcW w:w="2199" w:type="dxa"/>
          </w:tcPr>
          <w:p w14:paraId="68D30E0E" w14:textId="4DAFC30E" w:rsidR="00FC6ECB" w:rsidRDefault="008E0C88" w:rsidP="00F00531">
            <w:pPr>
              <w:spacing w:after="0"/>
            </w:pPr>
            <w:r>
              <w:t xml:space="preserve">Number of New </w:t>
            </w:r>
            <w:r w:rsidR="0047187B">
              <w:t>“List”</w:t>
            </w:r>
            <w:r w:rsidDel="00150751">
              <w:t xml:space="preserve"> </w:t>
            </w:r>
            <w:r w:rsidR="00150751">
              <w:t xml:space="preserve">Decisions </w:t>
            </w:r>
            <w:r>
              <w:t xml:space="preserve">Changed from Previous </w:t>
            </w:r>
            <w:r w:rsidR="00F02B0C">
              <w:t xml:space="preserve">Listing </w:t>
            </w:r>
            <w:r>
              <w:t>Cycle</w:t>
            </w:r>
            <w:r>
              <w:rPr>
                <w:rStyle w:val="FootnoteReference"/>
              </w:rPr>
              <w:footnoteReference w:id="19"/>
            </w:r>
          </w:p>
        </w:tc>
        <w:tc>
          <w:tcPr>
            <w:tcW w:w="1210" w:type="dxa"/>
          </w:tcPr>
          <w:p w14:paraId="03CF0CAD" w14:textId="35614DEA" w:rsidR="00FC6ECB" w:rsidRDefault="00FC6ECB" w:rsidP="00F00531">
            <w:pPr>
              <w:spacing w:after="0"/>
            </w:pPr>
            <w:r>
              <w:t xml:space="preserve">Total </w:t>
            </w:r>
          </w:p>
        </w:tc>
      </w:tr>
      <w:tr w:rsidR="00FC6ECB" w14:paraId="4D31CB53" w14:textId="77777777" w:rsidTr="00612FAA">
        <w:tc>
          <w:tcPr>
            <w:tcW w:w="3978" w:type="dxa"/>
            <w:vAlign w:val="top"/>
          </w:tcPr>
          <w:p w14:paraId="008D367E" w14:textId="3E4EE85C" w:rsidR="00FC6ECB" w:rsidRDefault="2A97E32C" w:rsidP="00F00531">
            <w:pPr>
              <w:spacing w:after="0"/>
            </w:pPr>
            <w:r>
              <w:t>Metals</w:t>
            </w:r>
          </w:p>
        </w:tc>
        <w:tc>
          <w:tcPr>
            <w:tcW w:w="2261" w:type="dxa"/>
          </w:tcPr>
          <w:p w14:paraId="44703A5E" w14:textId="724CEF4D" w:rsidR="00FC6ECB" w:rsidRDefault="00A426A0" w:rsidP="00F00531">
            <w:pPr>
              <w:spacing w:after="0"/>
              <w:jc w:val="center"/>
            </w:pPr>
            <w:r>
              <w:t>3</w:t>
            </w:r>
          </w:p>
        </w:tc>
        <w:tc>
          <w:tcPr>
            <w:tcW w:w="2199" w:type="dxa"/>
          </w:tcPr>
          <w:p w14:paraId="207C03A4" w14:textId="74DA305B" w:rsidR="00FC6ECB" w:rsidRDefault="007D17B7" w:rsidP="00F00531">
            <w:pPr>
              <w:spacing w:after="0"/>
              <w:jc w:val="center"/>
            </w:pPr>
            <w:r>
              <w:t>1</w:t>
            </w:r>
            <w:r w:rsidR="00EA4CE5">
              <w:t>1</w:t>
            </w:r>
          </w:p>
        </w:tc>
        <w:tc>
          <w:tcPr>
            <w:tcW w:w="1210" w:type="dxa"/>
          </w:tcPr>
          <w:p w14:paraId="50A46133" w14:textId="717E14C2" w:rsidR="00FC6ECB" w:rsidRDefault="00EA4CE5" w:rsidP="00F00531">
            <w:pPr>
              <w:spacing w:after="0"/>
              <w:jc w:val="center"/>
            </w:pPr>
            <w:r>
              <w:t>14</w:t>
            </w:r>
          </w:p>
        </w:tc>
      </w:tr>
      <w:tr w:rsidR="46C9808B" w14:paraId="575BE436" w14:textId="77777777" w:rsidTr="00612FAA">
        <w:tc>
          <w:tcPr>
            <w:tcW w:w="3978" w:type="dxa"/>
            <w:vAlign w:val="top"/>
          </w:tcPr>
          <w:p w14:paraId="6536A1A9" w14:textId="7434DCDF" w:rsidR="46C9808B" w:rsidRDefault="0EC42F19" w:rsidP="00F00531">
            <w:pPr>
              <w:spacing w:after="0"/>
              <w:rPr>
                <w:rFonts w:eastAsia="Calibri"/>
                <w:szCs w:val="24"/>
              </w:rPr>
            </w:pPr>
            <w:r>
              <w:t>Nutrients (including dissolved oxygen)</w:t>
            </w:r>
          </w:p>
        </w:tc>
        <w:tc>
          <w:tcPr>
            <w:tcW w:w="2261" w:type="dxa"/>
          </w:tcPr>
          <w:p w14:paraId="522BB9D8" w14:textId="46A76B89" w:rsidR="46C9808B" w:rsidRDefault="006D09D0" w:rsidP="00F00531">
            <w:pPr>
              <w:spacing w:after="0"/>
              <w:jc w:val="center"/>
              <w:rPr>
                <w:rFonts w:eastAsia="Calibri"/>
                <w:szCs w:val="24"/>
              </w:rPr>
            </w:pPr>
            <w:r>
              <w:rPr>
                <w:rFonts w:eastAsia="Calibri"/>
                <w:szCs w:val="24"/>
              </w:rPr>
              <w:t>37</w:t>
            </w:r>
          </w:p>
        </w:tc>
        <w:tc>
          <w:tcPr>
            <w:tcW w:w="2199" w:type="dxa"/>
          </w:tcPr>
          <w:p w14:paraId="548685A5" w14:textId="0CEF4081" w:rsidR="50E1BFCA" w:rsidRDefault="00370804" w:rsidP="00F00531">
            <w:pPr>
              <w:spacing w:after="0"/>
              <w:jc w:val="center"/>
              <w:rPr>
                <w:rFonts w:eastAsia="Calibri"/>
                <w:szCs w:val="24"/>
              </w:rPr>
            </w:pPr>
            <w:r>
              <w:rPr>
                <w:rFonts w:eastAsia="Calibri"/>
                <w:szCs w:val="24"/>
              </w:rPr>
              <w:t>3</w:t>
            </w:r>
            <w:r w:rsidR="00E432BC">
              <w:rPr>
                <w:rFonts w:eastAsia="Calibri"/>
                <w:szCs w:val="24"/>
              </w:rPr>
              <w:t>1</w:t>
            </w:r>
          </w:p>
        </w:tc>
        <w:tc>
          <w:tcPr>
            <w:tcW w:w="1210" w:type="dxa"/>
          </w:tcPr>
          <w:p w14:paraId="27BD79C5" w14:textId="518A493D" w:rsidR="50E1BFCA" w:rsidRDefault="000537F3" w:rsidP="00F00531">
            <w:pPr>
              <w:spacing w:after="0"/>
              <w:jc w:val="center"/>
              <w:rPr>
                <w:rFonts w:eastAsia="Calibri"/>
                <w:szCs w:val="24"/>
              </w:rPr>
            </w:pPr>
            <w:r>
              <w:rPr>
                <w:rFonts w:eastAsia="Calibri"/>
                <w:szCs w:val="24"/>
              </w:rPr>
              <w:t>6</w:t>
            </w:r>
            <w:r w:rsidR="00CD7EDD">
              <w:rPr>
                <w:rFonts w:eastAsia="Calibri"/>
                <w:szCs w:val="24"/>
              </w:rPr>
              <w:t>8</w:t>
            </w:r>
          </w:p>
        </w:tc>
      </w:tr>
      <w:tr w:rsidR="00FC6ECB" w14:paraId="22230B90" w14:textId="77777777" w:rsidTr="00370804">
        <w:tc>
          <w:tcPr>
            <w:tcW w:w="3978" w:type="dxa"/>
          </w:tcPr>
          <w:p w14:paraId="2054BC5D" w14:textId="2B0A53D8" w:rsidR="00FC6ECB" w:rsidRDefault="00F95A8C" w:rsidP="00F00531">
            <w:pPr>
              <w:spacing w:after="0"/>
              <w:rPr>
                <w:rFonts w:eastAsia="Calibri"/>
                <w:szCs w:val="24"/>
              </w:rPr>
            </w:pPr>
            <w:r>
              <w:t>Salinity/Total Dissolved Solids/Chlorides/Sulfates</w:t>
            </w:r>
          </w:p>
        </w:tc>
        <w:tc>
          <w:tcPr>
            <w:tcW w:w="2261" w:type="dxa"/>
          </w:tcPr>
          <w:p w14:paraId="6DCAF986" w14:textId="5D775A2C" w:rsidR="00FC6ECB" w:rsidRDefault="004E4AFA" w:rsidP="00F00531">
            <w:pPr>
              <w:spacing w:after="0"/>
              <w:jc w:val="center"/>
            </w:pPr>
            <w:r>
              <w:t>12</w:t>
            </w:r>
          </w:p>
        </w:tc>
        <w:tc>
          <w:tcPr>
            <w:tcW w:w="2199" w:type="dxa"/>
          </w:tcPr>
          <w:p w14:paraId="1ED37D4C" w14:textId="739602E1" w:rsidR="00FC6ECB" w:rsidRDefault="005A6C33" w:rsidP="00F00531">
            <w:pPr>
              <w:spacing w:after="0"/>
              <w:jc w:val="center"/>
            </w:pPr>
            <w:r>
              <w:t>16</w:t>
            </w:r>
          </w:p>
        </w:tc>
        <w:tc>
          <w:tcPr>
            <w:tcW w:w="1210" w:type="dxa"/>
          </w:tcPr>
          <w:p w14:paraId="327A8A94" w14:textId="413DF1C8" w:rsidR="00FC6ECB" w:rsidRDefault="00A17EF4" w:rsidP="00F00531">
            <w:pPr>
              <w:spacing w:after="0"/>
              <w:jc w:val="center"/>
            </w:pPr>
            <w:r>
              <w:t>28</w:t>
            </w:r>
          </w:p>
        </w:tc>
      </w:tr>
      <w:tr w:rsidR="0034415D" w14:paraId="490A4186" w14:textId="77777777" w:rsidTr="00370804">
        <w:tc>
          <w:tcPr>
            <w:tcW w:w="3978" w:type="dxa"/>
          </w:tcPr>
          <w:p w14:paraId="033D139F" w14:textId="18D274A8" w:rsidR="0034415D" w:rsidRDefault="0034415D" w:rsidP="00F00531">
            <w:pPr>
              <w:spacing w:after="0"/>
            </w:pPr>
            <w:r>
              <w:t>Other Cause</w:t>
            </w:r>
          </w:p>
        </w:tc>
        <w:tc>
          <w:tcPr>
            <w:tcW w:w="2261" w:type="dxa"/>
          </w:tcPr>
          <w:p w14:paraId="59267F65" w14:textId="71167672" w:rsidR="0034415D" w:rsidRDefault="0034415D" w:rsidP="00F00531">
            <w:pPr>
              <w:spacing w:after="0"/>
              <w:jc w:val="center"/>
            </w:pPr>
            <w:r>
              <w:t>3</w:t>
            </w:r>
          </w:p>
        </w:tc>
        <w:tc>
          <w:tcPr>
            <w:tcW w:w="2199" w:type="dxa"/>
          </w:tcPr>
          <w:p w14:paraId="34F22E38" w14:textId="68D81EB1" w:rsidR="0034415D" w:rsidRDefault="0034415D" w:rsidP="00F00531">
            <w:pPr>
              <w:spacing w:after="0"/>
              <w:jc w:val="center"/>
            </w:pPr>
            <w:r>
              <w:t>16</w:t>
            </w:r>
          </w:p>
        </w:tc>
        <w:tc>
          <w:tcPr>
            <w:tcW w:w="1210" w:type="dxa"/>
          </w:tcPr>
          <w:p w14:paraId="49E3F3BC" w14:textId="75D91169" w:rsidR="0034415D" w:rsidRDefault="0034415D" w:rsidP="00F00531">
            <w:pPr>
              <w:spacing w:after="0"/>
              <w:jc w:val="center"/>
            </w:pPr>
            <w:r>
              <w:t>19</w:t>
            </w:r>
          </w:p>
        </w:tc>
      </w:tr>
      <w:tr w:rsidR="632A26CB" w14:paraId="22BCB243" w14:textId="77777777" w:rsidTr="00370804">
        <w:tc>
          <w:tcPr>
            <w:tcW w:w="3978" w:type="dxa"/>
          </w:tcPr>
          <w:p w14:paraId="59659F9D" w14:textId="5FA502DF" w:rsidR="632A26CB" w:rsidRDefault="00F95A8C" w:rsidP="00F00531">
            <w:pPr>
              <w:spacing w:after="0"/>
              <w:rPr>
                <w:rFonts w:eastAsia="Calibri"/>
                <w:szCs w:val="24"/>
              </w:rPr>
            </w:pPr>
            <w:r>
              <w:t>Total Toxics</w:t>
            </w:r>
          </w:p>
        </w:tc>
        <w:tc>
          <w:tcPr>
            <w:tcW w:w="2261" w:type="dxa"/>
          </w:tcPr>
          <w:p w14:paraId="23027BCF" w14:textId="0825D45F" w:rsidR="632A26CB" w:rsidRDefault="004E4AFA" w:rsidP="00F00531">
            <w:pPr>
              <w:spacing w:after="0"/>
              <w:jc w:val="center"/>
              <w:rPr>
                <w:rFonts w:eastAsia="Calibri"/>
              </w:rPr>
            </w:pPr>
            <w:r>
              <w:rPr>
                <w:rFonts w:eastAsia="Calibri"/>
              </w:rPr>
              <w:t>1</w:t>
            </w:r>
          </w:p>
        </w:tc>
        <w:tc>
          <w:tcPr>
            <w:tcW w:w="2199" w:type="dxa"/>
          </w:tcPr>
          <w:p w14:paraId="7F2298F0" w14:textId="668E28FF" w:rsidR="632A26CB" w:rsidRDefault="0091734B" w:rsidP="00F00531">
            <w:pPr>
              <w:spacing w:after="0"/>
              <w:jc w:val="center"/>
              <w:rPr>
                <w:rFonts w:eastAsia="Calibri"/>
              </w:rPr>
            </w:pPr>
            <w:r>
              <w:rPr>
                <w:rFonts w:eastAsia="Calibri"/>
              </w:rPr>
              <w:t>0</w:t>
            </w:r>
          </w:p>
        </w:tc>
        <w:tc>
          <w:tcPr>
            <w:tcW w:w="1210" w:type="dxa"/>
          </w:tcPr>
          <w:p w14:paraId="60431C1F" w14:textId="00716F9C" w:rsidR="632A26CB" w:rsidRDefault="00A17EF4" w:rsidP="00F00531">
            <w:pPr>
              <w:spacing w:after="0"/>
              <w:jc w:val="center"/>
              <w:rPr>
                <w:rFonts w:eastAsia="Calibri"/>
              </w:rPr>
            </w:pPr>
            <w:r>
              <w:rPr>
                <w:rFonts w:eastAsia="Calibri"/>
              </w:rPr>
              <w:t>1</w:t>
            </w:r>
          </w:p>
        </w:tc>
      </w:tr>
      <w:tr w:rsidR="505EFA0F" w14:paraId="6B791E2B" w14:textId="77777777" w:rsidTr="00612FAA">
        <w:tc>
          <w:tcPr>
            <w:tcW w:w="3978" w:type="dxa"/>
            <w:vAlign w:val="top"/>
          </w:tcPr>
          <w:p w14:paraId="01208CC2" w14:textId="49AF95B5" w:rsidR="2A97E32C" w:rsidRDefault="00F95A8C" w:rsidP="00F00531">
            <w:pPr>
              <w:spacing w:after="0"/>
              <w:rPr>
                <w:rFonts w:eastAsia="Calibri"/>
                <w:szCs w:val="24"/>
              </w:rPr>
            </w:pPr>
            <w:r>
              <w:t>Toxic Organics</w:t>
            </w:r>
          </w:p>
        </w:tc>
        <w:tc>
          <w:tcPr>
            <w:tcW w:w="2261" w:type="dxa"/>
          </w:tcPr>
          <w:p w14:paraId="2AA78C29" w14:textId="306F56A6" w:rsidR="505EFA0F" w:rsidRDefault="004E4AFA" w:rsidP="00F00531">
            <w:pPr>
              <w:spacing w:after="0"/>
              <w:jc w:val="center"/>
              <w:rPr>
                <w:rFonts w:eastAsia="Calibri"/>
              </w:rPr>
            </w:pPr>
            <w:r>
              <w:rPr>
                <w:rFonts w:eastAsia="Calibri"/>
              </w:rPr>
              <w:t>1</w:t>
            </w:r>
          </w:p>
        </w:tc>
        <w:tc>
          <w:tcPr>
            <w:tcW w:w="2199" w:type="dxa"/>
          </w:tcPr>
          <w:p w14:paraId="5F6C1D08" w14:textId="4967B4C9" w:rsidR="505EFA0F" w:rsidRDefault="00D66FA8" w:rsidP="00F00531">
            <w:pPr>
              <w:spacing w:after="0"/>
              <w:jc w:val="center"/>
              <w:rPr>
                <w:rFonts w:eastAsia="Calibri"/>
              </w:rPr>
            </w:pPr>
            <w:r>
              <w:rPr>
                <w:rFonts w:eastAsia="Calibri"/>
              </w:rPr>
              <w:t>1</w:t>
            </w:r>
          </w:p>
        </w:tc>
        <w:tc>
          <w:tcPr>
            <w:tcW w:w="1210" w:type="dxa"/>
          </w:tcPr>
          <w:p w14:paraId="6742DE0D" w14:textId="1AD36102" w:rsidR="505EFA0F" w:rsidRDefault="00A17EF4" w:rsidP="00F00531">
            <w:pPr>
              <w:spacing w:after="0"/>
              <w:jc w:val="center"/>
              <w:rPr>
                <w:rFonts w:eastAsia="Calibri"/>
              </w:rPr>
            </w:pPr>
            <w:r>
              <w:rPr>
                <w:rFonts w:eastAsia="Calibri"/>
              </w:rPr>
              <w:t>2</w:t>
            </w:r>
          </w:p>
        </w:tc>
      </w:tr>
      <w:tr w:rsidR="004E4AFA" w14:paraId="74B91F03" w14:textId="77777777" w:rsidTr="008C14D7">
        <w:tc>
          <w:tcPr>
            <w:tcW w:w="3978" w:type="dxa"/>
            <w:vAlign w:val="top"/>
          </w:tcPr>
          <w:p w14:paraId="17B243A4" w14:textId="50522673" w:rsidR="004E4AFA" w:rsidRDefault="004E4AFA" w:rsidP="00F95A8C">
            <w:pPr>
              <w:spacing w:after="0"/>
            </w:pPr>
            <w:r>
              <w:t>Toxic Inorganics</w:t>
            </w:r>
          </w:p>
        </w:tc>
        <w:tc>
          <w:tcPr>
            <w:tcW w:w="2261" w:type="dxa"/>
          </w:tcPr>
          <w:p w14:paraId="2CD99716" w14:textId="58189D59" w:rsidR="004E4AFA" w:rsidRDefault="007906B4" w:rsidP="00F95A8C">
            <w:pPr>
              <w:spacing w:after="0"/>
              <w:jc w:val="center"/>
              <w:rPr>
                <w:rFonts w:eastAsia="Calibri"/>
              </w:rPr>
            </w:pPr>
            <w:r>
              <w:rPr>
                <w:rFonts w:eastAsia="Calibri"/>
              </w:rPr>
              <w:t>1</w:t>
            </w:r>
          </w:p>
        </w:tc>
        <w:tc>
          <w:tcPr>
            <w:tcW w:w="2199" w:type="dxa"/>
          </w:tcPr>
          <w:p w14:paraId="3285FCC9" w14:textId="39835717" w:rsidR="004E4AFA" w:rsidRDefault="00D66FA8" w:rsidP="00F95A8C">
            <w:pPr>
              <w:spacing w:after="0"/>
              <w:jc w:val="center"/>
              <w:rPr>
                <w:rFonts w:eastAsia="Calibri"/>
              </w:rPr>
            </w:pPr>
            <w:r>
              <w:rPr>
                <w:rFonts w:eastAsia="Calibri"/>
              </w:rPr>
              <w:t>7</w:t>
            </w:r>
          </w:p>
        </w:tc>
        <w:tc>
          <w:tcPr>
            <w:tcW w:w="1210" w:type="dxa"/>
          </w:tcPr>
          <w:p w14:paraId="593F8408" w14:textId="3A3D3915" w:rsidR="004E4AFA" w:rsidRDefault="00A17EF4" w:rsidP="00F95A8C">
            <w:pPr>
              <w:spacing w:after="0"/>
              <w:jc w:val="center"/>
              <w:rPr>
                <w:rFonts w:eastAsia="Calibri"/>
              </w:rPr>
            </w:pPr>
            <w:r>
              <w:rPr>
                <w:rFonts w:eastAsia="Calibri"/>
              </w:rPr>
              <w:t>8</w:t>
            </w:r>
          </w:p>
        </w:tc>
      </w:tr>
      <w:tr w:rsidR="0091734B" w14:paraId="7F460099" w14:textId="77777777" w:rsidTr="008C14D7">
        <w:tc>
          <w:tcPr>
            <w:tcW w:w="3978" w:type="dxa"/>
            <w:vAlign w:val="top"/>
          </w:tcPr>
          <w:p w14:paraId="038C165F" w14:textId="3B4DF400" w:rsidR="0091734B" w:rsidRDefault="0091734B" w:rsidP="00F95A8C">
            <w:pPr>
              <w:spacing w:after="0"/>
            </w:pPr>
            <w:r>
              <w:t>Sediment</w:t>
            </w:r>
          </w:p>
        </w:tc>
        <w:tc>
          <w:tcPr>
            <w:tcW w:w="2261" w:type="dxa"/>
          </w:tcPr>
          <w:p w14:paraId="3042E4C6" w14:textId="66F82871" w:rsidR="0091734B" w:rsidRDefault="00F815DF" w:rsidP="00F95A8C">
            <w:pPr>
              <w:spacing w:after="0"/>
              <w:jc w:val="center"/>
              <w:rPr>
                <w:rFonts w:eastAsia="Calibri"/>
              </w:rPr>
            </w:pPr>
            <w:r>
              <w:rPr>
                <w:rFonts w:eastAsia="Calibri"/>
              </w:rPr>
              <w:t>6</w:t>
            </w:r>
          </w:p>
        </w:tc>
        <w:tc>
          <w:tcPr>
            <w:tcW w:w="2199" w:type="dxa"/>
          </w:tcPr>
          <w:p w14:paraId="114F447E" w14:textId="38E927DE" w:rsidR="0091734B" w:rsidRDefault="0091734B" w:rsidP="00F95A8C">
            <w:pPr>
              <w:spacing w:after="0"/>
              <w:jc w:val="center"/>
              <w:rPr>
                <w:rFonts w:eastAsia="Calibri"/>
              </w:rPr>
            </w:pPr>
            <w:r>
              <w:rPr>
                <w:rFonts w:eastAsia="Calibri"/>
              </w:rPr>
              <w:t>5</w:t>
            </w:r>
          </w:p>
        </w:tc>
        <w:tc>
          <w:tcPr>
            <w:tcW w:w="1210" w:type="dxa"/>
          </w:tcPr>
          <w:p w14:paraId="290350F8" w14:textId="447D7AE7" w:rsidR="0091734B" w:rsidRDefault="00A17EF4" w:rsidP="00F95A8C">
            <w:pPr>
              <w:spacing w:after="0"/>
              <w:jc w:val="center"/>
              <w:rPr>
                <w:rFonts w:eastAsia="Calibri"/>
              </w:rPr>
            </w:pPr>
            <w:r>
              <w:rPr>
                <w:rFonts w:eastAsia="Calibri"/>
              </w:rPr>
              <w:t>11</w:t>
            </w:r>
          </w:p>
        </w:tc>
      </w:tr>
      <w:tr w:rsidR="008A69F1" w14:paraId="03175784" w14:textId="77777777" w:rsidTr="008C14D7">
        <w:tc>
          <w:tcPr>
            <w:tcW w:w="3978" w:type="dxa"/>
            <w:vAlign w:val="top"/>
          </w:tcPr>
          <w:p w14:paraId="13C86083" w14:textId="0C064011" w:rsidR="008A69F1" w:rsidRPr="008A69F1" w:rsidRDefault="008A69F1" w:rsidP="00F95A8C">
            <w:pPr>
              <w:spacing w:after="0"/>
              <w:rPr>
                <w:b/>
                <w:bCs/>
              </w:rPr>
            </w:pPr>
            <w:r w:rsidRPr="008A69F1">
              <w:rPr>
                <w:b/>
                <w:bCs/>
              </w:rPr>
              <w:t>Totals</w:t>
            </w:r>
          </w:p>
        </w:tc>
        <w:tc>
          <w:tcPr>
            <w:tcW w:w="2261" w:type="dxa"/>
          </w:tcPr>
          <w:p w14:paraId="092B44CE" w14:textId="412881BA" w:rsidR="008A69F1" w:rsidRPr="00270C05" w:rsidRDefault="00741BDA" w:rsidP="00F95A8C">
            <w:pPr>
              <w:spacing w:after="0"/>
              <w:jc w:val="center"/>
              <w:rPr>
                <w:rFonts w:eastAsia="Calibri"/>
                <w:b/>
                <w:bCs/>
              </w:rPr>
            </w:pPr>
            <w:r>
              <w:rPr>
                <w:rFonts w:eastAsia="Calibri"/>
                <w:b/>
                <w:bCs/>
              </w:rPr>
              <w:t>64</w:t>
            </w:r>
          </w:p>
        </w:tc>
        <w:tc>
          <w:tcPr>
            <w:tcW w:w="2199" w:type="dxa"/>
          </w:tcPr>
          <w:p w14:paraId="5BFB43B0" w14:textId="51AD5FBB" w:rsidR="008A69F1" w:rsidRPr="00270C05" w:rsidRDefault="00F2253B" w:rsidP="00F95A8C">
            <w:pPr>
              <w:spacing w:after="0"/>
              <w:jc w:val="center"/>
              <w:rPr>
                <w:rFonts w:eastAsia="Calibri"/>
                <w:b/>
                <w:bCs/>
              </w:rPr>
            </w:pPr>
            <w:r>
              <w:rPr>
                <w:rFonts w:eastAsia="Calibri"/>
                <w:b/>
                <w:bCs/>
              </w:rPr>
              <w:t>87</w:t>
            </w:r>
          </w:p>
        </w:tc>
        <w:tc>
          <w:tcPr>
            <w:tcW w:w="1210" w:type="dxa"/>
          </w:tcPr>
          <w:p w14:paraId="5160A143" w14:textId="0E6DF46E" w:rsidR="008A69F1" w:rsidRPr="00270C05" w:rsidRDefault="00741BDA" w:rsidP="00F95A8C">
            <w:pPr>
              <w:spacing w:after="0"/>
              <w:jc w:val="center"/>
              <w:rPr>
                <w:rFonts w:eastAsia="Calibri"/>
                <w:b/>
                <w:bCs/>
              </w:rPr>
            </w:pPr>
            <w:r>
              <w:rPr>
                <w:rFonts w:eastAsia="Calibri"/>
                <w:b/>
                <w:bCs/>
              </w:rPr>
              <w:t>151</w:t>
            </w:r>
          </w:p>
        </w:tc>
      </w:tr>
    </w:tbl>
    <w:p w14:paraId="54BB6BBE" w14:textId="39050415" w:rsidR="00480919" w:rsidRDefault="00480919" w:rsidP="00193F2F">
      <w:pPr>
        <w:pStyle w:val="Caption"/>
        <w:keepNext/>
        <w:spacing w:before="240"/>
      </w:pPr>
      <w:bookmarkStart w:id="196" w:name="_Toc118386805"/>
      <w:bookmarkStart w:id="197" w:name="_Toc118386837"/>
      <w:r>
        <w:t xml:space="preserve">Table </w:t>
      </w:r>
      <w:r w:rsidR="00AB32F5">
        <w:t>7</w:t>
      </w:r>
      <w:r w:rsidR="00D311E2">
        <w:noBreakHyphen/>
      </w:r>
      <w:r w:rsidR="00D311E2">
        <w:fldChar w:fldCharType="begin"/>
      </w:r>
      <w:r w:rsidR="00D311E2">
        <w:instrText xml:space="preserve"> SEQ Table \* ARABIC \s 1 </w:instrText>
      </w:r>
      <w:r w:rsidR="00D311E2">
        <w:fldChar w:fldCharType="separate"/>
      </w:r>
      <w:r w:rsidR="00D311E2">
        <w:rPr>
          <w:noProof/>
        </w:rPr>
        <w:t>2</w:t>
      </w:r>
      <w:r w:rsidR="00D311E2">
        <w:rPr>
          <w:noProof/>
        </w:rPr>
        <w:fldChar w:fldCharType="end"/>
      </w:r>
      <w:r>
        <w:t xml:space="preserve">: </w:t>
      </w:r>
      <w:r w:rsidRPr="00DF1948">
        <w:t xml:space="preserve">Summary of </w:t>
      </w:r>
      <w:r w:rsidR="00F3161B">
        <w:rPr>
          <w:rFonts w:cs="Arial"/>
        </w:rPr>
        <w:t>Lahontan</w:t>
      </w:r>
      <w:r w:rsidR="00F3161B">
        <w:t xml:space="preserve"> </w:t>
      </w:r>
      <w:r w:rsidR="00AD50CF">
        <w:t>Region</w:t>
      </w:r>
      <w:r w:rsidR="00E41F34">
        <w:t>al Water Board</w:t>
      </w:r>
      <w:r w:rsidR="00AD50CF">
        <w:t xml:space="preserve"> </w:t>
      </w:r>
      <w:r w:rsidRPr="00DF1948">
        <w:t>Waterbody</w:t>
      </w:r>
      <w:r w:rsidR="002D6247">
        <w:t>-</w:t>
      </w:r>
      <w:r w:rsidRPr="00DF1948">
        <w:t xml:space="preserve">Pollutant Combination </w:t>
      </w:r>
      <w:r w:rsidR="0047187B">
        <w:t>“</w:t>
      </w:r>
      <w:r w:rsidRPr="00DF1948">
        <w:t>Delist</w:t>
      </w:r>
      <w:r w:rsidR="0047187B">
        <w:t>”</w:t>
      </w:r>
      <w:r w:rsidRPr="00DF1948">
        <w:t xml:space="preserve"> </w:t>
      </w:r>
      <w:r w:rsidR="00025E88">
        <w:t>Decisions</w:t>
      </w:r>
      <w:r w:rsidR="00025E88" w:rsidRPr="00DF1948">
        <w:t xml:space="preserve"> </w:t>
      </w:r>
      <w:r w:rsidRPr="00DF1948">
        <w:t>by Pollutant Category</w:t>
      </w:r>
      <w:bookmarkEnd w:id="196"/>
      <w:bookmarkEnd w:id="197"/>
    </w:p>
    <w:tbl>
      <w:tblPr>
        <w:tblStyle w:val="AccblTable"/>
        <w:tblW w:w="9648" w:type="dxa"/>
        <w:tblCellMar>
          <w:top w:w="115" w:type="dxa"/>
          <w:bottom w:w="115" w:type="dxa"/>
        </w:tblCellMar>
        <w:tblLook w:val="04A0" w:firstRow="1" w:lastRow="0" w:firstColumn="1" w:lastColumn="0" w:noHBand="0" w:noVBand="1"/>
        <w:tblCaption w:val="Summary of Lahontan Regional Water Board Waterbody-Pollutant Combination &quot;Delist&quot; Decisions by Pollutant Category"/>
        <w:tblDescription w:val="This table lists new recommended 303(d) delistings for pollutants in the Lahontan Region.  It lists the waterbody pollutant category, the number of delistings due to water quality attainment, the number of delisting due to a change in assessment, and the totals."/>
      </w:tblPr>
      <w:tblGrid>
        <w:gridCol w:w="2880"/>
        <w:gridCol w:w="2664"/>
        <w:gridCol w:w="2664"/>
        <w:gridCol w:w="1440"/>
      </w:tblGrid>
      <w:tr w:rsidR="00181469" w14:paraId="1745E6E5" w14:textId="77777777" w:rsidTr="007C5319">
        <w:trPr>
          <w:cnfStyle w:val="100000000000" w:firstRow="1" w:lastRow="0" w:firstColumn="0" w:lastColumn="0" w:oddVBand="0" w:evenVBand="0" w:oddHBand="0" w:evenHBand="0" w:firstRowFirstColumn="0" w:firstRowLastColumn="0" w:lastRowFirstColumn="0" w:lastRowLastColumn="0"/>
        </w:trPr>
        <w:tc>
          <w:tcPr>
            <w:tcW w:w="2880" w:type="dxa"/>
          </w:tcPr>
          <w:p w14:paraId="7AFCB9D8" w14:textId="77777777" w:rsidR="00FC6ECB" w:rsidRDefault="00FC6ECB" w:rsidP="00F00531">
            <w:pPr>
              <w:spacing w:after="0"/>
            </w:pPr>
            <w:r>
              <w:t>Pollutant Category</w:t>
            </w:r>
          </w:p>
        </w:tc>
        <w:tc>
          <w:tcPr>
            <w:tcW w:w="2664" w:type="dxa"/>
          </w:tcPr>
          <w:p w14:paraId="4C7280A4" w14:textId="2E009C2F" w:rsidR="00FC6ECB" w:rsidRDefault="0047187B" w:rsidP="00F00531">
            <w:pPr>
              <w:spacing w:after="0"/>
            </w:pPr>
            <w:r>
              <w:t>“</w:t>
            </w:r>
            <w:r w:rsidRPr="00DF1948">
              <w:t>Delist</w:t>
            </w:r>
            <w:r>
              <w:t>”</w:t>
            </w:r>
            <w:r w:rsidR="00FC6ECB">
              <w:t xml:space="preserve"> </w:t>
            </w:r>
            <w:r w:rsidR="009C3C73">
              <w:t xml:space="preserve">Decisions </w:t>
            </w:r>
            <w:r w:rsidR="00FC6ECB">
              <w:t xml:space="preserve">Due to </w:t>
            </w:r>
            <w:r w:rsidR="006B6588">
              <w:t xml:space="preserve">Change in </w:t>
            </w:r>
            <w:r w:rsidR="00FC6ECB">
              <w:t>Water Quality</w:t>
            </w:r>
          </w:p>
        </w:tc>
        <w:tc>
          <w:tcPr>
            <w:tcW w:w="2664" w:type="dxa"/>
          </w:tcPr>
          <w:p w14:paraId="5FBDF702" w14:textId="41DF6A3A" w:rsidR="00FC6ECB" w:rsidRDefault="0047187B" w:rsidP="00F00531">
            <w:pPr>
              <w:spacing w:after="0"/>
            </w:pPr>
            <w:r>
              <w:t>“</w:t>
            </w:r>
            <w:r w:rsidRPr="00DF1948">
              <w:t>Delist</w:t>
            </w:r>
            <w:r>
              <w:t>”</w:t>
            </w:r>
            <w:r w:rsidRPr="00DF1948">
              <w:t xml:space="preserve"> </w:t>
            </w:r>
            <w:r w:rsidR="009C3C73">
              <w:t>Decisions</w:t>
            </w:r>
            <w:r w:rsidR="00FC6ECB">
              <w:t xml:space="preserve"> Due to </w:t>
            </w:r>
            <w:r w:rsidR="006B6588">
              <w:t xml:space="preserve">Other </w:t>
            </w:r>
            <w:r w:rsidR="00313B6A">
              <w:t>Changes</w:t>
            </w:r>
            <w:r w:rsidR="00313B6A">
              <w:rPr>
                <w:rStyle w:val="FootnoteReference"/>
              </w:rPr>
              <w:footnoteReference w:id="20"/>
            </w:r>
          </w:p>
        </w:tc>
        <w:tc>
          <w:tcPr>
            <w:tcW w:w="1440" w:type="dxa"/>
          </w:tcPr>
          <w:p w14:paraId="15B9E2FE" w14:textId="77777777" w:rsidR="00FC6ECB" w:rsidRDefault="00FC6ECB" w:rsidP="00F00531">
            <w:pPr>
              <w:spacing w:after="0"/>
            </w:pPr>
            <w:r>
              <w:t xml:space="preserve">Total </w:t>
            </w:r>
          </w:p>
        </w:tc>
      </w:tr>
      <w:tr w:rsidR="00FC6ECB" w14:paraId="1F686C1B" w14:textId="77777777" w:rsidTr="007C5319">
        <w:trPr>
          <w:cantSplit w:val="0"/>
        </w:trPr>
        <w:tc>
          <w:tcPr>
            <w:tcW w:w="2880" w:type="dxa"/>
          </w:tcPr>
          <w:p w14:paraId="6FB790A4" w14:textId="4DBA2A17" w:rsidR="00FC6ECB" w:rsidRDefault="58265D88" w:rsidP="00F00531">
            <w:pPr>
              <w:spacing w:after="0"/>
            </w:pPr>
            <w:r>
              <w:t>Metals</w:t>
            </w:r>
          </w:p>
        </w:tc>
        <w:tc>
          <w:tcPr>
            <w:tcW w:w="2664" w:type="dxa"/>
          </w:tcPr>
          <w:p w14:paraId="7034DF48" w14:textId="46C3ABEC" w:rsidR="00FC6ECB" w:rsidRDefault="0015538E" w:rsidP="00F00531">
            <w:pPr>
              <w:spacing w:after="0"/>
              <w:jc w:val="center"/>
            </w:pPr>
            <w:r>
              <w:t>1</w:t>
            </w:r>
          </w:p>
        </w:tc>
        <w:tc>
          <w:tcPr>
            <w:tcW w:w="2664" w:type="dxa"/>
          </w:tcPr>
          <w:p w14:paraId="3766C92A" w14:textId="75225717" w:rsidR="00FC6ECB" w:rsidRDefault="006157CF" w:rsidP="00F00531">
            <w:pPr>
              <w:spacing w:after="0"/>
              <w:jc w:val="center"/>
            </w:pPr>
            <w:r>
              <w:t>0</w:t>
            </w:r>
          </w:p>
        </w:tc>
        <w:tc>
          <w:tcPr>
            <w:tcW w:w="1440" w:type="dxa"/>
          </w:tcPr>
          <w:p w14:paraId="7D401B68" w14:textId="41740730" w:rsidR="00FC6ECB" w:rsidRDefault="006157CF" w:rsidP="00F00531">
            <w:pPr>
              <w:spacing w:after="0"/>
              <w:jc w:val="center"/>
            </w:pPr>
            <w:r>
              <w:t>1</w:t>
            </w:r>
          </w:p>
        </w:tc>
      </w:tr>
      <w:tr w:rsidR="3CF43F02" w14:paraId="299270DB" w14:textId="77777777" w:rsidTr="007C5319">
        <w:trPr>
          <w:cantSplit w:val="0"/>
        </w:trPr>
        <w:tc>
          <w:tcPr>
            <w:tcW w:w="2880" w:type="dxa"/>
          </w:tcPr>
          <w:p w14:paraId="1C8C2542" w14:textId="57A13FCF" w:rsidR="3CF43F02" w:rsidRDefault="58265D88" w:rsidP="00F00531">
            <w:pPr>
              <w:spacing w:after="0"/>
              <w:rPr>
                <w:rFonts w:eastAsia="Calibri"/>
                <w:szCs w:val="24"/>
              </w:rPr>
            </w:pPr>
            <w:r w:rsidRPr="4A64A254">
              <w:rPr>
                <w:rFonts w:eastAsia="Arial" w:cs="Arial"/>
                <w:szCs w:val="24"/>
              </w:rPr>
              <w:t xml:space="preserve">Nutrients </w:t>
            </w:r>
          </w:p>
        </w:tc>
        <w:tc>
          <w:tcPr>
            <w:tcW w:w="2664" w:type="dxa"/>
          </w:tcPr>
          <w:p w14:paraId="7C097495" w14:textId="5BA75440" w:rsidR="3CF43F02" w:rsidRDefault="0015538E" w:rsidP="00F00531">
            <w:pPr>
              <w:spacing w:after="0"/>
              <w:jc w:val="center"/>
              <w:rPr>
                <w:rFonts w:eastAsia="Calibri"/>
              </w:rPr>
            </w:pPr>
            <w:r>
              <w:rPr>
                <w:rFonts w:eastAsia="Calibri"/>
              </w:rPr>
              <w:t>1</w:t>
            </w:r>
          </w:p>
        </w:tc>
        <w:tc>
          <w:tcPr>
            <w:tcW w:w="2664" w:type="dxa"/>
          </w:tcPr>
          <w:p w14:paraId="308F6991" w14:textId="1D79B857" w:rsidR="3BBE48A2" w:rsidRDefault="009E5D80" w:rsidP="00F00531">
            <w:pPr>
              <w:spacing w:after="0"/>
              <w:jc w:val="center"/>
              <w:rPr>
                <w:rFonts w:eastAsia="Calibri"/>
              </w:rPr>
            </w:pPr>
            <w:r>
              <w:rPr>
                <w:rFonts w:eastAsia="Calibri"/>
              </w:rPr>
              <w:t>2</w:t>
            </w:r>
          </w:p>
        </w:tc>
        <w:tc>
          <w:tcPr>
            <w:tcW w:w="1440" w:type="dxa"/>
          </w:tcPr>
          <w:p w14:paraId="67691CA3" w14:textId="61A19C93" w:rsidR="3BBE48A2" w:rsidRDefault="009E5D80" w:rsidP="00F00531">
            <w:pPr>
              <w:spacing w:after="0"/>
              <w:jc w:val="center"/>
              <w:rPr>
                <w:rFonts w:eastAsia="Calibri"/>
              </w:rPr>
            </w:pPr>
            <w:r>
              <w:rPr>
                <w:rFonts w:eastAsia="Calibri"/>
              </w:rPr>
              <w:t>3</w:t>
            </w:r>
          </w:p>
        </w:tc>
      </w:tr>
      <w:tr w:rsidR="00FC6ECB" w14:paraId="0D26A9B2" w14:textId="77777777" w:rsidTr="007C5319">
        <w:trPr>
          <w:cantSplit w:val="0"/>
        </w:trPr>
        <w:tc>
          <w:tcPr>
            <w:tcW w:w="2880" w:type="dxa"/>
          </w:tcPr>
          <w:p w14:paraId="6EFE41D4" w14:textId="68D07275" w:rsidR="00FC6ECB" w:rsidRDefault="00FC6ECB" w:rsidP="00F00531">
            <w:pPr>
              <w:spacing w:after="0"/>
              <w:rPr>
                <w:rFonts w:eastAsia="Calibri"/>
                <w:szCs w:val="24"/>
              </w:rPr>
            </w:pPr>
            <w:r w:rsidRPr="1E29EA7A">
              <w:rPr>
                <w:rFonts w:eastAsia="Arial" w:cs="Arial"/>
                <w:szCs w:val="24"/>
              </w:rPr>
              <w:t>Pathogens/Bacteria</w:t>
            </w:r>
          </w:p>
        </w:tc>
        <w:tc>
          <w:tcPr>
            <w:tcW w:w="2664" w:type="dxa"/>
          </w:tcPr>
          <w:p w14:paraId="2B305FAC" w14:textId="4AF3BBF8" w:rsidR="00FC6ECB" w:rsidRDefault="00BB4D8A" w:rsidP="00F00531">
            <w:pPr>
              <w:spacing w:after="0"/>
              <w:jc w:val="center"/>
            </w:pPr>
            <w:r>
              <w:t>0</w:t>
            </w:r>
          </w:p>
        </w:tc>
        <w:tc>
          <w:tcPr>
            <w:tcW w:w="2664" w:type="dxa"/>
          </w:tcPr>
          <w:p w14:paraId="79D3147C" w14:textId="0465A83C" w:rsidR="00FC6ECB" w:rsidRDefault="00BB4D8A" w:rsidP="00F00531">
            <w:pPr>
              <w:spacing w:after="0"/>
              <w:jc w:val="center"/>
            </w:pPr>
            <w:r>
              <w:t>31</w:t>
            </w:r>
          </w:p>
        </w:tc>
        <w:tc>
          <w:tcPr>
            <w:tcW w:w="1440" w:type="dxa"/>
          </w:tcPr>
          <w:p w14:paraId="31C5D26F" w14:textId="3A1A96E6" w:rsidR="00FC6ECB" w:rsidRDefault="00BB4D8A" w:rsidP="00F00531">
            <w:pPr>
              <w:spacing w:after="0"/>
              <w:jc w:val="center"/>
            </w:pPr>
            <w:r>
              <w:t>31</w:t>
            </w:r>
          </w:p>
        </w:tc>
      </w:tr>
      <w:tr w:rsidR="00270C05" w14:paraId="4FB02083" w14:textId="77777777" w:rsidTr="007C5319">
        <w:trPr>
          <w:cantSplit w:val="0"/>
        </w:trPr>
        <w:tc>
          <w:tcPr>
            <w:tcW w:w="2880" w:type="dxa"/>
          </w:tcPr>
          <w:p w14:paraId="5DBE3D06" w14:textId="7D15398F" w:rsidR="00270C05" w:rsidRPr="1E29EA7A" w:rsidRDefault="00270C05" w:rsidP="00F00531">
            <w:pPr>
              <w:spacing w:after="0"/>
              <w:rPr>
                <w:rFonts w:eastAsia="Arial" w:cs="Arial"/>
                <w:szCs w:val="24"/>
              </w:rPr>
            </w:pPr>
            <w:r w:rsidRPr="008A69F1">
              <w:rPr>
                <w:b/>
                <w:bCs/>
              </w:rPr>
              <w:t>Totals</w:t>
            </w:r>
          </w:p>
        </w:tc>
        <w:tc>
          <w:tcPr>
            <w:tcW w:w="2664" w:type="dxa"/>
          </w:tcPr>
          <w:p w14:paraId="6637EEDC" w14:textId="324E263A" w:rsidR="00270C05" w:rsidRPr="009D44D9" w:rsidRDefault="00270C05" w:rsidP="00F00531">
            <w:pPr>
              <w:spacing w:after="0"/>
              <w:jc w:val="center"/>
              <w:rPr>
                <w:b/>
              </w:rPr>
            </w:pPr>
            <w:r w:rsidRPr="009D44D9">
              <w:rPr>
                <w:b/>
              </w:rPr>
              <w:t>2</w:t>
            </w:r>
          </w:p>
        </w:tc>
        <w:tc>
          <w:tcPr>
            <w:tcW w:w="2664" w:type="dxa"/>
          </w:tcPr>
          <w:p w14:paraId="0AD36C68" w14:textId="65160597" w:rsidR="00270C05" w:rsidRPr="009D44D9" w:rsidRDefault="00631D3E" w:rsidP="00F00531">
            <w:pPr>
              <w:spacing w:after="0"/>
              <w:jc w:val="center"/>
              <w:rPr>
                <w:b/>
              </w:rPr>
            </w:pPr>
            <w:r>
              <w:rPr>
                <w:b/>
                <w:bCs/>
              </w:rPr>
              <w:t>32</w:t>
            </w:r>
          </w:p>
        </w:tc>
        <w:tc>
          <w:tcPr>
            <w:tcW w:w="1440" w:type="dxa"/>
          </w:tcPr>
          <w:p w14:paraId="6BF27645" w14:textId="78B8DF7D" w:rsidR="00270C05" w:rsidRPr="009D44D9" w:rsidRDefault="00631D3E" w:rsidP="00F00531">
            <w:pPr>
              <w:spacing w:after="0"/>
              <w:jc w:val="center"/>
              <w:rPr>
                <w:b/>
              </w:rPr>
            </w:pPr>
            <w:r>
              <w:rPr>
                <w:b/>
                <w:bCs/>
              </w:rPr>
              <w:t>35</w:t>
            </w:r>
          </w:p>
        </w:tc>
      </w:tr>
    </w:tbl>
    <w:p w14:paraId="7CED9BE8" w14:textId="05C0BDBD" w:rsidR="00827FA6" w:rsidRDefault="00827FA6" w:rsidP="00124E6C">
      <w:pPr>
        <w:pStyle w:val="Heading2"/>
      </w:pPr>
      <w:bookmarkStart w:id="198" w:name="_Toc189048638"/>
      <w:r>
        <w:t xml:space="preserve">Lahontan </w:t>
      </w:r>
      <w:r w:rsidR="528E7384">
        <w:t>Prioritization of TMDLs and Other Efforts to Address Impaired Waters</w:t>
      </w:r>
      <w:bookmarkEnd w:id="198"/>
    </w:p>
    <w:p w14:paraId="18D406B2" w14:textId="77777777" w:rsidR="00621787" w:rsidRDefault="00621787" w:rsidP="00621787">
      <w:pPr>
        <w:spacing w:before="240"/>
        <w:rPr>
          <w:rFonts w:eastAsia="Arial" w:cs="Arial"/>
        </w:rPr>
      </w:pPr>
      <w:r w:rsidRPr="00F37E03">
        <w:t>Efforts to address impaired waterbodies identified on the CWA section 303(d) list can</w:t>
      </w:r>
      <w:r>
        <w:t xml:space="preserve"> </w:t>
      </w:r>
      <w:r w:rsidRPr="00F37E03">
        <w:rPr>
          <w:rFonts w:eastAsia="Arial" w:cs="Arial"/>
        </w:rPr>
        <w:t>include TMDLs, individual permits, or other programs of implementation, which are</w:t>
      </w:r>
      <w:r>
        <w:t xml:space="preserve"> </w:t>
      </w:r>
      <w:r w:rsidRPr="00F37E03">
        <w:rPr>
          <w:rFonts w:eastAsia="Arial" w:cs="Arial"/>
        </w:rPr>
        <w:t>sometimes known as TMDL alternative projects. The prioritization of TMDLs and other</w:t>
      </w:r>
      <w:r>
        <w:t xml:space="preserve"> </w:t>
      </w:r>
      <w:r w:rsidRPr="00F37E03">
        <w:rPr>
          <w:rFonts w:eastAsia="Arial" w:cs="Arial"/>
        </w:rPr>
        <w:t xml:space="preserve">efforts to address impaired waters in the </w:t>
      </w:r>
      <w:r>
        <w:rPr>
          <w:rFonts w:eastAsia="Arial" w:cs="Arial"/>
        </w:rPr>
        <w:t>North Coast</w:t>
      </w:r>
      <w:r w:rsidRPr="00F37E03">
        <w:rPr>
          <w:rFonts w:eastAsia="Arial" w:cs="Arial"/>
        </w:rPr>
        <w:t xml:space="preserve"> Region is based on the factors</w:t>
      </w:r>
      <w:r>
        <w:t xml:space="preserve"> </w:t>
      </w:r>
      <w:r w:rsidRPr="00F37E03">
        <w:rPr>
          <w:rFonts w:eastAsia="Arial" w:cs="Arial"/>
        </w:rPr>
        <w:t>required by section 5 of the Listing Policy and</w:t>
      </w:r>
      <w:r>
        <w:t xml:space="preserve"> </w:t>
      </w:r>
      <w:r w:rsidRPr="00F37E03">
        <w:rPr>
          <w:rFonts w:eastAsia="Arial" w:cs="Arial"/>
        </w:rPr>
        <w:t xml:space="preserve">consideration of several other factors, </w:t>
      </w:r>
      <w:r>
        <w:rPr>
          <w:rFonts w:eastAsia="Arial" w:cs="Arial"/>
        </w:rPr>
        <w:t xml:space="preserve">outlined in section 2.6: TMDLs and Other Efforts to Address Impaired Waters. Information outlining how impaired waterbodies may be addressed through individual permits is outlined in section 1.1: The 303(d) List of Impaired Waters. </w:t>
      </w:r>
    </w:p>
    <w:p w14:paraId="2BA8CCAA" w14:textId="74DEF3E0" w:rsidR="000A21AD" w:rsidRDefault="00B9517B" w:rsidP="00621787">
      <w:pPr>
        <w:spacing w:before="240"/>
        <w:rPr>
          <w:rFonts w:eastAsia="Arial" w:cs="Arial"/>
        </w:rPr>
      </w:pPr>
      <w:r>
        <w:rPr>
          <w:rFonts w:eastAsia="Arial" w:cs="Arial"/>
        </w:rPr>
        <w:t xml:space="preserve">The Lahontan Regional Water Board </w:t>
      </w:r>
      <w:r w:rsidR="00345E38">
        <w:rPr>
          <w:rFonts w:eastAsia="Arial" w:cs="Arial"/>
        </w:rPr>
        <w:t>determined if a</w:t>
      </w:r>
      <w:r w:rsidR="00133387" w:rsidRPr="001C7DDA">
        <w:rPr>
          <w:rFonts w:eastAsia="Arial" w:cs="Arial"/>
        </w:rPr>
        <w:t xml:space="preserve"> </w:t>
      </w:r>
      <w:r w:rsidR="009A5536">
        <w:rPr>
          <w:rFonts w:eastAsia="Arial" w:cs="Arial"/>
        </w:rPr>
        <w:t>waterbody</w:t>
      </w:r>
      <w:r w:rsidR="00817A8A">
        <w:rPr>
          <w:rFonts w:eastAsia="Arial" w:cs="Arial"/>
        </w:rPr>
        <w:t xml:space="preserve"> in Category 5 </w:t>
      </w:r>
      <w:r w:rsidR="00FC78B5">
        <w:rPr>
          <w:rFonts w:eastAsia="Arial" w:cs="Arial"/>
        </w:rPr>
        <w:t>would be a</w:t>
      </w:r>
      <w:r w:rsidR="00133387" w:rsidRPr="001C7DDA">
        <w:rPr>
          <w:rFonts w:eastAsia="Arial" w:cs="Arial"/>
        </w:rPr>
        <w:t xml:space="preserve"> high priority </w:t>
      </w:r>
      <w:r w:rsidR="00055019">
        <w:rPr>
          <w:rFonts w:eastAsia="Arial" w:cs="Arial"/>
        </w:rPr>
        <w:t xml:space="preserve">for TMDL development </w:t>
      </w:r>
      <w:r w:rsidR="00777C74">
        <w:rPr>
          <w:rFonts w:eastAsia="Arial" w:cs="Arial"/>
        </w:rPr>
        <w:t>by considering the severity of the pollution, the beneficial uses,</w:t>
      </w:r>
      <w:r w:rsidR="009E724D">
        <w:rPr>
          <w:rFonts w:eastAsia="Arial" w:cs="Arial"/>
        </w:rPr>
        <w:t xml:space="preserve"> staff resources</w:t>
      </w:r>
      <w:r w:rsidR="00C43D46">
        <w:rPr>
          <w:rFonts w:eastAsia="Arial" w:cs="Arial"/>
        </w:rPr>
        <w:t>,</w:t>
      </w:r>
      <w:r w:rsidR="00777C74">
        <w:rPr>
          <w:rFonts w:eastAsia="Arial" w:cs="Arial"/>
        </w:rPr>
        <w:t xml:space="preserve"> and the other factors listed in the Prioritization Framework</w:t>
      </w:r>
      <w:r w:rsidR="00133387" w:rsidRPr="001C7DDA">
        <w:rPr>
          <w:rFonts w:eastAsia="Arial" w:cs="Arial"/>
        </w:rPr>
        <w:t xml:space="preserve"> </w:t>
      </w:r>
      <w:r w:rsidR="00133387">
        <w:rPr>
          <w:rFonts w:eastAsia="Arial" w:cs="Arial"/>
        </w:rPr>
        <w:t>(see Section 2.</w:t>
      </w:r>
      <w:r w:rsidR="00777C74">
        <w:rPr>
          <w:rFonts w:eastAsia="Arial" w:cs="Arial"/>
        </w:rPr>
        <w:t xml:space="preserve">6 and </w:t>
      </w:r>
      <w:r w:rsidR="00133387">
        <w:rPr>
          <w:rFonts w:eastAsia="Arial" w:cs="Arial"/>
        </w:rPr>
        <w:t>2.7)</w:t>
      </w:r>
      <w:r w:rsidR="00133387" w:rsidRPr="001C7DDA">
        <w:rPr>
          <w:rFonts w:eastAsia="Arial" w:cs="Arial"/>
        </w:rPr>
        <w:t>.</w:t>
      </w:r>
      <w:r w:rsidR="00133387">
        <w:rPr>
          <w:rFonts w:eastAsia="Arial" w:cs="Arial"/>
        </w:rPr>
        <w:t xml:space="preserve"> </w:t>
      </w:r>
    </w:p>
    <w:p w14:paraId="1ED3050D" w14:textId="15A142EE" w:rsidR="00FC5912" w:rsidRDefault="00B30EFF" w:rsidP="00EB26AF">
      <w:pPr>
        <w:rPr>
          <w:rFonts w:eastAsia="Arial" w:cs="Arial"/>
        </w:rPr>
      </w:pPr>
      <w:r>
        <w:rPr>
          <w:rFonts w:eastAsia="Arial" w:cs="Arial"/>
        </w:rPr>
        <w:t>The</w:t>
      </w:r>
      <w:r w:rsidR="00B06AD0">
        <w:rPr>
          <w:rFonts w:eastAsia="Arial" w:cs="Arial"/>
        </w:rPr>
        <w:t xml:space="preserve"> Lahontan Regional</w:t>
      </w:r>
      <w:r w:rsidR="00A90535">
        <w:rPr>
          <w:rFonts w:eastAsia="Arial" w:cs="Arial"/>
        </w:rPr>
        <w:t xml:space="preserve"> Water</w:t>
      </w:r>
      <w:r w:rsidR="00B06AD0">
        <w:rPr>
          <w:rFonts w:eastAsia="Arial" w:cs="Arial"/>
        </w:rPr>
        <w:t xml:space="preserve"> Board </w:t>
      </w:r>
      <w:r w:rsidR="00DA00F3">
        <w:rPr>
          <w:rFonts w:eastAsia="Arial" w:cs="Arial"/>
        </w:rPr>
        <w:t>assigned high priority</w:t>
      </w:r>
      <w:r w:rsidR="00CA7B1B">
        <w:rPr>
          <w:rFonts w:eastAsia="Arial" w:cs="Arial"/>
        </w:rPr>
        <w:t xml:space="preserve"> for</w:t>
      </w:r>
      <w:r w:rsidR="00DA00F3">
        <w:rPr>
          <w:rFonts w:eastAsia="Arial" w:cs="Arial"/>
        </w:rPr>
        <w:t xml:space="preserve"> </w:t>
      </w:r>
      <w:r w:rsidR="006F3270">
        <w:rPr>
          <w:rFonts w:eastAsia="Arial" w:cs="Arial"/>
        </w:rPr>
        <w:t xml:space="preserve">the development of TMDLs </w:t>
      </w:r>
      <w:r w:rsidR="00733091">
        <w:rPr>
          <w:rFonts w:eastAsia="Arial" w:cs="Arial"/>
        </w:rPr>
        <w:t>to</w:t>
      </w:r>
      <w:r w:rsidR="006F3270">
        <w:rPr>
          <w:rFonts w:eastAsia="Arial" w:cs="Arial"/>
        </w:rPr>
        <w:t xml:space="preserve"> </w:t>
      </w:r>
      <w:r>
        <w:rPr>
          <w:rFonts w:eastAsia="Arial" w:cs="Arial"/>
        </w:rPr>
        <w:t>m</w:t>
      </w:r>
      <w:r w:rsidRPr="00B931B9">
        <w:rPr>
          <w:rFonts w:eastAsia="Arial" w:cs="Arial"/>
        </w:rPr>
        <w:t>ercury impairments</w:t>
      </w:r>
      <w:r w:rsidR="00B96AB1">
        <w:rPr>
          <w:rFonts w:eastAsia="Arial" w:cs="Arial"/>
        </w:rPr>
        <w:t xml:space="preserve"> in Mammoth Creek, Mill City Tributary, and Hot Creek</w:t>
      </w:r>
      <w:r w:rsidRPr="00B931B9">
        <w:rPr>
          <w:rFonts w:eastAsia="Arial" w:cs="Arial"/>
        </w:rPr>
        <w:t xml:space="preserve"> due to</w:t>
      </w:r>
      <w:r w:rsidR="0041447A">
        <w:rPr>
          <w:rFonts w:eastAsia="Arial" w:cs="Arial"/>
        </w:rPr>
        <w:t>, among other factors,</w:t>
      </w:r>
      <w:r w:rsidRPr="00B931B9">
        <w:rPr>
          <w:rFonts w:eastAsia="Arial" w:cs="Arial"/>
        </w:rPr>
        <w:t xml:space="preserve"> their potential threat to human health</w:t>
      </w:r>
      <w:r w:rsidR="002E47D1">
        <w:rPr>
          <w:rFonts w:eastAsia="Arial" w:cs="Arial"/>
        </w:rPr>
        <w:t xml:space="preserve"> and the potential </w:t>
      </w:r>
      <w:r w:rsidR="00B74344">
        <w:rPr>
          <w:rFonts w:eastAsia="Arial" w:cs="Arial"/>
        </w:rPr>
        <w:t xml:space="preserve">for </w:t>
      </w:r>
      <w:r w:rsidR="00BA69B9">
        <w:rPr>
          <w:rFonts w:eastAsia="Arial" w:cs="Arial"/>
        </w:rPr>
        <w:t>restoration</w:t>
      </w:r>
      <w:r w:rsidR="00727829">
        <w:rPr>
          <w:rFonts w:eastAsia="Arial" w:cs="Arial"/>
        </w:rPr>
        <w:t xml:space="preserve"> in the </w:t>
      </w:r>
      <w:r w:rsidR="002014B7">
        <w:rPr>
          <w:rFonts w:eastAsia="Arial" w:cs="Arial"/>
        </w:rPr>
        <w:t>watershed</w:t>
      </w:r>
      <w:r w:rsidRPr="00B931B9">
        <w:rPr>
          <w:rFonts w:eastAsia="Arial" w:cs="Arial"/>
        </w:rPr>
        <w:t>.</w:t>
      </w:r>
      <w:r w:rsidR="00674B8D" w:rsidDel="00B96AB1">
        <w:rPr>
          <w:rFonts w:eastAsia="Arial" w:cs="Arial"/>
        </w:rPr>
        <w:t xml:space="preserve"> </w:t>
      </w:r>
      <w:r w:rsidR="008B51E0">
        <w:rPr>
          <w:rFonts w:eastAsia="Arial" w:cs="Arial"/>
        </w:rPr>
        <w:t xml:space="preserve">The Lahontan Regional Water Board assigned </w:t>
      </w:r>
      <w:r w:rsidR="003E33B8">
        <w:rPr>
          <w:rFonts w:eastAsia="Arial" w:cs="Arial"/>
        </w:rPr>
        <w:t>medium</w:t>
      </w:r>
      <w:r w:rsidR="008B51E0">
        <w:rPr>
          <w:rFonts w:eastAsia="Arial" w:cs="Arial"/>
        </w:rPr>
        <w:t xml:space="preserve"> priority for the development of TMDLs for </w:t>
      </w:r>
      <w:r w:rsidR="004775B4">
        <w:rPr>
          <w:rFonts w:eastAsia="Arial" w:cs="Arial"/>
        </w:rPr>
        <w:t xml:space="preserve">other </w:t>
      </w:r>
      <w:r w:rsidR="008B51E0">
        <w:rPr>
          <w:rFonts w:eastAsia="Arial" w:cs="Arial"/>
        </w:rPr>
        <w:t>m</w:t>
      </w:r>
      <w:r w:rsidR="008B51E0" w:rsidRPr="00B931B9">
        <w:rPr>
          <w:rFonts w:eastAsia="Arial" w:cs="Arial"/>
        </w:rPr>
        <w:t xml:space="preserve">ercury </w:t>
      </w:r>
      <w:r w:rsidR="004775B4">
        <w:rPr>
          <w:rFonts w:eastAsia="Arial" w:cs="Arial"/>
        </w:rPr>
        <w:t>impairments</w:t>
      </w:r>
      <w:r w:rsidR="00A478D2">
        <w:rPr>
          <w:rFonts w:eastAsia="Arial" w:cs="Arial"/>
        </w:rPr>
        <w:t>, as well as indicator bacteria impairments</w:t>
      </w:r>
      <w:r w:rsidR="008A647A">
        <w:rPr>
          <w:rFonts w:eastAsia="Arial" w:cs="Arial"/>
        </w:rPr>
        <w:t>,</w:t>
      </w:r>
      <w:r w:rsidR="004775B4">
        <w:rPr>
          <w:rFonts w:eastAsia="Arial" w:cs="Arial"/>
        </w:rPr>
        <w:t xml:space="preserve"> </w:t>
      </w:r>
      <w:r w:rsidR="00FF755B">
        <w:rPr>
          <w:rFonts w:eastAsia="Arial" w:cs="Arial"/>
        </w:rPr>
        <w:t>in consideration of</w:t>
      </w:r>
      <w:r w:rsidR="000A564F">
        <w:rPr>
          <w:rFonts w:eastAsia="Arial" w:cs="Arial"/>
        </w:rPr>
        <w:t>,</w:t>
      </w:r>
      <w:r w:rsidR="00E0718A">
        <w:rPr>
          <w:rFonts w:eastAsia="Arial" w:cs="Arial"/>
        </w:rPr>
        <w:t xml:space="preserve"> </w:t>
      </w:r>
      <w:r w:rsidR="00FF755B">
        <w:rPr>
          <w:rFonts w:eastAsia="Arial" w:cs="Arial"/>
        </w:rPr>
        <w:t>among other factors,</w:t>
      </w:r>
      <w:r w:rsidR="00D6039B">
        <w:rPr>
          <w:rFonts w:eastAsia="Arial" w:cs="Arial"/>
        </w:rPr>
        <w:t xml:space="preserve"> </w:t>
      </w:r>
      <w:r w:rsidR="008B51E0" w:rsidRPr="00B931B9">
        <w:rPr>
          <w:rFonts w:eastAsia="Arial" w:cs="Arial"/>
        </w:rPr>
        <w:t>their potential threat to human health</w:t>
      </w:r>
      <w:r w:rsidR="006912FE">
        <w:rPr>
          <w:rFonts w:eastAsia="Arial" w:cs="Arial"/>
        </w:rPr>
        <w:t>,</w:t>
      </w:r>
      <w:r w:rsidR="0035010A">
        <w:rPr>
          <w:rFonts w:eastAsia="Arial" w:cs="Arial"/>
        </w:rPr>
        <w:t xml:space="preserve"> </w:t>
      </w:r>
      <w:r w:rsidR="00287514">
        <w:rPr>
          <w:rFonts w:eastAsia="Arial" w:cs="Arial"/>
        </w:rPr>
        <w:t xml:space="preserve">and </w:t>
      </w:r>
      <w:r w:rsidR="00A466EE">
        <w:rPr>
          <w:rFonts w:eastAsia="Arial" w:cs="Arial"/>
        </w:rPr>
        <w:t xml:space="preserve">the </w:t>
      </w:r>
      <w:r w:rsidR="00287514">
        <w:rPr>
          <w:rFonts w:eastAsia="Arial" w:cs="Arial"/>
        </w:rPr>
        <w:t xml:space="preserve">relative </w:t>
      </w:r>
      <w:r w:rsidR="00D11C30">
        <w:rPr>
          <w:rFonts w:eastAsia="Arial" w:cs="Arial"/>
        </w:rPr>
        <w:t>un</w:t>
      </w:r>
      <w:r w:rsidR="0035010A">
        <w:rPr>
          <w:rFonts w:eastAsia="Arial" w:cs="Arial"/>
        </w:rPr>
        <w:t>certainty in terms</w:t>
      </w:r>
      <w:r w:rsidR="0024459D">
        <w:rPr>
          <w:rFonts w:eastAsia="Arial" w:cs="Arial"/>
        </w:rPr>
        <w:t xml:space="preserve"> of rest</w:t>
      </w:r>
      <w:r w:rsidR="00A86822">
        <w:rPr>
          <w:rFonts w:eastAsia="Arial" w:cs="Arial"/>
        </w:rPr>
        <w:t>oration potential.</w:t>
      </w:r>
      <w:r w:rsidR="0035010A">
        <w:rPr>
          <w:rFonts w:eastAsia="Arial" w:cs="Arial"/>
        </w:rPr>
        <w:t xml:space="preserve"> </w:t>
      </w:r>
      <w:r w:rsidR="001F1548">
        <w:rPr>
          <w:rFonts w:eastAsia="Arial" w:cs="Arial"/>
        </w:rPr>
        <w:t xml:space="preserve"> </w:t>
      </w:r>
    </w:p>
    <w:p w14:paraId="30ACE418" w14:textId="28533ED7" w:rsidR="00C60DD8" w:rsidRDefault="003D7A06" w:rsidP="00EB26AF">
      <w:r>
        <w:rPr>
          <w:rFonts w:eastAsia="Arial" w:cs="Arial"/>
        </w:rPr>
        <w:t xml:space="preserve">Another group of impairments, </w:t>
      </w:r>
      <w:r w:rsidR="001B063E">
        <w:rPr>
          <w:rFonts w:eastAsia="Arial" w:cs="Arial"/>
        </w:rPr>
        <w:t xml:space="preserve">those for </w:t>
      </w:r>
      <w:r w:rsidR="799A4352" w:rsidRPr="6B459291">
        <w:rPr>
          <w:rFonts w:eastAsia="Arial" w:cs="Arial"/>
        </w:rPr>
        <w:t>b</w:t>
      </w:r>
      <w:r w:rsidR="0DABE88A" w:rsidRPr="6B459291">
        <w:rPr>
          <w:rFonts w:eastAsia="Arial" w:cs="Arial"/>
        </w:rPr>
        <w:t>oron</w:t>
      </w:r>
      <w:r w:rsidR="0DABE88A" w:rsidRPr="5C9CF8C4">
        <w:rPr>
          <w:rFonts w:eastAsia="Arial" w:cs="Arial"/>
        </w:rPr>
        <w:t>,</w:t>
      </w:r>
      <w:r w:rsidR="3FB47EAA" w:rsidRPr="5C9CF8C4">
        <w:rPr>
          <w:rFonts w:eastAsia="Arial" w:cs="Arial"/>
        </w:rPr>
        <w:t xml:space="preserve"> nitroge</w:t>
      </w:r>
      <w:r w:rsidR="3830CFAE" w:rsidRPr="5C9CF8C4">
        <w:rPr>
          <w:rFonts w:eastAsia="Arial" w:cs="Arial"/>
        </w:rPr>
        <w:t>n</w:t>
      </w:r>
      <w:r w:rsidR="3FB47EAA" w:rsidRPr="5C9CF8C4">
        <w:rPr>
          <w:rFonts w:eastAsia="Arial" w:cs="Arial"/>
        </w:rPr>
        <w:t xml:space="preserve">, </w:t>
      </w:r>
      <w:r w:rsidR="3FB47EAA" w:rsidRPr="6A57DCE3">
        <w:rPr>
          <w:rFonts w:eastAsia="Arial" w:cs="Arial"/>
        </w:rPr>
        <w:t>phosphorous</w:t>
      </w:r>
      <w:r w:rsidR="3FB47EAA" w:rsidRPr="5C9CF8C4">
        <w:rPr>
          <w:rFonts w:eastAsia="Arial" w:cs="Arial"/>
        </w:rPr>
        <w:t xml:space="preserve">, </w:t>
      </w:r>
      <w:r w:rsidR="5987754E" w:rsidRPr="6B459291">
        <w:rPr>
          <w:rFonts w:eastAsia="Arial" w:cs="Arial"/>
        </w:rPr>
        <w:t>sulfates</w:t>
      </w:r>
      <w:r w:rsidR="5987754E" w:rsidRPr="5632E347">
        <w:rPr>
          <w:rFonts w:eastAsia="Arial" w:cs="Arial"/>
        </w:rPr>
        <w:t>, total dissolved solids</w:t>
      </w:r>
      <w:r w:rsidR="000A21AD">
        <w:rPr>
          <w:rFonts w:eastAsia="Arial" w:cs="Arial"/>
        </w:rPr>
        <w:t>,</w:t>
      </w:r>
      <w:r w:rsidR="5987754E" w:rsidRPr="5632E347">
        <w:rPr>
          <w:rFonts w:eastAsia="Arial" w:cs="Arial"/>
        </w:rPr>
        <w:t xml:space="preserve"> and turbidity in </w:t>
      </w:r>
      <w:r w:rsidR="001B063E">
        <w:rPr>
          <w:rFonts w:eastAsia="Arial" w:cs="Arial"/>
        </w:rPr>
        <w:t>the East Fork Carson River, were listed as medium priority</w:t>
      </w:r>
      <w:r w:rsidR="00625880">
        <w:rPr>
          <w:rFonts w:eastAsia="Arial" w:cs="Arial"/>
        </w:rPr>
        <w:t xml:space="preserve">. </w:t>
      </w:r>
      <w:r w:rsidR="008C4322">
        <w:rPr>
          <w:rFonts w:eastAsia="Arial" w:cs="Arial"/>
        </w:rPr>
        <w:t>There is public interest in addressing the East Fork Carson River impairments.</w:t>
      </w:r>
      <w:r w:rsidR="008C4322">
        <w:t xml:space="preserve"> </w:t>
      </w:r>
      <w:r w:rsidR="00625880">
        <w:rPr>
          <w:rFonts w:eastAsia="Arial" w:cs="Arial"/>
        </w:rPr>
        <w:t>These impairments are</w:t>
      </w:r>
      <w:r w:rsidR="00746298">
        <w:rPr>
          <w:rFonts w:eastAsia="Arial" w:cs="Arial"/>
        </w:rPr>
        <w:t xml:space="preserve"> likely</w:t>
      </w:r>
      <w:r w:rsidR="004800AC">
        <w:rPr>
          <w:rFonts w:eastAsia="Arial" w:cs="Arial"/>
        </w:rPr>
        <w:t xml:space="preserve"> </w:t>
      </w:r>
      <w:r w:rsidR="00032C5D">
        <w:rPr>
          <w:rFonts w:eastAsia="Arial" w:cs="Arial"/>
        </w:rPr>
        <w:t>to</w:t>
      </w:r>
      <w:r w:rsidR="004800AC">
        <w:rPr>
          <w:rFonts w:eastAsia="Arial" w:cs="Arial"/>
        </w:rPr>
        <w:t xml:space="preserve"> be addressed</w:t>
      </w:r>
      <w:r w:rsidR="008819E2">
        <w:rPr>
          <w:rFonts w:eastAsia="Arial" w:cs="Arial"/>
        </w:rPr>
        <w:t>,</w:t>
      </w:r>
      <w:r w:rsidR="007F32BE">
        <w:rPr>
          <w:rFonts w:eastAsia="Arial" w:cs="Arial"/>
        </w:rPr>
        <w:t xml:space="preserve"> and water quality objectives attained</w:t>
      </w:r>
      <w:r w:rsidR="008819E2">
        <w:rPr>
          <w:rFonts w:eastAsia="Arial" w:cs="Arial"/>
        </w:rPr>
        <w:t>,</w:t>
      </w:r>
      <w:r w:rsidR="007F32BE">
        <w:rPr>
          <w:rFonts w:eastAsia="Arial" w:cs="Arial"/>
        </w:rPr>
        <w:t xml:space="preserve"> </w:t>
      </w:r>
      <w:r w:rsidR="004800AC">
        <w:rPr>
          <w:rFonts w:eastAsia="Arial" w:cs="Arial"/>
        </w:rPr>
        <w:t xml:space="preserve">through the development </w:t>
      </w:r>
      <w:r w:rsidR="007F32BE">
        <w:rPr>
          <w:rFonts w:eastAsia="Arial" w:cs="Arial"/>
        </w:rPr>
        <w:t xml:space="preserve">and implementation </w:t>
      </w:r>
      <w:r w:rsidR="004800AC">
        <w:rPr>
          <w:rFonts w:eastAsia="Arial" w:cs="Arial"/>
        </w:rPr>
        <w:t>of a plan similar to the West Fork Carson River Vision Plan</w:t>
      </w:r>
      <w:r w:rsidR="00017C99">
        <w:rPr>
          <w:rFonts w:eastAsia="Arial" w:cs="Arial"/>
        </w:rPr>
        <w:t xml:space="preserve"> (an Advance Restoration Plan)</w:t>
      </w:r>
      <w:r w:rsidR="008519C3">
        <w:rPr>
          <w:rFonts w:eastAsia="Arial" w:cs="Arial"/>
        </w:rPr>
        <w:t>, or possibly TMDL</w:t>
      </w:r>
      <w:r w:rsidR="00DD63A4">
        <w:rPr>
          <w:rFonts w:eastAsia="Arial" w:cs="Arial"/>
        </w:rPr>
        <w:t>(s)</w:t>
      </w:r>
      <w:r w:rsidR="0067423E">
        <w:rPr>
          <w:rFonts w:eastAsia="Arial" w:cs="Arial"/>
        </w:rPr>
        <w:t xml:space="preserve">. </w:t>
      </w:r>
    </w:p>
    <w:p w14:paraId="0875E8A8" w14:textId="6480A479" w:rsidR="00530EEA" w:rsidRPr="002F68C6" w:rsidRDefault="00347AD0" w:rsidP="00EB26AF">
      <w:pPr>
        <w:rPr>
          <w:rFonts w:eastAsia="Arial" w:cs="Arial"/>
        </w:rPr>
      </w:pPr>
      <w:r>
        <w:rPr>
          <w:rFonts w:eastAsia="Arial" w:cs="Arial"/>
        </w:rPr>
        <w:t xml:space="preserve">A project to review </w:t>
      </w:r>
      <w:r w:rsidR="00AA2DC0">
        <w:rPr>
          <w:rFonts w:eastAsia="Arial" w:cs="Arial"/>
        </w:rPr>
        <w:t>the status</w:t>
      </w:r>
      <w:r w:rsidR="002031B2">
        <w:rPr>
          <w:rFonts w:eastAsia="Arial" w:cs="Arial"/>
        </w:rPr>
        <w:t>,</w:t>
      </w:r>
      <w:r w:rsidR="00AA2DC0">
        <w:rPr>
          <w:rFonts w:eastAsia="Arial" w:cs="Arial"/>
        </w:rPr>
        <w:t xml:space="preserve"> </w:t>
      </w:r>
      <w:r>
        <w:rPr>
          <w:rFonts w:eastAsia="Arial" w:cs="Arial"/>
        </w:rPr>
        <w:t xml:space="preserve">and </w:t>
      </w:r>
      <w:r w:rsidR="00BF13FD">
        <w:rPr>
          <w:rFonts w:eastAsia="Arial" w:cs="Arial"/>
        </w:rPr>
        <w:t>possibly</w:t>
      </w:r>
      <w:r>
        <w:rPr>
          <w:rFonts w:eastAsia="Arial" w:cs="Arial"/>
        </w:rPr>
        <w:t xml:space="preserve"> update</w:t>
      </w:r>
      <w:r w:rsidR="002031B2">
        <w:rPr>
          <w:rFonts w:eastAsia="Arial" w:cs="Arial"/>
        </w:rPr>
        <w:t>,</w:t>
      </w:r>
      <w:r>
        <w:rPr>
          <w:rFonts w:eastAsia="Arial" w:cs="Arial"/>
        </w:rPr>
        <w:t xml:space="preserve"> the Indian Creek </w:t>
      </w:r>
      <w:r w:rsidR="00421981">
        <w:rPr>
          <w:rFonts w:eastAsia="Arial" w:cs="Arial"/>
        </w:rPr>
        <w:t>Reservoir</w:t>
      </w:r>
      <w:r>
        <w:rPr>
          <w:rFonts w:eastAsia="Arial" w:cs="Arial"/>
        </w:rPr>
        <w:t xml:space="preserve"> TMDL </w:t>
      </w:r>
      <w:r w:rsidR="00C679F8">
        <w:rPr>
          <w:rFonts w:eastAsia="Arial" w:cs="Arial"/>
        </w:rPr>
        <w:t>for phospho</w:t>
      </w:r>
      <w:r w:rsidR="00340048">
        <w:rPr>
          <w:rFonts w:eastAsia="Arial" w:cs="Arial"/>
        </w:rPr>
        <w:t xml:space="preserve">rus </w:t>
      </w:r>
      <w:r>
        <w:rPr>
          <w:rFonts w:eastAsia="Arial" w:cs="Arial"/>
        </w:rPr>
        <w:t xml:space="preserve">has </w:t>
      </w:r>
      <w:r w:rsidR="003F6A6E">
        <w:rPr>
          <w:rFonts w:eastAsia="Arial" w:cs="Arial"/>
        </w:rPr>
        <w:t xml:space="preserve">also </w:t>
      </w:r>
      <w:r>
        <w:rPr>
          <w:rFonts w:eastAsia="Arial" w:cs="Arial"/>
        </w:rPr>
        <w:t xml:space="preserve">been identified </w:t>
      </w:r>
      <w:r w:rsidR="00D277AD">
        <w:rPr>
          <w:rFonts w:eastAsia="Arial" w:cs="Arial"/>
        </w:rPr>
        <w:t xml:space="preserve">as a priority </w:t>
      </w:r>
      <w:r w:rsidRPr="00B931B9">
        <w:rPr>
          <w:rFonts w:eastAsia="Arial" w:cs="Arial"/>
        </w:rPr>
        <w:t>under the Clean Water Act Section 303(d) Vision</w:t>
      </w:r>
      <w:r>
        <w:rPr>
          <w:rFonts w:eastAsia="Arial" w:cs="Arial"/>
        </w:rPr>
        <w:t>. However</w:t>
      </w:r>
      <w:r w:rsidR="003F6A6E">
        <w:rPr>
          <w:rFonts w:eastAsia="Arial" w:cs="Arial"/>
        </w:rPr>
        <w:t>,</w:t>
      </w:r>
      <w:r>
        <w:rPr>
          <w:rFonts w:eastAsia="Arial" w:cs="Arial"/>
        </w:rPr>
        <w:t xml:space="preserve"> these impairments are not</w:t>
      </w:r>
      <w:r w:rsidR="00242200">
        <w:rPr>
          <w:rFonts w:eastAsia="Arial" w:cs="Arial"/>
        </w:rPr>
        <w:t xml:space="preserve"> identified as</w:t>
      </w:r>
      <w:r>
        <w:rPr>
          <w:rFonts w:eastAsia="Arial" w:cs="Arial"/>
        </w:rPr>
        <w:t xml:space="preserve"> a priority for TMDL development</w:t>
      </w:r>
      <w:r w:rsidR="009C4213">
        <w:rPr>
          <w:rFonts w:eastAsia="Arial" w:cs="Arial"/>
        </w:rPr>
        <w:t>,</w:t>
      </w:r>
      <w:r>
        <w:rPr>
          <w:rFonts w:eastAsia="Arial" w:cs="Arial"/>
        </w:rPr>
        <w:t xml:space="preserve"> since they are already addressed by an existing TMDL.</w:t>
      </w:r>
      <w:r w:rsidR="004800AC">
        <w:rPr>
          <w:rFonts w:eastAsia="Arial" w:cs="Arial"/>
        </w:rPr>
        <w:t xml:space="preserve"> </w:t>
      </w:r>
    </w:p>
    <w:p w14:paraId="3857D746" w14:textId="3D770296" w:rsidR="00196406" w:rsidRPr="00196406" w:rsidRDefault="005E014D" w:rsidP="00B942B0">
      <w:pPr>
        <w:pStyle w:val="Heading3"/>
      </w:pPr>
      <w:bookmarkStart w:id="199" w:name="_Toc189048639"/>
      <w:r>
        <w:t xml:space="preserve">Impairments Being </w:t>
      </w:r>
      <w:r w:rsidR="00736648" w:rsidRPr="00736648">
        <w:t>Addressed by 5r Determinations</w:t>
      </w:r>
      <w:bookmarkEnd w:id="199"/>
    </w:p>
    <w:p w14:paraId="54465354" w14:textId="1DED2091" w:rsidR="00805736" w:rsidRDefault="00637F64" w:rsidP="007F7D7A">
      <w:bookmarkStart w:id="200" w:name="_Hlk171602208"/>
      <w:r>
        <w:t xml:space="preserve">Two </w:t>
      </w:r>
      <w:r w:rsidR="0087466D">
        <w:t>a</w:t>
      </w:r>
      <w:r>
        <w:t>dvance restoration plans</w:t>
      </w:r>
      <w:r w:rsidR="00E33805">
        <w:t xml:space="preserve"> </w:t>
      </w:r>
      <w:r w:rsidR="0087466D">
        <w:t>(</w:t>
      </w:r>
      <w:r w:rsidR="00AD3189">
        <w:t>“</w:t>
      </w:r>
      <w:r w:rsidR="0087466D">
        <w:t>ARPs</w:t>
      </w:r>
      <w:r w:rsidR="00AD3189">
        <w:t>”</w:t>
      </w:r>
      <w:r w:rsidR="0087466D">
        <w:t>)</w:t>
      </w:r>
      <w:r w:rsidR="00E33805">
        <w:t xml:space="preserve"> </w:t>
      </w:r>
      <w:r w:rsidR="005B7656">
        <w:t xml:space="preserve">were </w:t>
      </w:r>
      <w:r w:rsidR="00E33805">
        <w:t>recently</w:t>
      </w:r>
      <w:r>
        <w:t xml:space="preserve"> completed by </w:t>
      </w:r>
      <w:r w:rsidR="00E33805">
        <w:t xml:space="preserve">the </w:t>
      </w:r>
      <w:r>
        <w:t xml:space="preserve">Lahontan </w:t>
      </w:r>
      <w:r w:rsidR="0079211B">
        <w:t xml:space="preserve">Regional </w:t>
      </w:r>
      <w:r>
        <w:t>Water Board</w:t>
      </w:r>
      <w:r w:rsidR="00C130F1">
        <w:t xml:space="preserve"> and</w:t>
      </w:r>
      <w:r>
        <w:t xml:space="preserve"> accepted by </w:t>
      </w:r>
      <w:r w:rsidR="00570F52">
        <w:t>USEPA</w:t>
      </w:r>
      <w:r w:rsidR="00B47D09">
        <w:t>. These</w:t>
      </w:r>
      <w:r w:rsidR="005570CE">
        <w:t xml:space="preserve"> ARPs</w:t>
      </w:r>
      <w:r w:rsidR="00570F52">
        <w:t xml:space="preserve"> </w:t>
      </w:r>
      <w:r w:rsidR="00CF3F9D">
        <w:t xml:space="preserve">and are now </w:t>
      </w:r>
      <w:r w:rsidR="00BF13FD">
        <w:t>being</w:t>
      </w:r>
      <w:r w:rsidR="00CF3F9D" w:rsidDel="00BF13FD">
        <w:t xml:space="preserve"> </w:t>
      </w:r>
      <w:r w:rsidR="00E33805">
        <w:t>implement</w:t>
      </w:r>
      <w:r w:rsidR="00BF13FD">
        <w:t>ed and</w:t>
      </w:r>
      <w:r w:rsidR="00E33805">
        <w:t xml:space="preserve"> </w:t>
      </w:r>
      <w:r w:rsidR="00900B02">
        <w:t>are recognized in th</w:t>
      </w:r>
      <w:r w:rsidR="00BB1C6B">
        <w:t xml:space="preserve">e 2026 </w:t>
      </w:r>
      <w:r w:rsidR="004C6B31">
        <w:t>California</w:t>
      </w:r>
      <w:r w:rsidR="00BB1C6B">
        <w:t xml:space="preserve"> Integrated Report: </w:t>
      </w:r>
      <w:r w:rsidR="00F545B2">
        <w:t>t</w:t>
      </w:r>
      <w:r w:rsidR="00BE3292">
        <w:t xml:space="preserve">he </w:t>
      </w:r>
      <w:r w:rsidR="0092224C">
        <w:t>Bishop Creek Bacteria Vision Plan</w:t>
      </w:r>
      <w:r w:rsidR="00A872CE">
        <w:t>,</w:t>
      </w:r>
      <w:r w:rsidR="00FE0E9B">
        <w:t xml:space="preserve"> and the West Fork Carson River Vison Plan</w:t>
      </w:r>
      <w:r w:rsidR="000155BB">
        <w:t xml:space="preserve">. </w:t>
      </w:r>
    </w:p>
    <w:p w14:paraId="518C9295" w14:textId="7852872E" w:rsidR="00FE0E9B" w:rsidRDefault="00FE0E9B" w:rsidP="00FE0E9B">
      <w:r>
        <w:t xml:space="preserve">The </w:t>
      </w:r>
      <w:hyperlink r:id="rId79">
        <w:r w:rsidRPr="78A02C71">
          <w:rPr>
            <w:rStyle w:val="Hyperlink"/>
          </w:rPr>
          <w:t>Bishop Creek Vision Plan</w:t>
        </w:r>
      </w:hyperlink>
      <w:r>
        <w:t xml:space="preserve"> </w:t>
      </w:r>
      <w:r w:rsidR="00937E00">
        <w:t>(</w:t>
      </w:r>
      <w:hyperlink r:id="rId80">
        <w:r w:rsidR="00937E00" w:rsidRPr="78A02C71">
          <w:rPr>
            <w:rStyle w:val="Hyperlink"/>
          </w:rPr>
          <w:t>https://www.waterboards.ca.gov/lahontan/water_issues/programs/tmdl/bishopcreek.html</w:t>
        </w:r>
      </w:hyperlink>
      <w:r w:rsidR="00937E00">
        <w:t>)</w:t>
      </w:r>
      <w:r>
        <w:t xml:space="preserve"> was completed by the Lahontan </w:t>
      </w:r>
      <w:r w:rsidR="00FF5BF4">
        <w:t xml:space="preserve">Regional </w:t>
      </w:r>
      <w:r>
        <w:t xml:space="preserve">Water Board and accepted by USEPA in 2022. The Bishop Creek Vision Plan </w:t>
      </w:r>
      <w:r w:rsidRPr="001227F4">
        <w:t xml:space="preserve">identifies a suite of implementation actions </w:t>
      </w:r>
      <w:r>
        <w:t>and</w:t>
      </w:r>
      <w:r w:rsidRPr="001227F4">
        <w:t xml:space="preserve"> approaches </w:t>
      </w:r>
      <w:r>
        <w:t xml:space="preserve">which will be implemented </w:t>
      </w:r>
      <w:r w:rsidRPr="001227F4">
        <w:t xml:space="preserve">to reduce </w:t>
      </w:r>
      <w:r>
        <w:t>indicator bacteria concentrations,</w:t>
      </w:r>
      <w:r w:rsidRPr="001227F4">
        <w:t xml:space="preserve"> with </w:t>
      </w:r>
      <w:r>
        <w:t xml:space="preserve">the goal of attaining the indicator bacteria objective in Bishop Creek </w:t>
      </w:r>
      <w:r w:rsidRPr="001227F4">
        <w:t>by 2032.</w:t>
      </w:r>
    </w:p>
    <w:p w14:paraId="703E76A3" w14:textId="2DBC8D0A" w:rsidR="009D2F2A" w:rsidRDefault="009D2F2A" w:rsidP="009D2F2A">
      <w:r>
        <w:t xml:space="preserve">The </w:t>
      </w:r>
      <w:hyperlink r:id="rId81" w:history="1">
        <w:r w:rsidRPr="00151321">
          <w:rPr>
            <w:rStyle w:val="Hyperlink"/>
          </w:rPr>
          <w:t>West Fork Carson River</w:t>
        </w:r>
        <w:r>
          <w:rPr>
            <w:rStyle w:val="Hyperlink"/>
          </w:rPr>
          <w:t xml:space="preserve"> </w:t>
        </w:r>
        <w:r w:rsidRPr="00151321">
          <w:rPr>
            <w:rStyle w:val="Hyperlink"/>
          </w:rPr>
          <w:t>Vision Plan</w:t>
        </w:r>
      </w:hyperlink>
      <w:r>
        <w:t xml:space="preserve"> </w:t>
      </w:r>
      <w:r w:rsidR="00937E00">
        <w:t>(</w:t>
      </w:r>
      <w:hyperlink r:id="rId82" w:history="1">
        <w:r w:rsidR="00937E00" w:rsidRPr="00937E00">
          <w:rPr>
            <w:rStyle w:val="Hyperlink"/>
          </w:rPr>
          <w:t>https://www.waterboards.ca.gov/lahontan/water_issues/programs/tmdl/west_fork_carson_river.html</w:t>
        </w:r>
      </w:hyperlink>
      <w:r w:rsidR="00937E00">
        <w:t xml:space="preserve">) </w:t>
      </w:r>
      <w:r w:rsidR="00AD3189">
        <w:t xml:space="preserve">(“Vision Plan”) </w:t>
      </w:r>
      <w:r>
        <w:t xml:space="preserve">was completed by the Lahontan </w:t>
      </w:r>
      <w:r w:rsidR="000A18E4">
        <w:t xml:space="preserve">Regional </w:t>
      </w:r>
      <w:r>
        <w:t xml:space="preserve">Water Board and accepted by USEPA in 2023. </w:t>
      </w:r>
      <w:r w:rsidRPr="00D760B9">
        <w:t>The Vison Plan describes present and future actions that will be taken to restore and protect water quality in the West Fork Carson River (</w:t>
      </w:r>
      <w:r w:rsidR="00985E04">
        <w:t>“</w:t>
      </w:r>
      <w:r w:rsidRPr="00D760B9">
        <w:t>WFCR</w:t>
      </w:r>
      <w:r w:rsidR="00985E04">
        <w:t>”</w:t>
      </w:r>
      <w:r w:rsidRPr="00D760B9">
        <w:t>).</w:t>
      </w:r>
      <w:r>
        <w:t xml:space="preserve"> The </w:t>
      </w:r>
      <w:r w:rsidR="00AD3189">
        <w:t>V</w:t>
      </w:r>
      <w:r>
        <w:t>ision</w:t>
      </w:r>
      <w:r w:rsidDel="00AD3189">
        <w:t xml:space="preserve"> </w:t>
      </w:r>
      <w:r w:rsidR="00AD3189">
        <w:t xml:space="preserve">Plan </w:t>
      </w:r>
      <w:r>
        <w:t xml:space="preserve">has a goal of resolving impairments from </w:t>
      </w:r>
      <w:r w:rsidRPr="00FF7108">
        <w:t>nutrients, turbidity, salts, iron</w:t>
      </w:r>
      <w:r w:rsidR="008F5359">
        <w:t xml:space="preserve"> and</w:t>
      </w:r>
      <w:r w:rsidRPr="00FF7108">
        <w:t xml:space="preserve"> sulfate</w:t>
      </w:r>
      <w:r>
        <w:t xml:space="preserve"> in the </w:t>
      </w:r>
      <w:r w:rsidR="00257FA4">
        <w:t>WFCR</w:t>
      </w:r>
      <w:r>
        <w:t xml:space="preserve"> by 2033.</w:t>
      </w:r>
    </w:p>
    <w:p w14:paraId="19D7F53D" w14:textId="655C9D84" w:rsidR="006F720C" w:rsidRDefault="004C6B31" w:rsidP="007F7D7A">
      <w:r>
        <w:t>Impairments</w:t>
      </w:r>
      <w:r w:rsidR="006A3F75">
        <w:t xml:space="preserve"> for waterbody-pollutant combinations</w:t>
      </w:r>
      <w:r w:rsidR="00374ECA">
        <w:t xml:space="preserve"> </w:t>
      </w:r>
      <w:r w:rsidR="00A102D1">
        <w:t xml:space="preserve">addressed </w:t>
      </w:r>
      <w:r w:rsidR="00191099">
        <w:t>u</w:t>
      </w:r>
      <w:r w:rsidR="00A102D1">
        <w:t>n</w:t>
      </w:r>
      <w:r w:rsidR="00191099">
        <w:t xml:space="preserve">der these ARPs remain </w:t>
      </w:r>
      <w:r w:rsidR="00136DF1">
        <w:t>303(d) listed</w:t>
      </w:r>
      <w:r w:rsidR="00FB3194">
        <w:t>,</w:t>
      </w:r>
      <w:r w:rsidR="00136DF1">
        <w:t xml:space="preserve"> but the</w:t>
      </w:r>
      <w:r w:rsidR="00662CB5">
        <w:t xml:space="preserve"> impairments are</w:t>
      </w:r>
      <w:r w:rsidR="005F280D">
        <w:t xml:space="preserve"> listed as “</w:t>
      </w:r>
      <w:r w:rsidR="00E26CC8">
        <w:t>associated</w:t>
      </w:r>
      <w:r w:rsidR="0092398A">
        <w:t xml:space="preserve"> with a USEPA accepted Advance Restoration Plan</w:t>
      </w:r>
      <w:r w:rsidR="00E26CC8">
        <w:t xml:space="preserve">” </w:t>
      </w:r>
      <w:r w:rsidR="003F2267">
        <w:t xml:space="preserve">and </w:t>
      </w:r>
      <w:r w:rsidR="00295911">
        <w:t xml:space="preserve">are </w:t>
      </w:r>
      <w:r w:rsidR="003F2267">
        <w:t>included in Category 5r</w:t>
      </w:r>
      <w:r w:rsidR="00483448">
        <w:t xml:space="preserve"> in the </w:t>
      </w:r>
      <w:r w:rsidR="00C7230A">
        <w:t xml:space="preserve">2026 </w:t>
      </w:r>
      <w:r w:rsidR="00483448">
        <w:t>California Integrated Report</w:t>
      </w:r>
      <w:r w:rsidR="003F2267">
        <w:t>.</w:t>
      </w:r>
      <w:r w:rsidR="00577048">
        <w:t xml:space="preserve"> </w:t>
      </w:r>
      <w:r w:rsidR="00234184">
        <w:t xml:space="preserve">These impairments </w:t>
      </w:r>
      <w:r w:rsidR="003F2267">
        <w:t xml:space="preserve">are listed as a </w:t>
      </w:r>
      <w:r w:rsidR="0019254C">
        <w:t>low priority for TMDL</w:t>
      </w:r>
      <w:r>
        <w:t xml:space="preserve"> </w:t>
      </w:r>
      <w:r w:rsidR="00743655">
        <w:t>development</w:t>
      </w:r>
      <w:r w:rsidR="003F2267">
        <w:t>,</w:t>
      </w:r>
      <w:r w:rsidR="00743655">
        <w:t xml:space="preserve"> since </w:t>
      </w:r>
      <w:r w:rsidR="007E418F">
        <w:t xml:space="preserve">the </w:t>
      </w:r>
      <w:r w:rsidR="001C5BD9">
        <w:t xml:space="preserve">Lahontan </w:t>
      </w:r>
      <w:r w:rsidR="00C7230A">
        <w:t xml:space="preserve">Regional </w:t>
      </w:r>
      <w:r w:rsidR="001C5BD9">
        <w:t>Water Board expects the</w:t>
      </w:r>
      <w:r w:rsidR="00C1014F">
        <w:t xml:space="preserve"> implementation of</w:t>
      </w:r>
      <w:r w:rsidR="00831B92">
        <w:t xml:space="preserve"> the actions identified in</w:t>
      </w:r>
      <w:r w:rsidR="00C1014F">
        <w:t xml:space="preserve"> these ARPs to resolve the impairments</w:t>
      </w:r>
      <w:r w:rsidR="00831B92">
        <w:t xml:space="preserve"> within a reasonable timeframe</w:t>
      </w:r>
      <w:r w:rsidR="00925B17">
        <w:t>.</w:t>
      </w:r>
    </w:p>
    <w:p w14:paraId="6F1C36A2" w14:textId="6EEB9AC6" w:rsidR="00824B20" w:rsidRDefault="007A7380" w:rsidP="005632BC">
      <w:pPr>
        <w:pStyle w:val="Heading3"/>
      </w:pPr>
      <w:bookmarkStart w:id="201" w:name="_Toc189048640"/>
      <w:r w:rsidRPr="00517FF9">
        <w:t>Waterbodies and/or Pollutants Not Prioritized for TMDL Development</w:t>
      </w:r>
      <w:bookmarkEnd w:id="200"/>
      <w:bookmarkEnd w:id="201"/>
    </w:p>
    <w:p w14:paraId="7975B97D" w14:textId="4600322F" w:rsidR="00BA669F" w:rsidRPr="006219C8" w:rsidRDefault="00BA669F" w:rsidP="008A6857">
      <w:bookmarkStart w:id="202" w:name="_Hlk171602661"/>
      <w:r w:rsidRPr="006219C8">
        <w:t>In addition to the impairments covered by ARPs</w:t>
      </w:r>
      <w:r w:rsidR="003966CC">
        <w:t xml:space="preserve"> and existing TMDLs</w:t>
      </w:r>
      <w:r w:rsidR="0087466D" w:rsidRPr="006219C8">
        <w:t xml:space="preserve"> described abo</w:t>
      </w:r>
      <w:r w:rsidR="00E56039">
        <w:t>v</w:t>
      </w:r>
      <w:r w:rsidR="0087466D" w:rsidRPr="006219C8">
        <w:t>e</w:t>
      </w:r>
      <w:r w:rsidR="00E56039">
        <w:t>,</w:t>
      </w:r>
      <w:r w:rsidR="0087466D" w:rsidRPr="006219C8">
        <w:t xml:space="preserve"> there are multiple other impairments</w:t>
      </w:r>
      <w:r w:rsidR="00E56039">
        <w:t xml:space="preserve"> in the Lahontan Region</w:t>
      </w:r>
      <w:r w:rsidR="0087466D" w:rsidRPr="006219C8">
        <w:t xml:space="preserve"> </w:t>
      </w:r>
      <w:r w:rsidR="00A43E87">
        <w:t>that</w:t>
      </w:r>
      <w:r w:rsidR="0087466D" w:rsidRPr="006219C8">
        <w:t xml:space="preserve"> are </w:t>
      </w:r>
      <w:r w:rsidR="00165AF8" w:rsidRPr="006219C8">
        <w:t>assigned a low priority for TMDL development</w:t>
      </w:r>
      <w:r w:rsidR="00E56039">
        <w:t xml:space="preserve"> in the </w:t>
      </w:r>
      <w:r w:rsidR="00C12F47">
        <w:t>2026 California Integrated Report</w:t>
      </w:r>
      <w:r w:rsidR="00165AF8" w:rsidRPr="006219C8">
        <w:t xml:space="preserve">. </w:t>
      </w:r>
      <w:r w:rsidR="00B525BD" w:rsidRPr="006219C8">
        <w:t>Many of these impairments are a result of</w:t>
      </w:r>
      <w:r w:rsidR="00C329B9" w:rsidRPr="006219C8">
        <w:t xml:space="preserve"> </w:t>
      </w:r>
      <w:r w:rsidR="00664DE0" w:rsidRPr="006219C8">
        <w:t>non-</w:t>
      </w:r>
      <w:r w:rsidR="00E809D0" w:rsidRPr="006219C8">
        <w:t>attainment</w:t>
      </w:r>
      <w:r w:rsidR="00664DE0" w:rsidRPr="006219C8">
        <w:t xml:space="preserve"> of</w:t>
      </w:r>
      <w:r w:rsidR="00BB70BF">
        <w:t xml:space="preserve"> site</w:t>
      </w:r>
      <w:r w:rsidR="001C19A3">
        <w:t>-specific</w:t>
      </w:r>
      <w:r w:rsidR="00664DE0" w:rsidRPr="006219C8">
        <w:t xml:space="preserve"> water quality objectives</w:t>
      </w:r>
      <w:r w:rsidR="00241712" w:rsidRPr="006219C8">
        <w:t xml:space="preserve"> for </w:t>
      </w:r>
      <w:r w:rsidR="001B71F8" w:rsidRPr="006219C8">
        <w:t>total dissolved solids, chloride and other naturally occurring elements</w:t>
      </w:r>
      <w:r w:rsidR="00F65991" w:rsidRPr="006219C8">
        <w:t xml:space="preserve"> </w:t>
      </w:r>
      <w:r w:rsidR="00E601F8">
        <w:t xml:space="preserve">for </w:t>
      </w:r>
      <w:r w:rsidR="004C4F1D" w:rsidRPr="006219C8">
        <w:t xml:space="preserve">which </w:t>
      </w:r>
      <w:r w:rsidR="00E601F8">
        <w:t xml:space="preserve">the water quality objectives in the Lahontan </w:t>
      </w:r>
      <w:r w:rsidR="002E0458">
        <w:t xml:space="preserve">Region </w:t>
      </w:r>
      <w:r w:rsidR="00E601F8">
        <w:t>Basin Plan are</w:t>
      </w:r>
      <w:r w:rsidR="008903D3" w:rsidRPr="006219C8">
        <w:t xml:space="preserve"> </w:t>
      </w:r>
      <w:r w:rsidR="00E601F8">
        <w:t xml:space="preserve">well below (in some cases </w:t>
      </w:r>
      <w:r w:rsidR="008903D3" w:rsidRPr="006219C8">
        <w:t xml:space="preserve">orders of magnitude </w:t>
      </w:r>
      <w:r w:rsidR="00E601F8">
        <w:t xml:space="preserve">below) </w:t>
      </w:r>
      <w:r w:rsidR="008903D3" w:rsidRPr="006219C8">
        <w:t xml:space="preserve">drinking water, aquatic life, agricultural </w:t>
      </w:r>
      <w:r w:rsidR="007161B6">
        <w:t xml:space="preserve">or other beneficial </w:t>
      </w:r>
      <w:r w:rsidR="008903D3" w:rsidRPr="006219C8">
        <w:t>use protection-based criteria</w:t>
      </w:r>
      <w:r w:rsidR="00D07E29" w:rsidRPr="006219C8">
        <w:t xml:space="preserve">. </w:t>
      </w:r>
      <w:r w:rsidR="00F107D1" w:rsidRPr="006219C8">
        <w:t xml:space="preserve">Since these </w:t>
      </w:r>
      <w:r w:rsidR="000F3AF1" w:rsidRPr="006219C8">
        <w:t>impairments</w:t>
      </w:r>
      <w:r w:rsidR="00F107D1" w:rsidRPr="006219C8">
        <w:t xml:space="preserve"> </w:t>
      </w:r>
      <w:r w:rsidR="00096FC4">
        <w:t>may</w:t>
      </w:r>
      <w:r w:rsidR="00F107D1" w:rsidRPr="006219C8">
        <w:t xml:space="preserve"> not</w:t>
      </w:r>
      <w:r w:rsidR="000F3AF1" w:rsidRPr="006219C8">
        <w:t>, in many cases</w:t>
      </w:r>
      <w:r w:rsidR="00E809D0">
        <w:t>,</w:t>
      </w:r>
      <w:r w:rsidR="000F3AF1" w:rsidRPr="006219C8">
        <w:t xml:space="preserve"> </w:t>
      </w:r>
      <w:r w:rsidR="00F107D1" w:rsidRPr="006219C8">
        <w:t xml:space="preserve">represent a likely threat to beneficial uses, </w:t>
      </w:r>
      <w:r w:rsidR="00EB5F5F">
        <w:t>it is likely the</w:t>
      </w:r>
      <w:r w:rsidR="00131F5D">
        <w:t xml:space="preserve"> most appropriate manner to resolve the issue</w:t>
      </w:r>
      <w:r w:rsidR="00596F2E" w:rsidRPr="006219C8">
        <w:t xml:space="preserve"> </w:t>
      </w:r>
      <w:r w:rsidR="0002679F">
        <w:t>would</w:t>
      </w:r>
      <w:r w:rsidR="00E809D0">
        <w:t xml:space="preserve"> </w:t>
      </w:r>
      <w:r w:rsidR="000F3AF1" w:rsidRPr="006219C8">
        <w:t xml:space="preserve">be </w:t>
      </w:r>
      <w:r w:rsidR="00747E9A">
        <w:t>through amending</w:t>
      </w:r>
      <w:r w:rsidR="00C34ED2" w:rsidRPr="006219C8">
        <w:t xml:space="preserve"> water quality objectiv</w:t>
      </w:r>
      <w:r w:rsidR="00241800" w:rsidRPr="006219C8">
        <w:t>e</w:t>
      </w:r>
      <w:r w:rsidR="00766278" w:rsidRPr="006219C8">
        <w:t>s</w:t>
      </w:r>
      <w:r w:rsidR="00E809D0">
        <w:t xml:space="preserve">, consistent with the </w:t>
      </w:r>
      <w:r w:rsidR="00A43E87">
        <w:t>s</w:t>
      </w:r>
      <w:r w:rsidR="00E809D0">
        <w:t xml:space="preserve">tate’s </w:t>
      </w:r>
      <w:r w:rsidR="008A6857">
        <w:t>Water Quality Control Policy for</w:t>
      </w:r>
      <w:r w:rsidR="00DE564A">
        <w:t xml:space="preserve"> </w:t>
      </w:r>
      <w:r w:rsidR="008A6857">
        <w:t>Addressing Impaired Waters</w:t>
      </w:r>
      <w:r w:rsidR="00DE564A">
        <w:t xml:space="preserve"> (SWRCB 2005</w:t>
      </w:r>
      <w:r w:rsidR="00FF79EF">
        <w:t>b</w:t>
      </w:r>
      <w:r w:rsidR="00DE564A">
        <w:t>)</w:t>
      </w:r>
      <w:r w:rsidR="00F764A8">
        <w:t>.</w:t>
      </w:r>
    </w:p>
    <w:p w14:paraId="4EB82BC0" w14:textId="0938BA17" w:rsidR="00B95C71" w:rsidRDefault="00935098" w:rsidP="00597DE8">
      <w:pPr>
        <w:pStyle w:val="Heading1"/>
      </w:pPr>
      <w:bookmarkStart w:id="203" w:name="_Toc189048641"/>
      <w:bookmarkEnd w:id="202"/>
      <w:r>
        <w:t>Colorado River Basin</w:t>
      </w:r>
      <w:r w:rsidR="002E0441">
        <w:t xml:space="preserve"> Region</w:t>
      </w:r>
      <w:r w:rsidR="00184061">
        <w:t>al Water Board</w:t>
      </w:r>
      <w:bookmarkEnd w:id="203"/>
    </w:p>
    <w:p w14:paraId="175B6A09" w14:textId="3C596400" w:rsidR="00032368" w:rsidRPr="00C12AED" w:rsidRDefault="00817337" w:rsidP="00817337">
      <w:pPr>
        <w:rPr>
          <w:rFonts w:cs="Arial"/>
        </w:rPr>
      </w:pPr>
      <w:bookmarkStart w:id="204" w:name="_Hlk169179783"/>
      <w:r w:rsidRPr="004502A9">
        <w:rPr>
          <w:rFonts w:eastAsia="Arial" w:cs="Arial"/>
        </w:rPr>
        <w:t xml:space="preserve">The </w:t>
      </w:r>
      <w:r w:rsidR="006278F8">
        <w:rPr>
          <w:rFonts w:cs="Arial"/>
        </w:rPr>
        <w:t>Colorado River Basin</w:t>
      </w:r>
      <w:r>
        <w:rPr>
          <w:rFonts w:eastAsia="Arial" w:cs="Arial"/>
        </w:rPr>
        <w:t xml:space="preserve"> </w:t>
      </w:r>
      <w:r w:rsidRPr="004502A9">
        <w:rPr>
          <w:rFonts w:eastAsia="Arial" w:cs="Arial"/>
        </w:rPr>
        <w:t>Regional Water Quality Control Boa</w:t>
      </w:r>
      <w:r>
        <w:rPr>
          <w:rFonts w:eastAsia="Arial" w:cs="Arial"/>
        </w:rPr>
        <w:t>rd i</w:t>
      </w:r>
      <w:r w:rsidRPr="004502A9">
        <w:rPr>
          <w:rFonts w:eastAsia="Arial" w:cs="Arial"/>
        </w:rPr>
        <w:t xml:space="preserve">s “on-cycle” for the </w:t>
      </w:r>
      <w:r>
        <w:rPr>
          <w:rFonts w:eastAsia="Arial" w:cs="Arial"/>
        </w:rPr>
        <w:t>2026</w:t>
      </w:r>
      <w:r w:rsidRPr="004502A9">
        <w:rPr>
          <w:rFonts w:eastAsia="Arial" w:cs="Arial"/>
        </w:rPr>
        <w:t xml:space="preserve"> </w:t>
      </w:r>
      <w:r>
        <w:rPr>
          <w:rFonts w:eastAsia="Arial" w:cs="Arial"/>
        </w:rPr>
        <w:t>California Integrated Report</w:t>
      </w:r>
      <w:r w:rsidRPr="004502A9">
        <w:rPr>
          <w:rFonts w:eastAsia="Arial" w:cs="Arial"/>
        </w:rPr>
        <w:t xml:space="preserve">. Staff assessed data from a total of </w:t>
      </w:r>
      <w:r w:rsidR="0017336C">
        <w:rPr>
          <w:rFonts w:cs="Arial"/>
        </w:rPr>
        <w:t>58</w:t>
      </w:r>
      <w:r>
        <w:rPr>
          <w:rFonts w:eastAsia="Arial" w:cs="Arial"/>
        </w:rPr>
        <w:t xml:space="preserve"> </w:t>
      </w:r>
      <w:r w:rsidRPr="004502A9">
        <w:rPr>
          <w:rFonts w:eastAsia="Arial" w:cs="Arial"/>
        </w:rPr>
        <w:t>waterbod</w:t>
      </w:r>
      <w:r w:rsidR="00A246E1">
        <w:rPr>
          <w:rFonts w:eastAsia="Arial" w:cs="Arial"/>
        </w:rPr>
        <w:t>y segments</w:t>
      </w:r>
      <w:r w:rsidRPr="004502A9">
        <w:rPr>
          <w:rFonts w:eastAsia="Arial" w:cs="Arial"/>
        </w:rPr>
        <w:t>, containing</w:t>
      </w:r>
      <w:r w:rsidRPr="00C905A6">
        <w:rPr>
          <w:rFonts w:eastAsia="Arial" w:cs="Arial"/>
        </w:rPr>
        <w:t xml:space="preserve"> </w:t>
      </w:r>
      <w:r w:rsidR="00BA5310">
        <w:rPr>
          <w:rFonts w:cs="Arial"/>
        </w:rPr>
        <w:t>2,</w:t>
      </w:r>
      <w:r w:rsidR="00DB1B3C">
        <w:rPr>
          <w:rFonts w:cs="Arial"/>
        </w:rPr>
        <w:t>839</w:t>
      </w:r>
      <w:r w:rsidR="00DB1B3C" w:rsidRPr="004502A9">
        <w:rPr>
          <w:rFonts w:eastAsia="Arial" w:cs="Arial"/>
        </w:rPr>
        <w:t xml:space="preserve"> </w:t>
      </w:r>
      <w:r w:rsidRPr="004502A9">
        <w:rPr>
          <w:rFonts w:eastAsia="Arial" w:cs="Arial"/>
        </w:rPr>
        <w:t xml:space="preserve">waterbody-pollutant combinations. Based on these assessments </w:t>
      </w:r>
      <w:r w:rsidR="007467CC">
        <w:rPr>
          <w:rFonts w:cs="Arial"/>
        </w:rPr>
        <w:t>47</w:t>
      </w:r>
      <w:r>
        <w:rPr>
          <w:rFonts w:eastAsia="Arial" w:cs="Arial"/>
        </w:rPr>
        <w:t xml:space="preserve"> </w:t>
      </w:r>
      <w:r w:rsidRPr="004502A9">
        <w:rPr>
          <w:rFonts w:eastAsia="Arial" w:cs="Arial"/>
        </w:rPr>
        <w:t xml:space="preserve">waterbody-pollutant combinations are recommended to be added to the 303(d) </w:t>
      </w:r>
      <w:r>
        <w:rPr>
          <w:rFonts w:eastAsia="Arial" w:cs="Arial"/>
        </w:rPr>
        <w:t>l</w:t>
      </w:r>
      <w:r w:rsidRPr="004502A9">
        <w:rPr>
          <w:rFonts w:eastAsia="Arial" w:cs="Arial"/>
        </w:rPr>
        <w:t>ist</w:t>
      </w:r>
      <w:r w:rsidR="00E31004">
        <w:rPr>
          <w:rFonts w:eastAsia="Arial" w:cs="Arial"/>
        </w:rPr>
        <w:t xml:space="preserve"> </w:t>
      </w:r>
      <w:r w:rsidR="00E31004" w:rsidRPr="004502A9">
        <w:rPr>
          <w:rFonts w:eastAsia="Arial" w:cs="Arial"/>
        </w:rPr>
        <w:t xml:space="preserve">and </w:t>
      </w:r>
      <w:r w:rsidR="004679C5">
        <w:rPr>
          <w:rFonts w:cs="Arial"/>
        </w:rPr>
        <w:t>5</w:t>
      </w:r>
      <w:r w:rsidR="00E31004">
        <w:rPr>
          <w:rFonts w:eastAsia="Arial" w:cs="Arial"/>
        </w:rPr>
        <w:t xml:space="preserve"> </w:t>
      </w:r>
      <w:r w:rsidR="00E31004" w:rsidRPr="004502A9">
        <w:rPr>
          <w:rFonts w:eastAsia="Arial" w:cs="Arial"/>
        </w:rPr>
        <w:t xml:space="preserve">waterbody-pollutant combinations are to be removed from the 303(d) </w:t>
      </w:r>
      <w:r w:rsidR="00E31004">
        <w:rPr>
          <w:rFonts w:eastAsia="Arial" w:cs="Arial"/>
        </w:rPr>
        <w:t>l</w:t>
      </w:r>
      <w:r w:rsidR="00E31004" w:rsidRPr="004502A9">
        <w:rPr>
          <w:rFonts w:eastAsia="Arial" w:cs="Arial"/>
        </w:rPr>
        <w:t>ist</w:t>
      </w:r>
      <w:r w:rsidRPr="004502A9">
        <w:rPr>
          <w:rFonts w:eastAsia="Arial" w:cs="Arial"/>
        </w:rPr>
        <w:t xml:space="preserve">. </w:t>
      </w:r>
      <w:r w:rsidR="008273CE" w:rsidRPr="00036BD4">
        <w:rPr>
          <w:rFonts w:eastAsia="Arial" w:cs="Arial"/>
        </w:rPr>
        <w:t xml:space="preserve">Assessments specific to the </w:t>
      </w:r>
      <w:r w:rsidR="008273CE">
        <w:rPr>
          <w:rFonts w:cs="Arial"/>
        </w:rPr>
        <w:t>Colorado River Basin</w:t>
      </w:r>
      <w:r w:rsidR="008273CE">
        <w:rPr>
          <w:rFonts w:eastAsia="Arial" w:cs="Arial"/>
        </w:rPr>
        <w:t xml:space="preserve"> </w:t>
      </w:r>
      <w:r w:rsidR="008273CE" w:rsidRPr="00036BD4">
        <w:rPr>
          <w:rFonts w:eastAsia="Arial" w:cs="Arial"/>
        </w:rPr>
        <w:t xml:space="preserve">Regional Water Board are described in the following subsections. </w:t>
      </w:r>
    </w:p>
    <w:p w14:paraId="4C2D571B" w14:textId="195056EC" w:rsidR="00DE6FC1" w:rsidRPr="00966EF5" w:rsidRDefault="00D63B3E" w:rsidP="008273CE">
      <w:pPr>
        <w:pStyle w:val="Heading2"/>
      </w:pPr>
      <w:bookmarkStart w:id="205" w:name="_Toc189048642"/>
      <w:bookmarkEnd w:id="204"/>
      <w:r>
        <w:t xml:space="preserve">Category 3 Placements Due to </w:t>
      </w:r>
      <w:r w:rsidR="00495B57">
        <w:t>Controllable Factors Objectives</w:t>
      </w:r>
      <w:bookmarkEnd w:id="205"/>
    </w:p>
    <w:p w14:paraId="50319015" w14:textId="6A5BC03D" w:rsidR="001C50FC" w:rsidRDefault="003D05A5" w:rsidP="001C50FC">
      <w:r>
        <w:t>Some water quality objectives contained in water quality control plans also include narrative provisions that state that exceedances shall not be a result of controllable water quality factors or waste discharges (here on out referred to as controllable water quality objectives or controllable factors).</w:t>
      </w:r>
      <w:r w:rsidR="001C50FC" w:rsidRPr="001C50FC">
        <w:t xml:space="preserve"> </w:t>
      </w:r>
      <w:r w:rsidR="00E5115D">
        <w:t xml:space="preserve">(See Staff Report </w:t>
      </w:r>
      <w:r w:rsidR="00B60FEB">
        <w:t xml:space="preserve">section 4.2.) </w:t>
      </w:r>
      <w:r w:rsidR="001C50FC">
        <w:t>The water quality objective for temperature in the Water Quality Control Plan for the Colorado River Basin Region states:</w:t>
      </w:r>
    </w:p>
    <w:p w14:paraId="18714B0D" w14:textId="4A163DA1" w:rsidR="001C50FC" w:rsidRDefault="001C50FC" w:rsidP="001C50FC">
      <w:pPr>
        <w:ind w:left="576"/>
      </w:pPr>
      <w:r w:rsidRPr="00A319AF">
        <w:t xml:space="preserve">The natural receiving water temperature of surface waters shall not be altered </w:t>
      </w:r>
      <w:r w:rsidRPr="00A319AF">
        <w:rPr>
          <w:i/>
          <w:iCs/>
        </w:rPr>
        <w:t>by discharges of wastewater</w:t>
      </w:r>
      <w:r w:rsidRPr="00A319AF">
        <w:t xml:space="preserve"> unless it can be demonstrated to the satisfaction of the Regional Water Board that such alteration in temperature does not adversely affect beneficial uses</w:t>
      </w:r>
      <w:r w:rsidR="00C13D90" w:rsidRPr="00C13D90">
        <w:t xml:space="preserve"> </w:t>
      </w:r>
      <w:r w:rsidR="00C13D90">
        <w:t>[emphasis added].</w:t>
      </w:r>
    </w:p>
    <w:p w14:paraId="6C69E99E" w14:textId="7CB886CA" w:rsidR="006F4641" w:rsidRDefault="00B26052" w:rsidP="006F4641">
      <w:r>
        <w:t xml:space="preserve">It is uncertain </w:t>
      </w:r>
      <w:r w:rsidR="00A1243A">
        <w:t>whether</w:t>
      </w:r>
      <w:r>
        <w:t xml:space="preserve"> </w:t>
      </w:r>
      <w:r w:rsidR="002F1269" w:rsidRPr="00651B80">
        <w:t>the measured exceedances</w:t>
      </w:r>
      <w:r w:rsidR="002F1269">
        <w:t xml:space="preserve"> of the evaluation guideline used</w:t>
      </w:r>
      <w:r w:rsidR="002F1269" w:rsidRPr="00651B80">
        <w:t xml:space="preserve"> </w:t>
      </w:r>
      <w:r w:rsidR="002F1269">
        <w:t>to evaluate the narrative temperature objective were</w:t>
      </w:r>
      <w:r w:rsidR="002F1269" w:rsidRPr="00651B80">
        <w:t xml:space="preserve"> due to discharges of wastewater</w:t>
      </w:r>
      <w:r w:rsidR="00A5633C">
        <w:t xml:space="preserve">. </w:t>
      </w:r>
      <w:r w:rsidR="008E5376">
        <w:t>Therefore, the following t</w:t>
      </w:r>
      <w:r w:rsidR="00CA2B56">
        <w:t>hree</w:t>
      </w:r>
      <w:r w:rsidR="00AB08B6" w:rsidRPr="00AB08B6">
        <w:t xml:space="preserve"> water</w:t>
      </w:r>
      <w:r w:rsidR="00AB08B6">
        <w:t>bod</w:t>
      </w:r>
      <w:r w:rsidR="004D2F73">
        <w:t>y-pollutant combinations</w:t>
      </w:r>
      <w:r w:rsidR="00AB08B6">
        <w:t xml:space="preserve"> were</w:t>
      </w:r>
      <w:r w:rsidR="00E83358">
        <w:t xml:space="preserve"> </w:t>
      </w:r>
      <w:r w:rsidR="00527D31">
        <w:t xml:space="preserve">placed in </w:t>
      </w:r>
      <w:r w:rsidR="00695B04">
        <w:t xml:space="preserve">category </w:t>
      </w:r>
      <w:r w:rsidR="00527D31">
        <w:t xml:space="preserve">3 </w:t>
      </w:r>
      <w:r w:rsidR="000F2C7C">
        <w:t xml:space="preserve">indicating there is </w:t>
      </w:r>
      <w:r w:rsidR="0046435A">
        <w:t>i</w:t>
      </w:r>
      <w:r w:rsidR="000F2C7C" w:rsidRPr="00CE223F">
        <w:rPr>
          <w:szCs w:val="22"/>
        </w:rPr>
        <w:t>nsufficient data and/or information to make a beneficial use support determination</w:t>
      </w:r>
      <w:r w:rsidR="0028557D" w:rsidRPr="00CE223F">
        <w:rPr>
          <w:szCs w:val="22"/>
        </w:rPr>
        <w:t>,</w:t>
      </w:r>
      <w:r w:rsidR="000F2C7C" w:rsidRPr="00CE223F">
        <w:rPr>
          <w:szCs w:val="22"/>
        </w:rPr>
        <w:t xml:space="preserve"> but data and/or information indicates beneficial uses may be potentially threatened.</w:t>
      </w:r>
    </w:p>
    <w:p w14:paraId="2F090E25" w14:textId="3E6948F5" w:rsidR="00D446DC" w:rsidRDefault="00D446DC" w:rsidP="00D446DC">
      <w:pPr>
        <w:pStyle w:val="ListParagraph"/>
        <w:numPr>
          <w:ilvl w:val="0"/>
          <w:numId w:val="50"/>
        </w:numPr>
      </w:pPr>
      <w:r w:rsidRPr="00D446DC">
        <w:t>Colorado River and Associated Lakes and Reservoirs (Lake Havasu Dam to Imperial Dam</w:t>
      </w:r>
      <w:r w:rsidR="004F021E">
        <w:t>)</w:t>
      </w:r>
    </w:p>
    <w:p w14:paraId="5285C6DB" w14:textId="034E6C98" w:rsidR="00D446DC" w:rsidRDefault="00C91416" w:rsidP="00D446DC">
      <w:pPr>
        <w:pStyle w:val="ListParagraph"/>
        <w:numPr>
          <w:ilvl w:val="0"/>
          <w:numId w:val="50"/>
        </w:numPr>
      </w:pPr>
      <w:r w:rsidRPr="00C91416">
        <w:t>Havasu, Lake</w:t>
      </w:r>
    </w:p>
    <w:p w14:paraId="72D5DAE9" w14:textId="51C3B157" w:rsidR="00302591" w:rsidRDefault="004E488D">
      <w:pPr>
        <w:pStyle w:val="ListParagraph"/>
        <w:numPr>
          <w:ilvl w:val="0"/>
          <w:numId w:val="50"/>
        </w:numPr>
      </w:pPr>
      <w:r w:rsidRPr="004E488D">
        <w:t>Whitewater River</w:t>
      </w:r>
    </w:p>
    <w:p w14:paraId="4F0A1229" w14:textId="0AB09EC7" w:rsidR="00851D05" w:rsidRDefault="00B24AB8" w:rsidP="00E75AE5">
      <w:r>
        <w:rPr>
          <w:rFonts w:cs="Arial"/>
        </w:rPr>
        <w:t xml:space="preserve">If data and information can be added to the record on a future integrated report to indicate that the exceedances </w:t>
      </w:r>
      <w:r w:rsidR="00EF654A">
        <w:rPr>
          <w:rFonts w:cs="Arial"/>
        </w:rPr>
        <w:t>are</w:t>
      </w:r>
      <w:r>
        <w:rPr>
          <w:rFonts w:cs="Arial"/>
        </w:rPr>
        <w:t xml:space="preserve"> due to a controllable factor, that Decision may be revised to demonstrate that the waterbody-pollutant combination is impaired.</w:t>
      </w:r>
    </w:p>
    <w:p w14:paraId="214E604F" w14:textId="2F0D8E8E" w:rsidR="002E0441" w:rsidRPr="00D00170" w:rsidRDefault="00475938" w:rsidP="00597DE8">
      <w:pPr>
        <w:pStyle w:val="Heading2"/>
      </w:pPr>
      <w:bookmarkStart w:id="206" w:name="_Toc189048643"/>
      <w:r>
        <w:t xml:space="preserve">Colorado River </w:t>
      </w:r>
      <w:r w:rsidR="002A021C">
        <w:t>Basin Region</w:t>
      </w:r>
      <w:r w:rsidR="00184061">
        <w:t>al Water Board</w:t>
      </w:r>
      <w:r w:rsidR="002E0441">
        <w:t xml:space="preserve"> 303(d) </w:t>
      </w:r>
      <w:r w:rsidR="0030659E">
        <w:t>“</w:t>
      </w:r>
      <w:r w:rsidR="002E0441">
        <w:t>List</w:t>
      </w:r>
      <w:r w:rsidR="0030659E">
        <w:t>” and “Delist” Decisions</w:t>
      </w:r>
      <w:bookmarkEnd w:id="206"/>
    </w:p>
    <w:p w14:paraId="2142E796" w14:textId="0E9CD737" w:rsidR="004E1E4D" w:rsidRDefault="004E1E4D" w:rsidP="004E1E4D">
      <w:r>
        <w:t xml:space="preserve">There are </w:t>
      </w:r>
      <w:r w:rsidR="003E1163">
        <w:rPr>
          <w:rFonts w:cs="Arial"/>
        </w:rPr>
        <w:t>47</w:t>
      </w:r>
      <w:r>
        <w:t xml:space="preserve"> new </w:t>
      </w:r>
      <w:r w:rsidR="00032368">
        <w:t xml:space="preserve">“List” Decisions for </w:t>
      </w:r>
      <w:r>
        <w:t xml:space="preserve">waterbody-pollutant combinations in the </w:t>
      </w:r>
      <w:r w:rsidR="00475938">
        <w:t>Colorado River Basin Region</w:t>
      </w:r>
      <w:r>
        <w:t xml:space="preserve"> and </w:t>
      </w:r>
      <w:r w:rsidR="00795BD2">
        <w:rPr>
          <w:rFonts w:cs="Arial"/>
        </w:rPr>
        <w:t>5</w:t>
      </w:r>
      <w:r>
        <w:t xml:space="preserve"> </w:t>
      </w:r>
      <w:r w:rsidR="00032368">
        <w:t xml:space="preserve">“Delist” Decisions for </w:t>
      </w:r>
      <w:r>
        <w:t>waterbody</w:t>
      </w:r>
      <w:r w:rsidR="000910A9">
        <w:t>-</w:t>
      </w:r>
      <w:r>
        <w:t>pollutant combination</w:t>
      </w:r>
      <w:r w:rsidR="005416F0">
        <w:t>s</w:t>
      </w:r>
      <w:r w:rsidR="00032368">
        <w:t>.</w:t>
      </w:r>
      <w:r>
        <w:t xml:space="preserve"> If approved by the </w:t>
      </w:r>
      <w:r w:rsidR="00313C98">
        <w:t>USEPA</w:t>
      </w:r>
      <w:r>
        <w:t xml:space="preserve"> as recommended, the </w:t>
      </w:r>
      <w:r w:rsidR="00475938">
        <w:t>Colorado River Basin Region’s</w:t>
      </w:r>
      <w:r>
        <w:t xml:space="preserve"> 303(d) </w:t>
      </w:r>
      <w:r w:rsidR="00B80081">
        <w:t>l</w:t>
      </w:r>
      <w:r>
        <w:t xml:space="preserve">ist would be revised to have a total </w:t>
      </w:r>
      <w:r w:rsidR="00475938">
        <w:t xml:space="preserve">of </w:t>
      </w:r>
      <w:r w:rsidR="003E1163">
        <w:rPr>
          <w:rFonts w:cs="Arial"/>
        </w:rPr>
        <w:t>152</w:t>
      </w:r>
      <w:r w:rsidR="003E1163">
        <w:t xml:space="preserve"> </w:t>
      </w:r>
      <w:r>
        <w:t xml:space="preserve">waterbody-pollutant combinations on the 303(d) </w:t>
      </w:r>
      <w:r w:rsidR="00B80081">
        <w:t>l</w:t>
      </w:r>
      <w:r>
        <w:t xml:space="preserve">ist. Tables </w:t>
      </w:r>
      <w:r w:rsidR="00000371">
        <w:t>8</w:t>
      </w:r>
      <w:r w:rsidR="001F1E37">
        <w:t>-1</w:t>
      </w:r>
      <w:r>
        <w:t xml:space="preserve"> and </w:t>
      </w:r>
      <w:r w:rsidR="00000371">
        <w:t>8</w:t>
      </w:r>
      <w:r w:rsidR="001F1E37">
        <w:t>-2</w:t>
      </w:r>
      <w:r>
        <w:t xml:space="preserve"> below summarize new </w:t>
      </w:r>
      <w:r w:rsidR="00032368">
        <w:t>“List”</w:t>
      </w:r>
      <w:r>
        <w:t xml:space="preserve"> and </w:t>
      </w:r>
      <w:r w:rsidR="00032368">
        <w:t>“Delist” Decisions</w:t>
      </w:r>
      <w:r>
        <w:t xml:space="preserve"> by pollutant category for the </w:t>
      </w:r>
      <w:r w:rsidR="00C6428D">
        <w:t>2026</w:t>
      </w:r>
      <w:r>
        <w:t xml:space="preserve"> </w:t>
      </w:r>
      <w:r w:rsidR="009D00C2">
        <w:t xml:space="preserve">California </w:t>
      </w:r>
      <w:r>
        <w:t xml:space="preserve">Integrated Report. A list of individual </w:t>
      </w:r>
      <w:r w:rsidR="00032368">
        <w:t>Decisions</w:t>
      </w:r>
      <w:r>
        <w:t xml:space="preserve"> can be found in Appendix </w:t>
      </w:r>
      <w:r w:rsidR="001F1E37">
        <w:t>A</w:t>
      </w:r>
      <w:r>
        <w:t>:</w:t>
      </w:r>
      <w:r w:rsidR="001F1E37">
        <w:t xml:space="preserve"> </w:t>
      </w:r>
      <w:r w:rsidR="00C6428D">
        <w:t>2026</w:t>
      </w:r>
      <w:r w:rsidR="001F1E37">
        <w:t xml:space="preserve"> 303(d) List of Impaired Waters</w:t>
      </w:r>
      <w:r>
        <w:t xml:space="preserve">. </w:t>
      </w:r>
    </w:p>
    <w:p w14:paraId="70B1513C" w14:textId="4EBC4781" w:rsidR="001F1E37" w:rsidRDefault="001F1E37" w:rsidP="001F1E37">
      <w:pPr>
        <w:pStyle w:val="Caption"/>
        <w:keepNext/>
      </w:pPr>
      <w:bookmarkStart w:id="207" w:name="_Toc118386807"/>
      <w:bookmarkStart w:id="208" w:name="_Toc118386839"/>
      <w:r>
        <w:t xml:space="preserve">Table </w:t>
      </w:r>
      <w:r w:rsidR="00AB32F5">
        <w:t>8</w:t>
      </w:r>
      <w:r w:rsidR="00D311E2">
        <w:noBreakHyphen/>
      </w:r>
      <w:r w:rsidR="00D311E2">
        <w:fldChar w:fldCharType="begin"/>
      </w:r>
      <w:r w:rsidR="00D311E2">
        <w:instrText xml:space="preserve"> SEQ Table \* ARABIC \s 1 </w:instrText>
      </w:r>
      <w:r w:rsidR="00D311E2">
        <w:fldChar w:fldCharType="separate"/>
      </w:r>
      <w:r w:rsidR="00D311E2">
        <w:rPr>
          <w:noProof/>
        </w:rPr>
        <w:t>1</w:t>
      </w:r>
      <w:r w:rsidR="00D311E2">
        <w:rPr>
          <w:noProof/>
        </w:rPr>
        <w:fldChar w:fldCharType="end"/>
      </w:r>
      <w:r>
        <w:t xml:space="preserve">: </w:t>
      </w:r>
      <w:r w:rsidRPr="00361FA1">
        <w:t xml:space="preserve">Summary of </w:t>
      </w:r>
      <w:r w:rsidR="00475938">
        <w:t xml:space="preserve">Colorado River </w:t>
      </w:r>
      <w:r w:rsidR="00B9244B">
        <w:t xml:space="preserve">Basin </w:t>
      </w:r>
      <w:r w:rsidR="00B9244B" w:rsidRPr="00361FA1">
        <w:t>Region</w:t>
      </w:r>
      <w:r w:rsidR="004B4D93">
        <w:t>al Water Board</w:t>
      </w:r>
      <w:r w:rsidR="009D1830">
        <w:t xml:space="preserve"> </w:t>
      </w:r>
      <w:r w:rsidRPr="00361FA1">
        <w:t>Waterbody</w:t>
      </w:r>
      <w:r w:rsidR="00E6639F">
        <w:t>-</w:t>
      </w:r>
      <w:r w:rsidRPr="00361FA1">
        <w:t xml:space="preserve">Pollutant Combination </w:t>
      </w:r>
      <w:r w:rsidR="0047187B">
        <w:t>“List”</w:t>
      </w:r>
      <w:r w:rsidRPr="00361FA1">
        <w:t xml:space="preserve"> </w:t>
      </w:r>
      <w:r w:rsidR="00025E88">
        <w:t>Decisions</w:t>
      </w:r>
      <w:r w:rsidRPr="00361FA1">
        <w:t xml:space="preserve"> by Pollutant Category</w:t>
      </w:r>
      <w:bookmarkEnd w:id="207"/>
      <w:bookmarkEnd w:id="208"/>
    </w:p>
    <w:tbl>
      <w:tblPr>
        <w:tblStyle w:val="AccblTable"/>
        <w:tblW w:w="9648" w:type="dxa"/>
        <w:tblLayout w:type="fixed"/>
        <w:tblCellMar>
          <w:top w:w="115" w:type="dxa"/>
          <w:bottom w:w="115" w:type="dxa"/>
        </w:tblCellMar>
        <w:tblLook w:val="04A0" w:firstRow="1" w:lastRow="0" w:firstColumn="1" w:lastColumn="0" w:noHBand="0" w:noVBand="1"/>
        <w:tblCaption w:val="Summary of Colorado River Basin Regional Water Board Waterbody-Pollutant Combination &quot;List&quot; Decisions by Pollutant Category"/>
        <w:tblDescription w:val="This table lists new recommended 303(d) listings for pollutants in the Colorado River Basin Region.  It lists the waterbody pollutant category, the number of new list decisions. the number of new list decisions change from previous listing cycle, and the total. "/>
      </w:tblPr>
      <w:tblGrid>
        <w:gridCol w:w="2880"/>
        <w:gridCol w:w="2664"/>
        <w:gridCol w:w="2664"/>
        <w:gridCol w:w="1440"/>
      </w:tblGrid>
      <w:tr w:rsidR="00181469" w14:paraId="320AA5B4" w14:textId="77777777" w:rsidTr="007C5319">
        <w:trPr>
          <w:cnfStyle w:val="100000000000" w:firstRow="1" w:lastRow="0" w:firstColumn="0" w:lastColumn="0" w:oddVBand="0" w:evenVBand="0" w:oddHBand="0" w:evenHBand="0" w:firstRowFirstColumn="0" w:firstRowLastColumn="0" w:lastRowFirstColumn="0" w:lastRowLastColumn="0"/>
        </w:trPr>
        <w:tc>
          <w:tcPr>
            <w:tcW w:w="2880" w:type="dxa"/>
          </w:tcPr>
          <w:p w14:paraId="6F1564B7" w14:textId="11FE4145" w:rsidR="00C97439" w:rsidRDefault="00C97439" w:rsidP="00445A29">
            <w:pPr>
              <w:spacing w:after="0"/>
            </w:pPr>
            <w:r>
              <w:t>Pollutant Category</w:t>
            </w:r>
          </w:p>
        </w:tc>
        <w:tc>
          <w:tcPr>
            <w:tcW w:w="2664" w:type="dxa"/>
          </w:tcPr>
          <w:p w14:paraId="22C5AACE" w14:textId="6DDB606D" w:rsidR="00C97439" w:rsidRDefault="008E0C88" w:rsidP="00445A29">
            <w:pPr>
              <w:spacing w:after="0"/>
            </w:pPr>
            <w:r>
              <w:t xml:space="preserve">Number of New </w:t>
            </w:r>
            <w:r w:rsidR="0047187B">
              <w:t>“List”</w:t>
            </w:r>
            <w:r>
              <w:t xml:space="preserve"> </w:t>
            </w:r>
            <w:r w:rsidR="00D3332A">
              <w:t>Decisions</w:t>
            </w:r>
            <w:r>
              <w:rPr>
                <w:rStyle w:val="FootnoteReference"/>
              </w:rPr>
              <w:footnoteReference w:id="21"/>
            </w:r>
            <w:r>
              <w:t xml:space="preserve"> </w:t>
            </w:r>
          </w:p>
        </w:tc>
        <w:tc>
          <w:tcPr>
            <w:tcW w:w="2664" w:type="dxa"/>
          </w:tcPr>
          <w:p w14:paraId="14367116" w14:textId="22F7F49B" w:rsidR="00C97439" w:rsidRDefault="008E0C88" w:rsidP="00445A29">
            <w:pPr>
              <w:spacing w:after="0"/>
            </w:pPr>
            <w:r>
              <w:t xml:space="preserve">Number of New </w:t>
            </w:r>
            <w:r w:rsidR="0047187B">
              <w:t>“List”</w:t>
            </w:r>
            <w:r>
              <w:t xml:space="preserve"> </w:t>
            </w:r>
            <w:r w:rsidR="00D3332A">
              <w:t xml:space="preserve">Decisions </w:t>
            </w:r>
            <w:r>
              <w:t xml:space="preserve">Changed from Previous </w:t>
            </w:r>
            <w:r w:rsidR="00AB5193">
              <w:t xml:space="preserve">Listing </w:t>
            </w:r>
            <w:r>
              <w:t>Cycle</w:t>
            </w:r>
            <w:r>
              <w:rPr>
                <w:rStyle w:val="FootnoteReference"/>
              </w:rPr>
              <w:footnoteReference w:id="22"/>
            </w:r>
          </w:p>
        </w:tc>
        <w:tc>
          <w:tcPr>
            <w:tcW w:w="1440" w:type="dxa"/>
          </w:tcPr>
          <w:p w14:paraId="079D2114" w14:textId="0F991E74" w:rsidR="00C97439" w:rsidRDefault="00C97439" w:rsidP="00445A29">
            <w:pPr>
              <w:spacing w:after="0"/>
            </w:pPr>
            <w:r>
              <w:t xml:space="preserve">Total </w:t>
            </w:r>
          </w:p>
        </w:tc>
      </w:tr>
      <w:tr w:rsidR="00D14289" w14:paraId="55ED2A70" w14:textId="77777777">
        <w:trPr>
          <w:cantSplit w:val="0"/>
        </w:trPr>
        <w:tc>
          <w:tcPr>
            <w:tcW w:w="2880" w:type="dxa"/>
            <w:vAlign w:val="top"/>
          </w:tcPr>
          <w:p w14:paraId="5D83AF06" w14:textId="765B2C36" w:rsidR="00D14289" w:rsidRPr="00AF364F" w:rsidRDefault="00223D28" w:rsidP="00D14289">
            <w:pPr>
              <w:spacing w:after="0"/>
              <w:rPr>
                <w:rFonts w:cs="Arial"/>
                <w:szCs w:val="24"/>
              </w:rPr>
            </w:pPr>
            <w:r>
              <w:t>Metals</w:t>
            </w:r>
          </w:p>
        </w:tc>
        <w:tc>
          <w:tcPr>
            <w:tcW w:w="2664" w:type="dxa"/>
          </w:tcPr>
          <w:p w14:paraId="1FDE61B5" w14:textId="76A94A02" w:rsidR="00D14289" w:rsidRPr="00AF364F" w:rsidRDefault="009C5A5D" w:rsidP="00D14289">
            <w:pPr>
              <w:spacing w:after="0"/>
              <w:jc w:val="center"/>
              <w:rPr>
                <w:rFonts w:cs="Arial"/>
                <w:szCs w:val="24"/>
              </w:rPr>
            </w:pPr>
            <w:r>
              <w:rPr>
                <w:rFonts w:cs="Arial"/>
                <w:szCs w:val="24"/>
              </w:rPr>
              <w:t>8</w:t>
            </w:r>
          </w:p>
        </w:tc>
        <w:tc>
          <w:tcPr>
            <w:tcW w:w="2664" w:type="dxa"/>
          </w:tcPr>
          <w:p w14:paraId="31571F24" w14:textId="2183ECCC" w:rsidR="00D14289" w:rsidRPr="00AF364F" w:rsidRDefault="001E4A85" w:rsidP="00D14289">
            <w:pPr>
              <w:spacing w:after="0"/>
              <w:jc w:val="center"/>
              <w:rPr>
                <w:rFonts w:cs="Arial"/>
                <w:szCs w:val="24"/>
              </w:rPr>
            </w:pPr>
            <w:r>
              <w:rPr>
                <w:rFonts w:cs="Arial"/>
                <w:szCs w:val="24"/>
              </w:rPr>
              <w:t>2</w:t>
            </w:r>
          </w:p>
        </w:tc>
        <w:tc>
          <w:tcPr>
            <w:tcW w:w="1440" w:type="dxa"/>
          </w:tcPr>
          <w:p w14:paraId="76527F5E" w14:textId="2B28C695" w:rsidR="00D14289" w:rsidRPr="00AF364F" w:rsidRDefault="00444E82" w:rsidP="00D14289">
            <w:pPr>
              <w:spacing w:after="0"/>
              <w:jc w:val="center"/>
              <w:rPr>
                <w:rFonts w:cs="Arial"/>
                <w:szCs w:val="24"/>
              </w:rPr>
            </w:pPr>
            <w:r>
              <w:rPr>
                <w:rFonts w:cs="Arial"/>
                <w:szCs w:val="24"/>
              </w:rPr>
              <w:t>10</w:t>
            </w:r>
          </w:p>
        </w:tc>
      </w:tr>
      <w:tr w:rsidR="00D14289" w14:paraId="4C0085BE" w14:textId="77777777">
        <w:trPr>
          <w:cantSplit w:val="0"/>
        </w:trPr>
        <w:tc>
          <w:tcPr>
            <w:tcW w:w="2880" w:type="dxa"/>
            <w:vAlign w:val="top"/>
          </w:tcPr>
          <w:p w14:paraId="54925CCC" w14:textId="2568046B" w:rsidR="00D14289" w:rsidRPr="00E702F0" w:rsidRDefault="00223D28" w:rsidP="00D14289">
            <w:pPr>
              <w:spacing w:after="0"/>
              <w:rPr>
                <w:rFonts w:cs="Arial"/>
                <w:szCs w:val="24"/>
              </w:rPr>
            </w:pPr>
            <w:r>
              <w:t>Nutrients (including dissolved oxygen)</w:t>
            </w:r>
          </w:p>
        </w:tc>
        <w:tc>
          <w:tcPr>
            <w:tcW w:w="2664" w:type="dxa"/>
          </w:tcPr>
          <w:p w14:paraId="0DFEED88" w14:textId="31F919F2" w:rsidR="00D14289" w:rsidRPr="00AF364F" w:rsidRDefault="00D52DAE" w:rsidP="00D14289">
            <w:pPr>
              <w:spacing w:after="0"/>
              <w:jc w:val="center"/>
              <w:rPr>
                <w:rFonts w:cs="Arial"/>
                <w:szCs w:val="24"/>
              </w:rPr>
            </w:pPr>
            <w:r>
              <w:rPr>
                <w:rFonts w:cs="Arial"/>
                <w:szCs w:val="24"/>
              </w:rPr>
              <w:t>3</w:t>
            </w:r>
          </w:p>
        </w:tc>
        <w:tc>
          <w:tcPr>
            <w:tcW w:w="2664" w:type="dxa"/>
          </w:tcPr>
          <w:p w14:paraId="07EB31B5" w14:textId="3C651EE6" w:rsidR="00D14289" w:rsidRPr="00AF364F" w:rsidRDefault="00EB1322" w:rsidP="00D14289">
            <w:pPr>
              <w:spacing w:after="0"/>
              <w:jc w:val="center"/>
              <w:rPr>
                <w:rFonts w:cs="Arial"/>
                <w:szCs w:val="24"/>
              </w:rPr>
            </w:pPr>
            <w:r>
              <w:rPr>
                <w:rFonts w:cs="Arial"/>
                <w:szCs w:val="24"/>
              </w:rPr>
              <w:t>1</w:t>
            </w:r>
          </w:p>
        </w:tc>
        <w:tc>
          <w:tcPr>
            <w:tcW w:w="1440" w:type="dxa"/>
          </w:tcPr>
          <w:p w14:paraId="64DEA22D" w14:textId="0E5F2A0F" w:rsidR="00D14289" w:rsidRPr="00AF364F" w:rsidRDefault="00344C52" w:rsidP="00D14289">
            <w:pPr>
              <w:spacing w:after="0"/>
              <w:jc w:val="center"/>
              <w:rPr>
                <w:rFonts w:cs="Arial"/>
                <w:szCs w:val="24"/>
              </w:rPr>
            </w:pPr>
            <w:r>
              <w:rPr>
                <w:rFonts w:cs="Arial"/>
                <w:szCs w:val="24"/>
              </w:rPr>
              <w:t>4</w:t>
            </w:r>
          </w:p>
        </w:tc>
      </w:tr>
      <w:tr w:rsidR="00867AA7" w14:paraId="70C323D3" w14:textId="77777777">
        <w:trPr>
          <w:cantSplit w:val="0"/>
        </w:trPr>
        <w:tc>
          <w:tcPr>
            <w:tcW w:w="2880" w:type="dxa"/>
            <w:vAlign w:val="top"/>
          </w:tcPr>
          <w:p w14:paraId="1146E30C" w14:textId="561FBB16" w:rsidR="00867AA7" w:rsidRDefault="00867AA7" w:rsidP="00223D28">
            <w:pPr>
              <w:spacing w:after="0"/>
            </w:pPr>
            <w:r>
              <w:t>Other Cause</w:t>
            </w:r>
          </w:p>
        </w:tc>
        <w:tc>
          <w:tcPr>
            <w:tcW w:w="2664" w:type="dxa"/>
          </w:tcPr>
          <w:p w14:paraId="6780ED3E" w14:textId="45B1C895" w:rsidR="00867AA7" w:rsidRPr="00AF364F" w:rsidRDefault="009C5A5D" w:rsidP="00223D28">
            <w:pPr>
              <w:spacing w:after="0"/>
              <w:jc w:val="center"/>
              <w:rPr>
                <w:rFonts w:cs="Arial"/>
                <w:szCs w:val="24"/>
              </w:rPr>
            </w:pPr>
            <w:r>
              <w:rPr>
                <w:rFonts w:cs="Arial"/>
                <w:szCs w:val="24"/>
              </w:rPr>
              <w:t>1</w:t>
            </w:r>
          </w:p>
        </w:tc>
        <w:tc>
          <w:tcPr>
            <w:tcW w:w="2664" w:type="dxa"/>
          </w:tcPr>
          <w:p w14:paraId="581A51F7" w14:textId="2A9D4146" w:rsidR="00867AA7" w:rsidRPr="00AF364F" w:rsidRDefault="00444E82" w:rsidP="00223D28">
            <w:pPr>
              <w:spacing w:after="0"/>
              <w:jc w:val="center"/>
              <w:rPr>
                <w:rFonts w:cs="Arial"/>
                <w:szCs w:val="24"/>
              </w:rPr>
            </w:pPr>
            <w:r>
              <w:rPr>
                <w:rFonts w:cs="Arial"/>
                <w:szCs w:val="24"/>
              </w:rPr>
              <w:t>0</w:t>
            </w:r>
          </w:p>
        </w:tc>
        <w:tc>
          <w:tcPr>
            <w:tcW w:w="1440" w:type="dxa"/>
          </w:tcPr>
          <w:p w14:paraId="04C766E5" w14:textId="650FBF54" w:rsidR="00867AA7" w:rsidRPr="00AF364F" w:rsidRDefault="00444E82" w:rsidP="00223D28">
            <w:pPr>
              <w:spacing w:after="0"/>
              <w:jc w:val="center"/>
              <w:rPr>
                <w:rFonts w:cs="Arial"/>
                <w:szCs w:val="24"/>
              </w:rPr>
            </w:pPr>
            <w:r>
              <w:rPr>
                <w:rFonts w:cs="Arial"/>
                <w:szCs w:val="24"/>
              </w:rPr>
              <w:t>1</w:t>
            </w:r>
          </w:p>
        </w:tc>
      </w:tr>
      <w:tr w:rsidR="00FB6CD2" w14:paraId="4DA775BC" w14:textId="77777777">
        <w:trPr>
          <w:cantSplit w:val="0"/>
        </w:trPr>
        <w:tc>
          <w:tcPr>
            <w:tcW w:w="2880" w:type="dxa"/>
            <w:vAlign w:val="top"/>
          </w:tcPr>
          <w:p w14:paraId="3A391AE9" w14:textId="02CE498E" w:rsidR="00FB6CD2" w:rsidRDefault="00FB6CD2" w:rsidP="00223D28">
            <w:pPr>
              <w:spacing w:after="0"/>
            </w:pPr>
            <w:r>
              <w:t>Pesticides</w:t>
            </w:r>
          </w:p>
        </w:tc>
        <w:tc>
          <w:tcPr>
            <w:tcW w:w="2664" w:type="dxa"/>
          </w:tcPr>
          <w:p w14:paraId="3BCA3429" w14:textId="73DD4661" w:rsidR="00FB6CD2" w:rsidRPr="00AF364F" w:rsidRDefault="00CB0BAC" w:rsidP="00223D28">
            <w:pPr>
              <w:spacing w:after="0"/>
              <w:jc w:val="center"/>
              <w:rPr>
                <w:rFonts w:cs="Arial"/>
                <w:szCs w:val="24"/>
              </w:rPr>
            </w:pPr>
            <w:r>
              <w:rPr>
                <w:rFonts w:cs="Arial"/>
                <w:szCs w:val="24"/>
              </w:rPr>
              <w:t>4</w:t>
            </w:r>
          </w:p>
        </w:tc>
        <w:tc>
          <w:tcPr>
            <w:tcW w:w="2664" w:type="dxa"/>
          </w:tcPr>
          <w:p w14:paraId="573FE8BA" w14:textId="29D1C13E" w:rsidR="00FB6CD2" w:rsidRPr="00AF364F" w:rsidRDefault="001E4A85" w:rsidP="00223D28">
            <w:pPr>
              <w:spacing w:after="0"/>
              <w:jc w:val="center"/>
              <w:rPr>
                <w:rFonts w:cs="Arial"/>
                <w:szCs w:val="24"/>
              </w:rPr>
            </w:pPr>
            <w:r>
              <w:rPr>
                <w:rFonts w:cs="Arial"/>
                <w:szCs w:val="24"/>
              </w:rPr>
              <w:t>2</w:t>
            </w:r>
            <w:r w:rsidR="00EB1322">
              <w:rPr>
                <w:rFonts w:cs="Arial"/>
                <w:szCs w:val="24"/>
              </w:rPr>
              <w:t>4</w:t>
            </w:r>
          </w:p>
        </w:tc>
        <w:tc>
          <w:tcPr>
            <w:tcW w:w="1440" w:type="dxa"/>
          </w:tcPr>
          <w:p w14:paraId="49D00D9F" w14:textId="591C6DF6" w:rsidR="00FB6CD2" w:rsidRPr="00AF364F" w:rsidRDefault="00444E82" w:rsidP="00223D28">
            <w:pPr>
              <w:spacing w:after="0"/>
              <w:jc w:val="center"/>
              <w:rPr>
                <w:rFonts w:cs="Arial"/>
                <w:szCs w:val="24"/>
              </w:rPr>
            </w:pPr>
            <w:r>
              <w:rPr>
                <w:rFonts w:cs="Arial"/>
                <w:szCs w:val="24"/>
              </w:rPr>
              <w:t>2</w:t>
            </w:r>
            <w:r w:rsidR="00344C52">
              <w:rPr>
                <w:rFonts w:cs="Arial"/>
                <w:szCs w:val="24"/>
              </w:rPr>
              <w:t>8</w:t>
            </w:r>
          </w:p>
        </w:tc>
      </w:tr>
      <w:tr w:rsidR="00CB0BAC" w14:paraId="1AE59562" w14:textId="77777777">
        <w:trPr>
          <w:cantSplit w:val="0"/>
        </w:trPr>
        <w:tc>
          <w:tcPr>
            <w:tcW w:w="2880" w:type="dxa"/>
            <w:vAlign w:val="top"/>
          </w:tcPr>
          <w:p w14:paraId="3AC79698" w14:textId="0C156099" w:rsidR="00CB0BAC" w:rsidRDefault="00CB0BAC" w:rsidP="00223D28">
            <w:pPr>
              <w:spacing w:after="0"/>
            </w:pPr>
            <w:r>
              <w:t>Total Toxics</w:t>
            </w:r>
          </w:p>
        </w:tc>
        <w:tc>
          <w:tcPr>
            <w:tcW w:w="2664" w:type="dxa"/>
          </w:tcPr>
          <w:p w14:paraId="15E92175" w14:textId="220FF044" w:rsidR="00CB0BAC" w:rsidRDefault="00CB0BAC" w:rsidP="00223D28">
            <w:pPr>
              <w:spacing w:after="0"/>
              <w:jc w:val="center"/>
              <w:rPr>
                <w:rFonts w:cs="Arial"/>
                <w:szCs w:val="24"/>
              </w:rPr>
            </w:pPr>
            <w:r>
              <w:rPr>
                <w:rFonts w:cs="Arial"/>
                <w:szCs w:val="24"/>
              </w:rPr>
              <w:t>3</w:t>
            </w:r>
          </w:p>
        </w:tc>
        <w:tc>
          <w:tcPr>
            <w:tcW w:w="2664" w:type="dxa"/>
          </w:tcPr>
          <w:p w14:paraId="2BB54FFC" w14:textId="586E51C2" w:rsidR="00CB0BAC" w:rsidRDefault="00042BC8" w:rsidP="00223D28">
            <w:pPr>
              <w:spacing w:after="0"/>
              <w:jc w:val="center"/>
              <w:rPr>
                <w:rFonts w:cs="Arial"/>
                <w:szCs w:val="24"/>
              </w:rPr>
            </w:pPr>
            <w:r>
              <w:rPr>
                <w:rFonts w:cs="Arial"/>
                <w:szCs w:val="24"/>
              </w:rPr>
              <w:t>0</w:t>
            </w:r>
          </w:p>
        </w:tc>
        <w:tc>
          <w:tcPr>
            <w:tcW w:w="1440" w:type="dxa"/>
          </w:tcPr>
          <w:p w14:paraId="65CA3F27" w14:textId="48AFFD59" w:rsidR="00CB0BAC" w:rsidRDefault="00042BC8" w:rsidP="00223D28">
            <w:pPr>
              <w:spacing w:after="0"/>
              <w:jc w:val="center"/>
              <w:rPr>
                <w:rFonts w:cs="Arial"/>
                <w:szCs w:val="24"/>
              </w:rPr>
            </w:pPr>
            <w:r>
              <w:rPr>
                <w:rFonts w:cs="Arial"/>
                <w:szCs w:val="24"/>
              </w:rPr>
              <w:t>3</w:t>
            </w:r>
          </w:p>
        </w:tc>
      </w:tr>
      <w:tr w:rsidR="00FB6CD2" w14:paraId="59747C93" w14:textId="77777777">
        <w:trPr>
          <w:cantSplit w:val="0"/>
        </w:trPr>
        <w:tc>
          <w:tcPr>
            <w:tcW w:w="2880" w:type="dxa"/>
            <w:vAlign w:val="top"/>
          </w:tcPr>
          <w:p w14:paraId="4A6234C6" w14:textId="26489DE3" w:rsidR="00FB6CD2" w:rsidRDefault="00FB6CD2" w:rsidP="00223D28">
            <w:pPr>
              <w:spacing w:after="0"/>
            </w:pPr>
            <w:r>
              <w:t xml:space="preserve">Salinity/Total Dissolved Solids/Chlorides/Sulfates </w:t>
            </w:r>
          </w:p>
        </w:tc>
        <w:tc>
          <w:tcPr>
            <w:tcW w:w="2664" w:type="dxa"/>
          </w:tcPr>
          <w:p w14:paraId="348F72B0" w14:textId="73E5CFC8" w:rsidR="00FB6CD2" w:rsidRPr="00AF364F" w:rsidRDefault="00444E82" w:rsidP="00223D28">
            <w:pPr>
              <w:spacing w:after="0"/>
              <w:jc w:val="center"/>
              <w:rPr>
                <w:rFonts w:cs="Arial"/>
                <w:szCs w:val="24"/>
              </w:rPr>
            </w:pPr>
            <w:r>
              <w:rPr>
                <w:rFonts w:cs="Arial"/>
                <w:szCs w:val="24"/>
              </w:rPr>
              <w:t>0</w:t>
            </w:r>
          </w:p>
        </w:tc>
        <w:tc>
          <w:tcPr>
            <w:tcW w:w="2664" w:type="dxa"/>
          </w:tcPr>
          <w:p w14:paraId="7E2F8CD8" w14:textId="286B32A3" w:rsidR="00FB6CD2" w:rsidRPr="00AF364F" w:rsidRDefault="00444E82" w:rsidP="00223D28">
            <w:pPr>
              <w:spacing w:after="0"/>
              <w:jc w:val="center"/>
              <w:rPr>
                <w:rFonts w:cs="Arial"/>
                <w:szCs w:val="24"/>
              </w:rPr>
            </w:pPr>
            <w:r>
              <w:rPr>
                <w:rFonts w:cs="Arial"/>
                <w:szCs w:val="24"/>
              </w:rPr>
              <w:t>1</w:t>
            </w:r>
          </w:p>
        </w:tc>
        <w:tc>
          <w:tcPr>
            <w:tcW w:w="1440" w:type="dxa"/>
          </w:tcPr>
          <w:p w14:paraId="013B428B" w14:textId="34BCB734" w:rsidR="00FB6CD2" w:rsidRPr="00AF364F" w:rsidRDefault="00444E82" w:rsidP="00223D28">
            <w:pPr>
              <w:spacing w:after="0"/>
              <w:jc w:val="center"/>
              <w:rPr>
                <w:rFonts w:cs="Arial"/>
                <w:szCs w:val="24"/>
              </w:rPr>
            </w:pPr>
            <w:r>
              <w:rPr>
                <w:rFonts w:cs="Arial"/>
                <w:szCs w:val="24"/>
              </w:rPr>
              <w:t>1</w:t>
            </w:r>
          </w:p>
        </w:tc>
      </w:tr>
      <w:tr w:rsidR="00324151" w14:paraId="50E41C46" w14:textId="77777777">
        <w:trPr>
          <w:cantSplit w:val="0"/>
        </w:trPr>
        <w:tc>
          <w:tcPr>
            <w:tcW w:w="2880" w:type="dxa"/>
            <w:vAlign w:val="top"/>
          </w:tcPr>
          <w:p w14:paraId="3F8395E6" w14:textId="0FD213B7" w:rsidR="00324151" w:rsidRPr="00324151" w:rsidRDefault="00324151" w:rsidP="00223D28">
            <w:pPr>
              <w:spacing w:after="0"/>
              <w:rPr>
                <w:b/>
                <w:bCs/>
              </w:rPr>
            </w:pPr>
            <w:r w:rsidRPr="00324151">
              <w:rPr>
                <w:b/>
                <w:bCs/>
              </w:rPr>
              <w:t>Totals</w:t>
            </w:r>
          </w:p>
        </w:tc>
        <w:tc>
          <w:tcPr>
            <w:tcW w:w="2664" w:type="dxa"/>
          </w:tcPr>
          <w:p w14:paraId="361A5F70" w14:textId="5C290CAC" w:rsidR="00324151" w:rsidRPr="00324151" w:rsidRDefault="00324151" w:rsidP="00223D28">
            <w:pPr>
              <w:spacing w:after="0"/>
              <w:jc w:val="center"/>
              <w:rPr>
                <w:rFonts w:cs="Arial"/>
                <w:b/>
                <w:bCs/>
                <w:szCs w:val="24"/>
              </w:rPr>
            </w:pPr>
            <w:r w:rsidRPr="00324151">
              <w:rPr>
                <w:rFonts w:cs="Arial"/>
                <w:b/>
                <w:bCs/>
                <w:szCs w:val="24"/>
              </w:rPr>
              <w:t>1</w:t>
            </w:r>
            <w:r w:rsidR="00EB1322">
              <w:rPr>
                <w:rFonts w:cs="Arial"/>
                <w:b/>
                <w:bCs/>
                <w:szCs w:val="24"/>
              </w:rPr>
              <w:t>9</w:t>
            </w:r>
          </w:p>
        </w:tc>
        <w:tc>
          <w:tcPr>
            <w:tcW w:w="2664" w:type="dxa"/>
          </w:tcPr>
          <w:p w14:paraId="2CCC1F16" w14:textId="2DD8131A" w:rsidR="00324151" w:rsidRPr="00324151" w:rsidRDefault="00566040" w:rsidP="00223D28">
            <w:pPr>
              <w:spacing w:after="0"/>
              <w:jc w:val="center"/>
              <w:rPr>
                <w:rFonts w:cs="Arial"/>
                <w:b/>
                <w:bCs/>
                <w:szCs w:val="24"/>
              </w:rPr>
            </w:pPr>
            <w:r>
              <w:rPr>
                <w:rFonts w:cs="Arial"/>
                <w:b/>
                <w:bCs/>
                <w:szCs w:val="24"/>
              </w:rPr>
              <w:t>28</w:t>
            </w:r>
          </w:p>
        </w:tc>
        <w:tc>
          <w:tcPr>
            <w:tcW w:w="1440" w:type="dxa"/>
          </w:tcPr>
          <w:p w14:paraId="2DD148D7" w14:textId="5561A682" w:rsidR="00324151" w:rsidRPr="00324151" w:rsidRDefault="00991F9C" w:rsidP="00223D28">
            <w:pPr>
              <w:spacing w:after="0"/>
              <w:jc w:val="center"/>
              <w:rPr>
                <w:rFonts w:cs="Arial"/>
                <w:b/>
                <w:bCs/>
                <w:szCs w:val="24"/>
              </w:rPr>
            </w:pPr>
            <w:r>
              <w:rPr>
                <w:rFonts w:cs="Arial"/>
                <w:b/>
                <w:bCs/>
                <w:szCs w:val="24"/>
              </w:rPr>
              <w:t>47</w:t>
            </w:r>
          </w:p>
        </w:tc>
      </w:tr>
    </w:tbl>
    <w:p w14:paraId="0AC0DEA3" w14:textId="1BE549B8" w:rsidR="001F1E37" w:rsidRDefault="001F1E37" w:rsidP="001F1E37">
      <w:pPr>
        <w:pStyle w:val="Caption"/>
        <w:keepNext/>
      </w:pPr>
      <w:bookmarkStart w:id="209" w:name="_Toc118386808"/>
      <w:bookmarkStart w:id="210" w:name="_Toc118386840"/>
      <w:r>
        <w:t xml:space="preserve">Table </w:t>
      </w:r>
      <w:r w:rsidR="00AB32F5">
        <w:t>8</w:t>
      </w:r>
      <w:r w:rsidR="00D311E2">
        <w:noBreakHyphen/>
      </w:r>
      <w:r w:rsidR="0047187B">
        <w:t>2</w:t>
      </w:r>
      <w:r>
        <w:t xml:space="preserve">: </w:t>
      </w:r>
      <w:r w:rsidRPr="00824577">
        <w:t xml:space="preserve">Summary </w:t>
      </w:r>
      <w:r w:rsidR="00475938">
        <w:t>Colorado River Basin</w:t>
      </w:r>
      <w:r w:rsidRPr="00824577">
        <w:t xml:space="preserve"> </w:t>
      </w:r>
      <w:r w:rsidR="009D1830">
        <w:t>Region</w:t>
      </w:r>
      <w:r w:rsidR="00E41F34">
        <w:t>al Water Board</w:t>
      </w:r>
      <w:r w:rsidR="009D1830">
        <w:t xml:space="preserve"> </w:t>
      </w:r>
      <w:r w:rsidR="00E6639F">
        <w:t>Waterbody-</w:t>
      </w:r>
      <w:r w:rsidRPr="00824577">
        <w:t xml:space="preserve">Pollutant Combination </w:t>
      </w:r>
      <w:r w:rsidR="0057772C">
        <w:t>“</w:t>
      </w:r>
      <w:r w:rsidRPr="00824577">
        <w:t>Delist</w:t>
      </w:r>
      <w:r w:rsidR="0057772C">
        <w:t>”</w:t>
      </w:r>
      <w:r w:rsidRPr="00824577">
        <w:t xml:space="preserve"> </w:t>
      </w:r>
      <w:r w:rsidR="00025E88">
        <w:t>Decisions</w:t>
      </w:r>
      <w:r w:rsidRPr="00824577">
        <w:t xml:space="preserve"> by Pollutant Category</w:t>
      </w:r>
      <w:bookmarkEnd w:id="209"/>
      <w:bookmarkEnd w:id="210"/>
    </w:p>
    <w:tbl>
      <w:tblPr>
        <w:tblStyle w:val="AccblTable"/>
        <w:tblW w:w="9648" w:type="dxa"/>
        <w:tblCellMar>
          <w:top w:w="115" w:type="dxa"/>
          <w:bottom w:w="115" w:type="dxa"/>
        </w:tblCellMar>
        <w:tblLook w:val="04A0" w:firstRow="1" w:lastRow="0" w:firstColumn="1" w:lastColumn="0" w:noHBand="0" w:noVBand="1"/>
        <w:tblCaption w:val="Summary Colorado River Basin Regional Water BoardWaterbody-Pollutant Combination &quot;Delist&quot; Decisions by Pollutant Category"/>
        <w:tblDescription w:val="This table lists new recommended 303(d) delistings for pollutants in the Colorado River Basin Region.  It lists the waterbody pollutant category, the number of delistings due to water quality attainment, the number of delisting due to a change in assessment, and the totals."/>
      </w:tblPr>
      <w:tblGrid>
        <w:gridCol w:w="2880"/>
        <w:gridCol w:w="2664"/>
        <w:gridCol w:w="2664"/>
        <w:gridCol w:w="1440"/>
      </w:tblGrid>
      <w:tr w:rsidR="00181469" w14:paraId="68DF3740" w14:textId="77777777" w:rsidTr="007C5319">
        <w:trPr>
          <w:cnfStyle w:val="100000000000" w:firstRow="1" w:lastRow="0" w:firstColumn="0" w:lastColumn="0" w:oddVBand="0" w:evenVBand="0" w:oddHBand="0" w:evenHBand="0" w:firstRowFirstColumn="0" w:firstRowLastColumn="0" w:lastRowFirstColumn="0" w:lastRowLastColumn="0"/>
        </w:trPr>
        <w:tc>
          <w:tcPr>
            <w:tcW w:w="2880" w:type="dxa"/>
          </w:tcPr>
          <w:p w14:paraId="0AA82AD9" w14:textId="77777777" w:rsidR="00C97439" w:rsidRDefault="00C97439" w:rsidP="00445A29">
            <w:pPr>
              <w:spacing w:after="0"/>
            </w:pPr>
            <w:r>
              <w:t>Pollutant Category</w:t>
            </w:r>
          </w:p>
        </w:tc>
        <w:tc>
          <w:tcPr>
            <w:tcW w:w="2664" w:type="dxa"/>
          </w:tcPr>
          <w:p w14:paraId="70806E9E" w14:textId="7C2DD556" w:rsidR="00C97439" w:rsidRDefault="007B0089" w:rsidP="00445A29">
            <w:pPr>
              <w:spacing w:after="0"/>
            </w:pPr>
            <w:r>
              <w:t>“Delist” Decisions</w:t>
            </w:r>
            <w:r w:rsidR="00C97439">
              <w:t xml:space="preserve"> Due to </w:t>
            </w:r>
            <w:r w:rsidR="005537E1">
              <w:t xml:space="preserve">Change in </w:t>
            </w:r>
            <w:r w:rsidR="00C97439">
              <w:t>Water Quality</w:t>
            </w:r>
          </w:p>
        </w:tc>
        <w:tc>
          <w:tcPr>
            <w:tcW w:w="2664" w:type="dxa"/>
          </w:tcPr>
          <w:p w14:paraId="0A208E8D" w14:textId="0E2397D8" w:rsidR="00C97439" w:rsidRDefault="00FF34EB" w:rsidP="00445A29">
            <w:pPr>
              <w:spacing w:after="0"/>
            </w:pPr>
            <w:r>
              <w:t>“Delist” Decisions</w:t>
            </w:r>
            <w:r w:rsidR="00C97439">
              <w:t xml:space="preserve"> Due to </w:t>
            </w:r>
            <w:r w:rsidR="00E83542">
              <w:t>Other Changes</w:t>
            </w:r>
            <w:r w:rsidR="00E83542">
              <w:rPr>
                <w:rStyle w:val="FootnoteReference"/>
              </w:rPr>
              <w:footnoteReference w:id="23"/>
            </w:r>
          </w:p>
        </w:tc>
        <w:tc>
          <w:tcPr>
            <w:tcW w:w="1440" w:type="dxa"/>
          </w:tcPr>
          <w:p w14:paraId="1E09611C" w14:textId="77777777" w:rsidR="00C97439" w:rsidRDefault="00C97439" w:rsidP="00445A29">
            <w:pPr>
              <w:spacing w:after="0"/>
            </w:pPr>
            <w:r>
              <w:t xml:space="preserve">Total </w:t>
            </w:r>
          </w:p>
        </w:tc>
      </w:tr>
      <w:tr w:rsidR="00D14289" w14:paraId="39B8F3BB" w14:textId="77777777" w:rsidTr="007C5319">
        <w:trPr>
          <w:cantSplit w:val="0"/>
        </w:trPr>
        <w:tc>
          <w:tcPr>
            <w:tcW w:w="2880" w:type="dxa"/>
          </w:tcPr>
          <w:p w14:paraId="222DF670" w14:textId="645A9D43" w:rsidR="00D14289" w:rsidRPr="080AC3D4" w:rsidRDefault="00D14289" w:rsidP="00D14289">
            <w:pPr>
              <w:spacing w:after="0"/>
              <w:rPr>
                <w:rFonts w:eastAsia="Arial" w:cs="Arial"/>
                <w:szCs w:val="24"/>
              </w:rPr>
            </w:pPr>
            <w:r w:rsidRPr="080AC3D4">
              <w:rPr>
                <w:rFonts w:eastAsia="Arial" w:cs="Arial"/>
                <w:szCs w:val="24"/>
              </w:rPr>
              <w:t>Pesticides</w:t>
            </w:r>
          </w:p>
        </w:tc>
        <w:tc>
          <w:tcPr>
            <w:tcW w:w="2664" w:type="dxa"/>
          </w:tcPr>
          <w:p w14:paraId="5853E7F3" w14:textId="64BC3335" w:rsidR="00D14289" w:rsidRDefault="006B06D8" w:rsidP="00D14289">
            <w:pPr>
              <w:spacing w:after="0"/>
              <w:jc w:val="center"/>
            </w:pPr>
            <w:r>
              <w:t>0</w:t>
            </w:r>
          </w:p>
        </w:tc>
        <w:tc>
          <w:tcPr>
            <w:tcW w:w="2664" w:type="dxa"/>
          </w:tcPr>
          <w:p w14:paraId="25F63723" w14:textId="2B46CA99" w:rsidR="00D14289" w:rsidRDefault="001379EF" w:rsidP="00D14289">
            <w:pPr>
              <w:spacing w:after="0"/>
              <w:jc w:val="center"/>
            </w:pPr>
            <w:r>
              <w:t>4</w:t>
            </w:r>
          </w:p>
        </w:tc>
        <w:tc>
          <w:tcPr>
            <w:tcW w:w="1440" w:type="dxa"/>
          </w:tcPr>
          <w:p w14:paraId="71ADF5BB" w14:textId="55D7279F" w:rsidR="00D14289" w:rsidRDefault="00EF4CB3" w:rsidP="00D14289">
            <w:pPr>
              <w:spacing w:after="0"/>
              <w:jc w:val="center"/>
            </w:pPr>
            <w:r>
              <w:t>4</w:t>
            </w:r>
          </w:p>
        </w:tc>
      </w:tr>
      <w:tr w:rsidR="007D677F" w14:paraId="47383045" w14:textId="77777777" w:rsidTr="007C5319">
        <w:trPr>
          <w:cantSplit w:val="0"/>
        </w:trPr>
        <w:tc>
          <w:tcPr>
            <w:tcW w:w="2880" w:type="dxa"/>
          </w:tcPr>
          <w:p w14:paraId="30298676" w14:textId="0978C41E" w:rsidR="007D677F" w:rsidRPr="080AC3D4" w:rsidRDefault="001379EF" w:rsidP="00D14289">
            <w:pPr>
              <w:spacing w:after="0"/>
              <w:rPr>
                <w:rFonts w:eastAsia="Arial" w:cs="Arial"/>
                <w:szCs w:val="24"/>
              </w:rPr>
            </w:pPr>
            <w:r>
              <w:rPr>
                <w:rFonts w:eastAsia="Arial" w:cs="Arial"/>
                <w:szCs w:val="24"/>
              </w:rPr>
              <w:t>Toxic Organics</w:t>
            </w:r>
          </w:p>
        </w:tc>
        <w:tc>
          <w:tcPr>
            <w:tcW w:w="2664" w:type="dxa"/>
          </w:tcPr>
          <w:p w14:paraId="44181D3B" w14:textId="2245B3EC" w:rsidR="007D677F" w:rsidRDefault="001379EF" w:rsidP="00D14289">
            <w:pPr>
              <w:spacing w:after="0"/>
              <w:jc w:val="center"/>
            </w:pPr>
            <w:r>
              <w:t>1</w:t>
            </w:r>
          </w:p>
        </w:tc>
        <w:tc>
          <w:tcPr>
            <w:tcW w:w="2664" w:type="dxa"/>
          </w:tcPr>
          <w:p w14:paraId="6C263B65" w14:textId="2300C94E" w:rsidR="007D677F" w:rsidRDefault="001379EF" w:rsidP="00D14289">
            <w:pPr>
              <w:spacing w:after="0"/>
              <w:jc w:val="center"/>
            </w:pPr>
            <w:r>
              <w:t>0</w:t>
            </w:r>
          </w:p>
        </w:tc>
        <w:tc>
          <w:tcPr>
            <w:tcW w:w="1440" w:type="dxa"/>
          </w:tcPr>
          <w:p w14:paraId="11C17F2A" w14:textId="57C3A957" w:rsidR="007D677F" w:rsidRDefault="00EF4CB3" w:rsidP="00D14289">
            <w:pPr>
              <w:spacing w:after="0"/>
              <w:jc w:val="center"/>
            </w:pPr>
            <w:r>
              <w:t>1</w:t>
            </w:r>
          </w:p>
        </w:tc>
      </w:tr>
      <w:tr w:rsidR="004757EE" w14:paraId="681901BB" w14:textId="77777777" w:rsidTr="007C5319">
        <w:trPr>
          <w:cantSplit w:val="0"/>
        </w:trPr>
        <w:tc>
          <w:tcPr>
            <w:tcW w:w="2880" w:type="dxa"/>
          </w:tcPr>
          <w:p w14:paraId="2EE69C11" w14:textId="66A0A9CB" w:rsidR="004757EE" w:rsidRPr="004757EE" w:rsidRDefault="004757EE" w:rsidP="00D14289">
            <w:pPr>
              <w:spacing w:after="0"/>
              <w:rPr>
                <w:rFonts w:eastAsia="Arial" w:cs="Arial"/>
                <w:b/>
                <w:bCs/>
                <w:szCs w:val="24"/>
              </w:rPr>
            </w:pPr>
            <w:r w:rsidRPr="004757EE">
              <w:rPr>
                <w:rFonts w:eastAsia="Arial" w:cs="Arial"/>
                <w:b/>
                <w:bCs/>
                <w:szCs w:val="24"/>
              </w:rPr>
              <w:t>Totals</w:t>
            </w:r>
          </w:p>
        </w:tc>
        <w:tc>
          <w:tcPr>
            <w:tcW w:w="2664" w:type="dxa"/>
          </w:tcPr>
          <w:p w14:paraId="5FFDF2FE" w14:textId="3A17E903" w:rsidR="004757EE" w:rsidRPr="004757EE" w:rsidRDefault="00EF4CB3" w:rsidP="00D14289">
            <w:pPr>
              <w:spacing w:after="0"/>
              <w:jc w:val="center"/>
              <w:rPr>
                <w:b/>
                <w:bCs/>
              </w:rPr>
            </w:pPr>
            <w:r>
              <w:rPr>
                <w:b/>
                <w:bCs/>
              </w:rPr>
              <w:t>1</w:t>
            </w:r>
          </w:p>
        </w:tc>
        <w:tc>
          <w:tcPr>
            <w:tcW w:w="2664" w:type="dxa"/>
          </w:tcPr>
          <w:p w14:paraId="2C5FEAAB" w14:textId="4252E14C" w:rsidR="004757EE" w:rsidRPr="004757EE" w:rsidRDefault="00EF4CB3" w:rsidP="00D14289">
            <w:pPr>
              <w:spacing w:after="0"/>
              <w:jc w:val="center"/>
              <w:rPr>
                <w:b/>
                <w:bCs/>
              </w:rPr>
            </w:pPr>
            <w:r>
              <w:rPr>
                <w:b/>
                <w:bCs/>
              </w:rPr>
              <w:t>4</w:t>
            </w:r>
          </w:p>
        </w:tc>
        <w:tc>
          <w:tcPr>
            <w:tcW w:w="1440" w:type="dxa"/>
          </w:tcPr>
          <w:p w14:paraId="76BA6747" w14:textId="41D9E0FC" w:rsidR="004757EE" w:rsidRPr="004757EE" w:rsidRDefault="004757EE" w:rsidP="00D14289">
            <w:pPr>
              <w:spacing w:after="0"/>
              <w:jc w:val="center"/>
              <w:rPr>
                <w:b/>
                <w:bCs/>
              </w:rPr>
            </w:pPr>
            <w:r w:rsidRPr="004757EE">
              <w:rPr>
                <w:b/>
                <w:bCs/>
              </w:rPr>
              <w:t>5</w:t>
            </w:r>
          </w:p>
        </w:tc>
      </w:tr>
    </w:tbl>
    <w:p w14:paraId="6607EAE6" w14:textId="1E3DAFCE" w:rsidR="00C97439" w:rsidRDefault="00475938" w:rsidP="008273CE">
      <w:pPr>
        <w:pStyle w:val="Heading2"/>
      </w:pPr>
      <w:bookmarkStart w:id="211" w:name="_Toc189048644"/>
      <w:r>
        <w:t xml:space="preserve">Colorado River Basin </w:t>
      </w:r>
      <w:r w:rsidR="00512D1E">
        <w:t>Prioritization</w:t>
      </w:r>
      <w:r w:rsidR="3F8E99A6">
        <w:t xml:space="preserve"> of TMDLs and Other Efforts to Address Impaired Waters</w:t>
      </w:r>
      <w:bookmarkEnd w:id="211"/>
    </w:p>
    <w:p w14:paraId="50D04D28" w14:textId="77777777" w:rsidR="0033527D" w:rsidRDefault="0033527D" w:rsidP="002523E5">
      <w:pPr>
        <w:spacing w:before="240"/>
        <w:rPr>
          <w:rFonts w:eastAsia="Arial" w:cs="Arial"/>
        </w:rPr>
      </w:pPr>
      <w:r w:rsidRPr="00F37E03">
        <w:t>Efforts to address impaired waterbodies identified on the CWA section 303(d) list can</w:t>
      </w:r>
      <w:r>
        <w:t xml:space="preserve"> </w:t>
      </w:r>
      <w:r w:rsidRPr="00F37E03">
        <w:rPr>
          <w:rFonts w:eastAsia="Arial" w:cs="Arial"/>
        </w:rPr>
        <w:t>include TMDLs, individual permits, or other programs of implementation, which are</w:t>
      </w:r>
      <w:r>
        <w:t xml:space="preserve"> </w:t>
      </w:r>
      <w:r w:rsidRPr="00F37E03">
        <w:rPr>
          <w:rFonts w:eastAsia="Arial" w:cs="Arial"/>
        </w:rPr>
        <w:t>sometimes known as TMDL alternative projects. The prioritization of TMDLs and other</w:t>
      </w:r>
      <w:r>
        <w:t xml:space="preserve"> </w:t>
      </w:r>
      <w:r w:rsidRPr="00F37E03">
        <w:rPr>
          <w:rFonts w:eastAsia="Arial" w:cs="Arial"/>
        </w:rPr>
        <w:t xml:space="preserve">efforts to address impaired waters in the </w:t>
      </w:r>
      <w:r>
        <w:rPr>
          <w:rFonts w:eastAsia="Arial" w:cs="Arial"/>
        </w:rPr>
        <w:t>North Coast</w:t>
      </w:r>
      <w:r w:rsidRPr="00F37E03">
        <w:rPr>
          <w:rFonts w:eastAsia="Arial" w:cs="Arial"/>
        </w:rPr>
        <w:t xml:space="preserve"> Region is based on the factors</w:t>
      </w:r>
      <w:r>
        <w:t xml:space="preserve"> </w:t>
      </w:r>
      <w:r w:rsidRPr="00F37E03">
        <w:rPr>
          <w:rFonts w:eastAsia="Arial" w:cs="Arial"/>
        </w:rPr>
        <w:t>required by section 5 of the Listing Policy and</w:t>
      </w:r>
      <w:r>
        <w:t xml:space="preserve"> </w:t>
      </w:r>
      <w:r w:rsidRPr="00F37E03">
        <w:rPr>
          <w:rFonts w:eastAsia="Arial" w:cs="Arial"/>
        </w:rPr>
        <w:t xml:space="preserve">consideration of several other factors, </w:t>
      </w:r>
      <w:r>
        <w:rPr>
          <w:rFonts w:eastAsia="Arial" w:cs="Arial"/>
        </w:rPr>
        <w:t xml:space="preserve">outlined in section 2.6: TMDLs and Other Efforts to Address Impaired Waters. Information outlining how impaired waterbodies may be addressed through individual permits is outlined in section 1.1: The 303(d) List of Impaired Waters. </w:t>
      </w:r>
    </w:p>
    <w:p w14:paraId="08BB3456" w14:textId="41C99F89" w:rsidR="00DE3789" w:rsidRPr="002F68C6" w:rsidRDefault="00DE3789" w:rsidP="002523E5">
      <w:pPr>
        <w:spacing w:before="240"/>
        <w:rPr>
          <w:rFonts w:eastAsia="Arial" w:cs="Arial"/>
        </w:rPr>
      </w:pPr>
      <w:r>
        <w:rPr>
          <w:rFonts w:eastAsia="Arial" w:cs="Arial"/>
        </w:rPr>
        <w:t xml:space="preserve">The following TMDLs were marked as </w:t>
      </w:r>
      <w:r w:rsidR="008B2EFA">
        <w:rPr>
          <w:rFonts w:eastAsia="Arial" w:cs="Arial"/>
        </w:rPr>
        <w:t>h</w:t>
      </w:r>
      <w:r>
        <w:rPr>
          <w:rFonts w:eastAsia="Arial" w:cs="Arial"/>
        </w:rPr>
        <w:t xml:space="preserve">igh priority </w:t>
      </w:r>
      <w:r w:rsidR="00031A5B">
        <w:rPr>
          <w:rFonts w:eastAsia="Arial" w:cs="Arial"/>
        </w:rPr>
        <w:t>by considering the severity of the pollution, the beneficial uses, and the other factors listed in the Prioritization Framework</w:t>
      </w:r>
      <w:r w:rsidR="00031A5B" w:rsidRPr="001C7DDA">
        <w:rPr>
          <w:rFonts w:eastAsia="Arial" w:cs="Arial"/>
        </w:rPr>
        <w:t xml:space="preserve"> </w:t>
      </w:r>
      <w:r w:rsidR="00031A5B">
        <w:rPr>
          <w:rFonts w:eastAsia="Arial" w:cs="Arial"/>
        </w:rPr>
        <w:t>(see Section 2.6 and 2.7)</w:t>
      </w:r>
      <w:r>
        <w:rPr>
          <w:rFonts w:eastAsia="Arial" w:cs="Arial"/>
        </w:rPr>
        <w:t>.</w:t>
      </w:r>
      <w:r w:rsidRPr="00171FDF">
        <w:rPr>
          <w:rFonts w:eastAsia="Arial" w:cs="Arial"/>
        </w:rPr>
        <w:t xml:space="preserve"> </w:t>
      </w:r>
      <w:r>
        <w:rPr>
          <w:rFonts w:eastAsia="Arial" w:cs="Arial"/>
        </w:rPr>
        <w:t>High</w:t>
      </w:r>
      <w:r w:rsidRPr="0B47F341">
        <w:rPr>
          <w:rFonts w:eastAsia="Arial" w:cs="Arial"/>
        </w:rPr>
        <w:t xml:space="preserve"> </w:t>
      </w:r>
      <w:r>
        <w:rPr>
          <w:rFonts w:eastAsia="Arial" w:cs="Arial"/>
        </w:rPr>
        <w:t>P</w:t>
      </w:r>
      <w:r w:rsidRPr="0B47F341">
        <w:rPr>
          <w:rFonts w:eastAsia="Arial" w:cs="Arial"/>
        </w:rPr>
        <w:t xml:space="preserve">riority TMDL projects are listed in Table </w:t>
      </w:r>
      <w:r w:rsidR="00000371">
        <w:rPr>
          <w:rFonts w:eastAsia="Arial" w:cs="Arial"/>
        </w:rPr>
        <w:t>8</w:t>
      </w:r>
      <w:r>
        <w:rPr>
          <w:rFonts w:eastAsia="Arial" w:cs="Arial"/>
        </w:rPr>
        <w:t xml:space="preserve">-3: High Priority </w:t>
      </w:r>
      <w:r w:rsidR="00174D1B">
        <w:rPr>
          <w:rFonts w:eastAsia="Arial" w:cs="Arial"/>
        </w:rPr>
        <w:t>Colorado River Basin</w:t>
      </w:r>
      <w:r>
        <w:rPr>
          <w:rFonts w:eastAsia="Arial" w:cs="Arial"/>
        </w:rPr>
        <w:t xml:space="preserve"> TMDLs and Other Efforts to Address Impaired Waters</w:t>
      </w:r>
      <w:r w:rsidRPr="7FD97207">
        <w:rPr>
          <w:rFonts w:eastAsia="Arial" w:cs="Arial"/>
        </w:rPr>
        <w:t>.</w:t>
      </w:r>
      <w:r w:rsidRPr="0B47F341">
        <w:rPr>
          <w:rFonts w:eastAsia="Arial" w:cs="Arial"/>
        </w:rPr>
        <w:t xml:space="preserve"> In addition to the development of new TMDLs, existing TMDLs are sometimes reconsidered to incorporate new information relevant to addressing the targeted impairments.</w:t>
      </w:r>
      <w:r>
        <w:rPr>
          <w:rFonts w:eastAsia="Arial" w:cs="Arial"/>
        </w:rPr>
        <w:t xml:space="preserve"> </w:t>
      </w:r>
    </w:p>
    <w:p w14:paraId="0B59A9E3" w14:textId="504159B5" w:rsidR="00593C54" w:rsidRPr="007F149F" w:rsidRDefault="00593C54" w:rsidP="00593C54">
      <w:pPr>
        <w:pStyle w:val="Caption"/>
        <w:keepNext/>
      </w:pPr>
      <w:r>
        <w:t xml:space="preserve">Table </w:t>
      </w:r>
      <w:r w:rsidR="00AB32F5">
        <w:t>8</w:t>
      </w:r>
      <w:r w:rsidR="00D311E2" w:rsidRPr="00C8318A">
        <w:noBreakHyphen/>
      </w:r>
      <w:r w:rsidR="00903867">
        <w:fldChar w:fldCharType="begin"/>
      </w:r>
      <w:r w:rsidR="00903867">
        <w:instrText xml:space="preserve"> SEQ Table \* ARABIC \s 1 </w:instrText>
      </w:r>
      <w:r w:rsidR="00903867">
        <w:fldChar w:fldCharType="separate"/>
      </w:r>
      <w:r w:rsidR="00903867" w:rsidRPr="00C8318A">
        <w:rPr>
          <w:noProof/>
        </w:rPr>
        <w:t>2</w:t>
      </w:r>
      <w:r w:rsidR="00903867">
        <w:rPr>
          <w:noProof/>
        </w:rPr>
        <w:fldChar w:fldCharType="end"/>
      </w:r>
      <w:r w:rsidRPr="00C8318A">
        <w:t>:</w:t>
      </w:r>
      <w:r>
        <w:t xml:space="preserve"> Colorado River Basin</w:t>
      </w:r>
      <w:r w:rsidR="00641591">
        <w:t xml:space="preserve"> Regional Water Board</w:t>
      </w:r>
      <w:r w:rsidRPr="00CA3895">
        <w:t xml:space="preserve"> </w:t>
      </w:r>
      <w:r>
        <w:t xml:space="preserve">High Priority </w:t>
      </w:r>
      <w:r w:rsidRPr="00CA3895">
        <w:t>TMDLs</w:t>
      </w:r>
    </w:p>
    <w:tbl>
      <w:tblPr>
        <w:tblStyle w:val="AccblTable"/>
        <w:tblW w:w="0" w:type="auto"/>
        <w:tblCellMar>
          <w:top w:w="115" w:type="dxa"/>
          <w:bottom w:w="115" w:type="dxa"/>
        </w:tblCellMar>
        <w:tblLook w:val="04A0" w:firstRow="1" w:lastRow="0" w:firstColumn="1" w:lastColumn="0" w:noHBand="0" w:noVBand="1"/>
        <w:tblCaption w:val="Schedule for Colorado River Basin TMDLs and Other Efforts to Address Impaired Waters"/>
        <w:tblDescription w:val="This table is a list of TMDL projects and other efforts to address impaired waters and the year of their projected completion dates for the Colorado River Basin Region."/>
      </w:tblPr>
      <w:tblGrid>
        <w:gridCol w:w="8453"/>
      </w:tblGrid>
      <w:tr w:rsidR="006B2118" w14:paraId="10D15CEC" w14:textId="77777777" w:rsidTr="4DD2838E">
        <w:trPr>
          <w:cnfStyle w:val="100000000000" w:firstRow="1" w:lastRow="0" w:firstColumn="0" w:lastColumn="0" w:oddVBand="0" w:evenVBand="0" w:oddHBand="0" w:evenHBand="0" w:firstRowFirstColumn="0" w:firstRowLastColumn="0" w:lastRowFirstColumn="0" w:lastRowLastColumn="0"/>
          <w:trHeight w:val="280"/>
        </w:trPr>
        <w:tc>
          <w:tcPr>
            <w:tcW w:w="8453" w:type="dxa"/>
          </w:tcPr>
          <w:p w14:paraId="09D731A0" w14:textId="77777777" w:rsidR="00593C54" w:rsidRDefault="00593C54">
            <w:pPr>
              <w:spacing w:after="0"/>
              <w:rPr>
                <w:rFonts w:eastAsia="Arial" w:cs="Arial"/>
              </w:rPr>
            </w:pPr>
            <w:r>
              <w:rPr>
                <w:rFonts w:eastAsia="Arial" w:cs="Arial"/>
              </w:rPr>
              <w:t xml:space="preserve">Project  </w:t>
            </w:r>
          </w:p>
        </w:tc>
      </w:tr>
      <w:tr w:rsidR="00593C54" w14:paraId="21B01032" w14:textId="77777777" w:rsidTr="73CCE67D">
        <w:trPr>
          <w:trHeight w:val="296"/>
        </w:trPr>
        <w:tc>
          <w:tcPr>
            <w:tcW w:w="8453" w:type="dxa"/>
          </w:tcPr>
          <w:p w14:paraId="30ECD66A" w14:textId="7FA5F835" w:rsidR="00593C54" w:rsidRPr="050C76C7" w:rsidRDefault="004D748D" w:rsidP="006E390D">
            <w:pPr>
              <w:spacing w:after="0"/>
              <w:jc w:val="center"/>
              <w:rPr>
                <w:rFonts w:eastAsia="Arial" w:cs="Arial"/>
              </w:rPr>
            </w:pPr>
            <w:r w:rsidRPr="73CCE67D">
              <w:rPr>
                <w:rFonts w:eastAsia="Arial" w:cs="Arial"/>
              </w:rPr>
              <w:t xml:space="preserve">Imperial </w:t>
            </w:r>
            <w:r w:rsidR="0518A0D8" w:rsidRPr="73CCE67D">
              <w:rPr>
                <w:rFonts w:eastAsia="Arial" w:cs="Arial"/>
              </w:rPr>
              <w:t>Valley</w:t>
            </w:r>
            <w:r w:rsidR="00806F77" w:rsidRPr="73CCE67D">
              <w:rPr>
                <w:rFonts w:eastAsia="Arial" w:cs="Arial"/>
              </w:rPr>
              <w:t xml:space="preserve"> </w:t>
            </w:r>
            <w:r w:rsidR="00911CF3" w:rsidRPr="73CCE67D">
              <w:rPr>
                <w:rFonts w:eastAsia="Arial" w:cs="Arial"/>
              </w:rPr>
              <w:t xml:space="preserve">Pyrethroid Pesticides </w:t>
            </w:r>
            <w:r w:rsidR="00806F77" w:rsidRPr="73CCE67D">
              <w:rPr>
                <w:rFonts w:eastAsia="Arial" w:cs="Arial"/>
              </w:rPr>
              <w:t>TMDL</w:t>
            </w:r>
          </w:p>
        </w:tc>
      </w:tr>
      <w:tr w:rsidR="006E390D" w14:paraId="4C8E084F" w14:textId="77777777" w:rsidTr="73CCE67D">
        <w:trPr>
          <w:trHeight w:val="296"/>
        </w:trPr>
        <w:tc>
          <w:tcPr>
            <w:tcW w:w="8453" w:type="dxa"/>
          </w:tcPr>
          <w:p w14:paraId="0B8A1D2D" w14:textId="1B20AC1A" w:rsidR="006E390D" w:rsidRPr="050C76C7" w:rsidRDefault="00EE327C" w:rsidP="006E390D">
            <w:pPr>
              <w:spacing w:after="0"/>
              <w:jc w:val="center"/>
              <w:rPr>
                <w:rFonts w:eastAsia="Arial" w:cs="Arial"/>
              </w:rPr>
            </w:pPr>
            <w:r>
              <w:rPr>
                <w:rFonts w:eastAsia="Arial" w:cs="Arial"/>
              </w:rPr>
              <w:t>New River Ammonia and Toxicity</w:t>
            </w:r>
            <w:r w:rsidR="00184B3A">
              <w:rPr>
                <w:rFonts w:eastAsia="Arial" w:cs="Arial"/>
              </w:rPr>
              <w:t xml:space="preserve"> TMDL</w:t>
            </w:r>
          </w:p>
        </w:tc>
      </w:tr>
      <w:tr w:rsidR="002B7742" w14:paraId="542FCA09" w14:textId="77777777" w:rsidTr="73CCE67D">
        <w:trPr>
          <w:trHeight w:val="296"/>
        </w:trPr>
        <w:tc>
          <w:tcPr>
            <w:tcW w:w="8453" w:type="dxa"/>
          </w:tcPr>
          <w:p w14:paraId="5919F744" w14:textId="5D7FE07C" w:rsidR="002B7742" w:rsidRPr="00184B3A" w:rsidRDefault="003D140E" w:rsidP="006E390D">
            <w:pPr>
              <w:spacing w:after="0"/>
              <w:jc w:val="center"/>
              <w:rPr>
                <w:rFonts w:eastAsia="Arial" w:cs="Arial"/>
              </w:rPr>
            </w:pPr>
            <w:r w:rsidRPr="00184B3A">
              <w:rPr>
                <w:rFonts w:eastAsia="Arial" w:cs="Arial"/>
              </w:rPr>
              <w:t xml:space="preserve">Coachella </w:t>
            </w:r>
            <w:r w:rsidR="00184B3A" w:rsidRPr="00184B3A">
              <w:rPr>
                <w:rFonts w:eastAsia="Arial" w:cs="Arial"/>
              </w:rPr>
              <w:t>Valley Stormwater Channel Ammonia, Dissolved Oxygen, and Toxicity TMDL</w:t>
            </w:r>
          </w:p>
        </w:tc>
      </w:tr>
      <w:tr w:rsidR="003D140E" w14:paraId="04CEEDE9" w14:textId="77777777" w:rsidTr="73CCE67D">
        <w:trPr>
          <w:trHeight w:val="235"/>
        </w:trPr>
        <w:tc>
          <w:tcPr>
            <w:tcW w:w="8453" w:type="dxa"/>
          </w:tcPr>
          <w:p w14:paraId="2FC71DCC" w14:textId="0F824AEB" w:rsidR="003D140E" w:rsidRPr="00184B3A" w:rsidRDefault="00B42C6E" w:rsidP="006E390D">
            <w:pPr>
              <w:spacing w:after="0"/>
              <w:jc w:val="center"/>
              <w:rPr>
                <w:rFonts w:eastAsia="Arial" w:cs="Arial"/>
              </w:rPr>
            </w:pPr>
            <w:r w:rsidRPr="00184B3A">
              <w:rPr>
                <w:rFonts w:eastAsia="Arial" w:cs="Arial"/>
              </w:rPr>
              <w:t>Alamo River Chloride, Indicator</w:t>
            </w:r>
            <w:r w:rsidR="00184B3A" w:rsidRPr="00184B3A">
              <w:rPr>
                <w:rFonts w:eastAsia="Arial" w:cs="Arial"/>
              </w:rPr>
              <w:t xml:space="preserve"> Bacteria, and Toxicity TMDL</w:t>
            </w:r>
          </w:p>
        </w:tc>
      </w:tr>
    </w:tbl>
    <w:p w14:paraId="524C6D9C" w14:textId="2C42CE8B" w:rsidR="002E0441" w:rsidRDefault="002E0441" w:rsidP="00597DE8">
      <w:pPr>
        <w:pStyle w:val="Heading1"/>
      </w:pPr>
      <w:bookmarkStart w:id="212" w:name="_Toc189048645"/>
      <w:r>
        <w:t>San Diego Region</w:t>
      </w:r>
      <w:r w:rsidR="009F78CD">
        <w:t>al Water Board</w:t>
      </w:r>
      <w:bookmarkEnd w:id="212"/>
    </w:p>
    <w:p w14:paraId="2648027F" w14:textId="1AEE0421" w:rsidR="00670E72" w:rsidRDefault="00C97439" w:rsidP="00670E72">
      <w:pPr>
        <w:rPr>
          <w:rFonts w:eastAsia="Arial" w:cs="Arial"/>
        </w:rPr>
      </w:pPr>
      <w:r w:rsidRPr="004502A9">
        <w:rPr>
          <w:rFonts w:eastAsia="Arial" w:cs="Arial"/>
        </w:rPr>
        <w:t xml:space="preserve">The </w:t>
      </w:r>
      <w:r>
        <w:rPr>
          <w:rFonts w:eastAsia="Arial" w:cs="Arial"/>
        </w:rPr>
        <w:t>San Diego</w:t>
      </w:r>
      <w:r w:rsidRPr="004502A9">
        <w:rPr>
          <w:rFonts w:eastAsia="Arial" w:cs="Arial"/>
        </w:rPr>
        <w:t xml:space="preserve"> Regional Water Quality Control Boa</w:t>
      </w:r>
      <w:r>
        <w:rPr>
          <w:rFonts w:eastAsia="Arial" w:cs="Arial"/>
        </w:rPr>
        <w:t xml:space="preserve">rd </w:t>
      </w:r>
      <w:r w:rsidRPr="004502A9">
        <w:rPr>
          <w:rFonts w:eastAsia="Arial" w:cs="Arial"/>
        </w:rPr>
        <w:t>was “o</w:t>
      </w:r>
      <w:r>
        <w:rPr>
          <w:rFonts w:eastAsia="Arial" w:cs="Arial"/>
        </w:rPr>
        <w:t>ff</w:t>
      </w:r>
      <w:r w:rsidRPr="004502A9">
        <w:rPr>
          <w:rFonts w:eastAsia="Arial" w:cs="Arial"/>
        </w:rPr>
        <w:t>-cycle”</w:t>
      </w:r>
      <w:r w:rsidR="00AB5193">
        <w:rPr>
          <w:rFonts w:eastAsia="Arial" w:cs="Arial"/>
        </w:rPr>
        <w:t xml:space="preserve"> for the </w:t>
      </w:r>
      <w:r w:rsidR="00C6428D">
        <w:rPr>
          <w:rFonts w:eastAsia="Arial" w:cs="Arial"/>
        </w:rPr>
        <w:t>2026</w:t>
      </w:r>
      <w:r w:rsidR="00AB5193">
        <w:rPr>
          <w:rFonts w:eastAsia="Arial" w:cs="Arial"/>
        </w:rPr>
        <w:t xml:space="preserve"> California Integrated Report</w:t>
      </w:r>
      <w:r w:rsidR="00E838BB">
        <w:rPr>
          <w:rFonts w:eastAsia="Arial" w:cs="Arial"/>
        </w:rPr>
        <w:t>.</w:t>
      </w:r>
      <w:r w:rsidR="00182852" w:rsidDel="00E838BB">
        <w:rPr>
          <w:rFonts w:eastAsia="Arial" w:cs="Arial"/>
        </w:rPr>
        <w:t xml:space="preserve"> </w:t>
      </w:r>
      <w:r w:rsidR="00670E72">
        <w:rPr>
          <w:rFonts w:eastAsia="Arial" w:cs="Arial"/>
        </w:rPr>
        <w:t xml:space="preserve">“Off-cycle” work included selenium reassessments, mapping adjustments, and updating TMDL information in several </w:t>
      </w:r>
      <w:r w:rsidR="00670E72">
        <w:rPr>
          <w:rStyle w:val="normaltextrun"/>
          <w:rFonts w:cs="Arial"/>
          <w:color w:val="000000"/>
          <w:shd w:val="clear" w:color="auto" w:fill="FFFFFF"/>
        </w:rPr>
        <w:t xml:space="preserve">CalWQA </w:t>
      </w:r>
      <w:r w:rsidR="00670E72">
        <w:rPr>
          <w:rFonts w:eastAsia="Arial" w:cs="Arial"/>
        </w:rPr>
        <w:t xml:space="preserve">Decisions. </w:t>
      </w:r>
      <w:r w:rsidR="00670E72" w:rsidRPr="00036BD4">
        <w:rPr>
          <w:rFonts w:eastAsia="Arial" w:cs="Arial"/>
        </w:rPr>
        <w:t xml:space="preserve">Assessments specific to the </w:t>
      </w:r>
      <w:r w:rsidR="00670E72">
        <w:rPr>
          <w:rFonts w:eastAsia="Arial" w:cs="Arial"/>
        </w:rPr>
        <w:t>San Diego</w:t>
      </w:r>
      <w:r w:rsidR="00670E72" w:rsidRPr="00036BD4">
        <w:rPr>
          <w:rFonts w:eastAsia="Arial" w:cs="Arial"/>
        </w:rPr>
        <w:t xml:space="preserve"> Regional Water Board are described in the following subsections.</w:t>
      </w:r>
    </w:p>
    <w:p w14:paraId="7AF83D64" w14:textId="44384D36" w:rsidR="00C97439" w:rsidRDefault="005C78B6" w:rsidP="0099083B">
      <w:pPr>
        <w:pStyle w:val="Heading2"/>
      </w:pPr>
      <w:bookmarkStart w:id="213" w:name="_Toc189048646"/>
      <w:r>
        <w:t xml:space="preserve">Selenium </w:t>
      </w:r>
      <w:r w:rsidR="00140B6B">
        <w:t>Reassessments</w:t>
      </w:r>
      <w:bookmarkEnd w:id="213"/>
    </w:p>
    <w:p w14:paraId="6136CCB5" w14:textId="29FF7140" w:rsidR="00C6549F" w:rsidRDefault="00A521D9" w:rsidP="00EB71C9">
      <w:pPr>
        <w:rPr>
          <w:rFonts w:eastAsia="Arial" w:cs="Arial"/>
        </w:rPr>
      </w:pPr>
      <w:r>
        <w:rPr>
          <w:rFonts w:eastAsia="Arial" w:cs="Arial"/>
        </w:rPr>
        <w:t>T</w:t>
      </w:r>
      <w:r w:rsidR="00484194">
        <w:rPr>
          <w:rFonts w:eastAsia="Arial" w:cs="Arial"/>
        </w:rPr>
        <w:t>he C</w:t>
      </w:r>
      <w:r w:rsidR="009E7D34">
        <w:rPr>
          <w:rFonts w:eastAsia="Arial" w:cs="Arial"/>
        </w:rPr>
        <w:t>ounty</w:t>
      </w:r>
      <w:r w:rsidR="00484194">
        <w:rPr>
          <w:rFonts w:eastAsia="Arial" w:cs="Arial"/>
        </w:rPr>
        <w:t xml:space="preserve"> of San Diego </w:t>
      </w:r>
      <w:r w:rsidR="003774A6">
        <w:rPr>
          <w:rFonts w:eastAsia="Arial" w:cs="Arial"/>
        </w:rPr>
        <w:t xml:space="preserve">corrected and resubmitted selenium data to CEDEN for </w:t>
      </w:r>
      <w:r w:rsidR="00411E99">
        <w:rPr>
          <w:rFonts w:eastAsia="Arial" w:cs="Arial"/>
        </w:rPr>
        <w:t>Keys Creek</w:t>
      </w:r>
      <w:r w:rsidR="00974CCF">
        <w:rPr>
          <w:rFonts w:eastAsia="Arial" w:cs="Arial"/>
        </w:rPr>
        <w:t>,</w:t>
      </w:r>
      <w:r w:rsidR="00411E99">
        <w:rPr>
          <w:rFonts w:eastAsia="Arial" w:cs="Arial"/>
        </w:rPr>
        <w:t xml:space="preserve"> </w:t>
      </w:r>
      <w:r w:rsidR="00E947C7">
        <w:rPr>
          <w:rFonts w:eastAsia="Arial" w:cs="Arial"/>
        </w:rPr>
        <w:t>Escondido Creek</w:t>
      </w:r>
      <w:r w:rsidR="00974CCF">
        <w:rPr>
          <w:rFonts w:eastAsia="Arial" w:cs="Arial"/>
        </w:rPr>
        <w:t>,</w:t>
      </w:r>
      <w:r w:rsidR="00E947C7">
        <w:rPr>
          <w:rFonts w:eastAsia="Arial" w:cs="Arial"/>
        </w:rPr>
        <w:t xml:space="preserve"> </w:t>
      </w:r>
      <w:r w:rsidR="00BD0397">
        <w:rPr>
          <w:rFonts w:eastAsia="Arial" w:cs="Arial"/>
        </w:rPr>
        <w:t>Los Coches Creek</w:t>
      </w:r>
      <w:r w:rsidR="00974CCF">
        <w:rPr>
          <w:rFonts w:eastAsia="Arial" w:cs="Arial"/>
        </w:rPr>
        <w:t>,</w:t>
      </w:r>
      <w:r w:rsidR="00BD0397">
        <w:rPr>
          <w:rFonts w:eastAsia="Arial" w:cs="Arial"/>
        </w:rPr>
        <w:t xml:space="preserve"> </w:t>
      </w:r>
      <w:r w:rsidR="00974CCF">
        <w:rPr>
          <w:rFonts w:eastAsia="Arial" w:cs="Arial"/>
        </w:rPr>
        <w:t>lower</w:t>
      </w:r>
      <w:r w:rsidR="00C5333A">
        <w:rPr>
          <w:rFonts w:eastAsia="Arial" w:cs="Arial"/>
        </w:rPr>
        <w:t xml:space="preserve"> Sweetwater River</w:t>
      </w:r>
      <w:r w:rsidR="0074236C">
        <w:rPr>
          <w:rFonts w:eastAsia="Arial" w:cs="Arial"/>
        </w:rPr>
        <w:t xml:space="preserve">, </w:t>
      </w:r>
      <w:r w:rsidR="00C5333A">
        <w:rPr>
          <w:rFonts w:eastAsia="Arial" w:cs="Arial"/>
        </w:rPr>
        <w:t xml:space="preserve">and </w:t>
      </w:r>
      <w:r w:rsidR="00974CCF">
        <w:rPr>
          <w:rFonts w:eastAsia="Arial" w:cs="Arial"/>
        </w:rPr>
        <w:t xml:space="preserve">upper </w:t>
      </w:r>
      <w:r w:rsidR="00C5333A">
        <w:rPr>
          <w:rFonts w:eastAsia="Arial" w:cs="Arial"/>
        </w:rPr>
        <w:t>San Marcos</w:t>
      </w:r>
      <w:r w:rsidR="00974CCF">
        <w:rPr>
          <w:rFonts w:eastAsia="Arial" w:cs="Arial"/>
        </w:rPr>
        <w:t xml:space="preserve"> Creek</w:t>
      </w:r>
      <w:r w:rsidR="00C5333A">
        <w:rPr>
          <w:rFonts w:eastAsia="Arial" w:cs="Arial"/>
        </w:rPr>
        <w:t>.</w:t>
      </w:r>
      <w:r w:rsidR="00411E99">
        <w:rPr>
          <w:rFonts w:eastAsia="Arial" w:cs="Arial"/>
        </w:rPr>
        <w:t xml:space="preserve"> </w:t>
      </w:r>
      <w:r w:rsidR="007E5D2B">
        <w:rPr>
          <w:rFonts w:eastAsia="Arial" w:cs="Arial"/>
        </w:rPr>
        <w:t>The</w:t>
      </w:r>
      <w:r w:rsidR="00411E99">
        <w:rPr>
          <w:rFonts w:eastAsia="Arial" w:cs="Arial"/>
        </w:rPr>
        <w:t xml:space="preserve"> </w:t>
      </w:r>
      <w:r w:rsidR="001161CF">
        <w:rPr>
          <w:rFonts w:eastAsia="Arial" w:cs="Arial"/>
        </w:rPr>
        <w:t xml:space="preserve">San Diego </w:t>
      </w:r>
      <w:r w:rsidR="003A0D69">
        <w:rPr>
          <w:rFonts w:eastAsia="Arial" w:cs="Arial"/>
        </w:rPr>
        <w:t xml:space="preserve">Regional </w:t>
      </w:r>
      <w:r w:rsidR="001161CF">
        <w:rPr>
          <w:rFonts w:eastAsia="Arial" w:cs="Arial"/>
        </w:rPr>
        <w:t xml:space="preserve">Water Board </w:t>
      </w:r>
      <w:r w:rsidR="006B6CC3">
        <w:rPr>
          <w:rFonts w:eastAsia="Arial" w:cs="Arial"/>
        </w:rPr>
        <w:t xml:space="preserve">reassessed the selenium </w:t>
      </w:r>
      <w:r w:rsidR="00AF5B8A">
        <w:rPr>
          <w:rFonts w:eastAsia="Arial" w:cs="Arial"/>
        </w:rPr>
        <w:t xml:space="preserve">data </w:t>
      </w:r>
      <w:r w:rsidR="00F5083C">
        <w:rPr>
          <w:rFonts w:eastAsia="Arial" w:cs="Arial"/>
        </w:rPr>
        <w:t xml:space="preserve">and </w:t>
      </w:r>
      <w:r w:rsidR="00AD3968">
        <w:rPr>
          <w:rFonts w:eastAsia="Arial" w:cs="Arial"/>
        </w:rPr>
        <w:t xml:space="preserve">a summary of the </w:t>
      </w:r>
      <w:r w:rsidR="00197FCE">
        <w:rPr>
          <w:rFonts w:eastAsia="Arial" w:cs="Arial"/>
        </w:rPr>
        <w:t>D</w:t>
      </w:r>
      <w:r w:rsidR="006B6CC3">
        <w:rPr>
          <w:rFonts w:eastAsia="Arial" w:cs="Arial"/>
        </w:rPr>
        <w:t xml:space="preserve">ecisions </w:t>
      </w:r>
      <w:r w:rsidR="007D7A6C">
        <w:rPr>
          <w:rFonts w:eastAsia="Arial" w:cs="Arial"/>
        </w:rPr>
        <w:t>are as follows:</w:t>
      </w:r>
      <w:r w:rsidR="00EB71C9">
        <w:rPr>
          <w:rFonts w:eastAsia="Arial" w:cs="Arial"/>
        </w:rPr>
        <w:t xml:space="preserve"> </w:t>
      </w:r>
    </w:p>
    <w:p w14:paraId="5D2F4F22" w14:textId="1C9D583B" w:rsidR="000139C1" w:rsidRDefault="00E53C1B" w:rsidP="00010F69">
      <w:pPr>
        <w:pStyle w:val="ListParagraph"/>
        <w:numPr>
          <w:ilvl w:val="0"/>
          <w:numId w:val="34"/>
        </w:numPr>
        <w:rPr>
          <w:rFonts w:eastAsia="Arial" w:cs="Arial"/>
        </w:rPr>
      </w:pPr>
      <w:r>
        <w:rPr>
          <w:rFonts w:eastAsia="Arial" w:cs="Arial"/>
        </w:rPr>
        <w:t>Keys Creek (Decision ID 158371) revised from “Do Not Delist” to “Delist”</w:t>
      </w:r>
    </w:p>
    <w:p w14:paraId="189C2F8D" w14:textId="1FA07195" w:rsidR="004D4C8C" w:rsidRDefault="004D4C8C" w:rsidP="00010F69">
      <w:pPr>
        <w:pStyle w:val="ListParagraph"/>
        <w:numPr>
          <w:ilvl w:val="0"/>
          <w:numId w:val="34"/>
        </w:numPr>
        <w:rPr>
          <w:rFonts w:eastAsia="Arial" w:cs="Arial"/>
        </w:rPr>
      </w:pPr>
      <w:r>
        <w:rPr>
          <w:rFonts w:eastAsia="Arial" w:cs="Arial"/>
        </w:rPr>
        <w:t xml:space="preserve">Escondido Creek (Decision ID </w:t>
      </w:r>
      <w:r w:rsidR="00C36D3B">
        <w:rPr>
          <w:rFonts w:eastAsia="Arial" w:cs="Arial"/>
        </w:rPr>
        <w:t>158370</w:t>
      </w:r>
      <w:r>
        <w:rPr>
          <w:rFonts w:eastAsia="Arial" w:cs="Arial"/>
        </w:rPr>
        <w:t>) remain</w:t>
      </w:r>
      <w:r w:rsidR="00C36D3B">
        <w:rPr>
          <w:rFonts w:eastAsia="Arial" w:cs="Arial"/>
        </w:rPr>
        <w:t>s “Do Not Delist”</w:t>
      </w:r>
      <w:r>
        <w:rPr>
          <w:rFonts w:eastAsia="Arial" w:cs="Arial"/>
        </w:rPr>
        <w:t xml:space="preserve"> </w:t>
      </w:r>
    </w:p>
    <w:p w14:paraId="22BBD910" w14:textId="77777777" w:rsidR="00102F75" w:rsidRPr="00E53C1B" w:rsidRDefault="00102F75" w:rsidP="00010F69">
      <w:pPr>
        <w:pStyle w:val="ListParagraph"/>
        <w:numPr>
          <w:ilvl w:val="0"/>
          <w:numId w:val="34"/>
        </w:numPr>
        <w:rPr>
          <w:rFonts w:eastAsia="Arial" w:cs="Arial"/>
        </w:rPr>
      </w:pPr>
      <w:r>
        <w:rPr>
          <w:rFonts w:eastAsia="Arial" w:cs="Arial"/>
        </w:rPr>
        <w:t>Los Coches Creek (Decision ID 158372) remains “Do Not Delist”</w:t>
      </w:r>
    </w:p>
    <w:p w14:paraId="454504EA" w14:textId="03DA5842" w:rsidR="004F7D9D" w:rsidRDefault="004F7D9D" w:rsidP="00010F69">
      <w:pPr>
        <w:pStyle w:val="ListParagraph"/>
        <w:numPr>
          <w:ilvl w:val="0"/>
          <w:numId w:val="34"/>
        </w:numPr>
        <w:rPr>
          <w:rFonts w:eastAsia="Arial" w:cs="Arial"/>
        </w:rPr>
      </w:pPr>
      <w:r>
        <w:rPr>
          <w:rFonts w:eastAsia="Arial" w:cs="Arial"/>
        </w:rPr>
        <w:t>Sweetwater River, Lower (below Sweetwater Reservoir) (Decision ID 158373) remains a “Delist”</w:t>
      </w:r>
    </w:p>
    <w:p w14:paraId="49E4F596" w14:textId="7B8C7A15" w:rsidR="00E53C1B" w:rsidRPr="00E53C1B" w:rsidRDefault="00E53C1B" w:rsidP="00010F69">
      <w:pPr>
        <w:pStyle w:val="ListParagraph"/>
        <w:numPr>
          <w:ilvl w:val="0"/>
          <w:numId w:val="34"/>
        </w:numPr>
        <w:rPr>
          <w:rFonts w:eastAsia="Arial" w:cs="Arial"/>
        </w:rPr>
      </w:pPr>
      <w:r>
        <w:rPr>
          <w:rFonts w:eastAsia="Arial" w:cs="Arial"/>
        </w:rPr>
        <w:t>San Marcos Creek</w:t>
      </w:r>
      <w:r w:rsidR="004D4C8C">
        <w:rPr>
          <w:rFonts w:eastAsia="Arial" w:cs="Arial"/>
        </w:rPr>
        <w:t>, Upper (above San Marcos Lake)</w:t>
      </w:r>
      <w:r>
        <w:rPr>
          <w:rFonts w:eastAsia="Arial" w:cs="Arial"/>
        </w:rPr>
        <w:t xml:space="preserve"> (Decision ID 158</w:t>
      </w:r>
      <w:r w:rsidR="00CC3682">
        <w:rPr>
          <w:rFonts w:eastAsia="Arial" w:cs="Arial"/>
        </w:rPr>
        <w:t>3</w:t>
      </w:r>
      <w:r>
        <w:rPr>
          <w:rFonts w:eastAsia="Arial" w:cs="Arial"/>
        </w:rPr>
        <w:t>96) revised from “Do Not Delist to “Delist”</w:t>
      </w:r>
    </w:p>
    <w:p w14:paraId="127FD437" w14:textId="218BE00E" w:rsidR="00BB2280" w:rsidRDefault="50C0A790" w:rsidP="0099083B">
      <w:pPr>
        <w:pStyle w:val="Heading2"/>
      </w:pPr>
      <w:bookmarkStart w:id="214" w:name="_Toc189048647"/>
      <w:r>
        <w:t>Mapping Adjustments</w:t>
      </w:r>
      <w:bookmarkEnd w:id="214"/>
    </w:p>
    <w:p w14:paraId="16A88F69" w14:textId="29EB1560" w:rsidR="00615A59" w:rsidRDefault="00FE0A12" w:rsidP="00D37E17">
      <w:pPr>
        <w:rPr>
          <w:rFonts w:eastAsia="Arial" w:cs="Arial"/>
        </w:rPr>
      </w:pPr>
      <w:r>
        <w:rPr>
          <w:rFonts w:eastAsia="Arial" w:cs="Arial"/>
        </w:rPr>
        <w:t xml:space="preserve">Felicita Creek </w:t>
      </w:r>
      <w:r w:rsidR="00810D9A">
        <w:rPr>
          <w:rFonts w:eastAsia="Arial" w:cs="Arial"/>
        </w:rPr>
        <w:t>mapping was adjusted</w:t>
      </w:r>
      <w:r w:rsidR="0021204A" w:rsidRPr="0021204A">
        <w:rPr>
          <w:rFonts w:eastAsia="Arial" w:cs="Arial"/>
        </w:rPr>
        <w:t xml:space="preserve"> </w:t>
      </w:r>
      <w:r w:rsidR="0021204A">
        <w:rPr>
          <w:rFonts w:eastAsia="Arial" w:cs="Arial"/>
        </w:rPr>
        <w:t xml:space="preserve">due to </w:t>
      </w:r>
      <w:r w:rsidR="00060466">
        <w:rPr>
          <w:rFonts w:eastAsia="Arial" w:cs="Arial"/>
        </w:rPr>
        <w:t xml:space="preserve">informal </w:t>
      </w:r>
      <w:r w:rsidR="0021204A">
        <w:rPr>
          <w:rFonts w:eastAsia="Arial" w:cs="Arial"/>
        </w:rPr>
        <w:t>comments received</w:t>
      </w:r>
      <w:r w:rsidR="00797AC4">
        <w:rPr>
          <w:rFonts w:eastAsia="Arial" w:cs="Arial"/>
        </w:rPr>
        <w:t xml:space="preserve"> from the </w:t>
      </w:r>
      <w:r w:rsidR="00C56569">
        <w:rPr>
          <w:rFonts w:eastAsia="Arial" w:cs="Arial"/>
        </w:rPr>
        <w:t>Environmental Health Coalition</w:t>
      </w:r>
      <w:r w:rsidR="00E46F26">
        <w:rPr>
          <w:rFonts w:eastAsia="Arial" w:cs="Arial"/>
        </w:rPr>
        <w:t xml:space="preserve">. </w:t>
      </w:r>
      <w:r w:rsidR="009E35F7">
        <w:rPr>
          <w:rFonts w:eastAsia="Arial" w:cs="Arial"/>
        </w:rPr>
        <w:t>The waterbody segment</w:t>
      </w:r>
      <w:r w:rsidR="00350E29">
        <w:rPr>
          <w:rFonts w:eastAsia="Arial" w:cs="Arial"/>
        </w:rPr>
        <w:t xml:space="preserve"> now </w:t>
      </w:r>
      <w:r w:rsidR="00810D9A">
        <w:rPr>
          <w:rFonts w:eastAsia="Arial" w:cs="Arial"/>
        </w:rPr>
        <w:t>include</w:t>
      </w:r>
      <w:r w:rsidR="00350E29">
        <w:rPr>
          <w:rFonts w:eastAsia="Arial" w:cs="Arial"/>
        </w:rPr>
        <w:t>s</w:t>
      </w:r>
      <w:r w:rsidR="00810D9A">
        <w:rPr>
          <w:rFonts w:eastAsia="Arial" w:cs="Arial"/>
        </w:rPr>
        <w:t xml:space="preserve"> </w:t>
      </w:r>
      <w:r w:rsidR="009C24D6">
        <w:rPr>
          <w:rFonts w:eastAsia="Arial" w:cs="Arial"/>
        </w:rPr>
        <w:t xml:space="preserve">both branches </w:t>
      </w:r>
      <w:r w:rsidR="6D27F59D" w:rsidRPr="24F85A35">
        <w:rPr>
          <w:rFonts w:eastAsia="Arial" w:cs="Arial"/>
        </w:rPr>
        <w:t>of Felicita Creek that</w:t>
      </w:r>
      <w:r w:rsidR="009C24D6" w:rsidRPr="24F85A35">
        <w:rPr>
          <w:rFonts w:eastAsia="Arial" w:cs="Arial"/>
        </w:rPr>
        <w:t xml:space="preserve"> </w:t>
      </w:r>
      <w:r w:rsidR="009C24D6">
        <w:rPr>
          <w:rFonts w:eastAsia="Arial" w:cs="Arial"/>
        </w:rPr>
        <w:t xml:space="preserve">flow through Felicita Park </w:t>
      </w:r>
      <w:r w:rsidR="00B918A8">
        <w:rPr>
          <w:rFonts w:eastAsia="Arial" w:cs="Arial"/>
        </w:rPr>
        <w:t xml:space="preserve">and </w:t>
      </w:r>
      <w:r w:rsidR="00815A47">
        <w:rPr>
          <w:rFonts w:eastAsia="Arial" w:cs="Arial"/>
        </w:rPr>
        <w:t xml:space="preserve">has been </w:t>
      </w:r>
      <w:r w:rsidR="00B918A8">
        <w:rPr>
          <w:rFonts w:eastAsia="Arial" w:cs="Arial"/>
        </w:rPr>
        <w:t xml:space="preserve">extended </w:t>
      </w:r>
      <w:r w:rsidR="00815A47">
        <w:rPr>
          <w:rFonts w:eastAsia="Arial" w:cs="Arial"/>
        </w:rPr>
        <w:t>downstream</w:t>
      </w:r>
      <w:r w:rsidR="00B918A8">
        <w:rPr>
          <w:rFonts w:eastAsia="Arial" w:cs="Arial"/>
        </w:rPr>
        <w:t xml:space="preserve"> </w:t>
      </w:r>
      <w:r w:rsidR="0045734B">
        <w:rPr>
          <w:rFonts w:eastAsia="Arial" w:cs="Arial"/>
        </w:rPr>
        <w:t xml:space="preserve">to </w:t>
      </w:r>
      <w:r w:rsidR="000A0B71">
        <w:rPr>
          <w:rFonts w:eastAsia="Arial" w:cs="Arial"/>
        </w:rPr>
        <w:t xml:space="preserve">where it </w:t>
      </w:r>
      <w:r w:rsidR="6505882A" w:rsidRPr="7A9E3ACC">
        <w:rPr>
          <w:rFonts w:eastAsia="Arial" w:cs="Arial"/>
        </w:rPr>
        <w:t>enters</w:t>
      </w:r>
      <w:r w:rsidR="000A0B71">
        <w:rPr>
          <w:rFonts w:eastAsia="Arial" w:cs="Arial"/>
        </w:rPr>
        <w:t xml:space="preserve"> </w:t>
      </w:r>
      <w:r w:rsidR="008F6A33">
        <w:rPr>
          <w:rFonts w:eastAsia="Arial" w:cs="Arial"/>
        </w:rPr>
        <w:t>Lake Hodges.</w:t>
      </w:r>
      <w:r w:rsidR="001C575D" w:rsidRPr="24F85A35">
        <w:rPr>
          <w:rFonts w:eastAsia="Arial" w:cs="Arial"/>
        </w:rPr>
        <w:t xml:space="preserve"> This mapping change </w:t>
      </w:r>
      <w:r w:rsidR="001C575D">
        <w:rPr>
          <w:rFonts w:eastAsia="Arial" w:cs="Arial"/>
        </w:rPr>
        <w:t>did</w:t>
      </w:r>
      <w:r w:rsidR="00B25E9D">
        <w:rPr>
          <w:rFonts w:eastAsia="Arial" w:cs="Arial"/>
        </w:rPr>
        <w:t xml:space="preserve"> not</w:t>
      </w:r>
      <w:r w:rsidR="001C575D" w:rsidRPr="24F85A35">
        <w:rPr>
          <w:rFonts w:eastAsia="Arial" w:cs="Arial"/>
        </w:rPr>
        <w:t xml:space="preserve"> result in </w:t>
      </w:r>
      <w:r w:rsidR="00DA28C0" w:rsidRPr="24F85A35">
        <w:rPr>
          <w:rFonts w:eastAsia="Arial" w:cs="Arial"/>
        </w:rPr>
        <w:t>any listing or delisting changes.</w:t>
      </w:r>
    </w:p>
    <w:p w14:paraId="501999A7" w14:textId="31848A67" w:rsidR="00033AF4" w:rsidRDefault="00F94BF0" w:rsidP="001C575D">
      <w:pPr>
        <w:rPr>
          <w:rFonts w:eastAsia="Arial" w:cs="Arial"/>
        </w:rPr>
      </w:pPr>
      <w:r>
        <w:rPr>
          <w:rFonts w:eastAsia="Arial" w:cs="Arial"/>
        </w:rPr>
        <w:t>Cameo Cove</w:t>
      </w:r>
      <w:r w:rsidR="004902DD">
        <w:rPr>
          <w:rFonts w:eastAsia="Arial" w:cs="Arial"/>
        </w:rPr>
        <w:t xml:space="preserve">, a portion of the Pacific Ocean shoreline was inadvertently </w:t>
      </w:r>
      <w:r w:rsidR="007452F1">
        <w:rPr>
          <w:rFonts w:eastAsia="Arial" w:cs="Arial"/>
        </w:rPr>
        <w:t xml:space="preserve">excluded from </w:t>
      </w:r>
      <w:r w:rsidR="00C33BED">
        <w:rPr>
          <w:rFonts w:eastAsia="Arial" w:cs="Arial"/>
        </w:rPr>
        <w:t>assessment mapping</w:t>
      </w:r>
      <w:r>
        <w:rPr>
          <w:rFonts w:eastAsia="Arial" w:cs="Arial"/>
        </w:rPr>
        <w:t xml:space="preserve"> </w:t>
      </w:r>
      <w:r w:rsidR="00A13C25">
        <w:rPr>
          <w:rFonts w:eastAsia="Arial" w:cs="Arial"/>
        </w:rPr>
        <w:t>historically</w:t>
      </w:r>
      <w:r w:rsidR="00FC02C4">
        <w:rPr>
          <w:rFonts w:eastAsia="Arial" w:cs="Arial"/>
        </w:rPr>
        <w:t xml:space="preserve"> </w:t>
      </w:r>
      <w:r w:rsidR="00910965">
        <w:rPr>
          <w:rFonts w:eastAsia="Arial" w:cs="Arial"/>
        </w:rPr>
        <w:t>when the entire h</w:t>
      </w:r>
      <w:r w:rsidR="004F0EF1">
        <w:rPr>
          <w:rFonts w:eastAsia="Arial" w:cs="Arial"/>
        </w:rPr>
        <w:t>ydro</w:t>
      </w:r>
      <w:r w:rsidR="00DE4339">
        <w:rPr>
          <w:rFonts w:eastAsia="Arial" w:cs="Arial"/>
        </w:rPr>
        <w:t>logic shoreline</w:t>
      </w:r>
      <w:r w:rsidR="00922F46">
        <w:rPr>
          <w:rFonts w:eastAsia="Arial" w:cs="Arial"/>
        </w:rPr>
        <w:t xml:space="preserve"> </w:t>
      </w:r>
      <w:r w:rsidR="00735A7A">
        <w:rPr>
          <w:rFonts w:eastAsia="Arial" w:cs="Arial"/>
        </w:rPr>
        <w:t>(</w:t>
      </w:r>
      <w:r w:rsidR="00922F46" w:rsidRPr="009F75E8">
        <w:rPr>
          <w:rFonts w:eastAsia="Arial" w:cs="Arial"/>
        </w:rPr>
        <w:t>"Pacific Ocean Shoreline, San Joaquin Hills HSA"</w:t>
      </w:r>
      <w:r w:rsidR="00D56AF3">
        <w:rPr>
          <w:rFonts w:eastAsia="Arial" w:cs="Arial"/>
        </w:rPr>
        <w:t>)</w:t>
      </w:r>
      <w:r w:rsidR="00DE4339">
        <w:rPr>
          <w:rFonts w:eastAsia="Arial" w:cs="Arial"/>
        </w:rPr>
        <w:t xml:space="preserve"> </w:t>
      </w:r>
      <w:r w:rsidR="69579F0F" w:rsidRPr="0F8D0928">
        <w:rPr>
          <w:rFonts w:eastAsia="Arial" w:cs="Arial"/>
        </w:rPr>
        <w:t xml:space="preserve">was split </w:t>
      </w:r>
      <w:r w:rsidR="414B1085" w:rsidRPr="0F8D0928">
        <w:rPr>
          <w:rFonts w:eastAsia="Arial" w:cs="Arial"/>
        </w:rPr>
        <w:t>in</w:t>
      </w:r>
      <w:r w:rsidR="00F42C3E" w:rsidRPr="0F8D0928">
        <w:rPr>
          <w:rFonts w:eastAsia="Arial" w:cs="Arial"/>
        </w:rPr>
        <w:t>to</w:t>
      </w:r>
      <w:r w:rsidR="00F42C3E">
        <w:rPr>
          <w:rFonts w:eastAsia="Arial" w:cs="Arial"/>
        </w:rPr>
        <w:t xml:space="preserve"> specific shoreline</w:t>
      </w:r>
      <w:r w:rsidR="00990124">
        <w:rPr>
          <w:rFonts w:eastAsia="Arial" w:cs="Arial"/>
        </w:rPr>
        <w:t xml:space="preserve"> reaches. </w:t>
      </w:r>
      <w:r w:rsidR="14A25387" w:rsidRPr="7D6A5EB3">
        <w:rPr>
          <w:rFonts w:eastAsia="Arial" w:cs="Arial"/>
        </w:rPr>
        <w:t xml:space="preserve">This shoreline </w:t>
      </w:r>
      <w:r w:rsidR="14A25387" w:rsidRPr="7AD781CE">
        <w:rPr>
          <w:rFonts w:eastAsia="Arial" w:cs="Arial"/>
        </w:rPr>
        <w:t>segment</w:t>
      </w:r>
      <w:r w:rsidR="00A13C25">
        <w:rPr>
          <w:rFonts w:eastAsia="Arial" w:cs="Arial"/>
        </w:rPr>
        <w:t xml:space="preserve"> </w:t>
      </w:r>
      <w:r>
        <w:rPr>
          <w:rFonts w:eastAsia="Arial" w:cs="Arial"/>
        </w:rPr>
        <w:t xml:space="preserve">was </w:t>
      </w:r>
      <w:r w:rsidR="000449F1">
        <w:rPr>
          <w:rFonts w:eastAsia="Arial" w:cs="Arial"/>
        </w:rPr>
        <w:t>added</w:t>
      </w:r>
      <w:r w:rsidR="00C260F3">
        <w:rPr>
          <w:rFonts w:eastAsia="Arial" w:cs="Arial"/>
        </w:rPr>
        <w:t xml:space="preserve"> to </w:t>
      </w:r>
      <w:r w:rsidR="00582F48">
        <w:rPr>
          <w:rFonts w:eastAsia="Arial" w:cs="Arial"/>
        </w:rPr>
        <w:t xml:space="preserve">the </w:t>
      </w:r>
      <w:r w:rsidR="004F429C">
        <w:rPr>
          <w:rFonts w:eastAsia="Arial" w:cs="Arial"/>
        </w:rPr>
        <w:t>map</w:t>
      </w:r>
      <w:r w:rsidR="00990124">
        <w:rPr>
          <w:rFonts w:eastAsia="Arial" w:cs="Arial"/>
        </w:rPr>
        <w:t xml:space="preserve"> and</w:t>
      </w:r>
      <w:r w:rsidR="004F429C">
        <w:rPr>
          <w:rFonts w:eastAsia="Arial" w:cs="Arial"/>
        </w:rPr>
        <w:t xml:space="preserve"> </w:t>
      </w:r>
      <w:r w:rsidR="00D87946">
        <w:rPr>
          <w:rFonts w:eastAsia="Arial" w:cs="Arial"/>
        </w:rPr>
        <w:t>now</w:t>
      </w:r>
      <w:r w:rsidR="004F429C">
        <w:rPr>
          <w:rFonts w:eastAsia="Arial" w:cs="Arial"/>
        </w:rPr>
        <w:t xml:space="preserve"> appears as </w:t>
      </w:r>
      <w:r w:rsidR="007C5596">
        <w:rPr>
          <w:rFonts w:eastAsia="Arial" w:cs="Arial"/>
        </w:rPr>
        <w:t xml:space="preserve">“Pacific Ocean </w:t>
      </w:r>
      <w:r w:rsidR="00FE5C2A">
        <w:rPr>
          <w:rFonts w:eastAsia="Arial" w:cs="Arial"/>
        </w:rPr>
        <w:t xml:space="preserve">Shoreline, San Joaquin </w:t>
      </w:r>
      <w:r w:rsidR="00F15357">
        <w:rPr>
          <w:rFonts w:eastAsia="Arial" w:cs="Arial"/>
        </w:rPr>
        <w:t>HSA, at Cameo Cove.”</w:t>
      </w:r>
      <w:r w:rsidR="00A624D6">
        <w:rPr>
          <w:rFonts w:eastAsia="Arial" w:cs="Arial"/>
        </w:rPr>
        <w:t xml:space="preserve"> </w:t>
      </w:r>
      <w:r w:rsidR="009F75E8">
        <w:rPr>
          <w:rFonts w:eastAsia="Arial" w:cs="Arial"/>
        </w:rPr>
        <w:t>In the 2006 California Integrated Report</w:t>
      </w:r>
      <w:r w:rsidR="21E5B794" w:rsidRPr="78EBC289">
        <w:rPr>
          <w:rFonts w:eastAsia="Arial" w:cs="Arial"/>
        </w:rPr>
        <w:t>,</w:t>
      </w:r>
      <w:r w:rsidR="009F75E8">
        <w:rPr>
          <w:rFonts w:eastAsia="Arial" w:cs="Arial"/>
        </w:rPr>
        <w:t xml:space="preserve"> </w:t>
      </w:r>
      <w:r w:rsidR="000A36C1">
        <w:rPr>
          <w:rFonts w:eastAsia="Arial" w:cs="Arial"/>
        </w:rPr>
        <w:t xml:space="preserve">the entire hydrologic shoreline </w:t>
      </w:r>
      <w:r w:rsidR="00735A7A" w:rsidRPr="009F75E8">
        <w:rPr>
          <w:rFonts w:eastAsia="Arial" w:cs="Arial"/>
        </w:rPr>
        <w:t>"Pacific Ocean Shoreline, San Joaquin Hills HSA"</w:t>
      </w:r>
      <w:r w:rsidR="000A36C1">
        <w:rPr>
          <w:rFonts w:eastAsia="Arial" w:cs="Arial"/>
        </w:rPr>
        <w:t xml:space="preserve"> </w:t>
      </w:r>
      <w:r w:rsidR="45991B2E" w:rsidRPr="67889FD9">
        <w:rPr>
          <w:rFonts w:eastAsia="Arial" w:cs="Arial"/>
        </w:rPr>
        <w:t xml:space="preserve">was listed for indicator bacteria </w:t>
      </w:r>
      <w:r w:rsidR="009F75E8" w:rsidRPr="009F75E8">
        <w:rPr>
          <w:rFonts w:eastAsia="Arial" w:cs="Arial"/>
        </w:rPr>
        <w:t xml:space="preserve">and </w:t>
      </w:r>
      <w:r w:rsidR="33A78285" w:rsidRPr="0A9F95DC">
        <w:rPr>
          <w:rFonts w:eastAsia="Arial" w:cs="Arial"/>
        </w:rPr>
        <w:t>shoreline portions were</w:t>
      </w:r>
      <w:r w:rsidR="009F75E8" w:rsidRPr="009F75E8">
        <w:rPr>
          <w:rFonts w:eastAsia="Arial" w:cs="Arial"/>
        </w:rPr>
        <w:t xml:space="preserve"> incorrectly omitted in subsequent </w:t>
      </w:r>
      <w:r w:rsidR="001C575D">
        <w:rPr>
          <w:rFonts w:eastAsia="Arial" w:cs="Arial"/>
        </w:rPr>
        <w:t>i</w:t>
      </w:r>
      <w:r w:rsidR="009F75E8" w:rsidRPr="009F75E8">
        <w:rPr>
          <w:rFonts w:eastAsia="Arial" w:cs="Arial"/>
        </w:rPr>
        <w:t xml:space="preserve">ntegrated </w:t>
      </w:r>
      <w:r w:rsidR="001C575D">
        <w:rPr>
          <w:rFonts w:eastAsia="Arial" w:cs="Arial"/>
        </w:rPr>
        <w:t>r</w:t>
      </w:r>
      <w:r w:rsidR="009F75E8" w:rsidRPr="009F75E8">
        <w:rPr>
          <w:rFonts w:eastAsia="Arial" w:cs="Arial"/>
        </w:rPr>
        <w:t>eports</w:t>
      </w:r>
      <w:r w:rsidR="0066176F">
        <w:rPr>
          <w:rFonts w:eastAsia="Arial" w:cs="Arial"/>
        </w:rPr>
        <w:t xml:space="preserve">. </w:t>
      </w:r>
      <w:r w:rsidR="00033AF4">
        <w:rPr>
          <w:rFonts w:eastAsia="Arial" w:cs="Arial"/>
        </w:rPr>
        <w:t xml:space="preserve">A new indicator bacteria </w:t>
      </w:r>
      <w:r w:rsidR="00735A7A">
        <w:rPr>
          <w:rFonts w:eastAsia="Arial" w:cs="Arial"/>
        </w:rPr>
        <w:t>CalWQA D</w:t>
      </w:r>
      <w:r w:rsidR="00033AF4">
        <w:rPr>
          <w:rFonts w:eastAsia="Arial" w:cs="Arial"/>
        </w:rPr>
        <w:t xml:space="preserve">ecision (Decision ID </w:t>
      </w:r>
      <w:r w:rsidR="00033AF4" w:rsidRPr="00033AF4">
        <w:rPr>
          <w:rFonts w:eastAsia="Arial" w:cs="Arial"/>
        </w:rPr>
        <w:t>155003</w:t>
      </w:r>
      <w:r w:rsidR="00033AF4">
        <w:rPr>
          <w:rFonts w:eastAsia="Arial" w:cs="Arial"/>
        </w:rPr>
        <w:t xml:space="preserve">) </w:t>
      </w:r>
      <w:r w:rsidR="007365A9">
        <w:rPr>
          <w:rFonts w:eastAsia="Arial" w:cs="Arial"/>
        </w:rPr>
        <w:t xml:space="preserve">was </w:t>
      </w:r>
      <w:r w:rsidR="00A66ED4">
        <w:rPr>
          <w:rFonts w:eastAsia="Arial" w:cs="Arial"/>
        </w:rPr>
        <w:t xml:space="preserve">created to </w:t>
      </w:r>
      <w:r w:rsidR="000058EC">
        <w:rPr>
          <w:rFonts w:eastAsia="Arial" w:cs="Arial"/>
        </w:rPr>
        <w:t>include</w:t>
      </w:r>
      <w:r w:rsidR="004355E1">
        <w:rPr>
          <w:rFonts w:eastAsia="Arial" w:cs="Arial"/>
        </w:rPr>
        <w:t xml:space="preserve"> the missing listing</w:t>
      </w:r>
      <w:r w:rsidR="003A629A">
        <w:rPr>
          <w:rFonts w:eastAsia="Arial" w:cs="Arial"/>
        </w:rPr>
        <w:t xml:space="preserve"> </w:t>
      </w:r>
      <w:r w:rsidR="000B5513">
        <w:rPr>
          <w:rFonts w:eastAsia="Arial" w:cs="Arial"/>
        </w:rPr>
        <w:t>decision</w:t>
      </w:r>
      <w:r w:rsidR="00735A7A">
        <w:rPr>
          <w:rFonts w:eastAsia="Arial" w:cs="Arial"/>
        </w:rPr>
        <w:t>.</w:t>
      </w:r>
      <w:r w:rsidR="004355E1">
        <w:rPr>
          <w:rFonts w:eastAsia="Arial" w:cs="Arial"/>
        </w:rPr>
        <w:t xml:space="preserve"> </w:t>
      </w:r>
    </w:p>
    <w:p w14:paraId="28089EE4" w14:textId="7D06FABD" w:rsidR="002D2E82" w:rsidRDefault="0098287D" w:rsidP="0099083B">
      <w:pPr>
        <w:pStyle w:val="Heading2"/>
      </w:pPr>
      <w:bookmarkStart w:id="215" w:name="_Toc189048648"/>
      <w:r>
        <w:t>Decision Updates</w:t>
      </w:r>
      <w:bookmarkEnd w:id="215"/>
    </w:p>
    <w:p w14:paraId="62B105DB" w14:textId="28113173" w:rsidR="004E030F" w:rsidRDefault="005315C7" w:rsidP="00ED1A44">
      <w:pPr>
        <w:rPr>
          <w:rFonts w:eastAsia="Arial" w:cs="Arial"/>
        </w:rPr>
      </w:pPr>
      <w:r>
        <w:rPr>
          <w:rFonts w:eastAsia="Arial" w:cs="Arial"/>
        </w:rPr>
        <w:t>Two</w:t>
      </w:r>
      <w:r w:rsidR="00ED1A44">
        <w:rPr>
          <w:rFonts w:eastAsia="Arial" w:cs="Arial"/>
        </w:rPr>
        <w:t xml:space="preserve"> bacteria </w:t>
      </w:r>
      <w:r w:rsidR="00ED1A44">
        <w:rPr>
          <w:rStyle w:val="normaltextrun"/>
          <w:rFonts w:cs="Arial"/>
          <w:color w:val="000000"/>
          <w:shd w:val="clear" w:color="auto" w:fill="FFFFFF"/>
        </w:rPr>
        <w:t xml:space="preserve">CalWQA </w:t>
      </w:r>
      <w:r w:rsidR="00ED1A44">
        <w:rPr>
          <w:rFonts w:eastAsia="Arial" w:cs="Arial"/>
        </w:rPr>
        <w:t xml:space="preserve">Decisions were updated to include the TMDL information that was missing from </w:t>
      </w:r>
      <w:r w:rsidR="00ED1A44">
        <w:rPr>
          <w:rStyle w:val="normaltextrun"/>
          <w:rFonts w:cs="Arial"/>
          <w:color w:val="000000"/>
          <w:shd w:val="clear" w:color="auto" w:fill="FFFFFF"/>
        </w:rPr>
        <w:t xml:space="preserve">CalWQA </w:t>
      </w:r>
      <w:r w:rsidR="00ED1A44">
        <w:rPr>
          <w:rFonts w:eastAsia="Arial" w:cs="Arial"/>
        </w:rPr>
        <w:t xml:space="preserve">Decisions generated during previous listing cycles. The </w:t>
      </w:r>
      <w:r w:rsidR="00BB45FC">
        <w:rPr>
          <w:rFonts w:eastAsia="Arial" w:cs="Arial"/>
        </w:rPr>
        <w:t>decisions</w:t>
      </w:r>
      <w:r w:rsidR="00ED1A44">
        <w:rPr>
          <w:rFonts w:eastAsia="Arial" w:cs="Arial"/>
        </w:rPr>
        <w:t xml:space="preserve"> </w:t>
      </w:r>
      <w:r w:rsidR="009D7B1C">
        <w:rPr>
          <w:rFonts w:eastAsia="Arial" w:cs="Arial"/>
        </w:rPr>
        <w:t>remain “List</w:t>
      </w:r>
      <w:r w:rsidR="00D11025">
        <w:rPr>
          <w:rFonts w:eastAsia="Arial" w:cs="Arial"/>
        </w:rPr>
        <w:t>,</w:t>
      </w:r>
      <w:r w:rsidR="009D7B1C">
        <w:rPr>
          <w:rFonts w:eastAsia="Arial" w:cs="Arial"/>
        </w:rPr>
        <w:t>”</w:t>
      </w:r>
      <w:r w:rsidR="00ED1A44">
        <w:rPr>
          <w:rFonts w:eastAsia="Arial" w:cs="Arial"/>
        </w:rPr>
        <w:t xml:space="preserve"> as no new data were assessed. </w:t>
      </w:r>
    </w:p>
    <w:p w14:paraId="2BCACA87" w14:textId="798EC3AD" w:rsidR="00CC7492" w:rsidRDefault="00D42E6A" w:rsidP="00F55A6C">
      <w:pPr>
        <w:rPr>
          <w:rFonts w:eastAsia="Arial" w:cs="Arial"/>
        </w:rPr>
      </w:pPr>
      <w:r>
        <w:rPr>
          <w:rFonts w:eastAsia="Arial" w:cs="Arial"/>
        </w:rPr>
        <w:t xml:space="preserve">The </w:t>
      </w:r>
      <w:r w:rsidR="00366D86">
        <w:rPr>
          <w:rFonts w:eastAsia="Arial" w:cs="Arial"/>
        </w:rPr>
        <w:t>i</w:t>
      </w:r>
      <w:r w:rsidR="007873CE">
        <w:rPr>
          <w:rFonts w:eastAsia="Arial" w:cs="Arial"/>
        </w:rPr>
        <w:t xml:space="preserve">ndicator </w:t>
      </w:r>
      <w:r w:rsidR="00366D86">
        <w:rPr>
          <w:rFonts w:eastAsia="Arial" w:cs="Arial"/>
        </w:rPr>
        <w:t>b</w:t>
      </w:r>
      <w:r w:rsidR="007873CE">
        <w:rPr>
          <w:rFonts w:eastAsia="Arial" w:cs="Arial"/>
        </w:rPr>
        <w:t xml:space="preserve">acteria </w:t>
      </w:r>
      <w:r w:rsidR="00174AA9">
        <w:rPr>
          <w:rStyle w:val="normaltextrun"/>
          <w:rFonts w:cs="Arial"/>
          <w:color w:val="000000"/>
          <w:shd w:val="clear" w:color="auto" w:fill="FFFFFF"/>
        </w:rPr>
        <w:t>CalWQA</w:t>
      </w:r>
      <w:r w:rsidR="007873CE">
        <w:rPr>
          <w:rStyle w:val="normaltextrun"/>
          <w:rFonts w:cs="Arial"/>
          <w:color w:val="000000"/>
          <w:shd w:val="clear" w:color="auto" w:fill="FFFFFF"/>
        </w:rPr>
        <w:t xml:space="preserve"> </w:t>
      </w:r>
      <w:r w:rsidR="00935B8D">
        <w:rPr>
          <w:rFonts w:eastAsia="Arial" w:cs="Arial"/>
        </w:rPr>
        <w:t>Decision</w:t>
      </w:r>
      <w:r w:rsidR="007873CE">
        <w:rPr>
          <w:rFonts w:eastAsia="Arial" w:cs="Arial"/>
        </w:rPr>
        <w:t xml:space="preserve">s for the </w:t>
      </w:r>
      <w:r>
        <w:rPr>
          <w:rFonts w:eastAsia="Arial" w:cs="Arial"/>
        </w:rPr>
        <w:t xml:space="preserve">following </w:t>
      </w:r>
      <w:r w:rsidR="00E94ABA">
        <w:rPr>
          <w:rFonts w:eastAsia="Arial" w:cs="Arial"/>
        </w:rPr>
        <w:t xml:space="preserve">waterbody segments </w:t>
      </w:r>
      <w:r>
        <w:rPr>
          <w:rFonts w:eastAsia="Arial" w:cs="Arial"/>
        </w:rPr>
        <w:t xml:space="preserve">now </w:t>
      </w:r>
      <w:r w:rsidR="000C0D26">
        <w:rPr>
          <w:rFonts w:eastAsia="Arial" w:cs="Arial"/>
        </w:rPr>
        <w:t>include</w:t>
      </w:r>
      <w:r>
        <w:rPr>
          <w:rFonts w:eastAsia="Arial" w:cs="Arial"/>
        </w:rPr>
        <w:t xml:space="preserve"> </w:t>
      </w:r>
      <w:r w:rsidR="005649BD">
        <w:rPr>
          <w:rFonts w:eastAsia="Arial" w:cs="Arial"/>
        </w:rPr>
        <w:t xml:space="preserve">the </w:t>
      </w:r>
      <w:r w:rsidR="00244467">
        <w:rPr>
          <w:rFonts w:eastAsia="Arial" w:cs="Arial"/>
        </w:rPr>
        <w:t>missing</w:t>
      </w:r>
      <w:r w:rsidR="000228C9">
        <w:rPr>
          <w:rFonts w:eastAsia="Arial" w:cs="Arial"/>
        </w:rPr>
        <w:t xml:space="preserve"> TMDL titled </w:t>
      </w:r>
      <w:r w:rsidR="003726CA">
        <w:rPr>
          <w:rFonts w:eastAsia="Arial" w:cs="Arial"/>
        </w:rPr>
        <w:t>“</w:t>
      </w:r>
      <w:r w:rsidR="00E57AC0">
        <w:rPr>
          <w:rFonts w:eastAsia="Arial" w:cs="Arial"/>
        </w:rPr>
        <w:t>Revised Total Maximum Daily Loads for Indicator Bacteria, Project I – Twenty Beaches and Creeks in the San Diego Region (Including Tecolote Creek)</w:t>
      </w:r>
      <w:r w:rsidR="00B031ED">
        <w:rPr>
          <w:rFonts w:eastAsia="Arial" w:cs="Arial"/>
        </w:rPr>
        <w:t>,</w:t>
      </w:r>
      <w:r w:rsidR="003726CA">
        <w:rPr>
          <w:rFonts w:eastAsia="Arial" w:cs="Arial"/>
        </w:rPr>
        <w:t>”</w:t>
      </w:r>
      <w:r w:rsidR="00916C89">
        <w:rPr>
          <w:rFonts w:eastAsia="Arial" w:cs="Arial"/>
        </w:rPr>
        <w:t xml:space="preserve"> </w:t>
      </w:r>
      <w:r w:rsidR="00C4501F">
        <w:rPr>
          <w:rFonts w:eastAsia="Arial" w:cs="Arial"/>
        </w:rPr>
        <w:t xml:space="preserve">which was </w:t>
      </w:r>
      <w:r w:rsidR="00916C89">
        <w:rPr>
          <w:rFonts w:eastAsia="Arial" w:cs="Arial"/>
        </w:rPr>
        <w:t xml:space="preserve">approved by </w:t>
      </w:r>
      <w:r w:rsidR="00436CA6" w:rsidRPr="00DA3867">
        <w:rPr>
          <w:rFonts w:eastAsia="Arial" w:cs="Arial"/>
        </w:rPr>
        <w:t>USEPA</w:t>
      </w:r>
      <w:r w:rsidR="00436CA6">
        <w:rPr>
          <w:rFonts w:eastAsia="Arial" w:cs="Arial"/>
        </w:rPr>
        <w:t xml:space="preserve"> on </w:t>
      </w:r>
      <w:r w:rsidR="00DA3867" w:rsidRPr="00DA3867">
        <w:rPr>
          <w:rFonts w:eastAsia="Arial" w:cs="Arial"/>
        </w:rPr>
        <w:t xml:space="preserve">June </w:t>
      </w:r>
      <w:r w:rsidR="00436CA6">
        <w:rPr>
          <w:rFonts w:eastAsia="Arial" w:cs="Arial"/>
        </w:rPr>
        <w:t>22</w:t>
      </w:r>
      <w:r w:rsidR="00DA3867" w:rsidRPr="00DA3867">
        <w:rPr>
          <w:rFonts w:eastAsia="Arial" w:cs="Arial"/>
        </w:rPr>
        <w:t xml:space="preserve">, </w:t>
      </w:r>
      <w:r w:rsidR="00436CA6">
        <w:rPr>
          <w:rFonts w:eastAsia="Arial" w:cs="Arial"/>
        </w:rPr>
        <w:t>2011.</w:t>
      </w:r>
      <w:r w:rsidR="00174AA9">
        <w:rPr>
          <w:rFonts w:eastAsia="Arial" w:cs="Arial"/>
        </w:rPr>
        <w:t xml:space="preserve"> </w:t>
      </w:r>
    </w:p>
    <w:p w14:paraId="37369981" w14:textId="315C3C6F" w:rsidR="003428BC" w:rsidRPr="005A03C5" w:rsidRDefault="00D8175B" w:rsidP="00010F69">
      <w:pPr>
        <w:pStyle w:val="ListParagraph"/>
        <w:numPr>
          <w:ilvl w:val="0"/>
          <w:numId w:val="35"/>
        </w:numPr>
        <w:jc w:val="both"/>
        <w:rPr>
          <w:rFonts w:cs="Arial"/>
          <w:szCs w:val="24"/>
          <w:shd w:val="clear" w:color="auto" w:fill="FFFFFF"/>
        </w:rPr>
      </w:pPr>
      <w:r>
        <w:rPr>
          <w:rFonts w:cs="Arial"/>
          <w:szCs w:val="24"/>
          <w:shd w:val="clear" w:color="auto" w:fill="FFFFFF"/>
        </w:rPr>
        <w:t>Tecolote Creek</w:t>
      </w:r>
      <w:r w:rsidR="00AD4E19">
        <w:rPr>
          <w:rFonts w:cs="Arial"/>
          <w:szCs w:val="24"/>
          <w:shd w:val="clear" w:color="auto" w:fill="FFFFFF"/>
        </w:rPr>
        <w:t>, South Fork</w:t>
      </w:r>
      <w:r w:rsidR="00805AE4">
        <w:rPr>
          <w:rFonts w:cs="Arial"/>
          <w:szCs w:val="24"/>
          <w:shd w:val="clear" w:color="auto" w:fill="FFFFFF"/>
        </w:rPr>
        <w:t xml:space="preserve"> (Decision ID 155017)</w:t>
      </w:r>
    </w:p>
    <w:p w14:paraId="4C9439E3" w14:textId="77777777" w:rsidR="00262B43" w:rsidRDefault="00805AE4" w:rsidP="00010F69">
      <w:pPr>
        <w:pStyle w:val="ListParagraph"/>
        <w:numPr>
          <w:ilvl w:val="0"/>
          <w:numId w:val="35"/>
        </w:numPr>
        <w:jc w:val="both"/>
        <w:rPr>
          <w:rFonts w:cs="Arial"/>
          <w:szCs w:val="24"/>
          <w:shd w:val="clear" w:color="auto" w:fill="FFFFFF"/>
        </w:rPr>
      </w:pPr>
      <w:r w:rsidRPr="004E030F">
        <w:rPr>
          <w:rFonts w:eastAsia="Arial" w:cs="Arial"/>
        </w:rPr>
        <w:t>Pacific Ocean Shoreline, San Diego HSA, at Newport Ave</w:t>
      </w:r>
      <w:r w:rsidRPr="005A03C5">
        <w:rPr>
          <w:rFonts w:cs="Arial"/>
          <w:szCs w:val="24"/>
          <w:shd w:val="clear" w:color="auto" w:fill="FFFFFF"/>
        </w:rPr>
        <w:t xml:space="preserve"> </w:t>
      </w:r>
      <w:r w:rsidR="00262B43">
        <w:rPr>
          <w:rFonts w:cs="Arial"/>
          <w:szCs w:val="24"/>
          <w:shd w:val="clear" w:color="auto" w:fill="FFFFFF"/>
        </w:rPr>
        <w:t>(Decision ID 155018)</w:t>
      </w:r>
    </w:p>
    <w:p w14:paraId="6EF73012" w14:textId="346DC3F6" w:rsidR="000C7BB9" w:rsidRPr="0071117E" w:rsidRDefault="002A4301" w:rsidP="0071117E">
      <w:pPr>
        <w:rPr>
          <w:rFonts w:eastAsia="Arial" w:cs="Arial"/>
        </w:rPr>
      </w:pPr>
      <w:r>
        <w:rPr>
          <w:rFonts w:cs="Arial"/>
          <w:szCs w:val="24"/>
          <w:shd w:val="clear" w:color="auto" w:fill="FFFFFF"/>
        </w:rPr>
        <w:t>Additionally</w:t>
      </w:r>
      <w:r w:rsidR="000C7BB9">
        <w:rPr>
          <w:rFonts w:cs="Arial"/>
          <w:szCs w:val="24"/>
          <w:shd w:val="clear" w:color="auto" w:fill="FFFFFF"/>
        </w:rPr>
        <w:t xml:space="preserve">, </w:t>
      </w:r>
      <w:r>
        <w:rPr>
          <w:rFonts w:cs="Arial"/>
          <w:szCs w:val="24"/>
          <w:shd w:val="clear" w:color="auto" w:fill="FFFFFF"/>
        </w:rPr>
        <w:t xml:space="preserve">the </w:t>
      </w:r>
      <w:r w:rsidR="000523E1">
        <w:rPr>
          <w:rFonts w:cs="Arial"/>
          <w:szCs w:val="24"/>
          <w:shd w:val="clear" w:color="auto" w:fill="FFFFFF"/>
        </w:rPr>
        <w:t xml:space="preserve">indicator bacteria CalWQA </w:t>
      </w:r>
      <w:r w:rsidR="008B0B57">
        <w:rPr>
          <w:rFonts w:cs="Arial"/>
          <w:szCs w:val="24"/>
          <w:shd w:val="clear" w:color="auto" w:fill="FFFFFF"/>
        </w:rPr>
        <w:t xml:space="preserve">Decision for </w:t>
      </w:r>
      <w:r w:rsidR="008B0B57">
        <w:rPr>
          <w:rFonts w:eastAsia="Arial" w:cs="Arial"/>
        </w:rPr>
        <w:t xml:space="preserve">“Pacific Ocean Shoreline, San Joaquin HSA, at Cameo Cove” </w:t>
      </w:r>
      <w:r w:rsidR="00C20A81">
        <w:rPr>
          <w:rFonts w:eastAsia="Arial" w:cs="Arial"/>
        </w:rPr>
        <w:t xml:space="preserve">(Decision ID </w:t>
      </w:r>
      <w:r w:rsidR="00C20A81" w:rsidRPr="00033AF4">
        <w:rPr>
          <w:rFonts w:eastAsia="Arial" w:cs="Arial"/>
        </w:rPr>
        <w:t>155003</w:t>
      </w:r>
      <w:r w:rsidR="00C20A81">
        <w:rPr>
          <w:rFonts w:eastAsia="Arial" w:cs="Arial"/>
        </w:rPr>
        <w:t>)</w:t>
      </w:r>
      <w:r w:rsidR="0070546D">
        <w:rPr>
          <w:rFonts w:eastAsia="Arial" w:cs="Arial"/>
        </w:rPr>
        <w:t xml:space="preserve"> </w:t>
      </w:r>
      <w:r w:rsidR="00C710F0">
        <w:rPr>
          <w:rFonts w:eastAsia="Arial" w:cs="Arial"/>
        </w:rPr>
        <w:t>include</w:t>
      </w:r>
      <w:r w:rsidR="000058EC">
        <w:rPr>
          <w:rFonts w:eastAsia="Arial" w:cs="Arial"/>
        </w:rPr>
        <w:t>s</w:t>
      </w:r>
      <w:r w:rsidR="00C710F0">
        <w:rPr>
          <w:rFonts w:eastAsia="Arial" w:cs="Arial"/>
        </w:rPr>
        <w:t xml:space="preserve"> the TMDL </w:t>
      </w:r>
      <w:r w:rsidR="0071117E">
        <w:rPr>
          <w:rFonts w:eastAsia="Arial" w:cs="Arial"/>
        </w:rPr>
        <w:t>titled “Revised Total Maximum Daily Loads for Indicator Bacteria, Project I – Twenty Beaches and Creeks in the San Diego Region (Including Tecolote Creek)</w:t>
      </w:r>
      <w:r w:rsidR="005235BA">
        <w:rPr>
          <w:rFonts w:eastAsia="Arial" w:cs="Arial"/>
        </w:rPr>
        <w:t>.</w:t>
      </w:r>
      <w:r w:rsidR="0071117E">
        <w:rPr>
          <w:rFonts w:eastAsia="Arial" w:cs="Arial"/>
        </w:rPr>
        <w:t>”</w:t>
      </w:r>
    </w:p>
    <w:p w14:paraId="5433D7CA" w14:textId="054E1041" w:rsidR="00884D5F" w:rsidRPr="00A031A8" w:rsidRDefault="00345644" w:rsidP="007F2FD5">
      <w:pPr>
        <w:rPr>
          <w:rFonts w:eastAsia="Arial" w:cs="Arial"/>
        </w:rPr>
      </w:pPr>
      <w:r>
        <w:t xml:space="preserve">One </w:t>
      </w:r>
      <w:r w:rsidR="00360E5B">
        <w:t xml:space="preserve">CalWQA </w:t>
      </w:r>
      <w:r w:rsidR="0025036A">
        <w:t>D</w:t>
      </w:r>
      <w:r w:rsidR="00360E5B">
        <w:t xml:space="preserve">ecision </w:t>
      </w:r>
      <w:r w:rsidR="00884D5F">
        <w:t xml:space="preserve">for Rainbow Creek </w:t>
      </w:r>
      <w:r w:rsidR="00CE4C35">
        <w:t xml:space="preserve">(Decision ID 164236) </w:t>
      </w:r>
      <w:r w:rsidR="00360E5B">
        <w:t xml:space="preserve">was </w:t>
      </w:r>
      <w:r w:rsidR="006A1746">
        <w:t>revised</w:t>
      </w:r>
      <w:r>
        <w:t xml:space="preserve"> </w:t>
      </w:r>
      <w:r w:rsidR="00884D5F">
        <w:t>to include TMDL in</w:t>
      </w:r>
      <w:r w:rsidR="00167B9F">
        <w:t xml:space="preserve">formation that </w:t>
      </w:r>
      <w:r w:rsidR="0068405E">
        <w:t xml:space="preserve">was </w:t>
      </w:r>
      <w:r w:rsidR="00650969">
        <w:t xml:space="preserve">missing from </w:t>
      </w:r>
      <w:r w:rsidR="0025036A">
        <w:t>CalWQA</w:t>
      </w:r>
      <w:r w:rsidR="00650969">
        <w:t xml:space="preserve"> </w:t>
      </w:r>
      <w:r w:rsidR="000E235E">
        <w:t xml:space="preserve">Decisions </w:t>
      </w:r>
      <w:r w:rsidR="001D71CF">
        <w:t xml:space="preserve">generated </w:t>
      </w:r>
      <w:r w:rsidR="008D715B">
        <w:t>during</w:t>
      </w:r>
      <w:r w:rsidR="00472E0B">
        <w:t xml:space="preserve"> </w:t>
      </w:r>
      <w:r w:rsidR="001D71CF">
        <w:t>previous</w:t>
      </w:r>
      <w:r w:rsidR="00472E0B">
        <w:t xml:space="preserve"> </w:t>
      </w:r>
      <w:r w:rsidR="008D715B">
        <w:t xml:space="preserve">listing cycles. </w:t>
      </w:r>
      <w:r w:rsidR="008D715B">
        <w:rPr>
          <w:rFonts w:eastAsia="Arial" w:cs="Arial"/>
        </w:rPr>
        <w:t xml:space="preserve">The </w:t>
      </w:r>
      <w:r w:rsidR="003B1800">
        <w:rPr>
          <w:rFonts w:eastAsia="Arial" w:cs="Arial"/>
        </w:rPr>
        <w:t>decision</w:t>
      </w:r>
      <w:r w:rsidR="008D715B">
        <w:rPr>
          <w:rFonts w:eastAsia="Arial" w:cs="Arial"/>
        </w:rPr>
        <w:t xml:space="preserve"> </w:t>
      </w:r>
      <w:r w:rsidR="00CE4C35">
        <w:rPr>
          <w:rFonts w:eastAsia="Arial" w:cs="Arial"/>
        </w:rPr>
        <w:t>remains a “List</w:t>
      </w:r>
      <w:r w:rsidR="00F2561A">
        <w:rPr>
          <w:rFonts w:eastAsia="Arial" w:cs="Arial"/>
        </w:rPr>
        <w:t>,</w:t>
      </w:r>
      <w:r w:rsidR="00CE4C35">
        <w:rPr>
          <w:rFonts w:eastAsia="Arial" w:cs="Arial"/>
        </w:rPr>
        <w:t>”</w:t>
      </w:r>
      <w:r w:rsidR="008D715B">
        <w:rPr>
          <w:rFonts w:eastAsia="Arial" w:cs="Arial"/>
        </w:rPr>
        <w:t xml:space="preserve"> as no new data were assessed.</w:t>
      </w:r>
      <w:r w:rsidR="001B7507">
        <w:rPr>
          <w:rFonts w:eastAsia="Arial" w:cs="Arial"/>
        </w:rPr>
        <w:t xml:space="preserve"> The</w:t>
      </w:r>
      <w:r w:rsidR="009922BD">
        <w:rPr>
          <w:rFonts w:eastAsia="Arial" w:cs="Arial"/>
        </w:rPr>
        <w:t xml:space="preserve"> Rainbow Creek </w:t>
      </w:r>
      <w:r w:rsidR="00186B7A">
        <w:rPr>
          <w:rFonts w:eastAsia="Arial" w:cs="Arial"/>
        </w:rPr>
        <w:t>n</w:t>
      </w:r>
      <w:r w:rsidR="00DD462C">
        <w:rPr>
          <w:rFonts w:eastAsia="Arial" w:cs="Arial"/>
        </w:rPr>
        <w:t>itrate/</w:t>
      </w:r>
      <w:r w:rsidR="00186B7A">
        <w:rPr>
          <w:rFonts w:eastAsia="Arial" w:cs="Arial"/>
        </w:rPr>
        <w:t>n</w:t>
      </w:r>
      <w:r w:rsidR="00DD462C">
        <w:rPr>
          <w:rFonts w:eastAsia="Arial" w:cs="Arial"/>
        </w:rPr>
        <w:t>itrite</w:t>
      </w:r>
      <w:r w:rsidR="001B7507">
        <w:rPr>
          <w:rFonts w:eastAsia="Arial" w:cs="Arial"/>
        </w:rPr>
        <w:t xml:space="preserve"> CalWQA Decision now include</w:t>
      </w:r>
      <w:r w:rsidR="00DD462C">
        <w:rPr>
          <w:rFonts w:eastAsia="Arial" w:cs="Arial"/>
        </w:rPr>
        <w:t>s</w:t>
      </w:r>
      <w:r w:rsidR="001B7507">
        <w:rPr>
          <w:rFonts w:eastAsia="Arial" w:cs="Arial"/>
        </w:rPr>
        <w:t xml:space="preserve"> the missing TMDL titled “</w:t>
      </w:r>
      <w:r w:rsidR="00522540">
        <w:rPr>
          <w:rFonts w:eastAsia="Arial" w:cs="Arial"/>
        </w:rPr>
        <w:t>Rainbow Creek</w:t>
      </w:r>
      <w:r w:rsidR="001B7507">
        <w:rPr>
          <w:rFonts w:eastAsia="Arial" w:cs="Arial"/>
        </w:rPr>
        <w:t xml:space="preserve"> </w:t>
      </w:r>
      <w:r w:rsidR="00522540">
        <w:rPr>
          <w:rFonts w:eastAsia="Arial" w:cs="Arial"/>
        </w:rPr>
        <w:t>Nitrogen</w:t>
      </w:r>
      <w:r w:rsidR="001B7507">
        <w:rPr>
          <w:rFonts w:eastAsia="Arial" w:cs="Arial"/>
        </w:rPr>
        <w:t xml:space="preserve"> and </w:t>
      </w:r>
      <w:r w:rsidR="00522540">
        <w:rPr>
          <w:rFonts w:eastAsia="Arial" w:cs="Arial"/>
        </w:rPr>
        <w:t>Phosphorus TMDLs</w:t>
      </w:r>
      <w:r w:rsidR="00F2561A">
        <w:rPr>
          <w:rFonts w:eastAsia="Arial" w:cs="Arial"/>
        </w:rPr>
        <w:t>,</w:t>
      </w:r>
      <w:r w:rsidR="001B7507">
        <w:rPr>
          <w:rFonts w:eastAsia="Arial" w:cs="Arial"/>
        </w:rPr>
        <w:t xml:space="preserve">” which was approved by </w:t>
      </w:r>
      <w:r w:rsidR="001B7507" w:rsidRPr="00DA3867">
        <w:rPr>
          <w:rFonts w:eastAsia="Arial" w:cs="Arial"/>
        </w:rPr>
        <w:t>USEPA</w:t>
      </w:r>
      <w:r w:rsidR="001B7507">
        <w:rPr>
          <w:rFonts w:eastAsia="Arial" w:cs="Arial"/>
        </w:rPr>
        <w:t xml:space="preserve"> on </w:t>
      </w:r>
      <w:r w:rsidR="005421C2">
        <w:rPr>
          <w:rFonts w:eastAsia="Arial" w:cs="Arial"/>
        </w:rPr>
        <w:t>March</w:t>
      </w:r>
      <w:r w:rsidR="001B7507" w:rsidRPr="00DA3867">
        <w:rPr>
          <w:rFonts w:eastAsia="Arial" w:cs="Arial"/>
        </w:rPr>
        <w:t xml:space="preserve"> </w:t>
      </w:r>
      <w:r w:rsidR="001B7507">
        <w:rPr>
          <w:rFonts w:eastAsia="Arial" w:cs="Arial"/>
        </w:rPr>
        <w:t>22</w:t>
      </w:r>
      <w:r w:rsidR="001B7507" w:rsidRPr="00DA3867">
        <w:rPr>
          <w:rFonts w:eastAsia="Arial" w:cs="Arial"/>
        </w:rPr>
        <w:t xml:space="preserve">, </w:t>
      </w:r>
      <w:r w:rsidR="001B7507">
        <w:rPr>
          <w:rFonts w:eastAsia="Arial" w:cs="Arial"/>
        </w:rPr>
        <w:t>20</w:t>
      </w:r>
      <w:r w:rsidR="005421C2">
        <w:rPr>
          <w:rFonts w:eastAsia="Arial" w:cs="Arial"/>
        </w:rPr>
        <w:t>06</w:t>
      </w:r>
      <w:r w:rsidR="001B7507">
        <w:rPr>
          <w:rFonts w:eastAsia="Arial" w:cs="Arial"/>
        </w:rPr>
        <w:t xml:space="preserve">. </w:t>
      </w:r>
    </w:p>
    <w:p w14:paraId="699D2172" w14:textId="5FBF4181" w:rsidR="00F43108" w:rsidRDefault="006957B6" w:rsidP="00A85B2D">
      <w:r>
        <w:t>One historic</w:t>
      </w:r>
      <w:r w:rsidR="00D61E99">
        <w:t>al</w:t>
      </w:r>
      <w:r>
        <w:t xml:space="preserve"> </w:t>
      </w:r>
      <w:r w:rsidR="563D0726">
        <w:t>pre-2006</w:t>
      </w:r>
      <w:r>
        <w:t xml:space="preserve"> CalWQA decision</w:t>
      </w:r>
      <w:r w:rsidR="00B47E02">
        <w:t xml:space="preserve"> (</w:t>
      </w:r>
      <w:r w:rsidR="00B5142E">
        <w:t xml:space="preserve">2018 </w:t>
      </w:r>
      <w:r w:rsidR="00B47E02">
        <w:t>Decision ID 77421)</w:t>
      </w:r>
      <w:r w:rsidR="007F36D2">
        <w:t>, w</w:t>
      </w:r>
      <w:r w:rsidR="2AAA7F83">
        <w:t>hich lacks</w:t>
      </w:r>
      <w:r w:rsidR="007F36D2">
        <w:t xml:space="preserve"> </w:t>
      </w:r>
      <w:r w:rsidR="00866636">
        <w:t>supporting data,</w:t>
      </w:r>
      <w:r>
        <w:t xml:space="preserve"> was retired</w:t>
      </w:r>
      <w:r w:rsidR="007F2FD5">
        <w:t xml:space="preserve"> </w:t>
      </w:r>
      <w:r w:rsidR="000213B0">
        <w:t xml:space="preserve">for </w:t>
      </w:r>
      <w:r w:rsidR="00525481">
        <w:t xml:space="preserve">“trace elements” </w:t>
      </w:r>
      <w:r w:rsidR="009850F6">
        <w:t xml:space="preserve">in </w:t>
      </w:r>
      <w:r w:rsidR="000213B0">
        <w:t>the Tijuana River</w:t>
      </w:r>
      <w:r w:rsidR="009850F6">
        <w:t>.</w:t>
      </w:r>
      <w:r w:rsidR="000D749E">
        <w:t xml:space="preserve"> </w:t>
      </w:r>
      <w:r w:rsidR="00860CE2">
        <w:t>It was removed</w:t>
      </w:r>
      <w:r w:rsidR="00BC1AF4">
        <w:t xml:space="preserve"> due to confusion it would cause </w:t>
      </w:r>
      <w:r w:rsidR="007E09E6">
        <w:t>for permittees</w:t>
      </w:r>
      <w:r w:rsidR="007F2FD5">
        <w:t xml:space="preserve"> </w:t>
      </w:r>
      <w:r w:rsidR="00254223">
        <w:t xml:space="preserve">required </w:t>
      </w:r>
      <w:r w:rsidR="006F548D">
        <w:t xml:space="preserve">to </w:t>
      </w:r>
      <w:r w:rsidR="006A2C9D">
        <w:t xml:space="preserve">monitor for </w:t>
      </w:r>
      <w:r w:rsidR="00F62AB0">
        <w:t>303(d) listed pollutants</w:t>
      </w:r>
      <w:r w:rsidR="00EB72D9">
        <w:t xml:space="preserve">, and more importantly, </w:t>
      </w:r>
      <w:r w:rsidR="0086142A">
        <w:t xml:space="preserve">much more informative </w:t>
      </w:r>
      <w:r w:rsidR="5677CAED">
        <w:t>pollutant-specific</w:t>
      </w:r>
      <w:r w:rsidR="0086142A">
        <w:t xml:space="preserve"> data appears in other decisions for the Tijuana River since that </w:t>
      </w:r>
      <w:r w:rsidR="00524B30">
        <w:t>historic</w:t>
      </w:r>
      <w:r w:rsidR="00D61E99">
        <w:t>al</w:t>
      </w:r>
      <w:r w:rsidR="00524B30">
        <w:t xml:space="preserve"> 2006 </w:t>
      </w:r>
      <w:r w:rsidR="006D7655">
        <w:t xml:space="preserve">California </w:t>
      </w:r>
      <w:r w:rsidR="00524B30">
        <w:t>I</w:t>
      </w:r>
      <w:r w:rsidR="006D7655">
        <w:t xml:space="preserve">ntegrated </w:t>
      </w:r>
      <w:r w:rsidR="00524B30">
        <w:t>R</w:t>
      </w:r>
      <w:r w:rsidR="006D7655">
        <w:t>eport</w:t>
      </w:r>
      <w:r w:rsidR="41ABA03C">
        <w:t>, including for pollutants considered to be “trace elements</w:t>
      </w:r>
      <w:r w:rsidR="007F2FD5">
        <w:t>.</w:t>
      </w:r>
      <w:r w:rsidR="1AD874A3">
        <w:t>”</w:t>
      </w:r>
    </w:p>
    <w:p w14:paraId="6DBA9EDC" w14:textId="757DCDBE" w:rsidR="002E0441" w:rsidRDefault="4B8BC523" w:rsidP="0027502B">
      <w:pPr>
        <w:pStyle w:val="Heading2"/>
      </w:pPr>
      <w:bookmarkStart w:id="216" w:name="_Toc189048649"/>
      <w:r>
        <w:t>San Diego Region</w:t>
      </w:r>
      <w:r w:rsidR="009F78CD">
        <w:t>al Water Board</w:t>
      </w:r>
      <w:r>
        <w:t xml:space="preserve"> 303(d) </w:t>
      </w:r>
      <w:r w:rsidR="0044423B">
        <w:t>“</w:t>
      </w:r>
      <w:r w:rsidR="00EC5B8F">
        <w:t xml:space="preserve">List” and </w:t>
      </w:r>
      <w:r w:rsidR="0044423B">
        <w:t>“Delist” Decisions</w:t>
      </w:r>
      <w:bookmarkEnd w:id="216"/>
      <w:r>
        <w:t xml:space="preserve"> </w:t>
      </w:r>
    </w:p>
    <w:p w14:paraId="3F233EC8" w14:textId="2490A1D2" w:rsidR="00984B4C" w:rsidRDefault="00984B4C" w:rsidP="00984B4C">
      <w:r>
        <w:t xml:space="preserve">There is </w:t>
      </w:r>
      <w:r>
        <w:rPr>
          <w:rFonts w:cs="Arial"/>
        </w:rPr>
        <w:t>1</w:t>
      </w:r>
      <w:r>
        <w:t xml:space="preserve"> new “List” Decision for a waterbody-pollutant combination in the San Diego Region and </w:t>
      </w:r>
      <w:r>
        <w:rPr>
          <w:rFonts w:cs="Arial"/>
        </w:rPr>
        <w:t>2</w:t>
      </w:r>
      <w:r>
        <w:t xml:space="preserve"> “Delist” Decisions for waterbody-pollutant combinations. If approved by the USEPA as recommended, the San Diego Region’s 303(d) list would be revised to have a total of </w:t>
      </w:r>
      <w:r w:rsidR="00E966A9">
        <w:rPr>
          <w:rFonts w:cs="Arial"/>
        </w:rPr>
        <w:t>8</w:t>
      </w:r>
      <w:r w:rsidR="0048713A">
        <w:rPr>
          <w:rFonts w:cs="Arial"/>
        </w:rPr>
        <w:t>38</w:t>
      </w:r>
      <w:r>
        <w:t xml:space="preserve"> waterbody-pollutant combinations on the 303(d) list. Tables 9-1 and 9-2 below summarize new “List” and “Delist” Decisions by pollutant category for the 2026 California Integrated Report. A list of individual Decisions can be found in Appendix A: 2026 303(d) List of Impaired Waters. </w:t>
      </w:r>
    </w:p>
    <w:p w14:paraId="31D1688C" w14:textId="4B9ACB02" w:rsidR="00EC5B8F" w:rsidRDefault="00EC5B8F" w:rsidP="00EC5B8F">
      <w:pPr>
        <w:pStyle w:val="Caption"/>
        <w:keepNext/>
        <w:spacing w:before="360"/>
      </w:pPr>
      <w:r>
        <w:t>Table 9</w:t>
      </w:r>
      <w:r>
        <w:noBreakHyphen/>
        <w:t xml:space="preserve">2: </w:t>
      </w:r>
      <w:r w:rsidRPr="00576AD7">
        <w:t xml:space="preserve">Summary of </w:t>
      </w:r>
      <w:r>
        <w:t>San Diego</w:t>
      </w:r>
      <w:r w:rsidRPr="00576AD7">
        <w:t xml:space="preserve"> </w:t>
      </w:r>
      <w:r>
        <w:t xml:space="preserve">Regional Water Board </w:t>
      </w:r>
      <w:r w:rsidRPr="00576AD7">
        <w:t>Waterbody</w:t>
      </w:r>
      <w:r>
        <w:t>-</w:t>
      </w:r>
      <w:r w:rsidRPr="00576AD7">
        <w:t xml:space="preserve">Pollutant Combination </w:t>
      </w:r>
      <w:r>
        <w:t>“L</w:t>
      </w:r>
      <w:r w:rsidRPr="00576AD7">
        <w:t>ist</w:t>
      </w:r>
      <w:r>
        <w:t>”</w:t>
      </w:r>
      <w:r w:rsidRPr="00576AD7">
        <w:t xml:space="preserve"> </w:t>
      </w:r>
      <w:r>
        <w:t>Decisions</w:t>
      </w:r>
      <w:r w:rsidRPr="00576AD7">
        <w:t xml:space="preserve"> by Pollutant Category</w:t>
      </w:r>
    </w:p>
    <w:tbl>
      <w:tblPr>
        <w:tblStyle w:val="AccblTable"/>
        <w:tblW w:w="9648" w:type="dxa"/>
        <w:tblLayout w:type="fixed"/>
        <w:tblCellMar>
          <w:top w:w="115" w:type="dxa"/>
          <w:bottom w:w="115" w:type="dxa"/>
        </w:tblCellMar>
        <w:tblLook w:val="04A0" w:firstRow="1" w:lastRow="0" w:firstColumn="1" w:lastColumn="0" w:noHBand="0" w:noVBand="1"/>
        <w:tblCaption w:val="Summary of Colorado River Basin Regional Water Board Waterbody-Pollutant Combination &quot;List&quot; Decisions by Pollutant Category"/>
        <w:tblDescription w:val="This table lists new recommended 303(d) listings for pollutants in the Colorado River Basin Region.  It lists the waterbody pollutant category, the number of new list decisions. the number of new list decisions change from previous listing cycle, and the total. "/>
      </w:tblPr>
      <w:tblGrid>
        <w:gridCol w:w="2880"/>
        <w:gridCol w:w="2664"/>
        <w:gridCol w:w="2664"/>
        <w:gridCol w:w="1440"/>
      </w:tblGrid>
      <w:tr w:rsidR="00EC5B8F" w14:paraId="3DEDE15F" w14:textId="77777777">
        <w:trPr>
          <w:cnfStyle w:val="100000000000" w:firstRow="1" w:lastRow="0" w:firstColumn="0" w:lastColumn="0" w:oddVBand="0" w:evenVBand="0" w:oddHBand="0" w:evenHBand="0" w:firstRowFirstColumn="0" w:firstRowLastColumn="0" w:lastRowFirstColumn="0" w:lastRowLastColumn="0"/>
        </w:trPr>
        <w:tc>
          <w:tcPr>
            <w:tcW w:w="2880" w:type="dxa"/>
          </w:tcPr>
          <w:p w14:paraId="7BFA7F31" w14:textId="77777777" w:rsidR="00EC5B8F" w:rsidRDefault="00EC5B8F">
            <w:pPr>
              <w:spacing w:after="0"/>
            </w:pPr>
            <w:r>
              <w:t>Pollutant Category</w:t>
            </w:r>
          </w:p>
        </w:tc>
        <w:tc>
          <w:tcPr>
            <w:tcW w:w="2664" w:type="dxa"/>
          </w:tcPr>
          <w:p w14:paraId="53EE7622" w14:textId="77777777" w:rsidR="00EC5B8F" w:rsidRDefault="00EC5B8F">
            <w:pPr>
              <w:spacing w:after="0"/>
            </w:pPr>
            <w:r>
              <w:t>Number of New “List” Decisions</w:t>
            </w:r>
            <w:r>
              <w:rPr>
                <w:rStyle w:val="FootnoteReference"/>
              </w:rPr>
              <w:footnoteReference w:id="24"/>
            </w:r>
            <w:r>
              <w:t xml:space="preserve"> </w:t>
            </w:r>
          </w:p>
        </w:tc>
        <w:tc>
          <w:tcPr>
            <w:tcW w:w="2664" w:type="dxa"/>
          </w:tcPr>
          <w:p w14:paraId="7E36CF96" w14:textId="77777777" w:rsidR="00EC5B8F" w:rsidRDefault="00EC5B8F">
            <w:pPr>
              <w:spacing w:after="0"/>
            </w:pPr>
            <w:r>
              <w:t>Number of New “List” Decisions Changed from Previous Listing Cycle</w:t>
            </w:r>
            <w:r>
              <w:rPr>
                <w:rStyle w:val="FootnoteReference"/>
              </w:rPr>
              <w:footnoteReference w:id="25"/>
            </w:r>
          </w:p>
        </w:tc>
        <w:tc>
          <w:tcPr>
            <w:tcW w:w="1440" w:type="dxa"/>
          </w:tcPr>
          <w:p w14:paraId="17C6BA83" w14:textId="77777777" w:rsidR="00EC5B8F" w:rsidRDefault="00EC5B8F">
            <w:pPr>
              <w:spacing w:after="0"/>
            </w:pPr>
            <w:r>
              <w:t xml:space="preserve">Total </w:t>
            </w:r>
          </w:p>
        </w:tc>
      </w:tr>
      <w:tr w:rsidR="00EC5B8F" w14:paraId="58A77614" w14:textId="77777777">
        <w:trPr>
          <w:cantSplit w:val="0"/>
        </w:trPr>
        <w:tc>
          <w:tcPr>
            <w:tcW w:w="2880" w:type="dxa"/>
            <w:vAlign w:val="top"/>
          </w:tcPr>
          <w:p w14:paraId="11785D52" w14:textId="77777777" w:rsidR="00EC5B8F" w:rsidRPr="00E702F0" w:rsidRDefault="00EC5B8F">
            <w:pPr>
              <w:spacing w:after="0"/>
              <w:rPr>
                <w:rFonts w:cs="Arial"/>
                <w:szCs w:val="24"/>
              </w:rPr>
            </w:pPr>
            <w:r>
              <w:t>Nutrients (including dissolved oxygen)</w:t>
            </w:r>
          </w:p>
        </w:tc>
        <w:tc>
          <w:tcPr>
            <w:tcW w:w="2664" w:type="dxa"/>
          </w:tcPr>
          <w:p w14:paraId="51A0CA63" w14:textId="45EB6FDD" w:rsidR="00EC5B8F" w:rsidRPr="00AF364F" w:rsidRDefault="00C64E37">
            <w:pPr>
              <w:spacing w:after="0"/>
              <w:jc w:val="center"/>
              <w:rPr>
                <w:rFonts w:cs="Arial"/>
                <w:szCs w:val="24"/>
              </w:rPr>
            </w:pPr>
            <w:r>
              <w:rPr>
                <w:rFonts w:cs="Arial"/>
                <w:szCs w:val="24"/>
              </w:rPr>
              <w:t>1</w:t>
            </w:r>
          </w:p>
        </w:tc>
        <w:tc>
          <w:tcPr>
            <w:tcW w:w="2664" w:type="dxa"/>
          </w:tcPr>
          <w:p w14:paraId="20810944" w14:textId="77777777" w:rsidR="00EC5B8F" w:rsidRPr="00AF364F" w:rsidRDefault="00EC5B8F">
            <w:pPr>
              <w:spacing w:after="0"/>
              <w:jc w:val="center"/>
              <w:rPr>
                <w:rFonts w:cs="Arial"/>
                <w:szCs w:val="24"/>
              </w:rPr>
            </w:pPr>
            <w:r>
              <w:rPr>
                <w:rFonts w:cs="Arial"/>
                <w:szCs w:val="24"/>
              </w:rPr>
              <w:t>0</w:t>
            </w:r>
          </w:p>
        </w:tc>
        <w:tc>
          <w:tcPr>
            <w:tcW w:w="1440" w:type="dxa"/>
          </w:tcPr>
          <w:p w14:paraId="114D2C41" w14:textId="139C9992" w:rsidR="00EC5B8F" w:rsidRPr="00AF364F" w:rsidRDefault="00371917">
            <w:pPr>
              <w:spacing w:after="0"/>
              <w:jc w:val="center"/>
              <w:rPr>
                <w:rFonts w:cs="Arial"/>
                <w:szCs w:val="24"/>
              </w:rPr>
            </w:pPr>
            <w:r>
              <w:rPr>
                <w:rFonts w:cs="Arial"/>
                <w:szCs w:val="24"/>
              </w:rPr>
              <w:t>1</w:t>
            </w:r>
          </w:p>
        </w:tc>
      </w:tr>
      <w:tr w:rsidR="00EC5B8F" w14:paraId="544B9128" w14:textId="77777777">
        <w:trPr>
          <w:cantSplit w:val="0"/>
        </w:trPr>
        <w:tc>
          <w:tcPr>
            <w:tcW w:w="2880" w:type="dxa"/>
            <w:vAlign w:val="top"/>
          </w:tcPr>
          <w:p w14:paraId="445B1BC2" w14:textId="77777777" w:rsidR="00EC5B8F" w:rsidRPr="00324151" w:rsidRDefault="00EC5B8F">
            <w:pPr>
              <w:spacing w:after="0"/>
              <w:rPr>
                <w:b/>
                <w:bCs/>
              </w:rPr>
            </w:pPr>
            <w:r w:rsidRPr="00324151">
              <w:rPr>
                <w:b/>
                <w:bCs/>
              </w:rPr>
              <w:t>Totals</w:t>
            </w:r>
          </w:p>
        </w:tc>
        <w:tc>
          <w:tcPr>
            <w:tcW w:w="2664" w:type="dxa"/>
          </w:tcPr>
          <w:p w14:paraId="7644B16C" w14:textId="790179C6" w:rsidR="00EC5B8F" w:rsidRPr="00324151" w:rsidRDefault="00371917">
            <w:pPr>
              <w:spacing w:after="0"/>
              <w:jc w:val="center"/>
              <w:rPr>
                <w:rFonts w:cs="Arial"/>
                <w:b/>
                <w:bCs/>
                <w:szCs w:val="24"/>
              </w:rPr>
            </w:pPr>
            <w:r>
              <w:rPr>
                <w:rFonts w:cs="Arial"/>
                <w:b/>
                <w:bCs/>
                <w:szCs w:val="24"/>
              </w:rPr>
              <w:t>1</w:t>
            </w:r>
          </w:p>
        </w:tc>
        <w:tc>
          <w:tcPr>
            <w:tcW w:w="2664" w:type="dxa"/>
          </w:tcPr>
          <w:p w14:paraId="4457752B" w14:textId="611369EE" w:rsidR="00EC5B8F" w:rsidRPr="00324151" w:rsidRDefault="00371917">
            <w:pPr>
              <w:spacing w:after="0"/>
              <w:jc w:val="center"/>
              <w:rPr>
                <w:rFonts w:cs="Arial"/>
                <w:b/>
                <w:bCs/>
                <w:szCs w:val="24"/>
              </w:rPr>
            </w:pPr>
            <w:r>
              <w:rPr>
                <w:rFonts w:cs="Arial"/>
                <w:b/>
                <w:bCs/>
                <w:szCs w:val="24"/>
              </w:rPr>
              <w:t>0</w:t>
            </w:r>
          </w:p>
        </w:tc>
        <w:tc>
          <w:tcPr>
            <w:tcW w:w="1440" w:type="dxa"/>
          </w:tcPr>
          <w:p w14:paraId="6A36D30D" w14:textId="27627F4D" w:rsidR="00EC5B8F" w:rsidRPr="00324151" w:rsidRDefault="00371917">
            <w:pPr>
              <w:spacing w:after="0"/>
              <w:jc w:val="center"/>
              <w:rPr>
                <w:rFonts w:cs="Arial"/>
                <w:b/>
                <w:bCs/>
                <w:szCs w:val="24"/>
              </w:rPr>
            </w:pPr>
            <w:r>
              <w:rPr>
                <w:rFonts w:cs="Arial"/>
                <w:b/>
                <w:bCs/>
                <w:szCs w:val="24"/>
              </w:rPr>
              <w:t>1</w:t>
            </w:r>
          </w:p>
        </w:tc>
      </w:tr>
    </w:tbl>
    <w:p w14:paraId="5647F286" w14:textId="55E2F068" w:rsidR="00045030" w:rsidRDefault="00045030" w:rsidP="00045030">
      <w:pPr>
        <w:pStyle w:val="Caption"/>
        <w:keepNext/>
        <w:spacing w:before="360"/>
      </w:pPr>
      <w:bookmarkStart w:id="217" w:name="_Hlk125100553"/>
      <w:r>
        <w:t xml:space="preserve">Table </w:t>
      </w:r>
      <w:r w:rsidR="00AB32F5">
        <w:t>9</w:t>
      </w:r>
      <w:r>
        <w:noBreakHyphen/>
      </w:r>
      <w:r w:rsidR="005F3155">
        <w:t>2</w:t>
      </w:r>
      <w:r>
        <w:t xml:space="preserve">: </w:t>
      </w:r>
      <w:r w:rsidRPr="00576AD7">
        <w:t xml:space="preserve">Summary of </w:t>
      </w:r>
      <w:r>
        <w:t>San Diego</w:t>
      </w:r>
      <w:r w:rsidRPr="00576AD7">
        <w:t xml:space="preserve"> </w:t>
      </w:r>
      <w:r>
        <w:t>Region</w:t>
      </w:r>
      <w:r w:rsidR="00E37CDD">
        <w:t>al Water Board</w:t>
      </w:r>
      <w:r>
        <w:t xml:space="preserve"> </w:t>
      </w:r>
      <w:r w:rsidRPr="00576AD7">
        <w:t>Waterbody</w:t>
      </w:r>
      <w:r w:rsidR="00F1464E">
        <w:t>-</w:t>
      </w:r>
      <w:r w:rsidRPr="00576AD7">
        <w:t xml:space="preserve">Pollutant Combination </w:t>
      </w:r>
      <w:r w:rsidR="00D8764F">
        <w:t>“</w:t>
      </w:r>
      <w:r w:rsidRPr="00576AD7">
        <w:t>Delist</w:t>
      </w:r>
      <w:r w:rsidR="00D8764F">
        <w:t>”</w:t>
      </w:r>
      <w:r w:rsidRPr="00576AD7">
        <w:t xml:space="preserve"> </w:t>
      </w:r>
      <w:r w:rsidR="00DE1C86">
        <w:t>Decisions</w:t>
      </w:r>
      <w:r w:rsidR="00DE1C86" w:rsidRPr="00576AD7">
        <w:t xml:space="preserve"> </w:t>
      </w:r>
      <w:r w:rsidRPr="00576AD7">
        <w:t>by Pollutant Category</w:t>
      </w:r>
    </w:p>
    <w:tbl>
      <w:tblPr>
        <w:tblStyle w:val="AccblTable"/>
        <w:tblW w:w="9653" w:type="dxa"/>
        <w:tblCellMar>
          <w:top w:w="115" w:type="dxa"/>
          <w:bottom w:w="115" w:type="dxa"/>
        </w:tblCellMar>
        <w:tblLook w:val="04A0" w:firstRow="1" w:lastRow="0" w:firstColumn="1" w:lastColumn="0" w:noHBand="0" w:noVBand="1"/>
        <w:tblCaption w:val="Summary of San Diego Region Waterbody Pollutant Combination &quot;Delist&quot; Decisions by Pollutant Category"/>
        <w:tblDescription w:val="This table lists new recommended 303(d) delistings for pollutants in the San Diego Region.  It lists the waterbody pollutant category, the number of delistings due to water quality attainment, the number of delisting due to a change in assessment, and the totals."/>
      </w:tblPr>
      <w:tblGrid>
        <w:gridCol w:w="2885"/>
        <w:gridCol w:w="2664"/>
        <w:gridCol w:w="2664"/>
        <w:gridCol w:w="1440"/>
      </w:tblGrid>
      <w:tr w:rsidR="00181469" w14:paraId="01C9F7FF" w14:textId="77777777">
        <w:trPr>
          <w:cnfStyle w:val="100000000000" w:firstRow="1" w:lastRow="0" w:firstColumn="0" w:lastColumn="0" w:oddVBand="0" w:evenVBand="0" w:oddHBand="0" w:evenHBand="0" w:firstRowFirstColumn="0" w:firstRowLastColumn="0" w:lastRowFirstColumn="0" w:lastRowLastColumn="0"/>
          <w:trHeight w:val="739"/>
        </w:trPr>
        <w:tc>
          <w:tcPr>
            <w:tcW w:w="2885" w:type="dxa"/>
          </w:tcPr>
          <w:bookmarkEnd w:id="217"/>
          <w:p w14:paraId="212FDC1E" w14:textId="77777777" w:rsidR="00045030" w:rsidRDefault="00045030">
            <w:pPr>
              <w:spacing w:after="0"/>
            </w:pPr>
            <w:r>
              <w:t>Pollutant Category</w:t>
            </w:r>
          </w:p>
        </w:tc>
        <w:tc>
          <w:tcPr>
            <w:tcW w:w="2664" w:type="dxa"/>
          </w:tcPr>
          <w:p w14:paraId="441C31C8" w14:textId="7F6AFF1B" w:rsidR="00045030" w:rsidRDefault="003B2B57">
            <w:pPr>
              <w:spacing w:after="0"/>
            </w:pPr>
            <w:r>
              <w:t>“Delist” Decisions</w:t>
            </w:r>
            <w:r w:rsidR="00045030">
              <w:t xml:space="preserve"> Due to </w:t>
            </w:r>
            <w:r w:rsidR="00045030" w:rsidRPr="006B6588">
              <w:t xml:space="preserve">Change in </w:t>
            </w:r>
            <w:r w:rsidR="00045030">
              <w:t>Water Quality</w:t>
            </w:r>
          </w:p>
        </w:tc>
        <w:tc>
          <w:tcPr>
            <w:tcW w:w="2664" w:type="dxa"/>
          </w:tcPr>
          <w:p w14:paraId="08AE990E" w14:textId="1533CD18" w:rsidR="00045030" w:rsidRDefault="003B2B57">
            <w:pPr>
              <w:spacing w:after="0"/>
            </w:pPr>
            <w:r>
              <w:t>“Delist” Decisions</w:t>
            </w:r>
            <w:r w:rsidR="00045030">
              <w:t xml:space="preserve"> Due to Other Changes</w:t>
            </w:r>
            <w:r w:rsidR="00045030">
              <w:rPr>
                <w:rStyle w:val="FootnoteReference"/>
              </w:rPr>
              <w:footnoteReference w:id="26"/>
            </w:r>
          </w:p>
        </w:tc>
        <w:tc>
          <w:tcPr>
            <w:tcW w:w="1440" w:type="dxa"/>
          </w:tcPr>
          <w:p w14:paraId="2D3267EF" w14:textId="77777777" w:rsidR="00045030" w:rsidRDefault="00045030">
            <w:pPr>
              <w:spacing w:after="0"/>
            </w:pPr>
            <w:r>
              <w:t xml:space="preserve">Total </w:t>
            </w:r>
          </w:p>
        </w:tc>
      </w:tr>
      <w:tr w:rsidR="00045030" w14:paraId="11285906" w14:textId="77777777">
        <w:tc>
          <w:tcPr>
            <w:tcW w:w="2885" w:type="dxa"/>
          </w:tcPr>
          <w:p w14:paraId="3C3B9FA5" w14:textId="77777777" w:rsidR="00045030" w:rsidRDefault="00045030">
            <w:pPr>
              <w:spacing w:after="0"/>
            </w:pPr>
            <w:r>
              <w:t>Metals</w:t>
            </w:r>
          </w:p>
        </w:tc>
        <w:tc>
          <w:tcPr>
            <w:tcW w:w="2664" w:type="dxa"/>
          </w:tcPr>
          <w:p w14:paraId="566844A6" w14:textId="366CDD0E" w:rsidR="00045030" w:rsidRDefault="00BE7A4A">
            <w:pPr>
              <w:spacing w:after="0"/>
              <w:jc w:val="center"/>
            </w:pPr>
            <w:r>
              <w:t>2</w:t>
            </w:r>
          </w:p>
        </w:tc>
        <w:tc>
          <w:tcPr>
            <w:tcW w:w="2664" w:type="dxa"/>
          </w:tcPr>
          <w:p w14:paraId="791E7EA0" w14:textId="261E39E8" w:rsidR="00045030" w:rsidRDefault="00BE7A4A">
            <w:pPr>
              <w:spacing w:after="0"/>
              <w:jc w:val="center"/>
            </w:pPr>
            <w:r>
              <w:t>0</w:t>
            </w:r>
          </w:p>
        </w:tc>
        <w:tc>
          <w:tcPr>
            <w:tcW w:w="1440" w:type="dxa"/>
          </w:tcPr>
          <w:p w14:paraId="21ECB6AA" w14:textId="09694239" w:rsidR="00045030" w:rsidRDefault="00BE7A4A">
            <w:pPr>
              <w:spacing w:after="0"/>
              <w:jc w:val="center"/>
            </w:pPr>
            <w:r>
              <w:t>2</w:t>
            </w:r>
          </w:p>
        </w:tc>
      </w:tr>
      <w:tr w:rsidR="00433C7B" w14:paraId="16F35437" w14:textId="77777777">
        <w:tc>
          <w:tcPr>
            <w:tcW w:w="2885" w:type="dxa"/>
          </w:tcPr>
          <w:p w14:paraId="181CF069" w14:textId="04A8A940" w:rsidR="00433C7B" w:rsidRPr="00433C7B" w:rsidRDefault="00433C7B">
            <w:pPr>
              <w:spacing w:after="0"/>
              <w:rPr>
                <w:b/>
                <w:bCs/>
              </w:rPr>
            </w:pPr>
            <w:r w:rsidRPr="00433C7B">
              <w:rPr>
                <w:b/>
                <w:bCs/>
              </w:rPr>
              <w:t>Totals</w:t>
            </w:r>
          </w:p>
        </w:tc>
        <w:tc>
          <w:tcPr>
            <w:tcW w:w="2664" w:type="dxa"/>
          </w:tcPr>
          <w:p w14:paraId="293FB833" w14:textId="5571BA11" w:rsidR="00433C7B" w:rsidRPr="00433C7B" w:rsidRDefault="00433C7B">
            <w:pPr>
              <w:spacing w:after="0"/>
              <w:jc w:val="center"/>
              <w:rPr>
                <w:b/>
                <w:bCs/>
              </w:rPr>
            </w:pPr>
            <w:r w:rsidRPr="00433C7B">
              <w:rPr>
                <w:b/>
                <w:bCs/>
              </w:rPr>
              <w:t>2</w:t>
            </w:r>
          </w:p>
        </w:tc>
        <w:tc>
          <w:tcPr>
            <w:tcW w:w="2664" w:type="dxa"/>
          </w:tcPr>
          <w:p w14:paraId="0C8A3E05" w14:textId="06FBF266" w:rsidR="00433C7B" w:rsidRPr="00433C7B" w:rsidRDefault="00433C7B">
            <w:pPr>
              <w:spacing w:after="0"/>
              <w:jc w:val="center"/>
              <w:rPr>
                <w:b/>
                <w:bCs/>
              </w:rPr>
            </w:pPr>
            <w:r w:rsidRPr="00433C7B">
              <w:rPr>
                <w:b/>
                <w:bCs/>
              </w:rPr>
              <w:t>0</w:t>
            </w:r>
          </w:p>
        </w:tc>
        <w:tc>
          <w:tcPr>
            <w:tcW w:w="1440" w:type="dxa"/>
          </w:tcPr>
          <w:p w14:paraId="2E79EFDA" w14:textId="0A8EECD4" w:rsidR="00433C7B" w:rsidRPr="00433C7B" w:rsidRDefault="00433C7B">
            <w:pPr>
              <w:spacing w:after="0"/>
              <w:jc w:val="center"/>
              <w:rPr>
                <w:b/>
                <w:bCs/>
              </w:rPr>
            </w:pPr>
            <w:r w:rsidRPr="00433C7B">
              <w:rPr>
                <w:b/>
                <w:bCs/>
              </w:rPr>
              <w:t>2</w:t>
            </w:r>
          </w:p>
        </w:tc>
      </w:tr>
    </w:tbl>
    <w:p w14:paraId="6DD19F20" w14:textId="2E2BF7EC" w:rsidR="007710C3" w:rsidRPr="004502A9" w:rsidRDefault="000071D0" w:rsidP="00597DE8">
      <w:pPr>
        <w:pStyle w:val="Heading1"/>
      </w:pPr>
      <w:bookmarkStart w:id="218" w:name="_Toc35011410"/>
      <w:bookmarkStart w:id="219" w:name="_Toc189048650"/>
      <w:r>
        <w:t>California</w:t>
      </w:r>
      <w:r w:rsidR="0085325C">
        <w:t>’s</w:t>
      </w:r>
      <w:r w:rsidR="004841F2">
        <w:t xml:space="preserve"> 2026</w:t>
      </w:r>
      <w:r w:rsidR="007710C3" w:rsidRPr="004502A9">
        <w:t xml:space="preserve"> 303(d) List</w:t>
      </w:r>
      <w:bookmarkEnd w:id="218"/>
      <w:bookmarkEnd w:id="219"/>
    </w:p>
    <w:p w14:paraId="1DD271AF" w14:textId="5ABCEBF7" w:rsidR="007710C3" w:rsidRPr="004502A9" w:rsidRDefault="007710C3" w:rsidP="007710C3">
      <w:pPr>
        <w:rPr>
          <w:rFonts w:cs="Arial"/>
        </w:rPr>
      </w:pPr>
      <w:r w:rsidRPr="004502A9">
        <w:rPr>
          <w:rFonts w:cs="Arial"/>
        </w:rPr>
        <w:t xml:space="preserve">A tally of new </w:t>
      </w:r>
      <w:r w:rsidR="00D5295C">
        <w:rPr>
          <w:rFonts w:cs="Arial"/>
        </w:rPr>
        <w:t>“</w:t>
      </w:r>
      <w:r w:rsidR="002420C1">
        <w:rPr>
          <w:rFonts w:cs="Arial"/>
        </w:rPr>
        <w:t>List”</w:t>
      </w:r>
      <w:r w:rsidRPr="004502A9">
        <w:rPr>
          <w:rFonts w:cs="Arial"/>
        </w:rPr>
        <w:t xml:space="preserve"> and </w:t>
      </w:r>
      <w:r w:rsidR="00383B45">
        <w:rPr>
          <w:rFonts w:cs="Arial"/>
        </w:rPr>
        <w:t>“</w:t>
      </w:r>
      <w:r w:rsidR="002420C1">
        <w:rPr>
          <w:rFonts w:cs="Arial"/>
        </w:rPr>
        <w:t>Deli</w:t>
      </w:r>
      <w:r w:rsidRPr="004502A9">
        <w:rPr>
          <w:rFonts w:cs="Arial"/>
        </w:rPr>
        <w:t>s</w:t>
      </w:r>
      <w:r w:rsidR="002420C1">
        <w:rPr>
          <w:rFonts w:cs="Arial"/>
        </w:rPr>
        <w:t>t” Decisions</w:t>
      </w:r>
      <w:r w:rsidRPr="004502A9">
        <w:rPr>
          <w:rFonts w:cs="Arial"/>
        </w:rPr>
        <w:t>, as well as the total number of impaired waterbod</w:t>
      </w:r>
      <w:r w:rsidR="00356DCE">
        <w:rPr>
          <w:rFonts w:cs="Arial"/>
        </w:rPr>
        <w:t>y segments</w:t>
      </w:r>
      <w:r w:rsidRPr="004502A9">
        <w:rPr>
          <w:rFonts w:cs="Arial"/>
        </w:rPr>
        <w:t xml:space="preserve">, for the 303(d) </w:t>
      </w:r>
      <w:r w:rsidR="00914B3E">
        <w:rPr>
          <w:rFonts w:cs="Arial"/>
        </w:rPr>
        <w:t>l</w:t>
      </w:r>
      <w:r w:rsidRPr="004502A9">
        <w:rPr>
          <w:rFonts w:cs="Arial"/>
        </w:rPr>
        <w:t xml:space="preserve">ist portion of the </w:t>
      </w:r>
      <w:r w:rsidR="00C6428D">
        <w:rPr>
          <w:rFonts w:eastAsia="Arial" w:cs="Arial"/>
        </w:rPr>
        <w:t>2026</w:t>
      </w:r>
      <w:r w:rsidRPr="004502A9">
        <w:rPr>
          <w:rFonts w:eastAsia="Arial" w:cs="Arial"/>
        </w:rPr>
        <w:t xml:space="preserve"> </w:t>
      </w:r>
      <w:r w:rsidR="009D00C2">
        <w:rPr>
          <w:rFonts w:eastAsia="Arial" w:cs="Arial"/>
        </w:rPr>
        <w:t xml:space="preserve">California </w:t>
      </w:r>
      <w:r w:rsidRPr="004502A9">
        <w:rPr>
          <w:rFonts w:cs="Arial"/>
        </w:rPr>
        <w:t xml:space="preserve">Integrated </w:t>
      </w:r>
      <w:r w:rsidR="00F87A70">
        <w:rPr>
          <w:rFonts w:cs="Arial"/>
        </w:rPr>
        <w:t xml:space="preserve">Report </w:t>
      </w:r>
      <w:r w:rsidRPr="004502A9">
        <w:rPr>
          <w:rFonts w:cs="Arial"/>
        </w:rPr>
        <w:t xml:space="preserve">is shown in </w:t>
      </w:r>
      <w:r w:rsidR="0071133F">
        <w:rPr>
          <w:rFonts w:cs="Arial"/>
        </w:rPr>
        <w:t xml:space="preserve">Table </w:t>
      </w:r>
      <w:r w:rsidR="001A242E">
        <w:rPr>
          <w:rFonts w:cs="Arial"/>
        </w:rPr>
        <w:t>1</w:t>
      </w:r>
      <w:r w:rsidR="009F01FE">
        <w:rPr>
          <w:rFonts w:cs="Arial"/>
        </w:rPr>
        <w:t>0</w:t>
      </w:r>
      <w:r w:rsidR="0071133F">
        <w:rPr>
          <w:rFonts w:cs="Arial"/>
        </w:rPr>
        <w:t>-</w:t>
      </w:r>
      <w:r w:rsidRPr="004502A9">
        <w:rPr>
          <w:rFonts w:cs="Arial"/>
        </w:rPr>
        <w:t xml:space="preserve">1, below. The second column lists the number of waterbody-pollutant combinations currently listed as impaired on the </w:t>
      </w:r>
      <w:r w:rsidR="00C9001E">
        <w:rPr>
          <w:rFonts w:cs="Arial"/>
        </w:rPr>
        <w:t>202</w:t>
      </w:r>
      <w:r w:rsidR="00854A12">
        <w:rPr>
          <w:rFonts w:cs="Arial"/>
        </w:rPr>
        <w:t xml:space="preserve">4 </w:t>
      </w:r>
      <w:r w:rsidRPr="004502A9">
        <w:rPr>
          <w:rFonts w:cs="Arial"/>
        </w:rPr>
        <w:t xml:space="preserve">303(d) </w:t>
      </w:r>
      <w:r w:rsidR="00846136">
        <w:rPr>
          <w:rFonts w:cs="Arial"/>
        </w:rPr>
        <w:t>L</w:t>
      </w:r>
      <w:r w:rsidRPr="004502A9">
        <w:rPr>
          <w:rFonts w:cs="Arial"/>
        </w:rPr>
        <w:t xml:space="preserve">ist. The two subsequent columns contain a count of new </w:t>
      </w:r>
      <w:r w:rsidR="00D5295C">
        <w:rPr>
          <w:rFonts w:cs="Arial"/>
        </w:rPr>
        <w:t>“List” Decisions</w:t>
      </w:r>
      <w:r w:rsidRPr="004502A9">
        <w:rPr>
          <w:rFonts w:cs="Arial"/>
        </w:rPr>
        <w:t xml:space="preserve"> and new </w:t>
      </w:r>
      <w:r w:rsidR="00D5295C">
        <w:rPr>
          <w:rFonts w:cs="Arial"/>
        </w:rPr>
        <w:t>“Delist” Decisions</w:t>
      </w:r>
      <w:r w:rsidRPr="004502A9">
        <w:rPr>
          <w:rFonts w:cs="Arial"/>
        </w:rPr>
        <w:t xml:space="preserve">. The last column includes the total number of listings for </w:t>
      </w:r>
      <w:r w:rsidR="00C6428D">
        <w:rPr>
          <w:rFonts w:eastAsia="Arial" w:cs="Arial"/>
        </w:rPr>
        <w:t>2026</w:t>
      </w:r>
      <w:r w:rsidRPr="004502A9">
        <w:rPr>
          <w:rFonts w:eastAsia="Arial" w:cs="Arial"/>
        </w:rPr>
        <w:t xml:space="preserve"> </w:t>
      </w:r>
      <w:r w:rsidRPr="004502A9">
        <w:rPr>
          <w:rFonts w:cs="Arial"/>
        </w:rPr>
        <w:t xml:space="preserve">that would result if all </w:t>
      </w:r>
      <w:r w:rsidR="00D5295C">
        <w:rPr>
          <w:rFonts w:cs="Arial"/>
        </w:rPr>
        <w:t>Decisions</w:t>
      </w:r>
      <w:r w:rsidRPr="004502A9">
        <w:rPr>
          <w:rFonts w:cs="Arial"/>
        </w:rPr>
        <w:t xml:space="preserve"> are adopted. A comprehensive list can be found in Appendix A: </w:t>
      </w:r>
      <w:r w:rsidR="00C6428D">
        <w:rPr>
          <w:rFonts w:eastAsia="Arial" w:cs="Arial"/>
        </w:rPr>
        <w:t>2026</w:t>
      </w:r>
      <w:r w:rsidRPr="004502A9">
        <w:rPr>
          <w:rFonts w:eastAsia="Arial" w:cs="Arial"/>
        </w:rPr>
        <w:t xml:space="preserve"> </w:t>
      </w:r>
      <w:r w:rsidRPr="004502A9">
        <w:rPr>
          <w:rFonts w:cs="Arial"/>
        </w:rPr>
        <w:t xml:space="preserve">303(d) </w:t>
      </w:r>
      <w:r w:rsidR="00942030">
        <w:rPr>
          <w:rFonts w:cs="Arial"/>
        </w:rPr>
        <w:t>L</w:t>
      </w:r>
      <w:r w:rsidRPr="004502A9">
        <w:rPr>
          <w:rFonts w:cs="Arial"/>
        </w:rPr>
        <w:t>ist of Impaired Waters.</w:t>
      </w:r>
    </w:p>
    <w:p w14:paraId="2831E5B8" w14:textId="6F594841" w:rsidR="003F5F47" w:rsidRDefault="003F5F47" w:rsidP="003F5F47">
      <w:pPr>
        <w:pStyle w:val="Caption"/>
        <w:keepNext/>
      </w:pPr>
      <w:bookmarkStart w:id="220" w:name="_Toc118386814"/>
      <w:bookmarkStart w:id="221" w:name="_Toc118386846"/>
      <w:r>
        <w:t xml:space="preserve">Table </w:t>
      </w:r>
      <w:r w:rsidR="006149E7">
        <w:t>1</w:t>
      </w:r>
      <w:r w:rsidR="00AB32F5">
        <w:t>0</w:t>
      </w:r>
      <w:r w:rsidR="00D311E2">
        <w:noBreakHyphen/>
      </w:r>
      <w:r w:rsidR="00D311E2">
        <w:fldChar w:fldCharType="begin"/>
      </w:r>
      <w:r w:rsidR="00D311E2">
        <w:instrText xml:space="preserve"> SEQ Table \* ARABIC \s 1 </w:instrText>
      </w:r>
      <w:r w:rsidR="00D311E2">
        <w:fldChar w:fldCharType="separate"/>
      </w:r>
      <w:r w:rsidR="00D311E2">
        <w:rPr>
          <w:noProof/>
        </w:rPr>
        <w:t>1</w:t>
      </w:r>
      <w:r w:rsidR="00D311E2">
        <w:rPr>
          <w:noProof/>
        </w:rPr>
        <w:fldChar w:fldCharType="end"/>
      </w:r>
      <w:r>
        <w:t xml:space="preserve">: </w:t>
      </w:r>
      <w:r w:rsidRPr="00BF09A8">
        <w:t xml:space="preserve">New </w:t>
      </w:r>
      <w:r w:rsidR="008A752B">
        <w:t>“List”</w:t>
      </w:r>
      <w:r w:rsidRPr="00BF09A8">
        <w:t xml:space="preserve"> and </w:t>
      </w:r>
      <w:r w:rsidR="008A752B">
        <w:t>“Delist” Decisions</w:t>
      </w:r>
      <w:r w:rsidRPr="00BF09A8">
        <w:t xml:space="preserve"> for the 303(d) List Portion of the </w:t>
      </w:r>
      <w:r w:rsidR="00C6428D">
        <w:t>2026</w:t>
      </w:r>
      <w:r w:rsidRPr="00BF09A8">
        <w:t xml:space="preserve"> </w:t>
      </w:r>
      <w:r w:rsidR="009D00C2">
        <w:t xml:space="preserve">California </w:t>
      </w:r>
      <w:r w:rsidRPr="00BF09A8">
        <w:t>Integrated Report</w:t>
      </w:r>
      <w:bookmarkEnd w:id="220"/>
      <w:bookmarkEnd w:id="221"/>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Recommended New &quot;List&quot; and &quot;Delist&quot; Decisions for the 303(d) List Portion of the 2024 California Integrated Report"/>
        <w:tblDescription w:val="This table shows totals of listings on the 2024 303(d) List, the number of new listings and delistings for the 2026 303(d) List , and the total number of listings for 2026 303(d) List. It shows the totals and new listings and delistings for each region in each row, and shows the grand total statewide in the last row."/>
      </w:tblPr>
      <w:tblGrid>
        <w:gridCol w:w="1346"/>
        <w:gridCol w:w="2160"/>
        <w:gridCol w:w="1980"/>
        <w:gridCol w:w="1620"/>
        <w:gridCol w:w="2068"/>
      </w:tblGrid>
      <w:tr w:rsidR="007710C3" w:rsidRPr="004502A9" w14:paraId="2A6EBD49" w14:textId="77777777" w:rsidTr="00F85253">
        <w:trPr>
          <w:trHeight w:val="899"/>
        </w:trPr>
        <w:tc>
          <w:tcPr>
            <w:tcW w:w="734" w:type="pct"/>
            <w:shd w:val="clear" w:color="auto" w:fill="DEEAF6" w:themeFill="accent5" w:themeFillTint="33"/>
            <w:vAlign w:val="center"/>
          </w:tcPr>
          <w:p w14:paraId="5A3BA606" w14:textId="77777777" w:rsidR="007710C3" w:rsidRPr="003B3D8D" w:rsidRDefault="007710C3" w:rsidP="00AB0995">
            <w:pPr>
              <w:autoSpaceDE w:val="0"/>
              <w:autoSpaceDN w:val="0"/>
              <w:adjustRightInd w:val="0"/>
              <w:spacing w:after="0"/>
              <w:jc w:val="center"/>
              <w:rPr>
                <w:rFonts w:cs="Arial"/>
                <w:b/>
                <w:bCs/>
                <w:szCs w:val="24"/>
              </w:rPr>
            </w:pPr>
            <w:r w:rsidRPr="003B3D8D">
              <w:rPr>
                <w:rFonts w:cs="Arial"/>
                <w:b/>
                <w:bCs/>
                <w:szCs w:val="24"/>
              </w:rPr>
              <w:t>Region</w:t>
            </w:r>
          </w:p>
        </w:tc>
        <w:tc>
          <w:tcPr>
            <w:tcW w:w="1177" w:type="pct"/>
            <w:shd w:val="clear" w:color="auto" w:fill="DEEAF6" w:themeFill="accent5" w:themeFillTint="33"/>
            <w:vAlign w:val="center"/>
          </w:tcPr>
          <w:p w14:paraId="1F5282FF" w14:textId="574D37FC" w:rsidR="002B39E5" w:rsidRDefault="00C34F48" w:rsidP="00AB0995">
            <w:pPr>
              <w:autoSpaceDE w:val="0"/>
              <w:autoSpaceDN w:val="0"/>
              <w:adjustRightInd w:val="0"/>
              <w:spacing w:after="0"/>
              <w:jc w:val="center"/>
              <w:rPr>
                <w:rFonts w:eastAsia="Arial" w:cs="Arial"/>
                <w:b/>
                <w:bCs/>
              </w:rPr>
            </w:pPr>
            <w:r w:rsidRPr="003B3D8D">
              <w:rPr>
                <w:rFonts w:eastAsia="Arial" w:cs="Arial"/>
                <w:b/>
                <w:bCs/>
              </w:rPr>
              <w:t>202</w:t>
            </w:r>
            <w:r w:rsidR="00854A12">
              <w:rPr>
                <w:rFonts w:eastAsia="Arial" w:cs="Arial"/>
                <w:b/>
                <w:bCs/>
              </w:rPr>
              <w:t>4</w:t>
            </w:r>
          </w:p>
          <w:p w14:paraId="3D5D2D30" w14:textId="2CADB702" w:rsidR="007710C3" w:rsidRPr="003B3D8D" w:rsidRDefault="007710C3" w:rsidP="00AB0995">
            <w:pPr>
              <w:autoSpaceDE w:val="0"/>
              <w:autoSpaceDN w:val="0"/>
              <w:adjustRightInd w:val="0"/>
              <w:spacing w:after="0"/>
              <w:jc w:val="center"/>
              <w:rPr>
                <w:rFonts w:cs="Arial"/>
                <w:b/>
                <w:bCs/>
                <w:szCs w:val="24"/>
              </w:rPr>
            </w:pPr>
            <w:r w:rsidRPr="003B3D8D">
              <w:rPr>
                <w:rFonts w:cs="Arial"/>
                <w:b/>
                <w:bCs/>
                <w:szCs w:val="24"/>
              </w:rPr>
              <w:t>303(d) Listings</w:t>
            </w:r>
          </w:p>
        </w:tc>
        <w:tc>
          <w:tcPr>
            <w:tcW w:w="1079" w:type="pct"/>
            <w:shd w:val="clear" w:color="auto" w:fill="DEEAF6" w:themeFill="accent5" w:themeFillTint="33"/>
            <w:vAlign w:val="center"/>
          </w:tcPr>
          <w:p w14:paraId="3A9B71B0" w14:textId="54B8F62C" w:rsidR="007710C3" w:rsidRPr="003B3D8D" w:rsidRDefault="007710C3" w:rsidP="00AB0995">
            <w:pPr>
              <w:autoSpaceDE w:val="0"/>
              <w:autoSpaceDN w:val="0"/>
              <w:adjustRightInd w:val="0"/>
              <w:spacing w:after="0"/>
              <w:jc w:val="center"/>
              <w:rPr>
                <w:rFonts w:cs="Arial"/>
                <w:b/>
                <w:bCs/>
                <w:szCs w:val="24"/>
              </w:rPr>
            </w:pPr>
            <w:r w:rsidRPr="003B3D8D">
              <w:rPr>
                <w:rFonts w:cs="Arial"/>
                <w:b/>
                <w:bCs/>
                <w:szCs w:val="24"/>
              </w:rPr>
              <w:t xml:space="preserve">New </w:t>
            </w:r>
            <w:r w:rsidR="008A752B">
              <w:rPr>
                <w:rFonts w:cs="Arial"/>
                <w:b/>
                <w:bCs/>
                <w:szCs w:val="24"/>
              </w:rPr>
              <w:t>“</w:t>
            </w:r>
            <w:r w:rsidRPr="003B3D8D">
              <w:rPr>
                <w:rFonts w:cs="Arial"/>
                <w:b/>
                <w:bCs/>
                <w:szCs w:val="24"/>
              </w:rPr>
              <w:t>List</w:t>
            </w:r>
            <w:r w:rsidR="008A752B">
              <w:rPr>
                <w:rFonts w:cs="Arial"/>
                <w:b/>
                <w:bCs/>
                <w:szCs w:val="24"/>
              </w:rPr>
              <w:t>” Decisions</w:t>
            </w:r>
          </w:p>
        </w:tc>
        <w:tc>
          <w:tcPr>
            <w:tcW w:w="883" w:type="pct"/>
            <w:shd w:val="clear" w:color="auto" w:fill="DEEAF6" w:themeFill="accent5" w:themeFillTint="33"/>
            <w:vAlign w:val="center"/>
          </w:tcPr>
          <w:p w14:paraId="78655250" w14:textId="1DC7994F" w:rsidR="007710C3" w:rsidRPr="003B3D8D" w:rsidRDefault="008A752B" w:rsidP="00AB0995">
            <w:pPr>
              <w:autoSpaceDE w:val="0"/>
              <w:autoSpaceDN w:val="0"/>
              <w:adjustRightInd w:val="0"/>
              <w:spacing w:after="0"/>
              <w:jc w:val="center"/>
              <w:rPr>
                <w:rFonts w:cs="Arial"/>
                <w:b/>
                <w:bCs/>
                <w:szCs w:val="24"/>
              </w:rPr>
            </w:pPr>
            <w:r>
              <w:rPr>
                <w:rFonts w:cs="Arial"/>
                <w:b/>
                <w:bCs/>
                <w:szCs w:val="24"/>
              </w:rPr>
              <w:t>New “</w:t>
            </w:r>
            <w:r w:rsidR="007710C3" w:rsidRPr="003B3D8D">
              <w:rPr>
                <w:rFonts w:cs="Arial"/>
                <w:b/>
                <w:bCs/>
                <w:szCs w:val="24"/>
              </w:rPr>
              <w:t>Delist</w:t>
            </w:r>
            <w:r>
              <w:rPr>
                <w:rFonts w:cs="Arial"/>
                <w:b/>
                <w:bCs/>
                <w:szCs w:val="24"/>
              </w:rPr>
              <w:t>” Decisions</w:t>
            </w:r>
          </w:p>
        </w:tc>
        <w:tc>
          <w:tcPr>
            <w:tcW w:w="1127" w:type="pct"/>
            <w:shd w:val="clear" w:color="auto" w:fill="DEEAF6" w:themeFill="accent5" w:themeFillTint="33"/>
            <w:vAlign w:val="center"/>
          </w:tcPr>
          <w:p w14:paraId="6213BE0C" w14:textId="3A8ABC51" w:rsidR="007710C3" w:rsidRPr="003B3D8D" w:rsidRDefault="007710C3" w:rsidP="00AB0995">
            <w:pPr>
              <w:autoSpaceDE w:val="0"/>
              <w:autoSpaceDN w:val="0"/>
              <w:adjustRightInd w:val="0"/>
              <w:spacing w:after="0"/>
              <w:jc w:val="center"/>
              <w:rPr>
                <w:rFonts w:cs="Arial"/>
                <w:b/>
                <w:bCs/>
                <w:szCs w:val="24"/>
              </w:rPr>
            </w:pPr>
            <w:r w:rsidRPr="003B3D8D">
              <w:rPr>
                <w:rFonts w:cs="Arial"/>
                <w:b/>
                <w:bCs/>
                <w:szCs w:val="24"/>
              </w:rPr>
              <w:t xml:space="preserve">Total </w:t>
            </w:r>
            <w:r w:rsidR="00C6428D">
              <w:rPr>
                <w:rFonts w:cs="Arial"/>
                <w:b/>
                <w:bCs/>
                <w:szCs w:val="24"/>
              </w:rPr>
              <w:t>2026</w:t>
            </w:r>
            <w:r w:rsidR="00C34F48" w:rsidRPr="003B3D8D">
              <w:rPr>
                <w:rFonts w:cs="Arial"/>
                <w:b/>
                <w:bCs/>
                <w:szCs w:val="24"/>
              </w:rPr>
              <w:t xml:space="preserve"> </w:t>
            </w:r>
            <w:r w:rsidRPr="003B3D8D">
              <w:rPr>
                <w:rFonts w:cs="Arial"/>
                <w:b/>
                <w:bCs/>
                <w:szCs w:val="24"/>
              </w:rPr>
              <w:t>303(d) Listings</w:t>
            </w:r>
          </w:p>
        </w:tc>
      </w:tr>
      <w:tr w:rsidR="00854A12" w:rsidRPr="004502A9" w14:paraId="78D1BCA4" w14:textId="77777777" w:rsidTr="00F85253">
        <w:trPr>
          <w:trHeight w:val="575"/>
        </w:trPr>
        <w:tc>
          <w:tcPr>
            <w:tcW w:w="734" w:type="pct"/>
            <w:vAlign w:val="center"/>
          </w:tcPr>
          <w:p w14:paraId="756054B6" w14:textId="77777777" w:rsidR="00854A12" w:rsidRPr="004502A9" w:rsidRDefault="00854A12" w:rsidP="00854A12">
            <w:pPr>
              <w:autoSpaceDE w:val="0"/>
              <w:autoSpaceDN w:val="0"/>
              <w:adjustRightInd w:val="0"/>
              <w:spacing w:after="0"/>
              <w:jc w:val="center"/>
              <w:rPr>
                <w:rFonts w:cs="Arial"/>
              </w:rPr>
            </w:pPr>
            <w:r w:rsidRPr="004502A9">
              <w:rPr>
                <w:rFonts w:cs="Arial"/>
              </w:rPr>
              <w:t>North Coast</w:t>
            </w:r>
          </w:p>
        </w:tc>
        <w:tc>
          <w:tcPr>
            <w:tcW w:w="1177" w:type="pct"/>
            <w:vAlign w:val="center"/>
          </w:tcPr>
          <w:p w14:paraId="0B9EB6FE" w14:textId="115E7472" w:rsidR="00854A12" w:rsidRPr="004502A9" w:rsidRDefault="00854A12" w:rsidP="00854A12">
            <w:pPr>
              <w:autoSpaceDE w:val="0"/>
              <w:autoSpaceDN w:val="0"/>
              <w:adjustRightInd w:val="0"/>
              <w:spacing w:after="0"/>
              <w:jc w:val="center"/>
              <w:rPr>
                <w:rFonts w:cs="Arial"/>
                <w:szCs w:val="24"/>
              </w:rPr>
            </w:pPr>
            <w:r>
              <w:rPr>
                <w:rFonts w:cs="Arial"/>
                <w:szCs w:val="24"/>
              </w:rPr>
              <w:t>217</w:t>
            </w:r>
          </w:p>
        </w:tc>
        <w:tc>
          <w:tcPr>
            <w:tcW w:w="1079" w:type="pct"/>
            <w:vAlign w:val="center"/>
          </w:tcPr>
          <w:p w14:paraId="62DEDEE6" w14:textId="2B136304" w:rsidR="00854A12" w:rsidRPr="004502A9" w:rsidRDefault="001228D9" w:rsidP="00854A12">
            <w:pPr>
              <w:autoSpaceDE w:val="0"/>
              <w:autoSpaceDN w:val="0"/>
              <w:adjustRightInd w:val="0"/>
              <w:spacing w:after="0"/>
              <w:jc w:val="center"/>
              <w:rPr>
                <w:rFonts w:cs="Arial"/>
                <w:szCs w:val="24"/>
              </w:rPr>
            </w:pPr>
            <w:r>
              <w:rPr>
                <w:rFonts w:cs="Arial"/>
                <w:szCs w:val="24"/>
              </w:rPr>
              <w:t>77</w:t>
            </w:r>
          </w:p>
        </w:tc>
        <w:tc>
          <w:tcPr>
            <w:tcW w:w="883" w:type="pct"/>
            <w:vAlign w:val="center"/>
          </w:tcPr>
          <w:p w14:paraId="1B1A1957" w14:textId="5F7DFF26" w:rsidR="00854A12" w:rsidRPr="004502A9" w:rsidRDefault="00696E69" w:rsidP="00854A12">
            <w:pPr>
              <w:autoSpaceDE w:val="0"/>
              <w:autoSpaceDN w:val="0"/>
              <w:adjustRightInd w:val="0"/>
              <w:spacing w:after="0"/>
              <w:jc w:val="center"/>
              <w:rPr>
                <w:rFonts w:cs="Arial"/>
                <w:szCs w:val="24"/>
              </w:rPr>
            </w:pPr>
            <w:r>
              <w:rPr>
                <w:rFonts w:cs="Arial"/>
                <w:szCs w:val="24"/>
              </w:rPr>
              <w:t>13</w:t>
            </w:r>
          </w:p>
        </w:tc>
        <w:tc>
          <w:tcPr>
            <w:tcW w:w="1127" w:type="pct"/>
            <w:vAlign w:val="center"/>
          </w:tcPr>
          <w:p w14:paraId="534AD4C7" w14:textId="21CA583D" w:rsidR="00854A12" w:rsidRPr="004502A9" w:rsidRDefault="001814DE" w:rsidP="00854A12">
            <w:pPr>
              <w:autoSpaceDE w:val="0"/>
              <w:autoSpaceDN w:val="0"/>
              <w:adjustRightInd w:val="0"/>
              <w:spacing w:after="0"/>
              <w:jc w:val="center"/>
              <w:rPr>
                <w:rFonts w:cs="Arial"/>
                <w:szCs w:val="24"/>
              </w:rPr>
            </w:pPr>
            <w:r>
              <w:rPr>
                <w:rFonts w:cs="Arial"/>
                <w:szCs w:val="24"/>
              </w:rPr>
              <w:t>281</w:t>
            </w:r>
          </w:p>
        </w:tc>
      </w:tr>
      <w:tr w:rsidR="00854A12" w:rsidRPr="004502A9" w14:paraId="423FEC9A" w14:textId="77777777" w:rsidTr="00F85253">
        <w:trPr>
          <w:trHeight w:val="720"/>
        </w:trPr>
        <w:tc>
          <w:tcPr>
            <w:tcW w:w="734" w:type="pct"/>
            <w:vAlign w:val="center"/>
          </w:tcPr>
          <w:p w14:paraId="213EE46E" w14:textId="77777777" w:rsidR="00854A12" w:rsidRPr="004502A9" w:rsidRDefault="00854A12" w:rsidP="00854A12">
            <w:pPr>
              <w:autoSpaceDE w:val="0"/>
              <w:autoSpaceDN w:val="0"/>
              <w:adjustRightInd w:val="0"/>
              <w:spacing w:after="0"/>
              <w:jc w:val="center"/>
              <w:rPr>
                <w:rFonts w:cs="Arial"/>
                <w:szCs w:val="24"/>
              </w:rPr>
            </w:pPr>
            <w:r w:rsidRPr="004502A9">
              <w:rPr>
                <w:rFonts w:cs="Arial"/>
                <w:szCs w:val="24"/>
              </w:rPr>
              <w:t>San Francisco Bay</w:t>
            </w:r>
          </w:p>
        </w:tc>
        <w:tc>
          <w:tcPr>
            <w:tcW w:w="1177" w:type="pct"/>
            <w:vAlign w:val="center"/>
          </w:tcPr>
          <w:p w14:paraId="04CE0564" w14:textId="035F2043" w:rsidR="00854A12" w:rsidRPr="004502A9" w:rsidRDefault="00854A12" w:rsidP="00854A12">
            <w:pPr>
              <w:autoSpaceDE w:val="0"/>
              <w:autoSpaceDN w:val="0"/>
              <w:adjustRightInd w:val="0"/>
              <w:spacing w:after="0"/>
              <w:jc w:val="center"/>
              <w:rPr>
                <w:rFonts w:cs="Arial"/>
                <w:szCs w:val="24"/>
              </w:rPr>
            </w:pPr>
            <w:r>
              <w:rPr>
                <w:rFonts w:cs="Arial"/>
                <w:szCs w:val="24"/>
              </w:rPr>
              <w:t>476</w:t>
            </w:r>
          </w:p>
        </w:tc>
        <w:tc>
          <w:tcPr>
            <w:tcW w:w="1079" w:type="pct"/>
            <w:vAlign w:val="center"/>
          </w:tcPr>
          <w:p w14:paraId="6EB16DFF" w14:textId="1D8033DC" w:rsidR="00854A12" w:rsidRPr="004502A9" w:rsidRDefault="00D87819" w:rsidP="00854A12">
            <w:pPr>
              <w:autoSpaceDE w:val="0"/>
              <w:autoSpaceDN w:val="0"/>
              <w:adjustRightInd w:val="0"/>
              <w:spacing w:after="0"/>
              <w:jc w:val="center"/>
              <w:rPr>
                <w:rFonts w:cs="Arial"/>
                <w:szCs w:val="24"/>
              </w:rPr>
            </w:pPr>
            <w:r>
              <w:rPr>
                <w:rFonts w:cs="Arial"/>
                <w:szCs w:val="24"/>
              </w:rPr>
              <w:t>0</w:t>
            </w:r>
          </w:p>
        </w:tc>
        <w:tc>
          <w:tcPr>
            <w:tcW w:w="883" w:type="pct"/>
            <w:vAlign w:val="center"/>
          </w:tcPr>
          <w:p w14:paraId="27D5B0F8" w14:textId="43FD7A06" w:rsidR="00854A12" w:rsidRPr="004502A9" w:rsidRDefault="004311C4" w:rsidP="00854A12">
            <w:pPr>
              <w:autoSpaceDE w:val="0"/>
              <w:autoSpaceDN w:val="0"/>
              <w:adjustRightInd w:val="0"/>
              <w:spacing w:after="0"/>
              <w:jc w:val="center"/>
              <w:rPr>
                <w:rFonts w:cs="Arial"/>
                <w:szCs w:val="24"/>
              </w:rPr>
            </w:pPr>
            <w:r>
              <w:rPr>
                <w:rFonts w:cs="Arial"/>
                <w:szCs w:val="24"/>
              </w:rPr>
              <w:t>0</w:t>
            </w:r>
          </w:p>
        </w:tc>
        <w:tc>
          <w:tcPr>
            <w:tcW w:w="1127" w:type="pct"/>
            <w:vAlign w:val="center"/>
          </w:tcPr>
          <w:p w14:paraId="4BF2F222" w14:textId="7C0F9B13" w:rsidR="00854A12" w:rsidRPr="004502A9" w:rsidRDefault="008C3840" w:rsidP="00854A12">
            <w:pPr>
              <w:autoSpaceDE w:val="0"/>
              <w:autoSpaceDN w:val="0"/>
              <w:adjustRightInd w:val="0"/>
              <w:spacing w:after="0"/>
              <w:jc w:val="center"/>
              <w:rPr>
                <w:rFonts w:cs="Arial"/>
                <w:szCs w:val="24"/>
              </w:rPr>
            </w:pPr>
            <w:r>
              <w:rPr>
                <w:rFonts w:cs="Arial"/>
                <w:szCs w:val="24"/>
              </w:rPr>
              <w:t>476</w:t>
            </w:r>
          </w:p>
        </w:tc>
      </w:tr>
      <w:tr w:rsidR="00854A12" w:rsidRPr="004502A9" w14:paraId="432CBADB" w14:textId="77777777" w:rsidTr="00F85253">
        <w:trPr>
          <w:trHeight w:val="720"/>
        </w:trPr>
        <w:tc>
          <w:tcPr>
            <w:tcW w:w="734" w:type="pct"/>
            <w:vAlign w:val="center"/>
          </w:tcPr>
          <w:p w14:paraId="29649927" w14:textId="77777777" w:rsidR="00854A12" w:rsidRPr="004502A9" w:rsidRDefault="00854A12" w:rsidP="00854A12">
            <w:pPr>
              <w:autoSpaceDE w:val="0"/>
              <w:autoSpaceDN w:val="0"/>
              <w:adjustRightInd w:val="0"/>
              <w:spacing w:after="0"/>
              <w:jc w:val="center"/>
              <w:rPr>
                <w:rFonts w:cs="Arial"/>
                <w:szCs w:val="24"/>
              </w:rPr>
            </w:pPr>
            <w:r w:rsidRPr="004502A9">
              <w:rPr>
                <w:rFonts w:cs="Arial"/>
                <w:szCs w:val="24"/>
              </w:rPr>
              <w:t>Central Coast</w:t>
            </w:r>
          </w:p>
        </w:tc>
        <w:tc>
          <w:tcPr>
            <w:tcW w:w="1177" w:type="pct"/>
            <w:vAlign w:val="center"/>
          </w:tcPr>
          <w:p w14:paraId="13543268" w14:textId="73655A5E" w:rsidR="00854A12" w:rsidRPr="004502A9" w:rsidRDefault="00854A12" w:rsidP="00854A12">
            <w:pPr>
              <w:spacing w:after="0"/>
              <w:jc w:val="center"/>
              <w:rPr>
                <w:rFonts w:cs="Arial"/>
                <w:szCs w:val="24"/>
              </w:rPr>
            </w:pPr>
            <w:r>
              <w:rPr>
                <w:rFonts w:cs="Arial"/>
                <w:szCs w:val="24"/>
              </w:rPr>
              <w:t>1,200</w:t>
            </w:r>
          </w:p>
        </w:tc>
        <w:tc>
          <w:tcPr>
            <w:tcW w:w="1079" w:type="pct"/>
            <w:vAlign w:val="center"/>
          </w:tcPr>
          <w:p w14:paraId="201E6CF7" w14:textId="5A00AE40" w:rsidR="00854A12" w:rsidRPr="004502A9" w:rsidRDefault="00773657" w:rsidP="00854A12">
            <w:pPr>
              <w:autoSpaceDE w:val="0"/>
              <w:autoSpaceDN w:val="0"/>
              <w:adjustRightInd w:val="0"/>
              <w:spacing w:after="0"/>
              <w:jc w:val="center"/>
              <w:rPr>
                <w:rFonts w:cs="Arial"/>
                <w:szCs w:val="24"/>
              </w:rPr>
            </w:pPr>
            <w:r>
              <w:rPr>
                <w:rFonts w:cs="Arial"/>
                <w:szCs w:val="24"/>
              </w:rPr>
              <w:t>1</w:t>
            </w:r>
          </w:p>
        </w:tc>
        <w:tc>
          <w:tcPr>
            <w:tcW w:w="883" w:type="pct"/>
            <w:vAlign w:val="center"/>
          </w:tcPr>
          <w:p w14:paraId="4A470783" w14:textId="737AF0BE" w:rsidR="00854A12" w:rsidRPr="004502A9" w:rsidRDefault="000430DD" w:rsidP="00854A12">
            <w:pPr>
              <w:autoSpaceDE w:val="0"/>
              <w:autoSpaceDN w:val="0"/>
              <w:adjustRightInd w:val="0"/>
              <w:spacing w:after="0"/>
              <w:jc w:val="center"/>
              <w:rPr>
                <w:rFonts w:cs="Arial"/>
                <w:szCs w:val="24"/>
              </w:rPr>
            </w:pPr>
            <w:r>
              <w:rPr>
                <w:rFonts w:cs="Arial"/>
                <w:szCs w:val="24"/>
              </w:rPr>
              <w:t>6</w:t>
            </w:r>
          </w:p>
        </w:tc>
        <w:tc>
          <w:tcPr>
            <w:tcW w:w="1127" w:type="pct"/>
            <w:vAlign w:val="center"/>
          </w:tcPr>
          <w:p w14:paraId="21F806E1" w14:textId="6AA7DB96" w:rsidR="00854A12" w:rsidRPr="004502A9" w:rsidRDefault="004D5F13" w:rsidP="00854A12">
            <w:pPr>
              <w:autoSpaceDE w:val="0"/>
              <w:autoSpaceDN w:val="0"/>
              <w:adjustRightInd w:val="0"/>
              <w:spacing w:after="0"/>
              <w:jc w:val="center"/>
              <w:rPr>
                <w:rFonts w:cs="Arial"/>
                <w:szCs w:val="24"/>
              </w:rPr>
            </w:pPr>
            <w:r>
              <w:rPr>
                <w:rFonts w:cs="Arial"/>
                <w:szCs w:val="24"/>
              </w:rPr>
              <w:t>1</w:t>
            </w:r>
            <w:r w:rsidR="007A091C">
              <w:rPr>
                <w:rFonts w:cs="Arial"/>
                <w:szCs w:val="24"/>
              </w:rPr>
              <w:t>,</w:t>
            </w:r>
            <w:r>
              <w:rPr>
                <w:rFonts w:cs="Arial"/>
                <w:szCs w:val="24"/>
              </w:rPr>
              <w:t>19</w:t>
            </w:r>
            <w:r w:rsidR="00715461">
              <w:rPr>
                <w:rFonts w:cs="Arial"/>
                <w:szCs w:val="24"/>
              </w:rPr>
              <w:t>5</w:t>
            </w:r>
          </w:p>
        </w:tc>
      </w:tr>
      <w:tr w:rsidR="00854A12" w:rsidRPr="004502A9" w14:paraId="44A2B40B" w14:textId="77777777" w:rsidTr="00F85253">
        <w:trPr>
          <w:trHeight w:val="720"/>
        </w:trPr>
        <w:tc>
          <w:tcPr>
            <w:tcW w:w="734" w:type="pct"/>
            <w:vAlign w:val="center"/>
          </w:tcPr>
          <w:p w14:paraId="26094A96" w14:textId="21D5F37F" w:rsidR="00854A12" w:rsidRPr="004502A9" w:rsidRDefault="00854A12" w:rsidP="00854A12">
            <w:pPr>
              <w:autoSpaceDE w:val="0"/>
              <w:autoSpaceDN w:val="0"/>
              <w:adjustRightInd w:val="0"/>
              <w:spacing w:after="0"/>
              <w:jc w:val="center"/>
              <w:rPr>
                <w:rFonts w:cs="Arial"/>
                <w:szCs w:val="24"/>
              </w:rPr>
            </w:pPr>
            <w:r w:rsidRPr="004502A9">
              <w:rPr>
                <w:rFonts w:cs="Arial"/>
                <w:szCs w:val="24"/>
              </w:rPr>
              <w:t>Los Angeles</w:t>
            </w:r>
          </w:p>
        </w:tc>
        <w:tc>
          <w:tcPr>
            <w:tcW w:w="1177" w:type="pct"/>
            <w:vAlign w:val="center"/>
          </w:tcPr>
          <w:p w14:paraId="4D7F2CF7" w14:textId="1248B28D" w:rsidR="00854A12" w:rsidRPr="004502A9" w:rsidRDefault="00854A12" w:rsidP="00854A12">
            <w:pPr>
              <w:autoSpaceDE w:val="0"/>
              <w:autoSpaceDN w:val="0"/>
              <w:adjustRightInd w:val="0"/>
              <w:spacing w:after="0"/>
              <w:jc w:val="center"/>
              <w:rPr>
                <w:rFonts w:cs="Arial"/>
                <w:szCs w:val="24"/>
              </w:rPr>
            </w:pPr>
            <w:r>
              <w:rPr>
                <w:rFonts w:cs="Arial"/>
                <w:szCs w:val="24"/>
              </w:rPr>
              <w:t>1,215</w:t>
            </w:r>
          </w:p>
        </w:tc>
        <w:tc>
          <w:tcPr>
            <w:tcW w:w="1079" w:type="pct"/>
            <w:vAlign w:val="center"/>
          </w:tcPr>
          <w:p w14:paraId="22ECDCB8" w14:textId="0A611AB2" w:rsidR="00854A12" w:rsidRPr="004502A9" w:rsidRDefault="00937DE5" w:rsidP="00854A12">
            <w:pPr>
              <w:autoSpaceDE w:val="0"/>
              <w:autoSpaceDN w:val="0"/>
              <w:adjustRightInd w:val="0"/>
              <w:spacing w:after="0"/>
              <w:jc w:val="center"/>
              <w:rPr>
                <w:rFonts w:cs="Arial"/>
                <w:szCs w:val="24"/>
              </w:rPr>
            </w:pPr>
            <w:r>
              <w:rPr>
                <w:rFonts w:cs="Arial"/>
                <w:szCs w:val="24"/>
              </w:rPr>
              <w:t>0</w:t>
            </w:r>
          </w:p>
        </w:tc>
        <w:tc>
          <w:tcPr>
            <w:tcW w:w="883" w:type="pct"/>
            <w:vAlign w:val="center"/>
          </w:tcPr>
          <w:p w14:paraId="73DC4247" w14:textId="43E969CC" w:rsidR="00854A12" w:rsidRPr="004502A9" w:rsidRDefault="00101470" w:rsidP="00854A12">
            <w:pPr>
              <w:autoSpaceDE w:val="0"/>
              <w:autoSpaceDN w:val="0"/>
              <w:adjustRightInd w:val="0"/>
              <w:spacing w:after="0"/>
              <w:jc w:val="center"/>
              <w:rPr>
                <w:rFonts w:cs="Arial"/>
                <w:szCs w:val="24"/>
              </w:rPr>
            </w:pPr>
            <w:r>
              <w:rPr>
                <w:rFonts w:cs="Arial"/>
                <w:szCs w:val="24"/>
              </w:rPr>
              <w:t>0</w:t>
            </w:r>
          </w:p>
        </w:tc>
        <w:tc>
          <w:tcPr>
            <w:tcW w:w="1127" w:type="pct"/>
            <w:vAlign w:val="center"/>
          </w:tcPr>
          <w:p w14:paraId="63E789EA" w14:textId="6AF46FF5" w:rsidR="00854A12" w:rsidRPr="004502A9" w:rsidRDefault="001268AE" w:rsidP="00854A12">
            <w:pPr>
              <w:autoSpaceDE w:val="0"/>
              <w:autoSpaceDN w:val="0"/>
              <w:adjustRightInd w:val="0"/>
              <w:spacing w:after="0"/>
              <w:jc w:val="center"/>
              <w:rPr>
                <w:rFonts w:cs="Arial"/>
                <w:szCs w:val="24"/>
              </w:rPr>
            </w:pPr>
            <w:r>
              <w:rPr>
                <w:rFonts w:cs="Arial"/>
                <w:szCs w:val="24"/>
              </w:rPr>
              <w:t>1</w:t>
            </w:r>
            <w:r w:rsidR="004979A3">
              <w:rPr>
                <w:rFonts w:cs="Arial"/>
                <w:szCs w:val="24"/>
              </w:rPr>
              <w:t>,</w:t>
            </w:r>
            <w:r w:rsidR="00937DE5">
              <w:rPr>
                <w:rFonts w:cs="Arial"/>
                <w:szCs w:val="24"/>
              </w:rPr>
              <w:t>215</w:t>
            </w:r>
          </w:p>
        </w:tc>
      </w:tr>
      <w:tr w:rsidR="00854A12" w:rsidRPr="004502A9" w14:paraId="42DD8D16" w14:textId="77777777" w:rsidTr="00F85253">
        <w:trPr>
          <w:trHeight w:val="720"/>
        </w:trPr>
        <w:tc>
          <w:tcPr>
            <w:tcW w:w="734" w:type="pct"/>
            <w:vAlign w:val="center"/>
          </w:tcPr>
          <w:p w14:paraId="30E1E243" w14:textId="77777777" w:rsidR="00854A12" w:rsidRPr="004502A9" w:rsidRDefault="00854A12" w:rsidP="00854A12">
            <w:pPr>
              <w:autoSpaceDE w:val="0"/>
              <w:autoSpaceDN w:val="0"/>
              <w:adjustRightInd w:val="0"/>
              <w:spacing w:after="0"/>
              <w:jc w:val="center"/>
              <w:rPr>
                <w:rFonts w:cs="Arial"/>
                <w:szCs w:val="24"/>
              </w:rPr>
            </w:pPr>
            <w:r w:rsidRPr="004502A9">
              <w:rPr>
                <w:rFonts w:cs="Arial"/>
                <w:szCs w:val="24"/>
              </w:rPr>
              <w:t>Central Valley</w:t>
            </w:r>
          </w:p>
        </w:tc>
        <w:tc>
          <w:tcPr>
            <w:tcW w:w="1177" w:type="pct"/>
            <w:vAlign w:val="center"/>
          </w:tcPr>
          <w:p w14:paraId="64B1FD21" w14:textId="09F67C01" w:rsidR="00854A12" w:rsidRPr="004502A9" w:rsidRDefault="00854A12" w:rsidP="00854A12">
            <w:pPr>
              <w:autoSpaceDE w:val="0"/>
              <w:autoSpaceDN w:val="0"/>
              <w:adjustRightInd w:val="0"/>
              <w:spacing w:after="0"/>
              <w:jc w:val="center"/>
              <w:rPr>
                <w:rFonts w:cs="Arial"/>
                <w:szCs w:val="24"/>
              </w:rPr>
            </w:pPr>
            <w:r>
              <w:rPr>
                <w:rFonts w:cs="Arial"/>
                <w:szCs w:val="24"/>
              </w:rPr>
              <w:t>1,246</w:t>
            </w:r>
          </w:p>
        </w:tc>
        <w:tc>
          <w:tcPr>
            <w:tcW w:w="1079" w:type="pct"/>
            <w:vAlign w:val="center"/>
          </w:tcPr>
          <w:p w14:paraId="1B48BE32" w14:textId="449FED42" w:rsidR="00854A12" w:rsidRPr="004502A9" w:rsidRDefault="00C90AA4" w:rsidP="00854A12">
            <w:pPr>
              <w:autoSpaceDE w:val="0"/>
              <w:autoSpaceDN w:val="0"/>
              <w:adjustRightInd w:val="0"/>
              <w:spacing w:after="0"/>
              <w:jc w:val="center"/>
              <w:rPr>
                <w:rFonts w:cs="Arial"/>
                <w:szCs w:val="24"/>
              </w:rPr>
            </w:pPr>
            <w:r>
              <w:rPr>
                <w:rFonts w:cs="Arial"/>
                <w:szCs w:val="24"/>
              </w:rPr>
              <w:t>149</w:t>
            </w:r>
          </w:p>
        </w:tc>
        <w:tc>
          <w:tcPr>
            <w:tcW w:w="883" w:type="pct"/>
            <w:vAlign w:val="center"/>
          </w:tcPr>
          <w:p w14:paraId="50B54A85" w14:textId="465DE461" w:rsidR="00854A12" w:rsidRPr="004502A9" w:rsidRDefault="00AB5FA2" w:rsidP="00854A12">
            <w:pPr>
              <w:autoSpaceDE w:val="0"/>
              <w:autoSpaceDN w:val="0"/>
              <w:adjustRightInd w:val="0"/>
              <w:spacing w:after="0"/>
              <w:jc w:val="center"/>
              <w:rPr>
                <w:rFonts w:cs="Arial"/>
                <w:szCs w:val="24"/>
              </w:rPr>
            </w:pPr>
            <w:r>
              <w:rPr>
                <w:rFonts w:cs="Arial"/>
                <w:szCs w:val="24"/>
              </w:rPr>
              <w:t>7</w:t>
            </w:r>
            <w:r w:rsidR="00C90AA4">
              <w:rPr>
                <w:rFonts w:cs="Arial"/>
                <w:szCs w:val="24"/>
              </w:rPr>
              <w:t>5</w:t>
            </w:r>
          </w:p>
        </w:tc>
        <w:tc>
          <w:tcPr>
            <w:tcW w:w="1127" w:type="pct"/>
            <w:vAlign w:val="center"/>
          </w:tcPr>
          <w:p w14:paraId="55F8BFA9" w14:textId="2D01D3F9" w:rsidR="00854A12" w:rsidRPr="004502A9" w:rsidRDefault="006667B1" w:rsidP="00854A12">
            <w:pPr>
              <w:autoSpaceDE w:val="0"/>
              <w:autoSpaceDN w:val="0"/>
              <w:adjustRightInd w:val="0"/>
              <w:spacing w:after="0"/>
              <w:jc w:val="center"/>
              <w:rPr>
                <w:rFonts w:cs="Arial"/>
                <w:szCs w:val="24"/>
              </w:rPr>
            </w:pPr>
            <w:r>
              <w:rPr>
                <w:rFonts w:cs="Arial"/>
                <w:szCs w:val="24"/>
              </w:rPr>
              <w:t>1,227</w:t>
            </w:r>
          </w:p>
        </w:tc>
      </w:tr>
      <w:tr w:rsidR="00854A12" w:rsidRPr="004502A9" w14:paraId="466B579E" w14:textId="77777777" w:rsidTr="00F85253">
        <w:trPr>
          <w:trHeight w:val="720"/>
        </w:trPr>
        <w:tc>
          <w:tcPr>
            <w:tcW w:w="734" w:type="pct"/>
            <w:vAlign w:val="center"/>
          </w:tcPr>
          <w:p w14:paraId="487A64E6" w14:textId="77777777" w:rsidR="00854A12" w:rsidRPr="004502A9" w:rsidRDefault="00854A12" w:rsidP="00854A12">
            <w:pPr>
              <w:autoSpaceDE w:val="0"/>
              <w:autoSpaceDN w:val="0"/>
              <w:adjustRightInd w:val="0"/>
              <w:spacing w:after="0"/>
              <w:jc w:val="center"/>
              <w:rPr>
                <w:rFonts w:cs="Arial"/>
                <w:szCs w:val="24"/>
              </w:rPr>
            </w:pPr>
            <w:r w:rsidRPr="004502A9">
              <w:rPr>
                <w:rFonts w:cs="Arial"/>
                <w:szCs w:val="24"/>
              </w:rPr>
              <w:t>Lahontan</w:t>
            </w:r>
          </w:p>
        </w:tc>
        <w:tc>
          <w:tcPr>
            <w:tcW w:w="1177" w:type="pct"/>
            <w:vAlign w:val="center"/>
          </w:tcPr>
          <w:p w14:paraId="1A7DB894" w14:textId="1FD10514" w:rsidR="00854A12" w:rsidRPr="004502A9" w:rsidRDefault="00854A12" w:rsidP="00854A12">
            <w:pPr>
              <w:autoSpaceDE w:val="0"/>
              <w:autoSpaceDN w:val="0"/>
              <w:adjustRightInd w:val="0"/>
              <w:spacing w:after="0"/>
              <w:jc w:val="center"/>
              <w:rPr>
                <w:rFonts w:cs="Arial"/>
                <w:szCs w:val="24"/>
              </w:rPr>
            </w:pPr>
            <w:r w:rsidRPr="004502A9">
              <w:rPr>
                <w:rFonts w:cs="Arial"/>
                <w:szCs w:val="24"/>
              </w:rPr>
              <w:t>256</w:t>
            </w:r>
          </w:p>
        </w:tc>
        <w:tc>
          <w:tcPr>
            <w:tcW w:w="1079" w:type="pct"/>
            <w:vAlign w:val="center"/>
          </w:tcPr>
          <w:p w14:paraId="641EC441" w14:textId="1B0F2A31" w:rsidR="00854A12" w:rsidRPr="004502A9" w:rsidRDefault="00C90AA4" w:rsidP="00854A12">
            <w:pPr>
              <w:autoSpaceDE w:val="0"/>
              <w:autoSpaceDN w:val="0"/>
              <w:adjustRightInd w:val="0"/>
              <w:spacing w:after="0"/>
              <w:jc w:val="center"/>
              <w:rPr>
                <w:rFonts w:cs="Arial"/>
                <w:szCs w:val="24"/>
              </w:rPr>
            </w:pPr>
            <w:r>
              <w:rPr>
                <w:rFonts w:cs="Arial"/>
                <w:szCs w:val="24"/>
              </w:rPr>
              <w:t>151</w:t>
            </w:r>
          </w:p>
        </w:tc>
        <w:tc>
          <w:tcPr>
            <w:tcW w:w="883" w:type="pct"/>
            <w:vAlign w:val="center"/>
          </w:tcPr>
          <w:p w14:paraId="0B5BDE30" w14:textId="25787F68" w:rsidR="00854A12" w:rsidRPr="004502A9" w:rsidRDefault="00BB6E1B" w:rsidP="00854A12">
            <w:pPr>
              <w:autoSpaceDE w:val="0"/>
              <w:autoSpaceDN w:val="0"/>
              <w:adjustRightInd w:val="0"/>
              <w:spacing w:after="0"/>
              <w:jc w:val="center"/>
              <w:rPr>
                <w:rFonts w:cs="Arial"/>
                <w:szCs w:val="24"/>
              </w:rPr>
            </w:pPr>
            <w:r>
              <w:rPr>
                <w:rFonts w:cs="Arial"/>
                <w:szCs w:val="24"/>
              </w:rPr>
              <w:t>35</w:t>
            </w:r>
          </w:p>
        </w:tc>
        <w:tc>
          <w:tcPr>
            <w:tcW w:w="1127" w:type="pct"/>
            <w:vAlign w:val="center"/>
          </w:tcPr>
          <w:p w14:paraId="5E67927B" w14:textId="32556AB6" w:rsidR="00854A12" w:rsidRPr="004502A9" w:rsidRDefault="0031787D" w:rsidP="00854A12">
            <w:pPr>
              <w:autoSpaceDE w:val="0"/>
              <w:autoSpaceDN w:val="0"/>
              <w:adjustRightInd w:val="0"/>
              <w:spacing w:after="0"/>
              <w:jc w:val="center"/>
              <w:rPr>
                <w:rFonts w:cs="Arial"/>
                <w:szCs w:val="24"/>
              </w:rPr>
            </w:pPr>
            <w:r>
              <w:rPr>
                <w:rFonts w:cs="Arial"/>
                <w:szCs w:val="24"/>
              </w:rPr>
              <w:t>35</w:t>
            </w:r>
            <w:r w:rsidR="00BB6E1B">
              <w:rPr>
                <w:rFonts w:cs="Arial"/>
                <w:szCs w:val="24"/>
              </w:rPr>
              <w:t>3</w:t>
            </w:r>
          </w:p>
        </w:tc>
      </w:tr>
      <w:tr w:rsidR="00854A12" w:rsidRPr="004502A9" w14:paraId="187C01D6" w14:textId="77777777" w:rsidTr="00F85253">
        <w:trPr>
          <w:trHeight w:val="720"/>
        </w:trPr>
        <w:tc>
          <w:tcPr>
            <w:tcW w:w="734" w:type="pct"/>
            <w:vAlign w:val="center"/>
          </w:tcPr>
          <w:p w14:paraId="1F0D278F" w14:textId="77777777" w:rsidR="00854A12" w:rsidRPr="004502A9" w:rsidRDefault="00854A12" w:rsidP="00854A12">
            <w:pPr>
              <w:autoSpaceDE w:val="0"/>
              <w:autoSpaceDN w:val="0"/>
              <w:adjustRightInd w:val="0"/>
              <w:spacing w:after="0"/>
              <w:jc w:val="center"/>
              <w:rPr>
                <w:rFonts w:cs="Arial"/>
                <w:szCs w:val="24"/>
              </w:rPr>
            </w:pPr>
            <w:r w:rsidRPr="004502A9">
              <w:rPr>
                <w:rFonts w:cs="Arial"/>
                <w:szCs w:val="24"/>
              </w:rPr>
              <w:t>Colorado River Basin</w:t>
            </w:r>
          </w:p>
        </w:tc>
        <w:tc>
          <w:tcPr>
            <w:tcW w:w="1177" w:type="pct"/>
            <w:vAlign w:val="center"/>
          </w:tcPr>
          <w:p w14:paraId="56B366A6" w14:textId="4E69BB6A" w:rsidR="00854A12" w:rsidRPr="004502A9" w:rsidRDefault="00854A12" w:rsidP="00854A12">
            <w:pPr>
              <w:autoSpaceDE w:val="0"/>
              <w:autoSpaceDN w:val="0"/>
              <w:adjustRightInd w:val="0"/>
              <w:spacing w:after="0"/>
              <w:jc w:val="center"/>
              <w:rPr>
                <w:rFonts w:cs="Arial"/>
                <w:szCs w:val="24"/>
              </w:rPr>
            </w:pPr>
            <w:r w:rsidRPr="004502A9">
              <w:rPr>
                <w:rFonts w:cs="Arial"/>
              </w:rPr>
              <w:t>110</w:t>
            </w:r>
          </w:p>
        </w:tc>
        <w:tc>
          <w:tcPr>
            <w:tcW w:w="1079" w:type="pct"/>
            <w:vAlign w:val="center"/>
          </w:tcPr>
          <w:p w14:paraId="3B75D602" w14:textId="06AB5655" w:rsidR="00854A12" w:rsidRPr="004502A9" w:rsidRDefault="00AB5FA2" w:rsidP="00854A12">
            <w:pPr>
              <w:autoSpaceDE w:val="0"/>
              <w:autoSpaceDN w:val="0"/>
              <w:adjustRightInd w:val="0"/>
              <w:spacing w:after="0"/>
              <w:jc w:val="center"/>
              <w:rPr>
                <w:rFonts w:cs="Arial"/>
              </w:rPr>
            </w:pPr>
            <w:r>
              <w:rPr>
                <w:rFonts w:cs="Arial"/>
              </w:rPr>
              <w:t>47</w:t>
            </w:r>
          </w:p>
        </w:tc>
        <w:tc>
          <w:tcPr>
            <w:tcW w:w="883" w:type="pct"/>
            <w:vAlign w:val="center"/>
          </w:tcPr>
          <w:p w14:paraId="329FCD30" w14:textId="2A88EECD" w:rsidR="00854A12" w:rsidRPr="004502A9" w:rsidRDefault="006E5A7A" w:rsidP="00854A12">
            <w:pPr>
              <w:autoSpaceDE w:val="0"/>
              <w:autoSpaceDN w:val="0"/>
              <w:adjustRightInd w:val="0"/>
              <w:spacing w:after="0"/>
              <w:jc w:val="center"/>
              <w:rPr>
                <w:rFonts w:cs="Arial"/>
                <w:szCs w:val="24"/>
              </w:rPr>
            </w:pPr>
            <w:r>
              <w:rPr>
                <w:rFonts w:cs="Arial"/>
                <w:szCs w:val="24"/>
              </w:rPr>
              <w:t>5</w:t>
            </w:r>
          </w:p>
        </w:tc>
        <w:tc>
          <w:tcPr>
            <w:tcW w:w="1127" w:type="pct"/>
            <w:vAlign w:val="center"/>
          </w:tcPr>
          <w:p w14:paraId="378F88B3" w14:textId="0BFC1381" w:rsidR="00854A12" w:rsidRPr="004502A9" w:rsidRDefault="007A7F3A" w:rsidP="00854A12">
            <w:pPr>
              <w:autoSpaceDE w:val="0"/>
              <w:autoSpaceDN w:val="0"/>
              <w:adjustRightInd w:val="0"/>
              <w:spacing w:after="0"/>
              <w:jc w:val="center"/>
              <w:rPr>
                <w:rFonts w:cs="Arial"/>
              </w:rPr>
            </w:pPr>
            <w:r>
              <w:rPr>
                <w:rFonts w:cs="Arial"/>
              </w:rPr>
              <w:t>152</w:t>
            </w:r>
          </w:p>
        </w:tc>
      </w:tr>
      <w:tr w:rsidR="00854A12" w:rsidRPr="004502A9" w14:paraId="01A4CAB3" w14:textId="77777777" w:rsidTr="00F85253">
        <w:trPr>
          <w:trHeight w:val="720"/>
        </w:trPr>
        <w:tc>
          <w:tcPr>
            <w:tcW w:w="734" w:type="pct"/>
            <w:vAlign w:val="center"/>
          </w:tcPr>
          <w:p w14:paraId="685F3B2B" w14:textId="01DAE427" w:rsidR="00854A12" w:rsidRPr="004502A9" w:rsidRDefault="00854A12" w:rsidP="00854A12">
            <w:pPr>
              <w:autoSpaceDE w:val="0"/>
              <w:autoSpaceDN w:val="0"/>
              <w:adjustRightInd w:val="0"/>
              <w:spacing w:after="0"/>
              <w:jc w:val="center"/>
              <w:rPr>
                <w:rFonts w:cs="Arial"/>
                <w:szCs w:val="24"/>
              </w:rPr>
            </w:pPr>
            <w:r w:rsidRPr="004502A9">
              <w:rPr>
                <w:rFonts w:cs="Arial"/>
                <w:szCs w:val="24"/>
              </w:rPr>
              <w:t>Santa Ana</w:t>
            </w:r>
          </w:p>
        </w:tc>
        <w:tc>
          <w:tcPr>
            <w:tcW w:w="1177" w:type="pct"/>
            <w:vAlign w:val="center"/>
          </w:tcPr>
          <w:p w14:paraId="286DC4F4" w14:textId="1A4DF4AD" w:rsidR="00854A12" w:rsidRPr="004502A9" w:rsidRDefault="00854A12" w:rsidP="00854A12">
            <w:pPr>
              <w:autoSpaceDE w:val="0"/>
              <w:autoSpaceDN w:val="0"/>
              <w:adjustRightInd w:val="0"/>
              <w:spacing w:after="0"/>
              <w:jc w:val="center"/>
              <w:rPr>
                <w:rFonts w:cs="Arial"/>
                <w:szCs w:val="24"/>
              </w:rPr>
            </w:pPr>
            <w:r>
              <w:rPr>
                <w:rFonts w:cs="Arial"/>
                <w:szCs w:val="24"/>
              </w:rPr>
              <w:t>18</w:t>
            </w:r>
            <w:r w:rsidR="00C43A4D">
              <w:rPr>
                <w:rFonts w:cs="Arial"/>
                <w:szCs w:val="24"/>
              </w:rPr>
              <w:t>3</w:t>
            </w:r>
          </w:p>
        </w:tc>
        <w:tc>
          <w:tcPr>
            <w:tcW w:w="1079" w:type="pct"/>
            <w:vAlign w:val="center"/>
          </w:tcPr>
          <w:p w14:paraId="16298070" w14:textId="132B1432" w:rsidR="00854A12" w:rsidRPr="004502A9" w:rsidRDefault="002C5233" w:rsidP="00854A12">
            <w:pPr>
              <w:autoSpaceDE w:val="0"/>
              <w:autoSpaceDN w:val="0"/>
              <w:adjustRightInd w:val="0"/>
              <w:spacing w:after="0"/>
              <w:jc w:val="center"/>
              <w:rPr>
                <w:rFonts w:cs="Arial"/>
                <w:szCs w:val="24"/>
              </w:rPr>
            </w:pPr>
            <w:r>
              <w:rPr>
                <w:rFonts w:cs="Arial"/>
                <w:szCs w:val="24"/>
              </w:rPr>
              <w:t>0</w:t>
            </w:r>
          </w:p>
        </w:tc>
        <w:tc>
          <w:tcPr>
            <w:tcW w:w="883" w:type="pct"/>
            <w:vAlign w:val="center"/>
          </w:tcPr>
          <w:p w14:paraId="5130FA37" w14:textId="658EF6D5" w:rsidR="00854A12" w:rsidRPr="004502A9" w:rsidRDefault="006E5A7A" w:rsidP="00854A12">
            <w:pPr>
              <w:autoSpaceDE w:val="0"/>
              <w:autoSpaceDN w:val="0"/>
              <w:adjustRightInd w:val="0"/>
              <w:spacing w:after="0"/>
              <w:jc w:val="center"/>
              <w:rPr>
                <w:rFonts w:cs="Arial"/>
                <w:szCs w:val="24"/>
              </w:rPr>
            </w:pPr>
            <w:r>
              <w:rPr>
                <w:rFonts w:cs="Arial"/>
                <w:szCs w:val="24"/>
              </w:rPr>
              <w:t>0</w:t>
            </w:r>
          </w:p>
        </w:tc>
        <w:tc>
          <w:tcPr>
            <w:tcW w:w="1127" w:type="pct"/>
            <w:vAlign w:val="center"/>
          </w:tcPr>
          <w:p w14:paraId="5EFBEC4A" w14:textId="3BB04719" w:rsidR="00854A12" w:rsidRPr="004502A9" w:rsidRDefault="008A3751" w:rsidP="00854A12">
            <w:pPr>
              <w:autoSpaceDE w:val="0"/>
              <w:autoSpaceDN w:val="0"/>
              <w:adjustRightInd w:val="0"/>
              <w:spacing w:after="0"/>
              <w:jc w:val="center"/>
              <w:rPr>
                <w:rFonts w:cs="Arial"/>
                <w:szCs w:val="24"/>
              </w:rPr>
            </w:pPr>
            <w:r>
              <w:rPr>
                <w:rFonts w:cs="Arial"/>
                <w:szCs w:val="24"/>
              </w:rPr>
              <w:t>18</w:t>
            </w:r>
            <w:r w:rsidR="00C43A4D">
              <w:rPr>
                <w:rFonts w:cs="Arial"/>
                <w:szCs w:val="24"/>
              </w:rPr>
              <w:t>3</w:t>
            </w:r>
          </w:p>
        </w:tc>
      </w:tr>
      <w:tr w:rsidR="00854A12" w:rsidRPr="004502A9" w14:paraId="0B2CC02B" w14:textId="77777777" w:rsidTr="00F85253">
        <w:trPr>
          <w:trHeight w:val="720"/>
        </w:trPr>
        <w:tc>
          <w:tcPr>
            <w:tcW w:w="734" w:type="pct"/>
            <w:vAlign w:val="center"/>
          </w:tcPr>
          <w:p w14:paraId="2A00D326" w14:textId="77777777" w:rsidR="00854A12" w:rsidRPr="004502A9" w:rsidRDefault="00854A12" w:rsidP="00854A12">
            <w:pPr>
              <w:autoSpaceDE w:val="0"/>
              <w:autoSpaceDN w:val="0"/>
              <w:adjustRightInd w:val="0"/>
              <w:spacing w:after="0"/>
              <w:jc w:val="center"/>
              <w:rPr>
                <w:rFonts w:cs="Arial"/>
                <w:szCs w:val="24"/>
              </w:rPr>
            </w:pPr>
            <w:r w:rsidRPr="004502A9">
              <w:rPr>
                <w:rFonts w:cs="Arial"/>
                <w:szCs w:val="24"/>
              </w:rPr>
              <w:t>San Diego</w:t>
            </w:r>
          </w:p>
        </w:tc>
        <w:tc>
          <w:tcPr>
            <w:tcW w:w="1177" w:type="pct"/>
            <w:vAlign w:val="center"/>
          </w:tcPr>
          <w:p w14:paraId="7CB13364" w14:textId="6C02D035" w:rsidR="00854A12" w:rsidRPr="004502A9" w:rsidRDefault="00854A12" w:rsidP="00854A12">
            <w:pPr>
              <w:autoSpaceDE w:val="0"/>
              <w:autoSpaceDN w:val="0"/>
              <w:adjustRightInd w:val="0"/>
              <w:spacing w:after="0"/>
              <w:jc w:val="center"/>
              <w:rPr>
                <w:rFonts w:cs="Arial"/>
                <w:szCs w:val="24"/>
              </w:rPr>
            </w:pPr>
            <w:r>
              <w:rPr>
                <w:rFonts w:cs="Arial"/>
                <w:szCs w:val="24"/>
              </w:rPr>
              <w:t>839</w:t>
            </w:r>
          </w:p>
        </w:tc>
        <w:tc>
          <w:tcPr>
            <w:tcW w:w="1079" w:type="pct"/>
            <w:vAlign w:val="center"/>
          </w:tcPr>
          <w:p w14:paraId="350D7FD3" w14:textId="0A676C97" w:rsidR="00854A12" w:rsidRPr="004502A9" w:rsidRDefault="002C5233" w:rsidP="00854A12">
            <w:pPr>
              <w:autoSpaceDE w:val="0"/>
              <w:autoSpaceDN w:val="0"/>
              <w:adjustRightInd w:val="0"/>
              <w:spacing w:after="0"/>
              <w:jc w:val="center"/>
              <w:rPr>
                <w:rFonts w:cs="Arial"/>
                <w:szCs w:val="24"/>
              </w:rPr>
            </w:pPr>
            <w:r>
              <w:rPr>
                <w:rFonts w:cs="Arial"/>
                <w:szCs w:val="24"/>
              </w:rPr>
              <w:t>1</w:t>
            </w:r>
          </w:p>
        </w:tc>
        <w:tc>
          <w:tcPr>
            <w:tcW w:w="883" w:type="pct"/>
            <w:vAlign w:val="center"/>
          </w:tcPr>
          <w:p w14:paraId="61ED8084" w14:textId="683DBBA1" w:rsidR="00854A12" w:rsidRPr="004502A9" w:rsidRDefault="006E5A7A" w:rsidP="00854A12">
            <w:pPr>
              <w:autoSpaceDE w:val="0"/>
              <w:autoSpaceDN w:val="0"/>
              <w:adjustRightInd w:val="0"/>
              <w:spacing w:after="0"/>
              <w:jc w:val="center"/>
              <w:rPr>
                <w:rFonts w:cs="Arial"/>
                <w:szCs w:val="24"/>
              </w:rPr>
            </w:pPr>
            <w:r>
              <w:rPr>
                <w:rFonts w:cs="Arial"/>
                <w:szCs w:val="24"/>
              </w:rPr>
              <w:t>2</w:t>
            </w:r>
          </w:p>
        </w:tc>
        <w:tc>
          <w:tcPr>
            <w:tcW w:w="1127" w:type="pct"/>
            <w:vAlign w:val="center"/>
          </w:tcPr>
          <w:p w14:paraId="6F683100" w14:textId="3154BB65" w:rsidR="00854A12" w:rsidRPr="004502A9" w:rsidRDefault="003D711C" w:rsidP="00854A12">
            <w:pPr>
              <w:autoSpaceDE w:val="0"/>
              <w:autoSpaceDN w:val="0"/>
              <w:adjustRightInd w:val="0"/>
              <w:spacing w:after="0"/>
              <w:jc w:val="center"/>
              <w:rPr>
                <w:rFonts w:cs="Arial"/>
                <w:szCs w:val="24"/>
              </w:rPr>
            </w:pPr>
            <w:r>
              <w:rPr>
                <w:rFonts w:cs="Arial"/>
                <w:szCs w:val="24"/>
              </w:rPr>
              <w:t>8</w:t>
            </w:r>
            <w:r w:rsidR="00335369">
              <w:rPr>
                <w:rFonts w:cs="Arial"/>
                <w:szCs w:val="24"/>
              </w:rPr>
              <w:t>38</w:t>
            </w:r>
          </w:p>
        </w:tc>
      </w:tr>
      <w:tr w:rsidR="00854A12" w:rsidRPr="004502A9" w14:paraId="563CFA5B" w14:textId="77777777" w:rsidTr="00F85253">
        <w:trPr>
          <w:trHeight w:val="720"/>
        </w:trPr>
        <w:tc>
          <w:tcPr>
            <w:tcW w:w="734" w:type="pct"/>
            <w:vAlign w:val="center"/>
          </w:tcPr>
          <w:p w14:paraId="4ED4EC24" w14:textId="77777777" w:rsidR="00854A12" w:rsidRPr="004502A9" w:rsidRDefault="00854A12" w:rsidP="00854A12">
            <w:pPr>
              <w:autoSpaceDE w:val="0"/>
              <w:autoSpaceDN w:val="0"/>
              <w:adjustRightInd w:val="0"/>
              <w:spacing w:after="0"/>
              <w:jc w:val="center"/>
              <w:rPr>
                <w:rFonts w:cs="Arial"/>
                <w:b/>
                <w:szCs w:val="24"/>
              </w:rPr>
            </w:pPr>
            <w:r w:rsidRPr="004502A9">
              <w:rPr>
                <w:rFonts w:cs="Arial"/>
                <w:b/>
                <w:szCs w:val="24"/>
              </w:rPr>
              <w:t>TOTALS</w:t>
            </w:r>
          </w:p>
        </w:tc>
        <w:tc>
          <w:tcPr>
            <w:tcW w:w="1177" w:type="pct"/>
            <w:vAlign w:val="center"/>
          </w:tcPr>
          <w:p w14:paraId="5973F599" w14:textId="58DAFCE0" w:rsidR="00854A12" w:rsidRPr="00AB5FA2" w:rsidRDefault="00854A12" w:rsidP="00854A12">
            <w:pPr>
              <w:autoSpaceDE w:val="0"/>
              <w:autoSpaceDN w:val="0"/>
              <w:adjustRightInd w:val="0"/>
              <w:spacing w:after="0"/>
              <w:jc w:val="center"/>
              <w:rPr>
                <w:rFonts w:cs="Arial"/>
                <w:b/>
              </w:rPr>
            </w:pPr>
            <w:r w:rsidRPr="00AB5FA2">
              <w:rPr>
                <w:rFonts w:cs="Arial"/>
                <w:b/>
              </w:rPr>
              <w:t>5,</w:t>
            </w:r>
            <w:r w:rsidRPr="00AB5FA2">
              <w:rPr>
                <w:rFonts w:cs="Arial"/>
                <w:b/>
                <w:bCs/>
              </w:rPr>
              <w:t>74</w:t>
            </w:r>
            <w:r w:rsidR="004E1B15" w:rsidRPr="00AB5FA2">
              <w:rPr>
                <w:rFonts w:cs="Arial"/>
                <w:b/>
                <w:bCs/>
              </w:rPr>
              <w:t>2</w:t>
            </w:r>
          </w:p>
        </w:tc>
        <w:tc>
          <w:tcPr>
            <w:tcW w:w="1079" w:type="pct"/>
            <w:vAlign w:val="center"/>
          </w:tcPr>
          <w:p w14:paraId="50A1C439" w14:textId="350D6A62" w:rsidR="00854A12" w:rsidRPr="00AB5FA2" w:rsidRDefault="00470275" w:rsidP="00854A12">
            <w:pPr>
              <w:autoSpaceDE w:val="0"/>
              <w:autoSpaceDN w:val="0"/>
              <w:adjustRightInd w:val="0"/>
              <w:spacing w:after="0"/>
              <w:jc w:val="center"/>
              <w:rPr>
                <w:rFonts w:cs="Arial"/>
                <w:b/>
              </w:rPr>
            </w:pPr>
            <w:r>
              <w:rPr>
                <w:rFonts w:cs="Arial"/>
                <w:b/>
                <w:bCs/>
              </w:rPr>
              <w:t>426</w:t>
            </w:r>
          </w:p>
        </w:tc>
        <w:tc>
          <w:tcPr>
            <w:tcW w:w="883" w:type="pct"/>
            <w:vAlign w:val="center"/>
          </w:tcPr>
          <w:p w14:paraId="68F1B025" w14:textId="5EB70C1D" w:rsidR="00854A12" w:rsidRPr="00AB5FA2" w:rsidRDefault="003C57A5" w:rsidP="00854A12">
            <w:pPr>
              <w:autoSpaceDE w:val="0"/>
              <w:autoSpaceDN w:val="0"/>
              <w:adjustRightInd w:val="0"/>
              <w:spacing w:after="0"/>
              <w:jc w:val="center"/>
              <w:rPr>
                <w:rFonts w:cs="Arial"/>
                <w:b/>
                <w:szCs w:val="24"/>
              </w:rPr>
            </w:pPr>
            <w:r>
              <w:rPr>
                <w:rFonts w:cs="Arial"/>
                <w:b/>
                <w:bCs/>
                <w:szCs w:val="24"/>
              </w:rPr>
              <w:t>13</w:t>
            </w:r>
            <w:r w:rsidR="006A4B48">
              <w:rPr>
                <w:rFonts w:cs="Arial"/>
                <w:b/>
                <w:bCs/>
                <w:szCs w:val="24"/>
              </w:rPr>
              <w:t>6</w:t>
            </w:r>
          </w:p>
        </w:tc>
        <w:tc>
          <w:tcPr>
            <w:tcW w:w="1127" w:type="pct"/>
            <w:vAlign w:val="center"/>
          </w:tcPr>
          <w:p w14:paraId="1AFF7BCC" w14:textId="75C7AE9C" w:rsidR="00854A12" w:rsidRPr="00AB5FA2" w:rsidRDefault="0070651D" w:rsidP="00854A12">
            <w:pPr>
              <w:autoSpaceDE w:val="0"/>
              <w:autoSpaceDN w:val="0"/>
              <w:adjustRightInd w:val="0"/>
              <w:spacing w:after="0"/>
              <w:jc w:val="center"/>
              <w:rPr>
                <w:rFonts w:cs="Arial"/>
                <w:b/>
              </w:rPr>
            </w:pPr>
            <w:r>
              <w:rPr>
                <w:rFonts w:cs="Arial"/>
                <w:b/>
                <w:bCs/>
              </w:rPr>
              <w:t>6</w:t>
            </w:r>
            <w:r w:rsidR="0014135B">
              <w:rPr>
                <w:rFonts w:cs="Arial"/>
                <w:b/>
                <w:bCs/>
              </w:rPr>
              <w:t>,032</w:t>
            </w:r>
          </w:p>
        </w:tc>
      </w:tr>
    </w:tbl>
    <w:p w14:paraId="6263C90D" w14:textId="2D72CE84" w:rsidR="00FB7209" w:rsidRPr="003C0CC8" w:rsidRDefault="00F85253" w:rsidP="00F85253">
      <w:pPr>
        <w:rPr>
          <w:i/>
          <w:iCs/>
        </w:rPr>
      </w:pPr>
      <w:bookmarkStart w:id="222" w:name="_Toc35011411"/>
      <w:bookmarkStart w:id="223" w:name="_Toc19788833"/>
      <w:bookmarkStart w:id="224" w:name="_Toc383584614"/>
      <w:bookmarkStart w:id="225" w:name="_Toc2265938"/>
      <w:r>
        <w:rPr>
          <w:i/>
          <w:iCs/>
        </w:rPr>
        <w:t>Count of</w:t>
      </w:r>
      <w:r w:rsidRPr="00FF1FF4">
        <w:rPr>
          <w:i/>
          <w:iCs/>
        </w:rPr>
        <w:t xml:space="preserve"> </w:t>
      </w:r>
      <w:r w:rsidR="00C6428D">
        <w:rPr>
          <w:i/>
          <w:iCs/>
        </w:rPr>
        <w:t>2026</w:t>
      </w:r>
      <w:r w:rsidRPr="00FF1FF4">
        <w:rPr>
          <w:i/>
          <w:iCs/>
        </w:rPr>
        <w:t xml:space="preserve"> </w:t>
      </w:r>
      <w:r>
        <w:rPr>
          <w:i/>
          <w:iCs/>
        </w:rPr>
        <w:t>3</w:t>
      </w:r>
      <w:r w:rsidRPr="00FF1FF4">
        <w:rPr>
          <w:i/>
          <w:iCs/>
        </w:rPr>
        <w:t xml:space="preserve">03(d) </w:t>
      </w:r>
      <w:r>
        <w:rPr>
          <w:i/>
          <w:iCs/>
        </w:rPr>
        <w:t>l</w:t>
      </w:r>
      <w:r w:rsidRPr="00FF1FF4">
        <w:rPr>
          <w:i/>
          <w:iCs/>
        </w:rPr>
        <w:t xml:space="preserve">istings may not </w:t>
      </w:r>
      <w:r>
        <w:rPr>
          <w:i/>
          <w:iCs/>
        </w:rPr>
        <w:t>equal</w:t>
      </w:r>
      <w:r w:rsidRPr="00FF1FF4">
        <w:rPr>
          <w:i/>
          <w:iCs/>
        </w:rPr>
        <w:t xml:space="preserve"> the addition of new listings and </w:t>
      </w:r>
      <w:r>
        <w:rPr>
          <w:i/>
          <w:iCs/>
        </w:rPr>
        <w:t>removal</w:t>
      </w:r>
      <w:r w:rsidRPr="00FF1FF4">
        <w:rPr>
          <w:i/>
          <w:iCs/>
        </w:rPr>
        <w:t xml:space="preserve"> of delistings from the 2020-2022 303(d) </w:t>
      </w:r>
      <w:r w:rsidR="00942030">
        <w:rPr>
          <w:i/>
          <w:iCs/>
        </w:rPr>
        <w:t>L</w:t>
      </w:r>
      <w:r w:rsidRPr="00FF1FF4">
        <w:rPr>
          <w:i/>
          <w:iCs/>
        </w:rPr>
        <w:t xml:space="preserve">ist due to waterbody splits, merges, or other miscellaneous changes. </w:t>
      </w:r>
    </w:p>
    <w:p w14:paraId="7C5D4634" w14:textId="52002858" w:rsidR="007710C3" w:rsidRPr="004502A9" w:rsidRDefault="00017589" w:rsidP="00597DE8">
      <w:pPr>
        <w:pStyle w:val="Heading1"/>
      </w:pPr>
      <w:bookmarkStart w:id="226" w:name="_Toc189048651"/>
      <w:r>
        <w:t xml:space="preserve">California’s </w:t>
      </w:r>
      <w:r w:rsidR="007710C3" w:rsidRPr="004502A9">
        <w:t>305(b) Integrated Report Condition Categories</w:t>
      </w:r>
      <w:bookmarkEnd w:id="222"/>
      <w:bookmarkEnd w:id="226"/>
      <w:r w:rsidR="007710C3" w:rsidRPr="004502A9">
        <w:t xml:space="preserve"> </w:t>
      </w:r>
      <w:bookmarkEnd w:id="223"/>
    </w:p>
    <w:bookmarkEnd w:id="224"/>
    <w:bookmarkEnd w:id="225"/>
    <w:p w14:paraId="215B2E3B" w14:textId="15E39DB0" w:rsidR="007710C3" w:rsidRPr="004502A9" w:rsidRDefault="007710C3" w:rsidP="007710C3">
      <w:pPr>
        <w:rPr>
          <w:rFonts w:cs="Arial"/>
        </w:rPr>
      </w:pPr>
      <w:r w:rsidRPr="004502A9">
        <w:rPr>
          <w:rFonts w:cs="Arial"/>
        </w:rPr>
        <w:t xml:space="preserve">For the </w:t>
      </w:r>
      <w:r w:rsidR="00C6428D">
        <w:rPr>
          <w:rFonts w:eastAsia="Arial" w:cs="Arial"/>
        </w:rPr>
        <w:t>2026</w:t>
      </w:r>
      <w:r w:rsidRPr="004502A9">
        <w:rPr>
          <w:rFonts w:eastAsia="Arial" w:cs="Arial"/>
        </w:rPr>
        <w:t xml:space="preserve"> </w:t>
      </w:r>
      <w:r w:rsidR="00CD5215">
        <w:rPr>
          <w:rFonts w:cs="Arial"/>
        </w:rPr>
        <w:t>California Integrated Report</w:t>
      </w:r>
      <w:r w:rsidRPr="004502A9">
        <w:rPr>
          <w:rFonts w:cs="Arial"/>
        </w:rPr>
        <w:t xml:space="preserve">, a total of </w:t>
      </w:r>
      <w:r w:rsidR="00536F64">
        <w:rPr>
          <w:rFonts w:cs="Arial"/>
        </w:rPr>
        <w:t>950</w:t>
      </w:r>
      <w:r w:rsidR="00854A12" w:rsidRPr="004502A9">
        <w:rPr>
          <w:rFonts w:cs="Arial"/>
        </w:rPr>
        <w:t xml:space="preserve"> </w:t>
      </w:r>
      <w:r w:rsidRPr="004502A9">
        <w:rPr>
          <w:rFonts w:cs="Arial"/>
        </w:rPr>
        <w:t>waterbod</w:t>
      </w:r>
      <w:r w:rsidR="002A010E">
        <w:rPr>
          <w:rFonts w:cs="Arial"/>
        </w:rPr>
        <w:t>y segments</w:t>
      </w:r>
      <w:r w:rsidRPr="004502A9">
        <w:rPr>
          <w:rFonts w:cs="Arial"/>
        </w:rPr>
        <w:t xml:space="preserve"> (containing </w:t>
      </w:r>
      <w:r w:rsidR="001C13EA">
        <w:rPr>
          <w:rFonts w:cs="Arial"/>
        </w:rPr>
        <w:t>15,765</w:t>
      </w:r>
      <w:r w:rsidRPr="00F30123">
        <w:rPr>
          <w:rFonts w:cs="Arial"/>
        </w:rPr>
        <w:t xml:space="preserve"> </w:t>
      </w:r>
      <w:r w:rsidRPr="004502A9">
        <w:rPr>
          <w:rFonts w:cs="Arial"/>
        </w:rPr>
        <w:t xml:space="preserve">waterbody-pollutant combinations) were </w:t>
      </w:r>
      <w:r w:rsidR="00FB0217" w:rsidRPr="00C35144">
        <w:rPr>
          <w:rFonts w:cs="Arial"/>
        </w:rPr>
        <w:t>assessed</w:t>
      </w:r>
      <w:r w:rsidRPr="004502A9">
        <w:rPr>
          <w:rFonts w:cs="Arial"/>
        </w:rPr>
        <w:t>. See Table</w:t>
      </w:r>
      <w:r w:rsidR="005027B6">
        <w:rPr>
          <w:rFonts w:cs="Arial"/>
        </w:rPr>
        <w:t>s</w:t>
      </w:r>
      <w:r w:rsidRPr="004502A9">
        <w:rPr>
          <w:rFonts w:cs="Arial"/>
        </w:rPr>
        <w:t xml:space="preserve"> </w:t>
      </w:r>
      <w:r w:rsidR="00DE7B4F">
        <w:rPr>
          <w:rFonts w:cs="Arial"/>
        </w:rPr>
        <w:t>1</w:t>
      </w:r>
      <w:r w:rsidR="0029613A">
        <w:rPr>
          <w:rFonts w:cs="Arial"/>
        </w:rPr>
        <w:t>1</w:t>
      </w:r>
      <w:r w:rsidRPr="004502A9">
        <w:rPr>
          <w:rFonts w:cs="Arial"/>
        </w:rPr>
        <w:t xml:space="preserve">-1 and Table </w:t>
      </w:r>
      <w:r w:rsidR="00DE7B4F">
        <w:rPr>
          <w:rFonts w:cs="Arial"/>
        </w:rPr>
        <w:t>1</w:t>
      </w:r>
      <w:r w:rsidR="0029613A">
        <w:rPr>
          <w:rFonts w:cs="Arial"/>
        </w:rPr>
        <w:t>1</w:t>
      </w:r>
      <w:r w:rsidRPr="004502A9">
        <w:rPr>
          <w:rFonts w:cs="Arial"/>
        </w:rPr>
        <w:t>-2, for a summary of the number of waterbodies both current and proposed in each of the five Integrated Report condition categories.</w:t>
      </w:r>
      <w:bookmarkStart w:id="227" w:name="_Toc388953542"/>
      <w:r w:rsidRPr="004502A9">
        <w:rPr>
          <w:rFonts w:cs="Arial"/>
        </w:rPr>
        <w:t xml:space="preserve"> Categories 1, 2, 3, and 4c are informational and do not require Water Boards approval. Waterbodies placed in those categories will be submitted as part of the 305(b) portion of the </w:t>
      </w:r>
      <w:r w:rsidR="00C6428D">
        <w:rPr>
          <w:rFonts w:eastAsia="Arial" w:cs="Arial"/>
        </w:rPr>
        <w:t>2026</w:t>
      </w:r>
      <w:r w:rsidRPr="004502A9">
        <w:rPr>
          <w:rFonts w:eastAsia="Arial" w:cs="Arial"/>
        </w:rPr>
        <w:t xml:space="preserve"> </w:t>
      </w:r>
      <w:r w:rsidRPr="004502A9">
        <w:rPr>
          <w:rFonts w:cs="Arial"/>
        </w:rPr>
        <w:t xml:space="preserve">Integrated Report to the </w:t>
      </w:r>
      <w:r w:rsidR="00313C98">
        <w:rPr>
          <w:rFonts w:cs="Arial"/>
        </w:rPr>
        <w:t>USEPA</w:t>
      </w:r>
      <w:r w:rsidRPr="004502A9">
        <w:rPr>
          <w:rFonts w:cs="Arial"/>
        </w:rPr>
        <w:t xml:space="preserve"> for their report to Congress. Categories 4a, 4b, and 5 are the 303(d) </w:t>
      </w:r>
      <w:r w:rsidR="00C06CFB">
        <w:rPr>
          <w:rFonts w:cs="Arial"/>
        </w:rPr>
        <w:t>l</w:t>
      </w:r>
      <w:r w:rsidRPr="004502A9">
        <w:rPr>
          <w:rFonts w:cs="Arial"/>
        </w:rPr>
        <w:t xml:space="preserve">ist. </w:t>
      </w:r>
    </w:p>
    <w:bookmarkEnd w:id="227"/>
    <w:p w14:paraId="035A57BB" w14:textId="4EF12AFD" w:rsidR="00C161AC" w:rsidRDefault="00C161AC" w:rsidP="00C161AC">
      <w:pPr>
        <w:pStyle w:val="Caption"/>
        <w:keepNext/>
      </w:pPr>
      <w:r>
        <w:t xml:space="preserve">Table </w:t>
      </w:r>
      <w:r w:rsidR="006149E7">
        <w:t>1</w:t>
      </w:r>
      <w:r w:rsidR="00AB32F5">
        <w:t>1</w:t>
      </w:r>
      <w:r w:rsidR="00B33346">
        <w:noBreakHyphen/>
      </w:r>
      <w:r w:rsidR="00DE7B4F">
        <w:t>1</w:t>
      </w:r>
      <w:r w:rsidR="00B33346">
        <w:t>:</w:t>
      </w:r>
      <w:r>
        <w:t xml:space="preserve"> </w:t>
      </w:r>
      <w:r w:rsidRPr="00BB5E8F">
        <w:t xml:space="preserve">Count of Waterbodies in </w:t>
      </w:r>
      <w:r w:rsidR="00017589">
        <w:t xml:space="preserve">California’s </w:t>
      </w:r>
      <w:r w:rsidRPr="00BB5E8F">
        <w:t>305(b) Integrated Report Condition Categories – Streams</w:t>
      </w:r>
      <w:r w:rsidR="00E2493F">
        <w:t>,</w:t>
      </w:r>
      <w:r w:rsidRPr="00BB5E8F">
        <w:t xml:space="preserve"> Rivers</w:t>
      </w:r>
      <w:r w:rsidR="00E2493F">
        <w:t>, and Coastal Beaches</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unt of Waterbodies in the 305(b) Integrated Report Condition Categories - Streams and Rivers"/>
        <w:tblDescription w:val="This table shows the Integrated Report Condition Category, the number of 2024 streams per category, proposed new updates, and the 2026 sum of current and proposed new updates. "/>
      </w:tblPr>
      <w:tblGrid>
        <w:gridCol w:w="1845"/>
        <w:gridCol w:w="2500"/>
        <w:gridCol w:w="2500"/>
        <w:gridCol w:w="2500"/>
      </w:tblGrid>
      <w:tr w:rsidR="007710C3" w:rsidRPr="004502A9" w14:paraId="1DEC14C5" w14:textId="77777777" w:rsidTr="004A555A">
        <w:trPr>
          <w:trHeight w:val="773"/>
        </w:trPr>
        <w:tc>
          <w:tcPr>
            <w:tcW w:w="1845" w:type="dxa"/>
            <w:shd w:val="clear" w:color="auto" w:fill="DEEAF6" w:themeFill="accent5" w:themeFillTint="33"/>
            <w:vAlign w:val="center"/>
          </w:tcPr>
          <w:p w14:paraId="7AA6DE4F" w14:textId="34001B51" w:rsidR="007710C3" w:rsidRPr="00097463" w:rsidRDefault="00017589" w:rsidP="00097463">
            <w:pPr>
              <w:spacing w:before="120" w:after="120"/>
              <w:jc w:val="center"/>
              <w:rPr>
                <w:rFonts w:cs="Arial"/>
                <w:b/>
                <w:bCs/>
              </w:rPr>
            </w:pPr>
            <w:r>
              <w:rPr>
                <w:rFonts w:cs="Arial"/>
                <w:b/>
                <w:bCs/>
              </w:rPr>
              <w:t xml:space="preserve">California’s </w:t>
            </w:r>
            <w:r w:rsidR="007710C3" w:rsidRPr="00097463">
              <w:rPr>
                <w:rFonts w:cs="Arial"/>
                <w:b/>
                <w:bCs/>
              </w:rPr>
              <w:t>Integrated Report Condition Category</w:t>
            </w:r>
          </w:p>
        </w:tc>
        <w:tc>
          <w:tcPr>
            <w:tcW w:w="2500" w:type="dxa"/>
            <w:shd w:val="clear" w:color="auto" w:fill="DEEAF6" w:themeFill="accent5" w:themeFillTint="33"/>
            <w:vAlign w:val="center"/>
          </w:tcPr>
          <w:p w14:paraId="6EAB7F72" w14:textId="2A46E8E3" w:rsidR="007710C3" w:rsidRPr="00097463" w:rsidRDefault="005E2CCC" w:rsidP="00097463">
            <w:pPr>
              <w:spacing w:before="120" w:after="120"/>
              <w:jc w:val="center"/>
              <w:rPr>
                <w:rFonts w:cs="Arial"/>
                <w:b/>
                <w:bCs/>
              </w:rPr>
            </w:pPr>
            <w:r>
              <w:rPr>
                <w:rFonts w:eastAsia="Arial" w:cs="Arial"/>
                <w:b/>
                <w:bCs/>
              </w:rPr>
              <w:t>2024</w:t>
            </w:r>
            <w:r w:rsidR="00BB7067" w:rsidRPr="00097463">
              <w:rPr>
                <w:rFonts w:eastAsia="Arial" w:cs="Arial"/>
                <w:b/>
                <w:bCs/>
              </w:rPr>
              <w:t xml:space="preserve"> </w:t>
            </w:r>
            <w:r w:rsidR="007710C3" w:rsidRPr="00097463">
              <w:rPr>
                <w:rFonts w:cs="Arial"/>
                <w:b/>
                <w:bCs/>
              </w:rPr>
              <w:t>Streams</w:t>
            </w:r>
            <w:r w:rsidR="007055AE">
              <w:rPr>
                <w:rFonts w:cs="Arial"/>
                <w:b/>
              </w:rPr>
              <w:t>, Rivers</w:t>
            </w:r>
            <w:r w:rsidR="0053780C">
              <w:rPr>
                <w:rFonts w:cs="Arial"/>
                <w:b/>
              </w:rPr>
              <w:t>,</w:t>
            </w:r>
            <w:r w:rsidR="00FD7B3D">
              <w:rPr>
                <w:rFonts w:cs="Arial"/>
                <w:b/>
              </w:rPr>
              <w:t xml:space="preserve"> and Coastal Beaches</w:t>
            </w:r>
            <w:r w:rsidR="007710C3" w:rsidRPr="00097463">
              <w:rPr>
                <w:rFonts w:cs="Arial"/>
                <w:b/>
                <w:bCs/>
              </w:rPr>
              <w:t xml:space="preserve"> per Category</w:t>
            </w:r>
          </w:p>
        </w:tc>
        <w:tc>
          <w:tcPr>
            <w:tcW w:w="2500" w:type="dxa"/>
            <w:shd w:val="clear" w:color="auto" w:fill="DEEAF6" w:themeFill="accent5" w:themeFillTint="33"/>
            <w:vAlign w:val="center"/>
          </w:tcPr>
          <w:p w14:paraId="44453745" w14:textId="6279A804" w:rsidR="007710C3" w:rsidRPr="00097463" w:rsidRDefault="007710C3" w:rsidP="00097463">
            <w:pPr>
              <w:spacing w:before="120" w:after="120"/>
              <w:jc w:val="center"/>
              <w:rPr>
                <w:rFonts w:cs="Arial"/>
                <w:b/>
                <w:bCs/>
              </w:rPr>
            </w:pPr>
            <w:r w:rsidRPr="00097463">
              <w:rPr>
                <w:rFonts w:cs="Arial"/>
                <w:b/>
                <w:bCs/>
              </w:rPr>
              <w:t>Proposed New Revisions</w:t>
            </w:r>
          </w:p>
        </w:tc>
        <w:tc>
          <w:tcPr>
            <w:tcW w:w="2500" w:type="dxa"/>
            <w:shd w:val="clear" w:color="auto" w:fill="DEEAF6" w:themeFill="accent5" w:themeFillTint="33"/>
            <w:vAlign w:val="center"/>
          </w:tcPr>
          <w:p w14:paraId="2E661979" w14:textId="587BFF18" w:rsidR="007710C3" w:rsidRPr="00097463" w:rsidRDefault="00C6428D" w:rsidP="00097463">
            <w:pPr>
              <w:spacing w:before="120" w:after="120"/>
              <w:jc w:val="center"/>
              <w:rPr>
                <w:rFonts w:cs="Arial"/>
                <w:b/>
                <w:bCs/>
              </w:rPr>
            </w:pPr>
            <w:r>
              <w:rPr>
                <w:rFonts w:cs="Arial"/>
                <w:b/>
                <w:bCs/>
              </w:rPr>
              <w:t>2026</w:t>
            </w:r>
            <w:r w:rsidR="007710C3" w:rsidRPr="00097463">
              <w:rPr>
                <w:rFonts w:cs="Arial"/>
                <w:b/>
                <w:bCs/>
              </w:rPr>
              <w:t xml:space="preserve"> Sum of Current and Proposed New Revisions</w:t>
            </w:r>
          </w:p>
        </w:tc>
      </w:tr>
      <w:tr w:rsidR="005E2CCC" w:rsidRPr="004502A9" w14:paraId="21140BDA" w14:textId="77777777" w:rsidTr="004A555A">
        <w:trPr>
          <w:trHeight w:val="230"/>
        </w:trPr>
        <w:tc>
          <w:tcPr>
            <w:tcW w:w="1845" w:type="dxa"/>
          </w:tcPr>
          <w:p w14:paraId="04E58CEE" w14:textId="77777777" w:rsidR="005E2CCC" w:rsidRPr="004502A9" w:rsidRDefault="005E2CCC" w:rsidP="005E2CCC">
            <w:pPr>
              <w:spacing w:before="120" w:after="120"/>
              <w:jc w:val="center"/>
              <w:rPr>
                <w:rFonts w:cs="Arial"/>
                <w:b/>
              </w:rPr>
            </w:pPr>
            <w:r w:rsidRPr="004502A9">
              <w:rPr>
                <w:rFonts w:cs="Arial"/>
                <w:b/>
              </w:rPr>
              <w:t>1</w:t>
            </w:r>
          </w:p>
        </w:tc>
        <w:tc>
          <w:tcPr>
            <w:tcW w:w="2500" w:type="dxa"/>
          </w:tcPr>
          <w:p w14:paraId="755C453F" w14:textId="3A9FC031" w:rsidR="005E2CCC" w:rsidRPr="00DA52C0" w:rsidRDefault="005E2CCC" w:rsidP="005E2CCC">
            <w:pPr>
              <w:spacing w:before="120" w:after="120"/>
              <w:jc w:val="center"/>
              <w:rPr>
                <w:rFonts w:cs="Arial"/>
              </w:rPr>
            </w:pPr>
            <w:r w:rsidRPr="00801972">
              <w:t>721</w:t>
            </w:r>
          </w:p>
        </w:tc>
        <w:tc>
          <w:tcPr>
            <w:tcW w:w="2500" w:type="dxa"/>
          </w:tcPr>
          <w:p w14:paraId="6FD98A54" w14:textId="74341421" w:rsidR="005E2CCC" w:rsidRPr="004502A9" w:rsidRDefault="0098517C" w:rsidP="005E2CCC">
            <w:pPr>
              <w:spacing w:before="120" w:after="120"/>
              <w:jc w:val="center"/>
              <w:rPr>
                <w:rFonts w:cs="Arial"/>
              </w:rPr>
            </w:pPr>
            <w:r>
              <w:rPr>
                <w:rFonts w:cs="Arial"/>
              </w:rPr>
              <w:t>30</w:t>
            </w:r>
          </w:p>
        </w:tc>
        <w:tc>
          <w:tcPr>
            <w:tcW w:w="2500" w:type="dxa"/>
          </w:tcPr>
          <w:p w14:paraId="079CAFE1" w14:textId="67C3835F" w:rsidR="005E2CCC" w:rsidRPr="004502A9" w:rsidRDefault="008A60EE" w:rsidP="005E2CCC">
            <w:pPr>
              <w:spacing w:before="120" w:after="120"/>
              <w:jc w:val="center"/>
              <w:rPr>
                <w:rFonts w:cs="Arial"/>
              </w:rPr>
            </w:pPr>
            <w:r>
              <w:rPr>
                <w:rFonts w:cs="Arial"/>
              </w:rPr>
              <w:t>751</w:t>
            </w:r>
          </w:p>
        </w:tc>
      </w:tr>
      <w:tr w:rsidR="005E2CCC" w:rsidRPr="004502A9" w14:paraId="64A442E5" w14:textId="77777777" w:rsidTr="004A555A">
        <w:trPr>
          <w:trHeight w:val="230"/>
        </w:trPr>
        <w:tc>
          <w:tcPr>
            <w:tcW w:w="1845" w:type="dxa"/>
          </w:tcPr>
          <w:p w14:paraId="19177E1E" w14:textId="77777777" w:rsidR="005E2CCC" w:rsidRPr="004502A9" w:rsidRDefault="005E2CCC" w:rsidP="005E2CCC">
            <w:pPr>
              <w:spacing w:before="120" w:after="120"/>
              <w:jc w:val="center"/>
              <w:rPr>
                <w:rFonts w:cs="Arial"/>
                <w:b/>
              </w:rPr>
            </w:pPr>
            <w:r w:rsidRPr="004502A9">
              <w:rPr>
                <w:rFonts w:cs="Arial"/>
                <w:b/>
              </w:rPr>
              <w:t>2</w:t>
            </w:r>
          </w:p>
        </w:tc>
        <w:tc>
          <w:tcPr>
            <w:tcW w:w="2500" w:type="dxa"/>
          </w:tcPr>
          <w:p w14:paraId="354E0929" w14:textId="1D9CFA1C" w:rsidR="005E2CCC" w:rsidRPr="00DA52C0" w:rsidRDefault="005E2CCC" w:rsidP="005E2CCC">
            <w:pPr>
              <w:spacing w:before="120" w:after="120"/>
              <w:jc w:val="center"/>
              <w:rPr>
                <w:rFonts w:cs="Arial"/>
              </w:rPr>
            </w:pPr>
            <w:r w:rsidRPr="00801972">
              <w:t>840</w:t>
            </w:r>
          </w:p>
        </w:tc>
        <w:tc>
          <w:tcPr>
            <w:tcW w:w="2500" w:type="dxa"/>
          </w:tcPr>
          <w:p w14:paraId="0DC22F95" w14:textId="0D5D087E" w:rsidR="005E2CCC" w:rsidRPr="004502A9" w:rsidRDefault="0098517C" w:rsidP="005E2CCC">
            <w:pPr>
              <w:spacing w:before="120" w:after="120"/>
              <w:jc w:val="center"/>
              <w:rPr>
                <w:rFonts w:cs="Arial"/>
              </w:rPr>
            </w:pPr>
            <w:r>
              <w:rPr>
                <w:rFonts w:cs="Arial"/>
              </w:rPr>
              <w:t>31</w:t>
            </w:r>
          </w:p>
        </w:tc>
        <w:tc>
          <w:tcPr>
            <w:tcW w:w="2500" w:type="dxa"/>
          </w:tcPr>
          <w:p w14:paraId="6DA817C1" w14:textId="56BA17B5" w:rsidR="005E2CCC" w:rsidRPr="004502A9" w:rsidRDefault="008A60EE" w:rsidP="005E2CCC">
            <w:pPr>
              <w:spacing w:before="120" w:after="120"/>
              <w:jc w:val="center"/>
              <w:rPr>
                <w:rFonts w:cs="Arial"/>
              </w:rPr>
            </w:pPr>
            <w:r>
              <w:rPr>
                <w:rFonts w:cs="Arial"/>
              </w:rPr>
              <w:t>871</w:t>
            </w:r>
          </w:p>
        </w:tc>
      </w:tr>
      <w:tr w:rsidR="005E2CCC" w:rsidRPr="004502A9" w14:paraId="084E0B84" w14:textId="77777777" w:rsidTr="004A555A">
        <w:trPr>
          <w:trHeight w:val="230"/>
        </w:trPr>
        <w:tc>
          <w:tcPr>
            <w:tcW w:w="1845" w:type="dxa"/>
          </w:tcPr>
          <w:p w14:paraId="0CA727BB" w14:textId="77777777" w:rsidR="005E2CCC" w:rsidRPr="004502A9" w:rsidRDefault="005E2CCC" w:rsidP="005E2CCC">
            <w:pPr>
              <w:spacing w:before="120" w:after="120"/>
              <w:jc w:val="center"/>
              <w:rPr>
                <w:rFonts w:cs="Arial"/>
                <w:b/>
              </w:rPr>
            </w:pPr>
            <w:r w:rsidRPr="004502A9">
              <w:rPr>
                <w:rFonts w:cs="Arial"/>
                <w:b/>
              </w:rPr>
              <w:t>3</w:t>
            </w:r>
          </w:p>
        </w:tc>
        <w:tc>
          <w:tcPr>
            <w:tcW w:w="2500" w:type="dxa"/>
          </w:tcPr>
          <w:p w14:paraId="03ABF0ED" w14:textId="2C27695E" w:rsidR="005E2CCC" w:rsidRPr="00DA52C0" w:rsidRDefault="005E2CCC" w:rsidP="005E2CCC">
            <w:pPr>
              <w:spacing w:before="120" w:after="120"/>
              <w:jc w:val="center"/>
              <w:rPr>
                <w:rFonts w:cs="Arial"/>
              </w:rPr>
            </w:pPr>
            <w:r w:rsidRPr="00801972">
              <w:t>11</w:t>
            </w:r>
            <w:r w:rsidR="00585CB6">
              <w:t>4</w:t>
            </w:r>
          </w:p>
        </w:tc>
        <w:tc>
          <w:tcPr>
            <w:tcW w:w="2500" w:type="dxa"/>
          </w:tcPr>
          <w:p w14:paraId="76466C37" w14:textId="08828EA3" w:rsidR="005E2CCC" w:rsidRPr="004502A9" w:rsidRDefault="00B56D95" w:rsidP="005E2CCC">
            <w:pPr>
              <w:spacing w:before="120" w:after="120"/>
              <w:jc w:val="center"/>
              <w:rPr>
                <w:rFonts w:cs="Arial"/>
              </w:rPr>
            </w:pPr>
            <w:r>
              <w:rPr>
                <w:rFonts w:cs="Arial"/>
              </w:rPr>
              <w:t>39</w:t>
            </w:r>
          </w:p>
        </w:tc>
        <w:tc>
          <w:tcPr>
            <w:tcW w:w="2500" w:type="dxa"/>
          </w:tcPr>
          <w:p w14:paraId="06B27C0F" w14:textId="13A6AF5A" w:rsidR="005E2CCC" w:rsidRPr="004502A9" w:rsidRDefault="008A60EE" w:rsidP="005E2CCC">
            <w:pPr>
              <w:spacing w:before="120" w:after="120"/>
              <w:jc w:val="center"/>
              <w:rPr>
                <w:rFonts w:cs="Arial"/>
              </w:rPr>
            </w:pPr>
            <w:r>
              <w:rPr>
                <w:rFonts w:cs="Arial"/>
              </w:rPr>
              <w:t>15</w:t>
            </w:r>
            <w:r w:rsidR="00C77546">
              <w:rPr>
                <w:rFonts w:cs="Arial"/>
              </w:rPr>
              <w:t>3</w:t>
            </w:r>
          </w:p>
        </w:tc>
      </w:tr>
      <w:tr w:rsidR="005E2CCC" w:rsidRPr="004502A9" w14:paraId="49F8EAB2" w14:textId="77777777" w:rsidTr="004A555A">
        <w:trPr>
          <w:trHeight w:val="230"/>
        </w:trPr>
        <w:tc>
          <w:tcPr>
            <w:tcW w:w="1845" w:type="dxa"/>
          </w:tcPr>
          <w:p w14:paraId="351C860B" w14:textId="77777777" w:rsidR="005E2CCC" w:rsidRPr="004502A9" w:rsidRDefault="005E2CCC" w:rsidP="005E2CCC">
            <w:pPr>
              <w:spacing w:before="120" w:after="120"/>
              <w:jc w:val="center"/>
              <w:rPr>
                <w:rFonts w:cs="Arial"/>
                <w:b/>
              </w:rPr>
            </w:pPr>
            <w:r w:rsidRPr="004502A9">
              <w:rPr>
                <w:rFonts w:cs="Arial"/>
                <w:b/>
              </w:rPr>
              <w:t>4A</w:t>
            </w:r>
          </w:p>
        </w:tc>
        <w:tc>
          <w:tcPr>
            <w:tcW w:w="2500" w:type="dxa"/>
          </w:tcPr>
          <w:p w14:paraId="224F2B97" w14:textId="1EE51849" w:rsidR="005E2CCC" w:rsidRPr="00DA52C0" w:rsidRDefault="005E2CCC" w:rsidP="005E2CCC">
            <w:pPr>
              <w:spacing w:before="120" w:after="120"/>
              <w:jc w:val="center"/>
              <w:rPr>
                <w:rFonts w:cs="Arial"/>
              </w:rPr>
            </w:pPr>
            <w:r w:rsidRPr="00801972">
              <w:t>216</w:t>
            </w:r>
          </w:p>
        </w:tc>
        <w:tc>
          <w:tcPr>
            <w:tcW w:w="2500" w:type="dxa"/>
          </w:tcPr>
          <w:p w14:paraId="5248004B" w14:textId="7CA1C2A5" w:rsidR="005E2CCC" w:rsidRPr="004502A9" w:rsidRDefault="00477270" w:rsidP="005E2CCC">
            <w:pPr>
              <w:spacing w:before="120" w:after="120"/>
              <w:jc w:val="center"/>
              <w:rPr>
                <w:rFonts w:cs="Arial"/>
              </w:rPr>
            </w:pPr>
            <w:r>
              <w:rPr>
                <w:rFonts w:cs="Arial"/>
              </w:rPr>
              <w:t>6</w:t>
            </w:r>
          </w:p>
        </w:tc>
        <w:tc>
          <w:tcPr>
            <w:tcW w:w="2500" w:type="dxa"/>
          </w:tcPr>
          <w:p w14:paraId="2F401F2E" w14:textId="64B5218F" w:rsidR="005E2CCC" w:rsidRPr="004502A9" w:rsidRDefault="008A60EE" w:rsidP="005E2CCC">
            <w:pPr>
              <w:spacing w:before="120" w:after="120"/>
              <w:jc w:val="center"/>
              <w:rPr>
                <w:rFonts w:cs="Arial"/>
              </w:rPr>
            </w:pPr>
            <w:r>
              <w:rPr>
                <w:rFonts w:cs="Arial"/>
              </w:rPr>
              <w:t>21</w:t>
            </w:r>
            <w:r w:rsidR="00E96950">
              <w:rPr>
                <w:rFonts w:cs="Arial"/>
              </w:rPr>
              <w:t>0</w:t>
            </w:r>
          </w:p>
        </w:tc>
      </w:tr>
      <w:tr w:rsidR="005E2CCC" w:rsidRPr="004502A9" w14:paraId="4F063A13" w14:textId="77777777" w:rsidTr="004A555A">
        <w:trPr>
          <w:trHeight w:val="230"/>
        </w:trPr>
        <w:tc>
          <w:tcPr>
            <w:tcW w:w="1845" w:type="dxa"/>
          </w:tcPr>
          <w:p w14:paraId="6D509756" w14:textId="77777777" w:rsidR="005E2CCC" w:rsidRPr="004502A9" w:rsidRDefault="005E2CCC" w:rsidP="005E2CCC">
            <w:pPr>
              <w:spacing w:before="120" w:after="120"/>
              <w:jc w:val="center"/>
              <w:rPr>
                <w:rFonts w:cs="Arial"/>
                <w:b/>
              </w:rPr>
            </w:pPr>
            <w:r w:rsidRPr="004502A9">
              <w:rPr>
                <w:rFonts w:cs="Arial"/>
                <w:b/>
              </w:rPr>
              <w:t>4B</w:t>
            </w:r>
          </w:p>
        </w:tc>
        <w:tc>
          <w:tcPr>
            <w:tcW w:w="2500" w:type="dxa"/>
          </w:tcPr>
          <w:p w14:paraId="47CAB4EE" w14:textId="0CC6D909" w:rsidR="005E2CCC" w:rsidRPr="00DA52C0" w:rsidRDefault="005E2CCC" w:rsidP="005E2CCC">
            <w:pPr>
              <w:spacing w:before="120" w:after="120"/>
              <w:jc w:val="center"/>
              <w:rPr>
                <w:rFonts w:cs="Arial"/>
              </w:rPr>
            </w:pPr>
            <w:r>
              <w:rPr>
                <w:rFonts w:cs="Arial"/>
              </w:rPr>
              <w:t>42</w:t>
            </w:r>
          </w:p>
        </w:tc>
        <w:tc>
          <w:tcPr>
            <w:tcW w:w="2500" w:type="dxa"/>
          </w:tcPr>
          <w:p w14:paraId="468BDD83" w14:textId="7390BDDC" w:rsidR="005E2CCC" w:rsidRPr="004502A9" w:rsidRDefault="008957C8" w:rsidP="005E2CCC">
            <w:pPr>
              <w:spacing w:before="120" w:after="120"/>
              <w:jc w:val="center"/>
              <w:rPr>
                <w:rFonts w:cs="Arial"/>
              </w:rPr>
            </w:pPr>
            <w:r>
              <w:rPr>
                <w:rFonts w:cs="Arial"/>
              </w:rPr>
              <w:t xml:space="preserve">- </w:t>
            </w:r>
            <w:r w:rsidR="001F3E71">
              <w:rPr>
                <w:rFonts w:cs="Arial"/>
              </w:rPr>
              <w:t>3</w:t>
            </w:r>
          </w:p>
        </w:tc>
        <w:tc>
          <w:tcPr>
            <w:tcW w:w="2500" w:type="dxa"/>
          </w:tcPr>
          <w:p w14:paraId="7EBDB644" w14:textId="50F9FCD6" w:rsidR="005E2CCC" w:rsidRPr="004502A9" w:rsidRDefault="00F55717" w:rsidP="005E2CCC">
            <w:pPr>
              <w:spacing w:before="120" w:after="120"/>
              <w:jc w:val="center"/>
              <w:rPr>
                <w:rFonts w:cs="Arial"/>
              </w:rPr>
            </w:pPr>
            <w:r>
              <w:rPr>
                <w:rFonts w:cs="Arial"/>
              </w:rPr>
              <w:t>39</w:t>
            </w:r>
          </w:p>
        </w:tc>
      </w:tr>
      <w:tr w:rsidR="005E2CCC" w:rsidRPr="004502A9" w14:paraId="1969912B" w14:textId="77777777" w:rsidTr="004A555A">
        <w:trPr>
          <w:trHeight w:val="230"/>
        </w:trPr>
        <w:tc>
          <w:tcPr>
            <w:tcW w:w="1845" w:type="dxa"/>
          </w:tcPr>
          <w:p w14:paraId="3CEECFFB" w14:textId="77777777" w:rsidR="005E2CCC" w:rsidRPr="004502A9" w:rsidRDefault="005E2CCC" w:rsidP="005E2CCC">
            <w:pPr>
              <w:spacing w:before="120" w:after="120"/>
              <w:jc w:val="center"/>
              <w:rPr>
                <w:rFonts w:cs="Arial"/>
                <w:b/>
              </w:rPr>
            </w:pPr>
            <w:r w:rsidRPr="004502A9">
              <w:rPr>
                <w:rFonts w:cs="Arial"/>
                <w:b/>
              </w:rPr>
              <w:t>4C</w:t>
            </w:r>
          </w:p>
        </w:tc>
        <w:tc>
          <w:tcPr>
            <w:tcW w:w="2500" w:type="dxa"/>
          </w:tcPr>
          <w:p w14:paraId="30ADAB4C" w14:textId="55E17AB7" w:rsidR="005E2CCC" w:rsidRPr="00DA52C0" w:rsidRDefault="005E2CCC" w:rsidP="005E2CCC">
            <w:pPr>
              <w:spacing w:before="120" w:after="120"/>
              <w:jc w:val="center"/>
              <w:rPr>
                <w:rFonts w:cs="Arial"/>
              </w:rPr>
            </w:pPr>
            <w:r>
              <w:rPr>
                <w:rFonts w:cs="Arial"/>
              </w:rPr>
              <w:t>2</w:t>
            </w:r>
          </w:p>
        </w:tc>
        <w:tc>
          <w:tcPr>
            <w:tcW w:w="2500" w:type="dxa"/>
          </w:tcPr>
          <w:p w14:paraId="119157A8" w14:textId="614F8F82" w:rsidR="005E2CCC" w:rsidRPr="004502A9" w:rsidRDefault="00831D86" w:rsidP="005E2CCC">
            <w:pPr>
              <w:spacing w:before="120" w:after="120"/>
              <w:jc w:val="center"/>
              <w:rPr>
                <w:rFonts w:cs="Arial"/>
              </w:rPr>
            </w:pPr>
            <w:r>
              <w:rPr>
                <w:rFonts w:cs="Arial"/>
              </w:rPr>
              <w:t>0</w:t>
            </w:r>
          </w:p>
        </w:tc>
        <w:tc>
          <w:tcPr>
            <w:tcW w:w="2500" w:type="dxa"/>
          </w:tcPr>
          <w:p w14:paraId="0FDC81BB" w14:textId="7B137B31" w:rsidR="005E2CCC" w:rsidRPr="004502A9" w:rsidRDefault="00F55717" w:rsidP="005E2CCC">
            <w:pPr>
              <w:spacing w:before="120" w:after="120"/>
              <w:jc w:val="center"/>
              <w:rPr>
                <w:rFonts w:cs="Arial"/>
              </w:rPr>
            </w:pPr>
            <w:r>
              <w:rPr>
                <w:rFonts w:cs="Arial"/>
              </w:rPr>
              <w:t>2</w:t>
            </w:r>
          </w:p>
        </w:tc>
      </w:tr>
      <w:tr w:rsidR="005E2CCC" w:rsidRPr="004502A9" w14:paraId="0A6B7D10" w14:textId="77777777" w:rsidTr="004A555A">
        <w:trPr>
          <w:trHeight w:val="230"/>
        </w:trPr>
        <w:tc>
          <w:tcPr>
            <w:tcW w:w="1845" w:type="dxa"/>
          </w:tcPr>
          <w:p w14:paraId="01F2D4E0" w14:textId="77777777" w:rsidR="005E2CCC" w:rsidRPr="004502A9" w:rsidRDefault="005E2CCC" w:rsidP="005E2CCC">
            <w:pPr>
              <w:spacing w:before="120" w:after="120"/>
              <w:jc w:val="center"/>
              <w:rPr>
                <w:rFonts w:cs="Arial"/>
                <w:b/>
              </w:rPr>
            </w:pPr>
            <w:r w:rsidRPr="004502A9">
              <w:rPr>
                <w:rFonts w:cs="Arial"/>
                <w:b/>
              </w:rPr>
              <w:t>5</w:t>
            </w:r>
          </w:p>
        </w:tc>
        <w:tc>
          <w:tcPr>
            <w:tcW w:w="2500" w:type="dxa"/>
          </w:tcPr>
          <w:p w14:paraId="5BDD35F8" w14:textId="7F0204B9" w:rsidR="005E2CCC" w:rsidRPr="00DA52C0" w:rsidRDefault="005E2CCC" w:rsidP="005E2CCC">
            <w:pPr>
              <w:spacing w:before="120" w:after="120"/>
              <w:jc w:val="center"/>
              <w:rPr>
                <w:rFonts w:cs="Arial"/>
              </w:rPr>
            </w:pPr>
            <w:r>
              <w:rPr>
                <w:rFonts w:cs="Arial"/>
              </w:rPr>
              <w:t>1,04</w:t>
            </w:r>
            <w:r w:rsidR="00585CB6">
              <w:rPr>
                <w:rFonts w:cs="Arial"/>
              </w:rPr>
              <w:t>6</w:t>
            </w:r>
          </w:p>
        </w:tc>
        <w:tc>
          <w:tcPr>
            <w:tcW w:w="2500" w:type="dxa"/>
          </w:tcPr>
          <w:p w14:paraId="506C4575" w14:textId="09476303" w:rsidR="005E2CCC" w:rsidRPr="004502A9" w:rsidRDefault="00E8025A" w:rsidP="005E2CCC">
            <w:pPr>
              <w:spacing w:before="120" w:after="120"/>
              <w:jc w:val="center"/>
              <w:rPr>
                <w:rFonts w:cs="Arial"/>
              </w:rPr>
            </w:pPr>
            <w:r>
              <w:rPr>
                <w:rFonts w:cs="Arial"/>
              </w:rPr>
              <w:t>26</w:t>
            </w:r>
          </w:p>
        </w:tc>
        <w:tc>
          <w:tcPr>
            <w:tcW w:w="2500" w:type="dxa"/>
          </w:tcPr>
          <w:p w14:paraId="64B18C98" w14:textId="13D56144" w:rsidR="005E2CCC" w:rsidRPr="004502A9" w:rsidRDefault="008A60EE" w:rsidP="005E2CCC">
            <w:pPr>
              <w:spacing w:before="120" w:after="120"/>
              <w:jc w:val="center"/>
              <w:rPr>
                <w:rFonts w:cs="Arial"/>
              </w:rPr>
            </w:pPr>
            <w:r>
              <w:rPr>
                <w:rFonts w:cs="Arial"/>
              </w:rPr>
              <w:t>1,0</w:t>
            </w:r>
            <w:r w:rsidR="00755873">
              <w:rPr>
                <w:rFonts w:cs="Arial"/>
              </w:rPr>
              <w:t>80</w:t>
            </w:r>
          </w:p>
        </w:tc>
      </w:tr>
      <w:tr w:rsidR="005E2CCC" w:rsidRPr="004502A9" w14:paraId="41E7BFE4" w14:textId="77777777" w:rsidTr="004A555A">
        <w:trPr>
          <w:trHeight w:val="230"/>
        </w:trPr>
        <w:tc>
          <w:tcPr>
            <w:tcW w:w="1845" w:type="dxa"/>
          </w:tcPr>
          <w:p w14:paraId="58A97A1F" w14:textId="77777777" w:rsidR="005E2CCC" w:rsidRPr="004502A9" w:rsidRDefault="005E2CCC" w:rsidP="005E2CCC">
            <w:pPr>
              <w:spacing w:before="120" w:after="120"/>
              <w:jc w:val="center"/>
              <w:rPr>
                <w:rFonts w:cs="Arial"/>
                <w:b/>
              </w:rPr>
            </w:pPr>
            <w:r w:rsidRPr="004502A9">
              <w:rPr>
                <w:rFonts w:cs="Arial"/>
                <w:b/>
              </w:rPr>
              <w:t>TOTAL</w:t>
            </w:r>
          </w:p>
        </w:tc>
        <w:tc>
          <w:tcPr>
            <w:tcW w:w="2500" w:type="dxa"/>
          </w:tcPr>
          <w:p w14:paraId="78BED0A6" w14:textId="5FB7A242" w:rsidR="005E2CCC" w:rsidRPr="00DA52C0" w:rsidRDefault="005E2CCC" w:rsidP="005E2CCC">
            <w:pPr>
              <w:spacing w:before="120" w:after="120"/>
              <w:jc w:val="center"/>
              <w:rPr>
                <w:rFonts w:cs="Arial"/>
              </w:rPr>
            </w:pPr>
            <w:r>
              <w:t>2,981</w:t>
            </w:r>
          </w:p>
        </w:tc>
        <w:tc>
          <w:tcPr>
            <w:tcW w:w="2500" w:type="dxa"/>
          </w:tcPr>
          <w:p w14:paraId="4B5764E5" w14:textId="7C0119E8" w:rsidR="005E2CCC" w:rsidRPr="004502A9" w:rsidRDefault="00F2649E" w:rsidP="005E2CCC">
            <w:pPr>
              <w:spacing w:before="120" w:after="120"/>
              <w:jc w:val="center"/>
              <w:rPr>
                <w:rFonts w:cs="Arial"/>
              </w:rPr>
            </w:pPr>
            <w:r>
              <w:rPr>
                <w:rFonts w:cs="Arial"/>
              </w:rPr>
              <w:t>12</w:t>
            </w:r>
            <w:r w:rsidR="00B87221">
              <w:rPr>
                <w:rFonts w:cs="Arial"/>
              </w:rPr>
              <w:t>9</w:t>
            </w:r>
          </w:p>
        </w:tc>
        <w:tc>
          <w:tcPr>
            <w:tcW w:w="2500" w:type="dxa"/>
          </w:tcPr>
          <w:p w14:paraId="72C670F1" w14:textId="42A57B9F" w:rsidR="005E2CCC" w:rsidRPr="004502A9" w:rsidRDefault="00E10D6E" w:rsidP="005E2CCC">
            <w:pPr>
              <w:spacing w:before="120" w:after="120"/>
              <w:jc w:val="center"/>
              <w:rPr>
                <w:rFonts w:cs="Arial"/>
              </w:rPr>
            </w:pPr>
            <w:r>
              <w:rPr>
                <w:rFonts w:cs="Arial"/>
              </w:rPr>
              <w:t>3,106</w:t>
            </w:r>
          </w:p>
        </w:tc>
      </w:tr>
    </w:tbl>
    <w:p w14:paraId="72B96EDC" w14:textId="77777777" w:rsidR="007710C3" w:rsidRPr="004502A9" w:rsidRDefault="007710C3" w:rsidP="007710C3">
      <w:pPr>
        <w:pStyle w:val="Caption"/>
        <w:keepNext/>
        <w:rPr>
          <w:rFonts w:cs="Arial"/>
          <w:b w:val="0"/>
          <w:bCs w:val="0"/>
          <w:i/>
          <w:iCs/>
        </w:rPr>
      </w:pPr>
      <w:r w:rsidRPr="004502A9">
        <w:rPr>
          <w:rFonts w:cs="Arial"/>
          <w:b w:val="0"/>
          <w:bCs w:val="0"/>
          <w:i/>
          <w:iCs/>
        </w:rPr>
        <w:t>Count of current</w:t>
      </w:r>
      <w:r w:rsidRPr="004502A9">
        <w:rPr>
          <w:rFonts w:cs="Arial"/>
          <w:b w:val="0"/>
          <w:i/>
        </w:rPr>
        <w:t xml:space="preserve"> and proposed categorization of streams, rivers, and other linear surface waterbodies statewide</w:t>
      </w:r>
      <w:r w:rsidRPr="004502A9">
        <w:rPr>
          <w:rFonts w:cs="Arial"/>
          <w:b w:val="0"/>
          <w:bCs w:val="0"/>
          <w:i/>
          <w:iCs/>
        </w:rPr>
        <w:t>.</w:t>
      </w:r>
      <w:r w:rsidRPr="004502A9">
        <w:rPr>
          <w:rFonts w:cs="Arial"/>
          <w:b w:val="0"/>
          <w:bCs w:val="0"/>
          <w:i/>
          <w:iCs/>
        </w:rPr>
        <w:br w:type="page"/>
      </w:r>
    </w:p>
    <w:p w14:paraId="1CC144E5" w14:textId="634D03E5" w:rsidR="00C161AC" w:rsidRDefault="00C161AC" w:rsidP="00C161AC">
      <w:pPr>
        <w:pStyle w:val="Caption"/>
        <w:keepNext/>
      </w:pPr>
      <w:bookmarkStart w:id="228" w:name="_Toc118386815"/>
      <w:bookmarkStart w:id="229" w:name="_Toc118386847"/>
      <w:r>
        <w:t xml:space="preserve">Table </w:t>
      </w:r>
      <w:r w:rsidR="006149E7">
        <w:t>1</w:t>
      </w:r>
      <w:r w:rsidR="00AB32F5">
        <w:t>1</w:t>
      </w:r>
      <w:r>
        <w:noBreakHyphen/>
      </w:r>
      <w:r w:rsidR="005537E1">
        <w:t>2</w:t>
      </w:r>
      <w:r>
        <w:t xml:space="preserve">: </w:t>
      </w:r>
      <w:r w:rsidRPr="00C01B3F">
        <w:t xml:space="preserve">Count of Waterbodies in </w:t>
      </w:r>
      <w:r w:rsidR="00017589">
        <w:t>California’s</w:t>
      </w:r>
      <w:r w:rsidR="00F07EA1">
        <w:t xml:space="preserve"> </w:t>
      </w:r>
      <w:r w:rsidRPr="00C01B3F">
        <w:t>305(b) Integrated Report Condition Categories – Lakes</w:t>
      </w:r>
      <w:r w:rsidR="00E2493F">
        <w:t xml:space="preserve">, </w:t>
      </w:r>
      <w:r w:rsidRPr="00C01B3F">
        <w:t>Reservoirs</w:t>
      </w:r>
      <w:r w:rsidR="00E2493F">
        <w:t>, Enclosed Bays, Estuaries, and Ocean Waters</w:t>
      </w:r>
      <w:bookmarkEnd w:id="228"/>
      <w:bookmarkEnd w:id="229"/>
    </w:p>
    <w:tbl>
      <w:tblPr>
        <w:tblW w:w="9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unt of Waterbodies in 305(b) Integrated Report Condition Categories - Lakes and Reservoirs"/>
        <w:tblDescription w:val="This table shows the Integrated Report Condition Category, the number of 2024 lakes and reservoirs per category, proposed new updates, and the 2026 sum of current and proposed new updates. "/>
      </w:tblPr>
      <w:tblGrid>
        <w:gridCol w:w="1800"/>
        <w:gridCol w:w="2217"/>
        <w:gridCol w:w="2718"/>
        <w:gridCol w:w="2669"/>
      </w:tblGrid>
      <w:tr w:rsidR="007710C3" w:rsidRPr="004502A9" w14:paraId="5909D582" w14:textId="77777777" w:rsidTr="00D17AC0">
        <w:trPr>
          <w:trHeight w:val="1088"/>
        </w:trPr>
        <w:tc>
          <w:tcPr>
            <w:tcW w:w="1800" w:type="dxa"/>
            <w:shd w:val="clear" w:color="auto" w:fill="DEEAF6" w:themeFill="accent5" w:themeFillTint="33"/>
            <w:vAlign w:val="center"/>
          </w:tcPr>
          <w:p w14:paraId="54ECE6CA" w14:textId="207BCE6A" w:rsidR="007710C3" w:rsidRPr="00097463" w:rsidRDefault="00017589" w:rsidP="00097463">
            <w:pPr>
              <w:spacing w:before="120" w:after="120"/>
              <w:jc w:val="center"/>
              <w:rPr>
                <w:rFonts w:cs="Arial"/>
                <w:b/>
                <w:bCs/>
              </w:rPr>
            </w:pPr>
            <w:r>
              <w:rPr>
                <w:rFonts w:cs="Arial"/>
                <w:b/>
                <w:bCs/>
              </w:rPr>
              <w:t xml:space="preserve">California’s </w:t>
            </w:r>
            <w:r w:rsidR="007710C3" w:rsidRPr="00097463">
              <w:rPr>
                <w:rFonts w:cs="Arial"/>
                <w:b/>
                <w:bCs/>
              </w:rPr>
              <w:t>Integrated Report Condition Category</w:t>
            </w:r>
          </w:p>
        </w:tc>
        <w:tc>
          <w:tcPr>
            <w:tcW w:w="2217" w:type="dxa"/>
            <w:shd w:val="clear" w:color="auto" w:fill="DEEAF6" w:themeFill="accent5" w:themeFillTint="33"/>
            <w:vAlign w:val="center"/>
          </w:tcPr>
          <w:p w14:paraId="1F5EAD26" w14:textId="36D16CE6" w:rsidR="007710C3" w:rsidRPr="00097463" w:rsidRDefault="005E2CCC" w:rsidP="00097463">
            <w:pPr>
              <w:spacing w:before="120" w:after="120"/>
              <w:jc w:val="center"/>
              <w:rPr>
                <w:rFonts w:cs="Arial"/>
                <w:b/>
                <w:bCs/>
              </w:rPr>
            </w:pPr>
            <w:r>
              <w:rPr>
                <w:rFonts w:cs="Arial"/>
                <w:b/>
                <w:bCs/>
              </w:rPr>
              <w:t>2024</w:t>
            </w:r>
            <w:r w:rsidR="007710C3" w:rsidRPr="00097463">
              <w:rPr>
                <w:rFonts w:cs="Arial"/>
                <w:b/>
                <w:bCs/>
              </w:rPr>
              <w:t xml:space="preserve"> Lakes</w:t>
            </w:r>
            <w:r w:rsidR="00093B95">
              <w:rPr>
                <w:rFonts w:cs="Arial"/>
                <w:b/>
              </w:rPr>
              <w:t>,</w:t>
            </w:r>
            <w:r w:rsidR="007710C3" w:rsidRPr="00097463">
              <w:rPr>
                <w:rFonts w:cs="Arial"/>
                <w:b/>
                <w:bCs/>
              </w:rPr>
              <w:t xml:space="preserve"> Reservoirs</w:t>
            </w:r>
            <w:r w:rsidR="007055AE">
              <w:rPr>
                <w:rFonts w:cs="Arial"/>
                <w:b/>
              </w:rPr>
              <w:t xml:space="preserve">, </w:t>
            </w:r>
            <w:r w:rsidR="00A04177">
              <w:rPr>
                <w:rFonts w:cs="Arial"/>
                <w:b/>
              </w:rPr>
              <w:t>Enclosed Bays, Estuaries,</w:t>
            </w:r>
            <w:r w:rsidR="007710C3" w:rsidRPr="00097463">
              <w:rPr>
                <w:rFonts w:cs="Arial"/>
                <w:b/>
              </w:rPr>
              <w:t xml:space="preserve"> </w:t>
            </w:r>
            <w:r w:rsidR="00093B95">
              <w:rPr>
                <w:rFonts w:cs="Arial"/>
                <w:b/>
              </w:rPr>
              <w:t xml:space="preserve">and </w:t>
            </w:r>
            <w:r w:rsidR="00A04177">
              <w:rPr>
                <w:rFonts w:cs="Arial"/>
                <w:b/>
              </w:rPr>
              <w:t>Ocean Waters</w:t>
            </w:r>
            <w:r w:rsidR="007710C3" w:rsidRPr="00097463">
              <w:rPr>
                <w:rFonts w:cs="Arial"/>
                <w:b/>
                <w:bCs/>
              </w:rPr>
              <w:t xml:space="preserve"> per Category</w:t>
            </w:r>
          </w:p>
        </w:tc>
        <w:tc>
          <w:tcPr>
            <w:tcW w:w="2718" w:type="dxa"/>
            <w:shd w:val="clear" w:color="auto" w:fill="DEEAF6" w:themeFill="accent5" w:themeFillTint="33"/>
            <w:vAlign w:val="center"/>
          </w:tcPr>
          <w:p w14:paraId="0E255583" w14:textId="388C59CF" w:rsidR="007710C3" w:rsidRPr="00097463" w:rsidRDefault="007710C3" w:rsidP="00097463">
            <w:pPr>
              <w:spacing w:before="120" w:after="120"/>
              <w:jc w:val="center"/>
              <w:rPr>
                <w:rFonts w:cs="Arial"/>
                <w:b/>
                <w:bCs/>
              </w:rPr>
            </w:pPr>
            <w:r w:rsidRPr="00097463">
              <w:rPr>
                <w:rFonts w:cs="Arial"/>
                <w:b/>
                <w:bCs/>
              </w:rPr>
              <w:t>Proposed New Revisions</w:t>
            </w:r>
          </w:p>
        </w:tc>
        <w:tc>
          <w:tcPr>
            <w:tcW w:w="2669" w:type="dxa"/>
            <w:shd w:val="clear" w:color="auto" w:fill="DEEAF6" w:themeFill="accent5" w:themeFillTint="33"/>
            <w:vAlign w:val="center"/>
          </w:tcPr>
          <w:p w14:paraId="494E39BD" w14:textId="73606AD5" w:rsidR="007710C3" w:rsidRPr="00097463" w:rsidRDefault="00C6428D" w:rsidP="00097463">
            <w:pPr>
              <w:spacing w:before="120" w:after="120"/>
              <w:jc w:val="center"/>
              <w:rPr>
                <w:rFonts w:cs="Arial"/>
                <w:b/>
                <w:bCs/>
              </w:rPr>
            </w:pPr>
            <w:r>
              <w:rPr>
                <w:rFonts w:cs="Arial"/>
                <w:b/>
                <w:bCs/>
              </w:rPr>
              <w:t>2026</w:t>
            </w:r>
            <w:r w:rsidR="007710C3" w:rsidRPr="00097463">
              <w:rPr>
                <w:rFonts w:cs="Arial"/>
                <w:b/>
                <w:bCs/>
              </w:rPr>
              <w:t xml:space="preserve"> Sum of Current and Proposed New Revisions</w:t>
            </w:r>
          </w:p>
        </w:tc>
      </w:tr>
      <w:tr w:rsidR="005E2CCC" w:rsidRPr="004502A9" w14:paraId="1231E77A" w14:textId="77777777" w:rsidTr="00097463">
        <w:tc>
          <w:tcPr>
            <w:tcW w:w="1800" w:type="dxa"/>
          </w:tcPr>
          <w:p w14:paraId="6950D1DD" w14:textId="77777777" w:rsidR="005E2CCC" w:rsidRPr="004502A9" w:rsidRDefault="005E2CCC" w:rsidP="005E2CCC">
            <w:pPr>
              <w:spacing w:before="120" w:after="120"/>
              <w:jc w:val="center"/>
              <w:rPr>
                <w:rFonts w:cs="Arial"/>
                <w:b/>
              </w:rPr>
            </w:pPr>
            <w:r w:rsidRPr="004502A9">
              <w:rPr>
                <w:rFonts w:cs="Arial"/>
                <w:b/>
              </w:rPr>
              <w:t>1</w:t>
            </w:r>
          </w:p>
        </w:tc>
        <w:tc>
          <w:tcPr>
            <w:tcW w:w="2217" w:type="dxa"/>
          </w:tcPr>
          <w:p w14:paraId="5C8FEBDE" w14:textId="4D991987" w:rsidR="005E2CCC" w:rsidRPr="004502A9" w:rsidRDefault="005E2CCC" w:rsidP="005E2CCC">
            <w:pPr>
              <w:spacing w:before="120" w:after="120"/>
              <w:jc w:val="center"/>
              <w:rPr>
                <w:rFonts w:cs="Arial"/>
              </w:rPr>
            </w:pPr>
            <w:r w:rsidRPr="006F5407">
              <w:t>30</w:t>
            </w:r>
          </w:p>
        </w:tc>
        <w:tc>
          <w:tcPr>
            <w:tcW w:w="2718" w:type="dxa"/>
          </w:tcPr>
          <w:p w14:paraId="185882A9" w14:textId="0C48BC5D" w:rsidR="005E2CCC" w:rsidRPr="004502A9" w:rsidRDefault="005662AF" w:rsidP="005E2CCC">
            <w:pPr>
              <w:spacing w:before="120" w:after="120"/>
              <w:jc w:val="center"/>
              <w:rPr>
                <w:rFonts w:cs="Arial"/>
              </w:rPr>
            </w:pPr>
            <w:r>
              <w:rPr>
                <w:rFonts w:cs="Arial"/>
              </w:rPr>
              <w:t>2</w:t>
            </w:r>
          </w:p>
        </w:tc>
        <w:tc>
          <w:tcPr>
            <w:tcW w:w="2669" w:type="dxa"/>
          </w:tcPr>
          <w:p w14:paraId="16994D29" w14:textId="66B9B76D" w:rsidR="005E2CCC" w:rsidRPr="004502A9" w:rsidRDefault="00FF1D06" w:rsidP="005E2CCC">
            <w:pPr>
              <w:spacing w:before="120" w:after="120"/>
              <w:jc w:val="center"/>
              <w:rPr>
                <w:rFonts w:cs="Arial"/>
              </w:rPr>
            </w:pPr>
            <w:r>
              <w:rPr>
                <w:rFonts w:cs="Arial"/>
              </w:rPr>
              <w:t>32</w:t>
            </w:r>
          </w:p>
        </w:tc>
      </w:tr>
      <w:tr w:rsidR="005E2CCC" w:rsidRPr="004502A9" w14:paraId="26A5A781" w14:textId="77777777" w:rsidTr="00097463">
        <w:tc>
          <w:tcPr>
            <w:tcW w:w="1800" w:type="dxa"/>
          </w:tcPr>
          <w:p w14:paraId="1F89F509" w14:textId="77777777" w:rsidR="005E2CCC" w:rsidRPr="004502A9" w:rsidRDefault="005E2CCC" w:rsidP="005E2CCC">
            <w:pPr>
              <w:spacing w:before="120" w:after="120"/>
              <w:jc w:val="center"/>
              <w:rPr>
                <w:rFonts w:cs="Arial"/>
                <w:b/>
              </w:rPr>
            </w:pPr>
            <w:r w:rsidRPr="004502A9">
              <w:rPr>
                <w:rFonts w:cs="Arial"/>
                <w:b/>
              </w:rPr>
              <w:t>2</w:t>
            </w:r>
          </w:p>
        </w:tc>
        <w:tc>
          <w:tcPr>
            <w:tcW w:w="2217" w:type="dxa"/>
          </w:tcPr>
          <w:p w14:paraId="0A8A1936" w14:textId="5FB59706" w:rsidR="005E2CCC" w:rsidRPr="004502A9" w:rsidRDefault="005E2CCC" w:rsidP="005E2CCC">
            <w:pPr>
              <w:spacing w:before="120" w:after="120"/>
              <w:jc w:val="center"/>
              <w:rPr>
                <w:rFonts w:cs="Arial"/>
              </w:rPr>
            </w:pPr>
            <w:r>
              <w:t>236</w:t>
            </w:r>
          </w:p>
        </w:tc>
        <w:tc>
          <w:tcPr>
            <w:tcW w:w="2718" w:type="dxa"/>
          </w:tcPr>
          <w:p w14:paraId="6EF5F645" w14:textId="21F84A03" w:rsidR="005E2CCC" w:rsidRPr="004502A9" w:rsidRDefault="007C4C32" w:rsidP="005E2CCC">
            <w:pPr>
              <w:spacing w:before="120" w:after="120"/>
              <w:jc w:val="center"/>
              <w:rPr>
                <w:rFonts w:cs="Arial"/>
              </w:rPr>
            </w:pPr>
            <w:r>
              <w:rPr>
                <w:rFonts w:cs="Arial"/>
              </w:rPr>
              <w:t>16</w:t>
            </w:r>
          </w:p>
        </w:tc>
        <w:tc>
          <w:tcPr>
            <w:tcW w:w="2669" w:type="dxa"/>
          </w:tcPr>
          <w:p w14:paraId="6CF5A41C" w14:textId="7AB4DC67" w:rsidR="005E2CCC" w:rsidRPr="004502A9" w:rsidRDefault="00DD3A66" w:rsidP="005E2CCC">
            <w:pPr>
              <w:spacing w:before="120" w:after="120"/>
              <w:jc w:val="center"/>
              <w:rPr>
                <w:rFonts w:cs="Arial"/>
              </w:rPr>
            </w:pPr>
            <w:r>
              <w:rPr>
                <w:rFonts w:cs="Arial"/>
              </w:rPr>
              <w:t>252</w:t>
            </w:r>
          </w:p>
        </w:tc>
      </w:tr>
      <w:tr w:rsidR="005E2CCC" w:rsidRPr="004502A9" w14:paraId="19D325AB" w14:textId="77777777" w:rsidTr="00097463">
        <w:tc>
          <w:tcPr>
            <w:tcW w:w="1800" w:type="dxa"/>
          </w:tcPr>
          <w:p w14:paraId="3C17D7E8" w14:textId="77777777" w:rsidR="005E2CCC" w:rsidRPr="004502A9" w:rsidRDefault="005E2CCC" w:rsidP="005E2CCC">
            <w:pPr>
              <w:spacing w:before="120" w:after="120"/>
              <w:jc w:val="center"/>
              <w:rPr>
                <w:rFonts w:cs="Arial"/>
                <w:b/>
              </w:rPr>
            </w:pPr>
            <w:r w:rsidRPr="004502A9">
              <w:rPr>
                <w:rFonts w:cs="Arial"/>
                <w:b/>
              </w:rPr>
              <w:t>3</w:t>
            </w:r>
          </w:p>
        </w:tc>
        <w:tc>
          <w:tcPr>
            <w:tcW w:w="2217" w:type="dxa"/>
          </w:tcPr>
          <w:p w14:paraId="79C2A32A" w14:textId="7C52951B" w:rsidR="005E2CCC" w:rsidRPr="00DA52C0" w:rsidRDefault="005E2CCC" w:rsidP="005E2CCC">
            <w:pPr>
              <w:spacing w:before="120" w:after="120"/>
              <w:jc w:val="center"/>
              <w:rPr>
                <w:rFonts w:cs="Arial"/>
              </w:rPr>
            </w:pPr>
            <w:r>
              <w:t>15</w:t>
            </w:r>
          </w:p>
        </w:tc>
        <w:tc>
          <w:tcPr>
            <w:tcW w:w="2718" w:type="dxa"/>
          </w:tcPr>
          <w:p w14:paraId="3AFA71D4" w14:textId="5210C19C" w:rsidR="005E2CCC" w:rsidRPr="004502A9" w:rsidRDefault="001B6217" w:rsidP="005E2CCC">
            <w:pPr>
              <w:spacing w:before="120" w:after="120"/>
              <w:jc w:val="center"/>
              <w:rPr>
                <w:rFonts w:cs="Arial"/>
              </w:rPr>
            </w:pPr>
            <w:r>
              <w:rPr>
                <w:rFonts w:cs="Arial"/>
              </w:rPr>
              <w:t>0</w:t>
            </w:r>
          </w:p>
        </w:tc>
        <w:tc>
          <w:tcPr>
            <w:tcW w:w="2669" w:type="dxa"/>
          </w:tcPr>
          <w:p w14:paraId="34ED9753" w14:textId="2CE19138" w:rsidR="005E2CCC" w:rsidRPr="004502A9" w:rsidRDefault="00DD3A66" w:rsidP="005E2CCC">
            <w:pPr>
              <w:spacing w:before="120" w:after="120"/>
              <w:jc w:val="center"/>
              <w:rPr>
                <w:rFonts w:cs="Arial"/>
              </w:rPr>
            </w:pPr>
            <w:r>
              <w:rPr>
                <w:rFonts w:cs="Arial"/>
              </w:rPr>
              <w:t>15</w:t>
            </w:r>
          </w:p>
        </w:tc>
      </w:tr>
      <w:tr w:rsidR="005E2CCC" w:rsidRPr="004502A9" w14:paraId="033EF630" w14:textId="77777777" w:rsidTr="00097463">
        <w:tc>
          <w:tcPr>
            <w:tcW w:w="1800" w:type="dxa"/>
          </w:tcPr>
          <w:p w14:paraId="5458D4C8" w14:textId="77777777" w:rsidR="005E2CCC" w:rsidRPr="004502A9" w:rsidRDefault="005E2CCC" w:rsidP="005E2CCC">
            <w:pPr>
              <w:spacing w:before="120" w:after="120"/>
              <w:jc w:val="center"/>
              <w:rPr>
                <w:rFonts w:cs="Arial"/>
                <w:b/>
              </w:rPr>
            </w:pPr>
            <w:r w:rsidRPr="004502A9">
              <w:rPr>
                <w:rFonts w:cs="Arial"/>
                <w:b/>
              </w:rPr>
              <w:t>4A</w:t>
            </w:r>
          </w:p>
        </w:tc>
        <w:tc>
          <w:tcPr>
            <w:tcW w:w="2217" w:type="dxa"/>
          </w:tcPr>
          <w:p w14:paraId="6EE7D751" w14:textId="42FD8D53" w:rsidR="005E2CCC" w:rsidRPr="00DA52C0" w:rsidRDefault="005E2CCC" w:rsidP="005E2CCC">
            <w:pPr>
              <w:spacing w:before="120" w:after="120"/>
              <w:jc w:val="center"/>
              <w:rPr>
                <w:rFonts w:cs="Arial"/>
              </w:rPr>
            </w:pPr>
            <w:r>
              <w:t>26</w:t>
            </w:r>
          </w:p>
        </w:tc>
        <w:tc>
          <w:tcPr>
            <w:tcW w:w="2718" w:type="dxa"/>
          </w:tcPr>
          <w:p w14:paraId="4F3C3663" w14:textId="6E31E45F" w:rsidR="005E2CCC" w:rsidRPr="004502A9" w:rsidRDefault="00C719C6" w:rsidP="005E2CCC">
            <w:pPr>
              <w:spacing w:before="120" w:after="120"/>
              <w:jc w:val="center"/>
              <w:rPr>
                <w:rFonts w:cs="Arial"/>
              </w:rPr>
            </w:pPr>
            <w:r>
              <w:rPr>
                <w:rFonts w:cs="Arial"/>
              </w:rPr>
              <w:t>1</w:t>
            </w:r>
          </w:p>
        </w:tc>
        <w:tc>
          <w:tcPr>
            <w:tcW w:w="2669" w:type="dxa"/>
          </w:tcPr>
          <w:p w14:paraId="53FF4676" w14:textId="7385039A" w:rsidR="005E2CCC" w:rsidRPr="004502A9" w:rsidRDefault="00BA2C4C" w:rsidP="005E2CCC">
            <w:pPr>
              <w:spacing w:before="120" w:after="120"/>
              <w:jc w:val="center"/>
              <w:rPr>
                <w:rFonts w:cs="Arial"/>
              </w:rPr>
            </w:pPr>
            <w:r>
              <w:rPr>
                <w:rFonts w:cs="Arial"/>
              </w:rPr>
              <w:t>27</w:t>
            </w:r>
          </w:p>
        </w:tc>
      </w:tr>
      <w:tr w:rsidR="005E2CCC" w:rsidRPr="004502A9" w14:paraId="037E6EAA" w14:textId="77777777" w:rsidTr="00097463">
        <w:tc>
          <w:tcPr>
            <w:tcW w:w="1800" w:type="dxa"/>
          </w:tcPr>
          <w:p w14:paraId="21773055" w14:textId="77777777" w:rsidR="005E2CCC" w:rsidRPr="004502A9" w:rsidRDefault="005E2CCC" w:rsidP="005E2CCC">
            <w:pPr>
              <w:spacing w:before="120" w:after="120"/>
              <w:jc w:val="center"/>
              <w:rPr>
                <w:rFonts w:cs="Arial"/>
                <w:b/>
              </w:rPr>
            </w:pPr>
            <w:r w:rsidRPr="004502A9">
              <w:rPr>
                <w:rFonts w:cs="Arial"/>
                <w:b/>
              </w:rPr>
              <w:t>4B</w:t>
            </w:r>
          </w:p>
        </w:tc>
        <w:tc>
          <w:tcPr>
            <w:tcW w:w="2217" w:type="dxa"/>
          </w:tcPr>
          <w:p w14:paraId="7485FCC0" w14:textId="23483548" w:rsidR="005E2CCC" w:rsidRPr="00DA52C0" w:rsidRDefault="005E2CCC" w:rsidP="005E2CCC">
            <w:pPr>
              <w:spacing w:before="120" w:after="120"/>
              <w:jc w:val="center"/>
              <w:rPr>
                <w:rFonts w:cs="Arial"/>
              </w:rPr>
            </w:pPr>
            <w:r w:rsidRPr="006F5407">
              <w:t>6</w:t>
            </w:r>
          </w:p>
        </w:tc>
        <w:tc>
          <w:tcPr>
            <w:tcW w:w="2718" w:type="dxa"/>
          </w:tcPr>
          <w:p w14:paraId="533E5AB8" w14:textId="0CF78C28" w:rsidR="005E2CCC" w:rsidRPr="004502A9" w:rsidRDefault="005C5279" w:rsidP="005E2CCC">
            <w:pPr>
              <w:spacing w:before="120" w:after="120"/>
              <w:jc w:val="center"/>
              <w:rPr>
                <w:rFonts w:cs="Arial"/>
              </w:rPr>
            </w:pPr>
            <w:r>
              <w:rPr>
                <w:rFonts w:cs="Arial"/>
              </w:rPr>
              <w:t>-1</w:t>
            </w:r>
          </w:p>
        </w:tc>
        <w:tc>
          <w:tcPr>
            <w:tcW w:w="2669" w:type="dxa"/>
          </w:tcPr>
          <w:p w14:paraId="1A2B202F" w14:textId="50E80F0C" w:rsidR="005E2CCC" w:rsidRPr="004502A9" w:rsidRDefault="00BA2C4C" w:rsidP="005E2CCC">
            <w:pPr>
              <w:spacing w:before="120" w:after="120"/>
              <w:jc w:val="center"/>
              <w:rPr>
                <w:rFonts w:cs="Arial"/>
              </w:rPr>
            </w:pPr>
            <w:r>
              <w:rPr>
                <w:rFonts w:cs="Arial"/>
              </w:rPr>
              <w:t>5</w:t>
            </w:r>
          </w:p>
        </w:tc>
      </w:tr>
      <w:tr w:rsidR="005E2CCC" w:rsidRPr="004502A9" w14:paraId="45813A93" w14:textId="77777777" w:rsidTr="00097463">
        <w:tc>
          <w:tcPr>
            <w:tcW w:w="1800" w:type="dxa"/>
          </w:tcPr>
          <w:p w14:paraId="24681D17" w14:textId="77777777" w:rsidR="005E2CCC" w:rsidRPr="004502A9" w:rsidRDefault="005E2CCC" w:rsidP="005E2CCC">
            <w:pPr>
              <w:spacing w:before="120" w:after="120"/>
              <w:jc w:val="center"/>
              <w:rPr>
                <w:rFonts w:cs="Arial"/>
                <w:b/>
              </w:rPr>
            </w:pPr>
            <w:r w:rsidRPr="004502A9">
              <w:rPr>
                <w:rFonts w:cs="Arial"/>
                <w:b/>
              </w:rPr>
              <w:t>4C</w:t>
            </w:r>
          </w:p>
        </w:tc>
        <w:tc>
          <w:tcPr>
            <w:tcW w:w="2217" w:type="dxa"/>
          </w:tcPr>
          <w:p w14:paraId="4930D113" w14:textId="0101F101" w:rsidR="005E2CCC" w:rsidRPr="00DA52C0" w:rsidRDefault="005E2CCC" w:rsidP="005E2CCC">
            <w:pPr>
              <w:spacing w:before="120" w:after="120"/>
              <w:jc w:val="center"/>
              <w:rPr>
                <w:rFonts w:cs="Arial"/>
              </w:rPr>
            </w:pPr>
            <w:r w:rsidRPr="006F5407">
              <w:t>1</w:t>
            </w:r>
          </w:p>
        </w:tc>
        <w:tc>
          <w:tcPr>
            <w:tcW w:w="2718" w:type="dxa"/>
          </w:tcPr>
          <w:p w14:paraId="70D197F2" w14:textId="50D5BAC0" w:rsidR="005E2CCC" w:rsidRPr="004502A9" w:rsidRDefault="00DE3155" w:rsidP="005E2CCC">
            <w:pPr>
              <w:spacing w:before="120" w:after="120"/>
              <w:jc w:val="center"/>
              <w:rPr>
                <w:rFonts w:cs="Arial"/>
              </w:rPr>
            </w:pPr>
            <w:r>
              <w:rPr>
                <w:rFonts w:cs="Arial"/>
              </w:rPr>
              <w:t>0</w:t>
            </w:r>
          </w:p>
        </w:tc>
        <w:tc>
          <w:tcPr>
            <w:tcW w:w="2669" w:type="dxa"/>
          </w:tcPr>
          <w:p w14:paraId="33BF1B25" w14:textId="719632F9" w:rsidR="005E2CCC" w:rsidRPr="004502A9" w:rsidRDefault="00BA2C4C" w:rsidP="005E2CCC">
            <w:pPr>
              <w:spacing w:before="120" w:after="120"/>
              <w:jc w:val="center"/>
              <w:rPr>
                <w:rFonts w:cs="Arial"/>
              </w:rPr>
            </w:pPr>
            <w:r>
              <w:rPr>
                <w:rFonts w:cs="Arial"/>
              </w:rPr>
              <w:t>1</w:t>
            </w:r>
          </w:p>
        </w:tc>
      </w:tr>
      <w:tr w:rsidR="005E2CCC" w:rsidRPr="004502A9" w14:paraId="2ADC2FCE" w14:textId="77777777" w:rsidTr="00097463">
        <w:tc>
          <w:tcPr>
            <w:tcW w:w="1800" w:type="dxa"/>
          </w:tcPr>
          <w:p w14:paraId="09B0F4F8" w14:textId="77777777" w:rsidR="005E2CCC" w:rsidRPr="004502A9" w:rsidRDefault="005E2CCC" w:rsidP="005E2CCC">
            <w:pPr>
              <w:spacing w:before="120" w:after="120"/>
              <w:jc w:val="center"/>
              <w:rPr>
                <w:rFonts w:cs="Arial"/>
                <w:b/>
              </w:rPr>
            </w:pPr>
            <w:r w:rsidRPr="004502A9">
              <w:rPr>
                <w:rFonts w:cs="Arial"/>
                <w:b/>
              </w:rPr>
              <w:t>5</w:t>
            </w:r>
          </w:p>
        </w:tc>
        <w:tc>
          <w:tcPr>
            <w:tcW w:w="2217" w:type="dxa"/>
          </w:tcPr>
          <w:p w14:paraId="64B28038" w14:textId="2D6B27B4" w:rsidR="005E2CCC" w:rsidRPr="00DA52C0" w:rsidRDefault="005E2CCC" w:rsidP="005E2CCC">
            <w:pPr>
              <w:spacing w:before="120" w:after="120"/>
              <w:jc w:val="center"/>
              <w:rPr>
                <w:rFonts w:cs="Arial"/>
              </w:rPr>
            </w:pPr>
            <w:r>
              <w:t>327</w:t>
            </w:r>
          </w:p>
        </w:tc>
        <w:tc>
          <w:tcPr>
            <w:tcW w:w="2718" w:type="dxa"/>
          </w:tcPr>
          <w:p w14:paraId="2EEDD20A" w14:textId="514BDFED" w:rsidR="005E2CCC" w:rsidRPr="004502A9" w:rsidRDefault="005D59FE" w:rsidP="005E2CCC">
            <w:pPr>
              <w:spacing w:before="120" w:after="120"/>
              <w:jc w:val="center"/>
              <w:rPr>
                <w:rFonts w:cs="Arial"/>
              </w:rPr>
            </w:pPr>
            <w:r>
              <w:rPr>
                <w:rFonts w:cs="Arial"/>
              </w:rPr>
              <w:t>-</w:t>
            </w:r>
            <w:r w:rsidR="00DD2A8D">
              <w:rPr>
                <w:rFonts w:cs="Arial"/>
              </w:rPr>
              <w:t>3</w:t>
            </w:r>
          </w:p>
        </w:tc>
        <w:tc>
          <w:tcPr>
            <w:tcW w:w="2669" w:type="dxa"/>
          </w:tcPr>
          <w:p w14:paraId="749FA079" w14:textId="66DA70AB" w:rsidR="005E2CCC" w:rsidRPr="004502A9" w:rsidRDefault="00DD3A66" w:rsidP="005E2CCC">
            <w:pPr>
              <w:spacing w:before="120" w:after="120"/>
              <w:jc w:val="center"/>
              <w:rPr>
                <w:rFonts w:cs="Arial"/>
              </w:rPr>
            </w:pPr>
            <w:r>
              <w:rPr>
                <w:rFonts w:cs="Arial"/>
              </w:rPr>
              <w:t>32</w:t>
            </w:r>
            <w:r w:rsidR="00110CFC">
              <w:rPr>
                <w:rFonts w:cs="Arial"/>
              </w:rPr>
              <w:t>4</w:t>
            </w:r>
          </w:p>
        </w:tc>
      </w:tr>
      <w:tr w:rsidR="005E2CCC" w:rsidRPr="004502A9" w14:paraId="701CF79E" w14:textId="77777777" w:rsidTr="00097463">
        <w:tc>
          <w:tcPr>
            <w:tcW w:w="1800" w:type="dxa"/>
          </w:tcPr>
          <w:p w14:paraId="5C22B066" w14:textId="77777777" w:rsidR="005E2CCC" w:rsidRPr="004502A9" w:rsidRDefault="005E2CCC" w:rsidP="005E2CCC">
            <w:pPr>
              <w:spacing w:before="120" w:after="120"/>
              <w:jc w:val="center"/>
              <w:rPr>
                <w:rFonts w:cs="Arial"/>
                <w:b/>
              </w:rPr>
            </w:pPr>
            <w:r w:rsidRPr="004502A9">
              <w:rPr>
                <w:rFonts w:cs="Arial"/>
                <w:b/>
              </w:rPr>
              <w:t>TOTAL</w:t>
            </w:r>
          </w:p>
        </w:tc>
        <w:tc>
          <w:tcPr>
            <w:tcW w:w="2217" w:type="dxa"/>
          </w:tcPr>
          <w:p w14:paraId="39D62C98" w14:textId="6CEB3442" w:rsidR="005E2CCC" w:rsidRPr="004502A9" w:rsidRDefault="005E2CCC" w:rsidP="005E2CCC">
            <w:pPr>
              <w:spacing w:before="120" w:after="120"/>
              <w:jc w:val="center"/>
              <w:rPr>
                <w:rFonts w:cs="Arial"/>
              </w:rPr>
            </w:pPr>
            <w:r>
              <w:t xml:space="preserve"> 641</w:t>
            </w:r>
          </w:p>
        </w:tc>
        <w:tc>
          <w:tcPr>
            <w:tcW w:w="2718" w:type="dxa"/>
          </w:tcPr>
          <w:p w14:paraId="6879A081" w14:textId="65214DB3" w:rsidR="005E2CCC" w:rsidRPr="004502A9" w:rsidRDefault="00C9477B" w:rsidP="005E2CCC">
            <w:pPr>
              <w:spacing w:before="120" w:after="120"/>
              <w:jc w:val="center"/>
              <w:rPr>
                <w:rFonts w:cs="Arial"/>
              </w:rPr>
            </w:pPr>
            <w:r>
              <w:rPr>
                <w:rFonts w:cs="Arial"/>
              </w:rPr>
              <w:t>15</w:t>
            </w:r>
          </w:p>
        </w:tc>
        <w:tc>
          <w:tcPr>
            <w:tcW w:w="2669" w:type="dxa"/>
          </w:tcPr>
          <w:p w14:paraId="1D0F542D" w14:textId="49AEB65A" w:rsidR="005E2CCC" w:rsidRPr="004502A9" w:rsidRDefault="002562C0" w:rsidP="005E2CCC">
            <w:pPr>
              <w:spacing w:before="120" w:after="120"/>
              <w:jc w:val="center"/>
              <w:rPr>
                <w:rFonts w:cs="Arial"/>
              </w:rPr>
            </w:pPr>
            <w:r>
              <w:rPr>
                <w:rFonts w:cs="Arial"/>
              </w:rPr>
              <w:t>656</w:t>
            </w:r>
          </w:p>
        </w:tc>
      </w:tr>
    </w:tbl>
    <w:p w14:paraId="22546E39" w14:textId="77777777" w:rsidR="007710C3" w:rsidRPr="004502A9" w:rsidRDefault="007710C3" w:rsidP="007710C3">
      <w:pPr>
        <w:pStyle w:val="Caption"/>
        <w:spacing w:after="160" w:line="259" w:lineRule="auto"/>
        <w:rPr>
          <w:rFonts w:cs="Arial"/>
          <w:b w:val="0"/>
          <w:i/>
          <w:szCs w:val="24"/>
        </w:rPr>
      </w:pPr>
      <w:r w:rsidRPr="004502A9">
        <w:rPr>
          <w:rFonts w:cs="Arial"/>
          <w:b w:val="0"/>
          <w:i/>
        </w:rPr>
        <w:t>Category assessments of lakes, reservoirs, and other non-linear surface waters statewide</w:t>
      </w:r>
      <w:r w:rsidRPr="004502A9">
        <w:rPr>
          <w:rFonts w:cs="Arial"/>
          <w:b w:val="0"/>
          <w:bCs w:val="0"/>
          <w:i/>
          <w:iCs/>
        </w:rPr>
        <w:t>.</w:t>
      </w:r>
      <w:r w:rsidRPr="004502A9">
        <w:rPr>
          <w:rFonts w:cs="Arial"/>
          <w:i/>
        </w:rPr>
        <w:br w:type="page"/>
      </w:r>
    </w:p>
    <w:p w14:paraId="1C154412" w14:textId="15DF1E09" w:rsidR="007710C3" w:rsidRPr="004502A9" w:rsidRDefault="007710C3" w:rsidP="00597DE8">
      <w:pPr>
        <w:pStyle w:val="Heading1"/>
      </w:pPr>
      <w:bookmarkStart w:id="230" w:name="_Toc35339626"/>
      <w:bookmarkStart w:id="231" w:name="_Toc189048652"/>
      <w:bookmarkEnd w:id="183"/>
      <w:r w:rsidRPr="004502A9">
        <w:t>References</w:t>
      </w:r>
      <w:bookmarkEnd w:id="184"/>
      <w:bookmarkEnd w:id="185"/>
      <w:bookmarkEnd w:id="186"/>
      <w:bookmarkEnd w:id="230"/>
      <w:bookmarkEnd w:id="231"/>
      <w:r w:rsidRPr="004502A9">
        <w:t xml:space="preserve">  </w:t>
      </w:r>
    </w:p>
    <w:p w14:paraId="76E12553" w14:textId="56C5F37D" w:rsidR="007710C3" w:rsidRPr="004502A9" w:rsidRDefault="007710C3" w:rsidP="007710C3">
      <w:pPr>
        <w:ind w:right="365"/>
        <w:rPr>
          <w:rFonts w:eastAsia="Arial" w:cs="Arial"/>
          <w:i/>
          <w:color w:val="000000"/>
          <w:szCs w:val="24"/>
        </w:rPr>
      </w:pPr>
      <w:r w:rsidRPr="004502A9">
        <w:rPr>
          <w:rFonts w:eastAsia="Arial" w:cs="Arial"/>
          <w:i/>
          <w:szCs w:val="24"/>
        </w:rPr>
        <w:t>For</w:t>
      </w:r>
      <w:r w:rsidRPr="004502A9">
        <w:rPr>
          <w:rFonts w:eastAsia="Arial" w:cs="Arial"/>
          <w:i/>
          <w:spacing w:val="1"/>
          <w:szCs w:val="24"/>
        </w:rPr>
        <w:t xml:space="preserve"> </w:t>
      </w:r>
      <w:r w:rsidRPr="004502A9">
        <w:rPr>
          <w:rFonts w:eastAsia="Arial" w:cs="Arial"/>
          <w:i/>
          <w:szCs w:val="24"/>
        </w:rPr>
        <w:t>a</w:t>
      </w:r>
      <w:r w:rsidRPr="004502A9">
        <w:rPr>
          <w:rFonts w:eastAsia="Arial" w:cs="Arial"/>
          <w:i/>
          <w:spacing w:val="1"/>
          <w:szCs w:val="24"/>
        </w:rPr>
        <w:t xml:space="preserve"> </w:t>
      </w:r>
      <w:r w:rsidRPr="004502A9">
        <w:rPr>
          <w:rFonts w:eastAsia="Arial" w:cs="Arial"/>
          <w:i/>
          <w:szCs w:val="24"/>
        </w:rPr>
        <w:t>co</w:t>
      </w:r>
      <w:r w:rsidRPr="004502A9">
        <w:rPr>
          <w:rFonts w:eastAsia="Arial" w:cs="Arial"/>
          <w:i/>
          <w:spacing w:val="-2"/>
          <w:szCs w:val="24"/>
        </w:rPr>
        <w:t>m</w:t>
      </w:r>
      <w:r w:rsidRPr="004502A9">
        <w:rPr>
          <w:rFonts w:eastAsia="Arial" w:cs="Arial"/>
          <w:i/>
          <w:szCs w:val="24"/>
        </w:rPr>
        <w:t>plete</w:t>
      </w:r>
      <w:r w:rsidRPr="004502A9">
        <w:rPr>
          <w:rFonts w:eastAsia="Arial" w:cs="Arial"/>
          <w:i/>
          <w:spacing w:val="1"/>
          <w:szCs w:val="24"/>
        </w:rPr>
        <w:t xml:space="preserve"> </w:t>
      </w:r>
      <w:r w:rsidRPr="004502A9">
        <w:rPr>
          <w:rFonts w:eastAsia="Arial" w:cs="Arial"/>
          <w:i/>
          <w:szCs w:val="24"/>
        </w:rPr>
        <w:t>list</w:t>
      </w:r>
      <w:r w:rsidRPr="004502A9">
        <w:rPr>
          <w:rFonts w:eastAsia="Arial" w:cs="Arial"/>
          <w:i/>
          <w:spacing w:val="1"/>
          <w:szCs w:val="24"/>
        </w:rPr>
        <w:t xml:space="preserve"> </w:t>
      </w:r>
      <w:r w:rsidRPr="004502A9">
        <w:rPr>
          <w:rFonts w:eastAsia="Arial" w:cs="Arial"/>
          <w:i/>
          <w:szCs w:val="24"/>
        </w:rPr>
        <w:t>of</w:t>
      </w:r>
      <w:r w:rsidRPr="004502A9">
        <w:rPr>
          <w:rFonts w:eastAsia="Arial" w:cs="Arial"/>
          <w:i/>
          <w:spacing w:val="1"/>
          <w:szCs w:val="24"/>
        </w:rPr>
        <w:t xml:space="preserve"> </w:t>
      </w:r>
      <w:r w:rsidRPr="004502A9">
        <w:rPr>
          <w:rFonts w:eastAsia="Arial" w:cs="Arial"/>
          <w:i/>
          <w:szCs w:val="24"/>
        </w:rPr>
        <w:t>references (data, QAPPs, evaluation guidelines, etc.)</w:t>
      </w:r>
      <w:r w:rsidRPr="004502A9">
        <w:rPr>
          <w:rFonts w:eastAsia="Arial" w:cs="Arial"/>
          <w:i/>
          <w:spacing w:val="1"/>
          <w:szCs w:val="24"/>
        </w:rPr>
        <w:t xml:space="preserve"> </w:t>
      </w:r>
      <w:r w:rsidRPr="004502A9">
        <w:rPr>
          <w:rFonts w:eastAsia="Arial" w:cs="Arial"/>
          <w:i/>
          <w:szCs w:val="24"/>
        </w:rPr>
        <w:t>used</w:t>
      </w:r>
      <w:r w:rsidRPr="004502A9">
        <w:rPr>
          <w:rFonts w:eastAsia="Arial" w:cs="Arial"/>
          <w:i/>
          <w:spacing w:val="1"/>
          <w:szCs w:val="24"/>
        </w:rPr>
        <w:t xml:space="preserve"> </w:t>
      </w:r>
      <w:r w:rsidRPr="004502A9">
        <w:rPr>
          <w:rFonts w:eastAsia="Arial" w:cs="Arial"/>
          <w:i/>
          <w:szCs w:val="24"/>
        </w:rPr>
        <w:t>in</w:t>
      </w:r>
      <w:r w:rsidRPr="004502A9">
        <w:rPr>
          <w:rFonts w:eastAsia="Arial" w:cs="Arial"/>
          <w:i/>
          <w:spacing w:val="1"/>
          <w:szCs w:val="24"/>
        </w:rPr>
        <w:t xml:space="preserve"> </w:t>
      </w:r>
      <w:r w:rsidRPr="004502A9">
        <w:rPr>
          <w:rFonts w:eastAsia="Arial" w:cs="Arial"/>
          <w:i/>
          <w:szCs w:val="24"/>
        </w:rPr>
        <w:t>all</w:t>
      </w:r>
      <w:r w:rsidRPr="004502A9">
        <w:rPr>
          <w:rFonts w:eastAsia="Arial" w:cs="Arial"/>
          <w:i/>
          <w:spacing w:val="1"/>
          <w:szCs w:val="24"/>
        </w:rPr>
        <w:t xml:space="preserve"> </w:t>
      </w:r>
      <w:r w:rsidRPr="004502A9">
        <w:rPr>
          <w:rFonts w:eastAsia="Arial" w:cs="Arial"/>
          <w:i/>
          <w:szCs w:val="24"/>
        </w:rPr>
        <w:t>the</w:t>
      </w:r>
      <w:r w:rsidRPr="004502A9">
        <w:rPr>
          <w:rFonts w:eastAsia="Arial" w:cs="Arial"/>
          <w:i/>
          <w:spacing w:val="1"/>
          <w:szCs w:val="24"/>
        </w:rPr>
        <w:t xml:space="preserve"> </w:t>
      </w:r>
      <w:r w:rsidRPr="004502A9">
        <w:rPr>
          <w:rFonts w:eastAsia="Arial" w:cs="Arial"/>
          <w:i/>
          <w:szCs w:val="24"/>
        </w:rPr>
        <w:t>Waterbody</w:t>
      </w:r>
      <w:r w:rsidRPr="004502A9">
        <w:rPr>
          <w:rFonts w:eastAsia="Arial" w:cs="Arial"/>
          <w:i/>
          <w:spacing w:val="1"/>
          <w:szCs w:val="24"/>
        </w:rPr>
        <w:t xml:space="preserve"> </w:t>
      </w:r>
      <w:r w:rsidRPr="004502A9">
        <w:rPr>
          <w:rFonts w:eastAsia="Arial" w:cs="Arial"/>
          <w:i/>
          <w:szCs w:val="24"/>
        </w:rPr>
        <w:t>Fact</w:t>
      </w:r>
      <w:r w:rsidRPr="004502A9">
        <w:rPr>
          <w:rFonts w:eastAsia="Arial" w:cs="Arial"/>
          <w:i/>
          <w:spacing w:val="1"/>
          <w:szCs w:val="24"/>
        </w:rPr>
        <w:t xml:space="preserve"> </w:t>
      </w:r>
      <w:r w:rsidRPr="004502A9">
        <w:rPr>
          <w:rFonts w:eastAsia="Arial" w:cs="Arial"/>
          <w:i/>
          <w:szCs w:val="24"/>
        </w:rPr>
        <w:t>Sheets,</w:t>
      </w:r>
      <w:r w:rsidRPr="004502A9">
        <w:rPr>
          <w:rFonts w:eastAsia="Arial" w:cs="Arial"/>
          <w:i/>
          <w:spacing w:val="1"/>
          <w:szCs w:val="24"/>
        </w:rPr>
        <w:t xml:space="preserve"> </w:t>
      </w:r>
      <w:r w:rsidRPr="004502A9">
        <w:rPr>
          <w:rFonts w:eastAsia="Arial" w:cs="Arial"/>
          <w:i/>
          <w:szCs w:val="24"/>
        </w:rPr>
        <w:t>see</w:t>
      </w:r>
      <w:r w:rsidRPr="004502A9">
        <w:rPr>
          <w:rFonts w:eastAsia="Arial" w:cs="Arial"/>
          <w:i/>
          <w:spacing w:val="1"/>
          <w:szCs w:val="24"/>
        </w:rPr>
        <w:t xml:space="preserve"> </w:t>
      </w:r>
      <w:r w:rsidRPr="004502A9">
        <w:rPr>
          <w:rFonts w:eastAsia="Arial" w:cs="Arial"/>
          <w:i/>
          <w:szCs w:val="24"/>
        </w:rPr>
        <w:t>Appendix</w:t>
      </w:r>
      <w:r w:rsidRPr="004502A9">
        <w:rPr>
          <w:rFonts w:eastAsia="Arial" w:cs="Arial"/>
          <w:i/>
          <w:spacing w:val="-2"/>
          <w:szCs w:val="24"/>
        </w:rPr>
        <w:t xml:space="preserve"> </w:t>
      </w:r>
      <w:r w:rsidR="009823DA">
        <w:rPr>
          <w:rFonts w:eastAsia="Arial" w:cs="Arial"/>
          <w:i/>
          <w:szCs w:val="24"/>
        </w:rPr>
        <w:t>H:</w:t>
      </w:r>
      <w:r w:rsidR="008D5302">
        <w:rPr>
          <w:rFonts w:eastAsia="Arial" w:cs="Arial"/>
          <w:i/>
          <w:szCs w:val="24"/>
        </w:rPr>
        <w:t xml:space="preserve"> Reference Reports</w:t>
      </w:r>
      <w:r w:rsidRPr="004502A9">
        <w:rPr>
          <w:rFonts w:eastAsia="Arial" w:cs="Arial"/>
          <w:i/>
          <w:szCs w:val="24"/>
        </w:rPr>
        <w:t>.</w:t>
      </w:r>
    </w:p>
    <w:p w14:paraId="18380C2B" w14:textId="57632E3D" w:rsidR="007710C3" w:rsidRPr="004502A9" w:rsidRDefault="007710C3" w:rsidP="007710C3">
      <w:pPr>
        <w:rPr>
          <w:rFonts w:cs="Arial"/>
        </w:rPr>
      </w:pPr>
      <w:r w:rsidRPr="004502A9">
        <w:rPr>
          <w:rFonts w:cs="Arial"/>
        </w:rPr>
        <w:t>Amweg, E.R, Weston, D.P., You, J., and Lydy, M.J. 2006. Pyrethroid Insecticides and Sediment Toxicity in Urban Creeks from California and Tennessee. Environmental Science and Technology 40: 1700</w:t>
      </w:r>
      <w:r w:rsidRPr="004502A9">
        <w:rPr>
          <w:rFonts w:cs="Arial"/>
        </w:rPr>
        <w:noBreakHyphen/>
        <w:t xml:space="preserve">1706. </w:t>
      </w:r>
    </w:p>
    <w:p w14:paraId="312EE56C" w14:textId="0B455726" w:rsidR="00314AD6" w:rsidRPr="00314AD6" w:rsidRDefault="00314AD6" w:rsidP="790317A7">
      <w:pPr>
        <w:rPr>
          <w:rFonts w:cs="Arial"/>
          <w:szCs w:val="24"/>
        </w:rPr>
      </w:pPr>
      <w:r w:rsidRPr="00D637DE">
        <w:rPr>
          <w:rFonts w:cs="Arial"/>
          <w:szCs w:val="24"/>
        </w:rPr>
        <w:t>Athey</w:t>
      </w:r>
      <w:r>
        <w:rPr>
          <w:rFonts w:cs="Arial"/>
          <w:szCs w:val="24"/>
        </w:rPr>
        <w:t>,</w:t>
      </w:r>
      <w:r w:rsidRPr="00D637DE">
        <w:rPr>
          <w:rFonts w:cs="Arial"/>
          <w:szCs w:val="24"/>
        </w:rPr>
        <w:t xml:space="preserve"> S</w:t>
      </w:r>
      <w:r>
        <w:rPr>
          <w:rFonts w:cs="Arial"/>
          <w:szCs w:val="24"/>
        </w:rPr>
        <w:t>.</w:t>
      </w:r>
      <w:r w:rsidRPr="00D637DE">
        <w:rPr>
          <w:rFonts w:cs="Arial"/>
          <w:szCs w:val="24"/>
        </w:rPr>
        <w:t>N</w:t>
      </w:r>
      <w:r>
        <w:rPr>
          <w:rFonts w:cs="Arial"/>
          <w:szCs w:val="24"/>
        </w:rPr>
        <w:t>.</w:t>
      </w:r>
      <w:r w:rsidRPr="00D637DE">
        <w:rPr>
          <w:rFonts w:cs="Arial"/>
          <w:szCs w:val="24"/>
        </w:rPr>
        <w:t>, Erdle</w:t>
      </w:r>
      <w:r w:rsidR="005A1FB1">
        <w:rPr>
          <w:rFonts w:cs="Arial"/>
          <w:szCs w:val="24"/>
        </w:rPr>
        <w:t>,</w:t>
      </w:r>
      <w:r w:rsidRPr="00D637DE">
        <w:rPr>
          <w:rFonts w:cs="Arial"/>
          <w:szCs w:val="24"/>
        </w:rPr>
        <w:t xml:space="preserve"> L</w:t>
      </w:r>
      <w:r w:rsidR="005A1FB1">
        <w:rPr>
          <w:rFonts w:cs="Arial"/>
          <w:szCs w:val="24"/>
        </w:rPr>
        <w:t>.</w:t>
      </w:r>
      <w:r w:rsidRPr="00D637DE">
        <w:rPr>
          <w:rFonts w:cs="Arial"/>
          <w:szCs w:val="24"/>
        </w:rPr>
        <w:t xml:space="preserve">M. </w:t>
      </w:r>
      <w:r>
        <w:rPr>
          <w:rFonts w:cs="Arial"/>
          <w:szCs w:val="24"/>
        </w:rPr>
        <w:t xml:space="preserve">2021. </w:t>
      </w:r>
      <w:r w:rsidRPr="00D637DE">
        <w:rPr>
          <w:rFonts w:cs="Arial"/>
          <w:szCs w:val="24"/>
        </w:rPr>
        <w:t xml:space="preserve">Are </w:t>
      </w:r>
      <w:r w:rsidR="00261338">
        <w:rPr>
          <w:rFonts w:cs="Arial"/>
          <w:szCs w:val="24"/>
        </w:rPr>
        <w:t>W</w:t>
      </w:r>
      <w:r w:rsidRPr="00D637DE">
        <w:rPr>
          <w:rFonts w:cs="Arial"/>
          <w:szCs w:val="24"/>
        </w:rPr>
        <w:t xml:space="preserve">e </w:t>
      </w:r>
      <w:r w:rsidR="00261338">
        <w:rPr>
          <w:rFonts w:cs="Arial"/>
          <w:szCs w:val="24"/>
        </w:rPr>
        <w:t>U</w:t>
      </w:r>
      <w:r w:rsidRPr="00D637DE">
        <w:rPr>
          <w:rFonts w:cs="Arial"/>
          <w:szCs w:val="24"/>
        </w:rPr>
        <w:t xml:space="preserve">nderestimating </w:t>
      </w:r>
      <w:r w:rsidR="00261338">
        <w:rPr>
          <w:rFonts w:cs="Arial"/>
          <w:szCs w:val="24"/>
        </w:rPr>
        <w:t>A</w:t>
      </w:r>
      <w:r w:rsidRPr="00D637DE">
        <w:rPr>
          <w:rFonts w:cs="Arial"/>
          <w:szCs w:val="24"/>
        </w:rPr>
        <w:t xml:space="preserve">nthropogenic </w:t>
      </w:r>
      <w:r w:rsidR="00261338">
        <w:rPr>
          <w:rFonts w:cs="Arial"/>
          <w:szCs w:val="24"/>
        </w:rPr>
        <w:t>M</w:t>
      </w:r>
      <w:r>
        <w:rPr>
          <w:rFonts w:cs="Arial"/>
          <w:szCs w:val="24"/>
        </w:rPr>
        <w:t xml:space="preserve">icrofiber </w:t>
      </w:r>
      <w:r w:rsidR="00261338">
        <w:rPr>
          <w:rFonts w:cs="Arial"/>
          <w:szCs w:val="24"/>
        </w:rPr>
        <w:t>P</w:t>
      </w:r>
      <w:r w:rsidRPr="00D637DE">
        <w:rPr>
          <w:rFonts w:cs="Arial"/>
          <w:szCs w:val="24"/>
        </w:rPr>
        <w:t xml:space="preserve">ollution? A </w:t>
      </w:r>
      <w:r w:rsidR="00261338">
        <w:rPr>
          <w:rFonts w:cs="Arial"/>
          <w:szCs w:val="24"/>
        </w:rPr>
        <w:t>C</w:t>
      </w:r>
      <w:r w:rsidRPr="00D637DE">
        <w:rPr>
          <w:rFonts w:cs="Arial"/>
          <w:szCs w:val="24"/>
        </w:rPr>
        <w:t xml:space="preserve">ritical </w:t>
      </w:r>
      <w:r w:rsidR="00261338">
        <w:rPr>
          <w:rFonts w:cs="Arial"/>
          <w:szCs w:val="24"/>
        </w:rPr>
        <w:t>R</w:t>
      </w:r>
      <w:r w:rsidRPr="00D637DE">
        <w:rPr>
          <w:rFonts w:cs="Arial"/>
          <w:szCs w:val="24"/>
        </w:rPr>
        <w:t xml:space="preserve">eview of </w:t>
      </w:r>
      <w:r w:rsidR="00261338">
        <w:rPr>
          <w:rFonts w:cs="Arial"/>
          <w:szCs w:val="24"/>
        </w:rPr>
        <w:t>O</w:t>
      </w:r>
      <w:r w:rsidRPr="00D637DE">
        <w:rPr>
          <w:rFonts w:cs="Arial"/>
          <w:szCs w:val="24"/>
        </w:rPr>
        <w:t xml:space="preserve">ccurrence, </w:t>
      </w:r>
      <w:r w:rsidR="00261338">
        <w:rPr>
          <w:rFonts w:cs="Arial"/>
          <w:szCs w:val="24"/>
        </w:rPr>
        <w:t>M</w:t>
      </w:r>
      <w:r w:rsidRPr="00D637DE">
        <w:rPr>
          <w:rFonts w:cs="Arial"/>
          <w:szCs w:val="24"/>
        </w:rPr>
        <w:t xml:space="preserve">ethods, and </w:t>
      </w:r>
      <w:r w:rsidR="00261338">
        <w:rPr>
          <w:rFonts w:cs="Arial"/>
          <w:szCs w:val="24"/>
        </w:rPr>
        <w:t>R</w:t>
      </w:r>
      <w:r w:rsidRPr="00D637DE">
        <w:rPr>
          <w:rFonts w:cs="Arial"/>
          <w:szCs w:val="24"/>
        </w:rPr>
        <w:t>eporting. Environ Toxicol</w:t>
      </w:r>
      <w:r>
        <w:rPr>
          <w:rFonts w:cs="Arial"/>
          <w:szCs w:val="24"/>
        </w:rPr>
        <w:t>.</w:t>
      </w:r>
      <w:r w:rsidRPr="00D637DE">
        <w:rPr>
          <w:rFonts w:cs="Arial"/>
          <w:szCs w:val="24"/>
        </w:rPr>
        <w:t xml:space="preserve"> Chem.</w:t>
      </w:r>
    </w:p>
    <w:p w14:paraId="1AF22A03" w14:textId="529B5136" w:rsidR="00DE3C1D" w:rsidRDefault="008F26E6" w:rsidP="00DE3C1D">
      <w:r w:rsidRPr="00937E7E">
        <w:rPr>
          <w:rFonts w:cs="Arial"/>
          <w:szCs w:val="24"/>
        </w:rPr>
        <w:t>Bailey</w:t>
      </w:r>
      <w:r w:rsidR="00BA1DA8" w:rsidRPr="00937E7E">
        <w:rPr>
          <w:rFonts w:cs="Arial"/>
          <w:szCs w:val="24"/>
        </w:rPr>
        <w:t xml:space="preserve">, </w:t>
      </w:r>
      <w:r w:rsidR="0072391F" w:rsidRPr="00937E7E">
        <w:rPr>
          <w:rFonts w:cs="Arial"/>
          <w:szCs w:val="24"/>
        </w:rPr>
        <w:t xml:space="preserve">C.B., Miller, </w:t>
      </w:r>
      <w:r w:rsidR="0008501C" w:rsidRPr="00937E7E">
        <w:rPr>
          <w:rFonts w:cs="Arial"/>
          <w:szCs w:val="24"/>
        </w:rPr>
        <w:t>J.L., Miller., M.J., Wiborg</w:t>
      </w:r>
      <w:r w:rsidR="0025368B" w:rsidRPr="00937E7E">
        <w:rPr>
          <w:rFonts w:cs="Arial"/>
          <w:szCs w:val="24"/>
        </w:rPr>
        <w:t>, L.C</w:t>
      </w:r>
      <w:r w:rsidR="00533E31" w:rsidRPr="00937E7E">
        <w:rPr>
          <w:rFonts w:cs="Arial"/>
          <w:szCs w:val="24"/>
        </w:rPr>
        <w:t xml:space="preserve">., </w:t>
      </w:r>
      <w:r w:rsidR="00D72BB1" w:rsidRPr="00937E7E">
        <w:rPr>
          <w:rFonts w:cs="Arial"/>
          <w:szCs w:val="24"/>
        </w:rPr>
        <w:t xml:space="preserve">Deanovic, </w:t>
      </w:r>
      <w:r w:rsidR="001F509C" w:rsidRPr="00937E7E">
        <w:rPr>
          <w:rFonts w:cs="Arial"/>
          <w:szCs w:val="24"/>
        </w:rPr>
        <w:t>L., Shed, T.</w:t>
      </w:r>
      <w:r w:rsidR="00164BEC">
        <w:rPr>
          <w:rFonts w:cs="Arial"/>
          <w:szCs w:val="24"/>
        </w:rPr>
        <w:t xml:space="preserve"> 1997.</w:t>
      </w:r>
      <w:r w:rsidR="00BB37E1" w:rsidRPr="00937E7E">
        <w:rPr>
          <w:rFonts w:cs="Arial"/>
          <w:szCs w:val="24"/>
        </w:rPr>
        <w:t xml:space="preserve"> </w:t>
      </w:r>
      <w:r w:rsidR="00937E7E" w:rsidRPr="00937E7E">
        <w:rPr>
          <w:rFonts w:cs="Arial"/>
          <w:szCs w:val="24"/>
        </w:rPr>
        <w:t xml:space="preserve">Joint acute toxicity of diazinon and chlorpyrifos to </w:t>
      </w:r>
      <w:r w:rsidR="00937E7E" w:rsidRPr="00937E7E">
        <w:rPr>
          <w:rFonts w:cs="Arial"/>
          <w:i/>
          <w:iCs/>
          <w:szCs w:val="24"/>
        </w:rPr>
        <w:t>Ceriodaphnia dubia</w:t>
      </w:r>
      <w:r w:rsidR="00937E7E" w:rsidRPr="00937E7E">
        <w:rPr>
          <w:rFonts w:cs="Arial"/>
          <w:szCs w:val="24"/>
        </w:rPr>
        <w:t xml:space="preserve">. </w:t>
      </w:r>
      <w:r w:rsidR="00DE3C1D" w:rsidRPr="00A268D5">
        <w:rPr>
          <w:rFonts w:cs="Arial"/>
        </w:rPr>
        <w:t>Environ Toxicol</w:t>
      </w:r>
      <w:r w:rsidR="00DE3C1D">
        <w:rPr>
          <w:rFonts w:cs="Arial"/>
        </w:rPr>
        <w:t>.</w:t>
      </w:r>
      <w:r w:rsidR="00DE3C1D" w:rsidRPr="00A268D5">
        <w:rPr>
          <w:rFonts w:cs="Arial"/>
        </w:rPr>
        <w:t xml:space="preserve"> Chem. Feb;</w:t>
      </w:r>
      <w:r w:rsidR="00A36274">
        <w:rPr>
          <w:rFonts w:cs="Arial"/>
        </w:rPr>
        <w:t>16</w:t>
      </w:r>
      <w:r w:rsidR="00DE3C1D" w:rsidRPr="00A268D5">
        <w:rPr>
          <w:rFonts w:cs="Arial"/>
        </w:rPr>
        <w:t>(</w:t>
      </w:r>
      <w:r w:rsidR="006A393C">
        <w:rPr>
          <w:rFonts w:cs="Arial"/>
        </w:rPr>
        <w:t>11</w:t>
      </w:r>
      <w:r w:rsidR="00DE3C1D" w:rsidRPr="00A268D5">
        <w:rPr>
          <w:rFonts w:cs="Arial"/>
        </w:rPr>
        <w:t>):</w:t>
      </w:r>
      <w:r w:rsidR="006A393C" w:rsidRPr="006A393C">
        <w:t xml:space="preserve"> </w:t>
      </w:r>
      <w:r w:rsidR="006A393C" w:rsidRPr="006A393C">
        <w:rPr>
          <w:rFonts w:cs="Arial"/>
        </w:rPr>
        <w:t>2304-2308</w:t>
      </w:r>
      <w:r w:rsidR="00DE3C1D" w:rsidRPr="00A268D5">
        <w:rPr>
          <w:rFonts w:cs="Arial"/>
        </w:rPr>
        <w:t xml:space="preserve">. </w:t>
      </w:r>
      <w:r w:rsidR="00A13053" w:rsidRPr="00A13053">
        <w:rPr>
          <w:rFonts w:cs="Arial"/>
        </w:rPr>
        <w:t>doi.org/</w:t>
      </w:r>
      <w:r w:rsidR="00DE3C1D" w:rsidRPr="00A268D5">
        <w:rPr>
          <w:rFonts w:cs="Arial"/>
        </w:rPr>
        <w:t>10.1002/etc.</w:t>
      </w:r>
      <w:r w:rsidR="004B2C35" w:rsidRPr="004B2C35">
        <w:rPr>
          <w:rFonts w:cs="Arial"/>
        </w:rPr>
        <w:t>5620161115</w:t>
      </w:r>
      <w:r w:rsidR="00DE3C1D" w:rsidRPr="00A268D5">
        <w:rPr>
          <w:rFonts w:cs="Arial"/>
        </w:rPr>
        <w:t>.</w:t>
      </w:r>
    </w:p>
    <w:p w14:paraId="76FC786A" w14:textId="084767DE" w:rsidR="1C1BB400" w:rsidRDefault="1C1BB400" w:rsidP="790317A7">
      <w:pPr>
        <w:rPr>
          <w:rFonts w:cs="Arial"/>
        </w:rPr>
      </w:pPr>
      <w:r w:rsidRPr="790317A7">
        <w:rPr>
          <w:rFonts w:cs="Arial"/>
        </w:rPr>
        <w:t>Bashevkin, Samuel, Majardja, Brian, Brown, Larry 2022. W</w:t>
      </w:r>
      <w:r w:rsidR="781D2B7A" w:rsidRPr="790317A7">
        <w:rPr>
          <w:rFonts w:cs="Arial"/>
        </w:rPr>
        <w:t xml:space="preserve">arming in the Upper San Francisco Estuary: Patterns of Water </w:t>
      </w:r>
      <w:r w:rsidR="005A72E1" w:rsidRPr="790317A7">
        <w:rPr>
          <w:rFonts w:cs="Arial"/>
        </w:rPr>
        <w:t>Temperature</w:t>
      </w:r>
      <w:r w:rsidR="781D2B7A" w:rsidRPr="790317A7">
        <w:rPr>
          <w:rFonts w:cs="Arial"/>
        </w:rPr>
        <w:t xml:space="preserve"> Change from Five Decades of Data. Limnology and Oceanography 67</w:t>
      </w:r>
      <w:r w:rsidR="3008921E" w:rsidRPr="790317A7">
        <w:rPr>
          <w:rFonts w:cs="Arial"/>
        </w:rPr>
        <w:t>, 2022.</w:t>
      </w:r>
    </w:p>
    <w:p w14:paraId="127A4919" w14:textId="298BDF6D" w:rsidR="001F65B2" w:rsidRDefault="008C4889" w:rsidP="790317A7">
      <w:pPr>
        <w:rPr>
          <w:rFonts w:cs="Arial"/>
        </w:rPr>
      </w:pPr>
      <w:r w:rsidRPr="008C4889">
        <w:rPr>
          <w:rFonts w:cs="Arial"/>
        </w:rPr>
        <w:t xml:space="preserve">Baude, W., Doerfler, R., Alexander, L., Bray, S., Citron, E., Gelbach, J., Gluck, A., Mcadams, R., Mirski, S., Posner, E., Re, R., Sachs, S., Samaha, A., Schauer, F., Steinberg, A., Stern, J. and Strauss, D. 2017. The (Not So) Plain Meaning Rule. The University of Chicago Law Review, </w:t>
      </w:r>
      <w:r w:rsidR="00C86BE3">
        <w:rPr>
          <w:rFonts w:cs="Arial"/>
        </w:rPr>
        <w:t>vol.</w:t>
      </w:r>
      <w:r w:rsidRPr="008C4889">
        <w:rPr>
          <w:rFonts w:cs="Arial"/>
        </w:rPr>
        <w:t xml:space="preserve"> 84</w:t>
      </w:r>
      <w:r w:rsidR="000F3C9A">
        <w:rPr>
          <w:rFonts w:cs="Arial"/>
        </w:rPr>
        <w:t>, no. 2</w:t>
      </w:r>
      <w:r w:rsidRPr="008C4889">
        <w:rPr>
          <w:rFonts w:cs="Arial"/>
        </w:rPr>
        <w:t>. Available</w:t>
      </w:r>
      <w:r w:rsidR="003F3FC8">
        <w:rPr>
          <w:rFonts w:cs="Arial"/>
        </w:rPr>
        <w:t xml:space="preserve"> online</w:t>
      </w:r>
      <w:r w:rsidRPr="008C4889">
        <w:rPr>
          <w:rFonts w:cs="Arial"/>
        </w:rPr>
        <w:t xml:space="preserve"> at: </w:t>
      </w:r>
      <w:hyperlink r:id="rId83" w:history="1">
        <w:r w:rsidR="00D70440" w:rsidRPr="008C4889">
          <w:rPr>
            <w:rStyle w:val="Hyperlink"/>
            <w:rFonts w:cs="Arial"/>
          </w:rPr>
          <w:t>https://lawreview.uchicago.edu/sites/default/files/01%20Baude%26Doerfler_ART_IC.pd</w:t>
        </w:r>
        <w:r w:rsidR="00D70440" w:rsidRPr="00A06B7A">
          <w:rPr>
            <w:rStyle w:val="Hyperlink"/>
            <w:rFonts w:cs="Arial"/>
          </w:rPr>
          <w:t>f</w:t>
        </w:r>
      </w:hyperlink>
      <w:r w:rsidR="00D70440">
        <w:rPr>
          <w:rFonts w:cs="Arial"/>
        </w:rPr>
        <w:t xml:space="preserve">. </w:t>
      </w:r>
      <w:r w:rsidRPr="008C4889">
        <w:rPr>
          <w:rFonts w:cs="Arial"/>
        </w:rPr>
        <w:t xml:space="preserve">Accessed </w:t>
      </w:r>
      <w:r w:rsidR="00D70440">
        <w:rPr>
          <w:rFonts w:cs="Arial"/>
        </w:rPr>
        <w:t>October 9, 2024</w:t>
      </w:r>
      <w:r w:rsidRPr="008C4889">
        <w:rPr>
          <w:rFonts w:cs="Arial"/>
        </w:rPr>
        <w:t>.</w:t>
      </w:r>
    </w:p>
    <w:p w14:paraId="3B03F22D" w14:textId="0F6B6A51" w:rsidR="00C86070" w:rsidRDefault="0084293C" w:rsidP="007710C3">
      <w:pPr>
        <w:rPr>
          <w:rFonts w:cs="Arial"/>
        </w:rPr>
      </w:pPr>
      <w:r w:rsidRPr="0084293C">
        <w:rPr>
          <w:rFonts w:cs="Arial"/>
        </w:rPr>
        <w:t xml:space="preserve">Bednaršek, N., R.A. Feely, E.L. Howes, B.P.V. Hunt, F. Kessouri, P. Leon, R. Lischka, A.E. Maas, K. McLaughlin, N.P. Nezlin, M. Sutula, S.B. Weisberg. 2019. Systematic Review and Meta-Analysis Toward Synthesis of Thresholds of Ocean Acidification Impacts on Calcifying Pteropods and Interactions </w:t>
      </w:r>
      <w:r w:rsidR="00C85B94" w:rsidRPr="0084293C">
        <w:rPr>
          <w:rFonts w:cs="Arial"/>
        </w:rPr>
        <w:t>with</w:t>
      </w:r>
      <w:r w:rsidRPr="0084293C">
        <w:rPr>
          <w:rFonts w:cs="Arial"/>
        </w:rPr>
        <w:t xml:space="preserve"> Warming. Frontiers in Marine Science 6:227</w:t>
      </w:r>
      <w:r w:rsidR="00B34EB1">
        <w:rPr>
          <w:rFonts w:cs="Arial"/>
        </w:rPr>
        <w:t>.</w:t>
      </w:r>
    </w:p>
    <w:p w14:paraId="16B95F7C" w14:textId="0C64122A" w:rsidR="004922A4" w:rsidRDefault="004922A4" w:rsidP="007710C3">
      <w:pPr>
        <w:rPr>
          <w:rFonts w:cs="Arial"/>
        </w:rPr>
      </w:pPr>
      <w:r w:rsidRPr="004922A4">
        <w:rPr>
          <w:rFonts w:cs="Arial"/>
        </w:rPr>
        <w:t>Bednaršek N., Feely R. A., Reum J. C. P., Peterson B., Menkel J., Alin S. R. and Hales B. 2014</w:t>
      </w:r>
      <w:r>
        <w:rPr>
          <w:rFonts w:cs="Arial"/>
        </w:rPr>
        <w:t xml:space="preserve">. </w:t>
      </w:r>
      <w:r w:rsidRPr="004922A4">
        <w:rPr>
          <w:rFonts w:cs="Arial"/>
        </w:rPr>
        <w:t>Limacina helicina shell dissolution as an indicator of declining habitat suitability owing to ocean acidification in the California Current Ecosystem</w:t>
      </w:r>
      <w:r w:rsidR="00EF3877">
        <w:rPr>
          <w:rFonts w:cs="Arial"/>
        </w:rPr>
        <w:t xml:space="preserve">. </w:t>
      </w:r>
      <w:r w:rsidRPr="004922A4">
        <w:rPr>
          <w:rFonts w:cs="Arial"/>
        </w:rPr>
        <w:t>Proc. R. Soc. B.2812014012320140123</w:t>
      </w:r>
      <w:r w:rsidR="00B34EB1">
        <w:rPr>
          <w:rFonts w:cs="Arial"/>
        </w:rPr>
        <w:t>.</w:t>
      </w:r>
    </w:p>
    <w:p w14:paraId="08AD0F29" w14:textId="5A4E2D00" w:rsidR="00D21269" w:rsidRDefault="1137466D" w:rsidP="007710C3">
      <w:pPr>
        <w:rPr>
          <w:rFonts w:cs="Arial"/>
        </w:rPr>
      </w:pPr>
      <w:r w:rsidRPr="2559E413">
        <w:rPr>
          <w:rFonts w:cs="Arial"/>
        </w:rPr>
        <w:t>Bednaršek N, Tarling GA, Bakker DCE, Fielding S, Feely RA. 2014</w:t>
      </w:r>
      <w:r w:rsidR="08C3746F" w:rsidRPr="2559E413">
        <w:rPr>
          <w:rFonts w:cs="Arial"/>
        </w:rPr>
        <w:t>b</w:t>
      </w:r>
      <w:r w:rsidRPr="2559E413">
        <w:rPr>
          <w:rFonts w:cs="Arial"/>
        </w:rPr>
        <w:t>. Dissolution Dominating Calcification Process in Polar Pteropods Close to the Point of Aragonite Undersaturation. PLOS ONE 9(10): e109183</w:t>
      </w:r>
      <w:r w:rsidR="462EA349" w:rsidRPr="2559E413">
        <w:rPr>
          <w:rFonts w:cs="Arial"/>
        </w:rPr>
        <w:t>.</w:t>
      </w:r>
    </w:p>
    <w:p w14:paraId="28272ADE" w14:textId="5E199AB0" w:rsidR="003F3429" w:rsidRDefault="00F9339C" w:rsidP="00F9339C">
      <w:pPr>
        <w:ind w:right="390"/>
        <w:rPr>
          <w:rFonts w:cs="Arial"/>
        </w:rPr>
      </w:pPr>
      <w:r w:rsidRPr="00F9339C">
        <w:rPr>
          <w:rFonts w:cs="Arial"/>
        </w:rPr>
        <w:t>Benson, B.B., and Daniel Krause, Jr, 1984, The concentration and isotopic fractionation of oxygen dissolved in freshwater and seawater in equilibrium with the atmosphere: Limnology and Oceanography, vol. 29, no. 3, p. 620-632. (Also</w:t>
      </w:r>
      <w:r w:rsidR="00AD5743">
        <w:rPr>
          <w:rFonts w:cs="Arial"/>
        </w:rPr>
        <w:t xml:space="preserve"> </w:t>
      </w:r>
      <w:r w:rsidRPr="00F9339C">
        <w:rPr>
          <w:rFonts w:cs="Arial"/>
        </w:rPr>
        <w:t xml:space="preserve">available at </w:t>
      </w:r>
      <w:hyperlink r:id="rId84" w:history="1">
        <w:r w:rsidRPr="00273C07">
          <w:rPr>
            <w:rStyle w:val="Hyperlink"/>
            <w:rFonts w:cs="Arial"/>
          </w:rPr>
          <w:t>http://www.jstor.org/stable/pdfplus/2836308.pdf</w:t>
        </w:r>
      </w:hyperlink>
      <w:r w:rsidRPr="00F9339C">
        <w:rPr>
          <w:rFonts w:cs="Arial"/>
        </w:rPr>
        <w:t>.)</w:t>
      </w:r>
    </w:p>
    <w:p w14:paraId="4613CE07" w14:textId="44130156" w:rsidR="007710C3" w:rsidRPr="004502A9" w:rsidRDefault="007710C3" w:rsidP="006829FE">
      <w:pPr>
        <w:ind w:right="390"/>
        <w:rPr>
          <w:rFonts w:cs="Arial"/>
        </w:rPr>
      </w:pPr>
      <w:r w:rsidRPr="004502A9">
        <w:rPr>
          <w:rFonts w:cs="Arial"/>
        </w:rPr>
        <w:t xml:space="preserve">California Water Quality Monitoring Council, California Cyanobacteria and HABs Network. 2016. Statewide Voluntary Guidance on CyanoHABs in Recreational Waters. </w:t>
      </w:r>
      <w:hyperlink r:id="rId85" w:history="1">
        <w:r w:rsidRPr="004502A9">
          <w:rPr>
            <w:rStyle w:val="Hyperlink"/>
            <w:rFonts w:cs="Arial"/>
          </w:rPr>
          <w:t>https://mywaterquality.ca.gov/monitoring_council/cyanohab_network/docs/2016/appendix_a_2016_1.pdf</w:t>
        </w:r>
      </w:hyperlink>
    </w:p>
    <w:p w14:paraId="5C54B949" w14:textId="599BC347" w:rsidR="00BE7F47" w:rsidRDefault="00BE7F47" w:rsidP="00BE7F47">
      <w:pPr>
        <w:ind w:right="390"/>
        <w:rPr>
          <w:rFonts w:cs="Arial"/>
        </w:rPr>
      </w:pPr>
      <w:r>
        <w:rPr>
          <w:rFonts w:cs="Arial"/>
        </w:rPr>
        <w:t>Coffin</w:t>
      </w:r>
      <w:r w:rsidR="00560F76">
        <w:rPr>
          <w:rFonts w:cs="Arial"/>
        </w:rPr>
        <w:t xml:space="preserve">, </w:t>
      </w:r>
      <w:r w:rsidR="000B6A96">
        <w:rPr>
          <w:rFonts w:cs="Arial"/>
        </w:rPr>
        <w:t xml:space="preserve">S., </w:t>
      </w:r>
      <w:r w:rsidR="00972AA1">
        <w:rPr>
          <w:rFonts w:cs="Arial"/>
        </w:rPr>
        <w:t>Weisber</w:t>
      </w:r>
      <w:r w:rsidR="007E5F15">
        <w:rPr>
          <w:rFonts w:cs="Arial"/>
        </w:rPr>
        <w:t>g</w:t>
      </w:r>
      <w:r w:rsidR="00972AA1">
        <w:rPr>
          <w:rFonts w:cs="Arial"/>
        </w:rPr>
        <w:t>, S.B., Rochma</w:t>
      </w:r>
      <w:r w:rsidR="007E5F15">
        <w:rPr>
          <w:rFonts w:cs="Arial"/>
        </w:rPr>
        <w:t>n</w:t>
      </w:r>
      <w:r w:rsidR="00972AA1">
        <w:rPr>
          <w:rFonts w:cs="Arial"/>
        </w:rPr>
        <w:t xml:space="preserve">, C., </w:t>
      </w:r>
      <w:r w:rsidR="007E5F15">
        <w:rPr>
          <w:rFonts w:cs="Arial"/>
        </w:rPr>
        <w:t>Koo</w:t>
      </w:r>
      <w:r w:rsidR="00E456D5">
        <w:rPr>
          <w:rFonts w:cs="Arial"/>
        </w:rPr>
        <w:t>i, M., &amp; Koelmans</w:t>
      </w:r>
      <w:r w:rsidR="00C010BB">
        <w:rPr>
          <w:rFonts w:cs="Arial"/>
        </w:rPr>
        <w:t>,</w:t>
      </w:r>
      <w:r w:rsidR="00E456D5">
        <w:rPr>
          <w:rFonts w:cs="Arial"/>
        </w:rPr>
        <w:t xml:space="preserve"> A.A.</w:t>
      </w:r>
      <w:r w:rsidR="00C010BB">
        <w:rPr>
          <w:rFonts w:cs="Arial"/>
        </w:rPr>
        <w:t xml:space="preserve"> 2022. </w:t>
      </w:r>
      <w:r w:rsidR="00CA7080" w:rsidRPr="00CC6705">
        <w:rPr>
          <w:rFonts w:cs="Arial"/>
          <w:szCs w:val="24"/>
        </w:rPr>
        <w:t>Risk characterization of microplastics in San Francisco Bay, California. Micropl.&amp;Nanopl. 2, 19</w:t>
      </w:r>
      <w:r w:rsidR="00CA7080">
        <w:rPr>
          <w:rFonts w:cs="Arial"/>
          <w:szCs w:val="24"/>
        </w:rPr>
        <w:t>.</w:t>
      </w:r>
      <w:r w:rsidR="00E456D5">
        <w:rPr>
          <w:rFonts w:cs="Arial"/>
        </w:rPr>
        <w:t xml:space="preserve"> </w:t>
      </w:r>
    </w:p>
    <w:p w14:paraId="7ACDD5C1" w14:textId="56B61299" w:rsidR="001C41E8" w:rsidRDefault="001C41E8" w:rsidP="001C41E8">
      <w:pPr>
        <w:pStyle w:val="paragraph"/>
        <w:spacing w:before="0" w:beforeAutospacing="0" w:after="0" w:afterAutospacing="0"/>
        <w:textAlignment w:val="baseline"/>
        <w:rPr>
          <w:rStyle w:val="eop"/>
          <w:rFonts w:cs="Arial"/>
        </w:rPr>
      </w:pPr>
      <w:r w:rsidRPr="0035487C">
        <w:rPr>
          <w:rStyle w:val="normaltextrun"/>
          <w:rFonts w:cs="Arial"/>
        </w:rPr>
        <w:t xml:space="preserve">de Ruijter VN, Redondo Hasselerharm PE, Gouin T, Koelmans AA. </w:t>
      </w:r>
      <w:r>
        <w:rPr>
          <w:rStyle w:val="normaltextrun"/>
          <w:rFonts w:cs="Arial"/>
        </w:rPr>
        <w:t>2020.</w:t>
      </w:r>
      <w:r w:rsidR="007B18D4">
        <w:rPr>
          <w:rStyle w:val="normaltextrun"/>
          <w:rFonts w:cs="Arial"/>
        </w:rPr>
        <w:t xml:space="preserve"> </w:t>
      </w:r>
      <w:r w:rsidRPr="0035487C">
        <w:rPr>
          <w:rStyle w:val="normaltextrun"/>
          <w:rFonts w:cs="Arial"/>
        </w:rPr>
        <w:t xml:space="preserve">Quality </w:t>
      </w:r>
      <w:r w:rsidR="006A1B84">
        <w:rPr>
          <w:rStyle w:val="normaltextrun"/>
          <w:rFonts w:cs="Arial"/>
        </w:rPr>
        <w:t>C</w:t>
      </w:r>
      <w:r w:rsidRPr="0035487C">
        <w:rPr>
          <w:rStyle w:val="normaltextrun"/>
          <w:rFonts w:cs="Arial"/>
        </w:rPr>
        <w:t xml:space="preserve">riteria for </w:t>
      </w:r>
      <w:r w:rsidR="006A1B84">
        <w:rPr>
          <w:rStyle w:val="normaltextrun"/>
          <w:rFonts w:cs="Arial"/>
        </w:rPr>
        <w:t>M</w:t>
      </w:r>
      <w:r w:rsidRPr="0035487C">
        <w:rPr>
          <w:rStyle w:val="normaltextrun"/>
          <w:rFonts w:cs="Arial"/>
        </w:rPr>
        <w:t xml:space="preserve">icroplastic </w:t>
      </w:r>
      <w:r w:rsidR="006A1B84">
        <w:rPr>
          <w:rStyle w:val="normaltextrun"/>
          <w:rFonts w:cs="Arial"/>
        </w:rPr>
        <w:t>E</w:t>
      </w:r>
      <w:r w:rsidRPr="0035487C">
        <w:rPr>
          <w:rStyle w:val="normaltextrun"/>
          <w:rFonts w:cs="Arial"/>
        </w:rPr>
        <w:t xml:space="preserve">ffect </w:t>
      </w:r>
      <w:r w:rsidR="006A1B84">
        <w:rPr>
          <w:rStyle w:val="normaltextrun"/>
          <w:rFonts w:cs="Arial"/>
        </w:rPr>
        <w:t>S</w:t>
      </w:r>
      <w:r w:rsidRPr="0035487C">
        <w:rPr>
          <w:rStyle w:val="normaltextrun"/>
          <w:rFonts w:cs="Arial"/>
        </w:rPr>
        <w:t xml:space="preserve">tudies in the </w:t>
      </w:r>
      <w:r w:rsidR="006A1B84">
        <w:rPr>
          <w:rStyle w:val="normaltextrun"/>
          <w:rFonts w:cs="Arial"/>
        </w:rPr>
        <w:t>C</w:t>
      </w:r>
      <w:r w:rsidRPr="0035487C">
        <w:rPr>
          <w:rStyle w:val="normaltextrun"/>
          <w:rFonts w:cs="Arial"/>
        </w:rPr>
        <w:t xml:space="preserve">ontext of </w:t>
      </w:r>
      <w:r w:rsidR="006A1B84">
        <w:rPr>
          <w:rStyle w:val="normaltextrun"/>
          <w:rFonts w:cs="Arial"/>
        </w:rPr>
        <w:t>R</w:t>
      </w:r>
      <w:r w:rsidRPr="0035487C">
        <w:rPr>
          <w:rStyle w:val="normaltextrun"/>
          <w:rFonts w:cs="Arial"/>
        </w:rPr>
        <w:t xml:space="preserve">isk </w:t>
      </w:r>
      <w:r w:rsidR="006A1B84">
        <w:rPr>
          <w:rStyle w:val="normaltextrun"/>
          <w:rFonts w:cs="Arial"/>
        </w:rPr>
        <w:t>A</w:t>
      </w:r>
      <w:r w:rsidRPr="0035487C">
        <w:rPr>
          <w:rStyle w:val="normaltextrun"/>
          <w:rFonts w:cs="Arial"/>
        </w:rPr>
        <w:t xml:space="preserve">ssessment: A </w:t>
      </w:r>
      <w:r w:rsidR="006A1B84">
        <w:rPr>
          <w:rStyle w:val="normaltextrun"/>
          <w:rFonts w:cs="Arial"/>
        </w:rPr>
        <w:t>C</w:t>
      </w:r>
      <w:r w:rsidRPr="0035487C">
        <w:rPr>
          <w:rStyle w:val="normaltextrun"/>
          <w:rFonts w:cs="Arial"/>
        </w:rPr>
        <w:t xml:space="preserve">ritical </w:t>
      </w:r>
      <w:r w:rsidR="006A1B84">
        <w:rPr>
          <w:rStyle w:val="normaltextrun"/>
          <w:rFonts w:cs="Arial"/>
        </w:rPr>
        <w:t>R</w:t>
      </w:r>
      <w:r w:rsidRPr="0035487C">
        <w:rPr>
          <w:rStyle w:val="normaltextrun"/>
          <w:rFonts w:cs="Arial"/>
        </w:rPr>
        <w:t>eview. Environ Sci Technol. 54,19:11692–705</w:t>
      </w:r>
      <w:r>
        <w:rPr>
          <w:rStyle w:val="normaltextrun"/>
          <w:rFonts w:cs="Arial"/>
        </w:rPr>
        <w:t>.</w:t>
      </w:r>
    </w:p>
    <w:p w14:paraId="42AA468E" w14:textId="77777777" w:rsidR="001C41E8" w:rsidRDefault="001C41E8" w:rsidP="00417421">
      <w:pPr>
        <w:pStyle w:val="paragraph"/>
        <w:spacing w:before="0" w:beforeAutospacing="0" w:after="0" w:afterAutospacing="0"/>
        <w:textAlignment w:val="baseline"/>
        <w:rPr>
          <w:rFonts w:cs="Arial"/>
        </w:rPr>
      </w:pPr>
    </w:p>
    <w:p w14:paraId="43A50D9A" w14:textId="7AFCC2A8" w:rsidR="30BDF5D7" w:rsidRDefault="22770E62" w:rsidP="30BDF5D7">
      <w:pPr>
        <w:rPr>
          <w:rFonts w:eastAsia="Calibri"/>
          <w:szCs w:val="24"/>
        </w:rPr>
      </w:pPr>
      <w:r w:rsidRPr="1B8A0D26">
        <w:rPr>
          <w:rFonts w:cs="Arial"/>
        </w:rPr>
        <w:t xml:space="preserve">Eignor, D., Gallagher, K., Behl, E., 2018. Final Aquatic Life Ambient Water Quality Criteria for Aluminum: EPA-822-R-18-001. </w:t>
      </w:r>
      <w:r w:rsidRPr="22DD04BB">
        <w:rPr>
          <w:rFonts w:cs="Arial"/>
        </w:rPr>
        <w:t xml:space="preserve">U.S. </w:t>
      </w:r>
      <w:r w:rsidR="3BB8233A" w:rsidRPr="22DD04BB">
        <w:rPr>
          <w:rFonts w:cs="Arial"/>
        </w:rPr>
        <w:t>EPA</w:t>
      </w:r>
      <w:r w:rsidRPr="1B8A0D26">
        <w:rPr>
          <w:rFonts w:cs="Arial"/>
        </w:rPr>
        <w:t>, Office of Water, Health &amp; Ecological Criteria Division, Washington, D.C.</w:t>
      </w:r>
      <w:r w:rsidR="656BADA6" w:rsidRPr="3DB2ABE4">
        <w:rPr>
          <w:rFonts w:cs="Arial"/>
        </w:rPr>
        <w:t xml:space="preserve"> </w:t>
      </w:r>
      <w:r w:rsidR="00A17626">
        <w:rPr>
          <w:rFonts w:cs="Arial"/>
        </w:rPr>
        <w:t xml:space="preserve">Available online at </w:t>
      </w:r>
      <w:hyperlink r:id="rId86" w:history="1">
        <w:r w:rsidR="00FC2B77" w:rsidRPr="0037393D">
          <w:rPr>
            <w:rStyle w:val="Hyperlink"/>
            <w:rFonts w:cs="Arial"/>
          </w:rPr>
          <w:t>https://www.epa.gov/sites/default/files/2018-12/documents/aluminum-final-national-recommended-awqc.pdf</w:t>
        </w:r>
      </w:hyperlink>
      <w:r w:rsidR="00FC2B77">
        <w:rPr>
          <w:rFonts w:cs="Arial"/>
        </w:rPr>
        <w:t xml:space="preserve">. Accessed November 1, 2022. </w:t>
      </w:r>
    </w:p>
    <w:p w14:paraId="7FEA4C50" w14:textId="40D87FAF" w:rsidR="002E749F" w:rsidRDefault="002E749F" w:rsidP="007710C3">
      <w:r>
        <w:t xml:space="preserve">Fox, D.R., </w:t>
      </w:r>
      <w:r w:rsidR="00471B51">
        <w:t>van Dam</w:t>
      </w:r>
      <w:r w:rsidR="00F57085">
        <w:t xml:space="preserve">, R.A., Fisher R., </w:t>
      </w:r>
      <w:r w:rsidR="00675E9F">
        <w:t xml:space="preserve">Batley, G.E, </w:t>
      </w:r>
      <w:r w:rsidR="005A6FAC">
        <w:t>Tillmanns, A.R., Thorley, J., Schwarz, C.J</w:t>
      </w:r>
      <w:r w:rsidR="00507DDF">
        <w:t xml:space="preserve">., Spry, D.J., </w:t>
      </w:r>
      <w:r w:rsidR="00215048">
        <w:t xml:space="preserve">&amp; McTavish, K. </w:t>
      </w:r>
      <w:r w:rsidR="007F03CF">
        <w:t>2021</w:t>
      </w:r>
      <w:r w:rsidR="0076518B">
        <w:t xml:space="preserve">. </w:t>
      </w:r>
      <w:r w:rsidR="0076518B" w:rsidRPr="00417421">
        <w:rPr>
          <w:rFonts w:cs="Arial"/>
        </w:rPr>
        <w:t>Recent Developments in Species Sensitivity Distribution Modeling</w:t>
      </w:r>
      <w:r w:rsidR="00A268D5">
        <w:rPr>
          <w:rFonts w:cs="Arial"/>
        </w:rPr>
        <w:t xml:space="preserve">. </w:t>
      </w:r>
      <w:r w:rsidR="00A268D5" w:rsidRPr="00A268D5">
        <w:rPr>
          <w:rFonts w:cs="Arial"/>
        </w:rPr>
        <w:t>Environ Toxicol</w:t>
      </w:r>
      <w:r w:rsidR="00A268D5">
        <w:rPr>
          <w:rFonts w:cs="Arial"/>
        </w:rPr>
        <w:t>.</w:t>
      </w:r>
      <w:r w:rsidR="00A268D5" w:rsidRPr="00A268D5">
        <w:rPr>
          <w:rFonts w:cs="Arial"/>
        </w:rPr>
        <w:t xml:space="preserve"> Chem. Feb;40(2):293-308. doi: 10.1002/etc.4925. PMID: 33170526.</w:t>
      </w:r>
    </w:p>
    <w:p w14:paraId="665EBEAE" w14:textId="4C24F9D6" w:rsidR="007009EE" w:rsidRDefault="007009EE" w:rsidP="007710C3">
      <w:r>
        <w:t xml:space="preserve">Hung, C., </w:t>
      </w:r>
      <w:r w:rsidR="00526130">
        <w:t>Klasios, N., Zhu</w:t>
      </w:r>
      <w:r w:rsidR="00C303B2">
        <w:t xml:space="preserve">, X., Sedlak, M., </w:t>
      </w:r>
      <w:r w:rsidR="004F2C31">
        <w:t xml:space="preserve">Sutton, </w:t>
      </w:r>
      <w:r w:rsidR="00A94A57">
        <w:t>R.,</w:t>
      </w:r>
      <w:r w:rsidR="00283219">
        <w:t xml:space="preserve"> &amp; Rochman, </w:t>
      </w:r>
      <w:r w:rsidR="00E0194D">
        <w:t xml:space="preserve">C.M. </w:t>
      </w:r>
      <w:r w:rsidR="002C0404">
        <w:t>2020</w:t>
      </w:r>
      <w:r w:rsidR="009A70B0">
        <w:t xml:space="preserve">. </w:t>
      </w:r>
      <w:r w:rsidR="009A70B0" w:rsidRPr="00D637DE">
        <w:rPr>
          <w:rFonts w:cs="Arial"/>
          <w:szCs w:val="24"/>
        </w:rPr>
        <w:t>Methods Matter: Methods for Sampling Microplastic and Other Anthropogenic Particles and Their Implications for Monitoring and Ecological Risk Assessment. Integrated Environmental Assessment and Management. 17. 10.1002/ieam.4325.</w:t>
      </w:r>
    </w:p>
    <w:p w14:paraId="409A082D" w14:textId="6ABE8131" w:rsidR="00B64D00" w:rsidRDefault="00B540DD" w:rsidP="00B64D00">
      <w:pPr>
        <w:rPr>
          <w:rFonts w:cs="Arial"/>
        </w:rPr>
      </w:pPr>
      <w:r>
        <w:t xml:space="preserve">Koelmans AA, Redondo Hasselerharm PE, Mohamed Nor NH, Kooi M. 2020. Solving the </w:t>
      </w:r>
      <w:r w:rsidR="00B81913">
        <w:t>N</w:t>
      </w:r>
      <w:r>
        <w:t xml:space="preserve">onalignment of </w:t>
      </w:r>
      <w:r w:rsidR="00B81913">
        <w:t>M</w:t>
      </w:r>
      <w:r>
        <w:t xml:space="preserve">ethods and </w:t>
      </w:r>
      <w:r w:rsidR="00B81913">
        <w:t>A</w:t>
      </w:r>
      <w:r>
        <w:t xml:space="preserve">pproaches </w:t>
      </w:r>
      <w:r w:rsidR="00B81913">
        <w:t>U</w:t>
      </w:r>
      <w:r>
        <w:t xml:space="preserve">sed in </w:t>
      </w:r>
      <w:r w:rsidR="00B81913">
        <w:t>M</w:t>
      </w:r>
      <w:r>
        <w:t xml:space="preserve">icroplastic </w:t>
      </w:r>
      <w:r w:rsidR="00B81913">
        <w:t>R</w:t>
      </w:r>
      <w:r>
        <w:t xml:space="preserve">esearch to </w:t>
      </w:r>
      <w:r w:rsidR="001122F9">
        <w:t>C</w:t>
      </w:r>
      <w:r>
        <w:t xml:space="preserve">onsistently </w:t>
      </w:r>
      <w:r w:rsidR="001122F9">
        <w:t>C</w:t>
      </w:r>
      <w:r>
        <w:t xml:space="preserve">haracterize </w:t>
      </w:r>
      <w:r w:rsidR="001122F9">
        <w:t>R</w:t>
      </w:r>
      <w:r>
        <w:t>isk. Environ Sci Technol.</w:t>
      </w:r>
      <w:r w:rsidR="00B64D00">
        <w:t xml:space="preserve"> </w:t>
      </w:r>
      <w:r w:rsidR="00B64D00" w:rsidRPr="0056269A">
        <w:rPr>
          <w:rFonts w:cs="Arial"/>
        </w:rPr>
        <w:t>54</w:t>
      </w:r>
      <w:r w:rsidR="00B64D00">
        <w:rPr>
          <w:rFonts w:cs="Arial"/>
        </w:rPr>
        <w:t>:</w:t>
      </w:r>
      <w:r w:rsidR="00B64D00" w:rsidRPr="0056269A">
        <w:rPr>
          <w:rFonts w:cs="Arial"/>
        </w:rPr>
        <w:t xml:space="preserve"> 12307</w:t>
      </w:r>
      <w:r w:rsidR="00B64D00">
        <w:rPr>
          <w:rFonts w:cs="Arial"/>
        </w:rPr>
        <w:t>-</w:t>
      </w:r>
      <w:r w:rsidR="00B64D00" w:rsidRPr="0056269A">
        <w:rPr>
          <w:rFonts w:cs="Arial"/>
        </w:rPr>
        <w:t>12315</w:t>
      </w:r>
      <w:r w:rsidR="00B64D00">
        <w:rPr>
          <w:rFonts w:cs="Arial"/>
        </w:rPr>
        <w:t>.</w:t>
      </w:r>
    </w:p>
    <w:p w14:paraId="51C93A34" w14:textId="1C78A75D" w:rsidR="00125D8E" w:rsidRPr="008B21EF" w:rsidRDefault="00125D8E" w:rsidP="00125D8E">
      <w:pPr>
        <w:rPr>
          <w:rFonts w:cs="Arial"/>
          <w:szCs w:val="24"/>
        </w:rPr>
      </w:pPr>
      <w:r w:rsidRPr="008B21EF">
        <w:rPr>
          <w:rFonts w:cs="Arial"/>
          <w:szCs w:val="24"/>
        </w:rPr>
        <w:t xml:space="preserve">Lin, P., M. Duane, and X.F. Niu. 2000. Nonparametric </w:t>
      </w:r>
      <w:r w:rsidR="00D2713D">
        <w:rPr>
          <w:rFonts w:cs="Arial"/>
          <w:szCs w:val="24"/>
        </w:rPr>
        <w:t>P</w:t>
      </w:r>
      <w:r w:rsidRPr="008B21EF">
        <w:rPr>
          <w:rFonts w:cs="Arial"/>
          <w:szCs w:val="24"/>
        </w:rPr>
        <w:t xml:space="preserve">rocedure for </w:t>
      </w:r>
      <w:r w:rsidR="00D2713D">
        <w:rPr>
          <w:rFonts w:cs="Arial"/>
          <w:szCs w:val="24"/>
        </w:rPr>
        <w:t>L</w:t>
      </w:r>
      <w:r w:rsidRPr="008B21EF">
        <w:rPr>
          <w:rFonts w:cs="Arial"/>
          <w:szCs w:val="24"/>
        </w:rPr>
        <w:t xml:space="preserve">isting and </w:t>
      </w:r>
      <w:r w:rsidR="00D2713D">
        <w:rPr>
          <w:rFonts w:cs="Arial"/>
          <w:szCs w:val="24"/>
        </w:rPr>
        <w:t>D</w:t>
      </w:r>
      <w:r w:rsidRPr="008B21EF">
        <w:rPr>
          <w:rFonts w:cs="Arial"/>
          <w:szCs w:val="24"/>
        </w:rPr>
        <w:t xml:space="preserve">elisting </w:t>
      </w:r>
      <w:r w:rsidR="000F67A7">
        <w:rPr>
          <w:rFonts w:cs="Arial"/>
          <w:szCs w:val="24"/>
        </w:rPr>
        <w:t>I</w:t>
      </w:r>
      <w:r w:rsidRPr="008B21EF">
        <w:rPr>
          <w:rFonts w:cs="Arial"/>
          <w:szCs w:val="24"/>
        </w:rPr>
        <w:t xml:space="preserve">mpaired </w:t>
      </w:r>
      <w:r w:rsidR="000F67A7">
        <w:rPr>
          <w:rFonts w:cs="Arial"/>
          <w:szCs w:val="24"/>
        </w:rPr>
        <w:t>W</w:t>
      </w:r>
      <w:r w:rsidRPr="008B21EF">
        <w:rPr>
          <w:rFonts w:cs="Arial"/>
          <w:szCs w:val="24"/>
        </w:rPr>
        <w:t xml:space="preserve">aters </w:t>
      </w:r>
      <w:r w:rsidR="000F67A7">
        <w:rPr>
          <w:rFonts w:cs="Arial"/>
          <w:szCs w:val="24"/>
        </w:rPr>
        <w:t>B</w:t>
      </w:r>
      <w:r w:rsidRPr="008B21EF">
        <w:rPr>
          <w:rFonts w:cs="Arial"/>
          <w:szCs w:val="24"/>
        </w:rPr>
        <w:t xml:space="preserve">ased on </w:t>
      </w:r>
      <w:r w:rsidR="000F67A7">
        <w:rPr>
          <w:rFonts w:cs="Arial"/>
          <w:szCs w:val="24"/>
        </w:rPr>
        <w:t>C</w:t>
      </w:r>
      <w:r w:rsidRPr="008B21EF">
        <w:rPr>
          <w:rFonts w:cs="Arial"/>
          <w:szCs w:val="24"/>
        </w:rPr>
        <w:t xml:space="preserve">riterion </w:t>
      </w:r>
      <w:r w:rsidR="000F67A7">
        <w:rPr>
          <w:rFonts w:cs="Arial"/>
          <w:szCs w:val="24"/>
        </w:rPr>
        <w:t>E</w:t>
      </w:r>
      <w:r w:rsidRPr="008B21EF">
        <w:rPr>
          <w:rFonts w:cs="Arial"/>
          <w:szCs w:val="24"/>
        </w:rPr>
        <w:t>xceedances. Task l, Contract Number LAB015 Tallahassee, FL: Florida Department of Environmental Protection.</w:t>
      </w:r>
    </w:p>
    <w:p w14:paraId="261733C6" w14:textId="1D6B331C" w:rsidR="007710C3" w:rsidRPr="004502A9" w:rsidRDefault="007710C3" w:rsidP="007710C3">
      <w:pPr>
        <w:ind w:right="390"/>
        <w:rPr>
          <w:rFonts w:eastAsia="Arial" w:cs="Arial"/>
          <w:szCs w:val="24"/>
        </w:rPr>
      </w:pPr>
      <w:r w:rsidRPr="004502A9">
        <w:rPr>
          <w:rFonts w:cs="Arial"/>
        </w:rPr>
        <w:t>Mazor, R.D., A.C. Rehn, P.R. Ode, M. Engeln, K.C. Schiff, E.D. Stein, D. Gillett, D.B. Herbst, and C.P. Hawkins. 2016. Bioassessment in complex environments: designing an index for consistent meaning in different settings. Freshwater Science 35: 249-271.</w:t>
      </w:r>
    </w:p>
    <w:p w14:paraId="7DA0314D" w14:textId="4B766305" w:rsidR="00DE14BC" w:rsidRPr="004502A9" w:rsidRDefault="00DE14BC" w:rsidP="007710C3">
      <w:pPr>
        <w:ind w:right="390"/>
        <w:rPr>
          <w:rFonts w:eastAsia="Arial" w:cs="Arial"/>
          <w:szCs w:val="24"/>
        </w:rPr>
      </w:pPr>
      <w:r>
        <w:t xml:space="preserve">McLaughlin, K., Weisberg, S. B., Dickson, A. G., Hofmann, G. E., Newton, J. A., Aseltine-Neilson, D., </w:t>
      </w:r>
      <w:r w:rsidR="004208CF">
        <w:t>et al</w:t>
      </w:r>
      <w:r>
        <w:t>. &amp; Steele, B. 2015. Core principles of the California Current Acidification Network: Linking chemistry, physics, and ecological effects. Oceanography, 28(2), 160-169. doi:10.5670/oceanog.2015.39</w:t>
      </w:r>
    </w:p>
    <w:p w14:paraId="24091943" w14:textId="3EFBD840" w:rsidR="0008463A" w:rsidRDefault="0008463A" w:rsidP="3616EB17">
      <w:pPr>
        <w:rPr>
          <w:rFonts w:cs="Arial"/>
        </w:rPr>
      </w:pPr>
      <w:r>
        <w:rPr>
          <w:rFonts w:cs="Arial"/>
        </w:rPr>
        <w:t>Mehi</w:t>
      </w:r>
      <w:r w:rsidR="00626A7B">
        <w:rPr>
          <w:rFonts w:cs="Arial"/>
        </w:rPr>
        <w:t>nto</w:t>
      </w:r>
      <w:r w:rsidR="00BE174C">
        <w:rPr>
          <w:rFonts w:cs="Arial"/>
        </w:rPr>
        <w:t>, A</w:t>
      </w:r>
      <w:r w:rsidR="00DB502B">
        <w:rPr>
          <w:rFonts w:cs="Arial"/>
        </w:rPr>
        <w:t>.</w:t>
      </w:r>
      <w:r w:rsidR="004E5770">
        <w:rPr>
          <w:rFonts w:cs="Arial"/>
        </w:rPr>
        <w:t>C</w:t>
      </w:r>
      <w:r w:rsidR="00DB502B">
        <w:rPr>
          <w:rFonts w:cs="Arial"/>
        </w:rPr>
        <w:t>.</w:t>
      </w:r>
      <w:r w:rsidR="00427A83">
        <w:rPr>
          <w:rFonts w:cs="Arial"/>
        </w:rPr>
        <w:t>, Coffin, S</w:t>
      </w:r>
      <w:r w:rsidR="00DB502B">
        <w:rPr>
          <w:rFonts w:cs="Arial"/>
        </w:rPr>
        <w:t xml:space="preserve">., </w:t>
      </w:r>
      <w:r w:rsidR="00534F5E">
        <w:rPr>
          <w:rFonts w:cs="Arial"/>
        </w:rPr>
        <w:t>Koelmans</w:t>
      </w:r>
      <w:r w:rsidR="0023207E">
        <w:rPr>
          <w:rFonts w:cs="Arial"/>
        </w:rPr>
        <w:t>, A.A.</w:t>
      </w:r>
      <w:r w:rsidR="00E41E01">
        <w:rPr>
          <w:rFonts w:cs="Arial"/>
        </w:rPr>
        <w:t xml:space="preserve">, </w:t>
      </w:r>
      <w:r w:rsidR="001A42D4">
        <w:rPr>
          <w:rFonts w:cs="Arial"/>
        </w:rPr>
        <w:t>Brander</w:t>
      </w:r>
      <w:r w:rsidR="00D164ED">
        <w:rPr>
          <w:rFonts w:cs="Arial"/>
        </w:rPr>
        <w:t>,</w:t>
      </w:r>
      <w:r w:rsidR="001A42D4">
        <w:rPr>
          <w:rFonts w:cs="Arial"/>
        </w:rPr>
        <w:t xml:space="preserve"> S.M., Wagner, M., </w:t>
      </w:r>
      <w:r w:rsidR="00674437">
        <w:rPr>
          <w:rFonts w:cs="Arial"/>
        </w:rPr>
        <w:t>Thor</w:t>
      </w:r>
      <w:r w:rsidR="003E4B80">
        <w:rPr>
          <w:rFonts w:cs="Arial"/>
        </w:rPr>
        <w:t xml:space="preserve">nton Hampton, </w:t>
      </w:r>
      <w:r w:rsidR="00F53EAC">
        <w:rPr>
          <w:rFonts w:cs="Arial"/>
        </w:rPr>
        <w:t xml:space="preserve">L.M., </w:t>
      </w:r>
      <w:r w:rsidR="005E475E">
        <w:rPr>
          <w:rFonts w:cs="Arial"/>
        </w:rPr>
        <w:t>Burton</w:t>
      </w:r>
      <w:r w:rsidR="00A571FD">
        <w:rPr>
          <w:rFonts w:cs="Arial"/>
        </w:rPr>
        <w:t xml:space="preserve"> Jr., </w:t>
      </w:r>
      <w:r w:rsidR="000D699F">
        <w:rPr>
          <w:rFonts w:cs="Arial"/>
        </w:rPr>
        <w:t xml:space="preserve">A.G., </w:t>
      </w:r>
      <w:r w:rsidR="00C54021">
        <w:rPr>
          <w:rFonts w:cs="Arial"/>
        </w:rPr>
        <w:t xml:space="preserve">Miller, E., Gouin, T., </w:t>
      </w:r>
      <w:r w:rsidR="00272ABE">
        <w:rPr>
          <w:rFonts w:cs="Arial"/>
        </w:rPr>
        <w:t>Weisber</w:t>
      </w:r>
      <w:r w:rsidR="00EB5F1B">
        <w:rPr>
          <w:rFonts w:cs="Arial"/>
        </w:rPr>
        <w:t>, S.B.,</w:t>
      </w:r>
      <w:r w:rsidR="00073BAB">
        <w:rPr>
          <w:rFonts w:cs="Arial"/>
        </w:rPr>
        <w:t xml:space="preserve"> &amp; Rochman</w:t>
      </w:r>
      <w:r w:rsidR="008E66A8">
        <w:rPr>
          <w:rFonts w:cs="Arial"/>
        </w:rPr>
        <w:t>, C.M.</w:t>
      </w:r>
      <w:r w:rsidR="00971D62">
        <w:rPr>
          <w:rFonts w:cs="Arial"/>
        </w:rPr>
        <w:t xml:space="preserve"> </w:t>
      </w:r>
      <w:r w:rsidR="00661BA9">
        <w:rPr>
          <w:rFonts w:cs="Arial"/>
        </w:rPr>
        <w:t xml:space="preserve">2022. </w:t>
      </w:r>
      <w:r w:rsidR="00C21A2D" w:rsidRPr="3616EB17">
        <w:rPr>
          <w:rStyle w:val="eop"/>
          <w:rFonts w:eastAsia="Times New Roman" w:cs="Arial"/>
        </w:rPr>
        <w:t>Risk-based management framework for microplastics in aquatic ecosystems. Micropl.&amp;Nanopl. 2, 17</w:t>
      </w:r>
      <w:r w:rsidR="000128B7" w:rsidRPr="3616EB17">
        <w:rPr>
          <w:rStyle w:val="eop"/>
          <w:rFonts w:eastAsia="Times New Roman" w:cs="Arial"/>
        </w:rPr>
        <w:t>.</w:t>
      </w:r>
    </w:p>
    <w:p w14:paraId="1062AA25" w14:textId="4B1F6759" w:rsidR="0008463A" w:rsidRPr="000D4AAE" w:rsidRDefault="50E4D4A6" w:rsidP="007710C3">
      <w:pPr>
        <w:rPr>
          <w:rFonts w:cs="Arial"/>
          <w:szCs w:val="24"/>
        </w:rPr>
      </w:pPr>
      <w:r w:rsidRPr="0004619C">
        <w:rPr>
          <w:rFonts w:eastAsia="Arial" w:cs="Arial"/>
          <w:szCs w:val="24"/>
        </w:rPr>
        <w:t>Mekkes L, Renema W, Bednaršek N, Alin SR, Feely RA, Huisman J, Roessingh P, Peijnenburg KTCA. 2021. Pteropods make thinner shells in the upwelling region of the California Current Ecosystem. Sci Rep. 11(1):1731. doi: 10.1038/s41598-021-81131-9. PMID: 33462349; PMCID: PMC7814018.</w:t>
      </w:r>
      <w:r w:rsidR="00BE174C" w:rsidRPr="000D4AAE">
        <w:rPr>
          <w:rFonts w:cs="Arial"/>
          <w:szCs w:val="24"/>
        </w:rPr>
        <w:t xml:space="preserve"> </w:t>
      </w:r>
    </w:p>
    <w:p w14:paraId="25071DDA" w14:textId="5ED8B6AB" w:rsidR="00215B23" w:rsidRPr="004502A9" w:rsidRDefault="00215B23" w:rsidP="007710C3">
      <w:pPr>
        <w:rPr>
          <w:rFonts w:cs="Arial"/>
        </w:rPr>
      </w:pPr>
      <w:r>
        <w:rPr>
          <w:rFonts w:cs="Arial"/>
        </w:rPr>
        <w:t xml:space="preserve">Moyle, P.B. 2002. </w:t>
      </w:r>
      <w:r w:rsidRPr="00A95667">
        <w:rPr>
          <w:rFonts w:cs="Arial"/>
          <w:i/>
          <w:iCs/>
        </w:rPr>
        <w:t>Inland Fishes of California: Revised and Expanded.</w:t>
      </w:r>
      <w:r>
        <w:rPr>
          <w:rFonts w:cs="Arial"/>
        </w:rPr>
        <w:t xml:space="preserve"> University of California Press. </w:t>
      </w:r>
    </w:p>
    <w:p w14:paraId="42D351AA" w14:textId="50DBACE8" w:rsidR="007710C3" w:rsidRPr="004502A9" w:rsidRDefault="007710C3" w:rsidP="007710C3">
      <w:pPr>
        <w:pStyle w:val="CommentText"/>
        <w:rPr>
          <w:rFonts w:cs="Arial"/>
        </w:rPr>
      </w:pPr>
      <w:r w:rsidRPr="004502A9">
        <w:rPr>
          <w:rFonts w:cs="Arial"/>
        </w:rPr>
        <w:t xml:space="preserve">Ode, P. and Schiff, K. 2009. Recommendations for the development and maintenance of a reference condition management program (RCMP) to support biological assessment of California's wadeable streams. Report to the State Water Resources Control Board's Surface Water Ambient Monitoring Program (SWAMP). </w:t>
      </w:r>
    </w:p>
    <w:p w14:paraId="3109C04C" w14:textId="0C7E5AF8" w:rsidR="00B6327B" w:rsidRDefault="007710C3" w:rsidP="00B6327B">
      <w:pPr>
        <w:keepLines/>
        <w:ind w:right="390"/>
        <w:rPr>
          <w:rFonts w:cs="Arial"/>
        </w:rPr>
      </w:pPr>
      <w:r w:rsidRPr="004502A9">
        <w:rPr>
          <w:rFonts w:cs="Arial"/>
          <w:szCs w:val="24"/>
        </w:rPr>
        <w:t xml:space="preserve">Ode, P.R., Rehn, A.C., Mazor, R.D., Schiff, K.C., Stein, E.D., May, J.T., Brown, L.R., Herbst, D.B., Gillett, D., Lunde, K. and C.P. Hawkins. 2016. Evaluating the adequacy of a reference-site pool for ecological assessments in environmentally complex regions. </w:t>
      </w:r>
      <w:r w:rsidRPr="004502A9">
        <w:rPr>
          <w:rFonts w:cs="Arial"/>
          <w:i/>
          <w:szCs w:val="24"/>
        </w:rPr>
        <w:t>Freshwater Science</w:t>
      </w:r>
      <w:r w:rsidRPr="004502A9">
        <w:rPr>
          <w:rFonts w:cs="Arial"/>
          <w:szCs w:val="24"/>
        </w:rPr>
        <w:t xml:space="preserve"> 35(1): 237-248.</w:t>
      </w:r>
    </w:p>
    <w:p w14:paraId="0F7E9D43" w14:textId="20FA219A" w:rsidR="007710C3" w:rsidRPr="004502A9" w:rsidRDefault="007710C3" w:rsidP="00625020">
      <w:pPr>
        <w:keepLines/>
        <w:ind w:right="390"/>
        <w:rPr>
          <w:rFonts w:cs="Arial"/>
        </w:rPr>
      </w:pPr>
      <w:r w:rsidRPr="004502A9">
        <w:rPr>
          <w:rFonts w:cs="Arial"/>
        </w:rPr>
        <w:t>Office of Environmental Health Hazard Assessment</w:t>
      </w:r>
      <w:r w:rsidR="0020372D">
        <w:rPr>
          <w:rFonts w:cs="Arial"/>
        </w:rPr>
        <w:t xml:space="preserve"> (OEHHA)</w:t>
      </w:r>
      <w:r w:rsidRPr="004502A9">
        <w:rPr>
          <w:rFonts w:cs="Arial"/>
        </w:rPr>
        <w:t>. 2008. Development of Fish Contaminant Goals and Advisory Tissue Levels for Common Contaminants in California Sport Fish: Chlordane, DDTs, Dieldrin, Methylmercury, PCBs, Selenium, and Toxaphene. Office of Environmental Health Hazard Assessment. Sacramento, California.</w:t>
      </w:r>
    </w:p>
    <w:p w14:paraId="0763C35F" w14:textId="0A056A5B" w:rsidR="007710C3" w:rsidRPr="004502A9" w:rsidRDefault="007710C3" w:rsidP="007710C3">
      <w:pPr>
        <w:pStyle w:val="CommentText"/>
        <w:rPr>
          <w:rFonts w:cs="Arial"/>
        </w:rPr>
      </w:pPr>
      <w:r w:rsidRPr="004502A9">
        <w:rPr>
          <w:rFonts w:cs="Arial"/>
        </w:rPr>
        <w:t xml:space="preserve">OEHHA. 2012. Toxicological Summary and Suggested Action Levels to Reduce Potential Adverse Health Effects of Six Cyanotoxins. Office of Environmental Health Hazard Assessment. California Environmental Protection Agency. </w:t>
      </w:r>
      <w:r w:rsidR="00482F33">
        <w:rPr>
          <w:rFonts w:cs="Arial"/>
        </w:rPr>
        <w:t>Available online at</w:t>
      </w:r>
      <w:r w:rsidRPr="004502A9">
        <w:rPr>
          <w:rFonts w:cs="Arial"/>
        </w:rPr>
        <w:t xml:space="preserve"> </w:t>
      </w:r>
      <w:hyperlink r:id="rId87" w:history="1">
        <w:r w:rsidRPr="004502A9">
          <w:rPr>
            <w:rStyle w:val="Hyperlink"/>
            <w:rFonts w:cs="Arial"/>
          </w:rPr>
          <w:t>https://www.waterboards.ca.gov/water_issues/programs/tmdl/records/state_board/2016/ref4294.pdf</w:t>
        </w:r>
      </w:hyperlink>
      <w:r w:rsidRPr="004502A9">
        <w:rPr>
          <w:rFonts w:cs="Arial"/>
        </w:rPr>
        <w:t xml:space="preserve">. Accessed March 15, 2021. </w:t>
      </w:r>
    </w:p>
    <w:p w14:paraId="59F09C6E" w14:textId="3CCD1F24" w:rsidR="00133291" w:rsidRPr="004502A9" w:rsidRDefault="007710C3" w:rsidP="007710C3">
      <w:pPr>
        <w:pStyle w:val="CommentText"/>
        <w:rPr>
          <w:rFonts w:cs="Arial"/>
        </w:rPr>
      </w:pPr>
      <w:r w:rsidRPr="004502A9">
        <w:rPr>
          <w:rFonts w:cs="Arial"/>
        </w:rPr>
        <w:t xml:space="preserve">Oregon Health Authority. 2019. Oregon Harmful Algae Bloom Surveillance (HABS) Program Recreational Use Public Health Advisory Guidelines Cyanobacterial Blooms in Freshwater Bodies. Oregon Health Authority. Public Health Division. Center for Health Protection. Environmental Public Health Section. </w:t>
      </w:r>
      <w:r w:rsidR="00027FAE">
        <w:rPr>
          <w:rFonts w:cs="Arial"/>
        </w:rPr>
        <w:t>Available online at</w:t>
      </w:r>
      <w:r w:rsidR="00133291">
        <w:fldChar w:fldCharType="begin"/>
      </w:r>
      <w:r w:rsidR="00133291">
        <w:instrText xml:space="preserve"> "https://www.oregon.gov/oha/PH/HEALTHYENVIRONMENTS/RECREATION/HARMFULALGAEBLOOMS/Documents/2019%20Advisory%20Guidelines%20for%20Harmful%20Cyanobacterial%20Blooms%20in%20Recreational%20Waters.pdf" </w:instrText>
      </w:r>
      <w:r w:rsidR="00133291">
        <w:fldChar w:fldCharType="separate"/>
      </w:r>
      <w:r w:rsidR="00133291" w:rsidRPr="007C6EA7">
        <w:rPr>
          <w:rStyle w:val="Hyperlink"/>
          <w:rFonts w:cs="Arial"/>
        </w:rPr>
        <w:t>https://www.oregon.gov/oha/PH/HEALTHYENVIRONMENTS/RECREATION/HARMFULALGAEBLOOMS/Documents/2019%20Advisory%20Guidelines%20for%20Harmful%20Cyanobacterial%20Blooms%20in%20Recreational%20Waters.pdf</w:t>
      </w:r>
      <w:r w:rsidR="00133291">
        <w:rPr>
          <w:rStyle w:val="Hyperlink"/>
          <w:rFonts w:cs="Arial"/>
        </w:rPr>
        <w:fldChar w:fldCharType="end"/>
      </w:r>
      <w:r w:rsidR="00027FAE">
        <w:rPr>
          <w:rFonts w:cs="Arial"/>
        </w:rPr>
        <w:t xml:space="preserve">. </w:t>
      </w:r>
      <w:r w:rsidR="00027FAE" w:rsidRPr="00027FAE">
        <w:t>Accessed November 2, 2022.</w:t>
      </w:r>
    </w:p>
    <w:p w14:paraId="00FFFC5C" w14:textId="5A4E2D00" w:rsidR="007710C3" w:rsidRPr="004502A9" w:rsidRDefault="007710C3" w:rsidP="16950A15">
      <w:pPr>
        <w:rPr>
          <w:rFonts w:cs="Arial"/>
        </w:rPr>
      </w:pPr>
      <w:r w:rsidRPr="16950A15" w:rsidDel="007710C3">
        <w:rPr>
          <w:rFonts w:cs="Arial"/>
        </w:rPr>
        <w:t>Rehn, A.C. 2016. Using Multiple Biological and Habitat Condition Indices for Bioassessment of California Streams. Surface Water Ambient Monitoring Program Technical Memorandum. SWAMP-TM-SB-2016-0003.</w:t>
      </w:r>
    </w:p>
    <w:p w14:paraId="683EF853" w14:textId="7707D6A4" w:rsidR="009C55B2" w:rsidRDefault="009C55B2" w:rsidP="166AC04C">
      <w:pPr>
        <w:spacing w:line="257" w:lineRule="auto"/>
        <w:rPr>
          <w:rFonts w:eastAsia="Arial" w:cs="Arial"/>
          <w:szCs w:val="24"/>
        </w:rPr>
      </w:pPr>
      <w:r w:rsidRPr="166AC04C">
        <w:rPr>
          <w:rFonts w:eastAsia="Arial" w:cs="Arial"/>
          <w:szCs w:val="24"/>
        </w:rPr>
        <w:t xml:space="preserve">Rodriguez et al. Determination of Bioavailable Aluminum in Natural Waters in the Presence of Suspended Solids. Environ. Toxicol. Chem. 29 April 2019. </w:t>
      </w:r>
      <w:hyperlink r:id="rId88" w:history="1">
        <w:r w:rsidRPr="166AC04C">
          <w:rPr>
            <w:rStyle w:val="Hyperlink"/>
            <w:rFonts w:eastAsia="Arial" w:cs="Arial"/>
            <w:szCs w:val="24"/>
          </w:rPr>
          <w:t>https://doi.org/10.1002/etc.4448</w:t>
        </w:r>
      </w:hyperlink>
      <w:r w:rsidRPr="166AC04C">
        <w:rPr>
          <w:rFonts w:eastAsia="Arial" w:cs="Arial"/>
          <w:szCs w:val="24"/>
        </w:rPr>
        <w:t>.</w:t>
      </w:r>
    </w:p>
    <w:p w14:paraId="2FA646AD" w14:textId="0E506086" w:rsidR="00D41257" w:rsidRDefault="00D41257" w:rsidP="166AC04C">
      <w:pPr>
        <w:spacing w:line="257" w:lineRule="auto"/>
        <w:rPr>
          <w:rFonts w:eastAsia="Arial" w:cs="Arial"/>
          <w:szCs w:val="24"/>
        </w:rPr>
      </w:pPr>
      <w:r w:rsidRPr="00D41257">
        <w:rPr>
          <w:rFonts w:eastAsia="Arial" w:cs="Arial"/>
          <w:szCs w:val="24"/>
        </w:rPr>
        <w:t>Ryan, A.C., Santore, R.C., Tobiason, S., WoldeGabriel, G. and Groffman, A.R. (2019), Total Recoverable Aluminum: Not Totally Relevant for Water Quality Standards. Integr Environ Assess Manag, 15: 974-987. https://doi.org/10.1002/ieam.4177</w:t>
      </w:r>
    </w:p>
    <w:p w14:paraId="69C780FE" w14:textId="5A4E2D00" w:rsidR="00BF5556" w:rsidRPr="00BF5556" w:rsidRDefault="00BF5556" w:rsidP="00BF5556">
      <w:pPr>
        <w:rPr>
          <w:rFonts w:cs="Arial"/>
        </w:rPr>
      </w:pPr>
      <w:r>
        <w:t>Shibberu, 2020. Newport Coast Streams Bacteria Impairment Assessment. Santa Ana Regional Water Quality Control Board.</w:t>
      </w:r>
    </w:p>
    <w:p w14:paraId="7F571BAE" w14:textId="54D7D98B" w:rsidR="00446530" w:rsidRPr="008B21EF" w:rsidRDefault="00446530" w:rsidP="00446530">
      <w:pPr>
        <w:rPr>
          <w:rFonts w:cs="Arial"/>
          <w:szCs w:val="24"/>
        </w:rPr>
      </w:pPr>
      <w:r w:rsidRPr="008B21EF">
        <w:rPr>
          <w:rFonts w:cs="Arial"/>
          <w:szCs w:val="24"/>
        </w:rPr>
        <w:t xml:space="preserve">Smith, E.P., K. Ye, C. Hughes, and L. Shabman. 2001. Statistical </w:t>
      </w:r>
      <w:r w:rsidR="00B4784B">
        <w:rPr>
          <w:rFonts w:cs="Arial"/>
          <w:szCs w:val="24"/>
        </w:rPr>
        <w:t>A</w:t>
      </w:r>
      <w:r w:rsidRPr="008B21EF">
        <w:rPr>
          <w:rFonts w:cs="Arial"/>
          <w:szCs w:val="24"/>
        </w:rPr>
        <w:t xml:space="preserve">ssessment of </w:t>
      </w:r>
      <w:r w:rsidR="00B4784B">
        <w:rPr>
          <w:rFonts w:cs="Arial"/>
          <w:szCs w:val="24"/>
        </w:rPr>
        <w:t>V</w:t>
      </w:r>
      <w:r w:rsidRPr="008B21EF">
        <w:rPr>
          <w:rFonts w:cs="Arial"/>
          <w:szCs w:val="24"/>
        </w:rPr>
        <w:t xml:space="preserve">iolations of </w:t>
      </w:r>
      <w:r w:rsidR="00B4784B">
        <w:rPr>
          <w:rFonts w:cs="Arial"/>
          <w:szCs w:val="24"/>
        </w:rPr>
        <w:t>W</w:t>
      </w:r>
      <w:r w:rsidRPr="008B21EF">
        <w:rPr>
          <w:rFonts w:cs="Arial"/>
          <w:szCs w:val="24"/>
        </w:rPr>
        <w:t xml:space="preserve">ater </w:t>
      </w:r>
      <w:r w:rsidR="00B4784B">
        <w:rPr>
          <w:rFonts w:cs="Arial"/>
          <w:szCs w:val="24"/>
        </w:rPr>
        <w:t>Q</w:t>
      </w:r>
      <w:r w:rsidRPr="008B21EF">
        <w:rPr>
          <w:rFonts w:cs="Arial"/>
          <w:szCs w:val="24"/>
        </w:rPr>
        <w:t xml:space="preserve">uality </w:t>
      </w:r>
      <w:r w:rsidR="00B4784B">
        <w:rPr>
          <w:rFonts w:cs="Arial"/>
          <w:szCs w:val="24"/>
        </w:rPr>
        <w:t>S</w:t>
      </w:r>
      <w:r w:rsidRPr="008B21EF">
        <w:rPr>
          <w:rFonts w:cs="Arial"/>
          <w:szCs w:val="24"/>
        </w:rPr>
        <w:t xml:space="preserve">tandards under </w:t>
      </w:r>
      <w:r w:rsidR="00B4784B">
        <w:rPr>
          <w:rFonts w:cs="Arial"/>
          <w:szCs w:val="24"/>
        </w:rPr>
        <w:t>S</w:t>
      </w:r>
      <w:r w:rsidRPr="008B21EF">
        <w:rPr>
          <w:rFonts w:cs="Arial"/>
          <w:szCs w:val="24"/>
        </w:rPr>
        <w:t>ection 303(d) of the Clean Water Act. Environmental Science &amp; Technology. 35(3): 606-612.</w:t>
      </w:r>
    </w:p>
    <w:p w14:paraId="674A97D1" w14:textId="4EB57443" w:rsidR="007710C3" w:rsidRPr="004502A9" w:rsidRDefault="00307185" w:rsidP="007710C3">
      <w:pPr>
        <w:spacing w:line="259" w:lineRule="auto"/>
        <w:rPr>
          <w:rFonts w:cs="Arial"/>
        </w:rPr>
      </w:pPr>
      <w:r>
        <w:rPr>
          <w:rFonts w:cs="Arial"/>
        </w:rPr>
        <w:t>State Water Resources Control Board (</w:t>
      </w:r>
      <w:r w:rsidR="007710C3" w:rsidRPr="16950A15" w:rsidDel="007710C3">
        <w:rPr>
          <w:rFonts w:cs="Arial"/>
        </w:rPr>
        <w:t>SWRCB</w:t>
      </w:r>
      <w:r>
        <w:rPr>
          <w:rFonts w:cs="Arial"/>
        </w:rPr>
        <w:t>)</w:t>
      </w:r>
      <w:r w:rsidR="007710C3" w:rsidRPr="16950A15">
        <w:rPr>
          <w:rFonts w:cs="Arial"/>
        </w:rPr>
        <w:t>.</w:t>
      </w:r>
      <w:r w:rsidR="007710C3" w:rsidRPr="16950A15" w:rsidDel="007710C3">
        <w:rPr>
          <w:rFonts w:cs="Arial"/>
        </w:rPr>
        <w:t xml:space="preserve"> 2004. Final Functional Equivalent Document for the Water Quality Control Policy Developing California’s Clean Water Act Section 303(d) List. SWRCB. Sacramento, CA.</w:t>
      </w:r>
    </w:p>
    <w:p w14:paraId="7FF36ABD" w14:textId="4C0AA295" w:rsidR="00830A2B" w:rsidRPr="004502A9" w:rsidRDefault="00E0473F" w:rsidP="007710C3">
      <w:pPr>
        <w:spacing w:line="259" w:lineRule="auto"/>
        <w:rPr>
          <w:rFonts w:cs="Arial"/>
        </w:rPr>
      </w:pPr>
      <w:r w:rsidRPr="00E0473F">
        <w:rPr>
          <w:rFonts w:cs="Arial"/>
        </w:rPr>
        <w:t xml:space="preserve">SWRCB. </w:t>
      </w:r>
      <w:r w:rsidR="00830A2B">
        <w:rPr>
          <w:rFonts w:cs="Arial"/>
        </w:rPr>
        <w:t>2005</w:t>
      </w:r>
      <w:r w:rsidR="00C118A8">
        <w:rPr>
          <w:rFonts w:cs="Arial"/>
        </w:rPr>
        <w:t>a</w:t>
      </w:r>
      <w:r w:rsidR="00830A2B">
        <w:rPr>
          <w:rFonts w:cs="Arial"/>
        </w:rPr>
        <w:t xml:space="preserve">. </w:t>
      </w:r>
      <w:r w:rsidR="00830A2B">
        <w:t xml:space="preserve">Policy for Implementation of Toxics Standards for Inland Surface Waters, Enclosed Bays, and Estuaries of California. </w:t>
      </w:r>
      <w:r w:rsidR="00C94D25">
        <w:t xml:space="preserve">SWRCB. Sacramento, CA. </w:t>
      </w:r>
    </w:p>
    <w:p w14:paraId="7AD5DAA6" w14:textId="4BCBAAB0" w:rsidR="00E0473F" w:rsidRPr="004502A9" w:rsidRDefault="00E0473F" w:rsidP="007710C3">
      <w:pPr>
        <w:spacing w:line="259" w:lineRule="auto"/>
        <w:rPr>
          <w:rFonts w:cs="Arial"/>
        </w:rPr>
      </w:pPr>
      <w:r w:rsidRPr="00E0473F">
        <w:rPr>
          <w:rFonts w:cs="Arial"/>
        </w:rPr>
        <w:t>SWRCB. 2005</w:t>
      </w:r>
      <w:r w:rsidR="00C118A8">
        <w:rPr>
          <w:rFonts w:cs="Arial"/>
        </w:rPr>
        <w:t>b</w:t>
      </w:r>
      <w:r w:rsidRPr="00E0473F">
        <w:rPr>
          <w:rFonts w:cs="Arial"/>
        </w:rPr>
        <w:t>. Water Quality Control Policy of Addressing Impaired Waters. State Water Resources Control Board Resolution No. 2005-0050. Sacramento, CA.</w:t>
      </w:r>
    </w:p>
    <w:p w14:paraId="62B3AC53" w14:textId="72EDC13B" w:rsidR="007473AB" w:rsidRDefault="007473AB" w:rsidP="007710C3">
      <w:pPr>
        <w:ind w:right="390"/>
        <w:rPr>
          <w:rFonts w:eastAsia="Arial" w:cs="Arial"/>
          <w:szCs w:val="24"/>
        </w:rPr>
      </w:pPr>
      <w:r>
        <w:rPr>
          <w:rFonts w:eastAsia="Arial" w:cs="Arial"/>
          <w:szCs w:val="24"/>
        </w:rPr>
        <w:t>SWRCB. 2010.</w:t>
      </w:r>
      <w:r w:rsidR="000C2C38">
        <w:rPr>
          <w:rFonts w:eastAsia="Arial" w:cs="Arial"/>
          <w:szCs w:val="24"/>
        </w:rPr>
        <w:t xml:space="preserve"> SWAMP Assessment Framework</w:t>
      </w:r>
      <w:r w:rsidR="005D7240">
        <w:rPr>
          <w:rFonts w:eastAsia="Arial" w:cs="Arial"/>
          <w:szCs w:val="24"/>
        </w:rPr>
        <w:t xml:space="preserve">. SWRCB. Sacramento, CA </w:t>
      </w:r>
      <w:r w:rsidR="00AF5E33">
        <w:rPr>
          <w:rFonts w:eastAsia="Arial" w:cs="Arial"/>
          <w:szCs w:val="24"/>
        </w:rPr>
        <w:t>Available online</w:t>
      </w:r>
      <w:r w:rsidR="00482F33">
        <w:rPr>
          <w:rFonts w:eastAsia="Arial" w:cs="Arial"/>
          <w:szCs w:val="24"/>
        </w:rPr>
        <w:t xml:space="preserve"> at</w:t>
      </w:r>
      <w:r w:rsidR="00AF5E33">
        <w:rPr>
          <w:rFonts w:eastAsia="Arial" w:cs="Arial"/>
          <w:szCs w:val="24"/>
        </w:rPr>
        <w:t xml:space="preserve"> </w:t>
      </w:r>
      <w:hyperlink r:id="rId89" w:history="1">
        <w:r w:rsidR="005D7240" w:rsidRPr="00A908CE">
          <w:rPr>
            <w:rStyle w:val="Hyperlink"/>
            <w:rFonts w:eastAsia="Arial" w:cs="Arial"/>
            <w:szCs w:val="24"/>
          </w:rPr>
          <w:t>https://www.waterboards.ca.gov/water_issues/programs/swamp/docs/reports/app_c_assess_frmwrk.pdf</w:t>
        </w:r>
      </w:hyperlink>
      <w:r w:rsidR="00AF5E33">
        <w:rPr>
          <w:rFonts w:eastAsia="Arial" w:cs="Arial"/>
          <w:szCs w:val="24"/>
        </w:rPr>
        <w:t xml:space="preserve">. Accessed </w:t>
      </w:r>
      <w:r w:rsidR="00EE615F">
        <w:rPr>
          <w:rFonts w:eastAsia="Arial" w:cs="Arial"/>
          <w:szCs w:val="24"/>
        </w:rPr>
        <w:t>November 2, 2022.</w:t>
      </w:r>
      <w:r w:rsidR="005D7240">
        <w:rPr>
          <w:rFonts w:eastAsia="Arial" w:cs="Arial"/>
          <w:szCs w:val="24"/>
        </w:rPr>
        <w:t xml:space="preserve"> </w:t>
      </w:r>
    </w:p>
    <w:p w14:paraId="33AF27F6" w14:textId="6F53C610" w:rsidR="007710C3" w:rsidRPr="004502A9" w:rsidRDefault="007710C3" w:rsidP="007710C3">
      <w:pPr>
        <w:ind w:right="390"/>
        <w:rPr>
          <w:rFonts w:eastAsia="Arial" w:cs="Arial"/>
          <w:szCs w:val="24"/>
        </w:rPr>
      </w:pPr>
      <w:r w:rsidRPr="004502A9">
        <w:rPr>
          <w:rFonts w:eastAsia="Arial" w:cs="Arial"/>
          <w:szCs w:val="24"/>
        </w:rPr>
        <w:t xml:space="preserve">SWRCB. 2011. Triennial Review of the Ocean Plan, 2011-2013. SWRCB. Sacramento, CA. </w:t>
      </w:r>
    </w:p>
    <w:p w14:paraId="619CC595" w14:textId="3EF8CAB2" w:rsidR="007710C3" w:rsidRPr="004502A9" w:rsidRDefault="007710C3" w:rsidP="007710C3">
      <w:pPr>
        <w:ind w:right="390"/>
        <w:rPr>
          <w:rFonts w:eastAsia="Arial" w:cs="Arial"/>
          <w:szCs w:val="24"/>
        </w:rPr>
      </w:pPr>
      <w:r w:rsidRPr="004502A9">
        <w:rPr>
          <w:rFonts w:eastAsia="Arial" w:cs="Arial"/>
          <w:szCs w:val="24"/>
        </w:rPr>
        <w:t>SWRCB.</w:t>
      </w:r>
      <w:r w:rsidRPr="004502A9">
        <w:rPr>
          <w:rFonts w:eastAsia="Arial" w:cs="Arial"/>
          <w:spacing w:val="1"/>
          <w:szCs w:val="24"/>
        </w:rPr>
        <w:t xml:space="preserve"> </w:t>
      </w:r>
      <w:r w:rsidRPr="004502A9">
        <w:rPr>
          <w:rFonts w:eastAsia="Arial" w:cs="Arial"/>
          <w:szCs w:val="24"/>
        </w:rPr>
        <w:t>2015. Water</w:t>
      </w:r>
      <w:r w:rsidRPr="004502A9">
        <w:rPr>
          <w:rFonts w:eastAsia="Arial" w:cs="Arial"/>
          <w:spacing w:val="1"/>
          <w:szCs w:val="24"/>
        </w:rPr>
        <w:t xml:space="preserve"> </w:t>
      </w:r>
      <w:r w:rsidRPr="004502A9">
        <w:rPr>
          <w:rFonts w:eastAsia="Arial" w:cs="Arial"/>
          <w:szCs w:val="24"/>
        </w:rPr>
        <w:t>Quality</w:t>
      </w:r>
      <w:r w:rsidRPr="004502A9">
        <w:rPr>
          <w:rFonts w:eastAsia="Arial" w:cs="Arial"/>
          <w:spacing w:val="1"/>
          <w:szCs w:val="24"/>
        </w:rPr>
        <w:t xml:space="preserve"> </w:t>
      </w:r>
      <w:r w:rsidRPr="004502A9">
        <w:rPr>
          <w:rFonts w:eastAsia="Arial" w:cs="Arial"/>
          <w:szCs w:val="24"/>
        </w:rPr>
        <w:t>Control Policy for Developing California’s Clean Water Act Section 303(d) List. SWRCB. Sacramento, CA.</w:t>
      </w:r>
    </w:p>
    <w:p w14:paraId="16743554" w14:textId="323CEBF7" w:rsidR="00BB5526" w:rsidRDefault="00BB5526" w:rsidP="007710C3">
      <w:pPr>
        <w:pStyle w:val="CommentText"/>
        <w:rPr>
          <w:rFonts w:cs="Arial"/>
        </w:rPr>
      </w:pPr>
      <w:r>
        <w:rPr>
          <w:rFonts w:cs="Arial"/>
        </w:rPr>
        <w:t xml:space="preserve">SWRCB. 2016. </w:t>
      </w:r>
      <w:r w:rsidR="00AB3C5F">
        <w:rPr>
          <w:rFonts w:cs="Arial"/>
        </w:rPr>
        <w:t>A Compilation of Water Quality Goals</w:t>
      </w:r>
      <w:r w:rsidR="0022626F">
        <w:rPr>
          <w:rFonts w:cs="Arial"/>
        </w:rPr>
        <w:t>.</w:t>
      </w:r>
      <w:r w:rsidR="00337B78">
        <w:rPr>
          <w:rFonts w:cs="Arial"/>
        </w:rPr>
        <w:t xml:space="preserve"> SWRCB.</w:t>
      </w:r>
      <w:r w:rsidR="0022626F">
        <w:rPr>
          <w:rFonts w:cs="Arial"/>
        </w:rPr>
        <w:t xml:space="preserve"> </w:t>
      </w:r>
      <w:r w:rsidR="00337B78">
        <w:rPr>
          <w:rFonts w:cs="Arial"/>
        </w:rPr>
        <w:t>Sacramento, CA.</w:t>
      </w:r>
      <w:r w:rsidR="00F11894">
        <w:rPr>
          <w:rFonts w:cs="Arial"/>
        </w:rPr>
        <w:t xml:space="preserve"> Available online at </w:t>
      </w:r>
      <w:hyperlink r:id="rId90" w:history="1">
        <w:r w:rsidR="00CF3835" w:rsidRPr="00DE4363">
          <w:rPr>
            <w:rStyle w:val="Hyperlink"/>
            <w:rFonts w:cs="Arial"/>
          </w:rPr>
          <w:t>https://www.waterboards.ca.gov/water_issues/programs/water_quality_goals/docs/wq_goals_text.pdf</w:t>
        </w:r>
      </w:hyperlink>
      <w:r w:rsidR="00CF3835">
        <w:rPr>
          <w:rFonts w:cs="Arial"/>
        </w:rPr>
        <w:t xml:space="preserve">. Accessed September 19, 2023. </w:t>
      </w:r>
    </w:p>
    <w:p w14:paraId="5654CE54" w14:textId="55075C7E" w:rsidR="007710C3" w:rsidRPr="004502A9" w:rsidRDefault="007710C3" w:rsidP="007710C3">
      <w:pPr>
        <w:pStyle w:val="CommentText"/>
        <w:rPr>
          <w:rFonts w:cs="Arial"/>
        </w:rPr>
      </w:pPr>
      <w:r w:rsidRPr="004502A9">
        <w:rPr>
          <w:rFonts w:cs="Arial"/>
        </w:rPr>
        <w:t xml:space="preserve">SWRCB. 2017. Final Part 2 of the Water Quality Control Plan for Inland Surface Waters, Enclosed Bays, and Estuaries of California – Tribal and Subsistence Fishing Beneficial Uses and Mercury Provisions. </w:t>
      </w:r>
      <w:r w:rsidR="00923A32">
        <w:rPr>
          <w:rFonts w:cs="Arial"/>
        </w:rPr>
        <w:t>SWRCB.</w:t>
      </w:r>
      <w:r w:rsidRPr="004502A9">
        <w:rPr>
          <w:rFonts w:cs="Arial"/>
        </w:rPr>
        <w:t xml:space="preserve"> Sacramento, CA.</w:t>
      </w:r>
    </w:p>
    <w:p w14:paraId="0E7C4742" w14:textId="6597629E" w:rsidR="007710C3" w:rsidRPr="004502A9" w:rsidRDefault="007710C3" w:rsidP="007710C3">
      <w:pPr>
        <w:rPr>
          <w:rFonts w:cs="Arial"/>
        </w:rPr>
      </w:pPr>
      <w:r w:rsidRPr="004502A9">
        <w:rPr>
          <w:rFonts w:cs="Arial"/>
        </w:rPr>
        <w:t>SWRCB. 2019</w:t>
      </w:r>
      <w:r w:rsidR="002D4ADC">
        <w:rPr>
          <w:rFonts w:cs="Arial"/>
        </w:rPr>
        <w:t>a</w:t>
      </w:r>
      <w:r w:rsidRPr="004502A9">
        <w:rPr>
          <w:rFonts w:cs="Arial"/>
        </w:rPr>
        <w:t>. Staff Report Including Substitute Environmental Documentation for Part 3 of the Water Quality Control Plan for Inland Surface Waters, Enclosed Bays, and Estuaries of California – Bacteria Provisions and a Water Quality Standards Variance Policy and Amendment to the Water Quality Control Plan for Ocean Waters of California – Bacteria Provisions and a Water Quality Standards Variance Policy</w:t>
      </w:r>
      <w:r w:rsidRPr="004502A9">
        <w:rPr>
          <w:rFonts w:cs="Arial"/>
          <w:i/>
          <w:iCs/>
        </w:rPr>
        <w:t xml:space="preserve">. </w:t>
      </w:r>
      <w:r w:rsidRPr="00034647">
        <w:rPr>
          <w:rFonts w:cs="Arial"/>
        </w:rPr>
        <w:t>Sacramento, CA</w:t>
      </w:r>
      <w:r w:rsidRPr="004502A9">
        <w:rPr>
          <w:rFonts w:cs="Arial"/>
          <w:i/>
          <w:iCs/>
        </w:rPr>
        <w:t>.</w:t>
      </w:r>
      <w:r w:rsidRPr="004502A9">
        <w:rPr>
          <w:rFonts w:cs="Arial"/>
          <w:i/>
        </w:rPr>
        <w:t xml:space="preserve"> </w:t>
      </w:r>
      <w:r w:rsidR="00921469" w:rsidRPr="00034647">
        <w:rPr>
          <w:rFonts w:cs="Arial"/>
          <w:iCs/>
        </w:rPr>
        <w:t>Available online</w:t>
      </w:r>
      <w:r w:rsidR="00482F33">
        <w:rPr>
          <w:rFonts w:cs="Arial"/>
          <w:i/>
        </w:rPr>
        <w:t xml:space="preserve"> </w:t>
      </w:r>
      <w:r w:rsidR="00482F33" w:rsidRPr="00482F33">
        <w:rPr>
          <w:rFonts w:cs="Arial"/>
          <w:iCs/>
        </w:rPr>
        <w:t>at</w:t>
      </w:r>
      <w:r w:rsidR="00921469">
        <w:rPr>
          <w:rFonts w:cs="Arial"/>
          <w:i/>
        </w:rPr>
        <w:t xml:space="preserve"> </w:t>
      </w:r>
      <w:hyperlink r:id="rId91" w:history="1">
        <w:r w:rsidR="00921469" w:rsidRPr="0037393D">
          <w:rPr>
            <w:rStyle w:val="Hyperlink"/>
            <w:rFonts w:cs="Arial"/>
          </w:rPr>
          <w:t>https://www.waterboards.ca.gov/bacterialobjectives/docs/bacteria.pdf</w:t>
        </w:r>
      </w:hyperlink>
      <w:r w:rsidR="00921469">
        <w:rPr>
          <w:rFonts w:cs="Arial"/>
        </w:rPr>
        <w:t>. Accessed November 2, 2022.</w:t>
      </w:r>
      <w:r w:rsidRPr="004502A9">
        <w:rPr>
          <w:rFonts w:cs="Arial"/>
        </w:rPr>
        <w:t xml:space="preserve"> </w:t>
      </w:r>
    </w:p>
    <w:p w14:paraId="50C6612E" w14:textId="3406D9EF" w:rsidR="007710C3" w:rsidRPr="004502A9" w:rsidRDefault="007710C3" w:rsidP="007710C3">
      <w:pPr>
        <w:rPr>
          <w:rFonts w:cs="Arial"/>
        </w:rPr>
      </w:pPr>
      <w:r w:rsidRPr="004502A9">
        <w:rPr>
          <w:rFonts w:cs="Arial"/>
        </w:rPr>
        <w:t>SWRCB. 2019</w:t>
      </w:r>
      <w:r w:rsidR="00AD6B68">
        <w:rPr>
          <w:rFonts w:cs="Arial"/>
        </w:rPr>
        <w:t>b</w:t>
      </w:r>
      <w:r w:rsidRPr="004502A9">
        <w:rPr>
          <w:rFonts w:cs="Arial"/>
        </w:rPr>
        <w:t>. Final Staff Report and Work Plan for 2019 Review of the Water Quality Control Plan for Ocean Waters of California. SWRCB. Sacramento, CA.</w:t>
      </w:r>
    </w:p>
    <w:p w14:paraId="4B3550D3" w14:textId="23110256" w:rsidR="00BD0943" w:rsidRDefault="007710C3" w:rsidP="007710C3">
      <w:pPr>
        <w:rPr>
          <w:rFonts w:cs="Arial"/>
        </w:rPr>
      </w:pPr>
      <w:r w:rsidRPr="004502A9">
        <w:rPr>
          <w:rFonts w:cs="Arial"/>
        </w:rPr>
        <w:t>SWRCB. 2019</w:t>
      </w:r>
      <w:r w:rsidR="00EE4DCE">
        <w:rPr>
          <w:rFonts w:cs="Arial"/>
        </w:rPr>
        <w:t>c</w:t>
      </w:r>
      <w:r w:rsidRPr="004502A9">
        <w:rPr>
          <w:rFonts w:cs="Arial"/>
        </w:rPr>
        <w:t>. Water Quality Control Plan for Ocean Waters of California. SWRCB. Sacramento, CA.</w:t>
      </w:r>
    </w:p>
    <w:p w14:paraId="684F6B25" w14:textId="5486B4C6" w:rsidR="00BD6AAD" w:rsidRDefault="009E25FC" w:rsidP="007710C3">
      <w:pPr>
        <w:rPr>
          <w:rFonts w:cs="Arial"/>
        </w:rPr>
      </w:pPr>
      <w:r>
        <w:rPr>
          <w:rFonts w:cs="Arial"/>
        </w:rPr>
        <w:t>SWRCB. 202</w:t>
      </w:r>
      <w:r w:rsidR="00E16F01">
        <w:rPr>
          <w:rFonts w:cs="Arial"/>
        </w:rPr>
        <w:t>1</w:t>
      </w:r>
      <w:r>
        <w:rPr>
          <w:rFonts w:cs="Arial"/>
        </w:rPr>
        <w:t xml:space="preserve">. </w:t>
      </w:r>
      <w:r w:rsidR="001175C7">
        <w:rPr>
          <w:rFonts w:cs="Arial"/>
        </w:rPr>
        <w:t>State Policy for Water Quality Control: T</w:t>
      </w:r>
      <w:r w:rsidR="00A26C80">
        <w:rPr>
          <w:rFonts w:cs="Arial"/>
        </w:rPr>
        <w:t>oxicity Provisions</w:t>
      </w:r>
      <w:r w:rsidR="007A7F9E">
        <w:rPr>
          <w:rFonts w:cs="Arial"/>
        </w:rPr>
        <w:t>. Sacramento, CA</w:t>
      </w:r>
      <w:r w:rsidR="007010D8">
        <w:rPr>
          <w:rFonts w:cs="Arial"/>
        </w:rPr>
        <w:t>.</w:t>
      </w:r>
      <w:r w:rsidR="007710C3" w:rsidRPr="004502A9">
        <w:rPr>
          <w:rFonts w:cs="Arial"/>
        </w:rPr>
        <w:t xml:space="preserve"> </w:t>
      </w:r>
    </w:p>
    <w:p w14:paraId="658AF002" w14:textId="672CEEC9" w:rsidR="007710C3" w:rsidRDefault="00BD6AAD" w:rsidP="007710C3">
      <w:r>
        <w:rPr>
          <w:rFonts w:cs="Arial"/>
        </w:rPr>
        <w:t xml:space="preserve">SWRCB. 2022. </w:t>
      </w:r>
      <w:r w:rsidR="00DC6519">
        <w:t xml:space="preserve">Adopt the Clean Water Act Section 303(d) List of Impaired Water for the 2020-2022 California Integrated Report. State Water Resources Control Board Resolution No. </w:t>
      </w:r>
      <w:r w:rsidR="00DF4FC2">
        <w:t xml:space="preserve">2022-0006. Sacramento, CA. </w:t>
      </w:r>
    </w:p>
    <w:p w14:paraId="748BADDF" w14:textId="1BF83F86" w:rsidR="00293EEB" w:rsidRPr="004502A9" w:rsidRDefault="00FB77A6" w:rsidP="007710C3">
      <w:pPr>
        <w:rPr>
          <w:rFonts w:cs="Arial"/>
        </w:rPr>
      </w:pPr>
      <w:r>
        <w:rPr>
          <w:rFonts w:cs="Arial"/>
        </w:rPr>
        <w:t>SWRCB. 202</w:t>
      </w:r>
      <w:r w:rsidR="006530A5">
        <w:rPr>
          <w:rFonts w:cs="Arial"/>
        </w:rPr>
        <w:t>4</w:t>
      </w:r>
      <w:r>
        <w:rPr>
          <w:rFonts w:cs="Arial"/>
        </w:rPr>
        <w:t xml:space="preserve">. </w:t>
      </w:r>
      <w:r w:rsidR="001B4BF9">
        <w:t>2024 303(d) List of Impaired Waters</w:t>
      </w:r>
      <w:r>
        <w:t>. Sacramento, CA</w:t>
      </w:r>
      <w:r w:rsidR="006530A5">
        <w:t xml:space="preserve">. </w:t>
      </w:r>
      <w:r w:rsidR="006530A5" w:rsidRPr="00034647">
        <w:rPr>
          <w:rFonts w:cs="Arial"/>
          <w:iCs/>
        </w:rPr>
        <w:t>Available online</w:t>
      </w:r>
      <w:r w:rsidR="006530A5">
        <w:rPr>
          <w:rFonts w:cs="Arial"/>
          <w:i/>
        </w:rPr>
        <w:t xml:space="preserve"> </w:t>
      </w:r>
      <w:r w:rsidR="006530A5" w:rsidRPr="00482F33">
        <w:rPr>
          <w:rFonts w:cs="Arial"/>
          <w:iCs/>
        </w:rPr>
        <w:t>at</w:t>
      </w:r>
      <w:r w:rsidR="00F40F7B">
        <w:rPr>
          <w:rFonts w:cs="Arial"/>
          <w:iCs/>
        </w:rPr>
        <w:t xml:space="preserve"> </w:t>
      </w:r>
      <w:hyperlink r:id="rId92" w:history="1">
        <w:r w:rsidR="00765491" w:rsidRPr="00AD27A4">
          <w:rPr>
            <w:rStyle w:val="Hyperlink"/>
            <w:rFonts w:cs="Arial"/>
            <w:iCs/>
          </w:rPr>
          <w:t>https://www.waterboards.ca.gov/water_issues/programs/water_quality_assessment/2024-integrated-report.html</w:t>
        </w:r>
      </w:hyperlink>
      <w:r w:rsidR="00765491" w:rsidRPr="00765491">
        <w:rPr>
          <w:rFonts w:cs="Arial"/>
          <w:iCs/>
        </w:rPr>
        <w:t>.</w:t>
      </w:r>
      <w:r w:rsidR="00765491">
        <w:rPr>
          <w:rFonts w:cs="Arial"/>
          <w:iCs/>
        </w:rPr>
        <w:t xml:space="preserve"> </w:t>
      </w:r>
      <w:r w:rsidR="00765491" w:rsidRPr="00765491">
        <w:rPr>
          <w:rFonts w:cs="Arial"/>
          <w:iCs/>
        </w:rPr>
        <w:t>Accessed August 16</w:t>
      </w:r>
      <w:r w:rsidR="00765491">
        <w:rPr>
          <w:rFonts w:cs="Arial"/>
          <w:iCs/>
        </w:rPr>
        <w:t>, 2024.</w:t>
      </w:r>
    </w:p>
    <w:p w14:paraId="54C28219" w14:textId="5304BF41" w:rsidR="00674EE6" w:rsidRDefault="00674EE6" w:rsidP="007710C3">
      <w:pPr>
        <w:rPr>
          <w:rFonts w:cs="Arial"/>
        </w:rPr>
      </w:pPr>
      <w:r>
        <w:rPr>
          <w:rFonts w:cs="Arial"/>
        </w:rPr>
        <w:t>Stie</w:t>
      </w:r>
      <w:r w:rsidR="00A05343">
        <w:rPr>
          <w:rFonts w:cs="Arial"/>
        </w:rPr>
        <w:t xml:space="preserve">nbarger, C.D., Joseph, J., Athey, S.N., Monteleone, B., Andrady, A.L., </w:t>
      </w:r>
      <w:r w:rsidR="000F2490">
        <w:rPr>
          <w:rFonts w:cs="Arial"/>
        </w:rPr>
        <w:t xml:space="preserve">Watanabe, W.O., Seaton, P., </w:t>
      </w:r>
      <w:r w:rsidR="00A741D4">
        <w:rPr>
          <w:rFonts w:cs="Arial"/>
        </w:rPr>
        <w:t>Taylor</w:t>
      </w:r>
      <w:r w:rsidR="00F426FC">
        <w:rPr>
          <w:rFonts w:cs="Arial"/>
        </w:rPr>
        <w:t xml:space="preserve">, A.R., </w:t>
      </w:r>
      <w:r w:rsidR="00D465DD">
        <w:rPr>
          <w:rFonts w:cs="Arial"/>
        </w:rPr>
        <w:t>Brander, S.M.</w:t>
      </w:r>
      <w:r w:rsidR="00A91EFD">
        <w:rPr>
          <w:rFonts w:cs="Arial"/>
        </w:rPr>
        <w:t xml:space="preserve"> </w:t>
      </w:r>
      <w:r w:rsidR="00D95685">
        <w:rPr>
          <w:rFonts w:cs="Arial"/>
        </w:rPr>
        <w:t>2021</w:t>
      </w:r>
      <w:r w:rsidR="00654A3D">
        <w:rPr>
          <w:rFonts w:cs="Arial"/>
        </w:rPr>
        <w:t xml:space="preserve">. </w:t>
      </w:r>
      <w:r w:rsidR="00670F57">
        <w:t>Direct ingestion, trophic transfer, and physiological ef</w:t>
      </w:r>
      <w:r w:rsidR="0063204A">
        <w:t>f</w:t>
      </w:r>
      <w:r w:rsidR="00670F57">
        <w:t xml:space="preserve">ects of microplastics in the early life stages of </w:t>
      </w:r>
      <w:r w:rsidR="00670F57" w:rsidRPr="0063204A">
        <w:rPr>
          <w:i/>
          <w:iCs/>
        </w:rPr>
        <w:t>Centropristis striata</w:t>
      </w:r>
      <w:r w:rsidR="00670F57">
        <w:t>, a commercially and recreationally valuable f</w:t>
      </w:r>
      <w:r w:rsidR="0063204A">
        <w:t>i</w:t>
      </w:r>
      <w:r w:rsidR="00670F57">
        <w:t xml:space="preserve">shery species. Environ Pollut. </w:t>
      </w:r>
      <w:r w:rsidR="0063204A">
        <w:t xml:space="preserve">15 Sept.2021; </w:t>
      </w:r>
      <w:r w:rsidR="00670F57">
        <w:t>285:117653.</w:t>
      </w:r>
    </w:p>
    <w:p w14:paraId="1E2675D0" w14:textId="1F48498A" w:rsidR="007710C3" w:rsidRPr="004502A9" w:rsidRDefault="007710C3" w:rsidP="007710C3">
      <w:pPr>
        <w:rPr>
          <w:rFonts w:cs="Arial"/>
        </w:rPr>
      </w:pPr>
      <w:r w:rsidRPr="004502A9">
        <w:rPr>
          <w:rFonts w:cs="Arial"/>
        </w:rPr>
        <w:t xml:space="preserve">Sullivan K., D.J. Martin, R.D. Cardwell, J.E. Toll, and S. Duke. 2000. </w:t>
      </w:r>
      <w:r w:rsidRPr="004502A9">
        <w:rPr>
          <w:rFonts w:cs="Arial"/>
          <w:i/>
          <w:iCs/>
        </w:rPr>
        <w:t>An analysis of the effects of temperature on salmonids of the Pacific Northwest with implications for selecting temperature criteria.</w:t>
      </w:r>
      <w:r w:rsidRPr="004502A9">
        <w:rPr>
          <w:rFonts w:cs="Arial"/>
        </w:rPr>
        <w:t xml:space="preserve"> Sustainable Ecosystems Institute. Portland, OR. 147 pp.</w:t>
      </w:r>
    </w:p>
    <w:p w14:paraId="291422F3" w14:textId="62122930" w:rsidR="007710C3" w:rsidRPr="004502A9" w:rsidRDefault="00313C98" w:rsidP="007710C3">
      <w:pPr>
        <w:rPr>
          <w:rFonts w:eastAsia="Arial" w:cs="Arial"/>
        </w:rPr>
      </w:pPr>
      <w:r>
        <w:rPr>
          <w:rFonts w:eastAsia="Arial" w:cs="Arial"/>
        </w:rPr>
        <w:t>USEPA</w:t>
      </w:r>
      <w:r w:rsidR="007710C3" w:rsidRPr="004502A9">
        <w:rPr>
          <w:rFonts w:eastAsia="Arial" w:cs="Arial"/>
        </w:rPr>
        <w:t xml:space="preserve">. 1985. Guidelines for Deriving Numerical National Water Quality Criteria for the Protection of Aquatic Organisms and Their Uses. </w:t>
      </w:r>
      <w:r w:rsidR="007710C3" w:rsidRPr="004502A9">
        <w:rPr>
          <w:rFonts w:cs="Arial"/>
        </w:rPr>
        <w:t>EPA 822/R-85-100 or PB85-227049. Prepared by Stephen CE, Mount DI, Hansen DJ, Gentile JR, Chapman GA, Brungs WA. National Technical Information Service, Springfield, VA.</w:t>
      </w:r>
    </w:p>
    <w:p w14:paraId="6DD4B33B" w14:textId="318EB514" w:rsidR="007710C3" w:rsidRPr="004502A9" w:rsidRDefault="00313C98" w:rsidP="007710C3">
      <w:pPr>
        <w:rPr>
          <w:rFonts w:eastAsia="Arial" w:cs="Arial"/>
          <w:szCs w:val="24"/>
        </w:rPr>
      </w:pPr>
      <w:r>
        <w:rPr>
          <w:rFonts w:eastAsia="Arial" w:cs="Arial"/>
          <w:szCs w:val="24"/>
        </w:rPr>
        <w:t>USEPA</w:t>
      </w:r>
      <w:r w:rsidR="007710C3" w:rsidRPr="004502A9">
        <w:rPr>
          <w:rFonts w:eastAsia="Arial" w:cs="Arial"/>
          <w:szCs w:val="24"/>
        </w:rPr>
        <w:t xml:space="preserve">. 2000. Guidance for Assessing Chemical Contaminant Data for Use in Fish Advisories, Volume 1: Fish Sampling and Analysis. 3rd Edition. </w:t>
      </w:r>
      <w:r>
        <w:rPr>
          <w:rFonts w:eastAsia="Arial" w:cs="Arial"/>
          <w:szCs w:val="24"/>
        </w:rPr>
        <w:t>USEPA</w:t>
      </w:r>
      <w:r w:rsidR="007710C3" w:rsidRPr="004502A9">
        <w:rPr>
          <w:rFonts w:eastAsia="Arial" w:cs="Arial"/>
          <w:szCs w:val="24"/>
        </w:rPr>
        <w:t xml:space="preserve"> Office of Water: Washington, D.C. EPA-823-B-00-007. </w:t>
      </w:r>
    </w:p>
    <w:p w14:paraId="097F7A20" w14:textId="39D94F61" w:rsidR="004A4B6E" w:rsidRPr="00336C71" w:rsidRDefault="00313C98" w:rsidP="007710C3">
      <w:pPr>
        <w:rPr>
          <w:rFonts w:cs="Arial"/>
          <w:szCs w:val="24"/>
        </w:rPr>
      </w:pPr>
      <w:r>
        <w:rPr>
          <w:rFonts w:cs="Arial"/>
          <w:szCs w:val="24"/>
        </w:rPr>
        <w:t>USEPA</w:t>
      </w:r>
      <w:r w:rsidR="004A4B6E" w:rsidRPr="008B21EF">
        <w:rPr>
          <w:rFonts w:cs="Arial"/>
          <w:szCs w:val="24"/>
        </w:rPr>
        <w:t xml:space="preserve">. 2002. Consolidated assessment and listing methodology toward a compendium of best practices. First edition. Washington, D.C.: Office of Wetlands, Oceans, and Watersheds, </w:t>
      </w:r>
      <w:r>
        <w:rPr>
          <w:rFonts w:cs="Arial"/>
          <w:szCs w:val="24"/>
        </w:rPr>
        <w:t>USEPA</w:t>
      </w:r>
      <w:r w:rsidR="004A4B6E" w:rsidRPr="008B21EF">
        <w:rPr>
          <w:rFonts w:cs="Arial"/>
          <w:szCs w:val="24"/>
        </w:rPr>
        <w:t>.</w:t>
      </w:r>
    </w:p>
    <w:p w14:paraId="06446AE0" w14:textId="09ED2726" w:rsidR="007710C3" w:rsidRPr="004502A9" w:rsidRDefault="00313C98" w:rsidP="007710C3">
      <w:pPr>
        <w:rPr>
          <w:rFonts w:cs="Arial"/>
        </w:rPr>
      </w:pPr>
      <w:r>
        <w:rPr>
          <w:rFonts w:cs="Arial"/>
        </w:rPr>
        <w:t>USEPA</w:t>
      </w:r>
      <w:r w:rsidR="007710C3" w:rsidRPr="004502A9">
        <w:rPr>
          <w:rFonts w:cs="Arial"/>
        </w:rPr>
        <w:t xml:space="preserve">. 2003. </w:t>
      </w:r>
      <w:r w:rsidR="007710C3" w:rsidRPr="004502A9">
        <w:rPr>
          <w:rFonts w:cs="Arial"/>
          <w:i/>
          <w:iCs/>
        </w:rPr>
        <w:t>EPA Region 10 Guidance for Pacific Northwest State and Tribal Water Quality Standards.</w:t>
      </w:r>
      <w:r w:rsidR="007710C3" w:rsidRPr="004502A9">
        <w:rPr>
          <w:rFonts w:cs="Arial"/>
        </w:rPr>
        <w:t xml:space="preserve"> Region 10, Seattle, WA. EPA 910-B-03-002. 49pp.</w:t>
      </w:r>
    </w:p>
    <w:p w14:paraId="09C4BE9D" w14:textId="2AE0E322" w:rsidR="007710C3" w:rsidRPr="004502A9" w:rsidRDefault="00313C98" w:rsidP="007710C3">
      <w:pPr>
        <w:rPr>
          <w:rFonts w:eastAsia="Arial" w:cs="Arial"/>
          <w:szCs w:val="24"/>
        </w:rPr>
      </w:pPr>
      <w:r>
        <w:rPr>
          <w:rFonts w:eastAsia="Arial" w:cs="Arial"/>
          <w:szCs w:val="24"/>
        </w:rPr>
        <w:t>USEPA</w:t>
      </w:r>
      <w:r w:rsidR="007710C3" w:rsidRPr="004502A9">
        <w:rPr>
          <w:rFonts w:eastAsia="Arial" w:cs="Arial"/>
          <w:szCs w:val="24"/>
        </w:rPr>
        <w:t>.</w:t>
      </w:r>
      <w:r w:rsidR="007710C3" w:rsidRPr="004502A9">
        <w:rPr>
          <w:rFonts w:eastAsia="Arial" w:cs="Arial"/>
          <w:spacing w:val="1"/>
          <w:szCs w:val="24"/>
        </w:rPr>
        <w:t xml:space="preserve"> </w:t>
      </w:r>
      <w:r w:rsidR="007710C3" w:rsidRPr="004502A9">
        <w:rPr>
          <w:rFonts w:eastAsia="Arial" w:cs="Arial"/>
          <w:szCs w:val="24"/>
        </w:rPr>
        <w:t>2005. Guidance for</w:t>
      </w:r>
      <w:r w:rsidR="007710C3" w:rsidRPr="004502A9">
        <w:rPr>
          <w:rFonts w:eastAsia="Arial" w:cs="Arial"/>
          <w:spacing w:val="1"/>
          <w:szCs w:val="24"/>
        </w:rPr>
        <w:t xml:space="preserve"> </w:t>
      </w:r>
      <w:r w:rsidR="007710C3" w:rsidRPr="004502A9">
        <w:rPr>
          <w:rFonts w:eastAsia="Arial" w:cs="Arial"/>
          <w:szCs w:val="24"/>
        </w:rPr>
        <w:t>2006 Assessment, Listing and Reporting Requiremen</w:t>
      </w:r>
      <w:r w:rsidR="007710C3" w:rsidRPr="004502A9">
        <w:rPr>
          <w:rFonts w:eastAsia="Arial" w:cs="Arial"/>
          <w:spacing w:val="1"/>
          <w:szCs w:val="24"/>
        </w:rPr>
        <w:t>t</w:t>
      </w:r>
      <w:r w:rsidR="007710C3" w:rsidRPr="004502A9">
        <w:rPr>
          <w:rFonts w:eastAsia="Arial" w:cs="Arial"/>
          <w:szCs w:val="24"/>
        </w:rPr>
        <w:t>s</w:t>
      </w:r>
      <w:r w:rsidR="007710C3" w:rsidRPr="004502A9">
        <w:rPr>
          <w:rFonts w:eastAsia="Arial" w:cs="Arial"/>
          <w:spacing w:val="1"/>
          <w:szCs w:val="24"/>
        </w:rPr>
        <w:t xml:space="preserve"> </w:t>
      </w:r>
      <w:r w:rsidR="007710C3" w:rsidRPr="004502A9">
        <w:rPr>
          <w:rFonts w:eastAsia="Arial" w:cs="Arial"/>
          <w:szCs w:val="24"/>
        </w:rPr>
        <w:t>Pursuant</w:t>
      </w:r>
      <w:r w:rsidR="007710C3" w:rsidRPr="004502A9">
        <w:rPr>
          <w:rFonts w:eastAsia="Arial" w:cs="Arial"/>
          <w:spacing w:val="1"/>
          <w:szCs w:val="24"/>
        </w:rPr>
        <w:t xml:space="preserve"> </w:t>
      </w:r>
      <w:r w:rsidR="007710C3" w:rsidRPr="004502A9">
        <w:rPr>
          <w:rFonts w:eastAsia="Arial" w:cs="Arial"/>
          <w:szCs w:val="24"/>
        </w:rPr>
        <w:t>to</w:t>
      </w:r>
      <w:r w:rsidR="007710C3" w:rsidRPr="004502A9">
        <w:rPr>
          <w:rFonts w:eastAsia="Arial" w:cs="Arial"/>
          <w:spacing w:val="1"/>
          <w:szCs w:val="24"/>
        </w:rPr>
        <w:t xml:space="preserve"> </w:t>
      </w:r>
      <w:r w:rsidR="007710C3" w:rsidRPr="004502A9">
        <w:rPr>
          <w:rFonts w:eastAsia="Arial" w:cs="Arial"/>
          <w:szCs w:val="24"/>
        </w:rPr>
        <w:t>Sections</w:t>
      </w:r>
      <w:r w:rsidR="007710C3" w:rsidRPr="004502A9">
        <w:rPr>
          <w:rFonts w:eastAsia="Arial" w:cs="Arial"/>
          <w:spacing w:val="1"/>
          <w:szCs w:val="24"/>
        </w:rPr>
        <w:t xml:space="preserve"> </w:t>
      </w:r>
      <w:r w:rsidR="007710C3" w:rsidRPr="004502A9">
        <w:rPr>
          <w:rFonts w:eastAsia="Arial" w:cs="Arial"/>
          <w:szCs w:val="24"/>
        </w:rPr>
        <w:t>303(d),</w:t>
      </w:r>
      <w:r w:rsidR="007710C3" w:rsidRPr="004502A9">
        <w:rPr>
          <w:rFonts w:eastAsia="Arial" w:cs="Arial"/>
          <w:spacing w:val="1"/>
          <w:szCs w:val="24"/>
        </w:rPr>
        <w:t xml:space="preserve"> </w:t>
      </w:r>
      <w:r w:rsidR="007710C3" w:rsidRPr="004502A9">
        <w:rPr>
          <w:rFonts w:eastAsia="Arial" w:cs="Arial"/>
          <w:szCs w:val="24"/>
        </w:rPr>
        <w:t>305(b), and 314 of</w:t>
      </w:r>
      <w:r w:rsidR="007710C3" w:rsidRPr="004502A9">
        <w:rPr>
          <w:rFonts w:eastAsia="Arial" w:cs="Arial"/>
          <w:spacing w:val="1"/>
          <w:szCs w:val="24"/>
        </w:rPr>
        <w:t xml:space="preserve"> </w:t>
      </w:r>
      <w:r w:rsidR="007710C3" w:rsidRPr="004502A9">
        <w:rPr>
          <w:rFonts w:eastAsia="Arial" w:cs="Arial"/>
          <w:szCs w:val="24"/>
        </w:rPr>
        <w:t>the</w:t>
      </w:r>
      <w:r w:rsidR="007710C3" w:rsidRPr="004502A9">
        <w:rPr>
          <w:rFonts w:eastAsia="Arial" w:cs="Arial"/>
          <w:spacing w:val="1"/>
          <w:szCs w:val="24"/>
        </w:rPr>
        <w:t xml:space="preserve"> </w:t>
      </w:r>
      <w:r w:rsidR="007710C3" w:rsidRPr="004502A9">
        <w:rPr>
          <w:rFonts w:eastAsia="Arial" w:cs="Arial"/>
          <w:szCs w:val="24"/>
        </w:rPr>
        <w:t>Clean Water</w:t>
      </w:r>
      <w:r w:rsidR="007710C3" w:rsidRPr="004502A9">
        <w:rPr>
          <w:rFonts w:eastAsia="Arial" w:cs="Arial"/>
          <w:spacing w:val="1"/>
          <w:szCs w:val="24"/>
        </w:rPr>
        <w:t xml:space="preserve"> </w:t>
      </w:r>
      <w:r w:rsidR="007710C3" w:rsidRPr="004502A9">
        <w:rPr>
          <w:rFonts w:eastAsia="Arial" w:cs="Arial"/>
          <w:szCs w:val="24"/>
        </w:rPr>
        <w:t xml:space="preserve">Act. </w:t>
      </w:r>
      <w:r>
        <w:rPr>
          <w:rFonts w:eastAsia="Arial" w:cs="Arial"/>
          <w:szCs w:val="24"/>
        </w:rPr>
        <w:t>USEPA</w:t>
      </w:r>
      <w:r w:rsidR="007710C3" w:rsidRPr="004502A9">
        <w:rPr>
          <w:rFonts w:eastAsia="Arial" w:cs="Arial"/>
          <w:szCs w:val="24"/>
        </w:rPr>
        <w:t xml:space="preserve"> Office of Wetlands, Oceans and Watersheds, Assessment and Watershed Protection Division, Watershed Branch: Washington, D.C.</w:t>
      </w:r>
    </w:p>
    <w:p w14:paraId="74FEE5B4" w14:textId="6AAA31C9" w:rsidR="00D7792B" w:rsidRDefault="00313C98" w:rsidP="00D7792B">
      <w:pPr>
        <w:rPr>
          <w:rFonts w:cs="Arial"/>
        </w:rPr>
      </w:pPr>
      <w:r>
        <w:rPr>
          <w:rFonts w:cs="Arial"/>
        </w:rPr>
        <w:t>USEPA</w:t>
      </w:r>
      <w:r w:rsidR="00D7792B" w:rsidRPr="792C1EB8">
        <w:rPr>
          <w:rFonts w:cs="Arial"/>
        </w:rPr>
        <w:t>.</w:t>
      </w:r>
      <w:r w:rsidR="00D7792B" w:rsidRPr="1A3ABB98">
        <w:rPr>
          <w:rFonts w:cs="Arial"/>
        </w:rPr>
        <w:t xml:space="preserve"> 201</w:t>
      </w:r>
      <w:r w:rsidR="00D7792B">
        <w:rPr>
          <w:rFonts w:cs="Arial"/>
        </w:rPr>
        <w:t>1</w:t>
      </w:r>
      <w:r w:rsidR="00D7792B" w:rsidRPr="1A3ABB98">
        <w:rPr>
          <w:rFonts w:cs="Arial"/>
        </w:rPr>
        <w:t xml:space="preserve">. </w:t>
      </w:r>
      <w:r w:rsidR="0040316D">
        <w:rPr>
          <w:rFonts w:cs="Arial"/>
        </w:rPr>
        <w:t>A Primer on Using Biological Assessments to Support Water Quality Management</w:t>
      </w:r>
      <w:r w:rsidR="00D7792B" w:rsidRPr="0C33F037">
        <w:rPr>
          <w:rFonts w:cs="Arial"/>
        </w:rPr>
        <w:t xml:space="preserve">. </w:t>
      </w:r>
      <w:r>
        <w:rPr>
          <w:rFonts w:cs="Arial"/>
        </w:rPr>
        <w:t>USEPA</w:t>
      </w:r>
      <w:r w:rsidR="00D7792B" w:rsidRPr="14725892">
        <w:rPr>
          <w:rFonts w:cs="Arial"/>
        </w:rPr>
        <w:t xml:space="preserve"> Office</w:t>
      </w:r>
      <w:r w:rsidR="00D7792B" w:rsidRPr="1A3ABB98">
        <w:rPr>
          <w:rFonts w:cs="Arial"/>
        </w:rPr>
        <w:t xml:space="preserve"> of Water. EPA- 8</w:t>
      </w:r>
      <w:r w:rsidR="00113E09" w:rsidRPr="00113E09">
        <w:rPr>
          <w:rFonts w:cs="Arial"/>
        </w:rPr>
        <w:t>10-R-11-01</w:t>
      </w:r>
      <w:r w:rsidR="00D7792B" w:rsidRPr="1A3ABB98">
        <w:rPr>
          <w:rFonts w:cs="Arial"/>
        </w:rPr>
        <w:t>.</w:t>
      </w:r>
      <w:r w:rsidR="00D7792B" w:rsidRPr="50A97461">
        <w:rPr>
          <w:rFonts w:cs="Arial"/>
        </w:rPr>
        <w:t xml:space="preserve"> </w:t>
      </w:r>
      <w:r w:rsidR="00D7792B">
        <w:rPr>
          <w:rFonts w:cs="Arial"/>
        </w:rPr>
        <w:t xml:space="preserve">Available online at </w:t>
      </w:r>
      <w:hyperlink r:id="rId93" w:history="1">
        <w:r w:rsidR="009D018F" w:rsidRPr="009D018F">
          <w:t xml:space="preserve"> </w:t>
        </w:r>
        <w:r w:rsidR="009D018F" w:rsidRPr="009D018F">
          <w:rPr>
            <w:rStyle w:val="Hyperlink"/>
            <w:rFonts w:cs="Arial"/>
          </w:rPr>
          <w:t>https://www.epa.gov/sites/default/files/2018-10/documents/primer-using-biological-assessments.pd</w:t>
        </w:r>
        <w:r w:rsidR="00D7792B" w:rsidRPr="0037393D">
          <w:rPr>
            <w:rStyle w:val="Hyperlink"/>
            <w:rFonts w:cs="Arial"/>
          </w:rPr>
          <w:t>f</w:t>
        </w:r>
      </w:hyperlink>
      <w:r w:rsidR="00D7792B">
        <w:rPr>
          <w:rFonts w:cs="Arial"/>
        </w:rPr>
        <w:t xml:space="preserve">. Accessed </w:t>
      </w:r>
      <w:r w:rsidR="009D018F">
        <w:rPr>
          <w:rFonts w:cs="Arial"/>
        </w:rPr>
        <w:t>December</w:t>
      </w:r>
      <w:r w:rsidR="00D7792B">
        <w:rPr>
          <w:rFonts w:cs="Arial"/>
        </w:rPr>
        <w:t xml:space="preserve"> 1</w:t>
      </w:r>
      <w:r w:rsidR="009D018F">
        <w:rPr>
          <w:rFonts w:cs="Arial"/>
        </w:rPr>
        <w:t>9</w:t>
      </w:r>
      <w:r w:rsidR="00D7792B">
        <w:rPr>
          <w:rFonts w:cs="Arial"/>
        </w:rPr>
        <w:t xml:space="preserve">, 2022. </w:t>
      </w:r>
    </w:p>
    <w:p w14:paraId="5BD14497" w14:textId="5708608C" w:rsidR="007710C3" w:rsidRPr="004502A9" w:rsidRDefault="00313C98" w:rsidP="007710C3">
      <w:pPr>
        <w:rPr>
          <w:rFonts w:cs="Arial"/>
        </w:rPr>
      </w:pPr>
      <w:r>
        <w:rPr>
          <w:rFonts w:cs="Arial"/>
        </w:rPr>
        <w:t>USEPA</w:t>
      </w:r>
      <w:r w:rsidR="007710C3" w:rsidRPr="004502A9">
        <w:rPr>
          <w:rFonts w:cs="Arial"/>
        </w:rPr>
        <w:t xml:space="preserve">. 2012a. Office of Pesticide Programs Pesticide Ecotoxicity Database. </w:t>
      </w:r>
      <w:r w:rsidR="007710C3" w:rsidRPr="004502A9">
        <w:rPr>
          <w:rFonts w:cs="Arial"/>
        </w:rPr>
        <w:br/>
      </w:r>
      <w:r>
        <w:rPr>
          <w:rFonts w:cs="Arial"/>
        </w:rPr>
        <w:t>USEPA</w:t>
      </w:r>
      <w:r w:rsidR="007710C3" w:rsidRPr="004502A9">
        <w:rPr>
          <w:rFonts w:cs="Arial"/>
        </w:rPr>
        <w:t xml:space="preserve">. Washington, D.C. Available at </w:t>
      </w:r>
      <w:r w:rsidR="00C51A47">
        <w:rPr>
          <w:rFonts w:cs="Arial"/>
        </w:rPr>
        <w:t>online at</w:t>
      </w:r>
      <w:r w:rsidR="007710C3" w:rsidRPr="004502A9">
        <w:rPr>
          <w:rFonts w:cs="Arial"/>
        </w:rPr>
        <w:t xml:space="preserve"> </w:t>
      </w:r>
      <w:hyperlink r:id="rId94" w:history="1">
        <w:r w:rsidR="007710C3" w:rsidRPr="004502A9">
          <w:rPr>
            <w:rStyle w:val="Hyperlink"/>
            <w:rFonts w:cs="Arial"/>
          </w:rPr>
          <w:t>https://ecotox.ipmcenters.org/</w:t>
        </w:r>
      </w:hyperlink>
      <w:r w:rsidR="001B3681">
        <w:rPr>
          <w:rStyle w:val="Hyperlink"/>
          <w:rFonts w:cs="Arial"/>
        </w:rPr>
        <w:t xml:space="preserve">. </w:t>
      </w:r>
      <w:r w:rsidR="001B3681" w:rsidRPr="004502A9">
        <w:rPr>
          <w:rFonts w:cs="Arial"/>
        </w:rPr>
        <w:t xml:space="preserve">Accessed December 19, 2012. </w:t>
      </w:r>
    </w:p>
    <w:p w14:paraId="06412E3B" w14:textId="082B2CA0" w:rsidR="007710C3" w:rsidRPr="004502A9" w:rsidRDefault="00313C98" w:rsidP="007710C3">
      <w:pPr>
        <w:spacing w:after="0"/>
        <w:rPr>
          <w:rFonts w:cs="Arial"/>
        </w:rPr>
      </w:pPr>
      <w:r>
        <w:rPr>
          <w:rFonts w:cs="Arial"/>
        </w:rPr>
        <w:t>USEPA</w:t>
      </w:r>
      <w:r w:rsidR="007710C3" w:rsidRPr="004502A9">
        <w:rPr>
          <w:rFonts w:cs="Arial"/>
        </w:rPr>
        <w:t xml:space="preserve">. 2012b. Recreational Water Quality Criteria. </w:t>
      </w:r>
      <w:r>
        <w:rPr>
          <w:rFonts w:cs="Arial"/>
        </w:rPr>
        <w:t>USEPA</w:t>
      </w:r>
      <w:r w:rsidR="007710C3" w:rsidRPr="004502A9">
        <w:rPr>
          <w:rFonts w:cs="Arial"/>
        </w:rPr>
        <w:t xml:space="preserve"> Office of Water: Washington, D.C. EPA-820-F-12-058. Available </w:t>
      </w:r>
      <w:r w:rsidR="00EB70D5">
        <w:rPr>
          <w:rFonts w:cs="Arial"/>
        </w:rPr>
        <w:t>online</w:t>
      </w:r>
      <w:r w:rsidR="007710C3" w:rsidRPr="004502A9">
        <w:rPr>
          <w:rFonts w:cs="Arial"/>
        </w:rPr>
        <w:t xml:space="preserve"> at  </w:t>
      </w:r>
    </w:p>
    <w:p w14:paraId="0D973D2B" w14:textId="517EB839" w:rsidR="007710C3" w:rsidRPr="004502A9" w:rsidRDefault="007710C3" w:rsidP="007710C3">
      <w:pPr>
        <w:rPr>
          <w:rFonts w:cs="Arial"/>
        </w:rPr>
      </w:pPr>
      <w:hyperlink r:id="rId95">
        <w:r w:rsidRPr="004502A9">
          <w:rPr>
            <w:rStyle w:val="Hyperlink"/>
            <w:rFonts w:cs="Arial"/>
          </w:rPr>
          <w:t>https://www.epa.gov/sites/production/files/2015-10/documents/rwqc2012.</w:t>
        </w:r>
        <w:bookmarkStart w:id="232" w:name="_Hlt118273598"/>
        <w:r w:rsidRPr="004502A9">
          <w:rPr>
            <w:rStyle w:val="Hyperlink"/>
            <w:rFonts w:cs="Arial"/>
          </w:rPr>
          <w:t>p</w:t>
        </w:r>
        <w:bookmarkEnd w:id="232"/>
        <w:r w:rsidRPr="004502A9">
          <w:rPr>
            <w:rStyle w:val="Hyperlink"/>
            <w:rFonts w:cs="Arial"/>
          </w:rPr>
          <w:t>df</w:t>
        </w:r>
      </w:hyperlink>
      <w:r w:rsidR="00EB70D5" w:rsidRPr="005D37CB">
        <w:t xml:space="preserve">. </w:t>
      </w:r>
      <w:r w:rsidR="00EB70D5" w:rsidRPr="00DD204E">
        <w:t>Accessed November 2, 2022.</w:t>
      </w:r>
      <w:r w:rsidRPr="004502A9">
        <w:rPr>
          <w:rFonts w:cs="Arial"/>
        </w:rPr>
        <w:t xml:space="preserve"> </w:t>
      </w:r>
    </w:p>
    <w:p w14:paraId="7E1242C7" w14:textId="14B55105" w:rsidR="007710C3" w:rsidRPr="004502A9" w:rsidRDefault="00313C98" w:rsidP="007710C3">
      <w:pPr>
        <w:rPr>
          <w:rFonts w:cs="Arial"/>
        </w:rPr>
      </w:pPr>
      <w:r>
        <w:rPr>
          <w:rFonts w:cs="Arial"/>
        </w:rPr>
        <w:t>USEPA</w:t>
      </w:r>
      <w:r w:rsidR="007710C3" w:rsidRPr="004502A9">
        <w:rPr>
          <w:rFonts w:cs="Arial"/>
        </w:rPr>
        <w:t xml:space="preserve">. 2015a. Drinking Water Health Advisory for the Cyanobacterial Microcystin Toxins. </w:t>
      </w:r>
      <w:r>
        <w:rPr>
          <w:rFonts w:cs="Arial"/>
        </w:rPr>
        <w:t>USEPA</w:t>
      </w:r>
      <w:r w:rsidR="007710C3" w:rsidRPr="004502A9">
        <w:rPr>
          <w:rFonts w:cs="Arial"/>
        </w:rPr>
        <w:t xml:space="preserve"> Office of Water. Washington DC. EPA-820-R-15-100. </w:t>
      </w:r>
      <w:r w:rsidR="00C51A47">
        <w:rPr>
          <w:rFonts w:cs="Arial"/>
        </w:rPr>
        <w:t xml:space="preserve">Available online at </w:t>
      </w:r>
      <w:hyperlink r:id="rId96" w:history="1">
        <w:r w:rsidR="007710C3" w:rsidRPr="004502A9">
          <w:rPr>
            <w:rStyle w:val="Hyperlink"/>
            <w:rFonts w:cs="Arial"/>
          </w:rPr>
          <w:t>https://www.waterboards.ca.gov/water_issues/programs/tmdl/records/state_board/2016/ref4295.pdf</w:t>
        </w:r>
      </w:hyperlink>
      <w:r w:rsidR="00C51A47">
        <w:rPr>
          <w:rFonts w:cs="Arial"/>
        </w:rPr>
        <w:t>.</w:t>
      </w:r>
      <w:r w:rsidR="00DD204E">
        <w:rPr>
          <w:rFonts w:cs="Arial"/>
        </w:rPr>
        <w:t xml:space="preserve"> Accessed November 2, 2022.</w:t>
      </w:r>
      <w:r w:rsidR="00C51A47">
        <w:rPr>
          <w:rFonts w:cs="Arial"/>
        </w:rPr>
        <w:t xml:space="preserve"> </w:t>
      </w:r>
    </w:p>
    <w:p w14:paraId="1D98DA49" w14:textId="00140E93" w:rsidR="007710C3" w:rsidRPr="004502A9" w:rsidRDefault="00313C98" w:rsidP="007710C3">
      <w:pPr>
        <w:rPr>
          <w:rFonts w:cs="Arial"/>
        </w:rPr>
      </w:pPr>
      <w:r>
        <w:rPr>
          <w:rFonts w:cs="Arial"/>
        </w:rPr>
        <w:t>USEPA</w:t>
      </w:r>
      <w:r w:rsidR="007710C3" w:rsidRPr="004502A9">
        <w:rPr>
          <w:rFonts w:cs="Arial"/>
        </w:rPr>
        <w:t xml:space="preserve">. </w:t>
      </w:r>
      <w:r w:rsidR="007710C3" w:rsidRPr="00440259">
        <w:rPr>
          <w:rFonts w:cs="Arial"/>
        </w:rPr>
        <w:t>2015</w:t>
      </w:r>
      <w:r w:rsidR="006B415E">
        <w:rPr>
          <w:rFonts w:cs="Arial"/>
        </w:rPr>
        <w:t>b</w:t>
      </w:r>
      <w:r w:rsidR="007710C3" w:rsidRPr="004502A9">
        <w:rPr>
          <w:rFonts w:cs="Arial"/>
        </w:rPr>
        <w:t xml:space="preserve">. Drinking Water Health Advisory for the Cyanobacterial Toxin Cylindrospermopsin. </w:t>
      </w:r>
      <w:r>
        <w:rPr>
          <w:rFonts w:cs="Arial"/>
        </w:rPr>
        <w:t>USEPA</w:t>
      </w:r>
      <w:r w:rsidR="007710C3" w:rsidRPr="004502A9">
        <w:rPr>
          <w:rFonts w:cs="Arial"/>
        </w:rPr>
        <w:t xml:space="preserve"> Office of Water. Washington DC. EPA-820-R-15-101</w:t>
      </w:r>
      <w:r w:rsidR="001D171D">
        <w:rPr>
          <w:rFonts w:cs="Arial"/>
        </w:rPr>
        <w:t>.</w:t>
      </w:r>
      <w:r w:rsidR="007710C3" w:rsidRPr="004502A9">
        <w:rPr>
          <w:rFonts w:cs="Arial"/>
        </w:rPr>
        <w:t xml:space="preserve">  </w:t>
      </w:r>
      <w:r w:rsidR="00C51A47">
        <w:rPr>
          <w:rFonts w:cs="Arial"/>
        </w:rPr>
        <w:t>Available online at</w:t>
      </w:r>
      <w:r w:rsidR="00AA4CA5">
        <w:rPr>
          <w:rFonts w:cs="Arial"/>
        </w:rPr>
        <w:t xml:space="preserve"> </w:t>
      </w:r>
      <w:hyperlink r:id="rId97" w:history="1">
        <w:r w:rsidR="00AA4CA5" w:rsidRPr="0037393D">
          <w:rPr>
            <w:rStyle w:val="Hyperlink"/>
            <w:rFonts w:cs="Arial"/>
          </w:rPr>
          <w:t>https://www.epa.gov/sites/production/files/2017-06/documents/cylindrospermopsin-report-2015.pdf</w:t>
        </w:r>
      </w:hyperlink>
      <w:r w:rsidR="00C51A47">
        <w:rPr>
          <w:rFonts w:cs="Arial"/>
        </w:rPr>
        <w:t xml:space="preserve">. </w:t>
      </w:r>
      <w:r w:rsidR="00CD28C0">
        <w:rPr>
          <w:rFonts w:cs="Arial"/>
        </w:rPr>
        <w:t>Accessed November 2, 2022.</w:t>
      </w:r>
    </w:p>
    <w:p w14:paraId="30D8731E" w14:textId="16126A08" w:rsidR="4F85F291" w:rsidRDefault="00313C98" w:rsidP="1C211193">
      <w:pPr>
        <w:rPr>
          <w:rFonts w:eastAsia="Calibri"/>
          <w:szCs w:val="24"/>
        </w:rPr>
      </w:pPr>
      <w:r>
        <w:rPr>
          <w:rFonts w:cs="Arial"/>
        </w:rPr>
        <w:t>USEPA</w:t>
      </w:r>
      <w:r w:rsidR="007710C3" w:rsidRPr="004502A9">
        <w:rPr>
          <w:rFonts w:cs="Arial"/>
        </w:rPr>
        <w:t xml:space="preserve">. </w:t>
      </w:r>
      <w:r w:rsidR="4F85F291" w:rsidRPr="1C211193">
        <w:rPr>
          <w:rFonts w:cs="Arial"/>
        </w:rPr>
        <w:t>2016</w:t>
      </w:r>
      <w:r w:rsidR="00D55A6F">
        <w:rPr>
          <w:rFonts w:cs="Arial"/>
        </w:rPr>
        <w:t>a</w:t>
      </w:r>
      <w:r w:rsidR="4F85F291" w:rsidRPr="1C211193">
        <w:rPr>
          <w:rFonts w:cs="Arial"/>
        </w:rPr>
        <w:t>. Draft Technical Support Document: Recommended Estimates for Missing Water Quality Parameters for Application in EPA’s Biotic Ligand Model</w:t>
      </w:r>
      <w:r w:rsidR="4F85F291" w:rsidRPr="6EA972EC">
        <w:rPr>
          <w:rFonts w:cs="Arial"/>
        </w:rPr>
        <w:t xml:space="preserve">. </w:t>
      </w:r>
      <w:r>
        <w:rPr>
          <w:rFonts w:cs="Arial"/>
        </w:rPr>
        <w:t>USEPA</w:t>
      </w:r>
      <w:r w:rsidR="4F85F291" w:rsidRPr="1C211193">
        <w:rPr>
          <w:rFonts w:cs="Arial"/>
        </w:rPr>
        <w:t xml:space="preserve"> Office of Water. EPA 820-R-15-106</w:t>
      </w:r>
      <w:r w:rsidR="25DFB974" w:rsidRPr="1957375D">
        <w:rPr>
          <w:rFonts w:cs="Arial"/>
        </w:rPr>
        <w:t xml:space="preserve">. </w:t>
      </w:r>
      <w:r w:rsidR="008D6A0C">
        <w:rPr>
          <w:rFonts w:cs="Arial"/>
        </w:rPr>
        <w:t xml:space="preserve">Available online at </w:t>
      </w:r>
      <w:r w:rsidR="25DFB974" w:rsidRPr="1957375D">
        <w:rPr>
          <w:rFonts w:cs="Arial"/>
        </w:rPr>
        <w:t xml:space="preserve"> </w:t>
      </w:r>
      <w:hyperlink r:id="rId98" w:history="1">
        <w:r w:rsidR="008D6A0C" w:rsidRPr="0037393D">
          <w:rPr>
            <w:rStyle w:val="Hyperlink"/>
            <w:rFonts w:eastAsia="Arial" w:cs="Arial"/>
            <w:szCs w:val="24"/>
          </w:rPr>
          <w:t>https://archive.epa.gov/epa/sites/production/files/2016-02/documents/draft-tsd-recommended-blm-parameters.pdf</w:t>
        </w:r>
      </w:hyperlink>
      <w:r w:rsidR="008D6A0C">
        <w:rPr>
          <w:rFonts w:eastAsia="Arial" w:cs="Arial"/>
          <w:szCs w:val="24"/>
        </w:rPr>
        <w:t>. Accessed November 1, 2022</w:t>
      </w:r>
      <w:r w:rsidR="00C43C7B">
        <w:rPr>
          <w:rFonts w:eastAsia="Arial" w:cs="Arial"/>
          <w:szCs w:val="24"/>
        </w:rPr>
        <w:t>.</w:t>
      </w:r>
    </w:p>
    <w:p w14:paraId="5E9E697E" w14:textId="13E8AEB6" w:rsidR="002776BB" w:rsidRPr="004502A9" w:rsidRDefault="00313C98" w:rsidP="002776BB">
      <w:pPr>
        <w:rPr>
          <w:rFonts w:cs="Arial"/>
        </w:rPr>
      </w:pPr>
      <w:r>
        <w:rPr>
          <w:rFonts w:cs="Arial"/>
        </w:rPr>
        <w:t>USEPA</w:t>
      </w:r>
      <w:r w:rsidR="002776BB" w:rsidRPr="004502A9">
        <w:rPr>
          <w:rFonts w:cs="Arial"/>
        </w:rPr>
        <w:t>. 201</w:t>
      </w:r>
      <w:r w:rsidR="002776BB">
        <w:rPr>
          <w:rFonts w:cs="Arial"/>
        </w:rPr>
        <w:t>6</w:t>
      </w:r>
      <w:r w:rsidR="00D55A6F">
        <w:rPr>
          <w:rFonts w:cs="Arial"/>
        </w:rPr>
        <w:t>b</w:t>
      </w:r>
      <w:r w:rsidR="002776BB" w:rsidRPr="004502A9">
        <w:rPr>
          <w:rFonts w:cs="Arial"/>
        </w:rPr>
        <w:t xml:space="preserve">. National Recommended Water Quality Criteria. </w:t>
      </w:r>
      <w:r>
        <w:rPr>
          <w:rFonts w:cs="Arial"/>
        </w:rPr>
        <w:t>USEPA</w:t>
      </w:r>
      <w:r w:rsidR="002776BB" w:rsidRPr="004502A9">
        <w:rPr>
          <w:rFonts w:cs="Arial"/>
        </w:rPr>
        <w:t xml:space="preserve">. Washington, D.C. Available </w:t>
      </w:r>
      <w:r w:rsidR="002776BB">
        <w:rPr>
          <w:rFonts w:cs="Arial"/>
        </w:rPr>
        <w:t xml:space="preserve">online </w:t>
      </w:r>
      <w:r w:rsidR="002776BB" w:rsidRPr="004502A9">
        <w:rPr>
          <w:rFonts w:cs="Arial"/>
        </w:rPr>
        <w:t xml:space="preserve">at </w:t>
      </w:r>
      <w:hyperlink r:id="rId99">
        <w:r w:rsidR="002776BB" w:rsidRPr="05EC0FD9">
          <w:rPr>
            <w:rStyle w:val="Hyperlink"/>
            <w:rFonts w:cs="Arial"/>
          </w:rPr>
          <w:t>https://www.epa.gov/wqc/national-recommended-water-quality-criteria</w:t>
        </w:r>
      </w:hyperlink>
      <w:r w:rsidR="002776BB">
        <w:t>.</w:t>
      </w:r>
      <w:r w:rsidR="002776BB" w:rsidRPr="05EC0FD9">
        <w:rPr>
          <w:rFonts w:cs="Arial"/>
        </w:rPr>
        <w:t xml:space="preserve"> Accessed August 3, 2016.</w:t>
      </w:r>
    </w:p>
    <w:p w14:paraId="770AA0BD" w14:textId="7A414701" w:rsidR="05A154B2" w:rsidRDefault="00313C98" w:rsidP="05EC0FD9">
      <w:pPr>
        <w:rPr>
          <w:rFonts w:eastAsia="Arial" w:cs="Arial"/>
          <w:szCs w:val="24"/>
        </w:rPr>
      </w:pPr>
      <w:r>
        <w:rPr>
          <w:rFonts w:cs="Arial"/>
        </w:rPr>
        <w:t>USEPA</w:t>
      </w:r>
      <w:r w:rsidR="05A154B2" w:rsidRPr="05EC0FD9">
        <w:rPr>
          <w:rFonts w:cs="Arial"/>
        </w:rPr>
        <w:t xml:space="preserve">. 2018. Final Aquatic Life Ambient Water Quality Criteria for Aluminum. </w:t>
      </w:r>
      <w:r>
        <w:rPr>
          <w:rFonts w:cs="Arial"/>
        </w:rPr>
        <w:t>USEPA</w:t>
      </w:r>
      <w:r w:rsidR="05A154B2" w:rsidRPr="05EC0FD9">
        <w:rPr>
          <w:rFonts w:cs="Arial"/>
        </w:rPr>
        <w:t xml:space="preserve"> Office of Water. EPA</w:t>
      </w:r>
      <w:r w:rsidR="36DBD2A9" w:rsidRPr="05EC0FD9">
        <w:rPr>
          <w:rFonts w:cs="Arial"/>
        </w:rPr>
        <w:t xml:space="preserve">-822-R-18-001. Available online at </w:t>
      </w:r>
      <w:hyperlink r:id="rId100" w:history="1">
        <w:r w:rsidR="36DBD2A9" w:rsidRPr="05EC0FD9">
          <w:rPr>
            <w:rStyle w:val="Hyperlink"/>
            <w:rFonts w:eastAsia="Arial" w:cs="Arial"/>
            <w:szCs w:val="24"/>
          </w:rPr>
          <w:t>2018 Final Aquatic Life Criteria for Aluminum in Freshwater | US EPA</w:t>
        </w:r>
      </w:hyperlink>
      <w:r w:rsidR="4990CB4E" w:rsidRPr="05EC0FD9">
        <w:rPr>
          <w:rStyle w:val="Hyperlink"/>
          <w:rFonts w:eastAsia="Arial" w:cs="Arial"/>
          <w:szCs w:val="24"/>
        </w:rPr>
        <w:t>.</w:t>
      </w:r>
    </w:p>
    <w:p w14:paraId="42283D5E" w14:textId="71C5CE4E" w:rsidR="00C43C7B" w:rsidRDefault="00313C98" w:rsidP="1A3ABB98">
      <w:pPr>
        <w:rPr>
          <w:rFonts w:cs="Arial"/>
        </w:rPr>
      </w:pPr>
      <w:bookmarkStart w:id="233" w:name="_Hlk122354544"/>
      <w:r>
        <w:rPr>
          <w:rFonts w:cs="Arial"/>
        </w:rPr>
        <w:t>USEPA</w:t>
      </w:r>
      <w:r w:rsidR="78DE5508" w:rsidRPr="05EC0FD9">
        <w:rPr>
          <w:rFonts w:cs="Arial"/>
        </w:rPr>
        <w:t>. 20</w:t>
      </w:r>
      <w:r w:rsidR="5EB290EC" w:rsidRPr="05EC0FD9">
        <w:rPr>
          <w:rFonts w:cs="Arial"/>
        </w:rPr>
        <w:t>21</w:t>
      </w:r>
      <w:r w:rsidR="78DE5508" w:rsidRPr="05EC0FD9">
        <w:rPr>
          <w:rFonts w:cs="Arial"/>
        </w:rPr>
        <w:t>.</w:t>
      </w:r>
      <w:r w:rsidR="78DE5508" w:rsidRPr="1A3ABB98">
        <w:rPr>
          <w:rFonts w:cs="Arial"/>
        </w:rPr>
        <w:t xml:space="preserve"> Draft Technical Support Document: Implementing the 2018 Recommended Aquatic Life Water Quality Criteria for Aluminum</w:t>
      </w:r>
      <w:r w:rsidR="78DE5508" w:rsidRPr="0C33F037">
        <w:rPr>
          <w:rFonts w:cs="Arial"/>
        </w:rPr>
        <w:t xml:space="preserve">. </w:t>
      </w:r>
      <w:r>
        <w:rPr>
          <w:rFonts w:cs="Arial"/>
        </w:rPr>
        <w:t>USEPA</w:t>
      </w:r>
      <w:r w:rsidR="78DE5508" w:rsidRPr="14725892">
        <w:rPr>
          <w:rFonts w:cs="Arial"/>
        </w:rPr>
        <w:t xml:space="preserve"> Office</w:t>
      </w:r>
      <w:r w:rsidR="78DE5508" w:rsidRPr="1A3ABB98">
        <w:rPr>
          <w:rFonts w:cs="Arial"/>
        </w:rPr>
        <w:t xml:space="preserve"> of Water. EPA- 800-D-21-001.</w:t>
      </w:r>
      <w:r w:rsidR="6DD5D5BD" w:rsidRPr="50A97461">
        <w:rPr>
          <w:rFonts w:cs="Arial"/>
        </w:rPr>
        <w:t xml:space="preserve"> </w:t>
      </w:r>
      <w:r w:rsidR="00C43C7B">
        <w:rPr>
          <w:rFonts w:cs="Arial"/>
        </w:rPr>
        <w:t xml:space="preserve">Available online at </w:t>
      </w:r>
      <w:hyperlink r:id="rId101">
        <w:r w:rsidR="00C43C7B" w:rsidRPr="05EC0FD9">
          <w:rPr>
            <w:rStyle w:val="Hyperlink"/>
            <w:rFonts w:cs="Arial"/>
          </w:rPr>
          <w:t>https://www.epa.gov/system/files/documents/2021-11/aluminum-tsd-draft-2021.pdf</w:t>
        </w:r>
      </w:hyperlink>
      <w:r w:rsidR="00C43C7B" w:rsidRPr="05EC0FD9">
        <w:rPr>
          <w:rFonts w:cs="Arial"/>
        </w:rPr>
        <w:t xml:space="preserve">. Accessed November 1, 2022. </w:t>
      </w:r>
    </w:p>
    <w:bookmarkEnd w:id="233"/>
    <w:p w14:paraId="70369C27" w14:textId="186A9086" w:rsidR="005200C8" w:rsidRDefault="00313C98" w:rsidP="007710C3">
      <w:pPr>
        <w:rPr>
          <w:rFonts w:cs="Arial"/>
        </w:rPr>
      </w:pPr>
      <w:r>
        <w:rPr>
          <w:rFonts w:cs="Arial"/>
        </w:rPr>
        <w:t>USEPA</w:t>
      </w:r>
      <w:r w:rsidR="007710C3" w:rsidRPr="004502A9">
        <w:rPr>
          <w:rFonts w:cs="Arial"/>
        </w:rPr>
        <w:t>. 20</w:t>
      </w:r>
      <w:r w:rsidR="004E6DB0">
        <w:rPr>
          <w:rFonts w:cs="Arial"/>
        </w:rPr>
        <w:t>21</w:t>
      </w:r>
      <w:r w:rsidR="007710C3" w:rsidRPr="004502A9">
        <w:rPr>
          <w:rFonts w:cs="Arial"/>
        </w:rPr>
        <w:t xml:space="preserve">. Aquatic Life Benchmarks. Available at: </w:t>
      </w:r>
      <w:hyperlink r:id="rId102" w:anchor="aquatic-benchmarks" w:history="1">
        <w:r w:rsidR="007710C3" w:rsidRPr="004502A9">
          <w:rPr>
            <w:rStyle w:val="Hyperlink"/>
            <w:rFonts w:cs="Arial"/>
          </w:rPr>
          <w:t>https://www.epa.gov/pesticide-science-and-assessing-pesticide-risks/aquatic-life-benchmarks-and-ecological-risk#aquatic-benchmarks</w:t>
        </w:r>
      </w:hyperlink>
      <w:r w:rsidR="00C43C7B" w:rsidRPr="00A45ACA">
        <w:t xml:space="preserve">. </w:t>
      </w:r>
      <w:r w:rsidR="00C43C7B" w:rsidRPr="004502A9">
        <w:rPr>
          <w:rFonts w:cs="Arial"/>
        </w:rPr>
        <w:t xml:space="preserve">Accessed </w:t>
      </w:r>
      <w:r w:rsidR="004E6DB0">
        <w:rPr>
          <w:rFonts w:cs="Arial"/>
        </w:rPr>
        <w:t>November</w:t>
      </w:r>
      <w:r w:rsidR="00C43C7B" w:rsidRPr="004502A9">
        <w:rPr>
          <w:rFonts w:cs="Arial"/>
        </w:rPr>
        <w:t xml:space="preserve"> </w:t>
      </w:r>
      <w:r w:rsidR="004E6DB0">
        <w:rPr>
          <w:rFonts w:cs="Arial"/>
        </w:rPr>
        <w:t>16</w:t>
      </w:r>
      <w:r w:rsidR="00C43C7B" w:rsidRPr="004502A9">
        <w:rPr>
          <w:rFonts w:cs="Arial"/>
        </w:rPr>
        <w:t>, 20</w:t>
      </w:r>
      <w:r w:rsidR="00E61F9D">
        <w:rPr>
          <w:rFonts w:cs="Arial"/>
        </w:rPr>
        <w:t>21</w:t>
      </w:r>
      <w:r w:rsidR="00C43C7B" w:rsidRPr="004502A9">
        <w:rPr>
          <w:rFonts w:cs="Arial"/>
        </w:rPr>
        <w:t>.</w:t>
      </w:r>
    </w:p>
    <w:p w14:paraId="3226DB58" w14:textId="42B403DB" w:rsidR="007710C3" w:rsidRPr="004502A9" w:rsidRDefault="00313C98" w:rsidP="007710C3">
      <w:pPr>
        <w:rPr>
          <w:rFonts w:cs="Arial"/>
        </w:rPr>
      </w:pPr>
      <w:r>
        <w:rPr>
          <w:rFonts w:cs="Arial"/>
        </w:rPr>
        <w:t>USEPA</w:t>
      </w:r>
      <w:r w:rsidR="005200C8">
        <w:rPr>
          <w:rFonts w:cs="Arial"/>
        </w:rPr>
        <w:t xml:space="preserve">. 2023. </w:t>
      </w:r>
      <w:r w:rsidR="005200C8">
        <w:t xml:space="preserve">Information Concerning </w:t>
      </w:r>
      <w:r w:rsidR="00C6428D">
        <w:t>2026</w:t>
      </w:r>
      <w:r w:rsidR="005200C8">
        <w:t xml:space="preserve"> Clean Water Act Sections 303(d), 305(b), AND 314 Integrated Reporting and Listing Decisions. </w:t>
      </w:r>
      <w:r>
        <w:rPr>
          <w:rFonts w:cs="Arial"/>
        </w:rPr>
        <w:t>USEPA</w:t>
      </w:r>
      <w:r w:rsidR="00A05909">
        <w:rPr>
          <w:rFonts w:cs="Arial"/>
        </w:rPr>
        <w:t xml:space="preserve"> </w:t>
      </w:r>
      <w:r w:rsidR="00A96C27">
        <w:rPr>
          <w:rFonts w:cs="Arial"/>
        </w:rPr>
        <w:t xml:space="preserve">Office of </w:t>
      </w:r>
      <w:r w:rsidR="00506D38">
        <w:rPr>
          <w:rFonts w:cs="Arial"/>
        </w:rPr>
        <w:t>Wetlands, Oceans, and Watersheds: Washington, D.C</w:t>
      </w:r>
      <w:r w:rsidR="00A96C27">
        <w:t xml:space="preserve">. </w:t>
      </w:r>
      <w:r w:rsidR="001D14E8">
        <w:t xml:space="preserve">Available at: </w:t>
      </w:r>
      <w:hyperlink r:id="rId103" w:history="1">
        <w:r w:rsidR="00416CDE" w:rsidRPr="00D81033">
          <w:rPr>
            <w:rStyle w:val="Hyperlink"/>
          </w:rPr>
          <w:t>https://www.epa.gov/system/files/documents/2023-03/</w:t>
        </w:r>
        <w:r w:rsidR="00C6428D">
          <w:rPr>
            <w:rStyle w:val="Hyperlink"/>
          </w:rPr>
          <w:t>2026</w:t>
        </w:r>
        <w:r w:rsidR="00416CDE" w:rsidRPr="00D81033">
          <w:rPr>
            <w:rStyle w:val="Hyperlink"/>
          </w:rPr>
          <w:t xml:space="preserve">IRmemo_032923.pdf. Accessed September 6, 2023. </w:t>
        </w:r>
        <w:r w:rsidR="00416CDE" w:rsidRPr="00D81033">
          <w:rPr>
            <w:rStyle w:val="Hyperlink"/>
            <w:rFonts w:cs="Arial"/>
          </w:rPr>
          <w:t xml:space="preserve"> </w:t>
        </w:r>
      </w:hyperlink>
      <w:r w:rsidR="007710C3" w:rsidRPr="004502A9">
        <w:rPr>
          <w:rFonts w:cs="Arial"/>
        </w:rPr>
        <w:t xml:space="preserve"> </w:t>
      </w:r>
    </w:p>
    <w:p w14:paraId="477178BC" w14:textId="528B201A" w:rsidR="007710C3" w:rsidRPr="004502A9" w:rsidRDefault="007710C3" w:rsidP="007710C3">
      <w:pPr>
        <w:rPr>
          <w:rFonts w:cs="Arial"/>
        </w:rPr>
      </w:pPr>
      <w:r w:rsidRPr="004502A9">
        <w:rPr>
          <w:rFonts w:cs="Arial"/>
        </w:rPr>
        <w:t xml:space="preserve">Worcester, K.R., D.M. Paradies, and M. Adams. 2010. Interpreting Narrative Objectives for Biostimulatory Substances for California Central Coast Waters. Technical Report, </w:t>
      </w:r>
      <w:r w:rsidR="0063764D" w:rsidRPr="004502A9">
        <w:rPr>
          <w:rFonts w:cs="Arial"/>
        </w:rPr>
        <w:t>CCRWQCB</w:t>
      </w:r>
      <w:r w:rsidRPr="004502A9">
        <w:rPr>
          <w:rFonts w:cs="Arial"/>
        </w:rPr>
        <w:t>.</w:t>
      </w:r>
    </w:p>
    <w:p w14:paraId="42D22BC0" w14:textId="3D4382DB" w:rsidR="00E763CF" w:rsidRPr="00E763CF" w:rsidRDefault="00E763CF" w:rsidP="007710C3">
      <w:r>
        <w:t>Y. Thomas He, Paul F. Ziemkiewicz. Bias in determining aluminum concentrations: Comparison of digestion methods and implications on Al management. Chemosphere, Volume 159, 2016, Pages 570-576, ISSN 0045-6535.</w:t>
      </w:r>
    </w:p>
    <w:p w14:paraId="56489825" w14:textId="5758DF32" w:rsidR="00020EE8" w:rsidRPr="004502A9" w:rsidRDefault="00020EE8" w:rsidP="007710C3">
      <w:pPr>
        <w:rPr>
          <w:rFonts w:cs="Arial"/>
        </w:rPr>
      </w:pPr>
      <w:r w:rsidRPr="00020EE8">
        <w:rPr>
          <w:rFonts w:cs="Arial"/>
        </w:rPr>
        <w:t>Zeebe, R. E., and Westbroek, P. 2003, A simple model for the CaCO</w:t>
      </w:r>
      <w:r w:rsidRPr="00020EE8">
        <w:rPr>
          <w:rFonts w:cs="Arial"/>
          <w:vertAlign w:val="subscript"/>
        </w:rPr>
        <w:t>3</w:t>
      </w:r>
      <w:r w:rsidRPr="00020EE8">
        <w:rPr>
          <w:rFonts w:cs="Arial"/>
        </w:rPr>
        <w:t> saturation state of the ocean: The “Strangelove,” the “Neritan,” and the “Cretan” Ocean, </w:t>
      </w:r>
      <w:r w:rsidRPr="00020EE8">
        <w:rPr>
          <w:rFonts w:cs="Arial"/>
          <w:i/>
          <w:iCs/>
        </w:rPr>
        <w:t>Geochem. Geophys. Geosyst.</w:t>
      </w:r>
      <w:r w:rsidRPr="00020EE8">
        <w:rPr>
          <w:rFonts w:cs="Arial"/>
        </w:rPr>
        <w:t>, 4, 1104, doi:</w:t>
      </w:r>
      <w:r w:rsidRPr="00661FDD">
        <w:rPr>
          <w:rFonts w:cs="Arial"/>
        </w:rPr>
        <w:t>10.1029/2003GC000538</w:t>
      </w:r>
      <w:r w:rsidRPr="00020EE8">
        <w:rPr>
          <w:rFonts w:cs="Arial"/>
        </w:rPr>
        <w:t>, 12.</w:t>
      </w:r>
    </w:p>
    <w:p w14:paraId="67318FF9" w14:textId="53D011FD" w:rsidR="002543CB" w:rsidRPr="004502A9" w:rsidRDefault="00564D8D">
      <w:pPr>
        <w:rPr>
          <w:rFonts w:cs="Arial"/>
        </w:rPr>
      </w:pPr>
      <w:r>
        <w:rPr>
          <w:rFonts w:cs="Arial"/>
        </w:rPr>
        <w:t>Zhu, X</w:t>
      </w:r>
      <w:r w:rsidR="00E71C5C">
        <w:rPr>
          <w:rFonts w:cs="Arial"/>
        </w:rPr>
        <w:t>., Munno, K., Grbic</w:t>
      </w:r>
      <w:r w:rsidR="0084788B">
        <w:rPr>
          <w:rFonts w:cs="Arial"/>
        </w:rPr>
        <w:t xml:space="preserve">, J., Werbowski, L.M., </w:t>
      </w:r>
      <w:r w:rsidR="00D10957">
        <w:rPr>
          <w:rFonts w:cs="Arial"/>
        </w:rPr>
        <w:t>Bikker, J., Ho, A., Guo</w:t>
      </w:r>
      <w:r w:rsidR="00861A35">
        <w:rPr>
          <w:rFonts w:cs="Arial"/>
        </w:rPr>
        <w:t>, E., Sedlak</w:t>
      </w:r>
      <w:r w:rsidR="00694903">
        <w:rPr>
          <w:rFonts w:cs="Arial"/>
        </w:rPr>
        <w:t xml:space="preserve">, M., Sutton, R., </w:t>
      </w:r>
      <w:r w:rsidR="001335AE">
        <w:rPr>
          <w:rFonts w:cs="Arial"/>
        </w:rPr>
        <w:t xml:space="preserve">Box, C., </w:t>
      </w:r>
      <w:r w:rsidR="00AE3C46">
        <w:rPr>
          <w:rFonts w:cs="Arial"/>
        </w:rPr>
        <w:t xml:space="preserve">Lin, D., Gilbreathe, A., </w:t>
      </w:r>
      <w:r w:rsidR="00F0772F">
        <w:rPr>
          <w:rFonts w:cs="Arial"/>
        </w:rPr>
        <w:t>Holleman</w:t>
      </w:r>
      <w:r w:rsidR="00B80800">
        <w:rPr>
          <w:rFonts w:cs="Arial"/>
        </w:rPr>
        <w:t xml:space="preserve">, R.C., </w:t>
      </w:r>
      <w:r w:rsidR="00190DE8">
        <w:rPr>
          <w:rFonts w:cs="Arial"/>
        </w:rPr>
        <w:t>Fortin, M.</w:t>
      </w:r>
      <w:r w:rsidR="003608D8">
        <w:rPr>
          <w:rFonts w:cs="Arial"/>
        </w:rPr>
        <w:t>,</w:t>
      </w:r>
      <w:r w:rsidR="00190DE8">
        <w:rPr>
          <w:rFonts w:cs="Arial"/>
        </w:rPr>
        <w:t xml:space="preserve"> </w:t>
      </w:r>
      <w:r w:rsidR="003608D8">
        <w:rPr>
          <w:rFonts w:cs="Arial"/>
        </w:rPr>
        <w:t>&amp; Rochman</w:t>
      </w:r>
      <w:r w:rsidR="00D40821">
        <w:rPr>
          <w:rFonts w:cs="Arial"/>
        </w:rPr>
        <w:t>, C.</w:t>
      </w:r>
      <w:r w:rsidR="007F00CD">
        <w:rPr>
          <w:rFonts w:cs="Arial"/>
        </w:rPr>
        <w:t xml:space="preserve"> 2021. </w:t>
      </w:r>
      <w:r w:rsidR="00C00DC0">
        <w:t xml:space="preserve">Holistic </w:t>
      </w:r>
      <w:r w:rsidR="00704029">
        <w:t>A</w:t>
      </w:r>
      <w:r w:rsidR="00C00DC0">
        <w:t xml:space="preserve">ssessment of </w:t>
      </w:r>
      <w:r w:rsidR="00704029">
        <w:t>M</w:t>
      </w:r>
      <w:r w:rsidR="00C00DC0">
        <w:t xml:space="preserve">icroplastics and </w:t>
      </w:r>
      <w:r w:rsidR="00704029">
        <w:t>O</w:t>
      </w:r>
      <w:r w:rsidR="00C00DC0">
        <w:t xml:space="preserve">ther </w:t>
      </w:r>
      <w:r w:rsidR="00704029">
        <w:t>A</w:t>
      </w:r>
      <w:r w:rsidR="00C00DC0">
        <w:t xml:space="preserve">nthropogenic </w:t>
      </w:r>
      <w:r w:rsidR="00704029">
        <w:t>M</w:t>
      </w:r>
      <w:r w:rsidR="00C00DC0">
        <w:t xml:space="preserve">icrodebris in an Urban Bay </w:t>
      </w:r>
      <w:r w:rsidR="00704029">
        <w:t>S</w:t>
      </w:r>
      <w:r w:rsidR="00C00DC0">
        <w:t xml:space="preserve">heds </w:t>
      </w:r>
      <w:r w:rsidR="00704029">
        <w:t>L</w:t>
      </w:r>
      <w:r w:rsidR="00C00DC0">
        <w:t xml:space="preserve">ight on their </w:t>
      </w:r>
      <w:r w:rsidR="00704029">
        <w:t>S</w:t>
      </w:r>
      <w:r w:rsidR="00C00DC0">
        <w:t xml:space="preserve">ources and </w:t>
      </w:r>
      <w:r w:rsidR="00704029">
        <w:t>F</w:t>
      </w:r>
      <w:r w:rsidR="00C00DC0">
        <w:t>ate. ACS EST Water. 1(6):1401–10.</w:t>
      </w:r>
      <w:r w:rsidR="00190DE8">
        <w:rPr>
          <w:rFonts w:cs="Arial"/>
        </w:rPr>
        <w:t xml:space="preserve"> </w:t>
      </w:r>
    </w:p>
    <w:sectPr w:rsidR="002543CB" w:rsidRPr="004502A9" w:rsidSect="000831D5">
      <w:footerReference w:type="default" r:id="rId104"/>
      <w:pgSz w:w="12240" w:h="15840" w:code="1"/>
      <w:pgMar w:top="1440" w:right="1440" w:bottom="907"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14D56" w14:textId="77777777" w:rsidR="00086BFA" w:rsidRDefault="00086BFA" w:rsidP="007710C3">
      <w:pPr>
        <w:spacing w:after="0"/>
      </w:pPr>
      <w:r>
        <w:separator/>
      </w:r>
    </w:p>
  </w:endnote>
  <w:endnote w:type="continuationSeparator" w:id="0">
    <w:p w14:paraId="373BFA67" w14:textId="77777777" w:rsidR="00086BFA" w:rsidRDefault="00086BFA" w:rsidP="007710C3">
      <w:pPr>
        <w:spacing w:after="0"/>
      </w:pPr>
      <w:r>
        <w:continuationSeparator/>
      </w:r>
    </w:p>
  </w:endnote>
  <w:endnote w:type="continuationNotice" w:id="1">
    <w:p w14:paraId="50D71BED" w14:textId="77777777" w:rsidR="00086BFA" w:rsidRDefault="00086B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2A6DC" w14:textId="77777777" w:rsidR="000939D4" w:rsidRDefault="000939D4" w:rsidP="00387CE9">
    <w:pPr>
      <w:pStyle w:val="Footer"/>
      <w:tabs>
        <w:tab w:val="clear" w:pos="4680"/>
        <w:tab w:val="clear" w:pos="9360"/>
      </w:tabs>
      <w:spacing w:after="0"/>
      <w:jc w:val="center"/>
      <w:rPr>
        <w:caps/>
      </w:rPr>
    </w:pPr>
  </w:p>
  <w:p w14:paraId="39D83D35" w14:textId="77777777" w:rsidR="000939D4" w:rsidRPr="008731EF" w:rsidRDefault="000939D4" w:rsidP="00387CE9">
    <w:pPr>
      <w:pStyle w:val="Footer"/>
      <w:tabs>
        <w:tab w:val="clear" w:pos="4680"/>
        <w:tab w:val="clear" w:pos="9360"/>
      </w:tabs>
      <w:jc w:val="center"/>
      <w:rPr>
        <w:caps/>
      </w:rPr>
    </w:pPr>
    <w:r>
      <w:rPr>
        <w:caps/>
      </w:rPr>
      <w:fldChar w:fldCharType="begin"/>
    </w:r>
    <w:r>
      <w:rPr>
        <w:caps/>
      </w:rPr>
      <w:instrText xml:space="preserve"> PAGE \*  </w:instrText>
    </w:r>
    <w:r>
      <w:rPr>
        <w:caps/>
      </w:rPr>
      <w:fldChar w:fldCharType="separate"/>
    </w:r>
    <w:r>
      <w:rPr>
        <w:b/>
        <w:bCs/>
        <w:caps/>
        <w:noProof/>
      </w:rPr>
      <w:t>Error! Switch argument not specified.</w:t>
    </w:r>
    <w:r>
      <w:rPr>
        <w:cap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8EF10" w14:textId="77777777" w:rsidR="00086BFA" w:rsidRDefault="00086BFA" w:rsidP="007710C3">
      <w:pPr>
        <w:spacing w:after="0"/>
      </w:pPr>
      <w:r>
        <w:separator/>
      </w:r>
    </w:p>
  </w:footnote>
  <w:footnote w:type="continuationSeparator" w:id="0">
    <w:p w14:paraId="60EE5C04" w14:textId="77777777" w:rsidR="00086BFA" w:rsidRDefault="00086BFA" w:rsidP="007710C3">
      <w:pPr>
        <w:spacing w:after="0"/>
      </w:pPr>
      <w:r>
        <w:continuationSeparator/>
      </w:r>
    </w:p>
  </w:footnote>
  <w:footnote w:type="continuationNotice" w:id="1">
    <w:p w14:paraId="2C49566E" w14:textId="77777777" w:rsidR="00086BFA" w:rsidRDefault="00086BFA">
      <w:pPr>
        <w:spacing w:after="0"/>
      </w:pPr>
    </w:p>
  </w:footnote>
  <w:footnote w:id="2">
    <w:p w14:paraId="4005DB23" w14:textId="76DB79B3" w:rsidR="00723FAA" w:rsidRDefault="00723FAA">
      <w:pPr>
        <w:pStyle w:val="FootnoteText"/>
      </w:pPr>
      <w:r>
        <w:rPr>
          <w:rStyle w:val="FootnoteReference"/>
        </w:rPr>
        <w:footnoteRef/>
      </w:r>
      <w:r>
        <w:t xml:space="preserve"> </w:t>
      </w:r>
      <w:r w:rsidR="004707C0" w:rsidRPr="00E018F5">
        <w:t>Environmental justice means the fair treatment of people of all races, cultures, and incomes with respect to the development, adoption, implementation, and enforcement of environmental laws, regulations, and policies.</w:t>
      </w:r>
      <w:r w:rsidR="001A693D">
        <w:t xml:space="preserve"> (Racial Equity Action Plan, SWRCB</w:t>
      </w:r>
      <w:r w:rsidR="00B047B4">
        <w:t>)</w:t>
      </w:r>
    </w:p>
  </w:footnote>
  <w:footnote w:id="3">
    <w:p w14:paraId="01840A00" w14:textId="77777777" w:rsidR="0044262E" w:rsidRDefault="0044262E" w:rsidP="0044262E">
      <w:pPr>
        <w:pStyle w:val="FootnoteText"/>
      </w:pPr>
      <w:r>
        <w:rPr>
          <w:rStyle w:val="FootnoteReference"/>
        </w:rPr>
        <w:footnoteRef/>
      </w:r>
      <w:r>
        <w:t xml:space="preserve"> The WQP is the nation’s largest source for water quality monitoring data. The WQP uses the Water Quality Exchange (‘WQX”) data format to share over 380 million water quality data records from 900 federal, state, tribal and other partners. </w:t>
      </w:r>
    </w:p>
  </w:footnote>
  <w:footnote w:id="4">
    <w:p w14:paraId="1C443AEF" w14:textId="7AA730D4" w:rsidR="007B2E33" w:rsidRDefault="007B2E33" w:rsidP="007B2E33">
      <w:pPr>
        <w:pStyle w:val="FootnoteText"/>
      </w:pPr>
      <w:r>
        <w:rPr>
          <w:rStyle w:val="FootnoteReference"/>
        </w:rPr>
        <w:footnoteRef/>
      </w:r>
      <w:r>
        <w:t xml:space="preserve"> </w:t>
      </w:r>
      <w:r w:rsidR="00313C98">
        <w:t>USEPA</w:t>
      </w:r>
      <w:r>
        <w:t xml:space="preserve"> 2005</w:t>
      </w:r>
      <w:r w:rsidR="005F213E">
        <w:t>.</w:t>
      </w:r>
    </w:p>
  </w:footnote>
  <w:footnote w:id="5">
    <w:p w14:paraId="0095AEA8" w14:textId="670CBEAE" w:rsidR="007B2E33" w:rsidRDefault="007B2E33" w:rsidP="007B2E33">
      <w:pPr>
        <w:pStyle w:val="FootnoteText"/>
      </w:pPr>
      <w:r>
        <w:rPr>
          <w:rStyle w:val="FootnoteReference"/>
        </w:rPr>
        <w:footnoteRef/>
      </w:r>
      <w:r>
        <w:t xml:space="preserve"> </w:t>
      </w:r>
      <w:r w:rsidRPr="00E66666">
        <w:t>Core</w:t>
      </w:r>
      <w:r>
        <w:t xml:space="preserve"> beneficial</w:t>
      </w:r>
      <w:r w:rsidRPr="00E66666">
        <w:t xml:space="preserve"> uses include drinking water supply, </w:t>
      </w:r>
      <w:r>
        <w:t xml:space="preserve">water contact recreation such as </w:t>
      </w:r>
      <w:r w:rsidRPr="00E66666">
        <w:t xml:space="preserve">swimming, </w:t>
      </w:r>
      <w:r>
        <w:t>non-contact water recreation</w:t>
      </w:r>
      <w:r w:rsidRPr="00E66666">
        <w:t>, fish consumption, shellfish harvesting, and aquatic life support.</w:t>
      </w:r>
      <w:r>
        <w:t xml:space="preserve"> (SWRCB 2010</w:t>
      </w:r>
      <w:r w:rsidR="001C36B1">
        <w:t>.</w:t>
      </w:r>
      <w:r>
        <w:t xml:space="preserve">) </w:t>
      </w:r>
    </w:p>
  </w:footnote>
  <w:footnote w:id="6">
    <w:p w14:paraId="095A0F9E" w14:textId="2EE4174C" w:rsidR="007B2E33" w:rsidRDefault="007B2E33" w:rsidP="007B2E33">
      <w:pPr>
        <w:pStyle w:val="FootnoteText"/>
      </w:pPr>
      <w:r>
        <w:rPr>
          <w:rStyle w:val="FootnoteReference"/>
        </w:rPr>
        <w:footnoteRef/>
      </w:r>
      <w:r>
        <w:t xml:space="preserve"> Reasons for insufficient data and/or information may be due to poor quality assurance, not enough samples in dataset, or another reason that the information alone cannot support an assessment recommendation. The</w:t>
      </w:r>
      <w:r w:rsidR="001C36B1">
        <w:t xml:space="preserve"> </w:t>
      </w:r>
      <w:r>
        <w:t xml:space="preserve">State Water Board's Category 2 does not include beneficial uses that are not assessed, while the </w:t>
      </w:r>
      <w:r w:rsidR="00313C98">
        <w:t>USEPA</w:t>
      </w:r>
      <w:r>
        <w:t xml:space="preserve"> Category 2 does include beneficial uses that are not assessed. </w:t>
      </w:r>
    </w:p>
  </w:footnote>
  <w:footnote w:id="7">
    <w:p w14:paraId="5F15D6CC" w14:textId="50E3D971" w:rsidR="007B2E33" w:rsidRDefault="007B2E33" w:rsidP="007B2E33">
      <w:pPr>
        <w:pStyle w:val="FootnoteText"/>
      </w:pPr>
      <w:r>
        <w:rPr>
          <w:rStyle w:val="FootnoteReference"/>
        </w:rPr>
        <w:footnoteRef/>
      </w:r>
      <w:r>
        <w:t xml:space="preserve"> </w:t>
      </w:r>
      <w:r w:rsidR="00313C98">
        <w:t>USEPA</w:t>
      </w:r>
      <w:r>
        <w:t xml:space="preserve"> </w:t>
      </w:r>
      <w:r w:rsidR="00416CDE">
        <w:t>2023</w:t>
      </w:r>
      <w:r w:rsidR="00F96AE7">
        <w:t>.</w:t>
      </w:r>
    </w:p>
  </w:footnote>
  <w:footnote w:id="8">
    <w:p w14:paraId="246CB1D5" w14:textId="6219448E" w:rsidR="00B01AA0" w:rsidRDefault="00B01AA0">
      <w:pPr>
        <w:pStyle w:val="FootnoteText"/>
      </w:pPr>
      <w:r>
        <w:rPr>
          <w:rStyle w:val="FootnoteReference"/>
        </w:rPr>
        <w:footnoteRef/>
      </w:r>
      <w:r>
        <w:t xml:space="preserve"> </w:t>
      </w:r>
      <w:r w:rsidR="00C278A3">
        <w:t xml:space="preserve">In </w:t>
      </w:r>
      <w:r w:rsidR="00313C98">
        <w:t>USEPA</w:t>
      </w:r>
      <w:r w:rsidR="00C278A3" w:rsidRPr="00992A32">
        <w:rPr>
          <w:rFonts w:eastAsiaTheme="minorEastAsia" w:cs="Calibri Light"/>
          <w:szCs w:val="24"/>
        </w:rPr>
        <w:t xml:space="preserve">’s </w:t>
      </w:r>
      <w:r w:rsidR="00254D06">
        <w:rPr>
          <w:rFonts w:eastAsiaTheme="minorEastAsia" w:cs="Calibri Light"/>
          <w:szCs w:val="24"/>
        </w:rPr>
        <w:t>Working D</w:t>
      </w:r>
      <w:r w:rsidR="003D27DE">
        <w:rPr>
          <w:rFonts w:eastAsiaTheme="minorEastAsia" w:cs="Calibri Light"/>
          <w:szCs w:val="24"/>
        </w:rPr>
        <w:t xml:space="preserve">raft </w:t>
      </w:r>
      <w:r w:rsidR="00C6428D">
        <w:rPr>
          <w:rFonts w:eastAsiaTheme="minorEastAsia" w:cs="Calibri Light"/>
          <w:szCs w:val="24"/>
        </w:rPr>
        <w:t>2026</w:t>
      </w:r>
      <w:r w:rsidR="00C278A3" w:rsidRPr="00992A32">
        <w:rPr>
          <w:rFonts w:eastAsiaTheme="minorEastAsia" w:cs="Calibri Light"/>
          <w:szCs w:val="24"/>
        </w:rPr>
        <w:t xml:space="preserve"> Integrated Report memo</w:t>
      </w:r>
      <w:r w:rsidR="00E473A0">
        <w:rPr>
          <w:rFonts w:eastAsiaTheme="minorEastAsia" w:cs="Calibri Light"/>
          <w:szCs w:val="24"/>
        </w:rPr>
        <w:t>randum</w:t>
      </w:r>
      <w:r w:rsidR="00254D06">
        <w:rPr>
          <w:rFonts w:eastAsiaTheme="minorEastAsia" w:cs="Calibri Light"/>
          <w:szCs w:val="24"/>
        </w:rPr>
        <w:t xml:space="preserve"> (Nov. 7, 2024)</w:t>
      </w:r>
      <w:r w:rsidR="00C278A3" w:rsidRPr="00992A32">
        <w:rPr>
          <w:rFonts w:eastAsiaTheme="minorEastAsia" w:cs="Calibri Light"/>
          <w:szCs w:val="24"/>
        </w:rPr>
        <w:t xml:space="preserve">, </w:t>
      </w:r>
      <w:r w:rsidR="00313C98">
        <w:rPr>
          <w:rFonts w:eastAsiaTheme="minorEastAsia" w:cs="Calibri Light"/>
          <w:szCs w:val="24"/>
        </w:rPr>
        <w:t>USEPA</w:t>
      </w:r>
      <w:r w:rsidR="00C278A3" w:rsidRPr="00992A32">
        <w:rPr>
          <w:rFonts w:eastAsiaTheme="minorEastAsia" w:cs="Calibri Light"/>
          <w:szCs w:val="24"/>
        </w:rPr>
        <w:t xml:space="preserve"> recommends replacing the term “Alternative Restoration Plan” with “Advance Restoration Plan” </w:t>
      </w:r>
      <w:r w:rsidR="001E3898">
        <w:rPr>
          <w:rFonts w:eastAsiaTheme="minorEastAsia" w:cs="Calibri Light"/>
          <w:szCs w:val="24"/>
        </w:rPr>
        <w:t>and</w:t>
      </w:r>
      <w:r w:rsidR="00813DC3">
        <w:rPr>
          <w:rFonts w:eastAsiaTheme="minorEastAsia" w:cs="Calibri Light"/>
          <w:szCs w:val="24"/>
        </w:rPr>
        <w:t xml:space="preserve"> the</w:t>
      </w:r>
      <w:r w:rsidR="00C278A3" w:rsidRPr="00992A32">
        <w:rPr>
          <w:rFonts w:eastAsiaTheme="minorEastAsia" w:cs="Calibri Light"/>
          <w:szCs w:val="24"/>
        </w:rPr>
        <w:t xml:space="preserve"> use of Subcategory 5r.</w:t>
      </w:r>
      <w:r w:rsidR="00C278A3">
        <w:rPr>
          <w:rFonts w:eastAsiaTheme="minorEastAsia" w:cs="Calibri Light"/>
          <w:szCs w:val="24"/>
        </w:rPr>
        <w:t xml:space="preserve"> </w:t>
      </w:r>
      <w:r w:rsidR="0003181C">
        <w:rPr>
          <w:rFonts w:cs="Calibri Light"/>
          <w:szCs w:val="24"/>
        </w:rPr>
        <w:t xml:space="preserve">Updates to </w:t>
      </w:r>
      <w:r w:rsidR="005A3715">
        <w:rPr>
          <w:rFonts w:cs="Calibri Light"/>
          <w:szCs w:val="24"/>
        </w:rPr>
        <w:t xml:space="preserve">CalWQA reports </w:t>
      </w:r>
      <w:r w:rsidR="001E3898">
        <w:rPr>
          <w:rFonts w:cs="Calibri Light"/>
          <w:szCs w:val="24"/>
        </w:rPr>
        <w:t>were</w:t>
      </w:r>
      <w:r w:rsidR="005A3715" w:rsidDel="001E3898">
        <w:rPr>
          <w:rFonts w:cs="Calibri Light"/>
          <w:szCs w:val="24"/>
        </w:rPr>
        <w:t xml:space="preserve"> </w:t>
      </w:r>
      <w:r w:rsidR="0003181C">
        <w:rPr>
          <w:rFonts w:cs="Calibri Light"/>
          <w:szCs w:val="24"/>
        </w:rPr>
        <w:t>completed</w:t>
      </w:r>
      <w:r w:rsidR="005A3715">
        <w:rPr>
          <w:rFonts w:cs="Calibri Light"/>
          <w:szCs w:val="24"/>
        </w:rPr>
        <w:t xml:space="preserve"> </w:t>
      </w:r>
      <w:r w:rsidR="005A3715">
        <w:t>for the 2026 California Integrated Report.</w:t>
      </w:r>
    </w:p>
  </w:footnote>
  <w:footnote w:id="9">
    <w:p w14:paraId="3DD776FF" w14:textId="4043CCE8" w:rsidR="00A5443D" w:rsidRDefault="00A5443D">
      <w:pPr>
        <w:pStyle w:val="FootnoteText"/>
      </w:pPr>
      <w:r>
        <w:rPr>
          <w:rStyle w:val="FootnoteReference"/>
        </w:rPr>
        <w:footnoteRef/>
      </w:r>
      <w:r>
        <w:t xml:space="preserve"> </w:t>
      </w:r>
      <w:r w:rsidR="00DA7207">
        <w:t>The term bioavailability is the measure of whether a substance in the environment is available to affect liv</w:t>
      </w:r>
      <w:r w:rsidR="002D37D1">
        <w:t>ing organisms like fish (</w:t>
      </w:r>
      <w:r w:rsidR="00313C98">
        <w:t>USEPA</w:t>
      </w:r>
      <w:r w:rsidR="00D20357">
        <w:t xml:space="preserve"> 2018)</w:t>
      </w:r>
      <w:r w:rsidR="002C2738">
        <w:t>.</w:t>
      </w:r>
      <w:r w:rsidR="00D20357">
        <w:t xml:space="preserve"> </w:t>
      </w:r>
    </w:p>
  </w:footnote>
  <w:footnote w:id="10">
    <w:p w14:paraId="1550430E" w14:textId="77777777" w:rsidR="008B4C6C" w:rsidRDefault="008B4C6C" w:rsidP="008B4C6C">
      <w:pPr>
        <w:pStyle w:val="FootnoteText"/>
      </w:pPr>
      <w:r>
        <w:rPr>
          <w:rStyle w:val="FootnoteReference"/>
        </w:rPr>
        <w:footnoteRef/>
      </w:r>
      <w:r>
        <w:t xml:space="preserve"> Trophic level is a functional classification of taxa within a community that is based on feeding relationships (e.g., aquatic and terrestrial green plants make up the first trophic level and herbivores make up the second). </w:t>
      </w:r>
    </w:p>
  </w:footnote>
  <w:footnote w:id="11">
    <w:p w14:paraId="1EBE86F4" w14:textId="77777777" w:rsidR="00FF65CF" w:rsidRDefault="00FF65CF" w:rsidP="00FF65CF">
      <w:pPr>
        <w:pStyle w:val="FootnoteText"/>
      </w:pPr>
      <w:r>
        <w:rPr>
          <w:rStyle w:val="FootnoteReference"/>
        </w:rPr>
        <w:footnoteRef/>
      </w:r>
      <w:r>
        <w:t xml:space="preserve"> “List” Decisions based on new assessments.</w:t>
      </w:r>
    </w:p>
  </w:footnote>
  <w:footnote w:id="12">
    <w:p w14:paraId="0E4BF7D0" w14:textId="77777777" w:rsidR="00FF65CF" w:rsidRDefault="00FF65CF" w:rsidP="00FF65CF">
      <w:pPr>
        <w:pStyle w:val="FootnoteText"/>
      </w:pPr>
      <w:r>
        <w:rPr>
          <w:rStyle w:val="FootnoteReference"/>
        </w:rPr>
        <w:footnoteRef/>
      </w:r>
      <w:r>
        <w:t xml:space="preserve"> </w:t>
      </w:r>
      <w:r w:rsidRPr="006A6744">
        <w:t xml:space="preserve">Updated </w:t>
      </w:r>
      <w:r>
        <w:t>Decisions</w:t>
      </w:r>
      <w:r w:rsidRPr="006A6744">
        <w:t xml:space="preserve"> include </w:t>
      </w:r>
      <w:r>
        <w:t>D</w:t>
      </w:r>
      <w:r w:rsidRPr="006A6744">
        <w:t>ecisions that were previously assessed as “</w:t>
      </w:r>
      <w:r>
        <w:t>D</w:t>
      </w:r>
      <w:r w:rsidRPr="006A6744">
        <w:t>o not list” or “</w:t>
      </w:r>
      <w:r>
        <w:t>D</w:t>
      </w:r>
      <w:r w:rsidRPr="006A6744">
        <w:t>elist” and updated to “</w:t>
      </w:r>
      <w:r>
        <w:t>L</w:t>
      </w:r>
      <w:r w:rsidRPr="006A6744">
        <w:t>ist.”</w:t>
      </w:r>
    </w:p>
  </w:footnote>
  <w:footnote w:id="13">
    <w:p w14:paraId="4B4C0654" w14:textId="2EC69980" w:rsidR="00F16CB8" w:rsidRDefault="00F16CB8" w:rsidP="00F16CB8">
      <w:pPr>
        <w:pStyle w:val="FootnoteText"/>
      </w:pPr>
      <w:r>
        <w:rPr>
          <w:rStyle w:val="FootnoteReference"/>
        </w:rPr>
        <w:footnoteRef/>
      </w:r>
      <w:r>
        <w:t xml:space="preserve"> </w:t>
      </w:r>
      <w:r w:rsidR="006C54B3">
        <w:t>“</w:t>
      </w:r>
      <w:r w:rsidR="00582DD6">
        <w:t>Delist” Decision</w:t>
      </w:r>
      <w:r>
        <w:t xml:space="preserve">s based on change in water quality standards, change in assessment method, corrections, or other miscellaneous changes. </w:t>
      </w:r>
    </w:p>
  </w:footnote>
  <w:footnote w:id="14">
    <w:p w14:paraId="1B7A39A7" w14:textId="64EF4F02" w:rsidR="00EA227F" w:rsidRDefault="00573C1B">
      <w:pPr>
        <w:pStyle w:val="FootnoteText"/>
      </w:pPr>
      <w:r>
        <w:rPr>
          <w:rStyle w:val="FootnoteReference"/>
        </w:rPr>
        <w:footnoteRef/>
      </w:r>
      <w:r>
        <w:t xml:space="preserve"> </w:t>
      </w:r>
      <w:hyperlink r:id="rId1" w:history="1">
        <w:r w:rsidR="00EA227F" w:rsidRPr="00026A00">
          <w:rPr>
            <w:rStyle w:val="Hyperlink"/>
          </w:rPr>
          <w:t>https://www.waterboards.ca.gov/water_issues/programs/tmdl/2020_2022state_ir_reports_revised_final/2020-2022-ir-final-revised-summary-of-responses-and-comments.pdf</w:t>
        </w:r>
      </w:hyperlink>
    </w:p>
  </w:footnote>
  <w:footnote w:id="15">
    <w:p w14:paraId="762C41BF" w14:textId="34475269" w:rsidR="008E0C88" w:rsidRDefault="008E0C88">
      <w:pPr>
        <w:pStyle w:val="FootnoteText"/>
      </w:pPr>
      <w:r>
        <w:rPr>
          <w:rStyle w:val="FootnoteReference"/>
        </w:rPr>
        <w:footnoteRef/>
      </w:r>
      <w:r>
        <w:t xml:space="preserve"> </w:t>
      </w:r>
      <w:r w:rsidR="00CF2B3D">
        <w:t>“List” Decisions</w:t>
      </w:r>
      <w:r>
        <w:t xml:space="preserve"> based on new assessments.</w:t>
      </w:r>
    </w:p>
  </w:footnote>
  <w:footnote w:id="16">
    <w:p w14:paraId="40646EB4" w14:textId="2595E07C" w:rsidR="008E0C88" w:rsidRDefault="008E0C88">
      <w:pPr>
        <w:pStyle w:val="FootnoteText"/>
      </w:pPr>
      <w:r>
        <w:rPr>
          <w:rStyle w:val="FootnoteReference"/>
        </w:rPr>
        <w:footnoteRef/>
      </w:r>
      <w:r>
        <w:t xml:space="preserve"> </w:t>
      </w:r>
      <w:r w:rsidRPr="006A6744">
        <w:t xml:space="preserve">Updated </w:t>
      </w:r>
      <w:r w:rsidR="00823534" w:rsidRPr="00823534">
        <w:t>Decisions</w:t>
      </w:r>
      <w:r w:rsidRPr="006A6744">
        <w:t xml:space="preserve"> include </w:t>
      </w:r>
      <w:r w:rsidR="00823534">
        <w:t>D</w:t>
      </w:r>
      <w:r w:rsidR="00823534" w:rsidRPr="00823534">
        <w:t>ecisions</w:t>
      </w:r>
      <w:r w:rsidRPr="006A6744">
        <w:t xml:space="preserve"> that were previously assessed as “</w:t>
      </w:r>
      <w:r w:rsidR="00823534" w:rsidRPr="00823534">
        <w:t>Do</w:t>
      </w:r>
      <w:r w:rsidRPr="006A6744">
        <w:t xml:space="preserve"> not list” or “</w:t>
      </w:r>
      <w:r w:rsidR="00823534" w:rsidRPr="00823534">
        <w:t>Delist</w:t>
      </w:r>
      <w:r w:rsidRPr="006A6744">
        <w:t>” and updated to “</w:t>
      </w:r>
      <w:r w:rsidR="00823534" w:rsidRPr="00823534">
        <w:t>List</w:t>
      </w:r>
      <w:r w:rsidRPr="006A6744">
        <w:t>.”</w:t>
      </w:r>
    </w:p>
  </w:footnote>
  <w:footnote w:id="17">
    <w:p w14:paraId="48333618" w14:textId="70D71936" w:rsidR="00E83542" w:rsidRDefault="00E83542" w:rsidP="00E83542">
      <w:pPr>
        <w:pStyle w:val="FootnoteText"/>
      </w:pPr>
      <w:r>
        <w:rPr>
          <w:rStyle w:val="FootnoteReference"/>
        </w:rPr>
        <w:footnoteRef/>
      </w:r>
      <w:r>
        <w:t xml:space="preserve"> </w:t>
      </w:r>
      <w:r w:rsidR="00FF7E94">
        <w:t>“</w:t>
      </w:r>
      <w:r w:rsidR="002463E6" w:rsidRPr="002463E6">
        <w:t>Delist” Decisions</w:t>
      </w:r>
      <w:r>
        <w:t xml:space="preserve"> based on change in water quality standards, change in assessment method, corrections, or other miscellaneous changes.</w:t>
      </w:r>
    </w:p>
  </w:footnote>
  <w:footnote w:id="18">
    <w:p w14:paraId="79217FD6" w14:textId="3FB26537" w:rsidR="008E0C88" w:rsidRDefault="008E0C88">
      <w:pPr>
        <w:pStyle w:val="FootnoteText"/>
      </w:pPr>
      <w:r>
        <w:rPr>
          <w:rStyle w:val="FootnoteReference"/>
        </w:rPr>
        <w:footnoteRef/>
      </w:r>
      <w:r>
        <w:t xml:space="preserve"> </w:t>
      </w:r>
      <w:r w:rsidR="00BF0005">
        <w:t>“</w:t>
      </w:r>
      <w:r w:rsidR="00247C7F" w:rsidRPr="00247C7F">
        <w:t>List” Decisions</w:t>
      </w:r>
      <w:r>
        <w:t xml:space="preserve"> based on new assessments.</w:t>
      </w:r>
    </w:p>
  </w:footnote>
  <w:footnote w:id="19">
    <w:p w14:paraId="63E462FE" w14:textId="54171C5A" w:rsidR="008E0C88" w:rsidRDefault="008E0C88">
      <w:pPr>
        <w:pStyle w:val="FootnoteText"/>
      </w:pPr>
      <w:r>
        <w:rPr>
          <w:rStyle w:val="FootnoteReference"/>
        </w:rPr>
        <w:footnoteRef/>
      </w:r>
      <w:r>
        <w:t xml:space="preserve"> </w:t>
      </w:r>
      <w:r w:rsidRPr="006A6744">
        <w:t xml:space="preserve">Updated </w:t>
      </w:r>
      <w:r w:rsidR="00BB34E1" w:rsidRPr="00BB34E1">
        <w:t>Decisions</w:t>
      </w:r>
      <w:r w:rsidRPr="006A6744">
        <w:t xml:space="preserve"> include </w:t>
      </w:r>
      <w:r w:rsidR="00BB34E1" w:rsidRPr="00BB34E1">
        <w:t>Decisions</w:t>
      </w:r>
      <w:r w:rsidRPr="006A6744">
        <w:t xml:space="preserve"> that were previously assessed as “</w:t>
      </w:r>
      <w:r w:rsidR="00BB34E1" w:rsidRPr="00BB34E1">
        <w:t>Do</w:t>
      </w:r>
      <w:r w:rsidRPr="006A6744">
        <w:t xml:space="preserve"> not list” or “</w:t>
      </w:r>
      <w:r w:rsidR="00BB34E1" w:rsidRPr="00BB34E1">
        <w:t>Delist</w:t>
      </w:r>
      <w:r w:rsidRPr="006A6744">
        <w:t>” and updated to “</w:t>
      </w:r>
      <w:r w:rsidR="00BB34E1" w:rsidRPr="00BB34E1">
        <w:t>List</w:t>
      </w:r>
      <w:r w:rsidRPr="006A6744">
        <w:t>.”</w:t>
      </w:r>
    </w:p>
  </w:footnote>
  <w:footnote w:id="20">
    <w:p w14:paraId="2068B49B" w14:textId="4603B122" w:rsidR="00313B6A" w:rsidRDefault="00313B6A" w:rsidP="00313B6A">
      <w:pPr>
        <w:pStyle w:val="FootnoteText"/>
      </w:pPr>
      <w:r>
        <w:rPr>
          <w:rStyle w:val="FootnoteReference"/>
        </w:rPr>
        <w:footnoteRef/>
      </w:r>
      <w:r>
        <w:t xml:space="preserve"> </w:t>
      </w:r>
      <w:r w:rsidR="004B0972">
        <w:t>“</w:t>
      </w:r>
      <w:r w:rsidR="00AB7F66" w:rsidRPr="00AB7F66">
        <w:t>Delist” Decisions</w:t>
      </w:r>
      <w:r>
        <w:t xml:space="preserve"> based on change in water quality standards, change in assessment method, corrections, or other miscellaneous changes.</w:t>
      </w:r>
    </w:p>
  </w:footnote>
  <w:footnote w:id="21">
    <w:p w14:paraId="61D915F1" w14:textId="755BE442" w:rsidR="008E0C88" w:rsidRDefault="008E0C88">
      <w:pPr>
        <w:pStyle w:val="FootnoteText"/>
      </w:pPr>
      <w:r>
        <w:rPr>
          <w:rStyle w:val="FootnoteReference"/>
        </w:rPr>
        <w:footnoteRef/>
      </w:r>
      <w:r>
        <w:t xml:space="preserve"> </w:t>
      </w:r>
      <w:r w:rsidR="00085792">
        <w:t>“</w:t>
      </w:r>
      <w:r w:rsidR="00CE2CC8" w:rsidRPr="00CE2CC8">
        <w:t>List” Decisions</w:t>
      </w:r>
      <w:r>
        <w:t xml:space="preserve"> based on new assessments.</w:t>
      </w:r>
    </w:p>
  </w:footnote>
  <w:footnote w:id="22">
    <w:p w14:paraId="13DEF82C" w14:textId="0B78D7B4" w:rsidR="008E0C88" w:rsidRDefault="008E0C88">
      <w:pPr>
        <w:pStyle w:val="FootnoteText"/>
      </w:pPr>
      <w:r>
        <w:rPr>
          <w:rStyle w:val="FootnoteReference"/>
        </w:rPr>
        <w:footnoteRef/>
      </w:r>
      <w:r>
        <w:t xml:space="preserve"> </w:t>
      </w:r>
      <w:r w:rsidRPr="006A6744">
        <w:t xml:space="preserve">Updated </w:t>
      </w:r>
      <w:r w:rsidR="00830D8E" w:rsidRPr="00830D8E">
        <w:t>Decisions</w:t>
      </w:r>
      <w:r w:rsidRPr="006A6744">
        <w:t xml:space="preserve"> include </w:t>
      </w:r>
      <w:r w:rsidR="00830D8E" w:rsidRPr="00830D8E">
        <w:t>Decisions</w:t>
      </w:r>
      <w:r w:rsidRPr="006A6744">
        <w:t xml:space="preserve"> that were previously assessed as “</w:t>
      </w:r>
      <w:r w:rsidR="00830D8E" w:rsidRPr="00830D8E">
        <w:t>Do</w:t>
      </w:r>
      <w:r w:rsidRPr="006A6744">
        <w:t xml:space="preserve"> not list” or “</w:t>
      </w:r>
      <w:r w:rsidR="00830D8E" w:rsidRPr="00830D8E">
        <w:t>Delist</w:t>
      </w:r>
      <w:r w:rsidRPr="006A6744">
        <w:t>” and updated to “</w:t>
      </w:r>
      <w:r w:rsidR="00830D8E" w:rsidRPr="00830D8E">
        <w:t>List</w:t>
      </w:r>
      <w:r w:rsidRPr="006A6744">
        <w:t>.”</w:t>
      </w:r>
    </w:p>
  </w:footnote>
  <w:footnote w:id="23">
    <w:p w14:paraId="62FBFE6F" w14:textId="66F4A379" w:rsidR="00E83542" w:rsidRDefault="00E83542" w:rsidP="00E83542">
      <w:pPr>
        <w:pStyle w:val="FootnoteText"/>
      </w:pPr>
      <w:r>
        <w:rPr>
          <w:rStyle w:val="FootnoteReference"/>
        </w:rPr>
        <w:footnoteRef/>
      </w:r>
      <w:r>
        <w:t xml:space="preserve"> </w:t>
      </w:r>
      <w:r w:rsidR="00D601F8">
        <w:t>“</w:t>
      </w:r>
      <w:r w:rsidR="00AB7F66" w:rsidRPr="00AB7F66">
        <w:t>Delist” Decisions</w:t>
      </w:r>
      <w:r>
        <w:t xml:space="preserve"> based on change in water quality standards, change in assessment method, corrections, or other miscellaneous changes.</w:t>
      </w:r>
    </w:p>
  </w:footnote>
  <w:footnote w:id="24">
    <w:p w14:paraId="720C99E6" w14:textId="77777777" w:rsidR="00EC5B8F" w:rsidRDefault="00EC5B8F" w:rsidP="00EC5B8F">
      <w:pPr>
        <w:pStyle w:val="FootnoteText"/>
      </w:pPr>
      <w:r>
        <w:rPr>
          <w:rStyle w:val="FootnoteReference"/>
        </w:rPr>
        <w:footnoteRef/>
      </w:r>
      <w:r>
        <w:t xml:space="preserve"> “</w:t>
      </w:r>
      <w:r w:rsidRPr="00CE2CC8">
        <w:t>List” Decisions</w:t>
      </w:r>
      <w:r>
        <w:t xml:space="preserve"> based on new assessments.</w:t>
      </w:r>
    </w:p>
  </w:footnote>
  <w:footnote w:id="25">
    <w:p w14:paraId="6878FBBF" w14:textId="77777777" w:rsidR="00EC5B8F" w:rsidRDefault="00EC5B8F" w:rsidP="00EC5B8F">
      <w:pPr>
        <w:pStyle w:val="FootnoteText"/>
      </w:pPr>
      <w:r>
        <w:rPr>
          <w:rStyle w:val="FootnoteReference"/>
        </w:rPr>
        <w:footnoteRef/>
      </w:r>
      <w:r>
        <w:t xml:space="preserve"> </w:t>
      </w:r>
      <w:r w:rsidRPr="006A6744">
        <w:t xml:space="preserve">Updated </w:t>
      </w:r>
      <w:r w:rsidRPr="00830D8E">
        <w:t>Decisions</w:t>
      </w:r>
      <w:r w:rsidRPr="006A6744">
        <w:t xml:space="preserve"> include </w:t>
      </w:r>
      <w:r w:rsidRPr="00830D8E">
        <w:t>Decisions</w:t>
      </w:r>
      <w:r w:rsidRPr="006A6744">
        <w:t xml:space="preserve"> that were previously assessed as “</w:t>
      </w:r>
      <w:r w:rsidRPr="00830D8E">
        <w:t>Do</w:t>
      </w:r>
      <w:r w:rsidRPr="006A6744">
        <w:t xml:space="preserve"> not list” or “</w:t>
      </w:r>
      <w:r w:rsidRPr="00830D8E">
        <w:t>Delist</w:t>
      </w:r>
      <w:r w:rsidRPr="006A6744">
        <w:t>” and updated to “</w:t>
      </w:r>
      <w:r w:rsidRPr="00830D8E">
        <w:t>List</w:t>
      </w:r>
      <w:r w:rsidRPr="006A6744">
        <w:t>.”</w:t>
      </w:r>
    </w:p>
  </w:footnote>
  <w:footnote w:id="26">
    <w:p w14:paraId="7A6291AC" w14:textId="3CE369BB" w:rsidR="00045030" w:rsidRDefault="00045030" w:rsidP="00045030">
      <w:pPr>
        <w:pStyle w:val="FootnoteText"/>
      </w:pPr>
      <w:r>
        <w:rPr>
          <w:rStyle w:val="FootnoteReference"/>
        </w:rPr>
        <w:footnoteRef/>
      </w:r>
      <w:r>
        <w:t xml:space="preserve"> </w:t>
      </w:r>
      <w:r w:rsidR="003866CF">
        <w:t>“</w:t>
      </w:r>
      <w:r w:rsidR="00746105" w:rsidRPr="00746105">
        <w:t>Delist” Decisions</w:t>
      </w:r>
      <w:r>
        <w:t xml:space="preserve"> based on change in water quality standards, change in assessment method, corrections, or other miscellaneous changes.</w:t>
      </w:r>
    </w:p>
  </w:footnote>
</w:footnotes>
</file>

<file path=word/intelligence2.xml><?xml version="1.0" encoding="utf-8"?>
<int2:intelligence xmlns:int2="http://schemas.microsoft.com/office/intelligence/2020/intelligence" xmlns:oel="http://schemas.microsoft.com/office/2019/extlst">
  <int2:observations>
    <int2:bookmark int2:bookmarkName="_Int_cZPEyp6y" int2:invalidationBookmarkName="" int2:hashCode="aq5KZ4YMHpFpOT" int2:id="dxudcubr">
      <int2:state int2:value="Rejected" int2:type="AugLoop_Text_Critique"/>
    </int2:bookmark>
    <int2:bookmark int2:bookmarkName="_Int_Cyh9TpIp" int2:invalidationBookmarkName="" int2:hashCode="aNMfL4JxHP1BDQ" int2:id="lwxP3bH7">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C4C27"/>
    <w:multiLevelType w:val="hybridMultilevel"/>
    <w:tmpl w:val="7CFE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A7466"/>
    <w:multiLevelType w:val="hybridMultilevel"/>
    <w:tmpl w:val="9CACE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23B03"/>
    <w:multiLevelType w:val="multilevel"/>
    <w:tmpl w:val="3A60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74CAC"/>
    <w:multiLevelType w:val="hybridMultilevel"/>
    <w:tmpl w:val="6BEE1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E73C0B"/>
    <w:multiLevelType w:val="multilevel"/>
    <w:tmpl w:val="5F46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B3253E"/>
    <w:multiLevelType w:val="hybridMultilevel"/>
    <w:tmpl w:val="FFFFFFFF"/>
    <w:lvl w:ilvl="0" w:tplc="BDE6B878">
      <w:start w:val="1"/>
      <w:numFmt w:val="bullet"/>
      <w:lvlText w:val=""/>
      <w:lvlJc w:val="left"/>
      <w:pPr>
        <w:ind w:left="720" w:hanging="360"/>
      </w:pPr>
      <w:rPr>
        <w:rFonts w:ascii="Symbol" w:hAnsi="Symbol" w:hint="default"/>
      </w:rPr>
    </w:lvl>
    <w:lvl w:ilvl="1" w:tplc="70AE5FB4">
      <w:start w:val="1"/>
      <w:numFmt w:val="bullet"/>
      <w:lvlText w:val="o"/>
      <w:lvlJc w:val="left"/>
      <w:pPr>
        <w:ind w:left="1440" w:hanging="360"/>
      </w:pPr>
      <w:rPr>
        <w:rFonts w:ascii="Courier New" w:hAnsi="Courier New" w:hint="default"/>
      </w:rPr>
    </w:lvl>
    <w:lvl w:ilvl="2" w:tplc="1B26E600">
      <w:start w:val="1"/>
      <w:numFmt w:val="bullet"/>
      <w:lvlText w:val=""/>
      <w:lvlJc w:val="left"/>
      <w:pPr>
        <w:ind w:left="2160" w:hanging="360"/>
      </w:pPr>
      <w:rPr>
        <w:rFonts w:ascii="Wingdings" w:hAnsi="Wingdings" w:hint="default"/>
      </w:rPr>
    </w:lvl>
    <w:lvl w:ilvl="3" w:tplc="10724936">
      <w:start w:val="1"/>
      <w:numFmt w:val="bullet"/>
      <w:lvlText w:val=""/>
      <w:lvlJc w:val="left"/>
      <w:pPr>
        <w:ind w:left="2880" w:hanging="360"/>
      </w:pPr>
      <w:rPr>
        <w:rFonts w:ascii="Symbol" w:hAnsi="Symbol" w:hint="default"/>
      </w:rPr>
    </w:lvl>
    <w:lvl w:ilvl="4" w:tplc="0EE249DE">
      <w:start w:val="1"/>
      <w:numFmt w:val="bullet"/>
      <w:lvlText w:val="o"/>
      <w:lvlJc w:val="left"/>
      <w:pPr>
        <w:ind w:left="3600" w:hanging="360"/>
      </w:pPr>
      <w:rPr>
        <w:rFonts w:ascii="Courier New" w:hAnsi="Courier New" w:hint="default"/>
      </w:rPr>
    </w:lvl>
    <w:lvl w:ilvl="5" w:tplc="56DEDAD0">
      <w:start w:val="1"/>
      <w:numFmt w:val="bullet"/>
      <w:lvlText w:val=""/>
      <w:lvlJc w:val="left"/>
      <w:pPr>
        <w:ind w:left="4320" w:hanging="360"/>
      </w:pPr>
      <w:rPr>
        <w:rFonts w:ascii="Wingdings" w:hAnsi="Wingdings" w:hint="default"/>
      </w:rPr>
    </w:lvl>
    <w:lvl w:ilvl="6" w:tplc="EBB63E60">
      <w:start w:val="1"/>
      <w:numFmt w:val="bullet"/>
      <w:lvlText w:val=""/>
      <w:lvlJc w:val="left"/>
      <w:pPr>
        <w:ind w:left="5040" w:hanging="360"/>
      </w:pPr>
      <w:rPr>
        <w:rFonts w:ascii="Symbol" w:hAnsi="Symbol" w:hint="default"/>
      </w:rPr>
    </w:lvl>
    <w:lvl w:ilvl="7" w:tplc="6ECE567C">
      <w:start w:val="1"/>
      <w:numFmt w:val="bullet"/>
      <w:lvlText w:val="o"/>
      <w:lvlJc w:val="left"/>
      <w:pPr>
        <w:ind w:left="5760" w:hanging="360"/>
      </w:pPr>
      <w:rPr>
        <w:rFonts w:ascii="Courier New" w:hAnsi="Courier New" w:hint="default"/>
      </w:rPr>
    </w:lvl>
    <w:lvl w:ilvl="8" w:tplc="3E5485C4">
      <w:start w:val="1"/>
      <w:numFmt w:val="bullet"/>
      <w:lvlText w:val=""/>
      <w:lvlJc w:val="left"/>
      <w:pPr>
        <w:ind w:left="6480" w:hanging="360"/>
      </w:pPr>
      <w:rPr>
        <w:rFonts w:ascii="Wingdings" w:hAnsi="Wingdings" w:hint="default"/>
      </w:rPr>
    </w:lvl>
  </w:abstractNum>
  <w:abstractNum w:abstractNumId="6" w15:restartNumberingAfterBreak="0">
    <w:nsid w:val="08D3313D"/>
    <w:multiLevelType w:val="hybridMultilevel"/>
    <w:tmpl w:val="36BC3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1C72C2"/>
    <w:multiLevelType w:val="hybridMultilevel"/>
    <w:tmpl w:val="B5CA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736E1A"/>
    <w:multiLevelType w:val="hybridMultilevel"/>
    <w:tmpl w:val="73E0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62DE4"/>
    <w:multiLevelType w:val="multilevel"/>
    <w:tmpl w:val="202218C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4590" w:hanging="720"/>
      </w:pPr>
      <w:rPr>
        <w:rFonts w:hint="default"/>
      </w:rPr>
    </w:lvl>
    <w:lvl w:ilvl="3">
      <w:start w:val="1"/>
      <w:numFmt w:val="decimal"/>
      <w:pStyle w:val="Heading4"/>
      <w:lvlText w:val="%1.%2.%3.%4"/>
      <w:lvlJc w:val="left"/>
      <w:pPr>
        <w:ind w:left="149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18842F62"/>
    <w:multiLevelType w:val="hybridMultilevel"/>
    <w:tmpl w:val="EB747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427085"/>
    <w:multiLevelType w:val="hybridMultilevel"/>
    <w:tmpl w:val="FEC2E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7D5397"/>
    <w:multiLevelType w:val="hybridMultilevel"/>
    <w:tmpl w:val="1602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A33006"/>
    <w:multiLevelType w:val="hybridMultilevel"/>
    <w:tmpl w:val="4000B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4A17AF"/>
    <w:multiLevelType w:val="hybridMultilevel"/>
    <w:tmpl w:val="AAB0A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A930D59"/>
    <w:multiLevelType w:val="hybridMultilevel"/>
    <w:tmpl w:val="88AC9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267E87"/>
    <w:multiLevelType w:val="hybridMultilevel"/>
    <w:tmpl w:val="9C226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EA2964"/>
    <w:multiLevelType w:val="hybridMultilevel"/>
    <w:tmpl w:val="56765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05343E"/>
    <w:multiLevelType w:val="hybridMultilevel"/>
    <w:tmpl w:val="C496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5356E4"/>
    <w:multiLevelType w:val="hybridMultilevel"/>
    <w:tmpl w:val="5770F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4618C0"/>
    <w:multiLevelType w:val="hybridMultilevel"/>
    <w:tmpl w:val="67D4C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5F70F2"/>
    <w:multiLevelType w:val="hybridMultilevel"/>
    <w:tmpl w:val="A51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3BD7C3"/>
    <w:multiLevelType w:val="hybridMultilevel"/>
    <w:tmpl w:val="FFFFFFFF"/>
    <w:lvl w:ilvl="0" w:tplc="E68E60AC">
      <w:start w:val="1"/>
      <w:numFmt w:val="bullet"/>
      <w:lvlText w:val=""/>
      <w:lvlJc w:val="left"/>
      <w:pPr>
        <w:ind w:left="720" w:hanging="360"/>
      </w:pPr>
      <w:rPr>
        <w:rFonts w:ascii="Symbol" w:hAnsi="Symbol" w:hint="default"/>
      </w:rPr>
    </w:lvl>
    <w:lvl w:ilvl="1" w:tplc="36DC0222">
      <w:start w:val="1"/>
      <w:numFmt w:val="bullet"/>
      <w:lvlText w:val="o"/>
      <w:lvlJc w:val="left"/>
      <w:pPr>
        <w:ind w:left="1440" w:hanging="360"/>
      </w:pPr>
      <w:rPr>
        <w:rFonts w:ascii="Courier New" w:hAnsi="Courier New" w:hint="default"/>
      </w:rPr>
    </w:lvl>
    <w:lvl w:ilvl="2" w:tplc="30524414">
      <w:start w:val="1"/>
      <w:numFmt w:val="bullet"/>
      <w:lvlText w:val=""/>
      <w:lvlJc w:val="left"/>
      <w:pPr>
        <w:ind w:left="2160" w:hanging="360"/>
      </w:pPr>
      <w:rPr>
        <w:rFonts w:ascii="Wingdings" w:hAnsi="Wingdings" w:hint="default"/>
      </w:rPr>
    </w:lvl>
    <w:lvl w:ilvl="3" w:tplc="2036120C">
      <w:start w:val="1"/>
      <w:numFmt w:val="bullet"/>
      <w:lvlText w:val=""/>
      <w:lvlJc w:val="left"/>
      <w:pPr>
        <w:ind w:left="2880" w:hanging="360"/>
      </w:pPr>
      <w:rPr>
        <w:rFonts w:ascii="Symbol" w:hAnsi="Symbol" w:hint="default"/>
      </w:rPr>
    </w:lvl>
    <w:lvl w:ilvl="4" w:tplc="95BE06D8">
      <w:start w:val="1"/>
      <w:numFmt w:val="bullet"/>
      <w:lvlText w:val="o"/>
      <w:lvlJc w:val="left"/>
      <w:pPr>
        <w:ind w:left="3600" w:hanging="360"/>
      </w:pPr>
      <w:rPr>
        <w:rFonts w:ascii="Courier New" w:hAnsi="Courier New" w:hint="default"/>
      </w:rPr>
    </w:lvl>
    <w:lvl w:ilvl="5" w:tplc="0C5ED00E">
      <w:start w:val="1"/>
      <w:numFmt w:val="bullet"/>
      <w:lvlText w:val=""/>
      <w:lvlJc w:val="left"/>
      <w:pPr>
        <w:ind w:left="4320" w:hanging="360"/>
      </w:pPr>
      <w:rPr>
        <w:rFonts w:ascii="Wingdings" w:hAnsi="Wingdings" w:hint="default"/>
      </w:rPr>
    </w:lvl>
    <w:lvl w:ilvl="6" w:tplc="1FAE9CE0">
      <w:start w:val="1"/>
      <w:numFmt w:val="bullet"/>
      <w:lvlText w:val=""/>
      <w:lvlJc w:val="left"/>
      <w:pPr>
        <w:ind w:left="5040" w:hanging="360"/>
      </w:pPr>
      <w:rPr>
        <w:rFonts w:ascii="Symbol" w:hAnsi="Symbol" w:hint="default"/>
      </w:rPr>
    </w:lvl>
    <w:lvl w:ilvl="7" w:tplc="AED810F0">
      <w:start w:val="1"/>
      <w:numFmt w:val="bullet"/>
      <w:lvlText w:val="o"/>
      <w:lvlJc w:val="left"/>
      <w:pPr>
        <w:ind w:left="5760" w:hanging="360"/>
      </w:pPr>
      <w:rPr>
        <w:rFonts w:ascii="Courier New" w:hAnsi="Courier New" w:hint="default"/>
      </w:rPr>
    </w:lvl>
    <w:lvl w:ilvl="8" w:tplc="28BE8B2A">
      <w:start w:val="1"/>
      <w:numFmt w:val="bullet"/>
      <w:lvlText w:val=""/>
      <w:lvlJc w:val="left"/>
      <w:pPr>
        <w:ind w:left="6480" w:hanging="360"/>
      </w:pPr>
      <w:rPr>
        <w:rFonts w:ascii="Wingdings" w:hAnsi="Wingdings" w:hint="default"/>
      </w:rPr>
    </w:lvl>
  </w:abstractNum>
  <w:abstractNum w:abstractNumId="23" w15:restartNumberingAfterBreak="0">
    <w:nsid w:val="40EB42E9"/>
    <w:multiLevelType w:val="hybridMultilevel"/>
    <w:tmpl w:val="65607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612110"/>
    <w:multiLevelType w:val="hybridMultilevel"/>
    <w:tmpl w:val="17187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B12332"/>
    <w:multiLevelType w:val="multilevel"/>
    <w:tmpl w:val="F6D4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533EB5"/>
    <w:multiLevelType w:val="multilevel"/>
    <w:tmpl w:val="B3B0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7413BB"/>
    <w:multiLevelType w:val="multilevel"/>
    <w:tmpl w:val="215E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9E214A"/>
    <w:multiLevelType w:val="hybridMultilevel"/>
    <w:tmpl w:val="7B8E8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D7066A"/>
    <w:multiLevelType w:val="hybridMultilevel"/>
    <w:tmpl w:val="94F0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8FDB10"/>
    <w:multiLevelType w:val="hybridMultilevel"/>
    <w:tmpl w:val="661E1390"/>
    <w:lvl w:ilvl="0" w:tplc="D5849F42">
      <w:start w:val="1"/>
      <w:numFmt w:val="bullet"/>
      <w:lvlText w:val=""/>
      <w:lvlJc w:val="left"/>
      <w:pPr>
        <w:ind w:left="720" w:hanging="360"/>
      </w:pPr>
      <w:rPr>
        <w:rFonts w:ascii="Symbol" w:hAnsi="Symbol" w:hint="default"/>
      </w:rPr>
    </w:lvl>
    <w:lvl w:ilvl="1" w:tplc="4DC87BFC">
      <w:start w:val="1"/>
      <w:numFmt w:val="bullet"/>
      <w:lvlText w:val="o"/>
      <w:lvlJc w:val="left"/>
      <w:pPr>
        <w:ind w:left="1440" w:hanging="360"/>
      </w:pPr>
      <w:rPr>
        <w:rFonts w:ascii="Courier New" w:hAnsi="Courier New" w:hint="default"/>
      </w:rPr>
    </w:lvl>
    <w:lvl w:ilvl="2" w:tplc="12E06604">
      <w:start w:val="1"/>
      <w:numFmt w:val="bullet"/>
      <w:lvlText w:val=""/>
      <w:lvlJc w:val="left"/>
      <w:pPr>
        <w:ind w:left="2160" w:hanging="360"/>
      </w:pPr>
      <w:rPr>
        <w:rFonts w:ascii="Wingdings" w:hAnsi="Wingdings" w:hint="default"/>
      </w:rPr>
    </w:lvl>
    <w:lvl w:ilvl="3" w:tplc="FD9499A2">
      <w:start w:val="1"/>
      <w:numFmt w:val="bullet"/>
      <w:lvlText w:val=""/>
      <w:lvlJc w:val="left"/>
      <w:pPr>
        <w:ind w:left="2880" w:hanging="360"/>
      </w:pPr>
      <w:rPr>
        <w:rFonts w:ascii="Symbol" w:hAnsi="Symbol" w:hint="default"/>
      </w:rPr>
    </w:lvl>
    <w:lvl w:ilvl="4" w:tplc="7DD26872">
      <w:start w:val="1"/>
      <w:numFmt w:val="bullet"/>
      <w:lvlText w:val="o"/>
      <w:lvlJc w:val="left"/>
      <w:pPr>
        <w:ind w:left="3600" w:hanging="360"/>
      </w:pPr>
      <w:rPr>
        <w:rFonts w:ascii="Courier New" w:hAnsi="Courier New" w:hint="default"/>
      </w:rPr>
    </w:lvl>
    <w:lvl w:ilvl="5" w:tplc="5E161058">
      <w:start w:val="1"/>
      <w:numFmt w:val="bullet"/>
      <w:lvlText w:val=""/>
      <w:lvlJc w:val="left"/>
      <w:pPr>
        <w:ind w:left="4320" w:hanging="360"/>
      </w:pPr>
      <w:rPr>
        <w:rFonts w:ascii="Wingdings" w:hAnsi="Wingdings" w:hint="default"/>
      </w:rPr>
    </w:lvl>
    <w:lvl w:ilvl="6" w:tplc="542C825A">
      <w:start w:val="1"/>
      <w:numFmt w:val="bullet"/>
      <w:lvlText w:val=""/>
      <w:lvlJc w:val="left"/>
      <w:pPr>
        <w:ind w:left="5040" w:hanging="360"/>
      </w:pPr>
      <w:rPr>
        <w:rFonts w:ascii="Symbol" w:hAnsi="Symbol" w:hint="default"/>
      </w:rPr>
    </w:lvl>
    <w:lvl w:ilvl="7" w:tplc="27A651E4">
      <w:start w:val="1"/>
      <w:numFmt w:val="bullet"/>
      <w:lvlText w:val="o"/>
      <w:lvlJc w:val="left"/>
      <w:pPr>
        <w:ind w:left="5760" w:hanging="360"/>
      </w:pPr>
      <w:rPr>
        <w:rFonts w:ascii="Courier New" w:hAnsi="Courier New" w:hint="default"/>
      </w:rPr>
    </w:lvl>
    <w:lvl w:ilvl="8" w:tplc="F998F150">
      <w:start w:val="1"/>
      <w:numFmt w:val="bullet"/>
      <w:lvlText w:val=""/>
      <w:lvlJc w:val="left"/>
      <w:pPr>
        <w:ind w:left="6480" w:hanging="360"/>
      </w:pPr>
      <w:rPr>
        <w:rFonts w:ascii="Wingdings" w:hAnsi="Wingdings" w:hint="default"/>
      </w:rPr>
    </w:lvl>
  </w:abstractNum>
  <w:abstractNum w:abstractNumId="31" w15:restartNumberingAfterBreak="0">
    <w:nsid w:val="4FAA7DF9"/>
    <w:multiLevelType w:val="hybridMultilevel"/>
    <w:tmpl w:val="30466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B46BD6"/>
    <w:multiLevelType w:val="hybridMultilevel"/>
    <w:tmpl w:val="56765E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5A567E9"/>
    <w:multiLevelType w:val="hybridMultilevel"/>
    <w:tmpl w:val="6BF069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ACF17E3"/>
    <w:multiLevelType w:val="hybridMultilevel"/>
    <w:tmpl w:val="FFFFFFFF"/>
    <w:lvl w:ilvl="0" w:tplc="77E27496">
      <w:start w:val="1"/>
      <w:numFmt w:val="bullet"/>
      <w:lvlText w:val=""/>
      <w:lvlJc w:val="left"/>
      <w:pPr>
        <w:ind w:left="720" w:hanging="360"/>
      </w:pPr>
      <w:rPr>
        <w:rFonts w:ascii="Symbol" w:hAnsi="Symbol" w:hint="default"/>
      </w:rPr>
    </w:lvl>
    <w:lvl w:ilvl="1" w:tplc="009A95A0">
      <w:start w:val="1"/>
      <w:numFmt w:val="bullet"/>
      <w:lvlText w:val="o"/>
      <w:lvlJc w:val="left"/>
      <w:pPr>
        <w:ind w:left="1440" w:hanging="360"/>
      </w:pPr>
      <w:rPr>
        <w:rFonts w:ascii="Courier New" w:hAnsi="Courier New" w:hint="default"/>
      </w:rPr>
    </w:lvl>
    <w:lvl w:ilvl="2" w:tplc="B1940A5E">
      <w:start w:val="1"/>
      <w:numFmt w:val="bullet"/>
      <w:lvlText w:val=""/>
      <w:lvlJc w:val="left"/>
      <w:pPr>
        <w:ind w:left="2160" w:hanging="360"/>
      </w:pPr>
      <w:rPr>
        <w:rFonts w:ascii="Wingdings" w:hAnsi="Wingdings" w:hint="default"/>
      </w:rPr>
    </w:lvl>
    <w:lvl w:ilvl="3" w:tplc="1AC8BC46">
      <w:start w:val="1"/>
      <w:numFmt w:val="bullet"/>
      <w:lvlText w:val=""/>
      <w:lvlJc w:val="left"/>
      <w:pPr>
        <w:ind w:left="2880" w:hanging="360"/>
      </w:pPr>
      <w:rPr>
        <w:rFonts w:ascii="Symbol" w:hAnsi="Symbol" w:hint="default"/>
      </w:rPr>
    </w:lvl>
    <w:lvl w:ilvl="4" w:tplc="5B3EE390">
      <w:start w:val="1"/>
      <w:numFmt w:val="bullet"/>
      <w:lvlText w:val="o"/>
      <w:lvlJc w:val="left"/>
      <w:pPr>
        <w:ind w:left="3600" w:hanging="360"/>
      </w:pPr>
      <w:rPr>
        <w:rFonts w:ascii="Courier New" w:hAnsi="Courier New" w:hint="default"/>
      </w:rPr>
    </w:lvl>
    <w:lvl w:ilvl="5" w:tplc="AC166726">
      <w:start w:val="1"/>
      <w:numFmt w:val="bullet"/>
      <w:lvlText w:val=""/>
      <w:lvlJc w:val="left"/>
      <w:pPr>
        <w:ind w:left="4320" w:hanging="360"/>
      </w:pPr>
      <w:rPr>
        <w:rFonts w:ascii="Wingdings" w:hAnsi="Wingdings" w:hint="default"/>
      </w:rPr>
    </w:lvl>
    <w:lvl w:ilvl="6" w:tplc="BD1E98A6">
      <w:start w:val="1"/>
      <w:numFmt w:val="bullet"/>
      <w:lvlText w:val=""/>
      <w:lvlJc w:val="left"/>
      <w:pPr>
        <w:ind w:left="5040" w:hanging="360"/>
      </w:pPr>
      <w:rPr>
        <w:rFonts w:ascii="Symbol" w:hAnsi="Symbol" w:hint="default"/>
      </w:rPr>
    </w:lvl>
    <w:lvl w:ilvl="7" w:tplc="9C0C26DC">
      <w:start w:val="1"/>
      <w:numFmt w:val="bullet"/>
      <w:lvlText w:val="o"/>
      <w:lvlJc w:val="left"/>
      <w:pPr>
        <w:ind w:left="5760" w:hanging="360"/>
      </w:pPr>
      <w:rPr>
        <w:rFonts w:ascii="Courier New" w:hAnsi="Courier New" w:hint="default"/>
      </w:rPr>
    </w:lvl>
    <w:lvl w:ilvl="8" w:tplc="15F4784A">
      <w:start w:val="1"/>
      <w:numFmt w:val="bullet"/>
      <w:lvlText w:val=""/>
      <w:lvlJc w:val="left"/>
      <w:pPr>
        <w:ind w:left="6480" w:hanging="360"/>
      </w:pPr>
      <w:rPr>
        <w:rFonts w:ascii="Wingdings" w:hAnsi="Wingdings" w:hint="default"/>
      </w:rPr>
    </w:lvl>
  </w:abstractNum>
  <w:abstractNum w:abstractNumId="35" w15:restartNumberingAfterBreak="0">
    <w:nsid w:val="5EA80FFA"/>
    <w:multiLevelType w:val="hybridMultilevel"/>
    <w:tmpl w:val="C680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8E71A0"/>
    <w:multiLevelType w:val="hybridMultilevel"/>
    <w:tmpl w:val="4754D242"/>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62477C25"/>
    <w:multiLevelType w:val="hybridMultilevel"/>
    <w:tmpl w:val="CC26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3545A5"/>
    <w:multiLevelType w:val="hybridMultilevel"/>
    <w:tmpl w:val="FE46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DD32B8"/>
    <w:multiLevelType w:val="multilevel"/>
    <w:tmpl w:val="F1283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6FF16BC"/>
    <w:multiLevelType w:val="hybridMultilevel"/>
    <w:tmpl w:val="1ECAA156"/>
    <w:lvl w:ilvl="0" w:tplc="D6C4A1D8">
      <w:start w:val="1"/>
      <w:numFmt w:val="decimal"/>
      <w:lvlText w:val="%1."/>
      <w:lvlJc w:val="left"/>
      <w:pPr>
        <w:ind w:left="720" w:hanging="360"/>
      </w:pPr>
      <w:rPr>
        <w:rFonts w:ascii="Arial" w:hAnsi="Arial" w:cs="Arial"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D26A1A"/>
    <w:multiLevelType w:val="hybridMultilevel"/>
    <w:tmpl w:val="4962C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620033"/>
    <w:multiLevelType w:val="hybridMultilevel"/>
    <w:tmpl w:val="AE06C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4336C4"/>
    <w:multiLevelType w:val="hybridMultilevel"/>
    <w:tmpl w:val="6DA27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405CCE"/>
    <w:multiLevelType w:val="hybridMultilevel"/>
    <w:tmpl w:val="42181C80"/>
    <w:lvl w:ilvl="0" w:tplc="B95C8F70">
      <w:start w:val="1"/>
      <w:numFmt w:val="bullet"/>
      <w:lvlText w:val=""/>
      <w:lvlJc w:val="left"/>
      <w:pPr>
        <w:ind w:left="720" w:hanging="360"/>
      </w:pPr>
      <w:rPr>
        <w:rFonts w:ascii="Symbol" w:hAnsi="Symbol"/>
      </w:rPr>
    </w:lvl>
    <w:lvl w:ilvl="1" w:tplc="2F2CF062">
      <w:start w:val="1"/>
      <w:numFmt w:val="bullet"/>
      <w:lvlText w:val=""/>
      <w:lvlJc w:val="left"/>
      <w:pPr>
        <w:ind w:left="720" w:hanging="360"/>
      </w:pPr>
      <w:rPr>
        <w:rFonts w:ascii="Symbol" w:hAnsi="Symbol"/>
      </w:rPr>
    </w:lvl>
    <w:lvl w:ilvl="2" w:tplc="923EF8E4">
      <w:start w:val="1"/>
      <w:numFmt w:val="bullet"/>
      <w:lvlText w:val=""/>
      <w:lvlJc w:val="left"/>
      <w:pPr>
        <w:ind w:left="720" w:hanging="360"/>
      </w:pPr>
      <w:rPr>
        <w:rFonts w:ascii="Symbol" w:hAnsi="Symbol"/>
      </w:rPr>
    </w:lvl>
    <w:lvl w:ilvl="3" w:tplc="DBFCF6DA">
      <w:start w:val="1"/>
      <w:numFmt w:val="bullet"/>
      <w:lvlText w:val=""/>
      <w:lvlJc w:val="left"/>
      <w:pPr>
        <w:ind w:left="720" w:hanging="360"/>
      </w:pPr>
      <w:rPr>
        <w:rFonts w:ascii="Symbol" w:hAnsi="Symbol"/>
      </w:rPr>
    </w:lvl>
    <w:lvl w:ilvl="4" w:tplc="BB1E124C">
      <w:start w:val="1"/>
      <w:numFmt w:val="bullet"/>
      <w:lvlText w:val=""/>
      <w:lvlJc w:val="left"/>
      <w:pPr>
        <w:ind w:left="720" w:hanging="360"/>
      </w:pPr>
      <w:rPr>
        <w:rFonts w:ascii="Symbol" w:hAnsi="Symbol"/>
      </w:rPr>
    </w:lvl>
    <w:lvl w:ilvl="5" w:tplc="638C7A6C">
      <w:start w:val="1"/>
      <w:numFmt w:val="bullet"/>
      <w:lvlText w:val=""/>
      <w:lvlJc w:val="left"/>
      <w:pPr>
        <w:ind w:left="720" w:hanging="360"/>
      </w:pPr>
      <w:rPr>
        <w:rFonts w:ascii="Symbol" w:hAnsi="Symbol"/>
      </w:rPr>
    </w:lvl>
    <w:lvl w:ilvl="6" w:tplc="F2CAE3A8">
      <w:start w:val="1"/>
      <w:numFmt w:val="bullet"/>
      <w:lvlText w:val=""/>
      <w:lvlJc w:val="left"/>
      <w:pPr>
        <w:ind w:left="720" w:hanging="360"/>
      </w:pPr>
      <w:rPr>
        <w:rFonts w:ascii="Symbol" w:hAnsi="Symbol"/>
      </w:rPr>
    </w:lvl>
    <w:lvl w:ilvl="7" w:tplc="662626EE">
      <w:start w:val="1"/>
      <w:numFmt w:val="bullet"/>
      <w:lvlText w:val=""/>
      <w:lvlJc w:val="left"/>
      <w:pPr>
        <w:ind w:left="720" w:hanging="360"/>
      </w:pPr>
      <w:rPr>
        <w:rFonts w:ascii="Symbol" w:hAnsi="Symbol"/>
      </w:rPr>
    </w:lvl>
    <w:lvl w:ilvl="8" w:tplc="E5F6CA68">
      <w:start w:val="1"/>
      <w:numFmt w:val="bullet"/>
      <w:lvlText w:val=""/>
      <w:lvlJc w:val="left"/>
      <w:pPr>
        <w:ind w:left="720" w:hanging="360"/>
      </w:pPr>
      <w:rPr>
        <w:rFonts w:ascii="Symbol" w:hAnsi="Symbol"/>
      </w:rPr>
    </w:lvl>
  </w:abstractNum>
  <w:abstractNum w:abstractNumId="45" w15:restartNumberingAfterBreak="0">
    <w:nsid w:val="792A11B8"/>
    <w:multiLevelType w:val="hybridMultilevel"/>
    <w:tmpl w:val="45C02A3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CCB4F04"/>
    <w:multiLevelType w:val="hybridMultilevel"/>
    <w:tmpl w:val="294C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4870E9"/>
    <w:multiLevelType w:val="multilevel"/>
    <w:tmpl w:val="DE90E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F3D1440"/>
    <w:multiLevelType w:val="hybridMultilevel"/>
    <w:tmpl w:val="262E2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B6335D"/>
    <w:multiLevelType w:val="multilevel"/>
    <w:tmpl w:val="8B1C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FF82E63"/>
    <w:multiLevelType w:val="multilevel"/>
    <w:tmpl w:val="72F24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91965041">
    <w:abstractNumId w:val="33"/>
  </w:num>
  <w:num w:numId="2" w16cid:durableId="239608820">
    <w:abstractNumId w:val="13"/>
  </w:num>
  <w:num w:numId="3" w16cid:durableId="466969642">
    <w:abstractNumId w:val="23"/>
  </w:num>
  <w:num w:numId="4" w16cid:durableId="82798253">
    <w:abstractNumId w:val="42"/>
  </w:num>
  <w:num w:numId="5" w16cid:durableId="1205289300">
    <w:abstractNumId w:val="29"/>
  </w:num>
  <w:num w:numId="6" w16cid:durableId="1024669629">
    <w:abstractNumId w:val="46"/>
  </w:num>
  <w:num w:numId="7" w16cid:durableId="121463606">
    <w:abstractNumId w:val="19"/>
  </w:num>
  <w:num w:numId="8" w16cid:durableId="63115368">
    <w:abstractNumId w:val="10"/>
  </w:num>
  <w:num w:numId="9" w16cid:durableId="1588273870">
    <w:abstractNumId w:val="17"/>
  </w:num>
  <w:num w:numId="10" w16cid:durableId="1576237432">
    <w:abstractNumId w:val="1"/>
  </w:num>
  <w:num w:numId="11" w16cid:durableId="523909412">
    <w:abstractNumId w:val="40"/>
  </w:num>
  <w:num w:numId="12" w16cid:durableId="1003507554">
    <w:abstractNumId w:val="50"/>
  </w:num>
  <w:num w:numId="13" w16cid:durableId="487401388">
    <w:abstractNumId w:val="15"/>
  </w:num>
  <w:num w:numId="14" w16cid:durableId="1921328893">
    <w:abstractNumId w:val="16"/>
  </w:num>
  <w:num w:numId="15" w16cid:durableId="692800274">
    <w:abstractNumId w:val="32"/>
  </w:num>
  <w:num w:numId="16" w16cid:durableId="1758331896">
    <w:abstractNumId w:val="35"/>
  </w:num>
  <w:num w:numId="17" w16cid:durableId="115832637">
    <w:abstractNumId w:val="18"/>
  </w:num>
  <w:num w:numId="18" w16cid:durableId="19687747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4196345">
    <w:abstractNumId w:val="41"/>
  </w:num>
  <w:num w:numId="20" w16cid:durableId="1334718316">
    <w:abstractNumId w:val="47"/>
  </w:num>
  <w:num w:numId="21" w16cid:durableId="1704675048">
    <w:abstractNumId w:val="3"/>
  </w:num>
  <w:num w:numId="22" w16cid:durableId="1300762817">
    <w:abstractNumId w:val="48"/>
  </w:num>
  <w:num w:numId="23" w16cid:durableId="773090055">
    <w:abstractNumId w:val="20"/>
  </w:num>
  <w:num w:numId="24" w16cid:durableId="375011736">
    <w:abstractNumId w:val="28"/>
  </w:num>
  <w:num w:numId="25" w16cid:durableId="360979603">
    <w:abstractNumId w:val="43"/>
  </w:num>
  <w:num w:numId="26" w16cid:durableId="1687756755">
    <w:abstractNumId w:val="36"/>
  </w:num>
  <w:num w:numId="27" w16cid:durableId="762796000">
    <w:abstractNumId w:val="0"/>
  </w:num>
  <w:num w:numId="28" w16cid:durableId="1466587381">
    <w:abstractNumId w:val="6"/>
  </w:num>
  <w:num w:numId="29" w16cid:durableId="922026250">
    <w:abstractNumId w:val="45"/>
  </w:num>
  <w:num w:numId="30" w16cid:durableId="14966620">
    <w:abstractNumId w:val="14"/>
  </w:num>
  <w:num w:numId="31" w16cid:durableId="5527390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99100326">
    <w:abstractNumId w:val="24"/>
  </w:num>
  <w:num w:numId="33" w16cid:durableId="2074699524">
    <w:abstractNumId w:val="9"/>
  </w:num>
  <w:num w:numId="34" w16cid:durableId="607085732">
    <w:abstractNumId w:val="21"/>
  </w:num>
  <w:num w:numId="35" w16cid:durableId="760492398">
    <w:abstractNumId w:val="8"/>
  </w:num>
  <w:num w:numId="36" w16cid:durableId="577132759">
    <w:abstractNumId w:val="5"/>
  </w:num>
  <w:num w:numId="37" w16cid:durableId="1059788273">
    <w:abstractNumId w:val="38"/>
  </w:num>
  <w:num w:numId="38" w16cid:durableId="1902206645">
    <w:abstractNumId w:val="30"/>
  </w:num>
  <w:num w:numId="39" w16cid:durableId="1349714610">
    <w:abstractNumId w:val="12"/>
  </w:num>
  <w:num w:numId="40" w16cid:durableId="835219542">
    <w:abstractNumId w:val="34"/>
  </w:num>
  <w:num w:numId="41" w16cid:durableId="249706236">
    <w:abstractNumId w:val="22"/>
  </w:num>
  <w:num w:numId="42" w16cid:durableId="1412115641">
    <w:abstractNumId w:val="4"/>
  </w:num>
  <w:num w:numId="43" w16cid:durableId="780681705">
    <w:abstractNumId w:val="49"/>
  </w:num>
  <w:num w:numId="44" w16cid:durableId="1623226078">
    <w:abstractNumId w:val="26"/>
  </w:num>
  <w:num w:numId="45" w16cid:durableId="288048427">
    <w:abstractNumId w:val="39"/>
  </w:num>
  <w:num w:numId="46" w16cid:durableId="1894198169">
    <w:abstractNumId w:val="25"/>
  </w:num>
  <w:num w:numId="47" w16cid:durableId="810054066">
    <w:abstractNumId w:val="27"/>
  </w:num>
  <w:num w:numId="48" w16cid:durableId="1822506141">
    <w:abstractNumId w:val="2"/>
  </w:num>
  <w:num w:numId="49" w16cid:durableId="1152018717">
    <w:abstractNumId w:val="44"/>
  </w:num>
  <w:num w:numId="50" w16cid:durableId="1061753580">
    <w:abstractNumId w:val="11"/>
  </w:num>
  <w:num w:numId="51" w16cid:durableId="1748265045">
    <w:abstractNumId w:val="31"/>
  </w:num>
  <w:num w:numId="52" w16cid:durableId="1315526091">
    <w:abstractNumId w:val="7"/>
  </w:num>
  <w:num w:numId="53" w16cid:durableId="1989900194">
    <w:abstractNumId w:val="3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0C3"/>
    <w:rsid w:val="00000030"/>
    <w:rsid w:val="0000003E"/>
    <w:rsid w:val="00000072"/>
    <w:rsid w:val="00000171"/>
    <w:rsid w:val="000001B7"/>
    <w:rsid w:val="000002DB"/>
    <w:rsid w:val="00000371"/>
    <w:rsid w:val="0000037C"/>
    <w:rsid w:val="00000557"/>
    <w:rsid w:val="0000056A"/>
    <w:rsid w:val="00000622"/>
    <w:rsid w:val="00000632"/>
    <w:rsid w:val="0000067F"/>
    <w:rsid w:val="00000694"/>
    <w:rsid w:val="000006C8"/>
    <w:rsid w:val="00000716"/>
    <w:rsid w:val="00000767"/>
    <w:rsid w:val="00000798"/>
    <w:rsid w:val="00000849"/>
    <w:rsid w:val="000008BF"/>
    <w:rsid w:val="000008C0"/>
    <w:rsid w:val="000008C3"/>
    <w:rsid w:val="0000092B"/>
    <w:rsid w:val="00000990"/>
    <w:rsid w:val="00000B9D"/>
    <w:rsid w:val="00000BC8"/>
    <w:rsid w:val="00000BF2"/>
    <w:rsid w:val="00000BF5"/>
    <w:rsid w:val="00000D0C"/>
    <w:rsid w:val="00000D1B"/>
    <w:rsid w:val="00000D2F"/>
    <w:rsid w:val="00000D75"/>
    <w:rsid w:val="00000E58"/>
    <w:rsid w:val="00000F6F"/>
    <w:rsid w:val="000010B3"/>
    <w:rsid w:val="000010BC"/>
    <w:rsid w:val="000011A9"/>
    <w:rsid w:val="000011AA"/>
    <w:rsid w:val="000011CB"/>
    <w:rsid w:val="0000129E"/>
    <w:rsid w:val="00001321"/>
    <w:rsid w:val="0000137D"/>
    <w:rsid w:val="000013E1"/>
    <w:rsid w:val="00001402"/>
    <w:rsid w:val="00001453"/>
    <w:rsid w:val="000014BB"/>
    <w:rsid w:val="000014FE"/>
    <w:rsid w:val="00001506"/>
    <w:rsid w:val="00001547"/>
    <w:rsid w:val="0000162C"/>
    <w:rsid w:val="00001676"/>
    <w:rsid w:val="0000173D"/>
    <w:rsid w:val="0000174E"/>
    <w:rsid w:val="00001760"/>
    <w:rsid w:val="0000178A"/>
    <w:rsid w:val="00001856"/>
    <w:rsid w:val="00001915"/>
    <w:rsid w:val="000019E1"/>
    <w:rsid w:val="000019FA"/>
    <w:rsid w:val="00001AD6"/>
    <w:rsid w:val="00001C1A"/>
    <w:rsid w:val="00001C2F"/>
    <w:rsid w:val="00001CC3"/>
    <w:rsid w:val="00001D2D"/>
    <w:rsid w:val="00001E75"/>
    <w:rsid w:val="00001F4D"/>
    <w:rsid w:val="00001FAF"/>
    <w:rsid w:val="00002082"/>
    <w:rsid w:val="0000224D"/>
    <w:rsid w:val="0000226B"/>
    <w:rsid w:val="000022E6"/>
    <w:rsid w:val="000022ED"/>
    <w:rsid w:val="00002316"/>
    <w:rsid w:val="00002335"/>
    <w:rsid w:val="00002337"/>
    <w:rsid w:val="00002350"/>
    <w:rsid w:val="000023CA"/>
    <w:rsid w:val="000023F8"/>
    <w:rsid w:val="00002423"/>
    <w:rsid w:val="000024B0"/>
    <w:rsid w:val="000024B9"/>
    <w:rsid w:val="000025C6"/>
    <w:rsid w:val="000025D2"/>
    <w:rsid w:val="0000260C"/>
    <w:rsid w:val="00002683"/>
    <w:rsid w:val="000027BF"/>
    <w:rsid w:val="00002822"/>
    <w:rsid w:val="0000292B"/>
    <w:rsid w:val="00002981"/>
    <w:rsid w:val="00002A4B"/>
    <w:rsid w:val="00002A82"/>
    <w:rsid w:val="00002BD4"/>
    <w:rsid w:val="00002CCF"/>
    <w:rsid w:val="00002CF4"/>
    <w:rsid w:val="00002D28"/>
    <w:rsid w:val="00002D94"/>
    <w:rsid w:val="00002DE3"/>
    <w:rsid w:val="00002DE7"/>
    <w:rsid w:val="00002EA0"/>
    <w:rsid w:val="00002EBF"/>
    <w:rsid w:val="000030AF"/>
    <w:rsid w:val="000030E5"/>
    <w:rsid w:val="000031B3"/>
    <w:rsid w:val="000031DA"/>
    <w:rsid w:val="000031E6"/>
    <w:rsid w:val="00003200"/>
    <w:rsid w:val="0000323B"/>
    <w:rsid w:val="000032E6"/>
    <w:rsid w:val="00003324"/>
    <w:rsid w:val="000033FD"/>
    <w:rsid w:val="0000343B"/>
    <w:rsid w:val="000034EF"/>
    <w:rsid w:val="00003693"/>
    <w:rsid w:val="00003780"/>
    <w:rsid w:val="000037E6"/>
    <w:rsid w:val="000037F9"/>
    <w:rsid w:val="00003923"/>
    <w:rsid w:val="00003998"/>
    <w:rsid w:val="000039CB"/>
    <w:rsid w:val="00003A1E"/>
    <w:rsid w:val="00003B7A"/>
    <w:rsid w:val="00003BE3"/>
    <w:rsid w:val="00003C58"/>
    <w:rsid w:val="00003C62"/>
    <w:rsid w:val="00003C71"/>
    <w:rsid w:val="00003C7B"/>
    <w:rsid w:val="00003D4F"/>
    <w:rsid w:val="00003DB0"/>
    <w:rsid w:val="00003DB9"/>
    <w:rsid w:val="00003DDF"/>
    <w:rsid w:val="00003E1C"/>
    <w:rsid w:val="00003EBA"/>
    <w:rsid w:val="00003F17"/>
    <w:rsid w:val="00003F6F"/>
    <w:rsid w:val="00004019"/>
    <w:rsid w:val="0000407F"/>
    <w:rsid w:val="0000408F"/>
    <w:rsid w:val="000040AE"/>
    <w:rsid w:val="000040FE"/>
    <w:rsid w:val="00004109"/>
    <w:rsid w:val="0000414B"/>
    <w:rsid w:val="000041D2"/>
    <w:rsid w:val="000042A7"/>
    <w:rsid w:val="00004350"/>
    <w:rsid w:val="000043F0"/>
    <w:rsid w:val="000043F2"/>
    <w:rsid w:val="000043F7"/>
    <w:rsid w:val="000044CB"/>
    <w:rsid w:val="000044E2"/>
    <w:rsid w:val="00004767"/>
    <w:rsid w:val="000047AC"/>
    <w:rsid w:val="000047C9"/>
    <w:rsid w:val="0000480D"/>
    <w:rsid w:val="00004887"/>
    <w:rsid w:val="00004958"/>
    <w:rsid w:val="000049DC"/>
    <w:rsid w:val="000049E3"/>
    <w:rsid w:val="000049E7"/>
    <w:rsid w:val="00004A08"/>
    <w:rsid w:val="00004AD8"/>
    <w:rsid w:val="00004BF7"/>
    <w:rsid w:val="00004D7F"/>
    <w:rsid w:val="00004EA6"/>
    <w:rsid w:val="00004EC0"/>
    <w:rsid w:val="00004F10"/>
    <w:rsid w:val="00004FC1"/>
    <w:rsid w:val="00004FDE"/>
    <w:rsid w:val="00005058"/>
    <w:rsid w:val="0000506B"/>
    <w:rsid w:val="00005151"/>
    <w:rsid w:val="00005160"/>
    <w:rsid w:val="000051EC"/>
    <w:rsid w:val="00005210"/>
    <w:rsid w:val="0000535C"/>
    <w:rsid w:val="000054A8"/>
    <w:rsid w:val="000054E2"/>
    <w:rsid w:val="0000565A"/>
    <w:rsid w:val="0000567D"/>
    <w:rsid w:val="00005702"/>
    <w:rsid w:val="00005805"/>
    <w:rsid w:val="0000581E"/>
    <w:rsid w:val="00005887"/>
    <w:rsid w:val="000058B6"/>
    <w:rsid w:val="000058EC"/>
    <w:rsid w:val="00005925"/>
    <w:rsid w:val="0000595E"/>
    <w:rsid w:val="00005A95"/>
    <w:rsid w:val="00005ACB"/>
    <w:rsid w:val="00005ADB"/>
    <w:rsid w:val="00005B9A"/>
    <w:rsid w:val="00005BA3"/>
    <w:rsid w:val="00005BB7"/>
    <w:rsid w:val="00005BBC"/>
    <w:rsid w:val="00005BC1"/>
    <w:rsid w:val="00005BEE"/>
    <w:rsid w:val="00005C2A"/>
    <w:rsid w:val="00005D3B"/>
    <w:rsid w:val="00005E96"/>
    <w:rsid w:val="00005F01"/>
    <w:rsid w:val="00005F6D"/>
    <w:rsid w:val="00005FF0"/>
    <w:rsid w:val="00006005"/>
    <w:rsid w:val="000060A0"/>
    <w:rsid w:val="000060FD"/>
    <w:rsid w:val="0000629B"/>
    <w:rsid w:val="000062EE"/>
    <w:rsid w:val="00006314"/>
    <w:rsid w:val="0000632C"/>
    <w:rsid w:val="00006353"/>
    <w:rsid w:val="00006363"/>
    <w:rsid w:val="000063A2"/>
    <w:rsid w:val="0000644A"/>
    <w:rsid w:val="00006491"/>
    <w:rsid w:val="000064B9"/>
    <w:rsid w:val="00006583"/>
    <w:rsid w:val="00006642"/>
    <w:rsid w:val="00006656"/>
    <w:rsid w:val="00006711"/>
    <w:rsid w:val="00006731"/>
    <w:rsid w:val="0000685D"/>
    <w:rsid w:val="00006862"/>
    <w:rsid w:val="000068B4"/>
    <w:rsid w:val="000069A2"/>
    <w:rsid w:val="00006A08"/>
    <w:rsid w:val="00006A0D"/>
    <w:rsid w:val="00006BD3"/>
    <w:rsid w:val="00006BD4"/>
    <w:rsid w:val="00006C7D"/>
    <w:rsid w:val="00006D4C"/>
    <w:rsid w:val="00006DBC"/>
    <w:rsid w:val="00006DE1"/>
    <w:rsid w:val="00006E8A"/>
    <w:rsid w:val="00006EB3"/>
    <w:rsid w:val="00006EC6"/>
    <w:rsid w:val="00006ED2"/>
    <w:rsid w:val="0000701C"/>
    <w:rsid w:val="000070FD"/>
    <w:rsid w:val="0000713D"/>
    <w:rsid w:val="000071D0"/>
    <w:rsid w:val="00007208"/>
    <w:rsid w:val="0000720C"/>
    <w:rsid w:val="0000729A"/>
    <w:rsid w:val="00007313"/>
    <w:rsid w:val="00007326"/>
    <w:rsid w:val="0000732C"/>
    <w:rsid w:val="00007453"/>
    <w:rsid w:val="0000745A"/>
    <w:rsid w:val="000074DE"/>
    <w:rsid w:val="0000762C"/>
    <w:rsid w:val="00007773"/>
    <w:rsid w:val="00007798"/>
    <w:rsid w:val="000077D9"/>
    <w:rsid w:val="0000788D"/>
    <w:rsid w:val="00007991"/>
    <w:rsid w:val="000079D4"/>
    <w:rsid w:val="00007A9F"/>
    <w:rsid w:val="00007B40"/>
    <w:rsid w:val="00007B68"/>
    <w:rsid w:val="00007BA5"/>
    <w:rsid w:val="00007BDE"/>
    <w:rsid w:val="00007BED"/>
    <w:rsid w:val="00007C08"/>
    <w:rsid w:val="00007C4D"/>
    <w:rsid w:val="00007C82"/>
    <w:rsid w:val="00007D73"/>
    <w:rsid w:val="00007F53"/>
    <w:rsid w:val="00007FD5"/>
    <w:rsid w:val="0000DA14"/>
    <w:rsid w:val="00010071"/>
    <w:rsid w:val="000100D1"/>
    <w:rsid w:val="00010119"/>
    <w:rsid w:val="00010237"/>
    <w:rsid w:val="00010248"/>
    <w:rsid w:val="000102A2"/>
    <w:rsid w:val="000102C8"/>
    <w:rsid w:val="000103B0"/>
    <w:rsid w:val="000103CB"/>
    <w:rsid w:val="000104BF"/>
    <w:rsid w:val="00010558"/>
    <w:rsid w:val="00010589"/>
    <w:rsid w:val="000105D3"/>
    <w:rsid w:val="0001061A"/>
    <w:rsid w:val="00010654"/>
    <w:rsid w:val="0001070A"/>
    <w:rsid w:val="0001070D"/>
    <w:rsid w:val="00010784"/>
    <w:rsid w:val="000108CE"/>
    <w:rsid w:val="00010974"/>
    <w:rsid w:val="0001097C"/>
    <w:rsid w:val="00010990"/>
    <w:rsid w:val="000109D2"/>
    <w:rsid w:val="00010A82"/>
    <w:rsid w:val="00010AE3"/>
    <w:rsid w:val="00010B71"/>
    <w:rsid w:val="00010B97"/>
    <w:rsid w:val="00010BA5"/>
    <w:rsid w:val="00010BB8"/>
    <w:rsid w:val="00010C62"/>
    <w:rsid w:val="00010E88"/>
    <w:rsid w:val="00010E8E"/>
    <w:rsid w:val="00010F69"/>
    <w:rsid w:val="00010F98"/>
    <w:rsid w:val="00010FCA"/>
    <w:rsid w:val="0001104E"/>
    <w:rsid w:val="000110AA"/>
    <w:rsid w:val="00011159"/>
    <w:rsid w:val="000111E2"/>
    <w:rsid w:val="000111F5"/>
    <w:rsid w:val="0001135F"/>
    <w:rsid w:val="00011432"/>
    <w:rsid w:val="000115AB"/>
    <w:rsid w:val="000115DB"/>
    <w:rsid w:val="000115F5"/>
    <w:rsid w:val="0001168D"/>
    <w:rsid w:val="000116C6"/>
    <w:rsid w:val="0001184A"/>
    <w:rsid w:val="000118D1"/>
    <w:rsid w:val="00011944"/>
    <w:rsid w:val="0001199E"/>
    <w:rsid w:val="00011A91"/>
    <w:rsid w:val="00011C82"/>
    <w:rsid w:val="00011CC1"/>
    <w:rsid w:val="00011E40"/>
    <w:rsid w:val="00011E96"/>
    <w:rsid w:val="00011EBE"/>
    <w:rsid w:val="00011EEC"/>
    <w:rsid w:val="000120A3"/>
    <w:rsid w:val="0001213D"/>
    <w:rsid w:val="00012184"/>
    <w:rsid w:val="000121A4"/>
    <w:rsid w:val="000121A9"/>
    <w:rsid w:val="000121AA"/>
    <w:rsid w:val="000121BD"/>
    <w:rsid w:val="00012205"/>
    <w:rsid w:val="0001222E"/>
    <w:rsid w:val="00012243"/>
    <w:rsid w:val="000123E6"/>
    <w:rsid w:val="00012404"/>
    <w:rsid w:val="00012428"/>
    <w:rsid w:val="0001246C"/>
    <w:rsid w:val="000124AA"/>
    <w:rsid w:val="000124F5"/>
    <w:rsid w:val="00012562"/>
    <w:rsid w:val="00012585"/>
    <w:rsid w:val="000125A0"/>
    <w:rsid w:val="000125A1"/>
    <w:rsid w:val="000125B4"/>
    <w:rsid w:val="000125BD"/>
    <w:rsid w:val="0001269F"/>
    <w:rsid w:val="000126D4"/>
    <w:rsid w:val="00012712"/>
    <w:rsid w:val="0001278E"/>
    <w:rsid w:val="000127AE"/>
    <w:rsid w:val="00012898"/>
    <w:rsid w:val="000128B7"/>
    <w:rsid w:val="00012932"/>
    <w:rsid w:val="0001294D"/>
    <w:rsid w:val="00012970"/>
    <w:rsid w:val="0001297B"/>
    <w:rsid w:val="0001298A"/>
    <w:rsid w:val="000129E6"/>
    <w:rsid w:val="00012AAA"/>
    <w:rsid w:val="00012B62"/>
    <w:rsid w:val="00012C14"/>
    <w:rsid w:val="00012C63"/>
    <w:rsid w:val="00012CDC"/>
    <w:rsid w:val="00012CFD"/>
    <w:rsid w:val="00012DE2"/>
    <w:rsid w:val="00012DEA"/>
    <w:rsid w:val="00012E09"/>
    <w:rsid w:val="00012E37"/>
    <w:rsid w:val="00012E59"/>
    <w:rsid w:val="00012EE1"/>
    <w:rsid w:val="00012F3F"/>
    <w:rsid w:val="00012F98"/>
    <w:rsid w:val="0001310C"/>
    <w:rsid w:val="000131E6"/>
    <w:rsid w:val="00013216"/>
    <w:rsid w:val="00013283"/>
    <w:rsid w:val="00013286"/>
    <w:rsid w:val="000132AA"/>
    <w:rsid w:val="000133A0"/>
    <w:rsid w:val="0001344E"/>
    <w:rsid w:val="000134B8"/>
    <w:rsid w:val="000134C9"/>
    <w:rsid w:val="00013585"/>
    <w:rsid w:val="000135B1"/>
    <w:rsid w:val="000135ED"/>
    <w:rsid w:val="000137F8"/>
    <w:rsid w:val="00013827"/>
    <w:rsid w:val="00013881"/>
    <w:rsid w:val="00013896"/>
    <w:rsid w:val="000139C1"/>
    <w:rsid w:val="000139CB"/>
    <w:rsid w:val="00013ABD"/>
    <w:rsid w:val="00013C05"/>
    <w:rsid w:val="00013CC8"/>
    <w:rsid w:val="00013CD4"/>
    <w:rsid w:val="00013F80"/>
    <w:rsid w:val="00013F9C"/>
    <w:rsid w:val="00013FF5"/>
    <w:rsid w:val="0001402B"/>
    <w:rsid w:val="0001402F"/>
    <w:rsid w:val="00014101"/>
    <w:rsid w:val="00014118"/>
    <w:rsid w:val="0001415C"/>
    <w:rsid w:val="0001419E"/>
    <w:rsid w:val="000141E7"/>
    <w:rsid w:val="000141E8"/>
    <w:rsid w:val="00014201"/>
    <w:rsid w:val="00014250"/>
    <w:rsid w:val="000142D9"/>
    <w:rsid w:val="0001432C"/>
    <w:rsid w:val="00014345"/>
    <w:rsid w:val="00014387"/>
    <w:rsid w:val="000144AF"/>
    <w:rsid w:val="000144B0"/>
    <w:rsid w:val="000145F5"/>
    <w:rsid w:val="0001460B"/>
    <w:rsid w:val="00014811"/>
    <w:rsid w:val="000149CD"/>
    <w:rsid w:val="00014A2D"/>
    <w:rsid w:val="00014A8D"/>
    <w:rsid w:val="00014AA3"/>
    <w:rsid w:val="00014B44"/>
    <w:rsid w:val="00014BFE"/>
    <w:rsid w:val="00014C17"/>
    <w:rsid w:val="00014C25"/>
    <w:rsid w:val="00014C7A"/>
    <w:rsid w:val="00014CA3"/>
    <w:rsid w:val="00014D1E"/>
    <w:rsid w:val="00014D49"/>
    <w:rsid w:val="00014D51"/>
    <w:rsid w:val="00014DF5"/>
    <w:rsid w:val="00014E31"/>
    <w:rsid w:val="00014F61"/>
    <w:rsid w:val="00014F6B"/>
    <w:rsid w:val="00014FAD"/>
    <w:rsid w:val="000150DB"/>
    <w:rsid w:val="0001513E"/>
    <w:rsid w:val="0001515B"/>
    <w:rsid w:val="0001516C"/>
    <w:rsid w:val="0001518C"/>
    <w:rsid w:val="000151AF"/>
    <w:rsid w:val="00015210"/>
    <w:rsid w:val="0001522A"/>
    <w:rsid w:val="00015243"/>
    <w:rsid w:val="00015257"/>
    <w:rsid w:val="00015290"/>
    <w:rsid w:val="0001530E"/>
    <w:rsid w:val="0001539E"/>
    <w:rsid w:val="000153D1"/>
    <w:rsid w:val="000154D8"/>
    <w:rsid w:val="000154DE"/>
    <w:rsid w:val="000155AB"/>
    <w:rsid w:val="000155BB"/>
    <w:rsid w:val="000155FE"/>
    <w:rsid w:val="0001570C"/>
    <w:rsid w:val="00015711"/>
    <w:rsid w:val="0001577A"/>
    <w:rsid w:val="00015854"/>
    <w:rsid w:val="000158B0"/>
    <w:rsid w:val="00015901"/>
    <w:rsid w:val="00015BC7"/>
    <w:rsid w:val="00015BFE"/>
    <w:rsid w:val="00015C99"/>
    <w:rsid w:val="00015CF7"/>
    <w:rsid w:val="00015D5D"/>
    <w:rsid w:val="00015D81"/>
    <w:rsid w:val="00015DFE"/>
    <w:rsid w:val="00015E07"/>
    <w:rsid w:val="00015F45"/>
    <w:rsid w:val="00015F82"/>
    <w:rsid w:val="00015FB6"/>
    <w:rsid w:val="00016080"/>
    <w:rsid w:val="000160E6"/>
    <w:rsid w:val="00016169"/>
    <w:rsid w:val="00016309"/>
    <w:rsid w:val="000163D3"/>
    <w:rsid w:val="00016410"/>
    <w:rsid w:val="0001641F"/>
    <w:rsid w:val="000164F3"/>
    <w:rsid w:val="00016510"/>
    <w:rsid w:val="00016578"/>
    <w:rsid w:val="00016584"/>
    <w:rsid w:val="000165CB"/>
    <w:rsid w:val="00016617"/>
    <w:rsid w:val="00016636"/>
    <w:rsid w:val="00016669"/>
    <w:rsid w:val="0001667F"/>
    <w:rsid w:val="000167C8"/>
    <w:rsid w:val="0001684E"/>
    <w:rsid w:val="0001685F"/>
    <w:rsid w:val="000168B8"/>
    <w:rsid w:val="000168CF"/>
    <w:rsid w:val="000169F2"/>
    <w:rsid w:val="00016AA6"/>
    <w:rsid w:val="00016AD6"/>
    <w:rsid w:val="00016BAC"/>
    <w:rsid w:val="00016C60"/>
    <w:rsid w:val="00016D1D"/>
    <w:rsid w:val="00016D68"/>
    <w:rsid w:val="00016E3E"/>
    <w:rsid w:val="00016E5B"/>
    <w:rsid w:val="00016F29"/>
    <w:rsid w:val="00016F3D"/>
    <w:rsid w:val="000170A3"/>
    <w:rsid w:val="00017121"/>
    <w:rsid w:val="0001713D"/>
    <w:rsid w:val="0001719E"/>
    <w:rsid w:val="0001722F"/>
    <w:rsid w:val="000172C8"/>
    <w:rsid w:val="000174C9"/>
    <w:rsid w:val="000174DE"/>
    <w:rsid w:val="000174F4"/>
    <w:rsid w:val="000174FA"/>
    <w:rsid w:val="00017528"/>
    <w:rsid w:val="0001754E"/>
    <w:rsid w:val="00017589"/>
    <w:rsid w:val="000175A0"/>
    <w:rsid w:val="00017637"/>
    <w:rsid w:val="000176AB"/>
    <w:rsid w:val="0001772A"/>
    <w:rsid w:val="00017731"/>
    <w:rsid w:val="0001774A"/>
    <w:rsid w:val="0001776C"/>
    <w:rsid w:val="000177F6"/>
    <w:rsid w:val="0001787B"/>
    <w:rsid w:val="0001788F"/>
    <w:rsid w:val="000178A0"/>
    <w:rsid w:val="00017963"/>
    <w:rsid w:val="00017A1A"/>
    <w:rsid w:val="00017A26"/>
    <w:rsid w:val="00017C80"/>
    <w:rsid w:val="00017C99"/>
    <w:rsid w:val="00017CC0"/>
    <w:rsid w:val="00017CF7"/>
    <w:rsid w:val="00017D90"/>
    <w:rsid w:val="00017DE8"/>
    <w:rsid w:val="00017F65"/>
    <w:rsid w:val="00017FA6"/>
    <w:rsid w:val="0002010B"/>
    <w:rsid w:val="00020118"/>
    <w:rsid w:val="00020148"/>
    <w:rsid w:val="00020165"/>
    <w:rsid w:val="0002016D"/>
    <w:rsid w:val="00020242"/>
    <w:rsid w:val="00020377"/>
    <w:rsid w:val="0002037C"/>
    <w:rsid w:val="0002039E"/>
    <w:rsid w:val="000203B6"/>
    <w:rsid w:val="000203D0"/>
    <w:rsid w:val="0002054B"/>
    <w:rsid w:val="00020585"/>
    <w:rsid w:val="000205C0"/>
    <w:rsid w:val="000205F6"/>
    <w:rsid w:val="0002066A"/>
    <w:rsid w:val="000206AD"/>
    <w:rsid w:val="00020706"/>
    <w:rsid w:val="000207A5"/>
    <w:rsid w:val="000207DF"/>
    <w:rsid w:val="00020823"/>
    <w:rsid w:val="00020843"/>
    <w:rsid w:val="0002086C"/>
    <w:rsid w:val="000209A9"/>
    <w:rsid w:val="000209FA"/>
    <w:rsid w:val="00020AC8"/>
    <w:rsid w:val="00020ACA"/>
    <w:rsid w:val="00020B36"/>
    <w:rsid w:val="00020B8F"/>
    <w:rsid w:val="00020B94"/>
    <w:rsid w:val="00020C46"/>
    <w:rsid w:val="00020CA8"/>
    <w:rsid w:val="00020CE4"/>
    <w:rsid w:val="00020CFF"/>
    <w:rsid w:val="00020D04"/>
    <w:rsid w:val="00020D18"/>
    <w:rsid w:val="00020DCE"/>
    <w:rsid w:val="00020DE3"/>
    <w:rsid w:val="00020E2E"/>
    <w:rsid w:val="00020E65"/>
    <w:rsid w:val="00020E7C"/>
    <w:rsid w:val="00020EE8"/>
    <w:rsid w:val="00020F39"/>
    <w:rsid w:val="00020F76"/>
    <w:rsid w:val="00020F91"/>
    <w:rsid w:val="00020FDD"/>
    <w:rsid w:val="00021018"/>
    <w:rsid w:val="00021028"/>
    <w:rsid w:val="00021059"/>
    <w:rsid w:val="000210A0"/>
    <w:rsid w:val="000210E2"/>
    <w:rsid w:val="00021124"/>
    <w:rsid w:val="00021182"/>
    <w:rsid w:val="00021206"/>
    <w:rsid w:val="00021235"/>
    <w:rsid w:val="000213B0"/>
    <w:rsid w:val="000213C1"/>
    <w:rsid w:val="00021526"/>
    <w:rsid w:val="0002167A"/>
    <w:rsid w:val="00021690"/>
    <w:rsid w:val="00021811"/>
    <w:rsid w:val="00021858"/>
    <w:rsid w:val="00021953"/>
    <w:rsid w:val="00021993"/>
    <w:rsid w:val="00021A3C"/>
    <w:rsid w:val="00021A70"/>
    <w:rsid w:val="00021A9B"/>
    <w:rsid w:val="00021AE4"/>
    <w:rsid w:val="00021B1C"/>
    <w:rsid w:val="00021B3E"/>
    <w:rsid w:val="00021C45"/>
    <w:rsid w:val="00021CA6"/>
    <w:rsid w:val="00021CDB"/>
    <w:rsid w:val="00021D91"/>
    <w:rsid w:val="00021D93"/>
    <w:rsid w:val="00021DBB"/>
    <w:rsid w:val="00021E01"/>
    <w:rsid w:val="00021ECD"/>
    <w:rsid w:val="00021EFE"/>
    <w:rsid w:val="00021F18"/>
    <w:rsid w:val="00021F6A"/>
    <w:rsid w:val="00021F70"/>
    <w:rsid w:val="00021FBB"/>
    <w:rsid w:val="00021FC4"/>
    <w:rsid w:val="0002203D"/>
    <w:rsid w:val="000220F9"/>
    <w:rsid w:val="00022130"/>
    <w:rsid w:val="00022156"/>
    <w:rsid w:val="000221F8"/>
    <w:rsid w:val="0002225F"/>
    <w:rsid w:val="000222A5"/>
    <w:rsid w:val="0002230D"/>
    <w:rsid w:val="0002234A"/>
    <w:rsid w:val="000225B8"/>
    <w:rsid w:val="000225D1"/>
    <w:rsid w:val="00022777"/>
    <w:rsid w:val="000227EA"/>
    <w:rsid w:val="000228C9"/>
    <w:rsid w:val="000229B0"/>
    <w:rsid w:val="00022AAB"/>
    <w:rsid w:val="00022AFD"/>
    <w:rsid w:val="00022B5B"/>
    <w:rsid w:val="00022C50"/>
    <w:rsid w:val="00022C53"/>
    <w:rsid w:val="00022C5A"/>
    <w:rsid w:val="00022CA2"/>
    <w:rsid w:val="00022CB2"/>
    <w:rsid w:val="00022D6D"/>
    <w:rsid w:val="00022E0B"/>
    <w:rsid w:val="00022EE4"/>
    <w:rsid w:val="00022F2C"/>
    <w:rsid w:val="00023005"/>
    <w:rsid w:val="0002301C"/>
    <w:rsid w:val="00023098"/>
    <w:rsid w:val="00023232"/>
    <w:rsid w:val="0002347F"/>
    <w:rsid w:val="000235AB"/>
    <w:rsid w:val="000235C2"/>
    <w:rsid w:val="0002361C"/>
    <w:rsid w:val="00023637"/>
    <w:rsid w:val="000236B7"/>
    <w:rsid w:val="00023782"/>
    <w:rsid w:val="0002382A"/>
    <w:rsid w:val="00023834"/>
    <w:rsid w:val="000238C0"/>
    <w:rsid w:val="000239C0"/>
    <w:rsid w:val="00023A55"/>
    <w:rsid w:val="00023BB5"/>
    <w:rsid w:val="00023BE1"/>
    <w:rsid w:val="00023BEE"/>
    <w:rsid w:val="00023C55"/>
    <w:rsid w:val="00023C9F"/>
    <w:rsid w:val="00023CCC"/>
    <w:rsid w:val="00023D20"/>
    <w:rsid w:val="00023DB9"/>
    <w:rsid w:val="00023DC2"/>
    <w:rsid w:val="00023FBB"/>
    <w:rsid w:val="00023FDB"/>
    <w:rsid w:val="00024026"/>
    <w:rsid w:val="0002409A"/>
    <w:rsid w:val="00024141"/>
    <w:rsid w:val="000241BB"/>
    <w:rsid w:val="000241EB"/>
    <w:rsid w:val="00024373"/>
    <w:rsid w:val="000243CF"/>
    <w:rsid w:val="000243FC"/>
    <w:rsid w:val="00024466"/>
    <w:rsid w:val="0002458E"/>
    <w:rsid w:val="000245A4"/>
    <w:rsid w:val="00024645"/>
    <w:rsid w:val="00024681"/>
    <w:rsid w:val="000246EE"/>
    <w:rsid w:val="00024750"/>
    <w:rsid w:val="00024769"/>
    <w:rsid w:val="00024815"/>
    <w:rsid w:val="00024917"/>
    <w:rsid w:val="000249ED"/>
    <w:rsid w:val="000249FE"/>
    <w:rsid w:val="00024A29"/>
    <w:rsid w:val="00024A7E"/>
    <w:rsid w:val="00024A81"/>
    <w:rsid w:val="00024B56"/>
    <w:rsid w:val="00024BAB"/>
    <w:rsid w:val="00024C15"/>
    <w:rsid w:val="00024CFC"/>
    <w:rsid w:val="00024D43"/>
    <w:rsid w:val="00024D8F"/>
    <w:rsid w:val="00024DF9"/>
    <w:rsid w:val="00024E6C"/>
    <w:rsid w:val="00024F79"/>
    <w:rsid w:val="000251A2"/>
    <w:rsid w:val="000251EB"/>
    <w:rsid w:val="000252B6"/>
    <w:rsid w:val="000252BF"/>
    <w:rsid w:val="000252C7"/>
    <w:rsid w:val="0002537E"/>
    <w:rsid w:val="000253D0"/>
    <w:rsid w:val="00025408"/>
    <w:rsid w:val="000254D7"/>
    <w:rsid w:val="0002551B"/>
    <w:rsid w:val="00025592"/>
    <w:rsid w:val="00025652"/>
    <w:rsid w:val="00025783"/>
    <w:rsid w:val="000257B2"/>
    <w:rsid w:val="000257E6"/>
    <w:rsid w:val="000258B6"/>
    <w:rsid w:val="000258D9"/>
    <w:rsid w:val="000258DB"/>
    <w:rsid w:val="00025919"/>
    <w:rsid w:val="0002596A"/>
    <w:rsid w:val="000259EC"/>
    <w:rsid w:val="00025ACB"/>
    <w:rsid w:val="00025AE5"/>
    <w:rsid w:val="00025B1C"/>
    <w:rsid w:val="00025C28"/>
    <w:rsid w:val="00025CCC"/>
    <w:rsid w:val="00025D38"/>
    <w:rsid w:val="00025DE0"/>
    <w:rsid w:val="00025E88"/>
    <w:rsid w:val="00025EBB"/>
    <w:rsid w:val="00025EC1"/>
    <w:rsid w:val="00025ED0"/>
    <w:rsid w:val="00025EF2"/>
    <w:rsid w:val="00025F01"/>
    <w:rsid w:val="00025F18"/>
    <w:rsid w:val="00025FDB"/>
    <w:rsid w:val="0002605C"/>
    <w:rsid w:val="0002614F"/>
    <w:rsid w:val="00026172"/>
    <w:rsid w:val="000261EA"/>
    <w:rsid w:val="00026444"/>
    <w:rsid w:val="00026450"/>
    <w:rsid w:val="0002653D"/>
    <w:rsid w:val="0002653F"/>
    <w:rsid w:val="0002654A"/>
    <w:rsid w:val="00026563"/>
    <w:rsid w:val="000265C2"/>
    <w:rsid w:val="00026601"/>
    <w:rsid w:val="0002661F"/>
    <w:rsid w:val="000266B7"/>
    <w:rsid w:val="00026701"/>
    <w:rsid w:val="0002673A"/>
    <w:rsid w:val="0002675B"/>
    <w:rsid w:val="0002679F"/>
    <w:rsid w:val="000267C0"/>
    <w:rsid w:val="000267FA"/>
    <w:rsid w:val="00026828"/>
    <w:rsid w:val="00026896"/>
    <w:rsid w:val="000269F3"/>
    <w:rsid w:val="00026A65"/>
    <w:rsid w:val="00026A82"/>
    <w:rsid w:val="00026A85"/>
    <w:rsid w:val="00026AB3"/>
    <w:rsid w:val="00026ADE"/>
    <w:rsid w:val="00026B57"/>
    <w:rsid w:val="00026BA4"/>
    <w:rsid w:val="00026CA0"/>
    <w:rsid w:val="00026D47"/>
    <w:rsid w:val="00026E26"/>
    <w:rsid w:val="00026E7D"/>
    <w:rsid w:val="00026E93"/>
    <w:rsid w:val="00026EC2"/>
    <w:rsid w:val="00026F1C"/>
    <w:rsid w:val="00026FB1"/>
    <w:rsid w:val="00026FB8"/>
    <w:rsid w:val="00026FFD"/>
    <w:rsid w:val="00026FFF"/>
    <w:rsid w:val="00027074"/>
    <w:rsid w:val="000271F3"/>
    <w:rsid w:val="0002720B"/>
    <w:rsid w:val="000272A0"/>
    <w:rsid w:val="0002731E"/>
    <w:rsid w:val="0002732B"/>
    <w:rsid w:val="00027332"/>
    <w:rsid w:val="000273FE"/>
    <w:rsid w:val="00027477"/>
    <w:rsid w:val="000275CA"/>
    <w:rsid w:val="00027601"/>
    <w:rsid w:val="00027647"/>
    <w:rsid w:val="000276B8"/>
    <w:rsid w:val="000277DC"/>
    <w:rsid w:val="00027834"/>
    <w:rsid w:val="00027867"/>
    <w:rsid w:val="000278D0"/>
    <w:rsid w:val="000278E8"/>
    <w:rsid w:val="00027927"/>
    <w:rsid w:val="00027A5E"/>
    <w:rsid w:val="00027AD9"/>
    <w:rsid w:val="00027AF1"/>
    <w:rsid w:val="00027BB7"/>
    <w:rsid w:val="00027C8D"/>
    <w:rsid w:val="00027C9B"/>
    <w:rsid w:val="00027D4E"/>
    <w:rsid w:val="00027D81"/>
    <w:rsid w:val="00027ED1"/>
    <w:rsid w:val="00027EF7"/>
    <w:rsid w:val="00027F6E"/>
    <w:rsid w:val="00027FAE"/>
    <w:rsid w:val="00027FC3"/>
    <w:rsid w:val="00027FC9"/>
    <w:rsid w:val="0003001D"/>
    <w:rsid w:val="00030079"/>
    <w:rsid w:val="0003007E"/>
    <w:rsid w:val="00030097"/>
    <w:rsid w:val="000300D6"/>
    <w:rsid w:val="000300FC"/>
    <w:rsid w:val="00030124"/>
    <w:rsid w:val="0003015D"/>
    <w:rsid w:val="00030192"/>
    <w:rsid w:val="00030305"/>
    <w:rsid w:val="00030427"/>
    <w:rsid w:val="00030515"/>
    <w:rsid w:val="00030547"/>
    <w:rsid w:val="0003054A"/>
    <w:rsid w:val="00030665"/>
    <w:rsid w:val="000306D6"/>
    <w:rsid w:val="000306F6"/>
    <w:rsid w:val="00030719"/>
    <w:rsid w:val="0003072B"/>
    <w:rsid w:val="0003074A"/>
    <w:rsid w:val="000308C0"/>
    <w:rsid w:val="000308D4"/>
    <w:rsid w:val="00030945"/>
    <w:rsid w:val="00030988"/>
    <w:rsid w:val="000309AB"/>
    <w:rsid w:val="00030A8D"/>
    <w:rsid w:val="00030B07"/>
    <w:rsid w:val="00030B1B"/>
    <w:rsid w:val="00030B23"/>
    <w:rsid w:val="00030B48"/>
    <w:rsid w:val="00030B91"/>
    <w:rsid w:val="00030D38"/>
    <w:rsid w:val="00030E7E"/>
    <w:rsid w:val="00030EBD"/>
    <w:rsid w:val="00030F6B"/>
    <w:rsid w:val="000310B1"/>
    <w:rsid w:val="00031134"/>
    <w:rsid w:val="0003114D"/>
    <w:rsid w:val="00031175"/>
    <w:rsid w:val="000311DB"/>
    <w:rsid w:val="0003120A"/>
    <w:rsid w:val="0003120B"/>
    <w:rsid w:val="000312AD"/>
    <w:rsid w:val="000312AE"/>
    <w:rsid w:val="000312EB"/>
    <w:rsid w:val="00031333"/>
    <w:rsid w:val="00031361"/>
    <w:rsid w:val="00031380"/>
    <w:rsid w:val="000313FA"/>
    <w:rsid w:val="0003140A"/>
    <w:rsid w:val="0003149B"/>
    <w:rsid w:val="000314F0"/>
    <w:rsid w:val="00031586"/>
    <w:rsid w:val="0003158D"/>
    <w:rsid w:val="000315D7"/>
    <w:rsid w:val="000315F7"/>
    <w:rsid w:val="00031641"/>
    <w:rsid w:val="000316A6"/>
    <w:rsid w:val="00031709"/>
    <w:rsid w:val="000317E0"/>
    <w:rsid w:val="0003180B"/>
    <w:rsid w:val="0003181C"/>
    <w:rsid w:val="00031847"/>
    <w:rsid w:val="000319CA"/>
    <w:rsid w:val="000319CC"/>
    <w:rsid w:val="00031A25"/>
    <w:rsid w:val="00031A5B"/>
    <w:rsid w:val="00031B25"/>
    <w:rsid w:val="00031B78"/>
    <w:rsid w:val="00031C08"/>
    <w:rsid w:val="00031CEA"/>
    <w:rsid w:val="00031DE1"/>
    <w:rsid w:val="00031F5C"/>
    <w:rsid w:val="00031F7F"/>
    <w:rsid w:val="00031F88"/>
    <w:rsid w:val="00031FFF"/>
    <w:rsid w:val="00032004"/>
    <w:rsid w:val="0003202D"/>
    <w:rsid w:val="00032065"/>
    <w:rsid w:val="000320D5"/>
    <w:rsid w:val="00032278"/>
    <w:rsid w:val="000322BB"/>
    <w:rsid w:val="000322CD"/>
    <w:rsid w:val="000322D8"/>
    <w:rsid w:val="000322E1"/>
    <w:rsid w:val="000322EE"/>
    <w:rsid w:val="00032368"/>
    <w:rsid w:val="000324EC"/>
    <w:rsid w:val="000325A5"/>
    <w:rsid w:val="000326C2"/>
    <w:rsid w:val="00032736"/>
    <w:rsid w:val="0003276E"/>
    <w:rsid w:val="00032823"/>
    <w:rsid w:val="00032829"/>
    <w:rsid w:val="000328E7"/>
    <w:rsid w:val="000328F8"/>
    <w:rsid w:val="0003297E"/>
    <w:rsid w:val="000329F6"/>
    <w:rsid w:val="00032A34"/>
    <w:rsid w:val="00032A3A"/>
    <w:rsid w:val="00032B0A"/>
    <w:rsid w:val="00032B2A"/>
    <w:rsid w:val="00032B5A"/>
    <w:rsid w:val="00032C13"/>
    <w:rsid w:val="00032C5D"/>
    <w:rsid w:val="00032D23"/>
    <w:rsid w:val="00032D6D"/>
    <w:rsid w:val="00032E21"/>
    <w:rsid w:val="00032E69"/>
    <w:rsid w:val="00032EE0"/>
    <w:rsid w:val="00032EEB"/>
    <w:rsid w:val="00032F58"/>
    <w:rsid w:val="00033003"/>
    <w:rsid w:val="00033011"/>
    <w:rsid w:val="00033025"/>
    <w:rsid w:val="00033088"/>
    <w:rsid w:val="0003309D"/>
    <w:rsid w:val="000331B3"/>
    <w:rsid w:val="00033202"/>
    <w:rsid w:val="0003328E"/>
    <w:rsid w:val="000332D6"/>
    <w:rsid w:val="000332E4"/>
    <w:rsid w:val="0003334F"/>
    <w:rsid w:val="00033358"/>
    <w:rsid w:val="0003335E"/>
    <w:rsid w:val="00033390"/>
    <w:rsid w:val="000333B2"/>
    <w:rsid w:val="000333DC"/>
    <w:rsid w:val="000333EB"/>
    <w:rsid w:val="00033444"/>
    <w:rsid w:val="00033497"/>
    <w:rsid w:val="000334C9"/>
    <w:rsid w:val="000334D1"/>
    <w:rsid w:val="000335BD"/>
    <w:rsid w:val="0003364E"/>
    <w:rsid w:val="0003367F"/>
    <w:rsid w:val="000336F6"/>
    <w:rsid w:val="0003375B"/>
    <w:rsid w:val="000338AA"/>
    <w:rsid w:val="0003399E"/>
    <w:rsid w:val="00033AF4"/>
    <w:rsid w:val="00033DE3"/>
    <w:rsid w:val="00033EAC"/>
    <w:rsid w:val="00033EC7"/>
    <w:rsid w:val="00033F71"/>
    <w:rsid w:val="00033F72"/>
    <w:rsid w:val="00033F8C"/>
    <w:rsid w:val="00033FBC"/>
    <w:rsid w:val="0003404E"/>
    <w:rsid w:val="00034103"/>
    <w:rsid w:val="00034115"/>
    <w:rsid w:val="00034171"/>
    <w:rsid w:val="0003428C"/>
    <w:rsid w:val="000342D7"/>
    <w:rsid w:val="0003431C"/>
    <w:rsid w:val="00034324"/>
    <w:rsid w:val="00034358"/>
    <w:rsid w:val="00034382"/>
    <w:rsid w:val="00034451"/>
    <w:rsid w:val="00034495"/>
    <w:rsid w:val="00034627"/>
    <w:rsid w:val="00034647"/>
    <w:rsid w:val="00034690"/>
    <w:rsid w:val="000346A5"/>
    <w:rsid w:val="00034706"/>
    <w:rsid w:val="0003480D"/>
    <w:rsid w:val="000348AD"/>
    <w:rsid w:val="00034956"/>
    <w:rsid w:val="00034A77"/>
    <w:rsid w:val="00034AD9"/>
    <w:rsid w:val="00034AEE"/>
    <w:rsid w:val="00034B9E"/>
    <w:rsid w:val="00034C51"/>
    <w:rsid w:val="00034E6E"/>
    <w:rsid w:val="00034EC1"/>
    <w:rsid w:val="00034F08"/>
    <w:rsid w:val="00034F30"/>
    <w:rsid w:val="00034F5F"/>
    <w:rsid w:val="00034FA6"/>
    <w:rsid w:val="00034FB5"/>
    <w:rsid w:val="00034FF4"/>
    <w:rsid w:val="0003508F"/>
    <w:rsid w:val="000350DC"/>
    <w:rsid w:val="00035122"/>
    <w:rsid w:val="000351D5"/>
    <w:rsid w:val="00035215"/>
    <w:rsid w:val="00035219"/>
    <w:rsid w:val="00035319"/>
    <w:rsid w:val="0003532E"/>
    <w:rsid w:val="000355B8"/>
    <w:rsid w:val="00035605"/>
    <w:rsid w:val="0003565B"/>
    <w:rsid w:val="00035689"/>
    <w:rsid w:val="00035701"/>
    <w:rsid w:val="0003577F"/>
    <w:rsid w:val="000357A4"/>
    <w:rsid w:val="0003582B"/>
    <w:rsid w:val="000358A0"/>
    <w:rsid w:val="00035922"/>
    <w:rsid w:val="0003599F"/>
    <w:rsid w:val="00035A7B"/>
    <w:rsid w:val="00035A86"/>
    <w:rsid w:val="00035A9A"/>
    <w:rsid w:val="00035ACE"/>
    <w:rsid w:val="00035B1E"/>
    <w:rsid w:val="00035B20"/>
    <w:rsid w:val="00035B72"/>
    <w:rsid w:val="00035C19"/>
    <w:rsid w:val="00035C1E"/>
    <w:rsid w:val="00035CCF"/>
    <w:rsid w:val="00035DFC"/>
    <w:rsid w:val="00035ECA"/>
    <w:rsid w:val="00035F2B"/>
    <w:rsid w:val="00035F60"/>
    <w:rsid w:val="00035FDB"/>
    <w:rsid w:val="00036015"/>
    <w:rsid w:val="00036058"/>
    <w:rsid w:val="00036278"/>
    <w:rsid w:val="000364A3"/>
    <w:rsid w:val="000364ED"/>
    <w:rsid w:val="00036696"/>
    <w:rsid w:val="00036710"/>
    <w:rsid w:val="00036746"/>
    <w:rsid w:val="00036825"/>
    <w:rsid w:val="00036877"/>
    <w:rsid w:val="000368C5"/>
    <w:rsid w:val="000368C8"/>
    <w:rsid w:val="000369C8"/>
    <w:rsid w:val="00036B03"/>
    <w:rsid w:val="00036BD4"/>
    <w:rsid w:val="00036C67"/>
    <w:rsid w:val="00036D0F"/>
    <w:rsid w:val="00036D6E"/>
    <w:rsid w:val="00036E1A"/>
    <w:rsid w:val="00036EBD"/>
    <w:rsid w:val="00036ECD"/>
    <w:rsid w:val="00036EF5"/>
    <w:rsid w:val="00036F4D"/>
    <w:rsid w:val="000370A1"/>
    <w:rsid w:val="000370E8"/>
    <w:rsid w:val="0003735B"/>
    <w:rsid w:val="00037379"/>
    <w:rsid w:val="000374A5"/>
    <w:rsid w:val="0003757D"/>
    <w:rsid w:val="00037687"/>
    <w:rsid w:val="0003781F"/>
    <w:rsid w:val="0003783F"/>
    <w:rsid w:val="00037916"/>
    <w:rsid w:val="0003796B"/>
    <w:rsid w:val="00037A61"/>
    <w:rsid w:val="00037A7D"/>
    <w:rsid w:val="00037AA2"/>
    <w:rsid w:val="00037AA7"/>
    <w:rsid w:val="00037AAF"/>
    <w:rsid w:val="00037AC8"/>
    <w:rsid w:val="00037B59"/>
    <w:rsid w:val="00037C0D"/>
    <w:rsid w:val="00037C2F"/>
    <w:rsid w:val="00037C44"/>
    <w:rsid w:val="00037C74"/>
    <w:rsid w:val="00037D3A"/>
    <w:rsid w:val="00037E43"/>
    <w:rsid w:val="00037EB4"/>
    <w:rsid w:val="00037EB7"/>
    <w:rsid w:val="00040043"/>
    <w:rsid w:val="0004009A"/>
    <w:rsid w:val="000400BC"/>
    <w:rsid w:val="00040118"/>
    <w:rsid w:val="000401B8"/>
    <w:rsid w:val="000401BC"/>
    <w:rsid w:val="00040278"/>
    <w:rsid w:val="000402C0"/>
    <w:rsid w:val="00040366"/>
    <w:rsid w:val="00040431"/>
    <w:rsid w:val="00040486"/>
    <w:rsid w:val="00040503"/>
    <w:rsid w:val="00040695"/>
    <w:rsid w:val="0004072E"/>
    <w:rsid w:val="000407B9"/>
    <w:rsid w:val="00040849"/>
    <w:rsid w:val="0004089D"/>
    <w:rsid w:val="0004089F"/>
    <w:rsid w:val="0004099C"/>
    <w:rsid w:val="000409AA"/>
    <w:rsid w:val="000409BE"/>
    <w:rsid w:val="000409E0"/>
    <w:rsid w:val="00040AAE"/>
    <w:rsid w:val="00040B49"/>
    <w:rsid w:val="00040BB0"/>
    <w:rsid w:val="00040CEF"/>
    <w:rsid w:val="00040D96"/>
    <w:rsid w:val="00040F0B"/>
    <w:rsid w:val="00040FF1"/>
    <w:rsid w:val="00041003"/>
    <w:rsid w:val="000410EF"/>
    <w:rsid w:val="000410F8"/>
    <w:rsid w:val="0004115C"/>
    <w:rsid w:val="0004117E"/>
    <w:rsid w:val="00041277"/>
    <w:rsid w:val="00041296"/>
    <w:rsid w:val="000412C5"/>
    <w:rsid w:val="00041346"/>
    <w:rsid w:val="00041373"/>
    <w:rsid w:val="000413D6"/>
    <w:rsid w:val="000416E1"/>
    <w:rsid w:val="00041717"/>
    <w:rsid w:val="000417A2"/>
    <w:rsid w:val="000417EB"/>
    <w:rsid w:val="0004181D"/>
    <w:rsid w:val="00041901"/>
    <w:rsid w:val="00041904"/>
    <w:rsid w:val="00041924"/>
    <w:rsid w:val="00041A31"/>
    <w:rsid w:val="00041B1E"/>
    <w:rsid w:val="00041B56"/>
    <w:rsid w:val="00041B82"/>
    <w:rsid w:val="00041BD6"/>
    <w:rsid w:val="00041CA9"/>
    <w:rsid w:val="00041EEF"/>
    <w:rsid w:val="00041EFA"/>
    <w:rsid w:val="00041F6E"/>
    <w:rsid w:val="00041FB4"/>
    <w:rsid w:val="00041FE5"/>
    <w:rsid w:val="00042041"/>
    <w:rsid w:val="0004204D"/>
    <w:rsid w:val="00042062"/>
    <w:rsid w:val="000420F2"/>
    <w:rsid w:val="00042160"/>
    <w:rsid w:val="000421E4"/>
    <w:rsid w:val="00042202"/>
    <w:rsid w:val="0004225A"/>
    <w:rsid w:val="00042289"/>
    <w:rsid w:val="000422B0"/>
    <w:rsid w:val="000423B4"/>
    <w:rsid w:val="00042488"/>
    <w:rsid w:val="0004265F"/>
    <w:rsid w:val="0004266F"/>
    <w:rsid w:val="00042738"/>
    <w:rsid w:val="00042793"/>
    <w:rsid w:val="000428E6"/>
    <w:rsid w:val="00042900"/>
    <w:rsid w:val="000429F1"/>
    <w:rsid w:val="00042A3B"/>
    <w:rsid w:val="00042B27"/>
    <w:rsid w:val="00042BC6"/>
    <w:rsid w:val="00042BC8"/>
    <w:rsid w:val="00042C43"/>
    <w:rsid w:val="00042C50"/>
    <w:rsid w:val="00042C73"/>
    <w:rsid w:val="00042D9D"/>
    <w:rsid w:val="00042DBB"/>
    <w:rsid w:val="00042DBC"/>
    <w:rsid w:val="00042EBF"/>
    <w:rsid w:val="00042EE9"/>
    <w:rsid w:val="0004305B"/>
    <w:rsid w:val="000430DD"/>
    <w:rsid w:val="00043105"/>
    <w:rsid w:val="00043186"/>
    <w:rsid w:val="0004318E"/>
    <w:rsid w:val="00043232"/>
    <w:rsid w:val="0004324C"/>
    <w:rsid w:val="000432BD"/>
    <w:rsid w:val="0004333E"/>
    <w:rsid w:val="000433DE"/>
    <w:rsid w:val="00043471"/>
    <w:rsid w:val="00043486"/>
    <w:rsid w:val="000434B2"/>
    <w:rsid w:val="000434C1"/>
    <w:rsid w:val="0004353A"/>
    <w:rsid w:val="000435C5"/>
    <w:rsid w:val="000435D9"/>
    <w:rsid w:val="00043607"/>
    <w:rsid w:val="0004360E"/>
    <w:rsid w:val="0004371E"/>
    <w:rsid w:val="00043757"/>
    <w:rsid w:val="00043794"/>
    <w:rsid w:val="000437B6"/>
    <w:rsid w:val="000437B8"/>
    <w:rsid w:val="000438EC"/>
    <w:rsid w:val="000439CD"/>
    <w:rsid w:val="000439DC"/>
    <w:rsid w:val="00043ADD"/>
    <w:rsid w:val="00043B43"/>
    <w:rsid w:val="00043B86"/>
    <w:rsid w:val="00043B93"/>
    <w:rsid w:val="00043BC1"/>
    <w:rsid w:val="00043BE4"/>
    <w:rsid w:val="00043D83"/>
    <w:rsid w:val="00043DA2"/>
    <w:rsid w:val="00043E72"/>
    <w:rsid w:val="00044037"/>
    <w:rsid w:val="00044095"/>
    <w:rsid w:val="000440AC"/>
    <w:rsid w:val="00044108"/>
    <w:rsid w:val="00044294"/>
    <w:rsid w:val="000442C9"/>
    <w:rsid w:val="00044311"/>
    <w:rsid w:val="0004433F"/>
    <w:rsid w:val="00044343"/>
    <w:rsid w:val="00044429"/>
    <w:rsid w:val="0004452D"/>
    <w:rsid w:val="00044567"/>
    <w:rsid w:val="00044747"/>
    <w:rsid w:val="00044767"/>
    <w:rsid w:val="000448D9"/>
    <w:rsid w:val="000448DF"/>
    <w:rsid w:val="000449F1"/>
    <w:rsid w:val="00044A80"/>
    <w:rsid w:val="00044ADD"/>
    <w:rsid w:val="00044B34"/>
    <w:rsid w:val="00044B41"/>
    <w:rsid w:val="00044BAD"/>
    <w:rsid w:val="00044C2D"/>
    <w:rsid w:val="00044C33"/>
    <w:rsid w:val="00044CF5"/>
    <w:rsid w:val="00044CFB"/>
    <w:rsid w:val="00044D5D"/>
    <w:rsid w:val="00044E75"/>
    <w:rsid w:val="00044FFB"/>
    <w:rsid w:val="00045030"/>
    <w:rsid w:val="00045076"/>
    <w:rsid w:val="000450B6"/>
    <w:rsid w:val="0004511D"/>
    <w:rsid w:val="000451E7"/>
    <w:rsid w:val="00045262"/>
    <w:rsid w:val="000452A4"/>
    <w:rsid w:val="00045303"/>
    <w:rsid w:val="00045369"/>
    <w:rsid w:val="000453F1"/>
    <w:rsid w:val="00045421"/>
    <w:rsid w:val="0004557E"/>
    <w:rsid w:val="00045623"/>
    <w:rsid w:val="000456A8"/>
    <w:rsid w:val="000456C2"/>
    <w:rsid w:val="000456DC"/>
    <w:rsid w:val="00045733"/>
    <w:rsid w:val="0004578F"/>
    <w:rsid w:val="000457E1"/>
    <w:rsid w:val="00045818"/>
    <w:rsid w:val="00045824"/>
    <w:rsid w:val="000458AF"/>
    <w:rsid w:val="000459CC"/>
    <w:rsid w:val="00045A2C"/>
    <w:rsid w:val="00045A4F"/>
    <w:rsid w:val="00045AFE"/>
    <w:rsid w:val="00045B32"/>
    <w:rsid w:val="00045B6D"/>
    <w:rsid w:val="00045B96"/>
    <w:rsid w:val="00045B9E"/>
    <w:rsid w:val="00045BBD"/>
    <w:rsid w:val="00045BE5"/>
    <w:rsid w:val="00045BFB"/>
    <w:rsid w:val="00045C28"/>
    <w:rsid w:val="00045C35"/>
    <w:rsid w:val="00045CA6"/>
    <w:rsid w:val="00045F01"/>
    <w:rsid w:val="00046068"/>
    <w:rsid w:val="00046088"/>
    <w:rsid w:val="000460D9"/>
    <w:rsid w:val="000460ED"/>
    <w:rsid w:val="0004613D"/>
    <w:rsid w:val="0004619C"/>
    <w:rsid w:val="00046282"/>
    <w:rsid w:val="00046288"/>
    <w:rsid w:val="00046291"/>
    <w:rsid w:val="000462C3"/>
    <w:rsid w:val="00046322"/>
    <w:rsid w:val="0004649F"/>
    <w:rsid w:val="000465D0"/>
    <w:rsid w:val="000467E0"/>
    <w:rsid w:val="000467EB"/>
    <w:rsid w:val="00046879"/>
    <w:rsid w:val="000469CA"/>
    <w:rsid w:val="00046B72"/>
    <w:rsid w:val="00046C65"/>
    <w:rsid w:val="00046C81"/>
    <w:rsid w:val="00046C96"/>
    <w:rsid w:val="00046CE6"/>
    <w:rsid w:val="00046CFC"/>
    <w:rsid w:val="00046D3F"/>
    <w:rsid w:val="00046F2A"/>
    <w:rsid w:val="00046F5B"/>
    <w:rsid w:val="00046FAD"/>
    <w:rsid w:val="00046FB6"/>
    <w:rsid w:val="0004700F"/>
    <w:rsid w:val="00047080"/>
    <w:rsid w:val="000470D2"/>
    <w:rsid w:val="00047128"/>
    <w:rsid w:val="00047137"/>
    <w:rsid w:val="00047187"/>
    <w:rsid w:val="000471CD"/>
    <w:rsid w:val="0004724E"/>
    <w:rsid w:val="0004728A"/>
    <w:rsid w:val="00047333"/>
    <w:rsid w:val="000473C9"/>
    <w:rsid w:val="000473CB"/>
    <w:rsid w:val="00047400"/>
    <w:rsid w:val="0004742B"/>
    <w:rsid w:val="00047489"/>
    <w:rsid w:val="000474F5"/>
    <w:rsid w:val="00047511"/>
    <w:rsid w:val="00047668"/>
    <w:rsid w:val="0004766F"/>
    <w:rsid w:val="000477CA"/>
    <w:rsid w:val="00047863"/>
    <w:rsid w:val="00047912"/>
    <w:rsid w:val="000479B8"/>
    <w:rsid w:val="000479C1"/>
    <w:rsid w:val="00047A68"/>
    <w:rsid w:val="00047A87"/>
    <w:rsid w:val="00047CD0"/>
    <w:rsid w:val="00047E04"/>
    <w:rsid w:val="00047EB4"/>
    <w:rsid w:val="00047F13"/>
    <w:rsid w:val="00047F1F"/>
    <w:rsid w:val="00047F4B"/>
    <w:rsid w:val="00047FAE"/>
    <w:rsid w:val="000501F7"/>
    <w:rsid w:val="00050290"/>
    <w:rsid w:val="000502CC"/>
    <w:rsid w:val="000503F5"/>
    <w:rsid w:val="00050452"/>
    <w:rsid w:val="00050467"/>
    <w:rsid w:val="000506DF"/>
    <w:rsid w:val="00050722"/>
    <w:rsid w:val="000507C9"/>
    <w:rsid w:val="0005095D"/>
    <w:rsid w:val="000509E1"/>
    <w:rsid w:val="000509FD"/>
    <w:rsid w:val="00050A0F"/>
    <w:rsid w:val="00050A6C"/>
    <w:rsid w:val="00050AB2"/>
    <w:rsid w:val="00050B66"/>
    <w:rsid w:val="00050B8A"/>
    <w:rsid w:val="00050DB1"/>
    <w:rsid w:val="00050DDD"/>
    <w:rsid w:val="00050E58"/>
    <w:rsid w:val="00050F10"/>
    <w:rsid w:val="00050F47"/>
    <w:rsid w:val="00050FFC"/>
    <w:rsid w:val="0005104C"/>
    <w:rsid w:val="0005107E"/>
    <w:rsid w:val="00051161"/>
    <w:rsid w:val="000511B8"/>
    <w:rsid w:val="0005122F"/>
    <w:rsid w:val="0005127A"/>
    <w:rsid w:val="000512DC"/>
    <w:rsid w:val="00051377"/>
    <w:rsid w:val="00051406"/>
    <w:rsid w:val="00051422"/>
    <w:rsid w:val="00051427"/>
    <w:rsid w:val="00051464"/>
    <w:rsid w:val="000514D7"/>
    <w:rsid w:val="000514E2"/>
    <w:rsid w:val="00051562"/>
    <w:rsid w:val="000515B2"/>
    <w:rsid w:val="000515E8"/>
    <w:rsid w:val="000515FA"/>
    <w:rsid w:val="00051648"/>
    <w:rsid w:val="00051738"/>
    <w:rsid w:val="0005198F"/>
    <w:rsid w:val="000519AF"/>
    <w:rsid w:val="000519F3"/>
    <w:rsid w:val="00051A10"/>
    <w:rsid w:val="00051A7D"/>
    <w:rsid w:val="00051B32"/>
    <w:rsid w:val="00051B72"/>
    <w:rsid w:val="00051BAF"/>
    <w:rsid w:val="00051BF0"/>
    <w:rsid w:val="00051CA1"/>
    <w:rsid w:val="00051CD2"/>
    <w:rsid w:val="00051CE0"/>
    <w:rsid w:val="00051DB4"/>
    <w:rsid w:val="00051F14"/>
    <w:rsid w:val="00051F58"/>
    <w:rsid w:val="00052104"/>
    <w:rsid w:val="000521B2"/>
    <w:rsid w:val="0005226B"/>
    <w:rsid w:val="00052286"/>
    <w:rsid w:val="0005228E"/>
    <w:rsid w:val="00052311"/>
    <w:rsid w:val="000523A5"/>
    <w:rsid w:val="000523E1"/>
    <w:rsid w:val="0005246F"/>
    <w:rsid w:val="00052486"/>
    <w:rsid w:val="000525D7"/>
    <w:rsid w:val="0005262A"/>
    <w:rsid w:val="00052658"/>
    <w:rsid w:val="000526E0"/>
    <w:rsid w:val="000526E2"/>
    <w:rsid w:val="00052759"/>
    <w:rsid w:val="0005275C"/>
    <w:rsid w:val="0005279F"/>
    <w:rsid w:val="000527DD"/>
    <w:rsid w:val="00052806"/>
    <w:rsid w:val="0005287A"/>
    <w:rsid w:val="000529AC"/>
    <w:rsid w:val="00052A1B"/>
    <w:rsid w:val="00052A5B"/>
    <w:rsid w:val="00052BAC"/>
    <w:rsid w:val="00052C12"/>
    <w:rsid w:val="00052C43"/>
    <w:rsid w:val="00052C8F"/>
    <w:rsid w:val="00052CC8"/>
    <w:rsid w:val="00052D72"/>
    <w:rsid w:val="00052E75"/>
    <w:rsid w:val="00052EFF"/>
    <w:rsid w:val="00052F25"/>
    <w:rsid w:val="00053043"/>
    <w:rsid w:val="00053112"/>
    <w:rsid w:val="00053149"/>
    <w:rsid w:val="000531CD"/>
    <w:rsid w:val="0005321D"/>
    <w:rsid w:val="0005327C"/>
    <w:rsid w:val="0005329D"/>
    <w:rsid w:val="00053315"/>
    <w:rsid w:val="00053323"/>
    <w:rsid w:val="00053395"/>
    <w:rsid w:val="000534C5"/>
    <w:rsid w:val="000534CB"/>
    <w:rsid w:val="00053512"/>
    <w:rsid w:val="00053572"/>
    <w:rsid w:val="00053576"/>
    <w:rsid w:val="000535CA"/>
    <w:rsid w:val="0005361D"/>
    <w:rsid w:val="0005368A"/>
    <w:rsid w:val="00053730"/>
    <w:rsid w:val="000537D8"/>
    <w:rsid w:val="000537F3"/>
    <w:rsid w:val="000539A8"/>
    <w:rsid w:val="00053AB5"/>
    <w:rsid w:val="00053B37"/>
    <w:rsid w:val="00053BD5"/>
    <w:rsid w:val="00053C4E"/>
    <w:rsid w:val="00053CAA"/>
    <w:rsid w:val="00053CBC"/>
    <w:rsid w:val="00053CC0"/>
    <w:rsid w:val="00053CF7"/>
    <w:rsid w:val="00053E3C"/>
    <w:rsid w:val="00053F3B"/>
    <w:rsid w:val="00053F5B"/>
    <w:rsid w:val="00053F9F"/>
    <w:rsid w:val="0005401C"/>
    <w:rsid w:val="000541C7"/>
    <w:rsid w:val="000541EA"/>
    <w:rsid w:val="0005426B"/>
    <w:rsid w:val="000542E5"/>
    <w:rsid w:val="000543CC"/>
    <w:rsid w:val="00054417"/>
    <w:rsid w:val="00054435"/>
    <w:rsid w:val="0005456B"/>
    <w:rsid w:val="000546D9"/>
    <w:rsid w:val="00054763"/>
    <w:rsid w:val="00054894"/>
    <w:rsid w:val="000548E8"/>
    <w:rsid w:val="0005492B"/>
    <w:rsid w:val="00054989"/>
    <w:rsid w:val="000549A2"/>
    <w:rsid w:val="000549D8"/>
    <w:rsid w:val="00054A38"/>
    <w:rsid w:val="00054A46"/>
    <w:rsid w:val="00054B3A"/>
    <w:rsid w:val="00054C8E"/>
    <w:rsid w:val="00054E81"/>
    <w:rsid w:val="00054EB4"/>
    <w:rsid w:val="00054F89"/>
    <w:rsid w:val="00054FA4"/>
    <w:rsid w:val="00054FE7"/>
    <w:rsid w:val="00054FEA"/>
    <w:rsid w:val="0005500A"/>
    <w:rsid w:val="00055019"/>
    <w:rsid w:val="0005515C"/>
    <w:rsid w:val="00055204"/>
    <w:rsid w:val="00055243"/>
    <w:rsid w:val="000552CD"/>
    <w:rsid w:val="000552D3"/>
    <w:rsid w:val="00055422"/>
    <w:rsid w:val="00055460"/>
    <w:rsid w:val="000554B5"/>
    <w:rsid w:val="000554BF"/>
    <w:rsid w:val="000554D5"/>
    <w:rsid w:val="00055551"/>
    <w:rsid w:val="00055573"/>
    <w:rsid w:val="0005558D"/>
    <w:rsid w:val="0005559C"/>
    <w:rsid w:val="000556AA"/>
    <w:rsid w:val="000556B4"/>
    <w:rsid w:val="000556C5"/>
    <w:rsid w:val="000556E7"/>
    <w:rsid w:val="0005574C"/>
    <w:rsid w:val="00055876"/>
    <w:rsid w:val="000558C1"/>
    <w:rsid w:val="000558ED"/>
    <w:rsid w:val="00055901"/>
    <w:rsid w:val="000559F1"/>
    <w:rsid w:val="00055A15"/>
    <w:rsid w:val="00055A9F"/>
    <w:rsid w:val="00055B07"/>
    <w:rsid w:val="00055B1E"/>
    <w:rsid w:val="00055B82"/>
    <w:rsid w:val="00055B8C"/>
    <w:rsid w:val="00055C14"/>
    <w:rsid w:val="00055CCE"/>
    <w:rsid w:val="00055CDA"/>
    <w:rsid w:val="00055CE5"/>
    <w:rsid w:val="00055D07"/>
    <w:rsid w:val="00055D1A"/>
    <w:rsid w:val="00055E29"/>
    <w:rsid w:val="00055E2D"/>
    <w:rsid w:val="00055E4C"/>
    <w:rsid w:val="00055E9D"/>
    <w:rsid w:val="00055F79"/>
    <w:rsid w:val="000561CE"/>
    <w:rsid w:val="00056223"/>
    <w:rsid w:val="0005625E"/>
    <w:rsid w:val="000562BC"/>
    <w:rsid w:val="000563D1"/>
    <w:rsid w:val="00056451"/>
    <w:rsid w:val="000564D9"/>
    <w:rsid w:val="0005656D"/>
    <w:rsid w:val="000565D1"/>
    <w:rsid w:val="00056761"/>
    <w:rsid w:val="0005677A"/>
    <w:rsid w:val="000567B3"/>
    <w:rsid w:val="00056870"/>
    <w:rsid w:val="0005687C"/>
    <w:rsid w:val="000568D0"/>
    <w:rsid w:val="00056983"/>
    <w:rsid w:val="000569D2"/>
    <w:rsid w:val="00056A2C"/>
    <w:rsid w:val="00056A4F"/>
    <w:rsid w:val="00056B54"/>
    <w:rsid w:val="00056D8A"/>
    <w:rsid w:val="00056E4C"/>
    <w:rsid w:val="00056E8D"/>
    <w:rsid w:val="00056F54"/>
    <w:rsid w:val="00057016"/>
    <w:rsid w:val="00057024"/>
    <w:rsid w:val="000570D5"/>
    <w:rsid w:val="00057117"/>
    <w:rsid w:val="00057129"/>
    <w:rsid w:val="0005712C"/>
    <w:rsid w:val="0005725C"/>
    <w:rsid w:val="0005735F"/>
    <w:rsid w:val="000574E2"/>
    <w:rsid w:val="0005753E"/>
    <w:rsid w:val="00057581"/>
    <w:rsid w:val="0005760C"/>
    <w:rsid w:val="00057657"/>
    <w:rsid w:val="00057679"/>
    <w:rsid w:val="000576C4"/>
    <w:rsid w:val="0005772D"/>
    <w:rsid w:val="000577C8"/>
    <w:rsid w:val="000577FD"/>
    <w:rsid w:val="000579B5"/>
    <w:rsid w:val="00057A12"/>
    <w:rsid w:val="00057A6C"/>
    <w:rsid w:val="00057A7D"/>
    <w:rsid w:val="00057ABE"/>
    <w:rsid w:val="00057CA0"/>
    <w:rsid w:val="00057D4E"/>
    <w:rsid w:val="00057DA1"/>
    <w:rsid w:val="00057DDA"/>
    <w:rsid w:val="00057DFA"/>
    <w:rsid w:val="00057E6D"/>
    <w:rsid w:val="00057EBB"/>
    <w:rsid w:val="00057FC0"/>
    <w:rsid w:val="000600EA"/>
    <w:rsid w:val="0006011A"/>
    <w:rsid w:val="00060285"/>
    <w:rsid w:val="00060291"/>
    <w:rsid w:val="00060292"/>
    <w:rsid w:val="0006035D"/>
    <w:rsid w:val="000603D4"/>
    <w:rsid w:val="00060466"/>
    <w:rsid w:val="0006052F"/>
    <w:rsid w:val="00060544"/>
    <w:rsid w:val="00060611"/>
    <w:rsid w:val="000606B6"/>
    <w:rsid w:val="000606E2"/>
    <w:rsid w:val="000606F9"/>
    <w:rsid w:val="0006072E"/>
    <w:rsid w:val="0006073F"/>
    <w:rsid w:val="00060762"/>
    <w:rsid w:val="00060817"/>
    <w:rsid w:val="00060823"/>
    <w:rsid w:val="0006082C"/>
    <w:rsid w:val="00060869"/>
    <w:rsid w:val="000608B4"/>
    <w:rsid w:val="00060908"/>
    <w:rsid w:val="000609F4"/>
    <w:rsid w:val="00060A15"/>
    <w:rsid w:val="00060AD7"/>
    <w:rsid w:val="00060B78"/>
    <w:rsid w:val="00060B83"/>
    <w:rsid w:val="00060B8E"/>
    <w:rsid w:val="00060BA7"/>
    <w:rsid w:val="00060BCD"/>
    <w:rsid w:val="00060D1E"/>
    <w:rsid w:val="00060D68"/>
    <w:rsid w:val="00060E43"/>
    <w:rsid w:val="00060E85"/>
    <w:rsid w:val="00060ED0"/>
    <w:rsid w:val="00060F43"/>
    <w:rsid w:val="00061002"/>
    <w:rsid w:val="00061060"/>
    <w:rsid w:val="00061103"/>
    <w:rsid w:val="0006111F"/>
    <w:rsid w:val="00061186"/>
    <w:rsid w:val="000611AF"/>
    <w:rsid w:val="000613A6"/>
    <w:rsid w:val="000613E0"/>
    <w:rsid w:val="00061416"/>
    <w:rsid w:val="00061483"/>
    <w:rsid w:val="000615BC"/>
    <w:rsid w:val="00061725"/>
    <w:rsid w:val="00061786"/>
    <w:rsid w:val="0006179E"/>
    <w:rsid w:val="000617D5"/>
    <w:rsid w:val="00061899"/>
    <w:rsid w:val="0006190D"/>
    <w:rsid w:val="0006198F"/>
    <w:rsid w:val="00061A0B"/>
    <w:rsid w:val="00061A30"/>
    <w:rsid w:val="00061A5A"/>
    <w:rsid w:val="00061AFC"/>
    <w:rsid w:val="00061C5A"/>
    <w:rsid w:val="00061D91"/>
    <w:rsid w:val="00061ED8"/>
    <w:rsid w:val="00061EF1"/>
    <w:rsid w:val="00061EF7"/>
    <w:rsid w:val="00061F1A"/>
    <w:rsid w:val="00061F27"/>
    <w:rsid w:val="00061F58"/>
    <w:rsid w:val="00061FEB"/>
    <w:rsid w:val="00062140"/>
    <w:rsid w:val="000621BB"/>
    <w:rsid w:val="000621C1"/>
    <w:rsid w:val="000621D3"/>
    <w:rsid w:val="000621DC"/>
    <w:rsid w:val="00062390"/>
    <w:rsid w:val="000623E1"/>
    <w:rsid w:val="000624A3"/>
    <w:rsid w:val="0006256A"/>
    <w:rsid w:val="000625A7"/>
    <w:rsid w:val="000625C3"/>
    <w:rsid w:val="00062617"/>
    <w:rsid w:val="00062632"/>
    <w:rsid w:val="0006268D"/>
    <w:rsid w:val="00062790"/>
    <w:rsid w:val="000627D5"/>
    <w:rsid w:val="0006280C"/>
    <w:rsid w:val="00062841"/>
    <w:rsid w:val="000628D4"/>
    <w:rsid w:val="00062914"/>
    <w:rsid w:val="0006292E"/>
    <w:rsid w:val="00062951"/>
    <w:rsid w:val="00062A99"/>
    <w:rsid w:val="00062AF4"/>
    <w:rsid w:val="00062B3B"/>
    <w:rsid w:val="00062B7A"/>
    <w:rsid w:val="00062C04"/>
    <w:rsid w:val="00062C10"/>
    <w:rsid w:val="00062CB7"/>
    <w:rsid w:val="00062D76"/>
    <w:rsid w:val="00062DB8"/>
    <w:rsid w:val="00062E24"/>
    <w:rsid w:val="00062E37"/>
    <w:rsid w:val="00062E5D"/>
    <w:rsid w:val="00062E67"/>
    <w:rsid w:val="00062F3B"/>
    <w:rsid w:val="00062F41"/>
    <w:rsid w:val="000630DA"/>
    <w:rsid w:val="000630E3"/>
    <w:rsid w:val="00063122"/>
    <w:rsid w:val="00063132"/>
    <w:rsid w:val="00063167"/>
    <w:rsid w:val="0006334B"/>
    <w:rsid w:val="000633B9"/>
    <w:rsid w:val="000634A3"/>
    <w:rsid w:val="0006351B"/>
    <w:rsid w:val="0006354E"/>
    <w:rsid w:val="00063575"/>
    <w:rsid w:val="00063799"/>
    <w:rsid w:val="000637EE"/>
    <w:rsid w:val="000637FA"/>
    <w:rsid w:val="000638DF"/>
    <w:rsid w:val="00063ACA"/>
    <w:rsid w:val="00063AD1"/>
    <w:rsid w:val="00063AFD"/>
    <w:rsid w:val="00063B2A"/>
    <w:rsid w:val="00063B57"/>
    <w:rsid w:val="00063B64"/>
    <w:rsid w:val="00063B8D"/>
    <w:rsid w:val="00063B9A"/>
    <w:rsid w:val="00063C9C"/>
    <w:rsid w:val="00063CDC"/>
    <w:rsid w:val="00063E03"/>
    <w:rsid w:val="00063E3D"/>
    <w:rsid w:val="00063EA4"/>
    <w:rsid w:val="00063FBE"/>
    <w:rsid w:val="00063FC6"/>
    <w:rsid w:val="00064000"/>
    <w:rsid w:val="00064095"/>
    <w:rsid w:val="0006410B"/>
    <w:rsid w:val="00064147"/>
    <w:rsid w:val="0006428C"/>
    <w:rsid w:val="0006429A"/>
    <w:rsid w:val="000642C1"/>
    <w:rsid w:val="00064431"/>
    <w:rsid w:val="000644AB"/>
    <w:rsid w:val="00064566"/>
    <w:rsid w:val="00064632"/>
    <w:rsid w:val="00064674"/>
    <w:rsid w:val="00064714"/>
    <w:rsid w:val="00064792"/>
    <w:rsid w:val="000647AA"/>
    <w:rsid w:val="000647DF"/>
    <w:rsid w:val="00064999"/>
    <w:rsid w:val="00064A0D"/>
    <w:rsid w:val="00064B22"/>
    <w:rsid w:val="00064C32"/>
    <w:rsid w:val="00064C38"/>
    <w:rsid w:val="00064CB9"/>
    <w:rsid w:val="00064CD3"/>
    <w:rsid w:val="00064D1F"/>
    <w:rsid w:val="00064DE6"/>
    <w:rsid w:val="00064DF8"/>
    <w:rsid w:val="00064E31"/>
    <w:rsid w:val="00064E36"/>
    <w:rsid w:val="00064E99"/>
    <w:rsid w:val="00064F27"/>
    <w:rsid w:val="00064F7B"/>
    <w:rsid w:val="00064FA0"/>
    <w:rsid w:val="00064FAE"/>
    <w:rsid w:val="00064FB5"/>
    <w:rsid w:val="00064FD1"/>
    <w:rsid w:val="00064FF4"/>
    <w:rsid w:val="00065007"/>
    <w:rsid w:val="00065025"/>
    <w:rsid w:val="00065029"/>
    <w:rsid w:val="0006508E"/>
    <w:rsid w:val="0006517B"/>
    <w:rsid w:val="000651E4"/>
    <w:rsid w:val="000651E9"/>
    <w:rsid w:val="00065364"/>
    <w:rsid w:val="000653AF"/>
    <w:rsid w:val="0006548E"/>
    <w:rsid w:val="000654F8"/>
    <w:rsid w:val="00065520"/>
    <w:rsid w:val="00065590"/>
    <w:rsid w:val="000655AA"/>
    <w:rsid w:val="000655C4"/>
    <w:rsid w:val="000655E5"/>
    <w:rsid w:val="000655FC"/>
    <w:rsid w:val="00065636"/>
    <w:rsid w:val="00065681"/>
    <w:rsid w:val="00065695"/>
    <w:rsid w:val="00065752"/>
    <w:rsid w:val="00065780"/>
    <w:rsid w:val="00065781"/>
    <w:rsid w:val="00065835"/>
    <w:rsid w:val="00065926"/>
    <w:rsid w:val="00065987"/>
    <w:rsid w:val="00065997"/>
    <w:rsid w:val="000659BF"/>
    <w:rsid w:val="000659E9"/>
    <w:rsid w:val="00065A7D"/>
    <w:rsid w:val="00065B59"/>
    <w:rsid w:val="00065BA4"/>
    <w:rsid w:val="00065C39"/>
    <w:rsid w:val="00065DEA"/>
    <w:rsid w:val="00065EE5"/>
    <w:rsid w:val="000660BB"/>
    <w:rsid w:val="00066114"/>
    <w:rsid w:val="0006617B"/>
    <w:rsid w:val="000661AA"/>
    <w:rsid w:val="00066236"/>
    <w:rsid w:val="000662B4"/>
    <w:rsid w:val="000662FC"/>
    <w:rsid w:val="00066403"/>
    <w:rsid w:val="00066406"/>
    <w:rsid w:val="000664E3"/>
    <w:rsid w:val="00066535"/>
    <w:rsid w:val="00066597"/>
    <w:rsid w:val="00066657"/>
    <w:rsid w:val="000667AD"/>
    <w:rsid w:val="000667B9"/>
    <w:rsid w:val="000667C5"/>
    <w:rsid w:val="00066826"/>
    <w:rsid w:val="0006686F"/>
    <w:rsid w:val="00066908"/>
    <w:rsid w:val="00066916"/>
    <w:rsid w:val="000669E6"/>
    <w:rsid w:val="000669F4"/>
    <w:rsid w:val="00066A1B"/>
    <w:rsid w:val="00066A26"/>
    <w:rsid w:val="00066AE1"/>
    <w:rsid w:val="00066B09"/>
    <w:rsid w:val="00066B35"/>
    <w:rsid w:val="00066B71"/>
    <w:rsid w:val="00066BF8"/>
    <w:rsid w:val="00066C18"/>
    <w:rsid w:val="00066C8E"/>
    <w:rsid w:val="00066D1D"/>
    <w:rsid w:val="00066DA8"/>
    <w:rsid w:val="00066E11"/>
    <w:rsid w:val="00066F26"/>
    <w:rsid w:val="00066F9B"/>
    <w:rsid w:val="0006700C"/>
    <w:rsid w:val="00067064"/>
    <w:rsid w:val="000670A0"/>
    <w:rsid w:val="000670C1"/>
    <w:rsid w:val="0006710E"/>
    <w:rsid w:val="00067167"/>
    <w:rsid w:val="00067169"/>
    <w:rsid w:val="00067317"/>
    <w:rsid w:val="0006731D"/>
    <w:rsid w:val="00067363"/>
    <w:rsid w:val="000673F0"/>
    <w:rsid w:val="0006743F"/>
    <w:rsid w:val="00067650"/>
    <w:rsid w:val="000676A8"/>
    <w:rsid w:val="000677EF"/>
    <w:rsid w:val="00067803"/>
    <w:rsid w:val="000678EF"/>
    <w:rsid w:val="000678F4"/>
    <w:rsid w:val="00067992"/>
    <w:rsid w:val="00067A1D"/>
    <w:rsid w:val="00067AD1"/>
    <w:rsid w:val="00067AD9"/>
    <w:rsid w:val="00067AF7"/>
    <w:rsid w:val="00067B22"/>
    <w:rsid w:val="00067C79"/>
    <w:rsid w:val="00067D83"/>
    <w:rsid w:val="00067DFF"/>
    <w:rsid w:val="00067E96"/>
    <w:rsid w:val="00067EFE"/>
    <w:rsid w:val="00067F04"/>
    <w:rsid w:val="00067F7F"/>
    <w:rsid w:val="00067F8A"/>
    <w:rsid w:val="00067F93"/>
    <w:rsid w:val="00067FE0"/>
    <w:rsid w:val="00070054"/>
    <w:rsid w:val="000700C9"/>
    <w:rsid w:val="000701BD"/>
    <w:rsid w:val="000701C9"/>
    <w:rsid w:val="0007026F"/>
    <w:rsid w:val="000703D0"/>
    <w:rsid w:val="0007043B"/>
    <w:rsid w:val="0007054D"/>
    <w:rsid w:val="0007066E"/>
    <w:rsid w:val="0007068D"/>
    <w:rsid w:val="000707A7"/>
    <w:rsid w:val="000707C1"/>
    <w:rsid w:val="000707D5"/>
    <w:rsid w:val="00070884"/>
    <w:rsid w:val="0007088D"/>
    <w:rsid w:val="000708D5"/>
    <w:rsid w:val="000708DC"/>
    <w:rsid w:val="0007096C"/>
    <w:rsid w:val="00070B15"/>
    <w:rsid w:val="00070B7B"/>
    <w:rsid w:val="00070BE0"/>
    <w:rsid w:val="00070C2F"/>
    <w:rsid w:val="00070C38"/>
    <w:rsid w:val="00070C56"/>
    <w:rsid w:val="00070C83"/>
    <w:rsid w:val="00070CC1"/>
    <w:rsid w:val="00070CF9"/>
    <w:rsid w:val="00070D25"/>
    <w:rsid w:val="00070DDF"/>
    <w:rsid w:val="00070EBD"/>
    <w:rsid w:val="00070ED0"/>
    <w:rsid w:val="00070EEE"/>
    <w:rsid w:val="00070F49"/>
    <w:rsid w:val="00071079"/>
    <w:rsid w:val="0007107E"/>
    <w:rsid w:val="000710E2"/>
    <w:rsid w:val="0007113C"/>
    <w:rsid w:val="000711BF"/>
    <w:rsid w:val="000711FB"/>
    <w:rsid w:val="00071453"/>
    <w:rsid w:val="00071510"/>
    <w:rsid w:val="000715C3"/>
    <w:rsid w:val="000715DA"/>
    <w:rsid w:val="000715DB"/>
    <w:rsid w:val="00071647"/>
    <w:rsid w:val="00071785"/>
    <w:rsid w:val="00071843"/>
    <w:rsid w:val="0007185D"/>
    <w:rsid w:val="000718F7"/>
    <w:rsid w:val="00071924"/>
    <w:rsid w:val="0007192D"/>
    <w:rsid w:val="00071961"/>
    <w:rsid w:val="000719DC"/>
    <w:rsid w:val="00071A12"/>
    <w:rsid w:val="00071A78"/>
    <w:rsid w:val="00071B30"/>
    <w:rsid w:val="00071B87"/>
    <w:rsid w:val="00071BA4"/>
    <w:rsid w:val="00071BFE"/>
    <w:rsid w:val="00071C62"/>
    <w:rsid w:val="00071CA2"/>
    <w:rsid w:val="00071CBA"/>
    <w:rsid w:val="00071DE2"/>
    <w:rsid w:val="00071E0A"/>
    <w:rsid w:val="00071E79"/>
    <w:rsid w:val="00071EA6"/>
    <w:rsid w:val="00071F05"/>
    <w:rsid w:val="00071F3D"/>
    <w:rsid w:val="00072057"/>
    <w:rsid w:val="00072076"/>
    <w:rsid w:val="00072151"/>
    <w:rsid w:val="00072186"/>
    <w:rsid w:val="00072323"/>
    <w:rsid w:val="000723A8"/>
    <w:rsid w:val="000723E7"/>
    <w:rsid w:val="00072687"/>
    <w:rsid w:val="000726B0"/>
    <w:rsid w:val="0007274D"/>
    <w:rsid w:val="000729F5"/>
    <w:rsid w:val="00072A3E"/>
    <w:rsid w:val="00072ABD"/>
    <w:rsid w:val="00072B9B"/>
    <w:rsid w:val="00072BCB"/>
    <w:rsid w:val="00072C31"/>
    <w:rsid w:val="00072D09"/>
    <w:rsid w:val="00072D1D"/>
    <w:rsid w:val="00072E28"/>
    <w:rsid w:val="00072E2F"/>
    <w:rsid w:val="00072E70"/>
    <w:rsid w:val="00072E93"/>
    <w:rsid w:val="00072EBE"/>
    <w:rsid w:val="00072EEA"/>
    <w:rsid w:val="00072EF5"/>
    <w:rsid w:val="00072F4A"/>
    <w:rsid w:val="00072FB7"/>
    <w:rsid w:val="000730C5"/>
    <w:rsid w:val="000730F8"/>
    <w:rsid w:val="00073217"/>
    <w:rsid w:val="0007322C"/>
    <w:rsid w:val="00073276"/>
    <w:rsid w:val="0007328C"/>
    <w:rsid w:val="0007334F"/>
    <w:rsid w:val="000733A0"/>
    <w:rsid w:val="000733BA"/>
    <w:rsid w:val="000733FA"/>
    <w:rsid w:val="0007342E"/>
    <w:rsid w:val="00073435"/>
    <w:rsid w:val="000735C9"/>
    <w:rsid w:val="0007363A"/>
    <w:rsid w:val="00073655"/>
    <w:rsid w:val="000737A2"/>
    <w:rsid w:val="000737C0"/>
    <w:rsid w:val="00073868"/>
    <w:rsid w:val="000738E6"/>
    <w:rsid w:val="000738F9"/>
    <w:rsid w:val="00073974"/>
    <w:rsid w:val="000739A5"/>
    <w:rsid w:val="00073A96"/>
    <w:rsid w:val="00073AA9"/>
    <w:rsid w:val="00073B72"/>
    <w:rsid w:val="00073BAB"/>
    <w:rsid w:val="00073C5D"/>
    <w:rsid w:val="00073C8D"/>
    <w:rsid w:val="00073D04"/>
    <w:rsid w:val="00073DA6"/>
    <w:rsid w:val="00073E60"/>
    <w:rsid w:val="00073EC1"/>
    <w:rsid w:val="00073ECE"/>
    <w:rsid w:val="00073F37"/>
    <w:rsid w:val="00073F88"/>
    <w:rsid w:val="00073FB9"/>
    <w:rsid w:val="00074001"/>
    <w:rsid w:val="0007414B"/>
    <w:rsid w:val="00074184"/>
    <w:rsid w:val="000741B4"/>
    <w:rsid w:val="00074245"/>
    <w:rsid w:val="000742E6"/>
    <w:rsid w:val="00074577"/>
    <w:rsid w:val="000745B1"/>
    <w:rsid w:val="000745ED"/>
    <w:rsid w:val="00074663"/>
    <w:rsid w:val="000746A6"/>
    <w:rsid w:val="000747C3"/>
    <w:rsid w:val="000747FE"/>
    <w:rsid w:val="00074991"/>
    <w:rsid w:val="00074B5F"/>
    <w:rsid w:val="00074B6D"/>
    <w:rsid w:val="00074BDF"/>
    <w:rsid w:val="00074BF9"/>
    <w:rsid w:val="00074C05"/>
    <w:rsid w:val="00074C57"/>
    <w:rsid w:val="00074C59"/>
    <w:rsid w:val="00074C71"/>
    <w:rsid w:val="00074CF2"/>
    <w:rsid w:val="00074D70"/>
    <w:rsid w:val="00074DB6"/>
    <w:rsid w:val="00074E13"/>
    <w:rsid w:val="00074E24"/>
    <w:rsid w:val="00074FE7"/>
    <w:rsid w:val="0007513B"/>
    <w:rsid w:val="00075160"/>
    <w:rsid w:val="000751F4"/>
    <w:rsid w:val="00075447"/>
    <w:rsid w:val="000754CB"/>
    <w:rsid w:val="00075513"/>
    <w:rsid w:val="00075529"/>
    <w:rsid w:val="0007553D"/>
    <w:rsid w:val="00075559"/>
    <w:rsid w:val="0007559C"/>
    <w:rsid w:val="00075681"/>
    <w:rsid w:val="00075788"/>
    <w:rsid w:val="00075827"/>
    <w:rsid w:val="00075870"/>
    <w:rsid w:val="000758C9"/>
    <w:rsid w:val="000758FD"/>
    <w:rsid w:val="000759A4"/>
    <w:rsid w:val="00075A45"/>
    <w:rsid w:val="00075A9A"/>
    <w:rsid w:val="00075BF9"/>
    <w:rsid w:val="00075D1D"/>
    <w:rsid w:val="00075E09"/>
    <w:rsid w:val="00075EC6"/>
    <w:rsid w:val="00075FFA"/>
    <w:rsid w:val="00076087"/>
    <w:rsid w:val="000760F8"/>
    <w:rsid w:val="0007610A"/>
    <w:rsid w:val="00076154"/>
    <w:rsid w:val="0007617F"/>
    <w:rsid w:val="000761A9"/>
    <w:rsid w:val="000761F0"/>
    <w:rsid w:val="0007624D"/>
    <w:rsid w:val="00076289"/>
    <w:rsid w:val="000762A2"/>
    <w:rsid w:val="00076319"/>
    <w:rsid w:val="00076390"/>
    <w:rsid w:val="00076469"/>
    <w:rsid w:val="00076473"/>
    <w:rsid w:val="000764EF"/>
    <w:rsid w:val="0007656A"/>
    <w:rsid w:val="0007656B"/>
    <w:rsid w:val="000765BD"/>
    <w:rsid w:val="0007662E"/>
    <w:rsid w:val="00076666"/>
    <w:rsid w:val="0007674D"/>
    <w:rsid w:val="000767B8"/>
    <w:rsid w:val="000767CC"/>
    <w:rsid w:val="000767E9"/>
    <w:rsid w:val="0007684C"/>
    <w:rsid w:val="000768C0"/>
    <w:rsid w:val="000768DB"/>
    <w:rsid w:val="000768FA"/>
    <w:rsid w:val="0007694E"/>
    <w:rsid w:val="00076AE9"/>
    <w:rsid w:val="00076C38"/>
    <w:rsid w:val="00076CE7"/>
    <w:rsid w:val="00076D00"/>
    <w:rsid w:val="00076D0D"/>
    <w:rsid w:val="00076D62"/>
    <w:rsid w:val="00076D6A"/>
    <w:rsid w:val="00076D84"/>
    <w:rsid w:val="00076E9B"/>
    <w:rsid w:val="00076EBF"/>
    <w:rsid w:val="00076F8A"/>
    <w:rsid w:val="00076FCC"/>
    <w:rsid w:val="00077035"/>
    <w:rsid w:val="000770BB"/>
    <w:rsid w:val="00077205"/>
    <w:rsid w:val="000772A3"/>
    <w:rsid w:val="000772B1"/>
    <w:rsid w:val="00077362"/>
    <w:rsid w:val="00077386"/>
    <w:rsid w:val="000774C2"/>
    <w:rsid w:val="0007770B"/>
    <w:rsid w:val="00077948"/>
    <w:rsid w:val="00077963"/>
    <w:rsid w:val="000779DF"/>
    <w:rsid w:val="00077A4D"/>
    <w:rsid w:val="00077ABC"/>
    <w:rsid w:val="00077BC8"/>
    <w:rsid w:val="00077BCD"/>
    <w:rsid w:val="00077CF8"/>
    <w:rsid w:val="00077D1B"/>
    <w:rsid w:val="00077D8B"/>
    <w:rsid w:val="00077DBF"/>
    <w:rsid w:val="00077E09"/>
    <w:rsid w:val="00077EED"/>
    <w:rsid w:val="00077FFC"/>
    <w:rsid w:val="0007D286"/>
    <w:rsid w:val="00080023"/>
    <w:rsid w:val="00080028"/>
    <w:rsid w:val="0008002E"/>
    <w:rsid w:val="00080042"/>
    <w:rsid w:val="00080091"/>
    <w:rsid w:val="000800BA"/>
    <w:rsid w:val="000800D9"/>
    <w:rsid w:val="00080132"/>
    <w:rsid w:val="0008015C"/>
    <w:rsid w:val="00080179"/>
    <w:rsid w:val="0008017C"/>
    <w:rsid w:val="000803CC"/>
    <w:rsid w:val="00080470"/>
    <w:rsid w:val="00080473"/>
    <w:rsid w:val="00080487"/>
    <w:rsid w:val="00080565"/>
    <w:rsid w:val="00080623"/>
    <w:rsid w:val="000806BC"/>
    <w:rsid w:val="000806C5"/>
    <w:rsid w:val="000806EF"/>
    <w:rsid w:val="0008077A"/>
    <w:rsid w:val="000807EB"/>
    <w:rsid w:val="0008088A"/>
    <w:rsid w:val="00080AF3"/>
    <w:rsid w:val="00080B32"/>
    <w:rsid w:val="00080BB3"/>
    <w:rsid w:val="00080CC7"/>
    <w:rsid w:val="00080D9E"/>
    <w:rsid w:val="00080E4A"/>
    <w:rsid w:val="00080E7A"/>
    <w:rsid w:val="00080F22"/>
    <w:rsid w:val="0008102A"/>
    <w:rsid w:val="00081058"/>
    <w:rsid w:val="00081083"/>
    <w:rsid w:val="000810E7"/>
    <w:rsid w:val="000811D0"/>
    <w:rsid w:val="000812D7"/>
    <w:rsid w:val="0008131D"/>
    <w:rsid w:val="00081359"/>
    <w:rsid w:val="000813AC"/>
    <w:rsid w:val="000813D9"/>
    <w:rsid w:val="00081452"/>
    <w:rsid w:val="00081555"/>
    <w:rsid w:val="00081587"/>
    <w:rsid w:val="00081664"/>
    <w:rsid w:val="000816BA"/>
    <w:rsid w:val="00081737"/>
    <w:rsid w:val="00081781"/>
    <w:rsid w:val="0008184B"/>
    <w:rsid w:val="0008195A"/>
    <w:rsid w:val="00081AA2"/>
    <w:rsid w:val="00081B42"/>
    <w:rsid w:val="00081B87"/>
    <w:rsid w:val="00081BAE"/>
    <w:rsid w:val="00081C63"/>
    <w:rsid w:val="00081C98"/>
    <w:rsid w:val="00081D43"/>
    <w:rsid w:val="00081DA4"/>
    <w:rsid w:val="00081DAE"/>
    <w:rsid w:val="00081E06"/>
    <w:rsid w:val="00081E2B"/>
    <w:rsid w:val="00081E74"/>
    <w:rsid w:val="00081EA0"/>
    <w:rsid w:val="00081F64"/>
    <w:rsid w:val="00081F79"/>
    <w:rsid w:val="00082086"/>
    <w:rsid w:val="000820B8"/>
    <w:rsid w:val="000820EB"/>
    <w:rsid w:val="0008210B"/>
    <w:rsid w:val="00082117"/>
    <w:rsid w:val="00082149"/>
    <w:rsid w:val="0008218E"/>
    <w:rsid w:val="000821A8"/>
    <w:rsid w:val="000821D0"/>
    <w:rsid w:val="0008227A"/>
    <w:rsid w:val="00082382"/>
    <w:rsid w:val="000823F3"/>
    <w:rsid w:val="000824F7"/>
    <w:rsid w:val="00082547"/>
    <w:rsid w:val="000825A6"/>
    <w:rsid w:val="000825B4"/>
    <w:rsid w:val="000828D0"/>
    <w:rsid w:val="000828F4"/>
    <w:rsid w:val="0008297C"/>
    <w:rsid w:val="00082A22"/>
    <w:rsid w:val="00082A28"/>
    <w:rsid w:val="00082ABE"/>
    <w:rsid w:val="00082AD2"/>
    <w:rsid w:val="00082BD8"/>
    <w:rsid w:val="00082C1C"/>
    <w:rsid w:val="00082C58"/>
    <w:rsid w:val="00082C5B"/>
    <w:rsid w:val="00082CDE"/>
    <w:rsid w:val="00082CE1"/>
    <w:rsid w:val="00082CF2"/>
    <w:rsid w:val="00082D40"/>
    <w:rsid w:val="00082D9D"/>
    <w:rsid w:val="00082DB3"/>
    <w:rsid w:val="00082EE5"/>
    <w:rsid w:val="00082F08"/>
    <w:rsid w:val="00083019"/>
    <w:rsid w:val="0008308D"/>
    <w:rsid w:val="000830F4"/>
    <w:rsid w:val="00083119"/>
    <w:rsid w:val="0008317A"/>
    <w:rsid w:val="000831AF"/>
    <w:rsid w:val="000831D5"/>
    <w:rsid w:val="00083295"/>
    <w:rsid w:val="000832BE"/>
    <w:rsid w:val="000832C8"/>
    <w:rsid w:val="000832DC"/>
    <w:rsid w:val="00083324"/>
    <w:rsid w:val="00083531"/>
    <w:rsid w:val="00083568"/>
    <w:rsid w:val="0008368F"/>
    <w:rsid w:val="000836A1"/>
    <w:rsid w:val="000836AF"/>
    <w:rsid w:val="000836ED"/>
    <w:rsid w:val="0008395A"/>
    <w:rsid w:val="000839F7"/>
    <w:rsid w:val="000839FC"/>
    <w:rsid w:val="00083ABA"/>
    <w:rsid w:val="00083B19"/>
    <w:rsid w:val="00083B38"/>
    <w:rsid w:val="00083B51"/>
    <w:rsid w:val="00083B55"/>
    <w:rsid w:val="00083B7C"/>
    <w:rsid w:val="00083C6D"/>
    <w:rsid w:val="00083DE7"/>
    <w:rsid w:val="00083F35"/>
    <w:rsid w:val="00083F53"/>
    <w:rsid w:val="00083F72"/>
    <w:rsid w:val="00083FBF"/>
    <w:rsid w:val="000840D4"/>
    <w:rsid w:val="00084155"/>
    <w:rsid w:val="000841C8"/>
    <w:rsid w:val="000841E6"/>
    <w:rsid w:val="00084226"/>
    <w:rsid w:val="00084290"/>
    <w:rsid w:val="000843C0"/>
    <w:rsid w:val="00084413"/>
    <w:rsid w:val="00084419"/>
    <w:rsid w:val="00084423"/>
    <w:rsid w:val="000844AE"/>
    <w:rsid w:val="0008456A"/>
    <w:rsid w:val="00084610"/>
    <w:rsid w:val="00084611"/>
    <w:rsid w:val="0008463A"/>
    <w:rsid w:val="0008464B"/>
    <w:rsid w:val="0008478B"/>
    <w:rsid w:val="0008481A"/>
    <w:rsid w:val="000848B7"/>
    <w:rsid w:val="000848C4"/>
    <w:rsid w:val="0008494F"/>
    <w:rsid w:val="00084A4E"/>
    <w:rsid w:val="00084B2B"/>
    <w:rsid w:val="00084BC8"/>
    <w:rsid w:val="00084BD4"/>
    <w:rsid w:val="00084BF6"/>
    <w:rsid w:val="00084C45"/>
    <w:rsid w:val="00084CA2"/>
    <w:rsid w:val="00084D07"/>
    <w:rsid w:val="00084D26"/>
    <w:rsid w:val="00084DB9"/>
    <w:rsid w:val="00084DCC"/>
    <w:rsid w:val="00084DEF"/>
    <w:rsid w:val="00084E67"/>
    <w:rsid w:val="00084EB2"/>
    <w:rsid w:val="00084F28"/>
    <w:rsid w:val="00084F53"/>
    <w:rsid w:val="00084F69"/>
    <w:rsid w:val="0008501C"/>
    <w:rsid w:val="000850B9"/>
    <w:rsid w:val="00085102"/>
    <w:rsid w:val="00085308"/>
    <w:rsid w:val="00085339"/>
    <w:rsid w:val="0008534B"/>
    <w:rsid w:val="00085356"/>
    <w:rsid w:val="000853CF"/>
    <w:rsid w:val="0008549E"/>
    <w:rsid w:val="000854C1"/>
    <w:rsid w:val="0008554D"/>
    <w:rsid w:val="0008557A"/>
    <w:rsid w:val="000855BB"/>
    <w:rsid w:val="0008565E"/>
    <w:rsid w:val="00085704"/>
    <w:rsid w:val="00085792"/>
    <w:rsid w:val="000857F6"/>
    <w:rsid w:val="000858C4"/>
    <w:rsid w:val="00085936"/>
    <w:rsid w:val="00085964"/>
    <w:rsid w:val="000859BC"/>
    <w:rsid w:val="000859F3"/>
    <w:rsid w:val="00085AE7"/>
    <w:rsid w:val="00085AED"/>
    <w:rsid w:val="00085BF6"/>
    <w:rsid w:val="00085C83"/>
    <w:rsid w:val="00085D88"/>
    <w:rsid w:val="00085DCB"/>
    <w:rsid w:val="00085E27"/>
    <w:rsid w:val="00085E2B"/>
    <w:rsid w:val="00085E78"/>
    <w:rsid w:val="00085EE4"/>
    <w:rsid w:val="00085F44"/>
    <w:rsid w:val="0008601C"/>
    <w:rsid w:val="00086176"/>
    <w:rsid w:val="0008619D"/>
    <w:rsid w:val="000861B1"/>
    <w:rsid w:val="00086271"/>
    <w:rsid w:val="000862A5"/>
    <w:rsid w:val="000862AF"/>
    <w:rsid w:val="0008635D"/>
    <w:rsid w:val="00086394"/>
    <w:rsid w:val="000863E1"/>
    <w:rsid w:val="000864A8"/>
    <w:rsid w:val="00086504"/>
    <w:rsid w:val="00086532"/>
    <w:rsid w:val="000865AE"/>
    <w:rsid w:val="000865FC"/>
    <w:rsid w:val="0008662E"/>
    <w:rsid w:val="0008672B"/>
    <w:rsid w:val="000868DB"/>
    <w:rsid w:val="00086962"/>
    <w:rsid w:val="000869AD"/>
    <w:rsid w:val="00086AE7"/>
    <w:rsid w:val="00086BFA"/>
    <w:rsid w:val="00086C09"/>
    <w:rsid w:val="00086C93"/>
    <w:rsid w:val="00086D34"/>
    <w:rsid w:val="00086D81"/>
    <w:rsid w:val="00086D9D"/>
    <w:rsid w:val="00086DBB"/>
    <w:rsid w:val="00086DC3"/>
    <w:rsid w:val="00086E7B"/>
    <w:rsid w:val="00087041"/>
    <w:rsid w:val="0008704B"/>
    <w:rsid w:val="000870AA"/>
    <w:rsid w:val="000870C1"/>
    <w:rsid w:val="00087197"/>
    <w:rsid w:val="00087206"/>
    <w:rsid w:val="00087283"/>
    <w:rsid w:val="00087318"/>
    <w:rsid w:val="00087370"/>
    <w:rsid w:val="00087415"/>
    <w:rsid w:val="00087490"/>
    <w:rsid w:val="0008749E"/>
    <w:rsid w:val="00087516"/>
    <w:rsid w:val="000875ED"/>
    <w:rsid w:val="0008760C"/>
    <w:rsid w:val="0008763F"/>
    <w:rsid w:val="000876A5"/>
    <w:rsid w:val="0008779C"/>
    <w:rsid w:val="0008786A"/>
    <w:rsid w:val="0008786F"/>
    <w:rsid w:val="00087909"/>
    <w:rsid w:val="0008794B"/>
    <w:rsid w:val="00087B1F"/>
    <w:rsid w:val="00087BA5"/>
    <w:rsid w:val="00087BD2"/>
    <w:rsid w:val="00087D9C"/>
    <w:rsid w:val="00087DC9"/>
    <w:rsid w:val="00087F52"/>
    <w:rsid w:val="00090008"/>
    <w:rsid w:val="000900C2"/>
    <w:rsid w:val="00090203"/>
    <w:rsid w:val="00090365"/>
    <w:rsid w:val="000903E9"/>
    <w:rsid w:val="0009053E"/>
    <w:rsid w:val="000905A8"/>
    <w:rsid w:val="000905C4"/>
    <w:rsid w:val="000905FD"/>
    <w:rsid w:val="00090660"/>
    <w:rsid w:val="0009066D"/>
    <w:rsid w:val="000906D0"/>
    <w:rsid w:val="0009070E"/>
    <w:rsid w:val="00090741"/>
    <w:rsid w:val="0009077E"/>
    <w:rsid w:val="000907CB"/>
    <w:rsid w:val="00090828"/>
    <w:rsid w:val="00090840"/>
    <w:rsid w:val="00090847"/>
    <w:rsid w:val="00090852"/>
    <w:rsid w:val="0009087D"/>
    <w:rsid w:val="000908C0"/>
    <w:rsid w:val="0009092C"/>
    <w:rsid w:val="000909E7"/>
    <w:rsid w:val="000909FD"/>
    <w:rsid w:val="00090A18"/>
    <w:rsid w:val="00090A62"/>
    <w:rsid w:val="00090A7F"/>
    <w:rsid w:val="00090A9F"/>
    <w:rsid w:val="00090AED"/>
    <w:rsid w:val="00090B14"/>
    <w:rsid w:val="00090B32"/>
    <w:rsid w:val="00090C06"/>
    <w:rsid w:val="00090D59"/>
    <w:rsid w:val="00090DAF"/>
    <w:rsid w:val="00090DC3"/>
    <w:rsid w:val="00090DD1"/>
    <w:rsid w:val="00090DDC"/>
    <w:rsid w:val="00090E18"/>
    <w:rsid w:val="00090E7D"/>
    <w:rsid w:val="00090FC5"/>
    <w:rsid w:val="00090FE4"/>
    <w:rsid w:val="000910A9"/>
    <w:rsid w:val="000911A9"/>
    <w:rsid w:val="000911B6"/>
    <w:rsid w:val="000911FA"/>
    <w:rsid w:val="00091201"/>
    <w:rsid w:val="0009120F"/>
    <w:rsid w:val="00091344"/>
    <w:rsid w:val="00091352"/>
    <w:rsid w:val="00091390"/>
    <w:rsid w:val="000913AD"/>
    <w:rsid w:val="000913BC"/>
    <w:rsid w:val="00091428"/>
    <w:rsid w:val="000914E5"/>
    <w:rsid w:val="0009150D"/>
    <w:rsid w:val="00091548"/>
    <w:rsid w:val="000915D7"/>
    <w:rsid w:val="0009169A"/>
    <w:rsid w:val="000916D9"/>
    <w:rsid w:val="000916EA"/>
    <w:rsid w:val="00091706"/>
    <w:rsid w:val="00091747"/>
    <w:rsid w:val="0009177C"/>
    <w:rsid w:val="0009195C"/>
    <w:rsid w:val="00091A1E"/>
    <w:rsid w:val="00091A55"/>
    <w:rsid w:val="00091CFC"/>
    <w:rsid w:val="00091D30"/>
    <w:rsid w:val="00091D44"/>
    <w:rsid w:val="00091D5C"/>
    <w:rsid w:val="00091DE2"/>
    <w:rsid w:val="0009208E"/>
    <w:rsid w:val="000920F4"/>
    <w:rsid w:val="0009216C"/>
    <w:rsid w:val="00092195"/>
    <w:rsid w:val="00092236"/>
    <w:rsid w:val="00092277"/>
    <w:rsid w:val="00092367"/>
    <w:rsid w:val="0009243F"/>
    <w:rsid w:val="00092539"/>
    <w:rsid w:val="000926CE"/>
    <w:rsid w:val="000927B8"/>
    <w:rsid w:val="00092800"/>
    <w:rsid w:val="00092813"/>
    <w:rsid w:val="00092880"/>
    <w:rsid w:val="0009288E"/>
    <w:rsid w:val="000928FD"/>
    <w:rsid w:val="00092912"/>
    <w:rsid w:val="0009297C"/>
    <w:rsid w:val="0009298C"/>
    <w:rsid w:val="00092A81"/>
    <w:rsid w:val="00092B00"/>
    <w:rsid w:val="00092B93"/>
    <w:rsid w:val="00092C34"/>
    <w:rsid w:val="00092C9C"/>
    <w:rsid w:val="00092CE5"/>
    <w:rsid w:val="00092EAF"/>
    <w:rsid w:val="00092EB6"/>
    <w:rsid w:val="00092F6E"/>
    <w:rsid w:val="00092FDE"/>
    <w:rsid w:val="00093028"/>
    <w:rsid w:val="00093127"/>
    <w:rsid w:val="00093133"/>
    <w:rsid w:val="0009317E"/>
    <w:rsid w:val="000934EA"/>
    <w:rsid w:val="00093638"/>
    <w:rsid w:val="00093642"/>
    <w:rsid w:val="00093741"/>
    <w:rsid w:val="00093742"/>
    <w:rsid w:val="00093793"/>
    <w:rsid w:val="000937CF"/>
    <w:rsid w:val="000938D8"/>
    <w:rsid w:val="000938E6"/>
    <w:rsid w:val="000939D4"/>
    <w:rsid w:val="000939F3"/>
    <w:rsid w:val="00093AB9"/>
    <w:rsid w:val="00093B95"/>
    <w:rsid w:val="00093CA8"/>
    <w:rsid w:val="00093DFC"/>
    <w:rsid w:val="00093E5C"/>
    <w:rsid w:val="00093E64"/>
    <w:rsid w:val="00093EA8"/>
    <w:rsid w:val="00093F1C"/>
    <w:rsid w:val="00094075"/>
    <w:rsid w:val="000940A4"/>
    <w:rsid w:val="000940F1"/>
    <w:rsid w:val="000940F8"/>
    <w:rsid w:val="00094155"/>
    <w:rsid w:val="000941D9"/>
    <w:rsid w:val="00094275"/>
    <w:rsid w:val="00094355"/>
    <w:rsid w:val="000944A5"/>
    <w:rsid w:val="00094552"/>
    <w:rsid w:val="00094565"/>
    <w:rsid w:val="0009459D"/>
    <w:rsid w:val="000946A3"/>
    <w:rsid w:val="00094790"/>
    <w:rsid w:val="0009479B"/>
    <w:rsid w:val="00094875"/>
    <w:rsid w:val="000948A0"/>
    <w:rsid w:val="00094993"/>
    <w:rsid w:val="000949E7"/>
    <w:rsid w:val="00094A0B"/>
    <w:rsid w:val="00094A20"/>
    <w:rsid w:val="00094A67"/>
    <w:rsid w:val="00094BF5"/>
    <w:rsid w:val="00094C5B"/>
    <w:rsid w:val="00094D1D"/>
    <w:rsid w:val="00094DC8"/>
    <w:rsid w:val="00094DF5"/>
    <w:rsid w:val="00094E71"/>
    <w:rsid w:val="00094FC2"/>
    <w:rsid w:val="0009501F"/>
    <w:rsid w:val="00095042"/>
    <w:rsid w:val="00095093"/>
    <w:rsid w:val="000950C0"/>
    <w:rsid w:val="000951E8"/>
    <w:rsid w:val="000951F9"/>
    <w:rsid w:val="000952B6"/>
    <w:rsid w:val="00095302"/>
    <w:rsid w:val="00095319"/>
    <w:rsid w:val="000953AC"/>
    <w:rsid w:val="00095408"/>
    <w:rsid w:val="00095511"/>
    <w:rsid w:val="000955C1"/>
    <w:rsid w:val="000955E8"/>
    <w:rsid w:val="0009570A"/>
    <w:rsid w:val="000957D3"/>
    <w:rsid w:val="000957E1"/>
    <w:rsid w:val="00095840"/>
    <w:rsid w:val="00095A03"/>
    <w:rsid w:val="00095ADD"/>
    <w:rsid w:val="00095AE8"/>
    <w:rsid w:val="00095B2E"/>
    <w:rsid w:val="00095B58"/>
    <w:rsid w:val="00095BF4"/>
    <w:rsid w:val="00095D1C"/>
    <w:rsid w:val="00095E1A"/>
    <w:rsid w:val="00095E46"/>
    <w:rsid w:val="00095F3D"/>
    <w:rsid w:val="00095F76"/>
    <w:rsid w:val="00095FCD"/>
    <w:rsid w:val="00095FDC"/>
    <w:rsid w:val="00095FFA"/>
    <w:rsid w:val="000961DC"/>
    <w:rsid w:val="000961FD"/>
    <w:rsid w:val="00096237"/>
    <w:rsid w:val="000962B7"/>
    <w:rsid w:val="000962C4"/>
    <w:rsid w:val="00096387"/>
    <w:rsid w:val="0009648C"/>
    <w:rsid w:val="000965B6"/>
    <w:rsid w:val="000965C4"/>
    <w:rsid w:val="00096630"/>
    <w:rsid w:val="00096669"/>
    <w:rsid w:val="0009669C"/>
    <w:rsid w:val="00096725"/>
    <w:rsid w:val="000967E8"/>
    <w:rsid w:val="00096832"/>
    <w:rsid w:val="00096933"/>
    <w:rsid w:val="000969EB"/>
    <w:rsid w:val="00096A3A"/>
    <w:rsid w:val="00096AD8"/>
    <w:rsid w:val="00096B29"/>
    <w:rsid w:val="00096C8A"/>
    <w:rsid w:val="00096D09"/>
    <w:rsid w:val="00096D49"/>
    <w:rsid w:val="00096D64"/>
    <w:rsid w:val="00096E2F"/>
    <w:rsid w:val="00096E76"/>
    <w:rsid w:val="00096F3C"/>
    <w:rsid w:val="00096F65"/>
    <w:rsid w:val="00096F96"/>
    <w:rsid w:val="00096FC4"/>
    <w:rsid w:val="00097088"/>
    <w:rsid w:val="00097101"/>
    <w:rsid w:val="0009728B"/>
    <w:rsid w:val="000972A7"/>
    <w:rsid w:val="00097360"/>
    <w:rsid w:val="0009738E"/>
    <w:rsid w:val="000973AC"/>
    <w:rsid w:val="000973B6"/>
    <w:rsid w:val="00097463"/>
    <w:rsid w:val="0009755A"/>
    <w:rsid w:val="000975D5"/>
    <w:rsid w:val="00097616"/>
    <w:rsid w:val="0009761C"/>
    <w:rsid w:val="000976AD"/>
    <w:rsid w:val="0009777D"/>
    <w:rsid w:val="00097816"/>
    <w:rsid w:val="00097821"/>
    <w:rsid w:val="0009782C"/>
    <w:rsid w:val="000978D3"/>
    <w:rsid w:val="00097973"/>
    <w:rsid w:val="00097991"/>
    <w:rsid w:val="000979D4"/>
    <w:rsid w:val="00097A51"/>
    <w:rsid w:val="00097B3F"/>
    <w:rsid w:val="00097B47"/>
    <w:rsid w:val="00097B6F"/>
    <w:rsid w:val="00097B71"/>
    <w:rsid w:val="00097BA8"/>
    <w:rsid w:val="00097E14"/>
    <w:rsid w:val="00097FDF"/>
    <w:rsid w:val="0009AAE1"/>
    <w:rsid w:val="000A009D"/>
    <w:rsid w:val="000A00F9"/>
    <w:rsid w:val="000A0284"/>
    <w:rsid w:val="000A02C1"/>
    <w:rsid w:val="000A038A"/>
    <w:rsid w:val="000A0438"/>
    <w:rsid w:val="000A044C"/>
    <w:rsid w:val="000A04D0"/>
    <w:rsid w:val="000A051F"/>
    <w:rsid w:val="000A0562"/>
    <w:rsid w:val="000A06AD"/>
    <w:rsid w:val="000A06C2"/>
    <w:rsid w:val="000A0782"/>
    <w:rsid w:val="000A07E7"/>
    <w:rsid w:val="000A07EF"/>
    <w:rsid w:val="000A088B"/>
    <w:rsid w:val="000A08D5"/>
    <w:rsid w:val="000A0927"/>
    <w:rsid w:val="000A099F"/>
    <w:rsid w:val="000A09C0"/>
    <w:rsid w:val="000A0A0D"/>
    <w:rsid w:val="000A0AC7"/>
    <w:rsid w:val="000A0B56"/>
    <w:rsid w:val="000A0B71"/>
    <w:rsid w:val="000A0B7C"/>
    <w:rsid w:val="000A0C13"/>
    <w:rsid w:val="000A0CAC"/>
    <w:rsid w:val="000A0D87"/>
    <w:rsid w:val="000A0D9B"/>
    <w:rsid w:val="000A0E91"/>
    <w:rsid w:val="000A0ED5"/>
    <w:rsid w:val="000A0EDE"/>
    <w:rsid w:val="000A0F6B"/>
    <w:rsid w:val="000A0FF2"/>
    <w:rsid w:val="000A1092"/>
    <w:rsid w:val="000A10D4"/>
    <w:rsid w:val="000A1298"/>
    <w:rsid w:val="000A12BB"/>
    <w:rsid w:val="000A12E1"/>
    <w:rsid w:val="000A132F"/>
    <w:rsid w:val="000A1353"/>
    <w:rsid w:val="000A13A7"/>
    <w:rsid w:val="000A13F6"/>
    <w:rsid w:val="000A1403"/>
    <w:rsid w:val="000A1544"/>
    <w:rsid w:val="000A16A3"/>
    <w:rsid w:val="000A1759"/>
    <w:rsid w:val="000A176B"/>
    <w:rsid w:val="000A17E5"/>
    <w:rsid w:val="000A183C"/>
    <w:rsid w:val="000A18A2"/>
    <w:rsid w:val="000A18E4"/>
    <w:rsid w:val="000A1AB3"/>
    <w:rsid w:val="000A1AC7"/>
    <w:rsid w:val="000A1B50"/>
    <w:rsid w:val="000A1D4C"/>
    <w:rsid w:val="000A1DF5"/>
    <w:rsid w:val="000A1F1E"/>
    <w:rsid w:val="000A1FAB"/>
    <w:rsid w:val="000A201A"/>
    <w:rsid w:val="000A2054"/>
    <w:rsid w:val="000A208A"/>
    <w:rsid w:val="000A20DF"/>
    <w:rsid w:val="000A2160"/>
    <w:rsid w:val="000A21AD"/>
    <w:rsid w:val="000A2276"/>
    <w:rsid w:val="000A2423"/>
    <w:rsid w:val="000A2491"/>
    <w:rsid w:val="000A25AE"/>
    <w:rsid w:val="000A266F"/>
    <w:rsid w:val="000A2754"/>
    <w:rsid w:val="000A275F"/>
    <w:rsid w:val="000A282B"/>
    <w:rsid w:val="000A28BF"/>
    <w:rsid w:val="000A28F0"/>
    <w:rsid w:val="000A2906"/>
    <w:rsid w:val="000A293D"/>
    <w:rsid w:val="000A2994"/>
    <w:rsid w:val="000A2AB8"/>
    <w:rsid w:val="000A2B51"/>
    <w:rsid w:val="000A2B6A"/>
    <w:rsid w:val="000A2B96"/>
    <w:rsid w:val="000A2C50"/>
    <w:rsid w:val="000A2D53"/>
    <w:rsid w:val="000A2E07"/>
    <w:rsid w:val="000A2E5C"/>
    <w:rsid w:val="000A2EA9"/>
    <w:rsid w:val="000A2EC0"/>
    <w:rsid w:val="000A2F40"/>
    <w:rsid w:val="000A2F98"/>
    <w:rsid w:val="000A2FBE"/>
    <w:rsid w:val="000A305F"/>
    <w:rsid w:val="000A30BC"/>
    <w:rsid w:val="000A30E9"/>
    <w:rsid w:val="000A3137"/>
    <w:rsid w:val="000A318A"/>
    <w:rsid w:val="000A3209"/>
    <w:rsid w:val="000A3222"/>
    <w:rsid w:val="000A32B0"/>
    <w:rsid w:val="000A33A5"/>
    <w:rsid w:val="000A33EE"/>
    <w:rsid w:val="000A33FF"/>
    <w:rsid w:val="000A3461"/>
    <w:rsid w:val="000A348D"/>
    <w:rsid w:val="000A349F"/>
    <w:rsid w:val="000A3507"/>
    <w:rsid w:val="000A3513"/>
    <w:rsid w:val="000A3562"/>
    <w:rsid w:val="000A35A6"/>
    <w:rsid w:val="000A36BD"/>
    <w:rsid w:val="000A36C1"/>
    <w:rsid w:val="000A37A0"/>
    <w:rsid w:val="000A37D5"/>
    <w:rsid w:val="000A37F3"/>
    <w:rsid w:val="000A3810"/>
    <w:rsid w:val="000A389F"/>
    <w:rsid w:val="000A38C1"/>
    <w:rsid w:val="000A38C4"/>
    <w:rsid w:val="000A39BF"/>
    <w:rsid w:val="000A3A1A"/>
    <w:rsid w:val="000A3A51"/>
    <w:rsid w:val="000A3A8F"/>
    <w:rsid w:val="000A3AA9"/>
    <w:rsid w:val="000A3AE1"/>
    <w:rsid w:val="000A3BAD"/>
    <w:rsid w:val="000A3C2E"/>
    <w:rsid w:val="000A3C5F"/>
    <w:rsid w:val="000A3D00"/>
    <w:rsid w:val="000A3D2F"/>
    <w:rsid w:val="000A3D74"/>
    <w:rsid w:val="000A3E91"/>
    <w:rsid w:val="000A3EDB"/>
    <w:rsid w:val="000A3F5C"/>
    <w:rsid w:val="000A403E"/>
    <w:rsid w:val="000A40A4"/>
    <w:rsid w:val="000A40B0"/>
    <w:rsid w:val="000A415B"/>
    <w:rsid w:val="000A4166"/>
    <w:rsid w:val="000A4298"/>
    <w:rsid w:val="000A42CC"/>
    <w:rsid w:val="000A436D"/>
    <w:rsid w:val="000A43C7"/>
    <w:rsid w:val="000A4430"/>
    <w:rsid w:val="000A4485"/>
    <w:rsid w:val="000A4536"/>
    <w:rsid w:val="000A4734"/>
    <w:rsid w:val="000A4771"/>
    <w:rsid w:val="000A4799"/>
    <w:rsid w:val="000A4815"/>
    <w:rsid w:val="000A4872"/>
    <w:rsid w:val="000A48F9"/>
    <w:rsid w:val="000A4921"/>
    <w:rsid w:val="000A49CB"/>
    <w:rsid w:val="000A4A0F"/>
    <w:rsid w:val="000A4A94"/>
    <w:rsid w:val="000A4B9C"/>
    <w:rsid w:val="000A4BEA"/>
    <w:rsid w:val="000A4D0B"/>
    <w:rsid w:val="000A4D24"/>
    <w:rsid w:val="000A4D73"/>
    <w:rsid w:val="000A4DDA"/>
    <w:rsid w:val="000A4E7F"/>
    <w:rsid w:val="000A4F55"/>
    <w:rsid w:val="000A4F63"/>
    <w:rsid w:val="000A4FF1"/>
    <w:rsid w:val="000A5035"/>
    <w:rsid w:val="000A505A"/>
    <w:rsid w:val="000A5083"/>
    <w:rsid w:val="000A536D"/>
    <w:rsid w:val="000A53C6"/>
    <w:rsid w:val="000A53DC"/>
    <w:rsid w:val="000A5428"/>
    <w:rsid w:val="000A5535"/>
    <w:rsid w:val="000A554B"/>
    <w:rsid w:val="000A55D1"/>
    <w:rsid w:val="000A564F"/>
    <w:rsid w:val="000A56FB"/>
    <w:rsid w:val="000A5772"/>
    <w:rsid w:val="000A57D0"/>
    <w:rsid w:val="000A5807"/>
    <w:rsid w:val="000A587B"/>
    <w:rsid w:val="000A5911"/>
    <w:rsid w:val="000A5921"/>
    <w:rsid w:val="000A592F"/>
    <w:rsid w:val="000A59B8"/>
    <w:rsid w:val="000A5A34"/>
    <w:rsid w:val="000A5B79"/>
    <w:rsid w:val="000A5B7E"/>
    <w:rsid w:val="000A5C2C"/>
    <w:rsid w:val="000A5C91"/>
    <w:rsid w:val="000A5CCE"/>
    <w:rsid w:val="000A5EED"/>
    <w:rsid w:val="000A5F1F"/>
    <w:rsid w:val="000A5F79"/>
    <w:rsid w:val="000A5F91"/>
    <w:rsid w:val="000A606F"/>
    <w:rsid w:val="000A60A8"/>
    <w:rsid w:val="000A6226"/>
    <w:rsid w:val="000A6242"/>
    <w:rsid w:val="000A6275"/>
    <w:rsid w:val="000A629E"/>
    <w:rsid w:val="000A62B1"/>
    <w:rsid w:val="000A62E7"/>
    <w:rsid w:val="000A6372"/>
    <w:rsid w:val="000A6376"/>
    <w:rsid w:val="000A637F"/>
    <w:rsid w:val="000A63F5"/>
    <w:rsid w:val="000A6440"/>
    <w:rsid w:val="000A6465"/>
    <w:rsid w:val="000A64AA"/>
    <w:rsid w:val="000A6564"/>
    <w:rsid w:val="000A6637"/>
    <w:rsid w:val="000A66DE"/>
    <w:rsid w:val="000A6726"/>
    <w:rsid w:val="000A6728"/>
    <w:rsid w:val="000A6779"/>
    <w:rsid w:val="000A69E0"/>
    <w:rsid w:val="000A6ACF"/>
    <w:rsid w:val="000A6AD3"/>
    <w:rsid w:val="000A6BAA"/>
    <w:rsid w:val="000A6BED"/>
    <w:rsid w:val="000A6C66"/>
    <w:rsid w:val="000A6D4F"/>
    <w:rsid w:val="000A6F9F"/>
    <w:rsid w:val="000A6FB4"/>
    <w:rsid w:val="000A7056"/>
    <w:rsid w:val="000A7176"/>
    <w:rsid w:val="000A7183"/>
    <w:rsid w:val="000A71AD"/>
    <w:rsid w:val="000A7296"/>
    <w:rsid w:val="000A7297"/>
    <w:rsid w:val="000A72A3"/>
    <w:rsid w:val="000A7368"/>
    <w:rsid w:val="000A7478"/>
    <w:rsid w:val="000A7500"/>
    <w:rsid w:val="000A75DD"/>
    <w:rsid w:val="000A7612"/>
    <w:rsid w:val="000A7721"/>
    <w:rsid w:val="000A77B9"/>
    <w:rsid w:val="000A790C"/>
    <w:rsid w:val="000A7910"/>
    <w:rsid w:val="000A791D"/>
    <w:rsid w:val="000A7936"/>
    <w:rsid w:val="000A79EC"/>
    <w:rsid w:val="000A79FC"/>
    <w:rsid w:val="000A7A11"/>
    <w:rsid w:val="000A7AD1"/>
    <w:rsid w:val="000A7AE1"/>
    <w:rsid w:val="000A7B50"/>
    <w:rsid w:val="000A7B60"/>
    <w:rsid w:val="000A7B92"/>
    <w:rsid w:val="000A7CC9"/>
    <w:rsid w:val="000A7D8F"/>
    <w:rsid w:val="000A7E04"/>
    <w:rsid w:val="000A7E72"/>
    <w:rsid w:val="000A7E9F"/>
    <w:rsid w:val="000A7EC2"/>
    <w:rsid w:val="000A7F3F"/>
    <w:rsid w:val="000A7F4D"/>
    <w:rsid w:val="000A7F97"/>
    <w:rsid w:val="000A7FA6"/>
    <w:rsid w:val="000A7FB0"/>
    <w:rsid w:val="000B002C"/>
    <w:rsid w:val="000B0045"/>
    <w:rsid w:val="000B01EC"/>
    <w:rsid w:val="000B0234"/>
    <w:rsid w:val="000B02CD"/>
    <w:rsid w:val="000B03C2"/>
    <w:rsid w:val="000B0412"/>
    <w:rsid w:val="000B04FB"/>
    <w:rsid w:val="000B0507"/>
    <w:rsid w:val="000B05FE"/>
    <w:rsid w:val="000B0663"/>
    <w:rsid w:val="000B0745"/>
    <w:rsid w:val="000B086C"/>
    <w:rsid w:val="000B0A03"/>
    <w:rsid w:val="000B0A91"/>
    <w:rsid w:val="000B0AD6"/>
    <w:rsid w:val="000B0B79"/>
    <w:rsid w:val="000B0C37"/>
    <w:rsid w:val="000B0C47"/>
    <w:rsid w:val="000B0C64"/>
    <w:rsid w:val="000B0C8E"/>
    <w:rsid w:val="000B0D52"/>
    <w:rsid w:val="000B0D59"/>
    <w:rsid w:val="000B0D8D"/>
    <w:rsid w:val="000B0E89"/>
    <w:rsid w:val="000B0EE6"/>
    <w:rsid w:val="000B0F5F"/>
    <w:rsid w:val="000B0FA2"/>
    <w:rsid w:val="000B0FE4"/>
    <w:rsid w:val="000B10B5"/>
    <w:rsid w:val="000B1100"/>
    <w:rsid w:val="000B113E"/>
    <w:rsid w:val="000B1288"/>
    <w:rsid w:val="000B12CC"/>
    <w:rsid w:val="000B1324"/>
    <w:rsid w:val="000B134D"/>
    <w:rsid w:val="000B149E"/>
    <w:rsid w:val="000B14C6"/>
    <w:rsid w:val="000B1512"/>
    <w:rsid w:val="000B15A4"/>
    <w:rsid w:val="000B1659"/>
    <w:rsid w:val="000B166F"/>
    <w:rsid w:val="000B1688"/>
    <w:rsid w:val="000B169A"/>
    <w:rsid w:val="000B16E5"/>
    <w:rsid w:val="000B177F"/>
    <w:rsid w:val="000B17AD"/>
    <w:rsid w:val="000B181E"/>
    <w:rsid w:val="000B1844"/>
    <w:rsid w:val="000B188C"/>
    <w:rsid w:val="000B18E5"/>
    <w:rsid w:val="000B1968"/>
    <w:rsid w:val="000B19E9"/>
    <w:rsid w:val="000B1A5F"/>
    <w:rsid w:val="000B1ADC"/>
    <w:rsid w:val="000B1B0B"/>
    <w:rsid w:val="000B1B5C"/>
    <w:rsid w:val="000B1BEC"/>
    <w:rsid w:val="000B1C8D"/>
    <w:rsid w:val="000B1CA8"/>
    <w:rsid w:val="000B1CF2"/>
    <w:rsid w:val="000B1CFC"/>
    <w:rsid w:val="000B1DC1"/>
    <w:rsid w:val="000B1DC6"/>
    <w:rsid w:val="000B1ED6"/>
    <w:rsid w:val="000B1FBD"/>
    <w:rsid w:val="000B1FCB"/>
    <w:rsid w:val="000B1FE1"/>
    <w:rsid w:val="000B205A"/>
    <w:rsid w:val="000B2115"/>
    <w:rsid w:val="000B224B"/>
    <w:rsid w:val="000B22F7"/>
    <w:rsid w:val="000B2338"/>
    <w:rsid w:val="000B235C"/>
    <w:rsid w:val="000B237F"/>
    <w:rsid w:val="000B23DE"/>
    <w:rsid w:val="000B2402"/>
    <w:rsid w:val="000B246F"/>
    <w:rsid w:val="000B24EA"/>
    <w:rsid w:val="000B2557"/>
    <w:rsid w:val="000B2648"/>
    <w:rsid w:val="000B26A2"/>
    <w:rsid w:val="000B26C0"/>
    <w:rsid w:val="000B277E"/>
    <w:rsid w:val="000B27E3"/>
    <w:rsid w:val="000B284D"/>
    <w:rsid w:val="000B28BB"/>
    <w:rsid w:val="000B2914"/>
    <w:rsid w:val="000B291C"/>
    <w:rsid w:val="000B29AD"/>
    <w:rsid w:val="000B29D3"/>
    <w:rsid w:val="000B2B04"/>
    <w:rsid w:val="000B2B16"/>
    <w:rsid w:val="000B2C00"/>
    <w:rsid w:val="000B2C48"/>
    <w:rsid w:val="000B2C58"/>
    <w:rsid w:val="000B2CA5"/>
    <w:rsid w:val="000B2D97"/>
    <w:rsid w:val="000B2DED"/>
    <w:rsid w:val="000B2E56"/>
    <w:rsid w:val="000B2E75"/>
    <w:rsid w:val="000B2EBA"/>
    <w:rsid w:val="000B2F5D"/>
    <w:rsid w:val="000B2FE4"/>
    <w:rsid w:val="000B3027"/>
    <w:rsid w:val="000B30FF"/>
    <w:rsid w:val="000B313B"/>
    <w:rsid w:val="000B3181"/>
    <w:rsid w:val="000B3184"/>
    <w:rsid w:val="000B31A3"/>
    <w:rsid w:val="000B31B7"/>
    <w:rsid w:val="000B3326"/>
    <w:rsid w:val="000B3347"/>
    <w:rsid w:val="000B33EB"/>
    <w:rsid w:val="000B3483"/>
    <w:rsid w:val="000B35E7"/>
    <w:rsid w:val="000B35FF"/>
    <w:rsid w:val="000B3643"/>
    <w:rsid w:val="000B3650"/>
    <w:rsid w:val="000B3807"/>
    <w:rsid w:val="000B3856"/>
    <w:rsid w:val="000B3858"/>
    <w:rsid w:val="000B38C1"/>
    <w:rsid w:val="000B3A6D"/>
    <w:rsid w:val="000B3AEC"/>
    <w:rsid w:val="000B3D6F"/>
    <w:rsid w:val="000B3DA1"/>
    <w:rsid w:val="000B3DE4"/>
    <w:rsid w:val="000B3F6C"/>
    <w:rsid w:val="000B3F9D"/>
    <w:rsid w:val="000B3FD5"/>
    <w:rsid w:val="000B3FEE"/>
    <w:rsid w:val="000B40AA"/>
    <w:rsid w:val="000B40F5"/>
    <w:rsid w:val="000B4161"/>
    <w:rsid w:val="000B419D"/>
    <w:rsid w:val="000B4205"/>
    <w:rsid w:val="000B429C"/>
    <w:rsid w:val="000B429E"/>
    <w:rsid w:val="000B42E9"/>
    <w:rsid w:val="000B439A"/>
    <w:rsid w:val="000B45AD"/>
    <w:rsid w:val="000B490D"/>
    <w:rsid w:val="000B492E"/>
    <w:rsid w:val="000B4957"/>
    <w:rsid w:val="000B4964"/>
    <w:rsid w:val="000B4A43"/>
    <w:rsid w:val="000B4BA5"/>
    <w:rsid w:val="000B4C87"/>
    <w:rsid w:val="000B4CA9"/>
    <w:rsid w:val="000B4CB2"/>
    <w:rsid w:val="000B4CB5"/>
    <w:rsid w:val="000B4CD0"/>
    <w:rsid w:val="000B4E11"/>
    <w:rsid w:val="000B4E50"/>
    <w:rsid w:val="000B4E5F"/>
    <w:rsid w:val="000B5007"/>
    <w:rsid w:val="000B5121"/>
    <w:rsid w:val="000B5152"/>
    <w:rsid w:val="000B5153"/>
    <w:rsid w:val="000B52C6"/>
    <w:rsid w:val="000B52DF"/>
    <w:rsid w:val="000B52E3"/>
    <w:rsid w:val="000B52EB"/>
    <w:rsid w:val="000B5341"/>
    <w:rsid w:val="000B548F"/>
    <w:rsid w:val="000B5502"/>
    <w:rsid w:val="000B550E"/>
    <w:rsid w:val="000B5513"/>
    <w:rsid w:val="000B553C"/>
    <w:rsid w:val="000B5610"/>
    <w:rsid w:val="000B563E"/>
    <w:rsid w:val="000B56BD"/>
    <w:rsid w:val="000B571B"/>
    <w:rsid w:val="000B57DD"/>
    <w:rsid w:val="000B57F1"/>
    <w:rsid w:val="000B59AB"/>
    <w:rsid w:val="000B5A81"/>
    <w:rsid w:val="000B5B1F"/>
    <w:rsid w:val="000B5B71"/>
    <w:rsid w:val="000B5BDC"/>
    <w:rsid w:val="000B5BF6"/>
    <w:rsid w:val="000B5C8A"/>
    <w:rsid w:val="000B5D5E"/>
    <w:rsid w:val="000B5D7E"/>
    <w:rsid w:val="000B5DB4"/>
    <w:rsid w:val="000B5E2F"/>
    <w:rsid w:val="000B5EBE"/>
    <w:rsid w:val="000B5EE9"/>
    <w:rsid w:val="000B5EF3"/>
    <w:rsid w:val="000B5F1D"/>
    <w:rsid w:val="000B601A"/>
    <w:rsid w:val="000B6029"/>
    <w:rsid w:val="000B6039"/>
    <w:rsid w:val="000B60A9"/>
    <w:rsid w:val="000B60FE"/>
    <w:rsid w:val="000B61DE"/>
    <w:rsid w:val="000B62F2"/>
    <w:rsid w:val="000B6350"/>
    <w:rsid w:val="000B63D9"/>
    <w:rsid w:val="000B63FF"/>
    <w:rsid w:val="000B6404"/>
    <w:rsid w:val="000B64FB"/>
    <w:rsid w:val="000B650E"/>
    <w:rsid w:val="000B65DC"/>
    <w:rsid w:val="000B66DE"/>
    <w:rsid w:val="000B66E0"/>
    <w:rsid w:val="000B670B"/>
    <w:rsid w:val="000B673B"/>
    <w:rsid w:val="000B67C8"/>
    <w:rsid w:val="000B6814"/>
    <w:rsid w:val="000B68BA"/>
    <w:rsid w:val="000B6953"/>
    <w:rsid w:val="000B69B0"/>
    <w:rsid w:val="000B6A23"/>
    <w:rsid w:val="000B6A96"/>
    <w:rsid w:val="000B6AF2"/>
    <w:rsid w:val="000B6B39"/>
    <w:rsid w:val="000B6B50"/>
    <w:rsid w:val="000B6C82"/>
    <w:rsid w:val="000B6D63"/>
    <w:rsid w:val="000B6D90"/>
    <w:rsid w:val="000B6DD5"/>
    <w:rsid w:val="000B6DF7"/>
    <w:rsid w:val="000B6E9A"/>
    <w:rsid w:val="000B6EF2"/>
    <w:rsid w:val="000B6FB5"/>
    <w:rsid w:val="000B700A"/>
    <w:rsid w:val="000B7083"/>
    <w:rsid w:val="000B70B5"/>
    <w:rsid w:val="000B7205"/>
    <w:rsid w:val="000B7208"/>
    <w:rsid w:val="000B739B"/>
    <w:rsid w:val="000B7591"/>
    <w:rsid w:val="000B75BB"/>
    <w:rsid w:val="000B7648"/>
    <w:rsid w:val="000B76B1"/>
    <w:rsid w:val="000B76B8"/>
    <w:rsid w:val="000B76F4"/>
    <w:rsid w:val="000B76F5"/>
    <w:rsid w:val="000B7707"/>
    <w:rsid w:val="000B778C"/>
    <w:rsid w:val="000B7842"/>
    <w:rsid w:val="000B7868"/>
    <w:rsid w:val="000B78DE"/>
    <w:rsid w:val="000B79AF"/>
    <w:rsid w:val="000B7A1F"/>
    <w:rsid w:val="000B7A57"/>
    <w:rsid w:val="000B7A6D"/>
    <w:rsid w:val="000B7ABE"/>
    <w:rsid w:val="000B7BCC"/>
    <w:rsid w:val="000B7C28"/>
    <w:rsid w:val="000B7D70"/>
    <w:rsid w:val="000B7DAA"/>
    <w:rsid w:val="000B7DB7"/>
    <w:rsid w:val="000B7E42"/>
    <w:rsid w:val="000BD80D"/>
    <w:rsid w:val="000C0019"/>
    <w:rsid w:val="000C00A8"/>
    <w:rsid w:val="000C00AA"/>
    <w:rsid w:val="000C0137"/>
    <w:rsid w:val="000C0184"/>
    <w:rsid w:val="000C01B3"/>
    <w:rsid w:val="000C01EC"/>
    <w:rsid w:val="000C027C"/>
    <w:rsid w:val="000C02C9"/>
    <w:rsid w:val="000C02D0"/>
    <w:rsid w:val="000C04A2"/>
    <w:rsid w:val="000C04C5"/>
    <w:rsid w:val="000C067B"/>
    <w:rsid w:val="000C06E0"/>
    <w:rsid w:val="000C0761"/>
    <w:rsid w:val="000C07BE"/>
    <w:rsid w:val="000C08F3"/>
    <w:rsid w:val="000C0936"/>
    <w:rsid w:val="000C0A6F"/>
    <w:rsid w:val="000C0AA2"/>
    <w:rsid w:val="000C0B0B"/>
    <w:rsid w:val="000C0B43"/>
    <w:rsid w:val="000C0B54"/>
    <w:rsid w:val="000C0B69"/>
    <w:rsid w:val="000C0BBD"/>
    <w:rsid w:val="000C0D1A"/>
    <w:rsid w:val="000C0D26"/>
    <w:rsid w:val="000C0D45"/>
    <w:rsid w:val="000C0D9D"/>
    <w:rsid w:val="000C0E1B"/>
    <w:rsid w:val="000C0EBE"/>
    <w:rsid w:val="000C0F51"/>
    <w:rsid w:val="000C0FFD"/>
    <w:rsid w:val="000C10CE"/>
    <w:rsid w:val="000C10D9"/>
    <w:rsid w:val="000C10E0"/>
    <w:rsid w:val="000C117C"/>
    <w:rsid w:val="000C1226"/>
    <w:rsid w:val="000C1231"/>
    <w:rsid w:val="000C1248"/>
    <w:rsid w:val="000C12B2"/>
    <w:rsid w:val="000C12C5"/>
    <w:rsid w:val="000C12D0"/>
    <w:rsid w:val="000C1324"/>
    <w:rsid w:val="000C1393"/>
    <w:rsid w:val="000C13E7"/>
    <w:rsid w:val="000C1507"/>
    <w:rsid w:val="000C1582"/>
    <w:rsid w:val="000C159F"/>
    <w:rsid w:val="000C1781"/>
    <w:rsid w:val="000C17D5"/>
    <w:rsid w:val="000C1916"/>
    <w:rsid w:val="000C1997"/>
    <w:rsid w:val="000C19CD"/>
    <w:rsid w:val="000C19F7"/>
    <w:rsid w:val="000C1A5D"/>
    <w:rsid w:val="000C1B01"/>
    <w:rsid w:val="000C1BDA"/>
    <w:rsid w:val="000C1CB1"/>
    <w:rsid w:val="000C1CB4"/>
    <w:rsid w:val="000C1DB2"/>
    <w:rsid w:val="000C1DE1"/>
    <w:rsid w:val="000C1F38"/>
    <w:rsid w:val="000C1F40"/>
    <w:rsid w:val="000C1F42"/>
    <w:rsid w:val="000C1F5B"/>
    <w:rsid w:val="000C1FCB"/>
    <w:rsid w:val="000C2056"/>
    <w:rsid w:val="000C2121"/>
    <w:rsid w:val="000C2191"/>
    <w:rsid w:val="000C22D7"/>
    <w:rsid w:val="000C22E0"/>
    <w:rsid w:val="000C23E5"/>
    <w:rsid w:val="000C2400"/>
    <w:rsid w:val="000C2414"/>
    <w:rsid w:val="000C24E1"/>
    <w:rsid w:val="000C2518"/>
    <w:rsid w:val="000C2544"/>
    <w:rsid w:val="000C25C6"/>
    <w:rsid w:val="000C25EE"/>
    <w:rsid w:val="000C2653"/>
    <w:rsid w:val="000C266C"/>
    <w:rsid w:val="000C2829"/>
    <w:rsid w:val="000C292D"/>
    <w:rsid w:val="000C295C"/>
    <w:rsid w:val="000C296D"/>
    <w:rsid w:val="000C29E1"/>
    <w:rsid w:val="000C2A42"/>
    <w:rsid w:val="000C2A68"/>
    <w:rsid w:val="000C2A80"/>
    <w:rsid w:val="000C2BFA"/>
    <w:rsid w:val="000C2C38"/>
    <w:rsid w:val="000C2C58"/>
    <w:rsid w:val="000C2C93"/>
    <w:rsid w:val="000C2D4E"/>
    <w:rsid w:val="000C2DA8"/>
    <w:rsid w:val="000C2E2C"/>
    <w:rsid w:val="000C2E6D"/>
    <w:rsid w:val="000C2E90"/>
    <w:rsid w:val="000C2EBF"/>
    <w:rsid w:val="000C3006"/>
    <w:rsid w:val="000C305C"/>
    <w:rsid w:val="000C307C"/>
    <w:rsid w:val="000C30BE"/>
    <w:rsid w:val="000C3150"/>
    <w:rsid w:val="000C320B"/>
    <w:rsid w:val="000C324D"/>
    <w:rsid w:val="000C330B"/>
    <w:rsid w:val="000C333B"/>
    <w:rsid w:val="000C350A"/>
    <w:rsid w:val="000C3531"/>
    <w:rsid w:val="000C35C8"/>
    <w:rsid w:val="000C3737"/>
    <w:rsid w:val="000C37CF"/>
    <w:rsid w:val="000C37E0"/>
    <w:rsid w:val="000C3828"/>
    <w:rsid w:val="000C38BB"/>
    <w:rsid w:val="000C39B3"/>
    <w:rsid w:val="000C39E1"/>
    <w:rsid w:val="000C3A2D"/>
    <w:rsid w:val="000C3B0B"/>
    <w:rsid w:val="000C3B3E"/>
    <w:rsid w:val="000C3CEE"/>
    <w:rsid w:val="000C3D5B"/>
    <w:rsid w:val="000C3D63"/>
    <w:rsid w:val="000C3E66"/>
    <w:rsid w:val="000C3EE2"/>
    <w:rsid w:val="000C3F2D"/>
    <w:rsid w:val="000C3F74"/>
    <w:rsid w:val="000C414C"/>
    <w:rsid w:val="000C435B"/>
    <w:rsid w:val="000C4373"/>
    <w:rsid w:val="000C43C8"/>
    <w:rsid w:val="000C44D2"/>
    <w:rsid w:val="000C4579"/>
    <w:rsid w:val="000C4594"/>
    <w:rsid w:val="000C4596"/>
    <w:rsid w:val="000C4602"/>
    <w:rsid w:val="000C4620"/>
    <w:rsid w:val="000C470F"/>
    <w:rsid w:val="000C4765"/>
    <w:rsid w:val="000C4790"/>
    <w:rsid w:val="000C4793"/>
    <w:rsid w:val="000C489B"/>
    <w:rsid w:val="000C48A7"/>
    <w:rsid w:val="000C48B4"/>
    <w:rsid w:val="000C48D4"/>
    <w:rsid w:val="000C4909"/>
    <w:rsid w:val="000C4914"/>
    <w:rsid w:val="000C4962"/>
    <w:rsid w:val="000C496B"/>
    <w:rsid w:val="000C49BB"/>
    <w:rsid w:val="000C4ABF"/>
    <w:rsid w:val="000C4B70"/>
    <w:rsid w:val="000C4C53"/>
    <w:rsid w:val="000C4C74"/>
    <w:rsid w:val="000C4CFE"/>
    <w:rsid w:val="000C4DB4"/>
    <w:rsid w:val="000C4DBD"/>
    <w:rsid w:val="000C4EE5"/>
    <w:rsid w:val="000C4F71"/>
    <w:rsid w:val="000C4F8A"/>
    <w:rsid w:val="000C5032"/>
    <w:rsid w:val="000C5095"/>
    <w:rsid w:val="000C511B"/>
    <w:rsid w:val="000C5182"/>
    <w:rsid w:val="000C520E"/>
    <w:rsid w:val="000C52C5"/>
    <w:rsid w:val="000C530F"/>
    <w:rsid w:val="000C53EC"/>
    <w:rsid w:val="000C5418"/>
    <w:rsid w:val="000C542A"/>
    <w:rsid w:val="000C548B"/>
    <w:rsid w:val="000C5501"/>
    <w:rsid w:val="000C559F"/>
    <w:rsid w:val="000C5612"/>
    <w:rsid w:val="000C573F"/>
    <w:rsid w:val="000C578F"/>
    <w:rsid w:val="000C5920"/>
    <w:rsid w:val="000C5A2A"/>
    <w:rsid w:val="000C5A48"/>
    <w:rsid w:val="000C5A96"/>
    <w:rsid w:val="000C5ADD"/>
    <w:rsid w:val="000C5AE9"/>
    <w:rsid w:val="000C5B9D"/>
    <w:rsid w:val="000C5BE8"/>
    <w:rsid w:val="000C5BF9"/>
    <w:rsid w:val="000C5C7C"/>
    <w:rsid w:val="000C5D33"/>
    <w:rsid w:val="000C5D97"/>
    <w:rsid w:val="000C5E4D"/>
    <w:rsid w:val="000C5E88"/>
    <w:rsid w:val="000C5EB0"/>
    <w:rsid w:val="000C5F1D"/>
    <w:rsid w:val="000C5F8E"/>
    <w:rsid w:val="000C5FB1"/>
    <w:rsid w:val="000C60B5"/>
    <w:rsid w:val="000C60FB"/>
    <w:rsid w:val="000C6102"/>
    <w:rsid w:val="000C618A"/>
    <w:rsid w:val="000C6213"/>
    <w:rsid w:val="000C6250"/>
    <w:rsid w:val="000C62E5"/>
    <w:rsid w:val="000C66A9"/>
    <w:rsid w:val="000C66BC"/>
    <w:rsid w:val="000C66D4"/>
    <w:rsid w:val="000C6774"/>
    <w:rsid w:val="000C67BC"/>
    <w:rsid w:val="000C68D9"/>
    <w:rsid w:val="000C69E1"/>
    <w:rsid w:val="000C69F9"/>
    <w:rsid w:val="000C6A33"/>
    <w:rsid w:val="000C6BAE"/>
    <w:rsid w:val="000C6C9D"/>
    <w:rsid w:val="000C6D42"/>
    <w:rsid w:val="000C6D8B"/>
    <w:rsid w:val="000C6E18"/>
    <w:rsid w:val="000C6E94"/>
    <w:rsid w:val="000C6F42"/>
    <w:rsid w:val="000C702F"/>
    <w:rsid w:val="000C704C"/>
    <w:rsid w:val="000C708B"/>
    <w:rsid w:val="000C71E1"/>
    <w:rsid w:val="000C7206"/>
    <w:rsid w:val="000C721B"/>
    <w:rsid w:val="000C7220"/>
    <w:rsid w:val="000C7289"/>
    <w:rsid w:val="000C72C3"/>
    <w:rsid w:val="000C72EC"/>
    <w:rsid w:val="000C73AB"/>
    <w:rsid w:val="000C73CE"/>
    <w:rsid w:val="000C743B"/>
    <w:rsid w:val="000C749C"/>
    <w:rsid w:val="000C76F9"/>
    <w:rsid w:val="000C77B8"/>
    <w:rsid w:val="000C77FC"/>
    <w:rsid w:val="000C789D"/>
    <w:rsid w:val="000C78D2"/>
    <w:rsid w:val="000C78E6"/>
    <w:rsid w:val="000C7913"/>
    <w:rsid w:val="000C7B04"/>
    <w:rsid w:val="000C7B35"/>
    <w:rsid w:val="000C7B87"/>
    <w:rsid w:val="000C7B8F"/>
    <w:rsid w:val="000C7BB9"/>
    <w:rsid w:val="000C7C8C"/>
    <w:rsid w:val="000C7CB3"/>
    <w:rsid w:val="000C7CEB"/>
    <w:rsid w:val="000C7D19"/>
    <w:rsid w:val="000C7D73"/>
    <w:rsid w:val="000C7D95"/>
    <w:rsid w:val="000C7F0F"/>
    <w:rsid w:val="000C7F65"/>
    <w:rsid w:val="000C7F68"/>
    <w:rsid w:val="000D0071"/>
    <w:rsid w:val="000D00E1"/>
    <w:rsid w:val="000D019B"/>
    <w:rsid w:val="000D01BE"/>
    <w:rsid w:val="000D028B"/>
    <w:rsid w:val="000D0294"/>
    <w:rsid w:val="000D02DB"/>
    <w:rsid w:val="000D03B8"/>
    <w:rsid w:val="000D03BD"/>
    <w:rsid w:val="000D05CC"/>
    <w:rsid w:val="000D0602"/>
    <w:rsid w:val="000D0615"/>
    <w:rsid w:val="000D06AA"/>
    <w:rsid w:val="000D06B2"/>
    <w:rsid w:val="000D076E"/>
    <w:rsid w:val="000D07C9"/>
    <w:rsid w:val="000D08F9"/>
    <w:rsid w:val="000D0929"/>
    <w:rsid w:val="000D096A"/>
    <w:rsid w:val="000D099A"/>
    <w:rsid w:val="000D0ABF"/>
    <w:rsid w:val="000D0AC5"/>
    <w:rsid w:val="000D0ACC"/>
    <w:rsid w:val="000D0B54"/>
    <w:rsid w:val="000D0BF9"/>
    <w:rsid w:val="000D0CEA"/>
    <w:rsid w:val="000D0D30"/>
    <w:rsid w:val="000D0DE0"/>
    <w:rsid w:val="000D0E1A"/>
    <w:rsid w:val="000D0F0F"/>
    <w:rsid w:val="000D0FC0"/>
    <w:rsid w:val="000D108B"/>
    <w:rsid w:val="000D108F"/>
    <w:rsid w:val="000D118F"/>
    <w:rsid w:val="000D128C"/>
    <w:rsid w:val="000D12F2"/>
    <w:rsid w:val="000D1462"/>
    <w:rsid w:val="000D1487"/>
    <w:rsid w:val="000D148D"/>
    <w:rsid w:val="000D14BE"/>
    <w:rsid w:val="000D169F"/>
    <w:rsid w:val="000D170F"/>
    <w:rsid w:val="000D173C"/>
    <w:rsid w:val="000D179D"/>
    <w:rsid w:val="000D17A7"/>
    <w:rsid w:val="000D18D2"/>
    <w:rsid w:val="000D1913"/>
    <w:rsid w:val="000D1923"/>
    <w:rsid w:val="000D198F"/>
    <w:rsid w:val="000D19B6"/>
    <w:rsid w:val="000D1B5D"/>
    <w:rsid w:val="000D1BA7"/>
    <w:rsid w:val="000D1D53"/>
    <w:rsid w:val="000D1DD3"/>
    <w:rsid w:val="000D1F11"/>
    <w:rsid w:val="000D1F14"/>
    <w:rsid w:val="000D2069"/>
    <w:rsid w:val="000D20BD"/>
    <w:rsid w:val="000D210E"/>
    <w:rsid w:val="000D2146"/>
    <w:rsid w:val="000D2191"/>
    <w:rsid w:val="000D21F4"/>
    <w:rsid w:val="000D2255"/>
    <w:rsid w:val="000D2364"/>
    <w:rsid w:val="000D2558"/>
    <w:rsid w:val="000D258B"/>
    <w:rsid w:val="000D2594"/>
    <w:rsid w:val="000D25C9"/>
    <w:rsid w:val="000D262C"/>
    <w:rsid w:val="000D2648"/>
    <w:rsid w:val="000D264D"/>
    <w:rsid w:val="000D268E"/>
    <w:rsid w:val="000D26E7"/>
    <w:rsid w:val="000D2840"/>
    <w:rsid w:val="000D2848"/>
    <w:rsid w:val="000D28AD"/>
    <w:rsid w:val="000D294A"/>
    <w:rsid w:val="000D29CE"/>
    <w:rsid w:val="000D29EB"/>
    <w:rsid w:val="000D29ED"/>
    <w:rsid w:val="000D2AD9"/>
    <w:rsid w:val="000D2ADA"/>
    <w:rsid w:val="000D2B6A"/>
    <w:rsid w:val="000D2BCB"/>
    <w:rsid w:val="000D2CBD"/>
    <w:rsid w:val="000D2CC1"/>
    <w:rsid w:val="000D2E8A"/>
    <w:rsid w:val="000D2FFA"/>
    <w:rsid w:val="000D303C"/>
    <w:rsid w:val="000D3062"/>
    <w:rsid w:val="000D3082"/>
    <w:rsid w:val="000D30D2"/>
    <w:rsid w:val="000D319F"/>
    <w:rsid w:val="000D328C"/>
    <w:rsid w:val="000D329C"/>
    <w:rsid w:val="000D3334"/>
    <w:rsid w:val="000D3386"/>
    <w:rsid w:val="000D35B1"/>
    <w:rsid w:val="000D35FB"/>
    <w:rsid w:val="000D3688"/>
    <w:rsid w:val="000D371C"/>
    <w:rsid w:val="000D37C3"/>
    <w:rsid w:val="000D3804"/>
    <w:rsid w:val="000D3823"/>
    <w:rsid w:val="000D3868"/>
    <w:rsid w:val="000D386C"/>
    <w:rsid w:val="000D39F8"/>
    <w:rsid w:val="000D3A1C"/>
    <w:rsid w:val="000D3A26"/>
    <w:rsid w:val="000D3AAA"/>
    <w:rsid w:val="000D3B92"/>
    <w:rsid w:val="000D3BDF"/>
    <w:rsid w:val="000D3C7B"/>
    <w:rsid w:val="000D3D14"/>
    <w:rsid w:val="000D3D29"/>
    <w:rsid w:val="000D3DB1"/>
    <w:rsid w:val="000D3DE5"/>
    <w:rsid w:val="000D3E15"/>
    <w:rsid w:val="000D3E66"/>
    <w:rsid w:val="000D3EEE"/>
    <w:rsid w:val="000D3EF4"/>
    <w:rsid w:val="000D3F0A"/>
    <w:rsid w:val="000D3F18"/>
    <w:rsid w:val="000D4019"/>
    <w:rsid w:val="000D405A"/>
    <w:rsid w:val="000D40C9"/>
    <w:rsid w:val="000D40E2"/>
    <w:rsid w:val="000D40F5"/>
    <w:rsid w:val="000D4133"/>
    <w:rsid w:val="000D4184"/>
    <w:rsid w:val="000D41F4"/>
    <w:rsid w:val="000D444C"/>
    <w:rsid w:val="000D45E8"/>
    <w:rsid w:val="000D46A0"/>
    <w:rsid w:val="000D4726"/>
    <w:rsid w:val="000D4929"/>
    <w:rsid w:val="000D4A9C"/>
    <w:rsid w:val="000D4AAE"/>
    <w:rsid w:val="000D4B17"/>
    <w:rsid w:val="000D4B8C"/>
    <w:rsid w:val="000D4B9E"/>
    <w:rsid w:val="000D4C4D"/>
    <w:rsid w:val="000D4C74"/>
    <w:rsid w:val="000D4D5C"/>
    <w:rsid w:val="000D4DBE"/>
    <w:rsid w:val="000D4E34"/>
    <w:rsid w:val="000D4E58"/>
    <w:rsid w:val="000D5062"/>
    <w:rsid w:val="000D5126"/>
    <w:rsid w:val="000D51D5"/>
    <w:rsid w:val="000D52CB"/>
    <w:rsid w:val="000D532D"/>
    <w:rsid w:val="000D5416"/>
    <w:rsid w:val="000D54D5"/>
    <w:rsid w:val="000D5510"/>
    <w:rsid w:val="000D5585"/>
    <w:rsid w:val="000D558F"/>
    <w:rsid w:val="000D561B"/>
    <w:rsid w:val="000D569A"/>
    <w:rsid w:val="000D56B9"/>
    <w:rsid w:val="000D57B2"/>
    <w:rsid w:val="000D5800"/>
    <w:rsid w:val="000D5805"/>
    <w:rsid w:val="000D580E"/>
    <w:rsid w:val="000D5859"/>
    <w:rsid w:val="000D585A"/>
    <w:rsid w:val="000D58D0"/>
    <w:rsid w:val="000D58DF"/>
    <w:rsid w:val="000D595B"/>
    <w:rsid w:val="000D5980"/>
    <w:rsid w:val="000D5988"/>
    <w:rsid w:val="000D59A9"/>
    <w:rsid w:val="000D59D0"/>
    <w:rsid w:val="000D5A1B"/>
    <w:rsid w:val="000D5A6B"/>
    <w:rsid w:val="000D5C29"/>
    <w:rsid w:val="000D5C86"/>
    <w:rsid w:val="000D5CF2"/>
    <w:rsid w:val="000D5D61"/>
    <w:rsid w:val="000D5E51"/>
    <w:rsid w:val="000D5EEE"/>
    <w:rsid w:val="000D5F2C"/>
    <w:rsid w:val="000D5F33"/>
    <w:rsid w:val="000D5F8B"/>
    <w:rsid w:val="000D5FE4"/>
    <w:rsid w:val="000D6019"/>
    <w:rsid w:val="000D6045"/>
    <w:rsid w:val="000D605A"/>
    <w:rsid w:val="000D61BF"/>
    <w:rsid w:val="000D620A"/>
    <w:rsid w:val="000D62EA"/>
    <w:rsid w:val="000D6315"/>
    <w:rsid w:val="000D63D0"/>
    <w:rsid w:val="000D643D"/>
    <w:rsid w:val="000D649E"/>
    <w:rsid w:val="000D64DD"/>
    <w:rsid w:val="000D6510"/>
    <w:rsid w:val="000D651C"/>
    <w:rsid w:val="000D653D"/>
    <w:rsid w:val="000D6609"/>
    <w:rsid w:val="000D66D9"/>
    <w:rsid w:val="000D6797"/>
    <w:rsid w:val="000D6845"/>
    <w:rsid w:val="000D6896"/>
    <w:rsid w:val="000D68A0"/>
    <w:rsid w:val="000D68A1"/>
    <w:rsid w:val="000D699F"/>
    <w:rsid w:val="000D69C7"/>
    <w:rsid w:val="000D6A60"/>
    <w:rsid w:val="000D6A6E"/>
    <w:rsid w:val="000D6BD3"/>
    <w:rsid w:val="000D6BE0"/>
    <w:rsid w:val="000D6C7E"/>
    <w:rsid w:val="000D6D57"/>
    <w:rsid w:val="000D6DB1"/>
    <w:rsid w:val="000D6E61"/>
    <w:rsid w:val="000D6E81"/>
    <w:rsid w:val="000D6F31"/>
    <w:rsid w:val="000D6F3B"/>
    <w:rsid w:val="000D6F75"/>
    <w:rsid w:val="000D6FE0"/>
    <w:rsid w:val="000D6FF4"/>
    <w:rsid w:val="000D700C"/>
    <w:rsid w:val="000D7069"/>
    <w:rsid w:val="000D712C"/>
    <w:rsid w:val="000D71FC"/>
    <w:rsid w:val="000D728B"/>
    <w:rsid w:val="000D7483"/>
    <w:rsid w:val="000D7490"/>
    <w:rsid w:val="000D749E"/>
    <w:rsid w:val="000D754C"/>
    <w:rsid w:val="000D7676"/>
    <w:rsid w:val="000D7780"/>
    <w:rsid w:val="000D77F7"/>
    <w:rsid w:val="000D7972"/>
    <w:rsid w:val="000D797F"/>
    <w:rsid w:val="000D7A46"/>
    <w:rsid w:val="000D7A63"/>
    <w:rsid w:val="000D7AD0"/>
    <w:rsid w:val="000D7AD4"/>
    <w:rsid w:val="000D7B39"/>
    <w:rsid w:val="000D7B58"/>
    <w:rsid w:val="000D7B72"/>
    <w:rsid w:val="000D7BD9"/>
    <w:rsid w:val="000D7BFC"/>
    <w:rsid w:val="000D7C2C"/>
    <w:rsid w:val="000D7C52"/>
    <w:rsid w:val="000D7C85"/>
    <w:rsid w:val="000D7CB6"/>
    <w:rsid w:val="000D7D04"/>
    <w:rsid w:val="000D7D97"/>
    <w:rsid w:val="000D7E11"/>
    <w:rsid w:val="000D7E27"/>
    <w:rsid w:val="000D7F19"/>
    <w:rsid w:val="000D7FDD"/>
    <w:rsid w:val="000E0064"/>
    <w:rsid w:val="000E00E6"/>
    <w:rsid w:val="000E0114"/>
    <w:rsid w:val="000E01F3"/>
    <w:rsid w:val="000E03B2"/>
    <w:rsid w:val="000E0413"/>
    <w:rsid w:val="000E0514"/>
    <w:rsid w:val="000E051E"/>
    <w:rsid w:val="000E0600"/>
    <w:rsid w:val="000E0630"/>
    <w:rsid w:val="000E07DE"/>
    <w:rsid w:val="000E0852"/>
    <w:rsid w:val="000E08A3"/>
    <w:rsid w:val="000E08A9"/>
    <w:rsid w:val="000E0AAE"/>
    <w:rsid w:val="000E0B87"/>
    <w:rsid w:val="000E0C1C"/>
    <w:rsid w:val="000E0C4A"/>
    <w:rsid w:val="000E0C9F"/>
    <w:rsid w:val="000E0CD0"/>
    <w:rsid w:val="000E0D21"/>
    <w:rsid w:val="000E0E1C"/>
    <w:rsid w:val="000E0E4E"/>
    <w:rsid w:val="000E0FFF"/>
    <w:rsid w:val="000E105D"/>
    <w:rsid w:val="000E109E"/>
    <w:rsid w:val="000E10CE"/>
    <w:rsid w:val="000E1102"/>
    <w:rsid w:val="000E1143"/>
    <w:rsid w:val="000E1287"/>
    <w:rsid w:val="000E13E3"/>
    <w:rsid w:val="000E13F4"/>
    <w:rsid w:val="000E141F"/>
    <w:rsid w:val="000E14A5"/>
    <w:rsid w:val="000E150D"/>
    <w:rsid w:val="000E1595"/>
    <w:rsid w:val="000E160E"/>
    <w:rsid w:val="000E16A5"/>
    <w:rsid w:val="000E16C5"/>
    <w:rsid w:val="000E1757"/>
    <w:rsid w:val="000E17B9"/>
    <w:rsid w:val="000E17F6"/>
    <w:rsid w:val="000E1931"/>
    <w:rsid w:val="000E1991"/>
    <w:rsid w:val="000E19C2"/>
    <w:rsid w:val="000E19FD"/>
    <w:rsid w:val="000E1A6A"/>
    <w:rsid w:val="000E1B5D"/>
    <w:rsid w:val="000E1BA6"/>
    <w:rsid w:val="000E1CA7"/>
    <w:rsid w:val="000E1D06"/>
    <w:rsid w:val="000E1D8F"/>
    <w:rsid w:val="000E1EB4"/>
    <w:rsid w:val="000E1EBC"/>
    <w:rsid w:val="000E1F34"/>
    <w:rsid w:val="000E1FBB"/>
    <w:rsid w:val="000E1FF2"/>
    <w:rsid w:val="000E2079"/>
    <w:rsid w:val="000E20BA"/>
    <w:rsid w:val="000E211D"/>
    <w:rsid w:val="000E2120"/>
    <w:rsid w:val="000E219C"/>
    <w:rsid w:val="000E21A1"/>
    <w:rsid w:val="000E21B8"/>
    <w:rsid w:val="000E222F"/>
    <w:rsid w:val="000E235E"/>
    <w:rsid w:val="000E23D1"/>
    <w:rsid w:val="000E241C"/>
    <w:rsid w:val="000E248F"/>
    <w:rsid w:val="000E24F1"/>
    <w:rsid w:val="000E258D"/>
    <w:rsid w:val="000E25CE"/>
    <w:rsid w:val="000E2727"/>
    <w:rsid w:val="000E2745"/>
    <w:rsid w:val="000E289A"/>
    <w:rsid w:val="000E2A9C"/>
    <w:rsid w:val="000E2AD8"/>
    <w:rsid w:val="000E2B16"/>
    <w:rsid w:val="000E2BE8"/>
    <w:rsid w:val="000E2CB1"/>
    <w:rsid w:val="000E2CD9"/>
    <w:rsid w:val="000E2D09"/>
    <w:rsid w:val="000E2D2B"/>
    <w:rsid w:val="000E2D2E"/>
    <w:rsid w:val="000E2DE0"/>
    <w:rsid w:val="000E2E46"/>
    <w:rsid w:val="000E2EC6"/>
    <w:rsid w:val="000E30DC"/>
    <w:rsid w:val="000E30FA"/>
    <w:rsid w:val="000E312D"/>
    <w:rsid w:val="000E32E1"/>
    <w:rsid w:val="000E3344"/>
    <w:rsid w:val="000E3396"/>
    <w:rsid w:val="000E33E5"/>
    <w:rsid w:val="000E346C"/>
    <w:rsid w:val="000E34BD"/>
    <w:rsid w:val="000E34FD"/>
    <w:rsid w:val="000E3504"/>
    <w:rsid w:val="000E353F"/>
    <w:rsid w:val="000E362B"/>
    <w:rsid w:val="000E36A8"/>
    <w:rsid w:val="000E376F"/>
    <w:rsid w:val="000E37FE"/>
    <w:rsid w:val="000E3862"/>
    <w:rsid w:val="000E391D"/>
    <w:rsid w:val="000E394D"/>
    <w:rsid w:val="000E39A5"/>
    <w:rsid w:val="000E3A04"/>
    <w:rsid w:val="000E3A43"/>
    <w:rsid w:val="000E3A6E"/>
    <w:rsid w:val="000E3B4E"/>
    <w:rsid w:val="000E3C78"/>
    <w:rsid w:val="000E3CF8"/>
    <w:rsid w:val="000E3FCF"/>
    <w:rsid w:val="000E3FDB"/>
    <w:rsid w:val="000E3FE1"/>
    <w:rsid w:val="000E3FEC"/>
    <w:rsid w:val="000E4004"/>
    <w:rsid w:val="000E4028"/>
    <w:rsid w:val="000E4098"/>
    <w:rsid w:val="000E40AB"/>
    <w:rsid w:val="000E40B4"/>
    <w:rsid w:val="000E4242"/>
    <w:rsid w:val="000E42C3"/>
    <w:rsid w:val="000E42EB"/>
    <w:rsid w:val="000E4327"/>
    <w:rsid w:val="000E434E"/>
    <w:rsid w:val="000E4369"/>
    <w:rsid w:val="000E4383"/>
    <w:rsid w:val="000E445F"/>
    <w:rsid w:val="000E45A2"/>
    <w:rsid w:val="000E45D7"/>
    <w:rsid w:val="000E4620"/>
    <w:rsid w:val="000E464F"/>
    <w:rsid w:val="000E4664"/>
    <w:rsid w:val="000E4678"/>
    <w:rsid w:val="000E473D"/>
    <w:rsid w:val="000E474B"/>
    <w:rsid w:val="000E4790"/>
    <w:rsid w:val="000E47B1"/>
    <w:rsid w:val="000E47BD"/>
    <w:rsid w:val="000E480D"/>
    <w:rsid w:val="000E482D"/>
    <w:rsid w:val="000E4969"/>
    <w:rsid w:val="000E49E7"/>
    <w:rsid w:val="000E4A89"/>
    <w:rsid w:val="000E4B42"/>
    <w:rsid w:val="000E4B5F"/>
    <w:rsid w:val="000E4BEF"/>
    <w:rsid w:val="000E4C9F"/>
    <w:rsid w:val="000E4CAB"/>
    <w:rsid w:val="000E4D50"/>
    <w:rsid w:val="000E4DAF"/>
    <w:rsid w:val="000E4F2A"/>
    <w:rsid w:val="000E4F2B"/>
    <w:rsid w:val="000E4F41"/>
    <w:rsid w:val="000E506A"/>
    <w:rsid w:val="000E5073"/>
    <w:rsid w:val="000E5089"/>
    <w:rsid w:val="000E5154"/>
    <w:rsid w:val="000E5218"/>
    <w:rsid w:val="000E5293"/>
    <w:rsid w:val="000E5414"/>
    <w:rsid w:val="000E5565"/>
    <w:rsid w:val="000E559F"/>
    <w:rsid w:val="000E55B4"/>
    <w:rsid w:val="000E56CF"/>
    <w:rsid w:val="000E5721"/>
    <w:rsid w:val="000E573A"/>
    <w:rsid w:val="000E575E"/>
    <w:rsid w:val="000E57D9"/>
    <w:rsid w:val="000E587A"/>
    <w:rsid w:val="000E58E6"/>
    <w:rsid w:val="000E59E9"/>
    <w:rsid w:val="000E59F6"/>
    <w:rsid w:val="000E5A2F"/>
    <w:rsid w:val="000E5A36"/>
    <w:rsid w:val="000E5B2E"/>
    <w:rsid w:val="000E5B32"/>
    <w:rsid w:val="000E5BC8"/>
    <w:rsid w:val="000E5CD5"/>
    <w:rsid w:val="000E5DCD"/>
    <w:rsid w:val="000E5E5B"/>
    <w:rsid w:val="000E5EAC"/>
    <w:rsid w:val="000E5FF3"/>
    <w:rsid w:val="000E6000"/>
    <w:rsid w:val="000E607C"/>
    <w:rsid w:val="000E60C2"/>
    <w:rsid w:val="000E60CC"/>
    <w:rsid w:val="000E611B"/>
    <w:rsid w:val="000E613F"/>
    <w:rsid w:val="000E6140"/>
    <w:rsid w:val="000E6164"/>
    <w:rsid w:val="000E6166"/>
    <w:rsid w:val="000E61A8"/>
    <w:rsid w:val="000E61B7"/>
    <w:rsid w:val="000E61BE"/>
    <w:rsid w:val="000E622C"/>
    <w:rsid w:val="000E6340"/>
    <w:rsid w:val="000E6354"/>
    <w:rsid w:val="000E636F"/>
    <w:rsid w:val="000E63BB"/>
    <w:rsid w:val="000E63C9"/>
    <w:rsid w:val="000E6415"/>
    <w:rsid w:val="000E6420"/>
    <w:rsid w:val="000E644A"/>
    <w:rsid w:val="000E646A"/>
    <w:rsid w:val="000E64DB"/>
    <w:rsid w:val="000E6513"/>
    <w:rsid w:val="000E65BF"/>
    <w:rsid w:val="000E6621"/>
    <w:rsid w:val="000E66AE"/>
    <w:rsid w:val="000E6819"/>
    <w:rsid w:val="000E6834"/>
    <w:rsid w:val="000E69E5"/>
    <w:rsid w:val="000E6A63"/>
    <w:rsid w:val="000E6B77"/>
    <w:rsid w:val="000E6C8D"/>
    <w:rsid w:val="000E6CFE"/>
    <w:rsid w:val="000E6DAB"/>
    <w:rsid w:val="000E6DFD"/>
    <w:rsid w:val="000E6E38"/>
    <w:rsid w:val="000E6F54"/>
    <w:rsid w:val="000E6F90"/>
    <w:rsid w:val="000E7020"/>
    <w:rsid w:val="000E7054"/>
    <w:rsid w:val="000E708C"/>
    <w:rsid w:val="000E712E"/>
    <w:rsid w:val="000E713D"/>
    <w:rsid w:val="000E717F"/>
    <w:rsid w:val="000E71AF"/>
    <w:rsid w:val="000E727B"/>
    <w:rsid w:val="000E7301"/>
    <w:rsid w:val="000E7428"/>
    <w:rsid w:val="000E74BA"/>
    <w:rsid w:val="000E7509"/>
    <w:rsid w:val="000E75CD"/>
    <w:rsid w:val="000E763C"/>
    <w:rsid w:val="000E7655"/>
    <w:rsid w:val="000E76CE"/>
    <w:rsid w:val="000E7759"/>
    <w:rsid w:val="000E779F"/>
    <w:rsid w:val="000E77D0"/>
    <w:rsid w:val="000E78AC"/>
    <w:rsid w:val="000E78EB"/>
    <w:rsid w:val="000E794B"/>
    <w:rsid w:val="000E799F"/>
    <w:rsid w:val="000E79AA"/>
    <w:rsid w:val="000E79BE"/>
    <w:rsid w:val="000E7A33"/>
    <w:rsid w:val="000E7A86"/>
    <w:rsid w:val="000E7AEE"/>
    <w:rsid w:val="000E7AFB"/>
    <w:rsid w:val="000E7BFA"/>
    <w:rsid w:val="000E7C27"/>
    <w:rsid w:val="000E7C86"/>
    <w:rsid w:val="000E7CFD"/>
    <w:rsid w:val="000E7D9E"/>
    <w:rsid w:val="000E7E52"/>
    <w:rsid w:val="000E7E9C"/>
    <w:rsid w:val="000E7F36"/>
    <w:rsid w:val="000E7F40"/>
    <w:rsid w:val="000E7F5F"/>
    <w:rsid w:val="000E7F72"/>
    <w:rsid w:val="000E7FB8"/>
    <w:rsid w:val="000E7FE6"/>
    <w:rsid w:val="000F004F"/>
    <w:rsid w:val="000F0134"/>
    <w:rsid w:val="000F021C"/>
    <w:rsid w:val="000F0223"/>
    <w:rsid w:val="000F023A"/>
    <w:rsid w:val="000F024B"/>
    <w:rsid w:val="000F02A3"/>
    <w:rsid w:val="000F037F"/>
    <w:rsid w:val="000F0396"/>
    <w:rsid w:val="000F041C"/>
    <w:rsid w:val="000F04ED"/>
    <w:rsid w:val="000F059A"/>
    <w:rsid w:val="000F05EA"/>
    <w:rsid w:val="000F07A8"/>
    <w:rsid w:val="000F07F9"/>
    <w:rsid w:val="000F07FE"/>
    <w:rsid w:val="000F0804"/>
    <w:rsid w:val="000F082A"/>
    <w:rsid w:val="000F082B"/>
    <w:rsid w:val="000F088B"/>
    <w:rsid w:val="000F096F"/>
    <w:rsid w:val="000F0A1E"/>
    <w:rsid w:val="000F0A32"/>
    <w:rsid w:val="000F0B04"/>
    <w:rsid w:val="000F0BB9"/>
    <w:rsid w:val="000F0C68"/>
    <w:rsid w:val="000F0CDC"/>
    <w:rsid w:val="000F0CFD"/>
    <w:rsid w:val="000F0DE1"/>
    <w:rsid w:val="000F0DF3"/>
    <w:rsid w:val="000F0EAC"/>
    <w:rsid w:val="000F0F77"/>
    <w:rsid w:val="000F0F99"/>
    <w:rsid w:val="000F0FBF"/>
    <w:rsid w:val="000F0FDD"/>
    <w:rsid w:val="000F1022"/>
    <w:rsid w:val="000F1032"/>
    <w:rsid w:val="000F10B7"/>
    <w:rsid w:val="000F10F0"/>
    <w:rsid w:val="000F110F"/>
    <w:rsid w:val="000F114F"/>
    <w:rsid w:val="000F122B"/>
    <w:rsid w:val="000F12BA"/>
    <w:rsid w:val="000F12EA"/>
    <w:rsid w:val="000F1411"/>
    <w:rsid w:val="000F14A6"/>
    <w:rsid w:val="000F14DC"/>
    <w:rsid w:val="000F15FA"/>
    <w:rsid w:val="000F16A3"/>
    <w:rsid w:val="000F16CF"/>
    <w:rsid w:val="000F16FC"/>
    <w:rsid w:val="000F1731"/>
    <w:rsid w:val="000F17BD"/>
    <w:rsid w:val="000F1810"/>
    <w:rsid w:val="000F1837"/>
    <w:rsid w:val="000F18CA"/>
    <w:rsid w:val="000F1959"/>
    <w:rsid w:val="000F19CB"/>
    <w:rsid w:val="000F1A7B"/>
    <w:rsid w:val="000F1AD2"/>
    <w:rsid w:val="000F1AD5"/>
    <w:rsid w:val="000F1B0F"/>
    <w:rsid w:val="000F1B31"/>
    <w:rsid w:val="000F1B3B"/>
    <w:rsid w:val="000F1B94"/>
    <w:rsid w:val="000F1BAF"/>
    <w:rsid w:val="000F1C0A"/>
    <w:rsid w:val="000F1C2A"/>
    <w:rsid w:val="000F1C53"/>
    <w:rsid w:val="000F1C9B"/>
    <w:rsid w:val="000F1D97"/>
    <w:rsid w:val="000F1E24"/>
    <w:rsid w:val="000F20D4"/>
    <w:rsid w:val="000F214C"/>
    <w:rsid w:val="000F225B"/>
    <w:rsid w:val="000F232A"/>
    <w:rsid w:val="000F2345"/>
    <w:rsid w:val="000F2474"/>
    <w:rsid w:val="000F2490"/>
    <w:rsid w:val="000F24A0"/>
    <w:rsid w:val="000F24C9"/>
    <w:rsid w:val="000F2516"/>
    <w:rsid w:val="000F269B"/>
    <w:rsid w:val="000F26CF"/>
    <w:rsid w:val="000F271B"/>
    <w:rsid w:val="000F273D"/>
    <w:rsid w:val="000F279C"/>
    <w:rsid w:val="000F27DF"/>
    <w:rsid w:val="000F28BE"/>
    <w:rsid w:val="000F291B"/>
    <w:rsid w:val="000F297A"/>
    <w:rsid w:val="000F2A52"/>
    <w:rsid w:val="000F2B49"/>
    <w:rsid w:val="000F2BCD"/>
    <w:rsid w:val="000F2BD6"/>
    <w:rsid w:val="000F2C10"/>
    <w:rsid w:val="000F2C1D"/>
    <w:rsid w:val="000F2C26"/>
    <w:rsid w:val="000F2C65"/>
    <w:rsid w:val="000F2C7C"/>
    <w:rsid w:val="000F2CB9"/>
    <w:rsid w:val="000F2CCE"/>
    <w:rsid w:val="000F2D2A"/>
    <w:rsid w:val="000F2D43"/>
    <w:rsid w:val="000F2D7B"/>
    <w:rsid w:val="000F2D8B"/>
    <w:rsid w:val="000F2DB1"/>
    <w:rsid w:val="000F2E4D"/>
    <w:rsid w:val="000F2F29"/>
    <w:rsid w:val="000F2F3F"/>
    <w:rsid w:val="000F2F5D"/>
    <w:rsid w:val="000F3064"/>
    <w:rsid w:val="000F3072"/>
    <w:rsid w:val="000F30AA"/>
    <w:rsid w:val="000F317C"/>
    <w:rsid w:val="000F317E"/>
    <w:rsid w:val="000F31B6"/>
    <w:rsid w:val="000F33B3"/>
    <w:rsid w:val="000F33DB"/>
    <w:rsid w:val="000F342E"/>
    <w:rsid w:val="000F3452"/>
    <w:rsid w:val="000F3488"/>
    <w:rsid w:val="000F3530"/>
    <w:rsid w:val="000F3546"/>
    <w:rsid w:val="000F36C1"/>
    <w:rsid w:val="000F36F8"/>
    <w:rsid w:val="000F38A9"/>
    <w:rsid w:val="000F38B5"/>
    <w:rsid w:val="000F38E3"/>
    <w:rsid w:val="000F3A4B"/>
    <w:rsid w:val="000F3AC6"/>
    <w:rsid w:val="000F3AF1"/>
    <w:rsid w:val="000F3B8C"/>
    <w:rsid w:val="000F3C28"/>
    <w:rsid w:val="000F3C9A"/>
    <w:rsid w:val="000F3E95"/>
    <w:rsid w:val="000F3EC7"/>
    <w:rsid w:val="000F3EE9"/>
    <w:rsid w:val="000F3F05"/>
    <w:rsid w:val="000F3F39"/>
    <w:rsid w:val="000F4097"/>
    <w:rsid w:val="000F40B1"/>
    <w:rsid w:val="000F40C5"/>
    <w:rsid w:val="000F40FC"/>
    <w:rsid w:val="000F40FD"/>
    <w:rsid w:val="000F4128"/>
    <w:rsid w:val="000F4335"/>
    <w:rsid w:val="000F4346"/>
    <w:rsid w:val="000F435D"/>
    <w:rsid w:val="000F4364"/>
    <w:rsid w:val="000F4400"/>
    <w:rsid w:val="000F4437"/>
    <w:rsid w:val="000F45F2"/>
    <w:rsid w:val="000F4622"/>
    <w:rsid w:val="000F4678"/>
    <w:rsid w:val="000F470D"/>
    <w:rsid w:val="000F4773"/>
    <w:rsid w:val="000F482D"/>
    <w:rsid w:val="000F486E"/>
    <w:rsid w:val="000F4A07"/>
    <w:rsid w:val="000F4A6B"/>
    <w:rsid w:val="000F4AAA"/>
    <w:rsid w:val="000F4ADD"/>
    <w:rsid w:val="000F4AF7"/>
    <w:rsid w:val="000F4B00"/>
    <w:rsid w:val="000F4B6C"/>
    <w:rsid w:val="000F4B81"/>
    <w:rsid w:val="000F4B91"/>
    <w:rsid w:val="000F4C08"/>
    <w:rsid w:val="000F4C48"/>
    <w:rsid w:val="000F4C93"/>
    <w:rsid w:val="000F4CFC"/>
    <w:rsid w:val="000F4D63"/>
    <w:rsid w:val="000F4D7C"/>
    <w:rsid w:val="000F4DAF"/>
    <w:rsid w:val="000F4DC7"/>
    <w:rsid w:val="000F4E1B"/>
    <w:rsid w:val="000F4E1C"/>
    <w:rsid w:val="000F4EFC"/>
    <w:rsid w:val="000F4F28"/>
    <w:rsid w:val="000F4F52"/>
    <w:rsid w:val="000F4F64"/>
    <w:rsid w:val="000F4F7D"/>
    <w:rsid w:val="000F4FA3"/>
    <w:rsid w:val="000F5066"/>
    <w:rsid w:val="000F52E1"/>
    <w:rsid w:val="000F5375"/>
    <w:rsid w:val="000F538C"/>
    <w:rsid w:val="000F53B6"/>
    <w:rsid w:val="000F5423"/>
    <w:rsid w:val="000F556D"/>
    <w:rsid w:val="000F5604"/>
    <w:rsid w:val="000F56CD"/>
    <w:rsid w:val="000F5712"/>
    <w:rsid w:val="000F5716"/>
    <w:rsid w:val="000F5768"/>
    <w:rsid w:val="000F57B1"/>
    <w:rsid w:val="000F5819"/>
    <w:rsid w:val="000F5883"/>
    <w:rsid w:val="000F58EC"/>
    <w:rsid w:val="000F5995"/>
    <w:rsid w:val="000F5ADD"/>
    <w:rsid w:val="000F5B69"/>
    <w:rsid w:val="000F5C5A"/>
    <w:rsid w:val="000F5CB2"/>
    <w:rsid w:val="000F5D11"/>
    <w:rsid w:val="000F5D47"/>
    <w:rsid w:val="000F5D5F"/>
    <w:rsid w:val="000F5E06"/>
    <w:rsid w:val="000F5EC3"/>
    <w:rsid w:val="000F5EF0"/>
    <w:rsid w:val="000F5F0F"/>
    <w:rsid w:val="000F6064"/>
    <w:rsid w:val="000F60F9"/>
    <w:rsid w:val="000F614F"/>
    <w:rsid w:val="000F617A"/>
    <w:rsid w:val="000F6209"/>
    <w:rsid w:val="000F63C4"/>
    <w:rsid w:val="000F64BC"/>
    <w:rsid w:val="000F65B2"/>
    <w:rsid w:val="000F65DC"/>
    <w:rsid w:val="000F65E5"/>
    <w:rsid w:val="000F6625"/>
    <w:rsid w:val="000F6626"/>
    <w:rsid w:val="000F6707"/>
    <w:rsid w:val="000F679D"/>
    <w:rsid w:val="000F67A7"/>
    <w:rsid w:val="000F6831"/>
    <w:rsid w:val="000F6903"/>
    <w:rsid w:val="000F693C"/>
    <w:rsid w:val="000F6961"/>
    <w:rsid w:val="000F6990"/>
    <w:rsid w:val="000F69E4"/>
    <w:rsid w:val="000F6A11"/>
    <w:rsid w:val="000F6A60"/>
    <w:rsid w:val="000F6AB9"/>
    <w:rsid w:val="000F6B3B"/>
    <w:rsid w:val="000F6B3C"/>
    <w:rsid w:val="000F6B80"/>
    <w:rsid w:val="000F6C02"/>
    <w:rsid w:val="000F6D6E"/>
    <w:rsid w:val="000F6E52"/>
    <w:rsid w:val="000F6F3A"/>
    <w:rsid w:val="000F6F9D"/>
    <w:rsid w:val="000F6FDE"/>
    <w:rsid w:val="000F7085"/>
    <w:rsid w:val="000F7174"/>
    <w:rsid w:val="000F7211"/>
    <w:rsid w:val="000F7261"/>
    <w:rsid w:val="000F7278"/>
    <w:rsid w:val="000F7361"/>
    <w:rsid w:val="000F7384"/>
    <w:rsid w:val="000F73E2"/>
    <w:rsid w:val="000F758F"/>
    <w:rsid w:val="000F75B5"/>
    <w:rsid w:val="000F771F"/>
    <w:rsid w:val="000F7735"/>
    <w:rsid w:val="000F77D1"/>
    <w:rsid w:val="000F77DA"/>
    <w:rsid w:val="000F7889"/>
    <w:rsid w:val="000F78F9"/>
    <w:rsid w:val="000F7B2D"/>
    <w:rsid w:val="000F7B3B"/>
    <w:rsid w:val="000F7C0C"/>
    <w:rsid w:val="000F7C8F"/>
    <w:rsid w:val="000F7CCF"/>
    <w:rsid w:val="000F7D06"/>
    <w:rsid w:val="000F7D54"/>
    <w:rsid w:val="000F7E3B"/>
    <w:rsid w:val="000F7E86"/>
    <w:rsid w:val="000F7F17"/>
    <w:rsid w:val="000F7F3F"/>
    <w:rsid w:val="000F7FE1"/>
    <w:rsid w:val="0010009F"/>
    <w:rsid w:val="001000FD"/>
    <w:rsid w:val="0010017C"/>
    <w:rsid w:val="0010021D"/>
    <w:rsid w:val="00100295"/>
    <w:rsid w:val="001002C2"/>
    <w:rsid w:val="00100335"/>
    <w:rsid w:val="00100393"/>
    <w:rsid w:val="00100416"/>
    <w:rsid w:val="00100431"/>
    <w:rsid w:val="0010045F"/>
    <w:rsid w:val="001004D1"/>
    <w:rsid w:val="001004EC"/>
    <w:rsid w:val="00100500"/>
    <w:rsid w:val="00100551"/>
    <w:rsid w:val="0010056C"/>
    <w:rsid w:val="00100587"/>
    <w:rsid w:val="00100641"/>
    <w:rsid w:val="001006C9"/>
    <w:rsid w:val="001006E8"/>
    <w:rsid w:val="0010076F"/>
    <w:rsid w:val="001007A4"/>
    <w:rsid w:val="0010086A"/>
    <w:rsid w:val="001008E4"/>
    <w:rsid w:val="0010090B"/>
    <w:rsid w:val="001009BB"/>
    <w:rsid w:val="00100A6A"/>
    <w:rsid w:val="00100ACA"/>
    <w:rsid w:val="00100AD1"/>
    <w:rsid w:val="00100B7D"/>
    <w:rsid w:val="00100BD6"/>
    <w:rsid w:val="00100C30"/>
    <w:rsid w:val="00100C41"/>
    <w:rsid w:val="00100CC9"/>
    <w:rsid w:val="00100D4E"/>
    <w:rsid w:val="00100DA5"/>
    <w:rsid w:val="00100E25"/>
    <w:rsid w:val="00100E4E"/>
    <w:rsid w:val="00100ECD"/>
    <w:rsid w:val="00100EE6"/>
    <w:rsid w:val="00100F6F"/>
    <w:rsid w:val="001010E1"/>
    <w:rsid w:val="0010112A"/>
    <w:rsid w:val="00101171"/>
    <w:rsid w:val="00101205"/>
    <w:rsid w:val="00101273"/>
    <w:rsid w:val="00101328"/>
    <w:rsid w:val="00101352"/>
    <w:rsid w:val="00101398"/>
    <w:rsid w:val="001013DB"/>
    <w:rsid w:val="00101405"/>
    <w:rsid w:val="00101470"/>
    <w:rsid w:val="00101485"/>
    <w:rsid w:val="0010151A"/>
    <w:rsid w:val="00101615"/>
    <w:rsid w:val="0010161B"/>
    <w:rsid w:val="0010162C"/>
    <w:rsid w:val="00101760"/>
    <w:rsid w:val="0010179B"/>
    <w:rsid w:val="00101855"/>
    <w:rsid w:val="001018DF"/>
    <w:rsid w:val="001018E7"/>
    <w:rsid w:val="00101907"/>
    <w:rsid w:val="00101917"/>
    <w:rsid w:val="00101B5F"/>
    <w:rsid w:val="00101BF7"/>
    <w:rsid w:val="00101C29"/>
    <w:rsid w:val="00101C69"/>
    <w:rsid w:val="00101D02"/>
    <w:rsid w:val="00101D7B"/>
    <w:rsid w:val="00101DB9"/>
    <w:rsid w:val="00101E0A"/>
    <w:rsid w:val="00101EBE"/>
    <w:rsid w:val="00101F1E"/>
    <w:rsid w:val="00101F94"/>
    <w:rsid w:val="00101F9E"/>
    <w:rsid w:val="00101FFA"/>
    <w:rsid w:val="0010202A"/>
    <w:rsid w:val="001020B8"/>
    <w:rsid w:val="00102190"/>
    <w:rsid w:val="001021BB"/>
    <w:rsid w:val="001021CD"/>
    <w:rsid w:val="0010229E"/>
    <w:rsid w:val="001022EC"/>
    <w:rsid w:val="0010237A"/>
    <w:rsid w:val="001023FD"/>
    <w:rsid w:val="0010242C"/>
    <w:rsid w:val="00102499"/>
    <w:rsid w:val="00102525"/>
    <w:rsid w:val="0010256D"/>
    <w:rsid w:val="0010264E"/>
    <w:rsid w:val="001029EC"/>
    <w:rsid w:val="00102AAA"/>
    <w:rsid w:val="00102B25"/>
    <w:rsid w:val="00102B8C"/>
    <w:rsid w:val="00102BEA"/>
    <w:rsid w:val="00102C0C"/>
    <w:rsid w:val="00102C15"/>
    <w:rsid w:val="00102C60"/>
    <w:rsid w:val="00102DC6"/>
    <w:rsid w:val="00102DD1"/>
    <w:rsid w:val="00102E34"/>
    <w:rsid w:val="00102ECC"/>
    <w:rsid w:val="00102EFB"/>
    <w:rsid w:val="00102F04"/>
    <w:rsid w:val="00102F26"/>
    <w:rsid w:val="00102F75"/>
    <w:rsid w:val="00102FA3"/>
    <w:rsid w:val="00103019"/>
    <w:rsid w:val="00103039"/>
    <w:rsid w:val="00103255"/>
    <w:rsid w:val="0010343B"/>
    <w:rsid w:val="0010344E"/>
    <w:rsid w:val="00103524"/>
    <w:rsid w:val="00103556"/>
    <w:rsid w:val="00103604"/>
    <w:rsid w:val="00103605"/>
    <w:rsid w:val="0010363A"/>
    <w:rsid w:val="0010376F"/>
    <w:rsid w:val="001037A8"/>
    <w:rsid w:val="001039C2"/>
    <w:rsid w:val="001039CE"/>
    <w:rsid w:val="001039E2"/>
    <w:rsid w:val="00103A20"/>
    <w:rsid w:val="00103B08"/>
    <w:rsid w:val="00103B2A"/>
    <w:rsid w:val="00103B36"/>
    <w:rsid w:val="00103B6A"/>
    <w:rsid w:val="00103B80"/>
    <w:rsid w:val="00103BDA"/>
    <w:rsid w:val="00103BE8"/>
    <w:rsid w:val="00103BF1"/>
    <w:rsid w:val="00103D29"/>
    <w:rsid w:val="00103D30"/>
    <w:rsid w:val="00103DAB"/>
    <w:rsid w:val="00104019"/>
    <w:rsid w:val="001041D8"/>
    <w:rsid w:val="001041F8"/>
    <w:rsid w:val="00104268"/>
    <w:rsid w:val="001042A0"/>
    <w:rsid w:val="001042AB"/>
    <w:rsid w:val="0010438C"/>
    <w:rsid w:val="001044C3"/>
    <w:rsid w:val="001044D8"/>
    <w:rsid w:val="00104562"/>
    <w:rsid w:val="00104572"/>
    <w:rsid w:val="0010457E"/>
    <w:rsid w:val="001045B5"/>
    <w:rsid w:val="001045D7"/>
    <w:rsid w:val="00104601"/>
    <w:rsid w:val="00104683"/>
    <w:rsid w:val="001046BA"/>
    <w:rsid w:val="0010473E"/>
    <w:rsid w:val="0010481E"/>
    <w:rsid w:val="00104836"/>
    <w:rsid w:val="001048BB"/>
    <w:rsid w:val="001049B8"/>
    <w:rsid w:val="00104A81"/>
    <w:rsid w:val="00104A97"/>
    <w:rsid w:val="00104C2D"/>
    <w:rsid w:val="00104E09"/>
    <w:rsid w:val="00104EA9"/>
    <w:rsid w:val="00104EE6"/>
    <w:rsid w:val="00105037"/>
    <w:rsid w:val="00105082"/>
    <w:rsid w:val="0010508D"/>
    <w:rsid w:val="00105099"/>
    <w:rsid w:val="00105128"/>
    <w:rsid w:val="001051DE"/>
    <w:rsid w:val="00105254"/>
    <w:rsid w:val="001052D9"/>
    <w:rsid w:val="001052DB"/>
    <w:rsid w:val="00105323"/>
    <w:rsid w:val="00105363"/>
    <w:rsid w:val="001054E0"/>
    <w:rsid w:val="00105530"/>
    <w:rsid w:val="00105536"/>
    <w:rsid w:val="00105573"/>
    <w:rsid w:val="001055CF"/>
    <w:rsid w:val="001055E3"/>
    <w:rsid w:val="0010564F"/>
    <w:rsid w:val="0010565A"/>
    <w:rsid w:val="001056F3"/>
    <w:rsid w:val="001057A2"/>
    <w:rsid w:val="001057B7"/>
    <w:rsid w:val="001057DC"/>
    <w:rsid w:val="00105854"/>
    <w:rsid w:val="001058D0"/>
    <w:rsid w:val="001058DE"/>
    <w:rsid w:val="001058FD"/>
    <w:rsid w:val="00105A09"/>
    <w:rsid w:val="00105A15"/>
    <w:rsid w:val="00105A25"/>
    <w:rsid w:val="00105A65"/>
    <w:rsid w:val="00105A83"/>
    <w:rsid w:val="00105B0D"/>
    <w:rsid w:val="00105B21"/>
    <w:rsid w:val="00105BA7"/>
    <w:rsid w:val="00105C1C"/>
    <w:rsid w:val="00105C4B"/>
    <w:rsid w:val="00105CB7"/>
    <w:rsid w:val="00105E23"/>
    <w:rsid w:val="00105E2F"/>
    <w:rsid w:val="00105E99"/>
    <w:rsid w:val="00105EA5"/>
    <w:rsid w:val="00105F6F"/>
    <w:rsid w:val="00105FFA"/>
    <w:rsid w:val="00106137"/>
    <w:rsid w:val="00106138"/>
    <w:rsid w:val="0010616B"/>
    <w:rsid w:val="001061CF"/>
    <w:rsid w:val="001061DE"/>
    <w:rsid w:val="001061EC"/>
    <w:rsid w:val="00106292"/>
    <w:rsid w:val="00106296"/>
    <w:rsid w:val="0010634B"/>
    <w:rsid w:val="00106405"/>
    <w:rsid w:val="00106505"/>
    <w:rsid w:val="00106634"/>
    <w:rsid w:val="0010666D"/>
    <w:rsid w:val="00106740"/>
    <w:rsid w:val="00106813"/>
    <w:rsid w:val="0010688F"/>
    <w:rsid w:val="0010692A"/>
    <w:rsid w:val="001069E5"/>
    <w:rsid w:val="00106ADA"/>
    <w:rsid w:val="00106B95"/>
    <w:rsid w:val="00106CD4"/>
    <w:rsid w:val="00106CE6"/>
    <w:rsid w:val="00106D0F"/>
    <w:rsid w:val="00106F63"/>
    <w:rsid w:val="00106FED"/>
    <w:rsid w:val="00107030"/>
    <w:rsid w:val="00107033"/>
    <w:rsid w:val="00107035"/>
    <w:rsid w:val="00107136"/>
    <w:rsid w:val="001071A9"/>
    <w:rsid w:val="001072E6"/>
    <w:rsid w:val="0010731E"/>
    <w:rsid w:val="0010734C"/>
    <w:rsid w:val="0010743B"/>
    <w:rsid w:val="0010751D"/>
    <w:rsid w:val="00107566"/>
    <w:rsid w:val="0010756E"/>
    <w:rsid w:val="001075D9"/>
    <w:rsid w:val="001075E6"/>
    <w:rsid w:val="00107681"/>
    <w:rsid w:val="0010772D"/>
    <w:rsid w:val="00107753"/>
    <w:rsid w:val="001077C2"/>
    <w:rsid w:val="00107802"/>
    <w:rsid w:val="001078B3"/>
    <w:rsid w:val="001078E1"/>
    <w:rsid w:val="001079FD"/>
    <w:rsid w:val="00107B64"/>
    <w:rsid w:val="00107BAE"/>
    <w:rsid w:val="00107BC1"/>
    <w:rsid w:val="00107BC2"/>
    <w:rsid w:val="00107C0D"/>
    <w:rsid w:val="00107C96"/>
    <w:rsid w:val="00107D31"/>
    <w:rsid w:val="00107DCB"/>
    <w:rsid w:val="00107DEC"/>
    <w:rsid w:val="00107F30"/>
    <w:rsid w:val="00107FE9"/>
    <w:rsid w:val="001100C1"/>
    <w:rsid w:val="00110192"/>
    <w:rsid w:val="0011023A"/>
    <w:rsid w:val="00110263"/>
    <w:rsid w:val="00110321"/>
    <w:rsid w:val="00110419"/>
    <w:rsid w:val="00110472"/>
    <w:rsid w:val="001104B7"/>
    <w:rsid w:val="00110516"/>
    <w:rsid w:val="0011065A"/>
    <w:rsid w:val="0011065D"/>
    <w:rsid w:val="00110689"/>
    <w:rsid w:val="0011071C"/>
    <w:rsid w:val="0011072B"/>
    <w:rsid w:val="001107F5"/>
    <w:rsid w:val="00110866"/>
    <w:rsid w:val="00110885"/>
    <w:rsid w:val="00110920"/>
    <w:rsid w:val="001109DC"/>
    <w:rsid w:val="001109E7"/>
    <w:rsid w:val="00110AE2"/>
    <w:rsid w:val="00110C52"/>
    <w:rsid w:val="00110C8D"/>
    <w:rsid w:val="00110CB0"/>
    <w:rsid w:val="00110CDD"/>
    <w:rsid w:val="00110CFC"/>
    <w:rsid w:val="00110D92"/>
    <w:rsid w:val="00111036"/>
    <w:rsid w:val="00111285"/>
    <w:rsid w:val="0011129F"/>
    <w:rsid w:val="001112E4"/>
    <w:rsid w:val="001112F1"/>
    <w:rsid w:val="00111348"/>
    <w:rsid w:val="001113B4"/>
    <w:rsid w:val="0011146B"/>
    <w:rsid w:val="0011147C"/>
    <w:rsid w:val="00111580"/>
    <w:rsid w:val="00111736"/>
    <w:rsid w:val="00111766"/>
    <w:rsid w:val="00111843"/>
    <w:rsid w:val="0011186D"/>
    <w:rsid w:val="00111988"/>
    <w:rsid w:val="00111989"/>
    <w:rsid w:val="001119BB"/>
    <w:rsid w:val="001119BE"/>
    <w:rsid w:val="001119D4"/>
    <w:rsid w:val="00111A29"/>
    <w:rsid w:val="00111B05"/>
    <w:rsid w:val="00111B39"/>
    <w:rsid w:val="00111B9D"/>
    <w:rsid w:val="00111BBC"/>
    <w:rsid w:val="00111BDD"/>
    <w:rsid w:val="00111CB1"/>
    <w:rsid w:val="00111CC2"/>
    <w:rsid w:val="00111DC2"/>
    <w:rsid w:val="00111DD7"/>
    <w:rsid w:val="00111E4A"/>
    <w:rsid w:val="00111E67"/>
    <w:rsid w:val="00111E7D"/>
    <w:rsid w:val="00111FDB"/>
    <w:rsid w:val="00112054"/>
    <w:rsid w:val="00112083"/>
    <w:rsid w:val="001120F3"/>
    <w:rsid w:val="0011214B"/>
    <w:rsid w:val="00112166"/>
    <w:rsid w:val="001122AE"/>
    <w:rsid w:val="001122F9"/>
    <w:rsid w:val="00112306"/>
    <w:rsid w:val="00112362"/>
    <w:rsid w:val="0011237A"/>
    <w:rsid w:val="001127EA"/>
    <w:rsid w:val="001127F7"/>
    <w:rsid w:val="00112831"/>
    <w:rsid w:val="00112849"/>
    <w:rsid w:val="00112858"/>
    <w:rsid w:val="001128D1"/>
    <w:rsid w:val="0011290E"/>
    <w:rsid w:val="00112926"/>
    <w:rsid w:val="00112A95"/>
    <w:rsid w:val="00112ACD"/>
    <w:rsid w:val="00112AE2"/>
    <w:rsid w:val="00112C22"/>
    <w:rsid w:val="00112C5B"/>
    <w:rsid w:val="00112CB2"/>
    <w:rsid w:val="00112D85"/>
    <w:rsid w:val="00112DAD"/>
    <w:rsid w:val="00112EBC"/>
    <w:rsid w:val="00112FD8"/>
    <w:rsid w:val="0011301A"/>
    <w:rsid w:val="00113031"/>
    <w:rsid w:val="001130A1"/>
    <w:rsid w:val="001130EC"/>
    <w:rsid w:val="00113151"/>
    <w:rsid w:val="0011316F"/>
    <w:rsid w:val="00113194"/>
    <w:rsid w:val="00113298"/>
    <w:rsid w:val="001133CA"/>
    <w:rsid w:val="0011342F"/>
    <w:rsid w:val="00113445"/>
    <w:rsid w:val="00113489"/>
    <w:rsid w:val="001134CE"/>
    <w:rsid w:val="00113518"/>
    <w:rsid w:val="00113575"/>
    <w:rsid w:val="001135BA"/>
    <w:rsid w:val="0011366E"/>
    <w:rsid w:val="0011370E"/>
    <w:rsid w:val="0011375F"/>
    <w:rsid w:val="001137AF"/>
    <w:rsid w:val="001137B8"/>
    <w:rsid w:val="001139EE"/>
    <w:rsid w:val="00113AA7"/>
    <w:rsid w:val="00113AC6"/>
    <w:rsid w:val="00113AF9"/>
    <w:rsid w:val="00113BE2"/>
    <w:rsid w:val="00113BFA"/>
    <w:rsid w:val="00113C74"/>
    <w:rsid w:val="00113D49"/>
    <w:rsid w:val="00113D53"/>
    <w:rsid w:val="00113DCF"/>
    <w:rsid w:val="00113E09"/>
    <w:rsid w:val="00113E5C"/>
    <w:rsid w:val="00113F85"/>
    <w:rsid w:val="00113FA0"/>
    <w:rsid w:val="00113FFF"/>
    <w:rsid w:val="00114077"/>
    <w:rsid w:val="001140DC"/>
    <w:rsid w:val="0011412D"/>
    <w:rsid w:val="0011414C"/>
    <w:rsid w:val="001141ED"/>
    <w:rsid w:val="0011424F"/>
    <w:rsid w:val="00114255"/>
    <w:rsid w:val="00114358"/>
    <w:rsid w:val="001143B8"/>
    <w:rsid w:val="001143C6"/>
    <w:rsid w:val="001145E8"/>
    <w:rsid w:val="0011461A"/>
    <w:rsid w:val="0011475E"/>
    <w:rsid w:val="0011479C"/>
    <w:rsid w:val="001147D6"/>
    <w:rsid w:val="001147F1"/>
    <w:rsid w:val="00114853"/>
    <w:rsid w:val="001148B0"/>
    <w:rsid w:val="001148C2"/>
    <w:rsid w:val="001148DC"/>
    <w:rsid w:val="00114909"/>
    <w:rsid w:val="001149F1"/>
    <w:rsid w:val="001149F9"/>
    <w:rsid w:val="00114A0A"/>
    <w:rsid w:val="00114A3F"/>
    <w:rsid w:val="00114AF0"/>
    <w:rsid w:val="00114BC2"/>
    <w:rsid w:val="00114BDB"/>
    <w:rsid w:val="00114D1A"/>
    <w:rsid w:val="00114DE5"/>
    <w:rsid w:val="00114E37"/>
    <w:rsid w:val="00114E71"/>
    <w:rsid w:val="00114E8D"/>
    <w:rsid w:val="00114EBB"/>
    <w:rsid w:val="00114F6A"/>
    <w:rsid w:val="00114FD6"/>
    <w:rsid w:val="0011505F"/>
    <w:rsid w:val="001150C9"/>
    <w:rsid w:val="001150D3"/>
    <w:rsid w:val="001150DF"/>
    <w:rsid w:val="001150EC"/>
    <w:rsid w:val="00115185"/>
    <w:rsid w:val="00115265"/>
    <w:rsid w:val="0011531E"/>
    <w:rsid w:val="0011533F"/>
    <w:rsid w:val="0011534C"/>
    <w:rsid w:val="0011538B"/>
    <w:rsid w:val="0011545A"/>
    <w:rsid w:val="0011549D"/>
    <w:rsid w:val="001154F7"/>
    <w:rsid w:val="001155A5"/>
    <w:rsid w:val="001155B6"/>
    <w:rsid w:val="00115605"/>
    <w:rsid w:val="001156A3"/>
    <w:rsid w:val="001158DC"/>
    <w:rsid w:val="001158F7"/>
    <w:rsid w:val="00115976"/>
    <w:rsid w:val="00115ADB"/>
    <w:rsid w:val="00115B90"/>
    <w:rsid w:val="00115C1E"/>
    <w:rsid w:val="00115C50"/>
    <w:rsid w:val="00115C5B"/>
    <w:rsid w:val="00115D43"/>
    <w:rsid w:val="00115DD4"/>
    <w:rsid w:val="00115E73"/>
    <w:rsid w:val="00115F56"/>
    <w:rsid w:val="00115F87"/>
    <w:rsid w:val="00115FAA"/>
    <w:rsid w:val="00115FDE"/>
    <w:rsid w:val="001160AB"/>
    <w:rsid w:val="00116127"/>
    <w:rsid w:val="001161CF"/>
    <w:rsid w:val="001161E6"/>
    <w:rsid w:val="001162A9"/>
    <w:rsid w:val="0011635F"/>
    <w:rsid w:val="00116527"/>
    <w:rsid w:val="00116544"/>
    <w:rsid w:val="00116574"/>
    <w:rsid w:val="001168B3"/>
    <w:rsid w:val="001168D1"/>
    <w:rsid w:val="001168F0"/>
    <w:rsid w:val="001169D1"/>
    <w:rsid w:val="00116A2C"/>
    <w:rsid w:val="00116AB2"/>
    <w:rsid w:val="00116C85"/>
    <w:rsid w:val="00116CE1"/>
    <w:rsid w:val="00116DB5"/>
    <w:rsid w:val="00116DD9"/>
    <w:rsid w:val="00116DF9"/>
    <w:rsid w:val="00116E69"/>
    <w:rsid w:val="00116F19"/>
    <w:rsid w:val="00116F3B"/>
    <w:rsid w:val="00116F45"/>
    <w:rsid w:val="0011701F"/>
    <w:rsid w:val="001170EB"/>
    <w:rsid w:val="00117107"/>
    <w:rsid w:val="001174E7"/>
    <w:rsid w:val="00117509"/>
    <w:rsid w:val="0011752B"/>
    <w:rsid w:val="00117562"/>
    <w:rsid w:val="00117566"/>
    <w:rsid w:val="0011758D"/>
    <w:rsid w:val="00117597"/>
    <w:rsid w:val="0011759A"/>
    <w:rsid w:val="001175C7"/>
    <w:rsid w:val="001175E9"/>
    <w:rsid w:val="0011760C"/>
    <w:rsid w:val="00117627"/>
    <w:rsid w:val="001176C4"/>
    <w:rsid w:val="00117832"/>
    <w:rsid w:val="00117834"/>
    <w:rsid w:val="00117873"/>
    <w:rsid w:val="0011799D"/>
    <w:rsid w:val="00117A0C"/>
    <w:rsid w:val="00117A1A"/>
    <w:rsid w:val="00117A63"/>
    <w:rsid w:val="00117AB4"/>
    <w:rsid w:val="00117B2A"/>
    <w:rsid w:val="00117B5E"/>
    <w:rsid w:val="00117D3C"/>
    <w:rsid w:val="00117D58"/>
    <w:rsid w:val="00117DBA"/>
    <w:rsid w:val="00117E90"/>
    <w:rsid w:val="00117E91"/>
    <w:rsid w:val="00117ECA"/>
    <w:rsid w:val="00117F36"/>
    <w:rsid w:val="00117F7C"/>
    <w:rsid w:val="00117FFC"/>
    <w:rsid w:val="00120037"/>
    <w:rsid w:val="0012018A"/>
    <w:rsid w:val="001201B0"/>
    <w:rsid w:val="00120309"/>
    <w:rsid w:val="0012031D"/>
    <w:rsid w:val="0012053E"/>
    <w:rsid w:val="001205F4"/>
    <w:rsid w:val="00120694"/>
    <w:rsid w:val="001206DC"/>
    <w:rsid w:val="0012070D"/>
    <w:rsid w:val="00120753"/>
    <w:rsid w:val="001207E2"/>
    <w:rsid w:val="001209E2"/>
    <w:rsid w:val="00120A7F"/>
    <w:rsid w:val="00120A86"/>
    <w:rsid w:val="00120ADB"/>
    <w:rsid w:val="00120CEC"/>
    <w:rsid w:val="00120CF2"/>
    <w:rsid w:val="00120E4E"/>
    <w:rsid w:val="00120EF3"/>
    <w:rsid w:val="00120FC7"/>
    <w:rsid w:val="00121042"/>
    <w:rsid w:val="0012107C"/>
    <w:rsid w:val="00121182"/>
    <w:rsid w:val="00121186"/>
    <w:rsid w:val="00121218"/>
    <w:rsid w:val="0012128A"/>
    <w:rsid w:val="001212F9"/>
    <w:rsid w:val="00121311"/>
    <w:rsid w:val="0012132A"/>
    <w:rsid w:val="00121384"/>
    <w:rsid w:val="001214B8"/>
    <w:rsid w:val="00121537"/>
    <w:rsid w:val="00121564"/>
    <w:rsid w:val="001215A4"/>
    <w:rsid w:val="001215C3"/>
    <w:rsid w:val="001216EC"/>
    <w:rsid w:val="0012173A"/>
    <w:rsid w:val="00121768"/>
    <w:rsid w:val="001217FA"/>
    <w:rsid w:val="00121853"/>
    <w:rsid w:val="001219CF"/>
    <w:rsid w:val="001219E7"/>
    <w:rsid w:val="001219F2"/>
    <w:rsid w:val="00121A55"/>
    <w:rsid w:val="00121A92"/>
    <w:rsid w:val="00121AFA"/>
    <w:rsid w:val="00121B5B"/>
    <w:rsid w:val="00121D54"/>
    <w:rsid w:val="00121E10"/>
    <w:rsid w:val="00121E1E"/>
    <w:rsid w:val="00121E4C"/>
    <w:rsid w:val="00121E55"/>
    <w:rsid w:val="00121FAE"/>
    <w:rsid w:val="00121FB2"/>
    <w:rsid w:val="00121FE2"/>
    <w:rsid w:val="0012205C"/>
    <w:rsid w:val="0012208A"/>
    <w:rsid w:val="0012264E"/>
    <w:rsid w:val="0012270E"/>
    <w:rsid w:val="0012271C"/>
    <w:rsid w:val="0012272E"/>
    <w:rsid w:val="0012276F"/>
    <w:rsid w:val="0012278E"/>
    <w:rsid w:val="001227D3"/>
    <w:rsid w:val="001227E3"/>
    <w:rsid w:val="001227F4"/>
    <w:rsid w:val="001228D9"/>
    <w:rsid w:val="001228ED"/>
    <w:rsid w:val="00122917"/>
    <w:rsid w:val="001229BB"/>
    <w:rsid w:val="00122A95"/>
    <w:rsid w:val="00122B5C"/>
    <w:rsid w:val="00122BF8"/>
    <w:rsid w:val="00122C4A"/>
    <w:rsid w:val="00122CB8"/>
    <w:rsid w:val="00122D1A"/>
    <w:rsid w:val="00122D50"/>
    <w:rsid w:val="00122D69"/>
    <w:rsid w:val="00122DBA"/>
    <w:rsid w:val="00122DE6"/>
    <w:rsid w:val="00122DFE"/>
    <w:rsid w:val="00122E03"/>
    <w:rsid w:val="00122E72"/>
    <w:rsid w:val="00122F17"/>
    <w:rsid w:val="00122F31"/>
    <w:rsid w:val="0012304F"/>
    <w:rsid w:val="00123101"/>
    <w:rsid w:val="00123154"/>
    <w:rsid w:val="0012321B"/>
    <w:rsid w:val="0012326F"/>
    <w:rsid w:val="001233A3"/>
    <w:rsid w:val="001233B4"/>
    <w:rsid w:val="001233CF"/>
    <w:rsid w:val="00123451"/>
    <w:rsid w:val="001234C8"/>
    <w:rsid w:val="00123571"/>
    <w:rsid w:val="001235A8"/>
    <w:rsid w:val="001235B2"/>
    <w:rsid w:val="001235C0"/>
    <w:rsid w:val="0012364A"/>
    <w:rsid w:val="001236AD"/>
    <w:rsid w:val="001237D4"/>
    <w:rsid w:val="00123817"/>
    <w:rsid w:val="00123967"/>
    <w:rsid w:val="00123968"/>
    <w:rsid w:val="00123A19"/>
    <w:rsid w:val="00123A1B"/>
    <w:rsid w:val="00123B34"/>
    <w:rsid w:val="00123C2F"/>
    <w:rsid w:val="00123EEA"/>
    <w:rsid w:val="00124003"/>
    <w:rsid w:val="00124031"/>
    <w:rsid w:val="001240F8"/>
    <w:rsid w:val="00124131"/>
    <w:rsid w:val="001241D5"/>
    <w:rsid w:val="001241FE"/>
    <w:rsid w:val="0012425F"/>
    <w:rsid w:val="001242B8"/>
    <w:rsid w:val="001242FB"/>
    <w:rsid w:val="0012434A"/>
    <w:rsid w:val="00124395"/>
    <w:rsid w:val="00124434"/>
    <w:rsid w:val="0012448B"/>
    <w:rsid w:val="001244AC"/>
    <w:rsid w:val="00124585"/>
    <w:rsid w:val="0012458D"/>
    <w:rsid w:val="00124594"/>
    <w:rsid w:val="001245AB"/>
    <w:rsid w:val="001246E0"/>
    <w:rsid w:val="0012471B"/>
    <w:rsid w:val="0012471E"/>
    <w:rsid w:val="001247AB"/>
    <w:rsid w:val="001247C2"/>
    <w:rsid w:val="0012492E"/>
    <w:rsid w:val="00124952"/>
    <w:rsid w:val="00124979"/>
    <w:rsid w:val="001249BD"/>
    <w:rsid w:val="00124B49"/>
    <w:rsid w:val="00124CD3"/>
    <w:rsid w:val="00124DBE"/>
    <w:rsid w:val="00124DFB"/>
    <w:rsid w:val="00124E2F"/>
    <w:rsid w:val="00124E6C"/>
    <w:rsid w:val="00124E9B"/>
    <w:rsid w:val="00124F72"/>
    <w:rsid w:val="00124F9C"/>
    <w:rsid w:val="001250B5"/>
    <w:rsid w:val="00125130"/>
    <w:rsid w:val="00125156"/>
    <w:rsid w:val="0012515F"/>
    <w:rsid w:val="001251BC"/>
    <w:rsid w:val="001251E5"/>
    <w:rsid w:val="001251F0"/>
    <w:rsid w:val="001251FD"/>
    <w:rsid w:val="001252A7"/>
    <w:rsid w:val="001252FA"/>
    <w:rsid w:val="00125311"/>
    <w:rsid w:val="001253C5"/>
    <w:rsid w:val="0012548C"/>
    <w:rsid w:val="0012549A"/>
    <w:rsid w:val="00125672"/>
    <w:rsid w:val="00125792"/>
    <w:rsid w:val="001257EB"/>
    <w:rsid w:val="001257EC"/>
    <w:rsid w:val="00125814"/>
    <w:rsid w:val="00125829"/>
    <w:rsid w:val="00125867"/>
    <w:rsid w:val="001259C8"/>
    <w:rsid w:val="00125B04"/>
    <w:rsid w:val="00125B0B"/>
    <w:rsid w:val="00125BE5"/>
    <w:rsid w:val="00125C3B"/>
    <w:rsid w:val="00125C89"/>
    <w:rsid w:val="00125CDD"/>
    <w:rsid w:val="00125D8E"/>
    <w:rsid w:val="00125E53"/>
    <w:rsid w:val="00125F90"/>
    <w:rsid w:val="001260EB"/>
    <w:rsid w:val="001261DC"/>
    <w:rsid w:val="00126273"/>
    <w:rsid w:val="001262CE"/>
    <w:rsid w:val="00126320"/>
    <w:rsid w:val="00126349"/>
    <w:rsid w:val="00126429"/>
    <w:rsid w:val="00126471"/>
    <w:rsid w:val="001264D6"/>
    <w:rsid w:val="001264EC"/>
    <w:rsid w:val="00126537"/>
    <w:rsid w:val="0012655F"/>
    <w:rsid w:val="00126590"/>
    <w:rsid w:val="001265A1"/>
    <w:rsid w:val="001265FA"/>
    <w:rsid w:val="0012663E"/>
    <w:rsid w:val="001266ED"/>
    <w:rsid w:val="00126711"/>
    <w:rsid w:val="0012676F"/>
    <w:rsid w:val="00126876"/>
    <w:rsid w:val="001268A8"/>
    <w:rsid w:val="001268AE"/>
    <w:rsid w:val="00126938"/>
    <w:rsid w:val="0012696E"/>
    <w:rsid w:val="001269B5"/>
    <w:rsid w:val="00126A0C"/>
    <w:rsid w:val="00126A38"/>
    <w:rsid w:val="00126A86"/>
    <w:rsid w:val="00126A87"/>
    <w:rsid w:val="00126A8F"/>
    <w:rsid w:val="00126B59"/>
    <w:rsid w:val="00126C34"/>
    <w:rsid w:val="00126C3F"/>
    <w:rsid w:val="00126CA0"/>
    <w:rsid w:val="00126CCF"/>
    <w:rsid w:val="00126D17"/>
    <w:rsid w:val="00126D1F"/>
    <w:rsid w:val="00126DEE"/>
    <w:rsid w:val="00126E09"/>
    <w:rsid w:val="00126FBC"/>
    <w:rsid w:val="00126FEA"/>
    <w:rsid w:val="00127121"/>
    <w:rsid w:val="001271CD"/>
    <w:rsid w:val="00127233"/>
    <w:rsid w:val="001272DB"/>
    <w:rsid w:val="001272E6"/>
    <w:rsid w:val="001272F3"/>
    <w:rsid w:val="00127327"/>
    <w:rsid w:val="0012738A"/>
    <w:rsid w:val="001273C5"/>
    <w:rsid w:val="0012740E"/>
    <w:rsid w:val="00127547"/>
    <w:rsid w:val="0012760B"/>
    <w:rsid w:val="0012760D"/>
    <w:rsid w:val="0012763E"/>
    <w:rsid w:val="001276ED"/>
    <w:rsid w:val="0012772D"/>
    <w:rsid w:val="0012773D"/>
    <w:rsid w:val="00127832"/>
    <w:rsid w:val="001278BE"/>
    <w:rsid w:val="001278BF"/>
    <w:rsid w:val="001278EC"/>
    <w:rsid w:val="00127948"/>
    <w:rsid w:val="0012797A"/>
    <w:rsid w:val="001279A5"/>
    <w:rsid w:val="001279D0"/>
    <w:rsid w:val="001279F1"/>
    <w:rsid w:val="00127A72"/>
    <w:rsid w:val="00127A85"/>
    <w:rsid w:val="00127A8D"/>
    <w:rsid w:val="00127AC0"/>
    <w:rsid w:val="00127B48"/>
    <w:rsid w:val="00127C19"/>
    <w:rsid w:val="00127CE0"/>
    <w:rsid w:val="00127CF5"/>
    <w:rsid w:val="00127D06"/>
    <w:rsid w:val="00127D7A"/>
    <w:rsid w:val="00127E74"/>
    <w:rsid w:val="00127F5A"/>
    <w:rsid w:val="00127FE2"/>
    <w:rsid w:val="00130003"/>
    <w:rsid w:val="001300B5"/>
    <w:rsid w:val="001300BC"/>
    <w:rsid w:val="0013017A"/>
    <w:rsid w:val="00130183"/>
    <w:rsid w:val="0013018B"/>
    <w:rsid w:val="0013043C"/>
    <w:rsid w:val="00130461"/>
    <w:rsid w:val="001304A4"/>
    <w:rsid w:val="001304E8"/>
    <w:rsid w:val="0013057C"/>
    <w:rsid w:val="001306C6"/>
    <w:rsid w:val="001306EA"/>
    <w:rsid w:val="00130732"/>
    <w:rsid w:val="0013079F"/>
    <w:rsid w:val="00130986"/>
    <w:rsid w:val="00130A01"/>
    <w:rsid w:val="00130A30"/>
    <w:rsid w:val="00130A93"/>
    <w:rsid w:val="00130AD8"/>
    <w:rsid w:val="00130B09"/>
    <w:rsid w:val="00130B49"/>
    <w:rsid w:val="00130BA7"/>
    <w:rsid w:val="00130BE6"/>
    <w:rsid w:val="00130CBD"/>
    <w:rsid w:val="00130D12"/>
    <w:rsid w:val="00130F08"/>
    <w:rsid w:val="00130F64"/>
    <w:rsid w:val="00130FE4"/>
    <w:rsid w:val="0013102E"/>
    <w:rsid w:val="001310A9"/>
    <w:rsid w:val="00131106"/>
    <w:rsid w:val="0013126E"/>
    <w:rsid w:val="001312D2"/>
    <w:rsid w:val="00131357"/>
    <w:rsid w:val="00131380"/>
    <w:rsid w:val="001313CE"/>
    <w:rsid w:val="001313DE"/>
    <w:rsid w:val="001313E2"/>
    <w:rsid w:val="001313F2"/>
    <w:rsid w:val="00131426"/>
    <w:rsid w:val="0013146B"/>
    <w:rsid w:val="001314FA"/>
    <w:rsid w:val="001314FD"/>
    <w:rsid w:val="001317A3"/>
    <w:rsid w:val="001318B9"/>
    <w:rsid w:val="00131A41"/>
    <w:rsid w:val="00131AE9"/>
    <w:rsid w:val="00131BDA"/>
    <w:rsid w:val="00131C01"/>
    <w:rsid w:val="00131C0D"/>
    <w:rsid w:val="00131CAD"/>
    <w:rsid w:val="00131D3A"/>
    <w:rsid w:val="00131D83"/>
    <w:rsid w:val="00131E41"/>
    <w:rsid w:val="00131EA2"/>
    <w:rsid w:val="00131F5D"/>
    <w:rsid w:val="00131F85"/>
    <w:rsid w:val="00131F89"/>
    <w:rsid w:val="00132113"/>
    <w:rsid w:val="0013214B"/>
    <w:rsid w:val="00132177"/>
    <w:rsid w:val="0013217B"/>
    <w:rsid w:val="0013217E"/>
    <w:rsid w:val="00132181"/>
    <w:rsid w:val="001321C3"/>
    <w:rsid w:val="001323F5"/>
    <w:rsid w:val="00132428"/>
    <w:rsid w:val="00132515"/>
    <w:rsid w:val="00132546"/>
    <w:rsid w:val="00132576"/>
    <w:rsid w:val="00132577"/>
    <w:rsid w:val="0013257F"/>
    <w:rsid w:val="001325AA"/>
    <w:rsid w:val="001325C5"/>
    <w:rsid w:val="00132614"/>
    <w:rsid w:val="001326DA"/>
    <w:rsid w:val="0013276B"/>
    <w:rsid w:val="00132799"/>
    <w:rsid w:val="001327C2"/>
    <w:rsid w:val="00132818"/>
    <w:rsid w:val="001328D7"/>
    <w:rsid w:val="0013292A"/>
    <w:rsid w:val="00132953"/>
    <w:rsid w:val="0013296A"/>
    <w:rsid w:val="001329FD"/>
    <w:rsid w:val="00132A31"/>
    <w:rsid w:val="00132AB3"/>
    <w:rsid w:val="00132AC5"/>
    <w:rsid w:val="00132AD8"/>
    <w:rsid w:val="00132B39"/>
    <w:rsid w:val="00132B3C"/>
    <w:rsid w:val="00132B47"/>
    <w:rsid w:val="00132B85"/>
    <w:rsid w:val="00132C7A"/>
    <w:rsid w:val="00132D72"/>
    <w:rsid w:val="00132DB6"/>
    <w:rsid w:val="00132E0E"/>
    <w:rsid w:val="00132E75"/>
    <w:rsid w:val="00132E76"/>
    <w:rsid w:val="00132E79"/>
    <w:rsid w:val="00132E80"/>
    <w:rsid w:val="00132E85"/>
    <w:rsid w:val="00132E91"/>
    <w:rsid w:val="00132EA0"/>
    <w:rsid w:val="00132F1F"/>
    <w:rsid w:val="00132F77"/>
    <w:rsid w:val="00132FFF"/>
    <w:rsid w:val="001330F9"/>
    <w:rsid w:val="001330FD"/>
    <w:rsid w:val="001331D0"/>
    <w:rsid w:val="001331E4"/>
    <w:rsid w:val="001331F6"/>
    <w:rsid w:val="001331FC"/>
    <w:rsid w:val="00133291"/>
    <w:rsid w:val="00133355"/>
    <w:rsid w:val="00133387"/>
    <w:rsid w:val="00133417"/>
    <w:rsid w:val="00133422"/>
    <w:rsid w:val="00133496"/>
    <w:rsid w:val="001334B5"/>
    <w:rsid w:val="001334BD"/>
    <w:rsid w:val="00133530"/>
    <w:rsid w:val="0013359C"/>
    <w:rsid w:val="001335AE"/>
    <w:rsid w:val="00133651"/>
    <w:rsid w:val="00133692"/>
    <w:rsid w:val="001336FB"/>
    <w:rsid w:val="0013379C"/>
    <w:rsid w:val="001337FD"/>
    <w:rsid w:val="001338D7"/>
    <w:rsid w:val="00133927"/>
    <w:rsid w:val="00133A5F"/>
    <w:rsid w:val="00133AE8"/>
    <w:rsid w:val="00133B01"/>
    <w:rsid w:val="00133BE4"/>
    <w:rsid w:val="00133C0B"/>
    <w:rsid w:val="00133C5D"/>
    <w:rsid w:val="00133C63"/>
    <w:rsid w:val="00133CFE"/>
    <w:rsid w:val="00133DCB"/>
    <w:rsid w:val="00133DDD"/>
    <w:rsid w:val="00133EA9"/>
    <w:rsid w:val="00134058"/>
    <w:rsid w:val="001340DF"/>
    <w:rsid w:val="00134119"/>
    <w:rsid w:val="0013411B"/>
    <w:rsid w:val="00134155"/>
    <w:rsid w:val="001341CB"/>
    <w:rsid w:val="0013422D"/>
    <w:rsid w:val="0013423D"/>
    <w:rsid w:val="00134293"/>
    <w:rsid w:val="0013442B"/>
    <w:rsid w:val="0013448B"/>
    <w:rsid w:val="001344C5"/>
    <w:rsid w:val="0013452A"/>
    <w:rsid w:val="00134563"/>
    <w:rsid w:val="00134628"/>
    <w:rsid w:val="001347B7"/>
    <w:rsid w:val="001347DA"/>
    <w:rsid w:val="0013485B"/>
    <w:rsid w:val="00134892"/>
    <w:rsid w:val="0013489A"/>
    <w:rsid w:val="001348E8"/>
    <w:rsid w:val="001348F4"/>
    <w:rsid w:val="0013495C"/>
    <w:rsid w:val="001349FA"/>
    <w:rsid w:val="00134B4D"/>
    <w:rsid w:val="00134BA4"/>
    <w:rsid w:val="00134C22"/>
    <w:rsid w:val="00134C3E"/>
    <w:rsid w:val="00134C81"/>
    <w:rsid w:val="00134F02"/>
    <w:rsid w:val="00134F1F"/>
    <w:rsid w:val="00134F5B"/>
    <w:rsid w:val="00134FC6"/>
    <w:rsid w:val="00135034"/>
    <w:rsid w:val="0013504A"/>
    <w:rsid w:val="00135097"/>
    <w:rsid w:val="001352A3"/>
    <w:rsid w:val="001352E0"/>
    <w:rsid w:val="00135320"/>
    <w:rsid w:val="00135381"/>
    <w:rsid w:val="00135430"/>
    <w:rsid w:val="0013549E"/>
    <w:rsid w:val="001354CD"/>
    <w:rsid w:val="00135503"/>
    <w:rsid w:val="00135510"/>
    <w:rsid w:val="00135568"/>
    <w:rsid w:val="001355FB"/>
    <w:rsid w:val="0013561B"/>
    <w:rsid w:val="0013569A"/>
    <w:rsid w:val="001356B7"/>
    <w:rsid w:val="00135710"/>
    <w:rsid w:val="00135758"/>
    <w:rsid w:val="00135797"/>
    <w:rsid w:val="001357B7"/>
    <w:rsid w:val="001357D4"/>
    <w:rsid w:val="001357E6"/>
    <w:rsid w:val="00135888"/>
    <w:rsid w:val="001358F6"/>
    <w:rsid w:val="00135A04"/>
    <w:rsid w:val="00135A94"/>
    <w:rsid w:val="00135C16"/>
    <w:rsid w:val="00135D42"/>
    <w:rsid w:val="00135D67"/>
    <w:rsid w:val="00135DB4"/>
    <w:rsid w:val="00135E23"/>
    <w:rsid w:val="00135E69"/>
    <w:rsid w:val="00135E98"/>
    <w:rsid w:val="00135EBC"/>
    <w:rsid w:val="00136173"/>
    <w:rsid w:val="001361B0"/>
    <w:rsid w:val="00136208"/>
    <w:rsid w:val="00136409"/>
    <w:rsid w:val="0013643E"/>
    <w:rsid w:val="001364F3"/>
    <w:rsid w:val="00136507"/>
    <w:rsid w:val="00136523"/>
    <w:rsid w:val="00136638"/>
    <w:rsid w:val="0013667B"/>
    <w:rsid w:val="00136808"/>
    <w:rsid w:val="0013681A"/>
    <w:rsid w:val="00136936"/>
    <w:rsid w:val="00136A5E"/>
    <w:rsid w:val="00136A85"/>
    <w:rsid w:val="00136A90"/>
    <w:rsid w:val="00136BE4"/>
    <w:rsid w:val="00136C81"/>
    <w:rsid w:val="00136CBB"/>
    <w:rsid w:val="00136CC8"/>
    <w:rsid w:val="00136D2C"/>
    <w:rsid w:val="00136D39"/>
    <w:rsid w:val="00136DF1"/>
    <w:rsid w:val="00136E91"/>
    <w:rsid w:val="00136F05"/>
    <w:rsid w:val="00137013"/>
    <w:rsid w:val="00137033"/>
    <w:rsid w:val="00137075"/>
    <w:rsid w:val="00137096"/>
    <w:rsid w:val="001371C0"/>
    <w:rsid w:val="00137294"/>
    <w:rsid w:val="001372CE"/>
    <w:rsid w:val="001372E9"/>
    <w:rsid w:val="0013732E"/>
    <w:rsid w:val="001373C0"/>
    <w:rsid w:val="0013745E"/>
    <w:rsid w:val="001374A8"/>
    <w:rsid w:val="001374D4"/>
    <w:rsid w:val="00137584"/>
    <w:rsid w:val="001375EA"/>
    <w:rsid w:val="001376F2"/>
    <w:rsid w:val="00137741"/>
    <w:rsid w:val="00137780"/>
    <w:rsid w:val="0013780B"/>
    <w:rsid w:val="00137872"/>
    <w:rsid w:val="001378AA"/>
    <w:rsid w:val="001378F2"/>
    <w:rsid w:val="0013791A"/>
    <w:rsid w:val="00137974"/>
    <w:rsid w:val="00137975"/>
    <w:rsid w:val="001379EF"/>
    <w:rsid w:val="00137A6C"/>
    <w:rsid w:val="00137B71"/>
    <w:rsid w:val="00137B84"/>
    <w:rsid w:val="00137BDF"/>
    <w:rsid w:val="00137BE4"/>
    <w:rsid w:val="00137C47"/>
    <w:rsid w:val="00137C7C"/>
    <w:rsid w:val="00137CF1"/>
    <w:rsid w:val="00137D46"/>
    <w:rsid w:val="00137D57"/>
    <w:rsid w:val="00137E80"/>
    <w:rsid w:val="00137E84"/>
    <w:rsid w:val="00137F1F"/>
    <w:rsid w:val="00137FBF"/>
    <w:rsid w:val="001400B5"/>
    <w:rsid w:val="001400D3"/>
    <w:rsid w:val="001401E7"/>
    <w:rsid w:val="00140223"/>
    <w:rsid w:val="001403E2"/>
    <w:rsid w:val="00140448"/>
    <w:rsid w:val="00140479"/>
    <w:rsid w:val="00140528"/>
    <w:rsid w:val="001405B2"/>
    <w:rsid w:val="001405CA"/>
    <w:rsid w:val="00140620"/>
    <w:rsid w:val="00140627"/>
    <w:rsid w:val="00140654"/>
    <w:rsid w:val="00140666"/>
    <w:rsid w:val="0014068B"/>
    <w:rsid w:val="001406E1"/>
    <w:rsid w:val="001406E3"/>
    <w:rsid w:val="00140715"/>
    <w:rsid w:val="00140743"/>
    <w:rsid w:val="0014074D"/>
    <w:rsid w:val="001408F4"/>
    <w:rsid w:val="001409A4"/>
    <w:rsid w:val="001409C6"/>
    <w:rsid w:val="00140A2F"/>
    <w:rsid w:val="00140A4B"/>
    <w:rsid w:val="00140A54"/>
    <w:rsid w:val="00140ADB"/>
    <w:rsid w:val="00140B6B"/>
    <w:rsid w:val="00140BAD"/>
    <w:rsid w:val="00140C2E"/>
    <w:rsid w:val="00140C3C"/>
    <w:rsid w:val="00140CB8"/>
    <w:rsid w:val="00140CDB"/>
    <w:rsid w:val="00140D1D"/>
    <w:rsid w:val="00140DDE"/>
    <w:rsid w:val="00140E2D"/>
    <w:rsid w:val="00140F86"/>
    <w:rsid w:val="0014113E"/>
    <w:rsid w:val="00141178"/>
    <w:rsid w:val="001411BE"/>
    <w:rsid w:val="001411D2"/>
    <w:rsid w:val="0014120E"/>
    <w:rsid w:val="00141237"/>
    <w:rsid w:val="0014135B"/>
    <w:rsid w:val="00141391"/>
    <w:rsid w:val="00141399"/>
    <w:rsid w:val="001413A2"/>
    <w:rsid w:val="001414C3"/>
    <w:rsid w:val="00141550"/>
    <w:rsid w:val="001415A3"/>
    <w:rsid w:val="001415AB"/>
    <w:rsid w:val="001415D3"/>
    <w:rsid w:val="00141610"/>
    <w:rsid w:val="00141611"/>
    <w:rsid w:val="00141675"/>
    <w:rsid w:val="00141682"/>
    <w:rsid w:val="001416EC"/>
    <w:rsid w:val="00141705"/>
    <w:rsid w:val="00141742"/>
    <w:rsid w:val="00141921"/>
    <w:rsid w:val="00141924"/>
    <w:rsid w:val="00141995"/>
    <w:rsid w:val="001419AD"/>
    <w:rsid w:val="00141A11"/>
    <w:rsid w:val="00141BE9"/>
    <w:rsid w:val="00141DC2"/>
    <w:rsid w:val="00141E7B"/>
    <w:rsid w:val="00141EF5"/>
    <w:rsid w:val="00141F2B"/>
    <w:rsid w:val="0014214B"/>
    <w:rsid w:val="001422B4"/>
    <w:rsid w:val="001422D8"/>
    <w:rsid w:val="001422EA"/>
    <w:rsid w:val="0014244D"/>
    <w:rsid w:val="00142455"/>
    <w:rsid w:val="00142465"/>
    <w:rsid w:val="00142468"/>
    <w:rsid w:val="0014252C"/>
    <w:rsid w:val="001425EB"/>
    <w:rsid w:val="00142662"/>
    <w:rsid w:val="001426C4"/>
    <w:rsid w:val="001427F1"/>
    <w:rsid w:val="0014282F"/>
    <w:rsid w:val="001428CE"/>
    <w:rsid w:val="00142926"/>
    <w:rsid w:val="0014298F"/>
    <w:rsid w:val="00142A27"/>
    <w:rsid w:val="00142AE7"/>
    <w:rsid w:val="00142B3F"/>
    <w:rsid w:val="00142B8A"/>
    <w:rsid w:val="00142B99"/>
    <w:rsid w:val="00142BE0"/>
    <w:rsid w:val="00142C41"/>
    <w:rsid w:val="00142C51"/>
    <w:rsid w:val="00142EE8"/>
    <w:rsid w:val="00142F14"/>
    <w:rsid w:val="00142F46"/>
    <w:rsid w:val="00142F79"/>
    <w:rsid w:val="00142F8B"/>
    <w:rsid w:val="00142F97"/>
    <w:rsid w:val="00142FAE"/>
    <w:rsid w:val="0014311D"/>
    <w:rsid w:val="001431EF"/>
    <w:rsid w:val="0014325B"/>
    <w:rsid w:val="001432A8"/>
    <w:rsid w:val="001432C1"/>
    <w:rsid w:val="00143376"/>
    <w:rsid w:val="001433D1"/>
    <w:rsid w:val="00143427"/>
    <w:rsid w:val="0014359B"/>
    <w:rsid w:val="001435C3"/>
    <w:rsid w:val="001435C8"/>
    <w:rsid w:val="001435F4"/>
    <w:rsid w:val="00143635"/>
    <w:rsid w:val="00143860"/>
    <w:rsid w:val="00143909"/>
    <w:rsid w:val="001439C9"/>
    <w:rsid w:val="00143A77"/>
    <w:rsid w:val="00143A84"/>
    <w:rsid w:val="00143AAC"/>
    <w:rsid w:val="00143AE2"/>
    <w:rsid w:val="00143AF2"/>
    <w:rsid w:val="00143AFF"/>
    <w:rsid w:val="00143B05"/>
    <w:rsid w:val="00143B51"/>
    <w:rsid w:val="00143BD6"/>
    <w:rsid w:val="00143BF4"/>
    <w:rsid w:val="00143C60"/>
    <w:rsid w:val="00143C63"/>
    <w:rsid w:val="00143C9C"/>
    <w:rsid w:val="00143CA4"/>
    <w:rsid w:val="00143DB8"/>
    <w:rsid w:val="00143F06"/>
    <w:rsid w:val="00143FB7"/>
    <w:rsid w:val="0014402E"/>
    <w:rsid w:val="00144031"/>
    <w:rsid w:val="0014405A"/>
    <w:rsid w:val="001440C7"/>
    <w:rsid w:val="0014411B"/>
    <w:rsid w:val="00144138"/>
    <w:rsid w:val="001441BA"/>
    <w:rsid w:val="001441F4"/>
    <w:rsid w:val="00144251"/>
    <w:rsid w:val="0014428D"/>
    <w:rsid w:val="001442E5"/>
    <w:rsid w:val="001443C8"/>
    <w:rsid w:val="00144468"/>
    <w:rsid w:val="00144479"/>
    <w:rsid w:val="001444D4"/>
    <w:rsid w:val="00144633"/>
    <w:rsid w:val="00144684"/>
    <w:rsid w:val="00144730"/>
    <w:rsid w:val="00144740"/>
    <w:rsid w:val="00144752"/>
    <w:rsid w:val="00144760"/>
    <w:rsid w:val="001448E3"/>
    <w:rsid w:val="00144946"/>
    <w:rsid w:val="0014494B"/>
    <w:rsid w:val="00144A6B"/>
    <w:rsid w:val="00144AD4"/>
    <w:rsid w:val="00144B18"/>
    <w:rsid w:val="00144B37"/>
    <w:rsid w:val="00144BE8"/>
    <w:rsid w:val="00144C71"/>
    <w:rsid w:val="00144CEB"/>
    <w:rsid w:val="00144D4A"/>
    <w:rsid w:val="00144D75"/>
    <w:rsid w:val="00144D9B"/>
    <w:rsid w:val="00144E12"/>
    <w:rsid w:val="00144E28"/>
    <w:rsid w:val="00144E7D"/>
    <w:rsid w:val="00144E9F"/>
    <w:rsid w:val="00144ED5"/>
    <w:rsid w:val="00144F27"/>
    <w:rsid w:val="00144F7F"/>
    <w:rsid w:val="00145021"/>
    <w:rsid w:val="00145070"/>
    <w:rsid w:val="001450C7"/>
    <w:rsid w:val="00145148"/>
    <w:rsid w:val="001451B8"/>
    <w:rsid w:val="0014523A"/>
    <w:rsid w:val="0014523F"/>
    <w:rsid w:val="00145254"/>
    <w:rsid w:val="001452B8"/>
    <w:rsid w:val="00145431"/>
    <w:rsid w:val="001454E4"/>
    <w:rsid w:val="00145526"/>
    <w:rsid w:val="00145528"/>
    <w:rsid w:val="001456AE"/>
    <w:rsid w:val="00145743"/>
    <w:rsid w:val="001458A9"/>
    <w:rsid w:val="001458DD"/>
    <w:rsid w:val="001459CB"/>
    <w:rsid w:val="001459F5"/>
    <w:rsid w:val="00145A12"/>
    <w:rsid w:val="00145A6A"/>
    <w:rsid w:val="00145A78"/>
    <w:rsid w:val="00145AC0"/>
    <w:rsid w:val="00145BFF"/>
    <w:rsid w:val="00145C0A"/>
    <w:rsid w:val="00145C12"/>
    <w:rsid w:val="00145C58"/>
    <w:rsid w:val="00145DD7"/>
    <w:rsid w:val="00145DFF"/>
    <w:rsid w:val="00145E74"/>
    <w:rsid w:val="00145F05"/>
    <w:rsid w:val="00145F25"/>
    <w:rsid w:val="00145F3A"/>
    <w:rsid w:val="00145FB9"/>
    <w:rsid w:val="00145FE0"/>
    <w:rsid w:val="0014638F"/>
    <w:rsid w:val="001464EE"/>
    <w:rsid w:val="00146593"/>
    <w:rsid w:val="001465EB"/>
    <w:rsid w:val="001465FF"/>
    <w:rsid w:val="0014662D"/>
    <w:rsid w:val="001466B2"/>
    <w:rsid w:val="001466E1"/>
    <w:rsid w:val="0014672D"/>
    <w:rsid w:val="001467EB"/>
    <w:rsid w:val="001467FA"/>
    <w:rsid w:val="0014681F"/>
    <w:rsid w:val="001468AD"/>
    <w:rsid w:val="0014692E"/>
    <w:rsid w:val="00146952"/>
    <w:rsid w:val="001469B2"/>
    <w:rsid w:val="001469E9"/>
    <w:rsid w:val="00146A0C"/>
    <w:rsid w:val="00146A26"/>
    <w:rsid w:val="00146B3A"/>
    <w:rsid w:val="00146B6E"/>
    <w:rsid w:val="00146C2B"/>
    <w:rsid w:val="00146C2E"/>
    <w:rsid w:val="00146C35"/>
    <w:rsid w:val="00146D5D"/>
    <w:rsid w:val="00146D85"/>
    <w:rsid w:val="00146DF1"/>
    <w:rsid w:val="00146E99"/>
    <w:rsid w:val="00146F2F"/>
    <w:rsid w:val="00146F70"/>
    <w:rsid w:val="00146FB6"/>
    <w:rsid w:val="00146FFF"/>
    <w:rsid w:val="00147017"/>
    <w:rsid w:val="0014704E"/>
    <w:rsid w:val="0014709B"/>
    <w:rsid w:val="001470A3"/>
    <w:rsid w:val="00147134"/>
    <w:rsid w:val="00147155"/>
    <w:rsid w:val="001471AD"/>
    <w:rsid w:val="001471EC"/>
    <w:rsid w:val="00147236"/>
    <w:rsid w:val="001472AB"/>
    <w:rsid w:val="0014738A"/>
    <w:rsid w:val="00147393"/>
    <w:rsid w:val="001473FD"/>
    <w:rsid w:val="00147405"/>
    <w:rsid w:val="00147441"/>
    <w:rsid w:val="001474B9"/>
    <w:rsid w:val="00147518"/>
    <w:rsid w:val="0014751B"/>
    <w:rsid w:val="00147761"/>
    <w:rsid w:val="001477F2"/>
    <w:rsid w:val="00147893"/>
    <w:rsid w:val="001478E6"/>
    <w:rsid w:val="0014793E"/>
    <w:rsid w:val="00147A18"/>
    <w:rsid w:val="00147A8C"/>
    <w:rsid w:val="00147B16"/>
    <w:rsid w:val="00147B29"/>
    <w:rsid w:val="00147BB8"/>
    <w:rsid w:val="00147BDD"/>
    <w:rsid w:val="00147C69"/>
    <w:rsid w:val="00147D23"/>
    <w:rsid w:val="00147DDC"/>
    <w:rsid w:val="00147DE0"/>
    <w:rsid w:val="00147E5E"/>
    <w:rsid w:val="00147E67"/>
    <w:rsid w:val="00147EA8"/>
    <w:rsid w:val="00147F20"/>
    <w:rsid w:val="00147F93"/>
    <w:rsid w:val="00147FA2"/>
    <w:rsid w:val="00147FEE"/>
    <w:rsid w:val="001500AD"/>
    <w:rsid w:val="00150102"/>
    <w:rsid w:val="001501B2"/>
    <w:rsid w:val="001501FF"/>
    <w:rsid w:val="0015034A"/>
    <w:rsid w:val="0015039B"/>
    <w:rsid w:val="001503BF"/>
    <w:rsid w:val="001503D1"/>
    <w:rsid w:val="001503D9"/>
    <w:rsid w:val="001504A2"/>
    <w:rsid w:val="001504B7"/>
    <w:rsid w:val="001504C6"/>
    <w:rsid w:val="00150545"/>
    <w:rsid w:val="00150751"/>
    <w:rsid w:val="001507C8"/>
    <w:rsid w:val="001507D9"/>
    <w:rsid w:val="00150832"/>
    <w:rsid w:val="00150938"/>
    <w:rsid w:val="00150942"/>
    <w:rsid w:val="001509C9"/>
    <w:rsid w:val="00150B33"/>
    <w:rsid w:val="00150BCE"/>
    <w:rsid w:val="00150C61"/>
    <w:rsid w:val="00150DAB"/>
    <w:rsid w:val="00150E19"/>
    <w:rsid w:val="00150EAC"/>
    <w:rsid w:val="00150EBE"/>
    <w:rsid w:val="00150F14"/>
    <w:rsid w:val="00150F75"/>
    <w:rsid w:val="0015100F"/>
    <w:rsid w:val="001510B8"/>
    <w:rsid w:val="00151109"/>
    <w:rsid w:val="0015114A"/>
    <w:rsid w:val="001512E9"/>
    <w:rsid w:val="0015131F"/>
    <w:rsid w:val="00151321"/>
    <w:rsid w:val="001513A2"/>
    <w:rsid w:val="001513E9"/>
    <w:rsid w:val="001513F5"/>
    <w:rsid w:val="0015149B"/>
    <w:rsid w:val="001514B5"/>
    <w:rsid w:val="001514F0"/>
    <w:rsid w:val="0015157D"/>
    <w:rsid w:val="001515D7"/>
    <w:rsid w:val="0015162C"/>
    <w:rsid w:val="0015164C"/>
    <w:rsid w:val="001516DD"/>
    <w:rsid w:val="0015172C"/>
    <w:rsid w:val="001517CD"/>
    <w:rsid w:val="00151821"/>
    <w:rsid w:val="0015188A"/>
    <w:rsid w:val="00151895"/>
    <w:rsid w:val="001518E0"/>
    <w:rsid w:val="00151910"/>
    <w:rsid w:val="00151A63"/>
    <w:rsid w:val="00151AAD"/>
    <w:rsid w:val="00151B33"/>
    <w:rsid w:val="00151B36"/>
    <w:rsid w:val="00151BA5"/>
    <w:rsid w:val="00151BD8"/>
    <w:rsid w:val="00151C03"/>
    <w:rsid w:val="00151C25"/>
    <w:rsid w:val="00151C99"/>
    <w:rsid w:val="00151D2A"/>
    <w:rsid w:val="00151D3D"/>
    <w:rsid w:val="00151DE6"/>
    <w:rsid w:val="00151DE7"/>
    <w:rsid w:val="00151E22"/>
    <w:rsid w:val="00151E32"/>
    <w:rsid w:val="00151E38"/>
    <w:rsid w:val="00151EB3"/>
    <w:rsid w:val="00151F5E"/>
    <w:rsid w:val="00151F7C"/>
    <w:rsid w:val="00152174"/>
    <w:rsid w:val="001521E3"/>
    <w:rsid w:val="0015223B"/>
    <w:rsid w:val="0015225A"/>
    <w:rsid w:val="00152360"/>
    <w:rsid w:val="00152365"/>
    <w:rsid w:val="00152407"/>
    <w:rsid w:val="001525A6"/>
    <w:rsid w:val="001526C5"/>
    <w:rsid w:val="001526E8"/>
    <w:rsid w:val="00152759"/>
    <w:rsid w:val="00152767"/>
    <w:rsid w:val="001527B6"/>
    <w:rsid w:val="0015282C"/>
    <w:rsid w:val="0015285F"/>
    <w:rsid w:val="001528C1"/>
    <w:rsid w:val="00152924"/>
    <w:rsid w:val="00152971"/>
    <w:rsid w:val="001529C9"/>
    <w:rsid w:val="001529DB"/>
    <w:rsid w:val="00152A11"/>
    <w:rsid w:val="00152B1F"/>
    <w:rsid w:val="00152B6B"/>
    <w:rsid w:val="00152C2F"/>
    <w:rsid w:val="00152D26"/>
    <w:rsid w:val="00152D66"/>
    <w:rsid w:val="00152DE8"/>
    <w:rsid w:val="00152E21"/>
    <w:rsid w:val="00152EE1"/>
    <w:rsid w:val="00152F0B"/>
    <w:rsid w:val="00153018"/>
    <w:rsid w:val="001530BD"/>
    <w:rsid w:val="00153108"/>
    <w:rsid w:val="00153221"/>
    <w:rsid w:val="0015328E"/>
    <w:rsid w:val="00153298"/>
    <w:rsid w:val="001532A1"/>
    <w:rsid w:val="00153302"/>
    <w:rsid w:val="00153382"/>
    <w:rsid w:val="0015356B"/>
    <w:rsid w:val="00153596"/>
    <w:rsid w:val="001535EA"/>
    <w:rsid w:val="001535FC"/>
    <w:rsid w:val="001535FD"/>
    <w:rsid w:val="00153651"/>
    <w:rsid w:val="001538D9"/>
    <w:rsid w:val="00153983"/>
    <w:rsid w:val="00153A14"/>
    <w:rsid w:val="00153B26"/>
    <w:rsid w:val="00153B7B"/>
    <w:rsid w:val="00153B91"/>
    <w:rsid w:val="00153C7A"/>
    <w:rsid w:val="00153D6F"/>
    <w:rsid w:val="00153DE9"/>
    <w:rsid w:val="00153EF8"/>
    <w:rsid w:val="00153F56"/>
    <w:rsid w:val="00153FC7"/>
    <w:rsid w:val="00153FE8"/>
    <w:rsid w:val="00154056"/>
    <w:rsid w:val="0015405B"/>
    <w:rsid w:val="0015405C"/>
    <w:rsid w:val="00154117"/>
    <w:rsid w:val="0015417D"/>
    <w:rsid w:val="001541B8"/>
    <w:rsid w:val="0015427A"/>
    <w:rsid w:val="001542F4"/>
    <w:rsid w:val="00154317"/>
    <w:rsid w:val="001543D2"/>
    <w:rsid w:val="00154550"/>
    <w:rsid w:val="00154606"/>
    <w:rsid w:val="0015460A"/>
    <w:rsid w:val="001546F7"/>
    <w:rsid w:val="00154752"/>
    <w:rsid w:val="001547B5"/>
    <w:rsid w:val="00154870"/>
    <w:rsid w:val="001548BC"/>
    <w:rsid w:val="00154936"/>
    <w:rsid w:val="00154A11"/>
    <w:rsid w:val="00154A23"/>
    <w:rsid w:val="00154AC6"/>
    <w:rsid w:val="00154B5E"/>
    <w:rsid w:val="00154BD4"/>
    <w:rsid w:val="00154BF8"/>
    <w:rsid w:val="00154D1A"/>
    <w:rsid w:val="00154D74"/>
    <w:rsid w:val="00154D87"/>
    <w:rsid w:val="00154E05"/>
    <w:rsid w:val="00154E8A"/>
    <w:rsid w:val="00154F24"/>
    <w:rsid w:val="00155016"/>
    <w:rsid w:val="0015505C"/>
    <w:rsid w:val="0015508D"/>
    <w:rsid w:val="00155102"/>
    <w:rsid w:val="0015512E"/>
    <w:rsid w:val="00155176"/>
    <w:rsid w:val="0015522D"/>
    <w:rsid w:val="001552BD"/>
    <w:rsid w:val="00155341"/>
    <w:rsid w:val="0015538E"/>
    <w:rsid w:val="001554BE"/>
    <w:rsid w:val="001554C7"/>
    <w:rsid w:val="00155548"/>
    <w:rsid w:val="0015563F"/>
    <w:rsid w:val="0015570F"/>
    <w:rsid w:val="00155721"/>
    <w:rsid w:val="00155736"/>
    <w:rsid w:val="00155797"/>
    <w:rsid w:val="001557B9"/>
    <w:rsid w:val="001557E5"/>
    <w:rsid w:val="001557EA"/>
    <w:rsid w:val="0015586E"/>
    <w:rsid w:val="00155961"/>
    <w:rsid w:val="0015597B"/>
    <w:rsid w:val="00155980"/>
    <w:rsid w:val="001559B9"/>
    <w:rsid w:val="001559BE"/>
    <w:rsid w:val="001559EB"/>
    <w:rsid w:val="00155A1B"/>
    <w:rsid w:val="00155A61"/>
    <w:rsid w:val="00155AE4"/>
    <w:rsid w:val="00155B44"/>
    <w:rsid w:val="00155C82"/>
    <w:rsid w:val="00155CDE"/>
    <w:rsid w:val="00155CF8"/>
    <w:rsid w:val="00155D89"/>
    <w:rsid w:val="00155E20"/>
    <w:rsid w:val="00155E22"/>
    <w:rsid w:val="00155E70"/>
    <w:rsid w:val="00155E83"/>
    <w:rsid w:val="00155EA0"/>
    <w:rsid w:val="00155EBD"/>
    <w:rsid w:val="00155F59"/>
    <w:rsid w:val="00155F78"/>
    <w:rsid w:val="00155F83"/>
    <w:rsid w:val="00155FBA"/>
    <w:rsid w:val="00155FFB"/>
    <w:rsid w:val="00156137"/>
    <w:rsid w:val="0015617E"/>
    <w:rsid w:val="00156328"/>
    <w:rsid w:val="00156343"/>
    <w:rsid w:val="001563F0"/>
    <w:rsid w:val="0015642F"/>
    <w:rsid w:val="0015643D"/>
    <w:rsid w:val="00156446"/>
    <w:rsid w:val="0015649D"/>
    <w:rsid w:val="0015649E"/>
    <w:rsid w:val="001564F4"/>
    <w:rsid w:val="00156522"/>
    <w:rsid w:val="00156539"/>
    <w:rsid w:val="001565ED"/>
    <w:rsid w:val="00156639"/>
    <w:rsid w:val="00156795"/>
    <w:rsid w:val="00156797"/>
    <w:rsid w:val="001567E9"/>
    <w:rsid w:val="001568C6"/>
    <w:rsid w:val="0015699E"/>
    <w:rsid w:val="001569FA"/>
    <w:rsid w:val="00156A82"/>
    <w:rsid w:val="00156AC0"/>
    <w:rsid w:val="00156B28"/>
    <w:rsid w:val="00156BEB"/>
    <w:rsid w:val="00156C3A"/>
    <w:rsid w:val="00156D49"/>
    <w:rsid w:val="00156D94"/>
    <w:rsid w:val="00156E3C"/>
    <w:rsid w:val="00156E43"/>
    <w:rsid w:val="00156E79"/>
    <w:rsid w:val="00156E8A"/>
    <w:rsid w:val="00156E98"/>
    <w:rsid w:val="00156EB4"/>
    <w:rsid w:val="00156ED0"/>
    <w:rsid w:val="00156F67"/>
    <w:rsid w:val="001570D2"/>
    <w:rsid w:val="001570D8"/>
    <w:rsid w:val="001570E1"/>
    <w:rsid w:val="001570E9"/>
    <w:rsid w:val="001570F3"/>
    <w:rsid w:val="00157160"/>
    <w:rsid w:val="00157177"/>
    <w:rsid w:val="001571BD"/>
    <w:rsid w:val="001571E9"/>
    <w:rsid w:val="0015731A"/>
    <w:rsid w:val="001573FD"/>
    <w:rsid w:val="0015743B"/>
    <w:rsid w:val="001574F8"/>
    <w:rsid w:val="00157554"/>
    <w:rsid w:val="0015756A"/>
    <w:rsid w:val="00157579"/>
    <w:rsid w:val="00157661"/>
    <w:rsid w:val="001576AB"/>
    <w:rsid w:val="001577F2"/>
    <w:rsid w:val="0015780F"/>
    <w:rsid w:val="00157847"/>
    <w:rsid w:val="00157942"/>
    <w:rsid w:val="0015794C"/>
    <w:rsid w:val="00157996"/>
    <w:rsid w:val="00157A31"/>
    <w:rsid w:val="00157AFF"/>
    <w:rsid w:val="00157B74"/>
    <w:rsid w:val="00157C71"/>
    <w:rsid w:val="00157E30"/>
    <w:rsid w:val="00157FE0"/>
    <w:rsid w:val="0015D40E"/>
    <w:rsid w:val="001600D5"/>
    <w:rsid w:val="001600DC"/>
    <w:rsid w:val="00160177"/>
    <w:rsid w:val="001601F0"/>
    <w:rsid w:val="00160206"/>
    <w:rsid w:val="00160219"/>
    <w:rsid w:val="0016021E"/>
    <w:rsid w:val="00160322"/>
    <w:rsid w:val="0016032D"/>
    <w:rsid w:val="001603B5"/>
    <w:rsid w:val="0016042F"/>
    <w:rsid w:val="001604A2"/>
    <w:rsid w:val="00160603"/>
    <w:rsid w:val="0016070C"/>
    <w:rsid w:val="0016074D"/>
    <w:rsid w:val="00160784"/>
    <w:rsid w:val="0016078A"/>
    <w:rsid w:val="001607F3"/>
    <w:rsid w:val="0016082D"/>
    <w:rsid w:val="00160872"/>
    <w:rsid w:val="001608AE"/>
    <w:rsid w:val="001608AF"/>
    <w:rsid w:val="001609FB"/>
    <w:rsid w:val="00160A20"/>
    <w:rsid w:val="00160AAC"/>
    <w:rsid w:val="00160B9B"/>
    <w:rsid w:val="00160DC7"/>
    <w:rsid w:val="00160DDA"/>
    <w:rsid w:val="00160DDE"/>
    <w:rsid w:val="00160DEA"/>
    <w:rsid w:val="00160E2B"/>
    <w:rsid w:val="00160EB6"/>
    <w:rsid w:val="00160ED7"/>
    <w:rsid w:val="00160FAB"/>
    <w:rsid w:val="00160FC1"/>
    <w:rsid w:val="00161071"/>
    <w:rsid w:val="00161163"/>
    <w:rsid w:val="0016119D"/>
    <w:rsid w:val="00161268"/>
    <w:rsid w:val="001613CC"/>
    <w:rsid w:val="00161429"/>
    <w:rsid w:val="001614AE"/>
    <w:rsid w:val="00161599"/>
    <w:rsid w:val="001616CE"/>
    <w:rsid w:val="001616D3"/>
    <w:rsid w:val="00161787"/>
    <w:rsid w:val="00161793"/>
    <w:rsid w:val="00161799"/>
    <w:rsid w:val="001618E7"/>
    <w:rsid w:val="00161928"/>
    <w:rsid w:val="00161966"/>
    <w:rsid w:val="001619C7"/>
    <w:rsid w:val="001619F9"/>
    <w:rsid w:val="00161A50"/>
    <w:rsid w:val="00161A54"/>
    <w:rsid w:val="00161B3B"/>
    <w:rsid w:val="00161BDD"/>
    <w:rsid w:val="00161BEC"/>
    <w:rsid w:val="00161C0E"/>
    <w:rsid w:val="00161C4E"/>
    <w:rsid w:val="00161CCB"/>
    <w:rsid w:val="00161D46"/>
    <w:rsid w:val="00161D52"/>
    <w:rsid w:val="00161DD2"/>
    <w:rsid w:val="00161E2E"/>
    <w:rsid w:val="00161E45"/>
    <w:rsid w:val="00161EF6"/>
    <w:rsid w:val="00162157"/>
    <w:rsid w:val="001621D8"/>
    <w:rsid w:val="001621DB"/>
    <w:rsid w:val="00162200"/>
    <w:rsid w:val="00162354"/>
    <w:rsid w:val="00162378"/>
    <w:rsid w:val="001623B0"/>
    <w:rsid w:val="001623EC"/>
    <w:rsid w:val="00162598"/>
    <w:rsid w:val="001625A6"/>
    <w:rsid w:val="001625DE"/>
    <w:rsid w:val="00162674"/>
    <w:rsid w:val="0016268E"/>
    <w:rsid w:val="001626F0"/>
    <w:rsid w:val="00162707"/>
    <w:rsid w:val="00162842"/>
    <w:rsid w:val="00162907"/>
    <w:rsid w:val="001629B4"/>
    <w:rsid w:val="00162A2A"/>
    <w:rsid w:val="00162B09"/>
    <w:rsid w:val="00162BAF"/>
    <w:rsid w:val="00162BF5"/>
    <w:rsid w:val="00162EFB"/>
    <w:rsid w:val="00162FD8"/>
    <w:rsid w:val="001630A5"/>
    <w:rsid w:val="001630B0"/>
    <w:rsid w:val="001630B9"/>
    <w:rsid w:val="00163152"/>
    <w:rsid w:val="00163349"/>
    <w:rsid w:val="0016343C"/>
    <w:rsid w:val="001634C3"/>
    <w:rsid w:val="001634C5"/>
    <w:rsid w:val="001634CD"/>
    <w:rsid w:val="00163581"/>
    <w:rsid w:val="001635E4"/>
    <w:rsid w:val="00163642"/>
    <w:rsid w:val="00163689"/>
    <w:rsid w:val="00163691"/>
    <w:rsid w:val="001636E2"/>
    <w:rsid w:val="00163702"/>
    <w:rsid w:val="001637E8"/>
    <w:rsid w:val="0016385D"/>
    <w:rsid w:val="001638B9"/>
    <w:rsid w:val="001638BB"/>
    <w:rsid w:val="0016396D"/>
    <w:rsid w:val="001639CA"/>
    <w:rsid w:val="00163A01"/>
    <w:rsid w:val="00163AF9"/>
    <w:rsid w:val="00163B02"/>
    <w:rsid w:val="00163CB1"/>
    <w:rsid w:val="00163CC0"/>
    <w:rsid w:val="00163CEE"/>
    <w:rsid w:val="00163DB7"/>
    <w:rsid w:val="00163DDF"/>
    <w:rsid w:val="00163E2A"/>
    <w:rsid w:val="00163E82"/>
    <w:rsid w:val="00163ED7"/>
    <w:rsid w:val="00163F24"/>
    <w:rsid w:val="00163F3B"/>
    <w:rsid w:val="001640C3"/>
    <w:rsid w:val="001641BA"/>
    <w:rsid w:val="00164225"/>
    <w:rsid w:val="00164239"/>
    <w:rsid w:val="001642CA"/>
    <w:rsid w:val="00164468"/>
    <w:rsid w:val="0016449A"/>
    <w:rsid w:val="00164545"/>
    <w:rsid w:val="0016458E"/>
    <w:rsid w:val="0016460F"/>
    <w:rsid w:val="0016469C"/>
    <w:rsid w:val="0016474F"/>
    <w:rsid w:val="00164763"/>
    <w:rsid w:val="001647A5"/>
    <w:rsid w:val="001648D5"/>
    <w:rsid w:val="0016491B"/>
    <w:rsid w:val="00164978"/>
    <w:rsid w:val="0016499D"/>
    <w:rsid w:val="00164AFE"/>
    <w:rsid w:val="00164B08"/>
    <w:rsid w:val="00164B2D"/>
    <w:rsid w:val="00164B8E"/>
    <w:rsid w:val="00164BAC"/>
    <w:rsid w:val="00164BB0"/>
    <w:rsid w:val="00164BEC"/>
    <w:rsid w:val="00164C12"/>
    <w:rsid w:val="00164CAC"/>
    <w:rsid w:val="00164D1B"/>
    <w:rsid w:val="00164E11"/>
    <w:rsid w:val="00164F51"/>
    <w:rsid w:val="0016501D"/>
    <w:rsid w:val="00165069"/>
    <w:rsid w:val="001650D8"/>
    <w:rsid w:val="00165107"/>
    <w:rsid w:val="001651EA"/>
    <w:rsid w:val="0016522B"/>
    <w:rsid w:val="001652C2"/>
    <w:rsid w:val="00165336"/>
    <w:rsid w:val="001653ED"/>
    <w:rsid w:val="001653EF"/>
    <w:rsid w:val="0016544C"/>
    <w:rsid w:val="001654A6"/>
    <w:rsid w:val="0016551F"/>
    <w:rsid w:val="00165554"/>
    <w:rsid w:val="00165585"/>
    <w:rsid w:val="0016558C"/>
    <w:rsid w:val="0016561E"/>
    <w:rsid w:val="0016562C"/>
    <w:rsid w:val="0016563D"/>
    <w:rsid w:val="001656AD"/>
    <w:rsid w:val="001656CB"/>
    <w:rsid w:val="001656EC"/>
    <w:rsid w:val="00165712"/>
    <w:rsid w:val="00165819"/>
    <w:rsid w:val="0016586F"/>
    <w:rsid w:val="001658DE"/>
    <w:rsid w:val="001658F2"/>
    <w:rsid w:val="00165926"/>
    <w:rsid w:val="0016592E"/>
    <w:rsid w:val="001659B6"/>
    <w:rsid w:val="00165AF8"/>
    <w:rsid w:val="00165B63"/>
    <w:rsid w:val="00165CBD"/>
    <w:rsid w:val="00165D49"/>
    <w:rsid w:val="00165D56"/>
    <w:rsid w:val="00165F2E"/>
    <w:rsid w:val="00165F39"/>
    <w:rsid w:val="00165F46"/>
    <w:rsid w:val="00165F4F"/>
    <w:rsid w:val="0016604B"/>
    <w:rsid w:val="001661C1"/>
    <w:rsid w:val="001661E4"/>
    <w:rsid w:val="00166279"/>
    <w:rsid w:val="00166282"/>
    <w:rsid w:val="00166322"/>
    <w:rsid w:val="00166380"/>
    <w:rsid w:val="0016643D"/>
    <w:rsid w:val="00166486"/>
    <w:rsid w:val="001664F9"/>
    <w:rsid w:val="0016656D"/>
    <w:rsid w:val="001665DA"/>
    <w:rsid w:val="0016666C"/>
    <w:rsid w:val="001666D5"/>
    <w:rsid w:val="0016680C"/>
    <w:rsid w:val="00166890"/>
    <w:rsid w:val="00166A23"/>
    <w:rsid w:val="00166A66"/>
    <w:rsid w:val="00166A8B"/>
    <w:rsid w:val="00166A9B"/>
    <w:rsid w:val="00166AF7"/>
    <w:rsid w:val="00166B0D"/>
    <w:rsid w:val="00166CB4"/>
    <w:rsid w:val="00166D19"/>
    <w:rsid w:val="00166D6B"/>
    <w:rsid w:val="00166E7E"/>
    <w:rsid w:val="00166ED3"/>
    <w:rsid w:val="00166F02"/>
    <w:rsid w:val="00166F1F"/>
    <w:rsid w:val="00166FAF"/>
    <w:rsid w:val="00167011"/>
    <w:rsid w:val="0016703B"/>
    <w:rsid w:val="001670A1"/>
    <w:rsid w:val="00167182"/>
    <w:rsid w:val="0016718E"/>
    <w:rsid w:val="001671DC"/>
    <w:rsid w:val="001671E7"/>
    <w:rsid w:val="001671FD"/>
    <w:rsid w:val="001671FF"/>
    <w:rsid w:val="00167212"/>
    <w:rsid w:val="00167222"/>
    <w:rsid w:val="00167259"/>
    <w:rsid w:val="00167267"/>
    <w:rsid w:val="001672BC"/>
    <w:rsid w:val="00167333"/>
    <w:rsid w:val="00167388"/>
    <w:rsid w:val="001673AC"/>
    <w:rsid w:val="001673F2"/>
    <w:rsid w:val="001675F3"/>
    <w:rsid w:val="00167797"/>
    <w:rsid w:val="00167826"/>
    <w:rsid w:val="00167873"/>
    <w:rsid w:val="001678EA"/>
    <w:rsid w:val="00167A0C"/>
    <w:rsid w:val="00167A30"/>
    <w:rsid w:val="00167A84"/>
    <w:rsid w:val="00167A89"/>
    <w:rsid w:val="00167AE5"/>
    <w:rsid w:val="00167B3D"/>
    <w:rsid w:val="00167B3F"/>
    <w:rsid w:val="00167B42"/>
    <w:rsid w:val="00167B84"/>
    <w:rsid w:val="00167B9F"/>
    <w:rsid w:val="00167BB9"/>
    <w:rsid w:val="00167BBD"/>
    <w:rsid w:val="00167D96"/>
    <w:rsid w:val="00167DAD"/>
    <w:rsid w:val="00167DFD"/>
    <w:rsid w:val="00167E83"/>
    <w:rsid w:val="00167F56"/>
    <w:rsid w:val="0017001D"/>
    <w:rsid w:val="0017006A"/>
    <w:rsid w:val="001700B4"/>
    <w:rsid w:val="0017010C"/>
    <w:rsid w:val="0017013C"/>
    <w:rsid w:val="001701D6"/>
    <w:rsid w:val="00170232"/>
    <w:rsid w:val="0017026A"/>
    <w:rsid w:val="001702E8"/>
    <w:rsid w:val="0017039F"/>
    <w:rsid w:val="0017045B"/>
    <w:rsid w:val="001704A6"/>
    <w:rsid w:val="001704D5"/>
    <w:rsid w:val="001704FA"/>
    <w:rsid w:val="0017052E"/>
    <w:rsid w:val="0017058E"/>
    <w:rsid w:val="001705AD"/>
    <w:rsid w:val="001705BD"/>
    <w:rsid w:val="00170665"/>
    <w:rsid w:val="001707E5"/>
    <w:rsid w:val="0017081E"/>
    <w:rsid w:val="00170857"/>
    <w:rsid w:val="0017089A"/>
    <w:rsid w:val="001708BB"/>
    <w:rsid w:val="00170A5E"/>
    <w:rsid w:val="00170B58"/>
    <w:rsid w:val="00170BA6"/>
    <w:rsid w:val="00170C4B"/>
    <w:rsid w:val="00170CE5"/>
    <w:rsid w:val="00170EC1"/>
    <w:rsid w:val="00170F53"/>
    <w:rsid w:val="00170F5A"/>
    <w:rsid w:val="00170FAD"/>
    <w:rsid w:val="00171003"/>
    <w:rsid w:val="0017111D"/>
    <w:rsid w:val="001711B7"/>
    <w:rsid w:val="0017125C"/>
    <w:rsid w:val="00171403"/>
    <w:rsid w:val="0017144F"/>
    <w:rsid w:val="00171486"/>
    <w:rsid w:val="00171514"/>
    <w:rsid w:val="00171592"/>
    <w:rsid w:val="00171610"/>
    <w:rsid w:val="0017162B"/>
    <w:rsid w:val="0017168C"/>
    <w:rsid w:val="001716A3"/>
    <w:rsid w:val="001716E0"/>
    <w:rsid w:val="00171881"/>
    <w:rsid w:val="0017188D"/>
    <w:rsid w:val="0017199B"/>
    <w:rsid w:val="001719B3"/>
    <w:rsid w:val="00171AD4"/>
    <w:rsid w:val="00171B92"/>
    <w:rsid w:val="00171C0F"/>
    <w:rsid w:val="00171D91"/>
    <w:rsid w:val="00171DBF"/>
    <w:rsid w:val="00171DF4"/>
    <w:rsid w:val="00171E7A"/>
    <w:rsid w:val="00171F4A"/>
    <w:rsid w:val="00171FDF"/>
    <w:rsid w:val="0017211A"/>
    <w:rsid w:val="0017225F"/>
    <w:rsid w:val="00172285"/>
    <w:rsid w:val="001722FB"/>
    <w:rsid w:val="00172475"/>
    <w:rsid w:val="001724F0"/>
    <w:rsid w:val="001725E9"/>
    <w:rsid w:val="00172606"/>
    <w:rsid w:val="0017267A"/>
    <w:rsid w:val="001726D6"/>
    <w:rsid w:val="0017270D"/>
    <w:rsid w:val="00172768"/>
    <w:rsid w:val="001727B1"/>
    <w:rsid w:val="00172828"/>
    <w:rsid w:val="001728B6"/>
    <w:rsid w:val="00172911"/>
    <w:rsid w:val="00172919"/>
    <w:rsid w:val="0017298A"/>
    <w:rsid w:val="0017298E"/>
    <w:rsid w:val="00172991"/>
    <w:rsid w:val="00172A08"/>
    <w:rsid w:val="00172B16"/>
    <w:rsid w:val="00172B4B"/>
    <w:rsid w:val="00172B89"/>
    <w:rsid w:val="00172E20"/>
    <w:rsid w:val="00172F8D"/>
    <w:rsid w:val="00172F93"/>
    <w:rsid w:val="00172FBE"/>
    <w:rsid w:val="001730E5"/>
    <w:rsid w:val="00173225"/>
    <w:rsid w:val="001732F3"/>
    <w:rsid w:val="00173363"/>
    <w:rsid w:val="0017336C"/>
    <w:rsid w:val="00173380"/>
    <w:rsid w:val="001733A7"/>
    <w:rsid w:val="00173445"/>
    <w:rsid w:val="00173583"/>
    <w:rsid w:val="001735F0"/>
    <w:rsid w:val="001736AB"/>
    <w:rsid w:val="001737B9"/>
    <w:rsid w:val="00173877"/>
    <w:rsid w:val="001738FC"/>
    <w:rsid w:val="0017398B"/>
    <w:rsid w:val="001739A6"/>
    <w:rsid w:val="001739E0"/>
    <w:rsid w:val="00173A06"/>
    <w:rsid w:val="00173A49"/>
    <w:rsid w:val="00173AF9"/>
    <w:rsid w:val="00173B13"/>
    <w:rsid w:val="00173BCA"/>
    <w:rsid w:val="00173C0B"/>
    <w:rsid w:val="00173C35"/>
    <w:rsid w:val="00173CBE"/>
    <w:rsid w:val="00173CEB"/>
    <w:rsid w:val="00173D2C"/>
    <w:rsid w:val="00173E31"/>
    <w:rsid w:val="00173E5C"/>
    <w:rsid w:val="00173E96"/>
    <w:rsid w:val="00173F9B"/>
    <w:rsid w:val="001740BE"/>
    <w:rsid w:val="001740E2"/>
    <w:rsid w:val="0017422A"/>
    <w:rsid w:val="00174263"/>
    <w:rsid w:val="001742C9"/>
    <w:rsid w:val="001742CC"/>
    <w:rsid w:val="001742DC"/>
    <w:rsid w:val="0017432D"/>
    <w:rsid w:val="0017433A"/>
    <w:rsid w:val="00174428"/>
    <w:rsid w:val="00174449"/>
    <w:rsid w:val="00174450"/>
    <w:rsid w:val="0017448F"/>
    <w:rsid w:val="0017453B"/>
    <w:rsid w:val="00174574"/>
    <w:rsid w:val="001745C3"/>
    <w:rsid w:val="001746A9"/>
    <w:rsid w:val="001746D8"/>
    <w:rsid w:val="001747D0"/>
    <w:rsid w:val="00174827"/>
    <w:rsid w:val="00174868"/>
    <w:rsid w:val="00174A1A"/>
    <w:rsid w:val="00174A6E"/>
    <w:rsid w:val="00174AA9"/>
    <w:rsid w:val="00174B39"/>
    <w:rsid w:val="00174B7C"/>
    <w:rsid w:val="00174BA3"/>
    <w:rsid w:val="00174BAE"/>
    <w:rsid w:val="00174BB6"/>
    <w:rsid w:val="00174BFA"/>
    <w:rsid w:val="00174C32"/>
    <w:rsid w:val="00174CB7"/>
    <w:rsid w:val="00174D1B"/>
    <w:rsid w:val="00174DC2"/>
    <w:rsid w:val="00174DF2"/>
    <w:rsid w:val="00174F0A"/>
    <w:rsid w:val="0017506C"/>
    <w:rsid w:val="001750E0"/>
    <w:rsid w:val="00175169"/>
    <w:rsid w:val="0017517F"/>
    <w:rsid w:val="00175189"/>
    <w:rsid w:val="001751A8"/>
    <w:rsid w:val="001751F8"/>
    <w:rsid w:val="0017527C"/>
    <w:rsid w:val="0017531F"/>
    <w:rsid w:val="0017533D"/>
    <w:rsid w:val="00175429"/>
    <w:rsid w:val="001754F2"/>
    <w:rsid w:val="00175575"/>
    <w:rsid w:val="00175628"/>
    <w:rsid w:val="00175678"/>
    <w:rsid w:val="00175686"/>
    <w:rsid w:val="001756CE"/>
    <w:rsid w:val="001756ED"/>
    <w:rsid w:val="00175788"/>
    <w:rsid w:val="001758AA"/>
    <w:rsid w:val="00175959"/>
    <w:rsid w:val="001759E0"/>
    <w:rsid w:val="00175A13"/>
    <w:rsid w:val="00175A40"/>
    <w:rsid w:val="00175A99"/>
    <w:rsid w:val="00175B11"/>
    <w:rsid w:val="00175C0F"/>
    <w:rsid w:val="00175C8E"/>
    <w:rsid w:val="00175CE4"/>
    <w:rsid w:val="00175D92"/>
    <w:rsid w:val="00175FB0"/>
    <w:rsid w:val="00176059"/>
    <w:rsid w:val="00176157"/>
    <w:rsid w:val="0017617E"/>
    <w:rsid w:val="00176226"/>
    <w:rsid w:val="001762C1"/>
    <w:rsid w:val="001762CE"/>
    <w:rsid w:val="001762E6"/>
    <w:rsid w:val="0017630D"/>
    <w:rsid w:val="00176326"/>
    <w:rsid w:val="00176377"/>
    <w:rsid w:val="00176395"/>
    <w:rsid w:val="0017639F"/>
    <w:rsid w:val="001763C3"/>
    <w:rsid w:val="0017640A"/>
    <w:rsid w:val="001764E8"/>
    <w:rsid w:val="0017651F"/>
    <w:rsid w:val="00176647"/>
    <w:rsid w:val="0017672B"/>
    <w:rsid w:val="0017674E"/>
    <w:rsid w:val="00176858"/>
    <w:rsid w:val="001768A6"/>
    <w:rsid w:val="001768F7"/>
    <w:rsid w:val="0017691B"/>
    <w:rsid w:val="00176946"/>
    <w:rsid w:val="00176A06"/>
    <w:rsid w:val="00176A44"/>
    <w:rsid w:val="00176A4D"/>
    <w:rsid w:val="00176A4E"/>
    <w:rsid w:val="00176ADB"/>
    <w:rsid w:val="00176AEF"/>
    <w:rsid w:val="00176B40"/>
    <w:rsid w:val="00176B42"/>
    <w:rsid w:val="00176BA1"/>
    <w:rsid w:val="00176C9E"/>
    <w:rsid w:val="00176CE7"/>
    <w:rsid w:val="00176DB2"/>
    <w:rsid w:val="00176DBF"/>
    <w:rsid w:val="00176DD9"/>
    <w:rsid w:val="00176E80"/>
    <w:rsid w:val="00176EED"/>
    <w:rsid w:val="00176FE0"/>
    <w:rsid w:val="00177034"/>
    <w:rsid w:val="0017709E"/>
    <w:rsid w:val="00177172"/>
    <w:rsid w:val="00177199"/>
    <w:rsid w:val="001771C9"/>
    <w:rsid w:val="00177350"/>
    <w:rsid w:val="00177424"/>
    <w:rsid w:val="001774CC"/>
    <w:rsid w:val="001774DD"/>
    <w:rsid w:val="001774F3"/>
    <w:rsid w:val="00177538"/>
    <w:rsid w:val="00177546"/>
    <w:rsid w:val="001775CF"/>
    <w:rsid w:val="00177733"/>
    <w:rsid w:val="0017777E"/>
    <w:rsid w:val="001777B8"/>
    <w:rsid w:val="001777FA"/>
    <w:rsid w:val="0017785C"/>
    <w:rsid w:val="001778E6"/>
    <w:rsid w:val="001778EA"/>
    <w:rsid w:val="00177911"/>
    <w:rsid w:val="001779C8"/>
    <w:rsid w:val="00177A07"/>
    <w:rsid w:val="00177A0D"/>
    <w:rsid w:val="00177B8D"/>
    <w:rsid w:val="00177BFA"/>
    <w:rsid w:val="00177CB1"/>
    <w:rsid w:val="00177CDC"/>
    <w:rsid w:val="00177DC7"/>
    <w:rsid w:val="00177E2F"/>
    <w:rsid w:val="00177E95"/>
    <w:rsid w:val="00177F03"/>
    <w:rsid w:val="00177F9A"/>
    <w:rsid w:val="00177FA3"/>
    <w:rsid w:val="00180003"/>
    <w:rsid w:val="0018002F"/>
    <w:rsid w:val="0018006A"/>
    <w:rsid w:val="00180087"/>
    <w:rsid w:val="001800BC"/>
    <w:rsid w:val="00180122"/>
    <w:rsid w:val="00180140"/>
    <w:rsid w:val="00180159"/>
    <w:rsid w:val="001801DF"/>
    <w:rsid w:val="00180200"/>
    <w:rsid w:val="0018030B"/>
    <w:rsid w:val="00180316"/>
    <w:rsid w:val="00180355"/>
    <w:rsid w:val="00180414"/>
    <w:rsid w:val="001804FA"/>
    <w:rsid w:val="001805AF"/>
    <w:rsid w:val="001805E1"/>
    <w:rsid w:val="001805FD"/>
    <w:rsid w:val="00180662"/>
    <w:rsid w:val="00180664"/>
    <w:rsid w:val="00180753"/>
    <w:rsid w:val="0018076B"/>
    <w:rsid w:val="001807FB"/>
    <w:rsid w:val="00180816"/>
    <w:rsid w:val="0018084F"/>
    <w:rsid w:val="00180912"/>
    <w:rsid w:val="0018094A"/>
    <w:rsid w:val="0018094E"/>
    <w:rsid w:val="00180980"/>
    <w:rsid w:val="00180990"/>
    <w:rsid w:val="00180995"/>
    <w:rsid w:val="001809AF"/>
    <w:rsid w:val="00180B04"/>
    <w:rsid w:val="00180B19"/>
    <w:rsid w:val="00180B33"/>
    <w:rsid w:val="00180B8B"/>
    <w:rsid w:val="00180BFC"/>
    <w:rsid w:val="00180C73"/>
    <w:rsid w:val="00180D15"/>
    <w:rsid w:val="00180D62"/>
    <w:rsid w:val="00180D65"/>
    <w:rsid w:val="00180E46"/>
    <w:rsid w:val="00180E6F"/>
    <w:rsid w:val="00180E96"/>
    <w:rsid w:val="00180FD1"/>
    <w:rsid w:val="00181064"/>
    <w:rsid w:val="0018113C"/>
    <w:rsid w:val="0018115C"/>
    <w:rsid w:val="00181229"/>
    <w:rsid w:val="001812A1"/>
    <w:rsid w:val="00181329"/>
    <w:rsid w:val="001813AF"/>
    <w:rsid w:val="00181415"/>
    <w:rsid w:val="00181469"/>
    <w:rsid w:val="001814DE"/>
    <w:rsid w:val="0018150D"/>
    <w:rsid w:val="00181649"/>
    <w:rsid w:val="001816BA"/>
    <w:rsid w:val="001816FA"/>
    <w:rsid w:val="00181895"/>
    <w:rsid w:val="00181A97"/>
    <w:rsid w:val="00181A9F"/>
    <w:rsid w:val="00181AC5"/>
    <w:rsid w:val="00181AC8"/>
    <w:rsid w:val="00181AD9"/>
    <w:rsid w:val="00181AF6"/>
    <w:rsid w:val="00181B7E"/>
    <w:rsid w:val="00181B93"/>
    <w:rsid w:val="00181CCE"/>
    <w:rsid w:val="00181D16"/>
    <w:rsid w:val="00181D61"/>
    <w:rsid w:val="0018209F"/>
    <w:rsid w:val="001820FC"/>
    <w:rsid w:val="00182121"/>
    <w:rsid w:val="00182133"/>
    <w:rsid w:val="0018214A"/>
    <w:rsid w:val="00182209"/>
    <w:rsid w:val="0018222F"/>
    <w:rsid w:val="00182292"/>
    <w:rsid w:val="001822A7"/>
    <w:rsid w:val="00182353"/>
    <w:rsid w:val="001823B7"/>
    <w:rsid w:val="00182406"/>
    <w:rsid w:val="0018248B"/>
    <w:rsid w:val="001824F8"/>
    <w:rsid w:val="0018255D"/>
    <w:rsid w:val="00182594"/>
    <w:rsid w:val="00182630"/>
    <w:rsid w:val="00182852"/>
    <w:rsid w:val="001828B4"/>
    <w:rsid w:val="00182911"/>
    <w:rsid w:val="00182982"/>
    <w:rsid w:val="001829AF"/>
    <w:rsid w:val="00182A0B"/>
    <w:rsid w:val="00182A1C"/>
    <w:rsid w:val="00182B51"/>
    <w:rsid w:val="00182C3C"/>
    <w:rsid w:val="00182C96"/>
    <w:rsid w:val="00182CDB"/>
    <w:rsid w:val="00182D83"/>
    <w:rsid w:val="00182E4C"/>
    <w:rsid w:val="00182E88"/>
    <w:rsid w:val="00182EAC"/>
    <w:rsid w:val="00182F29"/>
    <w:rsid w:val="00182F4F"/>
    <w:rsid w:val="00182F9B"/>
    <w:rsid w:val="00182FF6"/>
    <w:rsid w:val="00182FF7"/>
    <w:rsid w:val="00183225"/>
    <w:rsid w:val="0018322B"/>
    <w:rsid w:val="001832BE"/>
    <w:rsid w:val="001832CE"/>
    <w:rsid w:val="0018331B"/>
    <w:rsid w:val="00183368"/>
    <w:rsid w:val="00183375"/>
    <w:rsid w:val="00183405"/>
    <w:rsid w:val="0018342D"/>
    <w:rsid w:val="0018344E"/>
    <w:rsid w:val="00183551"/>
    <w:rsid w:val="001835D2"/>
    <w:rsid w:val="001835F5"/>
    <w:rsid w:val="0018360C"/>
    <w:rsid w:val="0018365D"/>
    <w:rsid w:val="00183667"/>
    <w:rsid w:val="00183760"/>
    <w:rsid w:val="001837AF"/>
    <w:rsid w:val="00183907"/>
    <w:rsid w:val="00183A93"/>
    <w:rsid w:val="00183B08"/>
    <w:rsid w:val="00183B5B"/>
    <w:rsid w:val="00183C54"/>
    <w:rsid w:val="00183CD6"/>
    <w:rsid w:val="00183D14"/>
    <w:rsid w:val="00183D92"/>
    <w:rsid w:val="00183DDA"/>
    <w:rsid w:val="00183DDD"/>
    <w:rsid w:val="00183F25"/>
    <w:rsid w:val="00183F61"/>
    <w:rsid w:val="00184015"/>
    <w:rsid w:val="0018401A"/>
    <w:rsid w:val="00184061"/>
    <w:rsid w:val="00184113"/>
    <w:rsid w:val="0018421A"/>
    <w:rsid w:val="0018423C"/>
    <w:rsid w:val="0018425F"/>
    <w:rsid w:val="00184363"/>
    <w:rsid w:val="001843F7"/>
    <w:rsid w:val="0018453E"/>
    <w:rsid w:val="001845AA"/>
    <w:rsid w:val="0018460D"/>
    <w:rsid w:val="00184682"/>
    <w:rsid w:val="00184694"/>
    <w:rsid w:val="001846C1"/>
    <w:rsid w:val="001846DB"/>
    <w:rsid w:val="001847EA"/>
    <w:rsid w:val="0018483F"/>
    <w:rsid w:val="00184843"/>
    <w:rsid w:val="00184ACF"/>
    <w:rsid w:val="00184B2D"/>
    <w:rsid w:val="00184B3A"/>
    <w:rsid w:val="00184C9A"/>
    <w:rsid w:val="00184CC7"/>
    <w:rsid w:val="00184CCE"/>
    <w:rsid w:val="00184CEE"/>
    <w:rsid w:val="00184E8A"/>
    <w:rsid w:val="00184EBC"/>
    <w:rsid w:val="00184F1B"/>
    <w:rsid w:val="00184F23"/>
    <w:rsid w:val="00185079"/>
    <w:rsid w:val="00185249"/>
    <w:rsid w:val="00185283"/>
    <w:rsid w:val="001852E6"/>
    <w:rsid w:val="001852F5"/>
    <w:rsid w:val="00185318"/>
    <w:rsid w:val="0018534A"/>
    <w:rsid w:val="0018535F"/>
    <w:rsid w:val="001853D9"/>
    <w:rsid w:val="001853E5"/>
    <w:rsid w:val="00185428"/>
    <w:rsid w:val="00185460"/>
    <w:rsid w:val="0018546C"/>
    <w:rsid w:val="00185481"/>
    <w:rsid w:val="00185491"/>
    <w:rsid w:val="001854BB"/>
    <w:rsid w:val="00185505"/>
    <w:rsid w:val="0018565B"/>
    <w:rsid w:val="0018572D"/>
    <w:rsid w:val="00185742"/>
    <w:rsid w:val="00185765"/>
    <w:rsid w:val="001858C4"/>
    <w:rsid w:val="0018592F"/>
    <w:rsid w:val="00185A20"/>
    <w:rsid w:val="00185A4C"/>
    <w:rsid w:val="00185B12"/>
    <w:rsid w:val="00185C41"/>
    <w:rsid w:val="00185D05"/>
    <w:rsid w:val="00185D0B"/>
    <w:rsid w:val="00185D1B"/>
    <w:rsid w:val="00185DD1"/>
    <w:rsid w:val="00185DE3"/>
    <w:rsid w:val="00185DFD"/>
    <w:rsid w:val="00185E10"/>
    <w:rsid w:val="00185E50"/>
    <w:rsid w:val="00185E73"/>
    <w:rsid w:val="00185E74"/>
    <w:rsid w:val="00185E8D"/>
    <w:rsid w:val="00185F08"/>
    <w:rsid w:val="00185F17"/>
    <w:rsid w:val="00185F96"/>
    <w:rsid w:val="00185FA8"/>
    <w:rsid w:val="00185FBA"/>
    <w:rsid w:val="00185FC1"/>
    <w:rsid w:val="001862BC"/>
    <w:rsid w:val="001862E6"/>
    <w:rsid w:val="001863BB"/>
    <w:rsid w:val="00186664"/>
    <w:rsid w:val="001867D0"/>
    <w:rsid w:val="001867DA"/>
    <w:rsid w:val="00186850"/>
    <w:rsid w:val="001868E2"/>
    <w:rsid w:val="001868EB"/>
    <w:rsid w:val="0018699A"/>
    <w:rsid w:val="001869DA"/>
    <w:rsid w:val="001869ED"/>
    <w:rsid w:val="00186B7A"/>
    <w:rsid w:val="00186C3D"/>
    <w:rsid w:val="00186C74"/>
    <w:rsid w:val="00186C86"/>
    <w:rsid w:val="00186CB0"/>
    <w:rsid w:val="00186D5B"/>
    <w:rsid w:val="00186D84"/>
    <w:rsid w:val="00186DA8"/>
    <w:rsid w:val="00186E33"/>
    <w:rsid w:val="00186E4A"/>
    <w:rsid w:val="00186F4A"/>
    <w:rsid w:val="00186FDA"/>
    <w:rsid w:val="00187140"/>
    <w:rsid w:val="0018721F"/>
    <w:rsid w:val="0018722C"/>
    <w:rsid w:val="0018730F"/>
    <w:rsid w:val="00187332"/>
    <w:rsid w:val="001873F3"/>
    <w:rsid w:val="0018747A"/>
    <w:rsid w:val="00187641"/>
    <w:rsid w:val="0018768A"/>
    <w:rsid w:val="00187835"/>
    <w:rsid w:val="0018794B"/>
    <w:rsid w:val="0018795C"/>
    <w:rsid w:val="00187993"/>
    <w:rsid w:val="001879D8"/>
    <w:rsid w:val="00187A1C"/>
    <w:rsid w:val="00187C33"/>
    <w:rsid w:val="00187C73"/>
    <w:rsid w:val="00187C99"/>
    <w:rsid w:val="00187CFB"/>
    <w:rsid w:val="00187D3A"/>
    <w:rsid w:val="00187D45"/>
    <w:rsid w:val="00187E6D"/>
    <w:rsid w:val="00187F08"/>
    <w:rsid w:val="00187F7C"/>
    <w:rsid w:val="00187FDA"/>
    <w:rsid w:val="00190156"/>
    <w:rsid w:val="001901DD"/>
    <w:rsid w:val="001901F9"/>
    <w:rsid w:val="00190289"/>
    <w:rsid w:val="001903AC"/>
    <w:rsid w:val="001903D6"/>
    <w:rsid w:val="00190454"/>
    <w:rsid w:val="001904EB"/>
    <w:rsid w:val="001905CF"/>
    <w:rsid w:val="00190649"/>
    <w:rsid w:val="00190663"/>
    <w:rsid w:val="00190773"/>
    <w:rsid w:val="00190795"/>
    <w:rsid w:val="00190833"/>
    <w:rsid w:val="00190854"/>
    <w:rsid w:val="001908DE"/>
    <w:rsid w:val="0019093C"/>
    <w:rsid w:val="00190979"/>
    <w:rsid w:val="00190982"/>
    <w:rsid w:val="001909D2"/>
    <w:rsid w:val="00190C57"/>
    <w:rsid w:val="00190CB2"/>
    <w:rsid w:val="00190DE8"/>
    <w:rsid w:val="00190E08"/>
    <w:rsid w:val="00190E2F"/>
    <w:rsid w:val="00190E43"/>
    <w:rsid w:val="00190E7E"/>
    <w:rsid w:val="00190E9B"/>
    <w:rsid w:val="00191009"/>
    <w:rsid w:val="00191099"/>
    <w:rsid w:val="0019110A"/>
    <w:rsid w:val="00191177"/>
    <w:rsid w:val="00191191"/>
    <w:rsid w:val="0019119F"/>
    <w:rsid w:val="00191218"/>
    <w:rsid w:val="00191260"/>
    <w:rsid w:val="00191302"/>
    <w:rsid w:val="00191348"/>
    <w:rsid w:val="00191406"/>
    <w:rsid w:val="0019162E"/>
    <w:rsid w:val="00191684"/>
    <w:rsid w:val="0019179D"/>
    <w:rsid w:val="00191988"/>
    <w:rsid w:val="0019198B"/>
    <w:rsid w:val="001919A2"/>
    <w:rsid w:val="001919C4"/>
    <w:rsid w:val="00191A30"/>
    <w:rsid w:val="00191A32"/>
    <w:rsid w:val="00191AC6"/>
    <w:rsid w:val="00191AE2"/>
    <w:rsid w:val="00191CB0"/>
    <w:rsid w:val="00191CF0"/>
    <w:rsid w:val="00191D2F"/>
    <w:rsid w:val="00191D30"/>
    <w:rsid w:val="00191D33"/>
    <w:rsid w:val="00191E19"/>
    <w:rsid w:val="00191EB2"/>
    <w:rsid w:val="00192000"/>
    <w:rsid w:val="00192108"/>
    <w:rsid w:val="00192163"/>
    <w:rsid w:val="001921E8"/>
    <w:rsid w:val="0019223B"/>
    <w:rsid w:val="0019225B"/>
    <w:rsid w:val="001922B4"/>
    <w:rsid w:val="0019233F"/>
    <w:rsid w:val="00192346"/>
    <w:rsid w:val="00192468"/>
    <w:rsid w:val="00192480"/>
    <w:rsid w:val="001924F5"/>
    <w:rsid w:val="0019254C"/>
    <w:rsid w:val="00192564"/>
    <w:rsid w:val="00192569"/>
    <w:rsid w:val="001926D1"/>
    <w:rsid w:val="001927FE"/>
    <w:rsid w:val="0019281F"/>
    <w:rsid w:val="001928D8"/>
    <w:rsid w:val="00192944"/>
    <w:rsid w:val="00192B91"/>
    <w:rsid w:val="00192BEC"/>
    <w:rsid w:val="00192C9F"/>
    <w:rsid w:val="00192CEB"/>
    <w:rsid w:val="00192DB0"/>
    <w:rsid w:val="00192DFA"/>
    <w:rsid w:val="00192E47"/>
    <w:rsid w:val="00192F37"/>
    <w:rsid w:val="00192F84"/>
    <w:rsid w:val="00192F98"/>
    <w:rsid w:val="00192FD7"/>
    <w:rsid w:val="001930A2"/>
    <w:rsid w:val="00193207"/>
    <w:rsid w:val="00193217"/>
    <w:rsid w:val="0019326B"/>
    <w:rsid w:val="001934B0"/>
    <w:rsid w:val="0019354C"/>
    <w:rsid w:val="001935A5"/>
    <w:rsid w:val="00193640"/>
    <w:rsid w:val="00193647"/>
    <w:rsid w:val="0019373E"/>
    <w:rsid w:val="00193824"/>
    <w:rsid w:val="00193904"/>
    <w:rsid w:val="00193929"/>
    <w:rsid w:val="00193A61"/>
    <w:rsid w:val="00193AC3"/>
    <w:rsid w:val="00193C60"/>
    <w:rsid w:val="00193D1C"/>
    <w:rsid w:val="00193EE9"/>
    <w:rsid w:val="00193F2F"/>
    <w:rsid w:val="00193F4B"/>
    <w:rsid w:val="00193F59"/>
    <w:rsid w:val="00193FC7"/>
    <w:rsid w:val="00193FEC"/>
    <w:rsid w:val="0019408A"/>
    <w:rsid w:val="001940B9"/>
    <w:rsid w:val="00194120"/>
    <w:rsid w:val="00194167"/>
    <w:rsid w:val="001941BF"/>
    <w:rsid w:val="001941DB"/>
    <w:rsid w:val="00194251"/>
    <w:rsid w:val="00194310"/>
    <w:rsid w:val="00194356"/>
    <w:rsid w:val="0019443A"/>
    <w:rsid w:val="001944C4"/>
    <w:rsid w:val="00194536"/>
    <w:rsid w:val="0019457A"/>
    <w:rsid w:val="0019459F"/>
    <w:rsid w:val="001947B0"/>
    <w:rsid w:val="0019485B"/>
    <w:rsid w:val="001948AE"/>
    <w:rsid w:val="00194A19"/>
    <w:rsid w:val="00194A1F"/>
    <w:rsid w:val="00194A4E"/>
    <w:rsid w:val="00194B1B"/>
    <w:rsid w:val="00194BCE"/>
    <w:rsid w:val="00194C49"/>
    <w:rsid w:val="00194E16"/>
    <w:rsid w:val="00194E42"/>
    <w:rsid w:val="00194ECF"/>
    <w:rsid w:val="00195007"/>
    <w:rsid w:val="00195049"/>
    <w:rsid w:val="0019508F"/>
    <w:rsid w:val="00195115"/>
    <w:rsid w:val="00195145"/>
    <w:rsid w:val="00195255"/>
    <w:rsid w:val="00195307"/>
    <w:rsid w:val="0019537A"/>
    <w:rsid w:val="0019544F"/>
    <w:rsid w:val="00195603"/>
    <w:rsid w:val="00195679"/>
    <w:rsid w:val="0019570C"/>
    <w:rsid w:val="00195803"/>
    <w:rsid w:val="001959B9"/>
    <w:rsid w:val="00195B0D"/>
    <w:rsid w:val="00195B8A"/>
    <w:rsid w:val="00195C4E"/>
    <w:rsid w:val="00195D88"/>
    <w:rsid w:val="00195E28"/>
    <w:rsid w:val="00195E5C"/>
    <w:rsid w:val="00195F7D"/>
    <w:rsid w:val="00195FB1"/>
    <w:rsid w:val="00195FF7"/>
    <w:rsid w:val="00196008"/>
    <w:rsid w:val="00196161"/>
    <w:rsid w:val="00196214"/>
    <w:rsid w:val="00196259"/>
    <w:rsid w:val="0019628B"/>
    <w:rsid w:val="00196290"/>
    <w:rsid w:val="001963F6"/>
    <w:rsid w:val="00196403"/>
    <w:rsid w:val="00196406"/>
    <w:rsid w:val="00196408"/>
    <w:rsid w:val="00196471"/>
    <w:rsid w:val="0019653D"/>
    <w:rsid w:val="00196631"/>
    <w:rsid w:val="00196639"/>
    <w:rsid w:val="001966FB"/>
    <w:rsid w:val="00196732"/>
    <w:rsid w:val="00196835"/>
    <w:rsid w:val="00196869"/>
    <w:rsid w:val="001968B2"/>
    <w:rsid w:val="001968E8"/>
    <w:rsid w:val="00196932"/>
    <w:rsid w:val="0019694A"/>
    <w:rsid w:val="0019696F"/>
    <w:rsid w:val="00196A16"/>
    <w:rsid w:val="00196D2D"/>
    <w:rsid w:val="00196D3B"/>
    <w:rsid w:val="00196DED"/>
    <w:rsid w:val="00196DF8"/>
    <w:rsid w:val="00196E12"/>
    <w:rsid w:val="00196E42"/>
    <w:rsid w:val="00196E5D"/>
    <w:rsid w:val="00196ED5"/>
    <w:rsid w:val="00196EFC"/>
    <w:rsid w:val="00196F7B"/>
    <w:rsid w:val="00197046"/>
    <w:rsid w:val="00197132"/>
    <w:rsid w:val="0019716D"/>
    <w:rsid w:val="0019718C"/>
    <w:rsid w:val="0019719B"/>
    <w:rsid w:val="0019719F"/>
    <w:rsid w:val="0019724C"/>
    <w:rsid w:val="001972A5"/>
    <w:rsid w:val="0019742F"/>
    <w:rsid w:val="001974A8"/>
    <w:rsid w:val="00197536"/>
    <w:rsid w:val="00197571"/>
    <w:rsid w:val="00197723"/>
    <w:rsid w:val="00197726"/>
    <w:rsid w:val="00197739"/>
    <w:rsid w:val="0019773A"/>
    <w:rsid w:val="0019775F"/>
    <w:rsid w:val="001977CC"/>
    <w:rsid w:val="00197861"/>
    <w:rsid w:val="0019792D"/>
    <w:rsid w:val="001979FA"/>
    <w:rsid w:val="00197A5A"/>
    <w:rsid w:val="00197AA0"/>
    <w:rsid w:val="00197B61"/>
    <w:rsid w:val="00197B7E"/>
    <w:rsid w:val="00197BA4"/>
    <w:rsid w:val="00197BB7"/>
    <w:rsid w:val="00197BE9"/>
    <w:rsid w:val="00197C1D"/>
    <w:rsid w:val="00197CBA"/>
    <w:rsid w:val="00197D65"/>
    <w:rsid w:val="00197D82"/>
    <w:rsid w:val="00197D8D"/>
    <w:rsid w:val="00197DDC"/>
    <w:rsid w:val="00197EC9"/>
    <w:rsid w:val="00197EED"/>
    <w:rsid w:val="00197FCE"/>
    <w:rsid w:val="001A001A"/>
    <w:rsid w:val="001A00A5"/>
    <w:rsid w:val="001A0208"/>
    <w:rsid w:val="001A0245"/>
    <w:rsid w:val="001A025E"/>
    <w:rsid w:val="001A03B7"/>
    <w:rsid w:val="001A03FC"/>
    <w:rsid w:val="001A04E9"/>
    <w:rsid w:val="001A0697"/>
    <w:rsid w:val="001A0786"/>
    <w:rsid w:val="001A08C0"/>
    <w:rsid w:val="001A08E7"/>
    <w:rsid w:val="001A08F1"/>
    <w:rsid w:val="001A0938"/>
    <w:rsid w:val="001A0939"/>
    <w:rsid w:val="001A099B"/>
    <w:rsid w:val="001A09CE"/>
    <w:rsid w:val="001A0B25"/>
    <w:rsid w:val="001A0B66"/>
    <w:rsid w:val="001A0BDC"/>
    <w:rsid w:val="001A0C61"/>
    <w:rsid w:val="001A0D71"/>
    <w:rsid w:val="001A0E8A"/>
    <w:rsid w:val="001A0EDC"/>
    <w:rsid w:val="001A0F02"/>
    <w:rsid w:val="001A0F45"/>
    <w:rsid w:val="001A0FD6"/>
    <w:rsid w:val="001A0FEF"/>
    <w:rsid w:val="001A10A6"/>
    <w:rsid w:val="001A10EE"/>
    <w:rsid w:val="001A1133"/>
    <w:rsid w:val="001A1144"/>
    <w:rsid w:val="001A1151"/>
    <w:rsid w:val="001A117D"/>
    <w:rsid w:val="001A1222"/>
    <w:rsid w:val="001A128D"/>
    <w:rsid w:val="001A134A"/>
    <w:rsid w:val="001A138C"/>
    <w:rsid w:val="001A13B2"/>
    <w:rsid w:val="001A1445"/>
    <w:rsid w:val="001A1447"/>
    <w:rsid w:val="001A1544"/>
    <w:rsid w:val="001A15C3"/>
    <w:rsid w:val="001A15C8"/>
    <w:rsid w:val="001A1615"/>
    <w:rsid w:val="001A16AF"/>
    <w:rsid w:val="001A1A09"/>
    <w:rsid w:val="001A1A0E"/>
    <w:rsid w:val="001A1A4B"/>
    <w:rsid w:val="001A1A91"/>
    <w:rsid w:val="001A1B49"/>
    <w:rsid w:val="001A1BCA"/>
    <w:rsid w:val="001A1C23"/>
    <w:rsid w:val="001A1C27"/>
    <w:rsid w:val="001A1E95"/>
    <w:rsid w:val="001A1F92"/>
    <w:rsid w:val="001A204F"/>
    <w:rsid w:val="001A20A5"/>
    <w:rsid w:val="001A20C3"/>
    <w:rsid w:val="001A210A"/>
    <w:rsid w:val="001A2145"/>
    <w:rsid w:val="001A220D"/>
    <w:rsid w:val="001A222E"/>
    <w:rsid w:val="001A2332"/>
    <w:rsid w:val="001A23B1"/>
    <w:rsid w:val="001A2429"/>
    <w:rsid w:val="001A242E"/>
    <w:rsid w:val="001A24B3"/>
    <w:rsid w:val="001A2506"/>
    <w:rsid w:val="001A2722"/>
    <w:rsid w:val="001A273D"/>
    <w:rsid w:val="001A27EB"/>
    <w:rsid w:val="001A288B"/>
    <w:rsid w:val="001A28AD"/>
    <w:rsid w:val="001A2903"/>
    <w:rsid w:val="001A2973"/>
    <w:rsid w:val="001A29A3"/>
    <w:rsid w:val="001A29AD"/>
    <w:rsid w:val="001A29FD"/>
    <w:rsid w:val="001A2A04"/>
    <w:rsid w:val="001A2ABE"/>
    <w:rsid w:val="001A2B02"/>
    <w:rsid w:val="001A2C8C"/>
    <w:rsid w:val="001A2D7B"/>
    <w:rsid w:val="001A2DA2"/>
    <w:rsid w:val="001A2DCB"/>
    <w:rsid w:val="001A2E40"/>
    <w:rsid w:val="001A30AA"/>
    <w:rsid w:val="001A30B4"/>
    <w:rsid w:val="001A3122"/>
    <w:rsid w:val="001A3132"/>
    <w:rsid w:val="001A31BE"/>
    <w:rsid w:val="001A31D5"/>
    <w:rsid w:val="001A3438"/>
    <w:rsid w:val="001A3480"/>
    <w:rsid w:val="001A34A6"/>
    <w:rsid w:val="001A34BC"/>
    <w:rsid w:val="001A3553"/>
    <w:rsid w:val="001A3689"/>
    <w:rsid w:val="001A36AA"/>
    <w:rsid w:val="001A370D"/>
    <w:rsid w:val="001A3901"/>
    <w:rsid w:val="001A3965"/>
    <w:rsid w:val="001A3A2F"/>
    <w:rsid w:val="001A3A47"/>
    <w:rsid w:val="001A3A70"/>
    <w:rsid w:val="001A3AAD"/>
    <w:rsid w:val="001A3B03"/>
    <w:rsid w:val="001A3B75"/>
    <w:rsid w:val="001A3C06"/>
    <w:rsid w:val="001A3C87"/>
    <w:rsid w:val="001A3CCC"/>
    <w:rsid w:val="001A3D19"/>
    <w:rsid w:val="001A3D31"/>
    <w:rsid w:val="001A3DB5"/>
    <w:rsid w:val="001A3DC2"/>
    <w:rsid w:val="001A3DFF"/>
    <w:rsid w:val="001A3E36"/>
    <w:rsid w:val="001A4048"/>
    <w:rsid w:val="001A40FE"/>
    <w:rsid w:val="001A42C2"/>
    <w:rsid w:val="001A42D4"/>
    <w:rsid w:val="001A44ED"/>
    <w:rsid w:val="001A450A"/>
    <w:rsid w:val="001A4676"/>
    <w:rsid w:val="001A4742"/>
    <w:rsid w:val="001A4A1F"/>
    <w:rsid w:val="001A4ABB"/>
    <w:rsid w:val="001A4B7F"/>
    <w:rsid w:val="001A4C8B"/>
    <w:rsid w:val="001A4CDB"/>
    <w:rsid w:val="001A4CEF"/>
    <w:rsid w:val="001A4D32"/>
    <w:rsid w:val="001A4D8B"/>
    <w:rsid w:val="001A4DBE"/>
    <w:rsid w:val="001A4F04"/>
    <w:rsid w:val="001A4F1C"/>
    <w:rsid w:val="001A4FEA"/>
    <w:rsid w:val="001A4FF0"/>
    <w:rsid w:val="001A501C"/>
    <w:rsid w:val="001A513D"/>
    <w:rsid w:val="001A5172"/>
    <w:rsid w:val="001A5197"/>
    <w:rsid w:val="001A51DF"/>
    <w:rsid w:val="001A522F"/>
    <w:rsid w:val="001A52FD"/>
    <w:rsid w:val="001A538B"/>
    <w:rsid w:val="001A53CF"/>
    <w:rsid w:val="001A541B"/>
    <w:rsid w:val="001A55A5"/>
    <w:rsid w:val="001A55E7"/>
    <w:rsid w:val="001A5656"/>
    <w:rsid w:val="001A56A3"/>
    <w:rsid w:val="001A56EC"/>
    <w:rsid w:val="001A57D2"/>
    <w:rsid w:val="001A57F0"/>
    <w:rsid w:val="001A59E0"/>
    <w:rsid w:val="001A59F1"/>
    <w:rsid w:val="001A5A07"/>
    <w:rsid w:val="001A5A82"/>
    <w:rsid w:val="001A5A85"/>
    <w:rsid w:val="001A5AA6"/>
    <w:rsid w:val="001A5B19"/>
    <w:rsid w:val="001A5B5D"/>
    <w:rsid w:val="001A5C37"/>
    <w:rsid w:val="001A5C55"/>
    <w:rsid w:val="001A5C71"/>
    <w:rsid w:val="001A5C90"/>
    <w:rsid w:val="001A5C9F"/>
    <w:rsid w:val="001A5CCF"/>
    <w:rsid w:val="001A5DB1"/>
    <w:rsid w:val="001A5DCF"/>
    <w:rsid w:val="001A5E49"/>
    <w:rsid w:val="001A5E63"/>
    <w:rsid w:val="001A5E75"/>
    <w:rsid w:val="001A5E7D"/>
    <w:rsid w:val="001A5E83"/>
    <w:rsid w:val="001A5EBC"/>
    <w:rsid w:val="001A5EE0"/>
    <w:rsid w:val="001A603A"/>
    <w:rsid w:val="001A607F"/>
    <w:rsid w:val="001A60FF"/>
    <w:rsid w:val="001A610C"/>
    <w:rsid w:val="001A61D0"/>
    <w:rsid w:val="001A61D3"/>
    <w:rsid w:val="001A61DE"/>
    <w:rsid w:val="001A6224"/>
    <w:rsid w:val="001A636E"/>
    <w:rsid w:val="001A6381"/>
    <w:rsid w:val="001A63DD"/>
    <w:rsid w:val="001A6472"/>
    <w:rsid w:val="001A6577"/>
    <w:rsid w:val="001A67B5"/>
    <w:rsid w:val="001A6804"/>
    <w:rsid w:val="001A6873"/>
    <w:rsid w:val="001A693D"/>
    <w:rsid w:val="001A69AC"/>
    <w:rsid w:val="001A6A6D"/>
    <w:rsid w:val="001A6A7A"/>
    <w:rsid w:val="001A6A87"/>
    <w:rsid w:val="001A6AB3"/>
    <w:rsid w:val="001A6B29"/>
    <w:rsid w:val="001A6B7B"/>
    <w:rsid w:val="001A6BD3"/>
    <w:rsid w:val="001A6C7A"/>
    <w:rsid w:val="001A6E62"/>
    <w:rsid w:val="001A6F02"/>
    <w:rsid w:val="001A6F43"/>
    <w:rsid w:val="001A70B9"/>
    <w:rsid w:val="001A7162"/>
    <w:rsid w:val="001A71F6"/>
    <w:rsid w:val="001A7250"/>
    <w:rsid w:val="001A7252"/>
    <w:rsid w:val="001A72AC"/>
    <w:rsid w:val="001A72CD"/>
    <w:rsid w:val="001A72F4"/>
    <w:rsid w:val="001A72FE"/>
    <w:rsid w:val="001A7333"/>
    <w:rsid w:val="001A7381"/>
    <w:rsid w:val="001A738E"/>
    <w:rsid w:val="001A744B"/>
    <w:rsid w:val="001A748B"/>
    <w:rsid w:val="001A74A4"/>
    <w:rsid w:val="001A74DC"/>
    <w:rsid w:val="001A755B"/>
    <w:rsid w:val="001A757A"/>
    <w:rsid w:val="001A75BC"/>
    <w:rsid w:val="001A75E7"/>
    <w:rsid w:val="001A7656"/>
    <w:rsid w:val="001A7688"/>
    <w:rsid w:val="001A7689"/>
    <w:rsid w:val="001A775E"/>
    <w:rsid w:val="001A78AE"/>
    <w:rsid w:val="001A78BC"/>
    <w:rsid w:val="001A79F4"/>
    <w:rsid w:val="001A7AEB"/>
    <w:rsid w:val="001A7B11"/>
    <w:rsid w:val="001A7DF7"/>
    <w:rsid w:val="001A7E14"/>
    <w:rsid w:val="001A7E21"/>
    <w:rsid w:val="001A7F03"/>
    <w:rsid w:val="001B010E"/>
    <w:rsid w:val="001B0196"/>
    <w:rsid w:val="001B01FF"/>
    <w:rsid w:val="001B02FC"/>
    <w:rsid w:val="001B0489"/>
    <w:rsid w:val="001B04CA"/>
    <w:rsid w:val="001B054F"/>
    <w:rsid w:val="001B05EA"/>
    <w:rsid w:val="001B063E"/>
    <w:rsid w:val="001B0695"/>
    <w:rsid w:val="001B06DC"/>
    <w:rsid w:val="001B07A2"/>
    <w:rsid w:val="001B08D9"/>
    <w:rsid w:val="001B09ED"/>
    <w:rsid w:val="001B0A58"/>
    <w:rsid w:val="001B0A62"/>
    <w:rsid w:val="001B0A87"/>
    <w:rsid w:val="001B0BE1"/>
    <w:rsid w:val="001B0D70"/>
    <w:rsid w:val="001B0DC9"/>
    <w:rsid w:val="001B0E27"/>
    <w:rsid w:val="001B0FC9"/>
    <w:rsid w:val="001B107E"/>
    <w:rsid w:val="001B10E9"/>
    <w:rsid w:val="001B1159"/>
    <w:rsid w:val="001B1160"/>
    <w:rsid w:val="001B11A2"/>
    <w:rsid w:val="001B12CB"/>
    <w:rsid w:val="001B141E"/>
    <w:rsid w:val="001B14E0"/>
    <w:rsid w:val="001B1530"/>
    <w:rsid w:val="001B15AE"/>
    <w:rsid w:val="001B15C0"/>
    <w:rsid w:val="001B160C"/>
    <w:rsid w:val="001B16AD"/>
    <w:rsid w:val="001B16CA"/>
    <w:rsid w:val="001B16D4"/>
    <w:rsid w:val="001B1740"/>
    <w:rsid w:val="001B1743"/>
    <w:rsid w:val="001B17B1"/>
    <w:rsid w:val="001B18A8"/>
    <w:rsid w:val="001B1917"/>
    <w:rsid w:val="001B1A46"/>
    <w:rsid w:val="001B1A7D"/>
    <w:rsid w:val="001B1A96"/>
    <w:rsid w:val="001B1B66"/>
    <w:rsid w:val="001B1CDF"/>
    <w:rsid w:val="001B1D04"/>
    <w:rsid w:val="001B1D90"/>
    <w:rsid w:val="001B1E3C"/>
    <w:rsid w:val="001B1F48"/>
    <w:rsid w:val="001B1F9F"/>
    <w:rsid w:val="001B2109"/>
    <w:rsid w:val="001B2136"/>
    <w:rsid w:val="001B2188"/>
    <w:rsid w:val="001B21FC"/>
    <w:rsid w:val="001B223C"/>
    <w:rsid w:val="001B2250"/>
    <w:rsid w:val="001B2293"/>
    <w:rsid w:val="001B22D6"/>
    <w:rsid w:val="001B25D5"/>
    <w:rsid w:val="001B2628"/>
    <w:rsid w:val="001B263E"/>
    <w:rsid w:val="001B269D"/>
    <w:rsid w:val="001B26C6"/>
    <w:rsid w:val="001B26DB"/>
    <w:rsid w:val="001B26DF"/>
    <w:rsid w:val="001B2703"/>
    <w:rsid w:val="001B271D"/>
    <w:rsid w:val="001B271F"/>
    <w:rsid w:val="001B2721"/>
    <w:rsid w:val="001B276F"/>
    <w:rsid w:val="001B2852"/>
    <w:rsid w:val="001B2889"/>
    <w:rsid w:val="001B295D"/>
    <w:rsid w:val="001B299A"/>
    <w:rsid w:val="001B2A13"/>
    <w:rsid w:val="001B2A28"/>
    <w:rsid w:val="001B2A93"/>
    <w:rsid w:val="001B2A9C"/>
    <w:rsid w:val="001B2B15"/>
    <w:rsid w:val="001B2B35"/>
    <w:rsid w:val="001B2B67"/>
    <w:rsid w:val="001B2BD4"/>
    <w:rsid w:val="001B2C19"/>
    <w:rsid w:val="001B2CB8"/>
    <w:rsid w:val="001B2CC2"/>
    <w:rsid w:val="001B2CE6"/>
    <w:rsid w:val="001B2D14"/>
    <w:rsid w:val="001B2E55"/>
    <w:rsid w:val="001B2EC1"/>
    <w:rsid w:val="001B2F97"/>
    <w:rsid w:val="001B309F"/>
    <w:rsid w:val="001B312E"/>
    <w:rsid w:val="001B31F9"/>
    <w:rsid w:val="001B3222"/>
    <w:rsid w:val="001B3279"/>
    <w:rsid w:val="001B3346"/>
    <w:rsid w:val="001B3397"/>
    <w:rsid w:val="001B33C4"/>
    <w:rsid w:val="001B33CF"/>
    <w:rsid w:val="001B33F4"/>
    <w:rsid w:val="001B344C"/>
    <w:rsid w:val="001B347F"/>
    <w:rsid w:val="001B350D"/>
    <w:rsid w:val="001B355D"/>
    <w:rsid w:val="001B35E6"/>
    <w:rsid w:val="001B3681"/>
    <w:rsid w:val="001B3794"/>
    <w:rsid w:val="001B37BC"/>
    <w:rsid w:val="001B3912"/>
    <w:rsid w:val="001B3947"/>
    <w:rsid w:val="001B395F"/>
    <w:rsid w:val="001B3991"/>
    <w:rsid w:val="001B39B2"/>
    <w:rsid w:val="001B39F5"/>
    <w:rsid w:val="001B3A60"/>
    <w:rsid w:val="001B3A76"/>
    <w:rsid w:val="001B3A9A"/>
    <w:rsid w:val="001B3B04"/>
    <w:rsid w:val="001B3B83"/>
    <w:rsid w:val="001B3BA8"/>
    <w:rsid w:val="001B3BEA"/>
    <w:rsid w:val="001B3CEB"/>
    <w:rsid w:val="001B3DBF"/>
    <w:rsid w:val="001B3E0E"/>
    <w:rsid w:val="001B3E9F"/>
    <w:rsid w:val="001B3EDB"/>
    <w:rsid w:val="001B3F0D"/>
    <w:rsid w:val="001B3F10"/>
    <w:rsid w:val="001B3F8F"/>
    <w:rsid w:val="001B3FBF"/>
    <w:rsid w:val="001B3FC7"/>
    <w:rsid w:val="001B4084"/>
    <w:rsid w:val="001B4109"/>
    <w:rsid w:val="001B4122"/>
    <w:rsid w:val="001B4152"/>
    <w:rsid w:val="001B41AC"/>
    <w:rsid w:val="001B41AE"/>
    <w:rsid w:val="001B423E"/>
    <w:rsid w:val="001B4293"/>
    <w:rsid w:val="001B42A5"/>
    <w:rsid w:val="001B43A7"/>
    <w:rsid w:val="001B43AF"/>
    <w:rsid w:val="001B43FC"/>
    <w:rsid w:val="001B4427"/>
    <w:rsid w:val="001B4446"/>
    <w:rsid w:val="001B4460"/>
    <w:rsid w:val="001B44C3"/>
    <w:rsid w:val="001B44D1"/>
    <w:rsid w:val="001B458F"/>
    <w:rsid w:val="001B45D3"/>
    <w:rsid w:val="001B4611"/>
    <w:rsid w:val="001B475F"/>
    <w:rsid w:val="001B47B6"/>
    <w:rsid w:val="001B4801"/>
    <w:rsid w:val="001B4904"/>
    <w:rsid w:val="001B4910"/>
    <w:rsid w:val="001B4A5C"/>
    <w:rsid w:val="001B4A67"/>
    <w:rsid w:val="001B4B09"/>
    <w:rsid w:val="001B4B48"/>
    <w:rsid w:val="001B4BDE"/>
    <w:rsid w:val="001B4BF9"/>
    <w:rsid w:val="001B4C57"/>
    <w:rsid w:val="001B4CA6"/>
    <w:rsid w:val="001B4D8D"/>
    <w:rsid w:val="001B4DBD"/>
    <w:rsid w:val="001B4EBC"/>
    <w:rsid w:val="001B4F97"/>
    <w:rsid w:val="001B5095"/>
    <w:rsid w:val="001B51A2"/>
    <w:rsid w:val="001B528B"/>
    <w:rsid w:val="001B5291"/>
    <w:rsid w:val="001B531F"/>
    <w:rsid w:val="001B53CE"/>
    <w:rsid w:val="001B540D"/>
    <w:rsid w:val="001B5446"/>
    <w:rsid w:val="001B54BD"/>
    <w:rsid w:val="001B54BE"/>
    <w:rsid w:val="001B54F6"/>
    <w:rsid w:val="001B554C"/>
    <w:rsid w:val="001B567D"/>
    <w:rsid w:val="001B56B3"/>
    <w:rsid w:val="001B56F8"/>
    <w:rsid w:val="001B57F2"/>
    <w:rsid w:val="001B5818"/>
    <w:rsid w:val="001B5828"/>
    <w:rsid w:val="001B588B"/>
    <w:rsid w:val="001B5922"/>
    <w:rsid w:val="001B5A7A"/>
    <w:rsid w:val="001B5A96"/>
    <w:rsid w:val="001B5AA9"/>
    <w:rsid w:val="001B5AC4"/>
    <w:rsid w:val="001B5AEF"/>
    <w:rsid w:val="001B5B3A"/>
    <w:rsid w:val="001B5B43"/>
    <w:rsid w:val="001B5B4B"/>
    <w:rsid w:val="001B5BF2"/>
    <w:rsid w:val="001B5BFB"/>
    <w:rsid w:val="001B5CAD"/>
    <w:rsid w:val="001B5CFB"/>
    <w:rsid w:val="001B5D38"/>
    <w:rsid w:val="001B5E35"/>
    <w:rsid w:val="001B5EE4"/>
    <w:rsid w:val="001B5FE9"/>
    <w:rsid w:val="001B5FF2"/>
    <w:rsid w:val="001B60A6"/>
    <w:rsid w:val="001B61AE"/>
    <w:rsid w:val="001B61B0"/>
    <w:rsid w:val="001B6217"/>
    <w:rsid w:val="001B62AB"/>
    <w:rsid w:val="001B62D6"/>
    <w:rsid w:val="001B63F3"/>
    <w:rsid w:val="001B6490"/>
    <w:rsid w:val="001B64C1"/>
    <w:rsid w:val="001B658A"/>
    <w:rsid w:val="001B65C3"/>
    <w:rsid w:val="001B65EC"/>
    <w:rsid w:val="001B65FA"/>
    <w:rsid w:val="001B6626"/>
    <w:rsid w:val="001B66B5"/>
    <w:rsid w:val="001B66D4"/>
    <w:rsid w:val="001B678F"/>
    <w:rsid w:val="001B67C2"/>
    <w:rsid w:val="001B6830"/>
    <w:rsid w:val="001B688E"/>
    <w:rsid w:val="001B68B6"/>
    <w:rsid w:val="001B6937"/>
    <w:rsid w:val="001B6A8A"/>
    <w:rsid w:val="001B6B33"/>
    <w:rsid w:val="001B6C01"/>
    <w:rsid w:val="001B6C66"/>
    <w:rsid w:val="001B6C8C"/>
    <w:rsid w:val="001B6D24"/>
    <w:rsid w:val="001B6DEE"/>
    <w:rsid w:val="001B6EC0"/>
    <w:rsid w:val="001B6F00"/>
    <w:rsid w:val="001B6FBC"/>
    <w:rsid w:val="001B6FC7"/>
    <w:rsid w:val="001B702C"/>
    <w:rsid w:val="001B7031"/>
    <w:rsid w:val="001B70BF"/>
    <w:rsid w:val="001B70C8"/>
    <w:rsid w:val="001B7107"/>
    <w:rsid w:val="001B715F"/>
    <w:rsid w:val="001B7192"/>
    <w:rsid w:val="001B71F8"/>
    <w:rsid w:val="001B736F"/>
    <w:rsid w:val="001B7388"/>
    <w:rsid w:val="001B7391"/>
    <w:rsid w:val="001B7432"/>
    <w:rsid w:val="001B7441"/>
    <w:rsid w:val="001B74DE"/>
    <w:rsid w:val="001B7505"/>
    <w:rsid w:val="001B7507"/>
    <w:rsid w:val="001B75EB"/>
    <w:rsid w:val="001B75F2"/>
    <w:rsid w:val="001B7610"/>
    <w:rsid w:val="001B76E7"/>
    <w:rsid w:val="001B776F"/>
    <w:rsid w:val="001B77AA"/>
    <w:rsid w:val="001B77E7"/>
    <w:rsid w:val="001B7908"/>
    <w:rsid w:val="001B7945"/>
    <w:rsid w:val="001B79C8"/>
    <w:rsid w:val="001B7A5D"/>
    <w:rsid w:val="001B7AEF"/>
    <w:rsid w:val="001B7B2F"/>
    <w:rsid w:val="001B7BB3"/>
    <w:rsid w:val="001B7C05"/>
    <w:rsid w:val="001B7C6E"/>
    <w:rsid w:val="001B7D56"/>
    <w:rsid w:val="001B7F2C"/>
    <w:rsid w:val="001C0016"/>
    <w:rsid w:val="001C0031"/>
    <w:rsid w:val="001C010D"/>
    <w:rsid w:val="001C0119"/>
    <w:rsid w:val="001C01CD"/>
    <w:rsid w:val="001C0341"/>
    <w:rsid w:val="001C037E"/>
    <w:rsid w:val="001C038B"/>
    <w:rsid w:val="001C039E"/>
    <w:rsid w:val="001C0478"/>
    <w:rsid w:val="001C0565"/>
    <w:rsid w:val="001C06FC"/>
    <w:rsid w:val="001C07B1"/>
    <w:rsid w:val="001C08DD"/>
    <w:rsid w:val="001C0957"/>
    <w:rsid w:val="001C0960"/>
    <w:rsid w:val="001C09D0"/>
    <w:rsid w:val="001C0B24"/>
    <w:rsid w:val="001C0B60"/>
    <w:rsid w:val="001C0C56"/>
    <w:rsid w:val="001C0C68"/>
    <w:rsid w:val="001C0D12"/>
    <w:rsid w:val="001C0D19"/>
    <w:rsid w:val="001C0DC8"/>
    <w:rsid w:val="001C0DF8"/>
    <w:rsid w:val="001C0E01"/>
    <w:rsid w:val="001C0E0F"/>
    <w:rsid w:val="001C0E8B"/>
    <w:rsid w:val="001C0EF9"/>
    <w:rsid w:val="001C0F34"/>
    <w:rsid w:val="001C1040"/>
    <w:rsid w:val="001C1041"/>
    <w:rsid w:val="001C11BE"/>
    <w:rsid w:val="001C124F"/>
    <w:rsid w:val="001C12A5"/>
    <w:rsid w:val="001C12AC"/>
    <w:rsid w:val="001C1334"/>
    <w:rsid w:val="001C1342"/>
    <w:rsid w:val="001C138F"/>
    <w:rsid w:val="001C13D2"/>
    <w:rsid w:val="001C13E0"/>
    <w:rsid w:val="001C13EA"/>
    <w:rsid w:val="001C150D"/>
    <w:rsid w:val="001C159B"/>
    <w:rsid w:val="001C16E3"/>
    <w:rsid w:val="001C16F3"/>
    <w:rsid w:val="001C17C4"/>
    <w:rsid w:val="001C17EC"/>
    <w:rsid w:val="001C18C6"/>
    <w:rsid w:val="001C18D1"/>
    <w:rsid w:val="001C19A3"/>
    <w:rsid w:val="001C19CB"/>
    <w:rsid w:val="001C19F6"/>
    <w:rsid w:val="001C1A1B"/>
    <w:rsid w:val="001C1A46"/>
    <w:rsid w:val="001C1B41"/>
    <w:rsid w:val="001C1C6F"/>
    <w:rsid w:val="001C1CA5"/>
    <w:rsid w:val="001C1CE1"/>
    <w:rsid w:val="001C1D2F"/>
    <w:rsid w:val="001C1D42"/>
    <w:rsid w:val="001C1D4E"/>
    <w:rsid w:val="001C1DAE"/>
    <w:rsid w:val="001C1DBC"/>
    <w:rsid w:val="001C1E56"/>
    <w:rsid w:val="001C1E66"/>
    <w:rsid w:val="001C1EBE"/>
    <w:rsid w:val="001C1ED6"/>
    <w:rsid w:val="001C1FF2"/>
    <w:rsid w:val="001C2213"/>
    <w:rsid w:val="001C222D"/>
    <w:rsid w:val="001C22D3"/>
    <w:rsid w:val="001C22D6"/>
    <w:rsid w:val="001C2329"/>
    <w:rsid w:val="001C2423"/>
    <w:rsid w:val="001C2456"/>
    <w:rsid w:val="001C2492"/>
    <w:rsid w:val="001C249E"/>
    <w:rsid w:val="001C267D"/>
    <w:rsid w:val="001C26B8"/>
    <w:rsid w:val="001C2855"/>
    <w:rsid w:val="001C28B7"/>
    <w:rsid w:val="001C28C8"/>
    <w:rsid w:val="001C2936"/>
    <w:rsid w:val="001C29F2"/>
    <w:rsid w:val="001C29FE"/>
    <w:rsid w:val="001C2A31"/>
    <w:rsid w:val="001C2AA7"/>
    <w:rsid w:val="001C2B7C"/>
    <w:rsid w:val="001C2C76"/>
    <w:rsid w:val="001C2D09"/>
    <w:rsid w:val="001C2D90"/>
    <w:rsid w:val="001C2E2D"/>
    <w:rsid w:val="001C2E86"/>
    <w:rsid w:val="001C2F74"/>
    <w:rsid w:val="001C3055"/>
    <w:rsid w:val="001C3299"/>
    <w:rsid w:val="001C32C9"/>
    <w:rsid w:val="001C3310"/>
    <w:rsid w:val="001C3416"/>
    <w:rsid w:val="001C3472"/>
    <w:rsid w:val="001C347F"/>
    <w:rsid w:val="001C3537"/>
    <w:rsid w:val="001C3589"/>
    <w:rsid w:val="001C359E"/>
    <w:rsid w:val="001C35D4"/>
    <w:rsid w:val="001C35FB"/>
    <w:rsid w:val="001C3604"/>
    <w:rsid w:val="001C3665"/>
    <w:rsid w:val="001C368E"/>
    <w:rsid w:val="001C36B1"/>
    <w:rsid w:val="001C371A"/>
    <w:rsid w:val="001C375A"/>
    <w:rsid w:val="001C38E1"/>
    <w:rsid w:val="001C393F"/>
    <w:rsid w:val="001C3960"/>
    <w:rsid w:val="001C3978"/>
    <w:rsid w:val="001C3A58"/>
    <w:rsid w:val="001C3A6A"/>
    <w:rsid w:val="001C3B15"/>
    <w:rsid w:val="001C3B63"/>
    <w:rsid w:val="001C3BC8"/>
    <w:rsid w:val="001C3BFB"/>
    <w:rsid w:val="001C3C2C"/>
    <w:rsid w:val="001C3C33"/>
    <w:rsid w:val="001C3D23"/>
    <w:rsid w:val="001C3D63"/>
    <w:rsid w:val="001C3E30"/>
    <w:rsid w:val="001C3F68"/>
    <w:rsid w:val="001C4002"/>
    <w:rsid w:val="001C40C9"/>
    <w:rsid w:val="001C415C"/>
    <w:rsid w:val="001C41E8"/>
    <w:rsid w:val="001C4272"/>
    <w:rsid w:val="001C42B8"/>
    <w:rsid w:val="001C42CC"/>
    <w:rsid w:val="001C4390"/>
    <w:rsid w:val="001C440D"/>
    <w:rsid w:val="001C458D"/>
    <w:rsid w:val="001C4614"/>
    <w:rsid w:val="001C4637"/>
    <w:rsid w:val="001C46AA"/>
    <w:rsid w:val="001C4749"/>
    <w:rsid w:val="001C47E4"/>
    <w:rsid w:val="001C47EC"/>
    <w:rsid w:val="001C4815"/>
    <w:rsid w:val="001C489C"/>
    <w:rsid w:val="001C4924"/>
    <w:rsid w:val="001C4A13"/>
    <w:rsid w:val="001C4B80"/>
    <w:rsid w:val="001C4BA0"/>
    <w:rsid w:val="001C4BE1"/>
    <w:rsid w:val="001C4C25"/>
    <w:rsid w:val="001C4C3B"/>
    <w:rsid w:val="001C4CFB"/>
    <w:rsid w:val="001C4F58"/>
    <w:rsid w:val="001C4FE5"/>
    <w:rsid w:val="001C501B"/>
    <w:rsid w:val="001C50DD"/>
    <w:rsid w:val="001C50FC"/>
    <w:rsid w:val="001C514A"/>
    <w:rsid w:val="001C51A2"/>
    <w:rsid w:val="001C51D0"/>
    <w:rsid w:val="001C51DE"/>
    <w:rsid w:val="001C51EA"/>
    <w:rsid w:val="001C52B0"/>
    <w:rsid w:val="001C533A"/>
    <w:rsid w:val="001C53AC"/>
    <w:rsid w:val="001C540F"/>
    <w:rsid w:val="001C5518"/>
    <w:rsid w:val="001C559B"/>
    <w:rsid w:val="001C5622"/>
    <w:rsid w:val="001C569B"/>
    <w:rsid w:val="001C56BA"/>
    <w:rsid w:val="001C5716"/>
    <w:rsid w:val="001C575D"/>
    <w:rsid w:val="001C5811"/>
    <w:rsid w:val="001C588A"/>
    <w:rsid w:val="001C59AF"/>
    <w:rsid w:val="001C59BC"/>
    <w:rsid w:val="001C5A4A"/>
    <w:rsid w:val="001C5A79"/>
    <w:rsid w:val="001C5A86"/>
    <w:rsid w:val="001C5AFC"/>
    <w:rsid w:val="001C5B82"/>
    <w:rsid w:val="001C5B93"/>
    <w:rsid w:val="001C5BD9"/>
    <w:rsid w:val="001C5D4E"/>
    <w:rsid w:val="001C5E2A"/>
    <w:rsid w:val="001C5EA9"/>
    <w:rsid w:val="001C5EE3"/>
    <w:rsid w:val="001C5FB8"/>
    <w:rsid w:val="001C5FCF"/>
    <w:rsid w:val="001C6039"/>
    <w:rsid w:val="001C6073"/>
    <w:rsid w:val="001C618D"/>
    <w:rsid w:val="001C6236"/>
    <w:rsid w:val="001C62B0"/>
    <w:rsid w:val="001C6325"/>
    <w:rsid w:val="001C6333"/>
    <w:rsid w:val="001C63D2"/>
    <w:rsid w:val="001C6488"/>
    <w:rsid w:val="001C64CD"/>
    <w:rsid w:val="001C64E3"/>
    <w:rsid w:val="001C65EC"/>
    <w:rsid w:val="001C65FA"/>
    <w:rsid w:val="001C6606"/>
    <w:rsid w:val="001C6641"/>
    <w:rsid w:val="001C6690"/>
    <w:rsid w:val="001C66AA"/>
    <w:rsid w:val="001C66C7"/>
    <w:rsid w:val="001C670B"/>
    <w:rsid w:val="001C676A"/>
    <w:rsid w:val="001C6862"/>
    <w:rsid w:val="001C692F"/>
    <w:rsid w:val="001C6932"/>
    <w:rsid w:val="001C6939"/>
    <w:rsid w:val="001C697E"/>
    <w:rsid w:val="001C69D7"/>
    <w:rsid w:val="001C6AAC"/>
    <w:rsid w:val="001C6AC2"/>
    <w:rsid w:val="001C6B6C"/>
    <w:rsid w:val="001C6C54"/>
    <w:rsid w:val="001C6E8F"/>
    <w:rsid w:val="001C6F89"/>
    <w:rsid w:val="001C6F8A"/>
    <w:rsid w:val="001C7007"/>
    <w:rsid w:val="001C7041"/>
    <w:rsid w:val="001C7199"/>
    <w:rsid w:val="001C7269"/>
    <w:rsid w:val="001C7288"/>
    <w:rsid w:val="001C730E"/>
    <w:rsid w:val="001C747C"/>
    <w:rsid w:val="001C74D6"/>
    <w:rsid w:val="001C7514"/>
    <w:rsid w:val="001C75D8"/>
    <w:rsid w:val="001C75E1"/>
    <w:rsid w:val="001C76BC"/>
    <w:rsid w:val="001C777A"/>
    <w:rsid w:val="001C7796"/>
    <w:rsid w:val="001C7820"/>
    <w:rsid w:val="001C786A"/>
    <w:rsid w:val="001C79F7"/>
    <w:rsid w:val="001C7C09"/>
    <w:rsid w:val="001C7DAC"/>
    <w:rsid w:val="001C7DDA"/>
    <w:rsid w:val="001C7FB3"/>
    <w:rsid w:val="001D000F"/>
    <w:rsid w:val="001D001B"/>
    <w:rsid w:val="001D004D"/>
    <w:rsid w:val="001D0067"/>
    <w:rsid w:val="001D008F"/>
    <w:rsid w:val="001D0096"/>
    <w:rsid w:val="001D0155"/>
    <w:rsid w:val="001D01B6"/>
    <w:rsid w:val="001D025E"/>
    <w:rsid w:val="001D028A"/>
    <w:rsid w:val="001D02F3"/>
    <w:rsid w:val="001D0413"/>
    <w:rsid w:val="001D0591"/>
    <w:rsid w:val="001D05CE"/>
    <w:rsid w:val="001D0617"/>
    <w:rsid w:val="001D0645"/>
    <w:rsid w:val="001D0728"/>
    <w:rsid w:val="001D0794"/>
    <w:rsid w:val="001D085A"/>
    <w:rsid w:val="001D088C"/>
    <w:rsid w:val="001D08F6"/>
    <w:rsid w:val="001D093B"/>
    <w:rsid w:val="001D095C"/>
    <w:rsid w:val="001D0973"/>
    <w:rsid w:val="001D09C9"/>
    <w:rsid w:val="001D09DF"/>
    <w:rsid w:val="001D0A1A"/>
    <w:rsid w:val="001D0B63"/>
    <w:rsid w:val="001D0B69"/>
    <w:rsid w:val="001D0B79"/>
    <w:rsid w:val="001D0BCA"/>
    <w:rsid w:val="001D0C55"/>
    <w:rsid w:val="001D0C68"/>
    <w:rsid w:val="001D0C93"/>
    <w:rsid w:val="001D0C94"/>
    <w:rsid w:val="001D0D7A"/>
    <w:rsid w:val="001D0FC7"/>
    <w:rsid w:val="001D0FE0"/>
    <w:rsid w:val="001D1084"/>
    <w:rsid w:val="001D1126"/>
    <w:rsid w:val="001D112D"/>
    <w:rsid w:val="001D119F"/>
    <w:rsid w:val="001D1417"/>
    <w:rsid w:val="001D144A"/>
    <w:rsid w:val="001D14BC"/>
    <w:rsid w:val="001D14E8"/>
    <w:rsid w:val="001D154F"/>
    <w:rsid w:val="001D1596"/>
    <w:rsid w:val="001D15B2"/>
    <w:rsid w:val="001D15DE"/>
    <w:rsid w:val="001D1609"/>
    <w:rsid w:val="001D171D"/>
    <w:rsid w:val="001D1733"/>
    <w:rsid w:val="001D17BC"/>
    <w:rsid w:val="001D187F"/>
    <w:rsid w:val="001D1894"/>
    <w:rsid w:val="001D189B"/>
    <w:rsid w:val="001D18CC"/>
    <w:rsid w:val="001D18D3"/>
    <w:rsid w:val="001D1931"/>
    <w:rsid w:val="001D199F"/>
    <w:rsid w:val="001D1B34"/>
    <w:rsid w:val="001D1B51"/>
    <w:rsid w:val="001D1CF7"/>
    <w:rsid w:val="001D1D18"/>
    <w:rsid w:val="001D1D26"/>
    <w:rsid w:val="001D1D70"/>
    <w:rsid w:val="001D1D80"/>
    <w:rsid w:val="001D1DD0"/>
    <w:rsid w:val="001D1E06"/>
    <w:rsid w:val="001D1EB9"/>
    <w:rsid w:val="001D1ECE"/>
    <w:rsid w:val="001D1ED8"/>
    <w:rsid w:val="001D1F22"/>
    <w:rsid w:val="001D1F98"/>
    <w:rsid w:val="001D1FF0"/>
    <w:rsid w:val="001D2025"/>
    <w:rsid w:val="001D2077"/>
    <w:rsid w:val="001D2084"/>
    <w:rsid w:val="001D20AE"/>
    <w:rsid w:val="001D20D9"/>
    <w:rsid w:val="001D20EA"/>
    <w:rsid w:val="001D2107"/>
    <w:rsid w:val="001D2169"/>
    <w:rsid w:val="001D2298"/>
    <w:rsid w:val="001D22BD"/>
    <w:rsid w:val="001D2303"/>
    <w:rsid w:val="001D2406"/>
    <w:rsid w:val="001D24AE"/>
    <w:rsid w:val="001D2509"/>
    <w:rsid w:val="001D2577"/>
    <w:rsid w:val="001D25CC"/>
    <w:rsid w:val="001D26F4"/>
    <w:rsid w:val="001D2722"/>
    <w:rsid w:val="001D278D"/>
    <w:rsid w:val="001D279F"/>
    <w:rsid w:val="001D27D0"/>
    <w:rsid w:val="001D284E"/>
    <w:rsid w:val="001D2852"/>
    <w:rsid w:val="001D2899"/>
    <w:rsid w:val="001D2952"/>
    <w:rsid w:val="001D295D"/>
    <w:rsid w:val="001D2A1F"/>
    <w:rsid w:val="001D2A39"/>
    <w:rsid w:val="001D2B06"/>
    <w:rsid w:val="001D2B4E"/>
    <w:rsid w:val="001D2BCF"/>
    <w:rsid w:val="001D2BD1"/>
    <w:rsid w:val="001D2BD6"/>
    <w:rsid w:val="001D2C6F"/>
    <w:rsid w:val="001D2CBB"/>
    <w:rsid w:val="001D2E54"/>
    <w:rsid w:val="001D2E88"/>
    <w:rsid w:val="001D2EAB"/>
    <w:rsid w:val="001D2EE0"/>
    <w:rsid w:val="001D2F19"/>
    <w:rsid w:val="001D2F1B"/>
    <w:rsid w:val="001D2FA2"/>
    <w:rsid w:val="001D2FD7"/>
    <w:rsid w:val="001D30A6"/>
    <w:rsid w:val="001D3156"/>
    <w:rsid w:val="001D3161"/>
    <w:rsid w:val="001D3194"/>
    <w:rsid w:val="001D3219"/>
    <w:rsid w:val="001D325D"/>
    <w:rsid w:val="001D33DC"/>
    <w:rsid w:val="001D3435"/>
    <w:rsid w:val="001D345C"/>
    <w:rsid w:val="001D365C"/>
    <w:rsid w:val="001D3663"/>
    <w:rsid w:val="001D36D8"/>
    <w:rsid w:val="001D36F8"/>
    <w:rsid w:val="001D376B"/>
    <w:rsid w:val="001D3777"/>
    <w:rsid w:val="001D3794"/>
    <w:rsid w:val="001D3BBD"/>
    <w:rsid w:val="001D3D80"/>
    <w:rsid w:val="001D3E1A"/>
    <w:rsid w:val="001D3E64"/>
    <w:rsid w:val="001D3F10"/>
    <w:rsid w:val="001D3F38"/>
    <w:rsid w:val="001D3F61"/>
    <w:rsid w:val="001D3FF7"/>
    <w:rsid w:val="001D40D1"/>
    <w:rsid w:val="001D4110"/>
    <w:rsid w:val="001D41F6"/>
    <w:rsid w:val="001D428E"/>
    <w:rsid w:val="001D431C"/>
    <w:rsid w:val="001D434E"/>
    <w:rsid w:val="001D43AD"/>
    <w:rsid w:val="001D4597"/>
    <w:rsid w:val="001D465E"/>
    <w:rsid w:val="001D4678"/>
    <w:rsid w:val="001D46CD"/>
    <w:rsid w:val="001D475B"/>
    <w:rsid w:val="001D4798"/>
    <w:rsid w:val="001D47BC"/>
    <w:rsid w:val="001D47D8"/>
    <w:rsid w:val="001D487D"/>
    <w:rsid w:val="001D48F0"/>
    <w:rsid w:val="001D496A"/>
    <w:rsid w:val="001D49FF"/>
    <w:rsid w:val="001D4A28"/>
    <w:rsid w:val="001D4A64"/>
    <w:rsid w:val="001D4ABF"/>
    <w:rsid w:val="001D4AE5"/>
    <w:rsid w:val="001D4B12"/>
    <w:rsid w:val="001D4CB2"/>
    <w:rsid w:val="001D4CEF"/>
    <w:rsid w:val="001D4D31"/>
    <w:rsid w:val="001D4DD0"/>
    <w:rsid w:val="001D4E02"/>
    <w:rsid w:val="001D4E49"/>
    <w:rsid w:val="001D4E8A"/>
    <w:rsid w:val="001D4ED5"/>
    <w:rsid w:val="001D4EF5"/>
    <w:rsid w:val="001D4F53"/>
    <w:rsid w:val="001D4F58"/>
    <w:rsid w:val="001D4FC1"/>
    <w:rsid w:val="001D4FD9"/>
    <w:rsid w:val="001D4FE8"/>
    <w:rsid w:val="001D51A7"/>
    <w:rsid w:val="001D51B5"/>
    <w:rsid w:val="001D5225"/>
    <w:rsid w:val="001D5382"/>
    <w:rsid w:val="001D5388"/>
    <w:rsid w:val="001D53BB"/>
    <w:rsid w:val="001D5417"/>
    <w:rsid w:val="001D5456"/>
    <w:rsid w:val="001D5554"/>
    <w:rsid w:val="001D5654"/>
    <w:rsid w:val="001D5665"/>
    <w:rsid w:val="001D5682"/>
    <w:rsid w:val="001D587C"/>
    <w:rsid w:val="001D5887"/>
    <w:rsid w:val="001D5888"/>
    <w:rsid w:val="001D58EF"/>
    <w:rsid w:val="001D590B"/>
    <w:rsid w:val="001D5975"/>
    <w:rsid w:val="001D5A37"/>
    <w:rsid w:val="001D5BB2"/>
    <w:rsid w:val="001D5C47"/>
    <w:rsid w:val="001D5C68"/>
    <w:rsid w:val="001D5C8E"/>
    <w:rsid w:val="001D5CED"/>
    <w:rsid w:val="001D5D1B"/>
    <w:rsid w:val="001D5D3B"/>
    <w:rsid w:val="001D5D60"/>
    <w:rsid w:val="001D5D67"/>
    <w:rsid w:val="001D5E2C"/>
    <w:rsid w:val="001D5E34"/>
    <w:rsid w:val="001D5E74"/>
    <w:rsid w:val="001D5F19"/>
    <w:rsid w:val="001D602B"/>
    <w:rsid w:val="001D606C"/>
    <w:rsid w:val="001D60A2"/>
    <w:rsid w:val="001D61CC"/>
    <w:rsid w:val="001D6227"/>
    <w:rsid w:val="001D635D"/>
    <w:rsid w:val="001D64E7"/>
    <w:rsid w:val="001D64F6"/>
    <w:rsid w:val="001D651D"/>
    <w:rsid w:val="001D6527"/>
    <w:rsid w:val="001D6528"/>
    <w:rsid w:val="001D6529"/>
    <w:rsid w:val="001D6539"/>
    <w:rsid w:val="001D6569"/>
    <w:rsid w:val="001D65B2"/>
    <w:rsid w:val="001D66C7"/>
    <w:rsid w:val="001D6803"/>
    <w:rsid w:val="001D68B8"/>
    <w:rsid w:val="001D6927"/>
    <w:rsid w:val="001D6973"/>
    <w:rsid w:val="001D6980"/>
    <w:rsid w:val="001D698A"/>
    <w:rsid w:val="001D69EF"/>
    <w:rsid w:val="001D69FE"/>
    <w:rsid w:val="001D6AE0"/>
    <w:rsid w:val="001D6B14"/>
    <w:rsid w:val="001D6B29"/>
    <w:rsid w:val="001D6B6D"/>
    <w:rsid w:val="001D6BBE"/>
    <w:rsid w:val="001D6BD6"/>
    <w:rsid w:val="001D6C3E"/>
    <w:rsid w:val="001D6C74"/>
    <w:rsid w:val="001D6D97"/>
    <w:rsid w:val="001D6DB3"/>
    <w:rsid w:val="001D6E6E"/>
    <w:rsid w:val="001D6F6D"/>
    <w:rsid w:val="001D6FF7"/>
    <w:rsid w:val="001D7018"/>
    <w:rsid w:val="001D7021"/>
    <w:rsid w:val="001D70ED"/>
    <w:rsid w:val="001D7190"/>
    <w:rsid w:val="001D71CF"/>
    <w:rsid w:val="001D734E"/>
    <w:rsid w:val="001D7359"/>
    <w:rsid w:val="001D735A"/>
    <w:rsid w:val="001D7378"/>
    <w:rsid w:val="001D73AD"/>
    <w:rsid w:val="001D73DD"/>
    <w:rsid w:val="001D7487"/>
    <w:rsid w:val="001D7506"/>
    <w:rsid w:val="001D763D"/>
    <w:rsid w:val="001D7647"/>
    <w:rsid w:val="001D7707"/>
    <w:rsid w:val="001D7749"/>
    <w:rsid w:val="001D777F"/>
    <w:rsid w:val="001D77AB"/>
    <w:rsid w:val="001D77C2"/>
    <w:rsid w:val="001D7860"/>
    <w:rsid w:val="001D7890"/>
    <w:rsid w:val="001D7894"/>
    <w:rsid w:val="001D7913"/>
    <w:rsid w:val="001D79E7"/>
    <w:rsid w:val="001D7A7E"/>
    <w:rsid w:val="001D7AC4"/>
    <w:rsid w:val="001D7E7D"/>
    <w:rsid w:val="001D7F2D"/>
    <w:rsid w:val="001E0040"/>
    <w:rsid w:val="001E00C5"/>
    <w:rsid w:val="001E0104"/>
    <w:rsid w:val="001E0112"/>
    <w:rsid w:val="001E01A1"/>
    <w:rsid w:val="001E01DE"/>
    <w:rsid w:val="001E020A"/>
    <w:rsid w:val="001E03DE"/>
    <w:rsid w:val="001E03F7"/>
    <w:rsid w:val="001E0447"/>
    <w:rsid w:val="001E04AB"/>
    <w:rsid w:val="001E04C8"/>
    <w:rsid w:val="001E05C9"/>
    <w:rsid w:val="001E069A"/>
    <w:rsid w:val="001E074B"/>
    <w:rsid w:val="001E0758"/>
    <w:rsid w:val="001E07B3"/>
    <w:rsid w:val="001E07F7"/>
    <w:rsid w:val="001E0820"/>
    <w:rsid w:val="001E083B"/>
    <w:rsid w:val="001E0878"/>
    <w:rsid w:val="001E092C"/>
    <w:rsid w:val="001E0A0A"/>
    <w:rsid w:val="001E0A87"/>
    <w:rsid w:val="001E0A95"/>
    <w:rsid w:val="001E0AF5"/>
    <w:rsid w:val="001E0BE6"/>
    <w:rsid w:val="001E0C62"/>
    <w:rsid w:val="001E0C6A"/>
    <w:rsid w:val="001E0DB5"/>
    <w:rsid w:val="001E0DDC"/>
    <w:rsid w:val="001E0EC1"/>
    <w:rsid w:val="001E0F73"/>
    <w:rsid w:val="001E0F9C"/>
    <w:rsid w:val="001E100C"/>
    <w:rsid w:val="001E105D"/>
    <w:rsid w:val="001E10E0"/>
    <w:rsid w:val="001E110D"/>
    <w:rsid w:val="001E1180"/>
    <w:rsid w:val="001E1189"/>
    <w:rsid w:val="001E1252"/>
    <w:rsid w:val="001E12BA"/>
    <w:rsid w:val="001E134F"/>
    <w:rsid w:val="001E1386"/>
    <w:rsid w:val="001E13DB"/>
    <w:rsid w:val="001E1413"/>
    <w:rsid w:val="001E14E7"/>
    <w:rsid w:val="001E159B"/>
    <w:rsid w:val="001E160B"/>
    <w:rsid w:val="001E1616"/>
    <w:rsid w:val="001E1640"/>
    <w:rsid w:val="001E16A5"/>
    <w:rsid w:val="001E183A"/>
    <w:rsid w:val="001E18AF"/>
    <w:rsid w:val="001E1A54"/>
    <w:rsid w:val="001E1AAD"/>
    <w:rsid w:val="001E1B54"/>
    <w:rsid w:val="001E1B5E"/>
    <w:rsid w:val="001E1BE1"/>
    <w:rsid w:val="001E1D23"/>
    <w:rsid w:val="001E1DBD"/>
    <w:rsid w:val="001E1DC7"/>
    <w:rsid w:val="001E1FA3"/>
    <w:rsid w:val="001E2048"/>
    <w:rsid w:val="001E2100"/>
    <w:rsid w:val="001E215B"/>
    <w:rsid w:val="001E2226"/>
    <w:rsid w:val="001E2295"/>
    <w:rsid w:val="001E2297"/>
    <w:rsid w:val="001E22B1"/>
    <w:rsid w:val="001E22CB"/>
    <w:rsid w:val="001E22D4"/>
    <w:rsid w:val="001E22DD"/>
    <w:rsid w:val="001E2340"/>
    <w:rsid w:val="001E240B"/>
    <w:rsid w:val="001E24A3"/>
    <w:rsid w:val="001E2572"/>
    <w:rsid w:val="001E2593"/>
    <w:rsid w:val="001E25FB"/>
    <w:rsid w:val="001E2658"/>
    <w:rsid w:val="001E2659"/>
    <w:rsid w:val="001E2686"/>
    <w:rsid w:val="001E273C"/>
    <w:rsid w:val="001E274F"/>
    <w:rsid w:val="001E27AE"/>
    <w:rsid w:val="001E2829"/>
    <w:rsid w:val="001E283F"/>
    <w:rsid w:val="001E2886"/>
    <w:rsid w:val="001E2A0D"/>
    <w:rsid w:val="001E2A84"/>
    <w:rsid w:val="001E2A88"/>
    <w:rsid w:val="001E2AD3"/>
    <w:rsid w:val="001E2ADA"/>
    <w:rsid w:val="001E2B41"/>
    <w:rsid w:val="001E2B54"/>
    <w:rsid w:val="001E2C9D"/>
    <w:rsid w:val="001E2E23"/>
    <w:rsid w:val="001E2E86"/>
    <w:rsid w:val="001E2EF8"/>
    <w:rsid w:val="001E2F57"/>
    <w:rsid w:val="001E2F7B"/>
    <w:rsid w:val="001E2FAB"/>
    <w:rsid w:val="001E2FC5"/>
    <w:rsid w:val="001E3000"/>
    <w:rsid w:val="001E3045"/>
    <w:rsid w:val="001E30D1"/>
    <w:rsid w:val="001E3230"/>
    <w:rsid w:val="001E3277"/>
    <w:rsid w:val="001E327B"/>
    <w:rsid w:val="001E338B"/>
    <w:rsid w:val="001E33A3"/>
    <w:rsid w:val="001E3485"/>
    <w:rsid w:val="001E351F"/>
    <w:rsid w:val="001E36A3"/>
    <w:rsid w:val="001E36A4"/>
    <w:rsid w:val="001E36BA"/>
    <w:rsid w:val="001E36D5"/>
    <w:rsid w:val="001E36F2"/>
    <w:rsid w:val="001E3898"/>
    <w:rsid w:val="001E3906"/>
    <w:rsid w:val="001E394B"/>
    <w:rsid w:val="001E39A6"/>
    <w:rsid w:val="001E39F4"/>
    <w:rsid w:val="001E3B42"/>
    <w:rsid w:val="001E3B68"/>
    <w:rsid w:val="001E3B83"/>
    <w:rsid w:val="001E3C5A"/>
    <w:rsid w:val="001E3CF5"/>
    <w:rsid w:val="001E3D43"/>
    <w:rsid w:val="001E3D97"/>
    <w:rsid w:val="001E3DE0"/>
    <w:rsid w:val="001E3DF2"/>
    <w:rsid w:val="001E3E76"/>
    <w:rsid w:val="001E3EAA"/>
    <w:rsid w:val="001E3FC9"/>
    <w:rsid w:val="001E400E"/>
    <w:rsid w:val="001E4100"/>
    <w:rsid w:val="001E417E"/>
    <w:rsid w:val="001E41A4"/>
    <w:rsid w:val="001E4219"/>
    <w:rsid w:val="001E4429"/>
    <w:rsid w:val="001E444F"/>
    <w:rsid w:val="001E448E"/>
    <w:rsid w:val="001E44F1"/>
    <w:rsid w:val="001E457C"/>
    <w:rsid w:val="001E45F3"/>
    <w:rsid w:val="001E47D7"/>
    <w:rsid w:val="001E4843"/>
    <w:rsid w:val="001E492D"/>
    <w:rsid w:val="001E4954"/>
    <w:rsid w:val="001E49B7"/>
    <w:rsid w:val="001E49D2"/>
    <w:rsid w:val="001E4A85"/>
    <w:rsid w:val="001E4A9A"/>
    <w:rsid w:val="001E4B9E"/>
    <w:rsid w:val="001E4BF8"/>
    <w:rsid w:val="001E4C0E"/>
    <w:rsid w:val="001E4CAB"/>
    <w:rsid w:val="001E4D73"/>
    <w:rsid w:val="001E4D7A"/>
    <w:rsid w:val="001E4EE8"/>
    <w:rsid w:val="001E4EEE"/>
    <w:rsid w:val="001E4F8F"/>
    <w:rsid w:val="001E5105"/>
    <w:rsid w:val="001E5165"/>
    <w:rsid w:val="001E53B4"/>
    <w:rsid w:val="001E549E"/>
    <w:rsid w:val="001E54B6"/>
    <w:rsid w:val="001E54EE"/>
    <w:rsid w:val="001E5530"/>
    <w:rsid w:val="001E554A"/>
    <w:rsid w:val="001E5598"/>
    <w:rsid w:val="001E5616"/>
    <w:rsid w:val="001E5679"/>
    <w:rsid w:val="001E567D"/>
    <w:rsid w:val="001E56E1"/>
    <w:rsid w:val="001E578B"/>
    <w:rsid w:val="001E58A1"/>
    <w:rsid w:val="001E58E7"/>
    <w:rsid w:val="001E58F2"/>
    <w:rsid w:val="001E592B"/>
    <w:rsid w:val="001E595D"/>
    <w:rsid w:val="001E59B4"/>
    <w:rsid w:val="001E59F2"/>
    <w:rsid w:val="001E5A07"/>
    <w:rsid w:val="001E5A6C"/>
    <w:rsid w:val="001E5AC6"/>
    <w:rsid w:val="001E5B93"/>
    <w:rsid w:val="001E5B97"/>
    <w:rsid w:val="001E5BC3"/>
    <w:rsid w:val="001E5C1A"/>
    <w:rsid w:val="001E5C47"/>
    <w:rsid w:val="001E5CB9"/>
    <w:rsid w:val="001E5CFE"/>
    <w:rsid w:val="001E5D18"/>
    <w:rsid w:val="001E5D5A"/>
    <w:rsid w:val="001E5E02"/>
    <w:rsid w:val="001E5E73"/>
    <w:rsid w:val="001E5F45"/>
    <w:rsid w:val="001E61E6"/>
    <w:rsid w:val="001E62DD"/>
    <w:rsid w:val="001E62FF"/>
    <w:rsid w:val="001E6307"/>
    <w:rsid w:val="001E6350"/>
    <w:rsid w:val="001E6385"/>
    <w:rsid w:val="001E6415"/>
    <w:rsid w:val="001E6443"/>
    <w:rsid w:val="001E64D6"/>
    <w:rsid w:val="001E66D9"/>
    <w:rsid w:val="001E670D"/>
    <w:rsid w:val="001E681B"/>
    <w:rsid w:val="001E6855"/>
    <w:rsid w:val="001E6865"/>
    <w:rsid w:val="001E6908"/>
    <w:rsid w:val="001E69CD"/>
    <w:rsid w:val="001E69CE"/>
    <w:rsid w:val="001E69D9"/>
    <w:rsid w:val="001E69F3"/>
    <w:rsid w:val="001E6A0D"/>
    <w:rsid w:val="001E6AD0"/>
    <w:rsid w:val="001E6AD1"/>
    <w:rsid w:val="001E6AFE"/>
    <w:rsid w:val="001E6B40"/>
    <w:rsid w:val="001E6D9E"/>
    <w:rsid w:val="001E6EAF"/>
    <w:rsid w:val="001E6EEE"/>
    <w:rsid w:val="001E6EFF"/>
    <w:rsid w:val="001E6FD9"/>
    <w:rsid w:val="001E706B"/>
    <w:rsid w:val="001E7093"/>
    <w:rsid w:val="001E70BB"/>
    <w:rsid w:val="001E7103"/>
    <w:rsid w:val="001E7120"/>
    <w:rsid w:val="001E712C"/>
    <w:rsid w:val="001E7158"/>
    <w:rsid w:val="001E7216"/>
    <w:rsid w:val="001E7227"/>
    <w:rsid w:val="001E742B"/>
    <w:rsid w:val="001E74E7"/>
    <w:rsid w:val="001E7542"/>
    <w:rsid w:val="001E75A7"/>
    <w:rsid w:val="001E7647"/>
    <w:rsid w:val="001E7731"/>
    <w:rsid w:val="001E7745"/>
    <w:rsid w:val="001E775B"/>
    <w:rsid w:val="001E784D"/>
    <w:rsid w:val="001E78F9"/>
    <w:rsid w:val="001E79C0"/>
    <w:rsid w:val="001E7A43"/>
    <w:rsid w:val="001E7A4A"/>
    <w:rsid w:val="001E7B17"/>
    <w:rsid w:val="001E7B6F"/>
    <w:rsid w:val="001E7BC3"/>
    <w:rsid w:val="001E7BF8"/>
    <w:rsid w:val="001E7C3E"/>
    <w:rsid w:val="001E7C6A"/>
    <w:rsid w:val="001E7CBA"/>
    <w:rsid w:val="001E7CCB"/>
    <w:rsid w:val="001E7CD4"/>
    <w:rsid w:val="001E7D8F"/>
    <w:rsid w:val="001E7DC9"/>
    <w:rsid w:val="001E7E32"/>
    <w:rsid w:val="001E7E59"/>
    <w:rsid w:val="001E7E60"/>
    <w:rsid w:val="001E7EC2"/>
    <w:rsid w:val="001E7FE7"/>
    <w:rsid w:val="001F0125"/>
    <w:rsid w:val="001F0262"/>
    <w:rsid w:val="001F0264"/>
    <w:rsid w:val="001F032D"/>
    <w:rsid w:val="001F0379"/>
    <w:rsid w:val="001F03B1"/>
    <w:rsid w:val="001F03D0"/>
    <w:rsid w:val="001F062E"/>
    <w:rsid w:val="001F06CC"/>
    <w:rsid w:val="001F06FD"/>
    <w:rsid w:val="001F079E"/>
    <w:rsid w:val="001F07AA"/>
    <w:rsid w:val="001F08AF"/>
    <w:rsid w:val="001F08EC"/>
    <w:rsid w:val="001F096B"/>
    <w:rsid w:val="001F09E4"/>
    <w:rsid w:val="001F0AC5"/>
    <w:rsid w:val="001F0C1E"/>
    <w:rsid w:val="001F0C2C"/>
    <w:rsid w:val="001F0D7C"/>
    <w:rsid w:val="001F0D84"/>
    <w:rsid w:val="001F0ED7"/>
    <w:rsid w:val="001F0F6E"/>
    <w:rsid w:val="001F0F7A"/>
    <w:rsid w:val="001F0FC1"/>
    <w:rsid w:val="001F1050"/>
    <w:rsid w:val="001F116F"/>
    <w:rsid w:val="001F12A3"/>
    <w:rsid w:val="001F1367"/>
    <w:rsid w:val="001F13B6"/>
    <w:rsid w:val="001F1404"/>
    <w:rsid w:val="001F147F"/>
    <w:rsid w:val="001F1526"/>
    <w:rsid w:val="001F153A"/>
    <w:rsid w:val="001F1548"/>
    <w:rsid w:val="001F170D"/>
    <w:rsid w:val="001F173E"/>
    <w:rsid w:val="001F176B"/>
    <w:rsid w:val="001F1803"/>
    <w:rsid w:val="001F18F7"/>
    <w:rsid w:val="001F1930"/>
    <w:rsid w:val="001F1978"/>
    <w:rsid w:val="001F1A9E"/>
    <w:rsid w:val="001F1AF8"/>
    <w:rsid w:val="001F1B79"/>
    <w:rsid w:val="001F1BFE"/>
    <w:rsid w:val="001F1CD5"/>
    <w:rsid w:val="001F1E09"/>
    <w:rsid w:val="001F1E37"/>
    <w:rsid w:val="001F1F54"/>
    <w:rsid w:val="001F1F71"/>
    <w:rsid w:val="001F1F83"/>
    <w:rsid w:val="001F1F85"/>
    <w:rsid w:val="001F2067"/>
    <w:rsid w:val="001F208B"/>
    <w:rsid w:val="001F2097"/>
    <w:rsid w:val="001F2118"/>
    <w:rsid w:val="001F2191"/>
    <w:rsid w:val="001F2367"/>
    <w:rsid w:val="001F2392"/>
    <w:rsid w:val="001F23CA"/>
    <w:rsid w:val="001F240E"/>
    <w:rsid w:val="001F2423"/>
    <w:rsid w:val="001F246E"/>
    <w:rsid w:val="001F2476"/>
    <w:rsid w:val="001F24BD"/>
    <w:rsid w:val="001F24C4"/>
    <w:rsid w:val="001F2580"/>
    <w:rsid w:val="001F2693"/>
    <w:rsid w:val="001F27B7"/>
    <w:rsid w:val="001F27F3"/>
    <w:rsid w:val="001F28E5"/>
    <w:rsid w:val="001F2920"/>
    <w:rsid w:val="001F292D"/>
    <w:rsid w:val="001F2934"/>
    <w:rsid w:val="001F2A11"/>
    <w:rsid w:val="001F2AAF"/>
    <w:rsid w:val="001F2AC6"/>
    <w:rsid w:val="001F2B00"/>
    <w:rsid w:val="001F2B8D"/>
    <w:rsid w:val="001F2BC9"/>
    <w:rsid w:val="001F2C28"/>
    <w:rsid w:val="001F2C5A"/>
    <w:rsid w:val="001F2CB4"/>
    <w:rsid w:val="001F2CE1"/>
    <w:rsid w:val="001F2D79"/>
    <w:rsid w:val="001F2E00"/>
    <w:rsid w:val="001F2E7A"/>
    <w:rsid w:val="001F2E94"/>
    <w:rsid w:val="001F2FA7"/>
    <w:rsid w:val="001F2FB7"/>
    <w:rsid w:val="001F3191"/>
    <w:rsid w:val="001F32A5"/>
    <w:rsid w:val="001F3364"/>
    <w:rsid w:val="001F33AA"/>
    <w:rsid w:val="001F33CC"/>
    <w:rsid w:val="001F34B5"/>
    <w:rsid w:val="001F3538"/>
    <w:rsid w:val="001F353C"/>
    <w:rsid w:val="001F3557"/>
    <w:rsid w:val="001F3645"/>
    <w:rsid w:val="001F36BC"/>
    <w:rsid w:val="001F3758"/>
    <w:rsid w:val="001F3799"/>
    <w:rsid w:val="001F38D0"/>
    <w:rsid w:val="001F38E1"/>
    <w:rsid w:val="001F39C9"/>
    <w:rsid w:val="001F3ABF"/>
    <w:rsid w:val="001F3ACD"/>
    <w:rsid w:val="001F3B84"/>
    <w:rsid w:val="001F3B8B"/>
    <w:rsid w:val="001F3E29"/>
    <w:rsid w:val="001F3E71"/>
    <w:rsid w:val="001F3E9C"/>
    <w:rsid w:val="001F3EDC"/>
    <w:rsid w:val="001F3F6C"/>
    <w:rsid w:val="001F3F9D"/>
    <w:rsid w:val="001F3FA1"/>
    <w:rsid w:val="001F3FF0"/>
    <w:rsid w:val="001F418A"/>
    <w:rsid w:val="001F41E5"/>
    <w:rsid w:val="001F41F2"/>
    <w:rsid w:val="001F4203"/>
    <w:rsid w:val="001F424F"/>
    <w:rsid w:val="001F42E8"/>
    <w:rsid w:val="001F430B"/>
    <w:rsid w:val="001F4312"/>
    <w:rsid w:val="001F438F"/>
    <w:rsid w:val="001F44F2"/>
    <w:rsid w:val="001F457C"/>
    <w:rsid w:val="001F466F"/>
    <w:rsid w:val="001F4707"/>
    <w:rsid w:val="001F474B"/>
    <w:rsid w:val="001F4792"/>
    <w:rsid w:val="001F47A1"/>
    <w:rsid w:val="001F47F0"/>
    <w:rsid w:val="001F47F6"/>
    <w:rsid w:val="001F4839"/>
    <w:rsid w:val="001F4A2C"/>
    <w:rsid w:val="001F4A5A"/>
    <w:rsid w:val="001F4ADD"/>
    <w:rsid w:val="001F4B12"/>
    <w:rsid w:val="001F4BCE"/>
    <w:rsid w:val="001F4C67"/>
    <w:rsid w:val="001F4C78"/>
    <w:rsid w:val="001F4CA4"/>
    <w:rsid w:val="001F4CB2"/>
    <w:rsid w:val="001F4CCF"/>
    <w:rsid w:val="001F4DFD"/>
    <w:rsid w:val="001F4E45"/>
    <w:rsid w:val="001F4E74"/>
    <w:rsid w:val="001F4EE0"/>
    <w:rsid w:val="001F4EE7"/>
    <w:rsid w:val="001F4FD4"/>
    <w:rsid w:val="001F509C"/>
    <w:rsid w:val="001F50A0"/>
    <w:rsid w:val="001F5116"/>
    <w:rsid w:val="001F523A"/>
    <w:rsid w:val="001F52E3"/>
    <w:rsid w:val="001F5309"/>
    <w:rsid w:val="001F5358"/>
    <w:rsid w:val="001F537B"/>
    <w:rsid w:val="001F53D3"/>
    <w:rsid w:val="001F53F4"/>
    <w:rsid w:val="001F5460"/>
    <w:rsid w:val="001F546E"/>
    <w:rsid w:val="001F549B"/>
    <w:rsid w:val="001F555E"/>
    <w:rsid w:val="001F5749"/>
    <w:rsid w:val="001F5798"/>
    <w:rsid w:val="001F57EB"/>
    <w:rsid w:val="001F592D"/>
    <w:rsid w:val="001F59AD"/>
    <w:rsid w:val="001F5A88"/>
    <w:rsid w:val="001F5AAB"/>
    <w:rsid w:val="001F5AE2"/>
    <w:rsid w:val="001F5AF6"/>
    <w:rsid w:val="001F5B88"/>
    <w:rsid w:val="001F5B9C"/>
    <w:rsid w:val="001F5C41"/>
    <w:rsid w:val="001F5CA9"/>
    <w:rsid w:val="001F5D5C"/>
    <w:rsid w:val="001F5D86"/>
    <w:rsid w:val="001F5DB4"/>
    <w:rsid w:val="001F5E8D"/>
    <w:rsid w:val="001F5FF7"/>
    <w:rsid w:val="001F6161"/>
    <w:rsid w:val="001F61A2"/>
    <w:rsid w:val="001F6255"/>
    <w:rsid w:val="001F626F"/>
    <w:rsid w:val="001F6331"/>
    <w:rsid w:val="001F63C3"/>
    <w:rsid w:val="001F63DD"/>
    <w:rsid w:val="001F644F"/>
    <w:rsid w:val="001F6490"/>
    <w:rsid w:val="001F652C"/>
    <w:rsid w:val="001F65B2"/>
    <w:rsid w:val="001F65E3"/>
    <w:rsid w:val="001F6618"/>
    <w:rsid w:val="001F668D"/>
    <w:rsid w:val="001F6698"/>
    <w:rsid w:val="001F67D3"/>
    <w:rsid w:val="001F68B7"/>
    <w:rsid w:val="001F6970"/>
    <w:rsid w:val="001F6A46"/>
    <w:rsid w:val="001F6A6C"/>
    <w:rsid w:val="001F6A88"/>
    <w:rsid w:val="001F6ADA"/>
    <w:rsid w:val="001F6B2C"/>
    <w:rsid w:val="001F6C96"/>
    <w:rsid w:val="001F6CE6"/>
    <w:rsid w:val="001F6CF5"/>
    <w:rsid w:val="001F6D16"/>
    <w:rsid w:val="001F6D7F"/>
    <w:rsid w:val="001F6E12"/>
    <w:rsid w:val="001F6FC0"/>
    <w:rsid w:val="001F7125"/>
    <w:rsid w:val="001F7253"/>
    <w:rsid w:val="001F72D4"/>
    <w:rsid w:val="001F7321"/>
    <w:rsid w:val="001F733E"/>
    <w:rsid w:val="001F73AE"/>
    <w:rsid w:val="001F73E8"/>
    <w:rsid w:val="001F7410"/>
    <w:rsid w:val="001F7414"/>
    <w:rsid w:val="001F741C"/>
    <w:rsid w:val="001F744F"/>
    <w:rsid w:val="001F74B8"/>
    <w:rsid w:val="001F7522"/>
    <w:rsid w:val="001F7724"/>
    <w:rsid w:val="001F775E"/>
    <w:rsid w:val="001F7865"/>
    <w:rsid w:val="001F787E"/>
    <w:rsid w:val="001F7A1E"/>
    <w:rsid w:val="001F7A50"/>
    <w:rsid w:val="001F7B0F"/>
    <w:rsid w:val="001F7B5E"/>
    <w:rsid w:val="001F7B66"/>
    <w:rsid w:val="001F7BB6"/>
    <w:rsid w:val="001F7C29"/>
    <w:rsid w:val="001F7CAF"/>
    <w:rsid w:val="001F7D1A"/>
    <w:rsid w:val="001F7D84"/>
    <w:rsid w:val="001F7DEE"/>
    <w:rsid w:val="001F7E8A"/>
    <w:rsid w:val="001F7EC5"/>
    <w:rsid w:val="001F7EC8"/>
    <w:rsid w:val="001F7F00"/>
    <w:rsid w:val="001F7F85"/>
    <w:rsid w:val="001F7FAA"/>
    <w:rsid w:val="00200032"/>
    <w:rsid w:val="002000AA"/>
    <w:rsid w:val="002000D6"/>
    <w:rsid w:val="00200164"/>
    <w:rsid w:val="002001DC"/>
    <w:rsid w:val="0020033D"/>
    <w:rsid w:val="0020048E"/>
    <w:rsid w:val="00200500"/>
    <w:rsid w:val="00200513"/>
    <w:rsid w:val="0020056D"/>
    <w:rsid w:val="00200589"/>
    <w:rsid w:val="0020062F"/>
    <w:rsid w:val="002006CE"/>
    <w:rsid w:val="0020070E"/>
    <w:rsid w:val="00200716"/>
    <w:rsid w:val="0020096F"/>
    <w:rsid w:val="002009A9"/>
    <w:rsid w:val="00200DE0"/>
    <w:rsid w:val="00201055"/>
    <w:rsid w:val="00201117"/>
    <w:rsid w:val="00201128"/>
    <w:rsid w:val="002011F1"/>
    <w:rsid w:val="002013EF"/>
    <w:rsid w:val="002013F3"/>
    <w:rsid w:val="00201448"/>
    <w:rsid w:val="00201490"/>
    <w:rsid w:val="002014A0"/>
    <w:rsid w:val="002014A1"/>
    <w:rsid w:val="002014B7"/>
    <w:rsid w:val="002015AF"/>
    <w:rsid w:val="002016F6"/>
    <w:rsid w:val="002017C5"/>
    <w:rsid w:val="002017F2"/>
    <w:rsid w:val="00201831"/>
    <w:rsid w:val="00201853"/>
    <w:rsid w:val="00201922"/>
    <w:rsid w:val="002019AA"/>
    <w:rsid w:val="00201AF9"/>
    <w:rsid w:val="00201B1D"/>
    <w:rsid w:val="00201B3E"/>
    <w:rsid w:val="00201BE8"/>
    <w:rsid w:val="00201CEF"/>
    <w:rsid w:val="00201E99"/>
    <w:rsid w:val="00202024"/>
    <w:rsid w:val="002020EC"/>
    <w:rsid w:val="00202228"/>
    <w:rsid w:val="00202253"/>
    <w:rsid w:val="002022C9"/>
    <w:rsid w:val="002022F6"/>
    <w:rsid w:val="00202331"/>
    <w:rsid w:val="00202385"/>
    <w:rsid w:val="002024CF"/>
    <w:rsid w:val="002024FB"/>
    <w:rsid w:val="00202542"/>
    <w:rsid w:val="00202665"/>
    <w:rsid w:val="002026E2"/>
    <w:rsid w:val="00202754"/>
    <w:rsid w:val="00202836"/>
    <w:rsid w:val="00202886"/>
    <w:rsid w:val="00202893"/>
    <w:rsid w:val="0020294F"/>
    <w:rsid w:val="002029E4"/>
    <w:rsid w:val="00202A38"/>
    <w:rsid w:val="00202A74"/>
    <w:rsid w:val="00202B55"/>
    <w:rsid w:val="00202BDB"/>
    <w:rsid w:val="00202DEB"/>
    <w:rsid w:val="00202F3F"/>
    <w:rsid w:val="00203008"/>
    <w:rsid w:val="00203065"/>
    <w:rsid w:val="0020308B"/>
    <w:rsid w:val="002030A5"/>
    <w:rsid w:val="002030DF"/>
    <w:rsid w:val="00203115"/>
    <w:rsid w:val="00203157"/>
    <w:rsid w:val="00203198"/>
    <w:rsid w:val="002031B2"/>
    <w:rsid w:val="002032CF"/>
    <w:rsid w:val="002032F5"/>
    <w:rsid w:val="002033F6"/>
    <w:rsid w:val="00203466"/>
    <w:rsid w:val="00203547"/>
    <w:rsid w:val="00203554"/>
    <w:rsid w:val="00203580"/>
    <w:rsid w:val="00203596"/>
    <w:rsid w:val="002035F6"/>
    <w:rsid w:val="002035F8"/>
    <w:rsid w:val="0020372D"/>
    <w:rsid w:val="0020374A"/>
    <w:rsid w:val="00203836"/>
    <w:rsid w:val="0020384E"/>
    <w:rsid w:val="0020396F"/>
    <w:rsid w:val="0020399D"/>
    <w:rsid w:val="002039DB"/>
    <w:rsid w:val="002039EB"/>
    <w:rsid w:val="002039FE"/>
    <w:rsid w:val="00203A92"/>
    <w:rsid w:val="00203AB6"/>
    <w:rsid w:val="00203BCC"/>
    <w:rsid w:val="00203D11"/>
    <w:rsid w:val="00203D5E"/>
    <w:rsid w:val="00203DB5"/>
    <w:rsid w:val="00203E51"/>
    <w:rsid w:val="00203E76"/>
    <w:rsid w:val="00203F40"/>
    <w:rsid w:val="00203FCA"/>
    <w:rsid w:val="002041F1"/>
    <w:rsid w:val="00204232"/>
    <w:rsid w:val="0020443D"/>
    <w:rsid w:val="00204442"/>
    <w:rsid w:val="00204588"/>
    <w:rsid w:val="00204601"/>
    <w:rsid w:val="00204610"/>
    <w:rsid w:val="00204666"/>
    <w:rsid w:val="0020468D"/>
    <w:rsid w:val="002046D6"/>
    <w:rsid w:val="002046DA"/>
    <w:rsid w:val="00204738"/>
    <w:rsid w:val="002047EC"/>
    <w:rsid w:val="00204877"/>
    <w:rsid w:val="002048F3"/>
    <w:rsid w:val="00204946"/>
    <w:rsid w:val="00204A7A"/>
    <w:rsid w:val="00204B32"/>
    <w:rsid w:val="00204B5D"/>
    <w:rsid w:val="00204B98"/>
    <w:rsid w:val="00204BD8"/>
    <w:rsid w:val="00204C4F"/>
    <w:rsid w:val="00204D59"/>
    <w:rsid w:val="00204D6A"/>
    <w:rsid w:val="00204DF9"/>
    <w:rsid w:val="00204E2C"/>
    <w:rsid w:val="00204EC8"/>
    <w:rsid w:val="00204F08"/>
    <w:rsid w:val="00204F0D"/>
    <w:rsid w:val="00205077"/>
    <w:rsid w:val="00205078"/>
    <w:rsid w:val="002050F1"/>
    <w:rsid w:val="002051FF"/>
    <w:rsid w:val="00205232"/>
    <w:rsid w:val="0020524D"/>
    <w:rsid w:val="0020533F"/>
    <w:rsid w:val="00205379"/>
    <w:rsid w:val="002053D6"/>
    <w:rsid w:val="0020540A"/>
    <w:rsid w:val="0020541E"/>
    <w:rsid w:val="002054C6"/>
    <w:rsid w:val="0020557A"/>
    <w:rsid w:val="00205591"/>
    <w:rsid w:val="002055F6"/>
    <w:rsid w:val="002056ED"/>
    <w:rsid w:val="00205774"/>
    <w:rsid w:val="00205795"/>
    <w:rsid w:val="002057BE"/>
    <w:rsid w:val="00205816"/>
    <w:rsid w:val="0020581E"/>
    <w:rsid w:val="002058DC"/>
    <w:rsid w:val="00205965"/>
    <w:rsid w:val="0020599A"/>
    <w:rsid w:val="002059E1"/>
    <w:rsid w:val="00205ABC"/>
    <w:rsid w:val="00205B57"/>
    <w:rsid w:val="00205BE6"/>
    <w:rsid w:val="00205BFA"/>
    <w:rsid w:val="00205C1C"/>
    <w:rsid w:val="00205C26"/>
    <w:rsid w:val="00205C78"/>
    <w:rsid w:val="00205CBD"/>
    <w:rsid w:val="00205DE1"/>
    <w:rsid w:val="00205E1C"/>
    <w:rsid w:val="00206127"/>
    <w:rsid w:val="0020613D"/>
    <w:rsid w:val="00206195"/>
    <w:rsid w:val="002061BB"/>
    <w:rsid w:val="002061D4"/>
    <w:rsid w:val="002061EB"/>
    <w:rsid w:val="0020620F"/>
    <w:rsid w:val="00206275"/>
    <w:rsid w:val="00206281"/>
    <w:rsid w:val="0020628D"/>
    <w:rsid w:val="002062DD"/>
    <w:rsid w:val="00206359"/>
    <w:rsid w:val="002063E9"/>
    <w:rsid w:val="0020645C"/>
    <w:rsid w:val="0020649C"/>
    <w:rsid w:val="0020649E"/>
    <w:rsid w:val="002064F4"/>
    <w:rsid w:val="00206522"/>
    <w:rsid w:val="0020652B"/>
    <w:rsid w:val="00206587"/>
    <w:rsid w:val="00206597"/>
    <w:rsid w:val="00206612"/>
    <w:rsid w:val="0020663B"/>
    <w:rsid w:val="00206673"/>
    <w:rsid w:val="0020669F"/>
    <w:rsid w:val="00206721"/>
    <w:rsid w:val="00206767"/>
    <w:rsid w:val="002067CF"/>
    <w:rsid w:val="0020688C"/>
    <w:rsid w:val="002068CE"/>
    <w:rsid w:val="002068E1"/>
    <w:rsid w:val="00206926"/>
    <w:rsid w:val="0020692A"/>
    <w:rsid w:val="0020692D"/>
    <w:rsid w:val="0020696C"/>
    <w:rsid w:val="00206A29"/>
    <w:rsid w:val="00206A32"/>
    <w:rsid w:val="00206AE4"/>
    <w:rsid w:val="00206B7E"/>
    <w:rsid w:val="00206C21"/>
    <w:rsid w:val="00206C2B"/>
    <w:rsid w:val="00206CDB"/>
    <w:rsid w:val="00206D4E"/>
    <w:rsid w:val="00206E4F"/>
    <w:rsid w:val="00206ED2"/>
    <w:rsid w:val="00206EEA"/>
    <w:rsid w:val="00206F53"/>
    <w:rsid w:val="0020707C"/>
    <w:rsid w:val="0020709B"/>
    <w:rsid w:val="002070EB"/>
    <w:rsid w:val="00207169"/>
    <w:rsid w:val="0020716D"/>
    <w:rsid w:val="00207317"/>
    <w:rsid w:val="00207371"/>
    <w:rsid w:val="002073C8"/>
    <w:rsid w:val="00207402"/>
    <w:rsid w:val="0020741A"/>
    <w:rsid w:val="00207465"/>
    <w:rsid w:val="002074BD"/>
    <w:rsid w:val="002075A5"/>
    <w:rsid w:val="002075C3"/>
    <w:rsid w:val="00207698"/>
    <w:rsid w:val="002076AF"/>
    <w:rsid w:val="00207767"/>
    <w:rsid w:val="0020778A"/>
    <w:rsid w:val="00207860"/>
    <w:rsid w:val="0020786E"/>
    <w:rsid w:val="002078A3"/>
    <w:rsid w:val="0020791A"/>
    <w:rsid w:val="00207925"/>
    <w:rsid w:val="002079CB"/>
    <w:rsid w:val="00207A10"/>
    <w:rsid w:val="00207A4C"/>
    <w:rsid w:val="00207A76"/>
    <w:rsid w:val="00207B54"/>
    <w:rsid w:val="00207B7B"/>
    <w:rsid w:val="00207BC5"/>
    <w:rsid w:val="00207C3F"/>
    <w:rsid w:val="00207D9B"/>
    <w:rsid w:val="00207E95"/>
    <w:rsid w:val="00207EB5"/>
    <w:rsid w:val="00207EB9"/>
    <w:rsid w:val="00207F57"/>
    <w:rsid w:val="00207FF6"/>
    <w:rsid w:val="002100C9"/>
    <w:rsid w:val="002100F4"/>
    <w:rsid w:val="00210269"/>
    <w:rsid w:val="002102BD"/>
    <w:rsid w:val="0021037F"/>
    <w:rsid w:val="002103A6"/>
    <w:rsid w:val="002103EA"/>
    <w:rsid w:val="0021042C"/>
    <w:rsid w:val="002104C9"/>
    <w:rsid w:val="00210524"/>
    <w:rsid w:val="00210536"/>
    <w:rsid w:val="0021056E"/>
    <w:rsid w:val="00210596"/>
    <w:rsid w:val="002105C8"/>
    <w:rsid w:val="002105E6"/>
    <w:rsid w:val="002106D6"/>
    <w:rsid w:val="00210736"/>
    <w:rsid w:val="00210797"/>
    <w:rsid w:val="002107BE"/>
    <w:rsid w:val="00210846"/>
    <w:rsid w:val="002108E7"/>
    <w:rsid w:val="0021098E"/>
    <w:rsid w:val="002109E9"/>
    <w:rsid w:val="002109FF"/>
    <w:rsid w:val="00210B04"/>
    <w:rsid w:val="00210DA1"/>
    <w:rsid w:val="00210DC3"/>
    <w:rsid w:val="00210DE6"/>
    <w:rsid w:val="00210E06"/>
    <w:rsid w:val="00210E20"/>
    <w:rsid w:val="00210E63"/>
    <w:rsid w:val="00210EF7"/>
    <w:rsid w:val="00210F51"/>
    <w:rsid w:val="00210F6E"/>
    <w:rsid w:val="00210FD0"/>
    <w:rsid w:val="00211034"/>
    <w:rsid w:val="00211060"/>
    <w:rsid w:val="002110CD"/>
    <w:rsid w:val="002110F7"/>
    <w:rsid w:val="00211103"/>
    <w:rsid w:val="00211183"/>
    <w:rsid w:val="002111B8"/>
    <w:rsid w:val="002111C4"/>
    <w:rsid w:val="002111E1"/>
    <w:rsid w:val="00211217"/>
    <w:rsid w:val="00211293"/>
    <w:rsid w:val="002112A9"/>
    <w:rsid w:val="002112C6"/>
    <w:rsid w:val="002112CA"/>
    <w:rsid w:val="00211307"/>
    <w:rsid w:val="0021134E"/>
    <w:rsid w:val="002113AA"/>
    <w:rsid w:val="0021140F"/>
    <w:rsid w:val="0021145C"/>
    <w:rsid w:val="00211489"/>
    <w:rsid w:val="00211497"/>
    <w:rsid w:val="002114F6"/>
    <w:rsid w:val="00211699"/>
    <w:rsid w:val="00211788"/>
    <w:rsid w:val="002118DC"/>
    <w:rsid w:val="0021196B"/>
    <w:rsid w:val="00211A09"/>
    <w:rsid w:val="00211BD5"/>
    <w:rsid w:val="00211C9F"/>
    <w:rsid w:val="00211D15"/>
    <w:rsid w:val="00211D88"/>
    <w:rsid w:val="00211DC7"/>
    <w:rsid w:val="00211E7C"/>
    <w:rsid w:val="00211F88"/>
    <w:rsid w:val="00211F98"/>
    <w:rsid w:val="0021204A"/>
    <w:rsid w:val="00212067"/>
    <w:rsid w:val="0021207F"/>
    <w:rsid w:val="002120BF"/>
    <w:rsid w:val="00212147"/>
    <w:rsid w:val="0021220B"/>
    <w:rsid w:val="00212396"/>
    <w:rsid w:val="002123AD"/>
    <w:rsid w:val="002123BE"/>
    <w:rsid w:val="00212477"/>
    <w:rsid w:val="00212577"/>
    <w:rsid w:val="002125B3"/>
    <w:rsid w:val="002125DE"/>
    <w:rsid w:val="0021262B"/>
    <w:rsid w:val="002126AC"/>
    <w:rsid w:val="00212775"/>
    <w:rsid w:val="00212786"/>
    <w:rsid w:val="002127C2"/>
    <w:rsid w:val="00212893"/>
    <w:rsid w:val="002128BE"/>
    <w:rsid w:val="00212964"/>
    <w:rsid w:val="00212977"/>
    <w:rsid w:val="00212AB5"/>
    <w:rsid w:val="00212ADA"/>
    <w:rsid w:val="00212AFC"/>
    <w:rsid w:val="00212C80"/>
    <w:rsid w:val="00212CEF"/>
    <w:rsid w:val="00212DFD"/>
    <w:rsid w:val="00212EB8"/>
    <w:rsid w:val="00212EBA"/>
    <w:rsid w:val="00212EC1"/>
    <w:rsid w:val="00212F2D"/>
    <w:rsid w:val="00212F48"/>
    <w:rsid w:val="00212F68"/>
    <w:rsid w:val="00212F82"/>
    <w:rsid w:val="00213106"/>
    <w:rsid w:val="00213135"/>
    <w:rsid w:val="00213144"/>
    <w:rsid w:val="0021315E"/>
    <w:rsid w:val="0021328B"/>
    <w:rsid w:val="002132AA"/>
    <w:rsid w:val="002132BE"/>
    <w:rsid w:val="00213492"/>
    <w:rsid w:val="00213526"/>
    <w:rsid w:val="0021353F"/>
    <w:rsid w:val="002135BA"/>
    <w:rsid w:val="00213649"/>
    <w:rsid w:val="00213695"/>
    <w:rsid w:val="002136CE"/>
    <w:rsid w:val="0021370D"/>
    <w:rsid w:val="00213741"/>
    <w:rsid w:val="00213744"/>
    <w:rsid w:val="00213775"/>
    <w:rsid w:val="00213860"/>
    <w:rsid w:val="00213862"/>
    <w:rsid w:val="002138D0"/>
    <w:rsid w:val="00213917"/>
    <w:rsid w:val="00213987"/>
    <w:rsid w:val="0021399A"/>
    <w:rsid w:val="002139AC"/>
    <w:rsid w:val="002139D3"/>
    <w:rsid w:val="00213A7C"/>
    <w:rsid w:val="00213AF1"/>
    <w:rsid w:val="00213B84"/>
    <w:rsid w:val="00213C15"/>
    <w:rsid w:val="00213CB2"/>
    <w:rsid w:val="00213D40"/>
    <w:rsid w:val="00213D46"/>
    <w:rsid w:val="00213DC1"/>
    <w:rsid w:val="00213DDB"/>
    <w:rsid w:val="00213ED9"/>
    <w:rsid w:val="00213EE3"/>
    <w:rsid w:val="00213F3E"/>
    <w:rsid w:val="00213FD1"/>
    <w:rsid w:val="002140A8"/>
    <w:rsid w:val="00214255"/>
    <w:rsid w:val="00214258"/>
    <w:rsid w:val="0021426C"/>
    <w:rsid w:val="00214299"/>
    <w:rsid w:val="002142A6"/>
    <w:rsid w:val="00214343"/>
    <w:rsid w:val="0021436F"/>
    <w:rsid w:val="0021437A"/>
    <w:rsid w:val="002143D8"/>
    <w:rsid w:val="00214430"/>
    <w:rsid w:val="002144B1"/>
    <w:rsid w:val="00214546"/>
    <w:rsid w:val="0021459C"/>
    <w:rsid w:val="0021459F"/>
    <w:rsid w:val="00214612"/>
    <w:rsid w:val="00214640"/>
    <w:rsid w:val="002146F7"/>
    <w:rsid w:val="002147B2"/>
    <w:rsid w:val="002147BD"/>
    <w:rsid w:val="002147D1"/>
    <w:rsid w:val="00214A5B"/>
    <w:rsid w:val="00214C63"/>
    <w:rsid w:val="00214D35"/>
    <w:rsid w:val="00214D5B"/>
    <w:rsid w:val="00214D8E"/>
    <w:rsid w:val="00214EC7"/>
    <w:rsid w:val="00214F3B"/>
    <w:rsid w:val="00214F5D"/>
    <w:rsid w:val="00214FD5"/>
    <w:rsid w:val="00215048"/>
    <w:rsid w:val="002150AF"/>
    <w:rsid w:val="0021517F"/>
    <w:rsid w:val="00215221"/>
    <w:rsid w:val="00215233"/>
    <w:rsid w:val="002152AD"/>
    <w:rsid w:val="002152BD"/>
    <w:rsid w:val="002152F4"/>
    <w:rsid w:val="00215376"/>
    <w:rsid w:val="00215402"/>
    <w:rsid w:val="00215537"/>
    <w:rsid w:val="00215606"/>
    <w:rsid w:val="00215748"/>
    <w:rsid w:val="002157F0"/>
    <w:rsid w:val="0021582F"/>
    <w:rsid w:val="00215841"/>
    <w:rsid w:val="00215852"/>
    <w:rsid w:val="002158A7"/>
    <w:rsid w:val="00215921"/>
    <w:rsid w:val="002159F7"/>
    <w:rsid w:val="00215A02"/>
    <w:rsid w:val="00215A06"/>
    <w:rsid w:val="00215A35"/>
    <w:rsid w:val="00215A69"/>
    <w:rsid w:val="00215B23"/>
    <w:rsid w:val="00215B4D"/>
    <w:rsid w:val="00215CBC"/>
    <w:rsid w:val="00215CF3"/>
    <w:rsid w:val="00215D06"/>
    <w:rsid w:val="00215E5F"/>
    <w:rsid w:val="00215E7D"/>
    <w:rsid w:val="00215EDA"/>
    <w:rsid w:val="00215EF0"/>
    <w:rsid w:val="00215FB5"/>
    <w:rsid w:val="0021601D"/>
    <w:rsid w:val="00216020"/>
    <w:rsid w:val="00216059"/>
    <w:rsid w:val="00216174"/>
    <w:rsid w:val="00216207"/>
    <w:rsid w:val="002162E8"/>
    <w:rsid w:val="002162EC"/>
    <w:rsid w:val="00216377"/>
    <w:rsid w:val="002163BD"/>
    <w:rsid w:val="002163D4"/>
    <w:rsid w:val="002163F3"/>
    <w:rsid w:val="00216406"/>
    <w:rsid w:val="0021640B"/>
    <w:rsid w:val="00216420"/>
    <w:rsid w:val="0021649C"/>
    <w:rsid w:val="00216579"/>
    <w:rsid w:val="0021659B"/>
    <w:rsid w:val="00216642"/>
    <w:rsid w:val="002166C4"/>
    <w:rsid w:val="002166FE"/>
    <w:rsid w:val="00216783"/>
    <w:rsid w:val="00216808"/>
    <w:rsid w:val="002168DB"/>
    <w:rsid w:val="002168E3"/>
    <w:rsid w:val="002169F0"/>
    <w:rsid w:val="00216A1C"/>
    <w:rsid w:val="00216AD9"/>
    <w:rsid w:val="00216B48"/>
    <w:rsid w:val="00216B66"/>
    <w:rsid w:val="00216D28"/>
    <w:rsid w:val="00216E35"/>
    <w:rsid w:val="00216E54"/>
    <w:rsid w:val="00216F1B"/>
    <w:rsid w:val="00217051"/>
    <w:rsid w:val="002170F5"/>
    <w:rsid w:val="0021716F"/>
    <w:rsid w:val="002171D3"/>
    <w:rsid w:val="00217208"/>
    <w:rsid w:val="002173C6"/>
    <w:rsid w:val="0021745F"/>
    <w:rsid w:val="00217460"/>
    <w:rsid w:val="00217478"/>
    <w:rsid w:val="0021748D"/>
    <w:rsid w:val="002174BD"/>
    <w:rsid w:val="002174E1"/>
    <w:rsid w:val="00217583"/>
    <w:rsid w:val="002175DC"/>
    <w:rsid w:val="002175F9"/>
    <w:rsid w:val="0021788F"/>
    <w:rsid w:val="0021790F"/>
    <w:rsid w:val="002179BC"/>
    <w:rsid w:val="00217AAA"/>
    <w:rsid w:val="00217AB2"/>
    <w:rsid w:val="00217AC3"/>
    <w:rsid w:val="00217AF8"/>
    <w:rsid w:val="00217B06"/>
    <w:rsid w:val="00217B2C"/>
    <w:rsid w:val="00217B91"/>
    <w:rsid w:val="00217BFA"/>
    <w:rsid w:val="00217C07"/>
    <w:rsid w:val="00217C95"/>
    <w:rsid w:val="00217D1C"/>
    <w:rsid w:val="00217D23"/>
    <w:rsid w:val="00217D96"/>
    <w:rsid w:val="00217DFB"/>
    <w:rsid w:val="00217E31"/>
    <w:rsid w:val="00217E60"/>
    <w:rsid w:val="00217EB2"/>
    <w:rsid w:val="00217EC5"/>
    <w:rsid w:val="00217F5D"/>
    <w:rsid w:val="00217FEC"/>
    <w:rsid w:val="0022012B"/>
    <w:rsid w:val="0022017F"/>
    <w:rsid w:val="00220232"/>
    <w:rsid w:val="0022024B"/>
    <w:rsid w:val="002203D2"/>
    <w:rsid w:val="0022045A"/>
    <w:rsid w:val="00220590"/>
    <w:rsid w:val="00220710"/>
    <w:rsid w:val="0022076F"/>
    <w:rsid w:val="002207AF"/>
    <w:rsid w:val="002207E8"/>
    <w:rsid w:val="00220887"/>
    <w:rsid w:val="00220951"/>
    <w:rsid w:val="002209B1"/>
    <w:rsid w:val="00220A38"/>
    <w:rsid w:val="00220AC1"/>
    <w:rsid w:val="00220B3A"/>
    <w:rsid w:val="00220B5A"/>
    <w:rsid w:val="00220B77"/>
    <w:rsid w:val="00220BCA"/>
    <w:rsid w:val="00220D00"/>
    <w:rsid w:val="00220D35"/>
    <w:rsid w:val="00220D4B"/>
    <w:rsid w:val="00220D5B"/>
    <w:rsid w:val="00220E13"/>
    <w:rsid w:val="00220F3C"/>
    <w:rsid w:val="00220FC9"/>
    <w:rsid w:val="00220FF6"/>
    <w:rsid w:val="0022100E"/>
    <w:rsid w:val="0022109F"/>
    <w:rsid w:val="002210B6"/>
    <w:rsid w:val="0022115F"/>
    <w:rsid w:val="00221192"/>
    <w:rsid w:val="002212CC"/>
    <w:rsid w:val="00221339"/>
    <w:rsid w:val="0022140C"/>
    <w:rsid w:val="002214FE"/>
    <w:rsid w:val="00221546"/>
    <w:rsid w:val="00221563"/>
    <w:rsid w:val="002215A9"/>
    <w:rsid w:val="002215FB"/>
    <w:rsid w:val="00221644"/>
    <w:rsid w:val="002216A6"/>
    <w:rsid w:val="0022173E"/>
    <w:rsid w:val="002217DF"/>
    <w:rsid w:val="00221825"/>
    <w:rsid w:val="00221904"/>
    <w:rsid w:val="00221A4B"/>
    <w:rsid w:val="00221AAE"/>
    <w:rsid w:val="00221B80"/>
    <w:rsid w:val="00221C20"/>
    <w:rsid w:val="00221C54"/>
    <w:rsid w:val="00221C7E"/>
    <w:rsid w:val="00221D1E"/>
    <w:rsid w:val="00221DA2"/>
    <w:rsid w:val="00221DAD"/>
    <w:rsid w:val="00221DCE"/>
    <w:rsid w:val="00222021"/>
    <w:rsid w:val="00222037"/>
    <w:rsid w:val="0022206E"/>
    <w:rsid w:val="00222087"/>
    <w:rsid w:val="002220A2"/>
    <w:rsid w:val="0022216D"/>
    <w:rsid w:val="002221C3"/>
    <w:rsid w:val="002222D3"/>
    <w:rsid w:val="00222333"/>
    <w:rsid w:val="0022235D"/>
    <w:rsid w:val="00222362"/>
    <w:rsid w:val="002223D8"/>
    <w:rsid w:val="002223FE"/>
    <w:rsid w:val="0022242A"/>
    <w:rsid w:val="00222455"/>
    <w:rsid w:val="00222456"/>
    <w:rsid w:val="00222537"/>
    <w:rsid w:val="00222562"/>
    <w:rsid w:val="002225C9"/>
    <w:rsid w:val="002225D1"/>
    <w:rsid w:val="00222609"/>
    <w:rsid w:val="00222692"/>
    <w:rsid w:val="002226B4"/>
    <w:rsid w:val="002226BD"/>
    <w:rsid w:val="0022273B"/>
    <w:rsid w:val="00222753"/>
    <w:rsid w:val="00222853"/>
    <w:rsid w:val="00222895"/>
    <w:rsid w:val="002228AB"/>
    <w:rsid w:val="00222912"/>
    <w:rsid w:val="00222991"/>
    <w:rsid w:val="00222B39"/>
    <w:rsid w:val="00222B61"/>
    <w:rsid w:val="00222B6C"/>
    <w:rsid w:val="00222BCE"/>
    <w:rsid w:val="00222BEF"/>
    <w:rsid w:val="00222CAB"/>
    <w:rsid w:val="00222D04"/>
    <w:rsid w:val="00222D24"/>
    <w:rsid w:val="00222D68"/>
    <w:rsid w:val="00222D7E"/>
    <w:rsid w:val="00222E33"/>
    <w:rsid w:val="0022301A"/>
    <w:rsid w:val="002230BF"/>
    <w:rsid w:val="002230E2"/>
    <w:rsid w:val="002231AE"/>
    <w:rsid w:val="002231B8"/>
    <w:rsid w:val="00223255"/>
    <w:rsid w:val="00223272"/>
    <w:rsid w:val="002232A2"/>
    <w:rsid w:val="00223322"/>
    <w:rsid w:val="00223363"/>
    <w:rsid w:val="00223424"/>
    <w:rsid w:val="0022342E"/>
    <w:rsid w:val="002234D2"/>
    <w:rsid w:val="00223534"/>
    <w:rsid w:val="0022373A"/>
    <w:rsid w:val="00223746"/>
    <w:rsid w:val="0022378A"/>
    <w:rsid w:val="002237BE"/>
    <w:rsid w:val="002237D0"/>
    <w:rsid w:val="002237FB"/>
    <w:rsid w:val="00223879"/>
    <w:rsid w:val="002238BB"/>
    <w:rsid w:val="002238F8"/>
    <w:rsid w:val="00223990"/>
    <w:rsid w:val="002239C9"/>
    <w:rsid w:val="00223A71"/>
    <w:rsid w:val="00223B16"/>
    <w:rsid w:val="00223B37"/>
    <w:rsid w:val="00223CAA"/>
    <w:rsid w:val="00223D28"/>
    <w:rsid w:val="00223E1D"/>
    <w:rsid w:val="00223E36"/>
    <w:rsid w:val="00223EE8"/>
    <w:rsid w:val="00223F31"/>
    <w:rsid w:val="00223FB2"/>
    <w:rsid w:val="00223FD9"/>
    <w:rsid w:val="002240F9"/>
    <w:rsid w:val="00224129"/>
    <w:rsid w:val="00224175"/>
    <w:rsid w:val="00224292"/>
    <w:rsid w:val="002242AA"/>
    <w:rsid w:val="00224359"/>
    <w:rsid w:val="00224425"/>
    <w:rsid w:val="00224429"/>
    <w:rsid w:val="0022448E"/>
    <w:rsid w:val="002244D0"/>
    <w:rsid w:val="002245AD"/>
    <w:rsid w:val="002245B0"/>
    <w:rsid w:val="0022467D"/>
    <w:rsid w:val="0022486D"/>
    <w:rsid w:val="0022487F"/>
    <w:rsid w:val="002248ED"/>
    <w:rsid w:val="00224930"/>
    <w:rsid w:val="00224936"/>
    <w:rsid w:val="0022496D"/>
    <w:rsid w:val="00224AA8"/>
    <w:rsid w:val="00224AB0"/>
    <w:rsid w:val="00224D83"/>
    <w:rsid w:val="00224DC0"/>
    <w:rsid w:val="00224DD3"/>
    <w:rsid w:val="00224E59"/>
    <w:rsid w:val="00224F34"/>
    <w:rsid w:val="00224F3C"/>
    <w:rsid w:val="00224FAD"/>
    <w:rsid w:val="00224FCE"/>
    <w:rsid w:val="002250B5"/>
    <w:rsid w:val="002251DD"/>
    <w:rsid w:val="002251FE"/>
    <w:rsid w:val="00225229"/>
    <w:rsid w:val="00225277"/>
    <w:rsid w:val="0022536F"/>
    <w:rsid w:val="00225385"/>
    <w:rsid w:val="002253DB"/>
    <w:rsid w:val="002253EE"/>
    <w:rsid w:val="002254BE"/>
    <w:rsid w:val="00225532"/>
    <w:rsid w:val="00225549"/>
    <w:rsid w:val="0022555E"/>
    <w:rsid w:val="0022567D"/>
    <w:rsid w:val="002256BB"/>
    <w:rsid w:val="002256F1"/>
    <w:rsid w:val="00225757"/>
    <w:rsid w:val="002257C1"/>
    <w:rsid w:val="002257C3"/>
    <w:rsid w:val="002258BC"/>
    <w:rsid w:val="002258DD"/>
    <w:rsid w:val="002259E3"/>
    <w:rsid w:val="00225A24"/>
    <w:rsid w:val="00225AB6"/>
    <w:rsid w:val="00225AD9"/>
    <w:rsid w:val="00225B0E"/>
    <w:rsid w:val="00225B7D"/>
    <w:rsid w:val="00225C95"/>
    <w:rsid w:val="00225D3E"/>
    <w:rsid w:val="00225D55"/>
    <w:rsid w:val="00225D7B"/>
    <w:rsid w:val="00225EE2"/>
    <w:rsid w:val="00225EEC"/>
    <w:rsid w:val="00225F85"/>
    <w:rsid w:val="00225F87"/>
    <w:rsid w:val="00225FF0"/>
    <w:rsid w:val="00226120"/>
    <w:rsid w:val="002261B8"/>
    <w:rsid w:val="0022626F"/>
    <w:rsid w:val="0022646D"/>
    <w:rsid w:val="002265BE"/>
    <w:rsid w:val="002266AA"/>
    <w:rsid w:val="002266FD"/>
    <w:rsid w:val="0022675D"/>
    <w:rsid w:val="00226790"/>
    <w:rsid w:val="0022692A"/>
    <w:rsid w:val="00226962"/>
    <w:rsid w:val="00226971"/>
    <w:rsid w:val="002269C9"/>
    <w:rsid w:val="00226A09"/>
    <w:rsid w:val="00226AF2"/>
    <w:rsid w:val="00226B1E"/>
    <w:rsid w:val="00226B4B"/>
    <w:rsid w:val="00226BAE"/>
    <w:rsid w:val="00226BD8"/>
    <w:rsid w:val="00226BFD"/>
    <w:rsid w:val="00226C89"/>
    <w:rsid w:val="00226C9C"/>
    <w:rsid w:val="00226E1E"/>
    <w:rsid w:val="00226F57"/>
    <w:rsid w:val="00226FE1"/>
    <w:rsid w:val="00227017"/>
    <w:rsid w:val="00227034"/>
    <w:rsid w:val="0022713A"/>
    <w:rsid w:val="002271B3"/>
    <w:rsid w:val="0022721F"/>
    <w:rsid w:val="00227235"/>
    <w:rsid w:val="0022726C"/>
    <w:rsid w:val="002272B5"/>
    <w:rsid w:val="002272F8"/>
    <w:rsid w:val="00227321"/>
    <w:rsid w:val="0022732D"/>
    <w:rsid w:val="00227434"/>
    <w:rsid w:val="002274B3"/>
    <w:rsid w:val="0022752B"/>
    <w:rsid w:val="00227565"/>
    <w:rsid w:val="0022767B"/>
    <w:rsid w:val="00227681"/>
    <w:rsid w:val="00227709"/>
    <w:rsid w:val="002277C7"/>
    <w:rsid w:val="00227831"/>
    <w:rsid w:val="0022791A"/>
    <w:rsid w:val="00227937"/>
    <w:rsid w:val="002279E6"/>
    <w:rsid w:val="00227A2F"/>
    <w:rsid w:val="00227A61"/>
    <w:rsid w:val="00227B72"/>
    <w:rsid w:val="00227B91"/>
    <w:rsid w:val="00227BC0"/>
    <w:rsid w:val="00227C30"/>
    <w:rsid w:val="00227D8C"/>
    <w:rsid w:val="00227E99"/>
    <w:rsid w:val="00227EDD"/>
    <w:rsid w:val="00227EF2"/>
    <w:rsid w:val="00230006"/>
    <w:rsid w:val="0023001A"/>
    <w:rsid w:val="00230064"/>
    <w:rsid w:val="00230174"/>
    <w:rsid w:val="002301E3"/>
    <w:rsid w:val="00230269"/>
    <w:rsid w:val="00230333"/>
    <w:rsid w:val="002303C2"/>
    <w:rsid w:val="0023041D"/>
    <w:rsid w:val="00230459"/>
    <w:rsid w:val="00230487"/>
    <w:rsid w:val="00230575"/>
    <w:rsid w:val="0023065E"/>
    <w:rsid w:val="0023066D"/>
    <w:rsid w:val="00230681"/>
    <w:rsid w:val="00230690"/>
    <w:rsid w:val="002306BE"/>
    <w:rsid w:val="00230730"/>
    <w:rsid w:val="002308A0"/>
    <w:rsid w:val="0023090E"/>
    <w:rsid w:val="00230943"/>
    <w:rsid w:val="0023094D"/>
    <w:rsid w:val="00230A10"/>
    <w:rsid w:val="00230A4F"/>
    <w:rsid w:val="00230A55"/>
    <w:rsid w:val="00230B11"/>
    <w:rsid w:val="00230BC4"/>
    <w:rsid w:val="00230C2D"/>
    <w:rsid w:val="00230CFC"/>
    <w:rsid w:val="00230D70"/>
    <w:rsid w:val="00230D8C"/>
    <w:rsid w:val="00230D93"/>
    <w:rsid w:val="00230DDD"/>
    <w:rsid w:val="00230DF8"/>
    <w:rsid w:val="00230E73"/>
    <w:rsid w:val="00230EA3"/>
    <w:rsid w:val="00230EB1"/>
    <w:rsid w:val="00230F1B"/>
    <w:rsid w:val="00230F4E"/>
    <w:rsid w:val="00230F98"/>
    <w:rsid w:val="00230FAB"/>
    <w:rsid w:val="00230FC4"/>
    <w:rsid w:val="00231115"/>
    <w:rsid w:val="00231177"/>
    <w:rsid w:val="002311B8"/>
    <w:rsid w:val="00231279"/>
    <w:rsid w:val="00231379"/>
    <w:rsid w:val="002314C6"/>
    <w:rsid w:val="0023154F"/>
    <w:rsid w:val="002315FA"/>
    <w:rsid w:val="0023167D"/>
    <w:rsid w:val="002316B2"/>
    <w:rsid w:val="002316B7"/>
    <w:rsid w:val="0023172B"/>
    <w:rsid w:val="0023175B"/>
    <w:rsid w:val="00231777"/>
    <w:rsid w:val="0023190A"/>
    <w:rsid w:val="00231950"/>
    <w:rsid w:val="00231B15"/>
    <w:rsid w:val="00231B4C"/>
    <w:rsid w:val="00231B7D"/>
    <w:rsid w:val="00231C37"/>
    <w:rsid w:val="00231C94"/>
    <w:rsid w:val="00231D16"/>
    <w:rsid w:val="00231D96"/>
    <w:rsid w:val="00231E5E"/>
    <w:rsid w:val="00231FFA"/>
    <w:rsid w:val="0023207E"/>
    <w:rsid w:val="002320D8"/>
    <w:rsid w:val="002320FF"/>
    <w:rsid w:val="0023213A"/>
    <w:rsid w:val="002321BA"/>
    <w:rsid w:val="002321E0"/>
    <w:rsid w:val="00232218"/>
    <w:rsid w:val="00232290"/>
    <w:rsid w:val="00232524"/>
    <w:rsid w:val="00232535"/>
    <w:rsid w:val="002325FE"/>
    <w:rsid w:val="00232731"/>
    <w:rsid w:val="00232754"/>
    <w:rsid w:val="0023288B"/>
    <w:rsid w:val="002328AD"/>
    <w:rsid w:val="002328AE"/>
    <w:rsid w:val="00232914"/>
    <w:rsid w:val="00232A2D"/>
    <w:rsid w:val="00232A7F"/>
    <w:rsid w:val="00232AC1"/>
    <w:rsid w:val="00232B21"/>
    <w:rsid w:val="00232B5E"/>
    <w:rsid w:val="00232B70"/>
    <w:rsid w:val="00232C2D"/>
    <w:rsid w:val="00232C73"/>
    <w:rsid w:val="00232C7A"/>
    <w:rsid w:val="00232CAF"/>
    <w:rsid w:val="00232CB3"/>
    <w:rsid w:val="00232CBC"/>
    <w:rsid w:val="00232CD8"/>
    <w:rsid w:val="00232D56"/>
    <w:rsid w:val="00232DD0"/>
    <w:rsid w:val="00232E02"/>
    <w:rsid w:val="00232E56"/>
    <w:rsid w:val="00232E6B"/>
    <w:rsid w:val="00232E83"/>
    <w:rsid w:val="00232EA8"/>
    <w:rsid w:val="00232EF5"/>
    <w:rsid w:val="00232F0A"/>
    <w:rsid w:val="00232F50"/>
    <w:rsid w:val="00232FAE"/>
    <w:rsid w:val="002330C2"/>
    <w:rsid w:val="00233119"/>
    <w:rsid w:val="00233139"/>
    <w:rsid w:val="0023317A"/>
    <w:rsid w:val="0023319F"/>
    <w:rsid w:val="002332B4"/>
    <w:rsid w:val="0023334F"/>
    <w:rsid w:val="00233368"/>
    <w:rsid w:val="002333AB"/>
    <w:rsid w:val="002333E6"/>
    <w:rsid w:val="00233448"/>
    <w:rsid w:val="00233494"/>
    <w:rsid w:val="002334D6"/>
    <w:rsid w:val="002334F0"/>
    <w:rsid w:val="00233536"/>
    <w:rsid w:val="002335A7"/>
    <w:rsid w:val="00233713"/>
    <w:rsid w:val="00233787"/>
    <w:rsid w:val="002338A3"/>
    <w:rsid w:val="002338A4"/>
    <w:rsid w:val="0023395B"/>
    <w:rsid w:val="00233A29"/>
    <w:rsid w:val="00233BAA"/>
    <w:rsid w:val="00233BEE"/>
    <w:rsid w:val="00233C55"/>
    <w:rsid w:val="00233C89"/>
    <w:rsid w:val="00233CF3"/>
    <w:rsid w:val="00233CFC"/>
    <w:rsid w:val="00233D1C"/>
    <w:rsid w:val="00233D71"/>
    <w:rsid w:val="00233D7D"/>
    <w:rsid w:val="00233E00"/>
    <w:rsid w:val="00233E22"/>
    <w:rsid w:val="00233E3D"/>
    <w:rsid w:val="00233EB6"/>
    <w:rsid w:val="00233EC8"/>
    <w:rsid w:val="00233F58"/>
    <w:rsid w:val="00233F61"/>
    <w:rsid w:val="00234008"/>
    <w:rsid w:val="0023406C"/>
    <w:rsid w:val="00234072"/>
    <w:rsid w:val="00234076"/>
    <w:rsid w:val="00234086"/>
    <w:rsid w:val="002340CB"/>
    <w:rsid w:val="00234105"/>
    <w:rsid w:val="00234182"/>
    <w:rsid w:val="00234184"/>
    <w:rsid w:val="002341B0"/>
    <w:rsid w:val="00234245"/>
    <w:rsid w:val="0023426E"/>
    <w:rsid w:val="002344BB"/>
    <w:rsid w:val="002344D1"/>
    <w:rsid w:val="00234514"/>
    <w:rsid w:val="00234685"/>
    <w:rsid w:val="00234686"/>
    <w:rsid w:val="0023472A"/>
    <w:rsid w:val="0023476A"/>
    <w:rsid w:val="00234811"/>
    <w:rsid w:val="00234AA0"/>
    <w:rsid w:val="00234B8F"/>
    <w:rsid w:val="00234BCC"/>
    <w:rsid w:val="00234D61"/>
    <w:rsid w:val="00234EB3"/>
    <w:rsid w:val="00234EEE"/>
    <w:rsid w:val="00234EEF"/>
    <w:rsid w:val="00234F67"/>
    <w:rsid w:val="0023503D"/>
    <w:rsid w:val="0023506D"/>
    <w:rsid w:val="002350A5"/>
    <w:rsid w:val="002350B0"/>
    <w:rsid w:val="0023515D"/>
    <w:rsid w:val="002351DB"/>
    <w:rsid w:val="0023522D"/>
    <w:rsid w:val="0023525B"/>
    <w:rsid w:val="00235294"/>
    <w:rsid w:val="002352EF"/>
    <w:rsid w:val="0023530E"/>
    <w:rsid w:val="00235313"/>
    <w:rsid w:val="0023536F"/>
    <w:rsid w:val="002353B0"/>
    <w:rsid w:val="002353B9"/>
    <w:rsid w:val="002353D1"/>
    <w:rsid w:val="0023546D"/>
    <w:rsid w:val="0023564E"/>
    <w:rsid w:val="00235656"/>
    <w:rsid w:val="00235661"/>
    <w:rsid w:val="00235699"/>
    <w:rsid w:val="002356F1"/>
    <w:rsid w:val="00235808"/>
    <w:rsid w:val="0023580B"/>
    <w:rsid w:val="002358AA"/>
    <w:rsid w:val="002358DC"/>
    <w:rsid w:val="0023592E"/>
    <w:rsid w:val="0023594D"/>
    <w:rsid w:val="00235984"/>
    <w:rsid w:val="0023599F"/>
    <w:rsid w:val="002359E8"/>
    <w:rsid w:val="00235A17"/>
    <w:rsid w:val="00235A9C"/>
    <w:rsid w:val="00235AD9"/>
    <w:rsid w:val="00235B4F"/>
    <w:rsid w:val="00235BF0"/>
    <w:rsid w:val="00235BF8"/>
    <w:rsid w:val="00235C86"/>
    <w:rsid w:val="00235CA4"/>
    <w:rsid w:val="00235D7A"/>
    <w:rsid w:val="00235DAE"/>
    <w:rsid w:val="00235E28"/>
    <w:rsid w:val="00235FDD"/>
    <w:rsid w:val="00236031"/>
    <w:rsid w:val="00236093"/>
    <w:rsid w:val="0023609B"/>
    <w:rsid w:val="002360CE"/>
    <w:rsid w:val="00236118"/>
    <w:rsid w:val="0023612C"/>
    <w:rsid w:val="00236191"/>
    <w:rsid w:val="0023619F"/>
    <w:rsid w:val="0023635D"/>
    <w:rsid w:val="00236449"/>
    <w:rsid w:val="00236459"/>
    <w:rsid w:val="002365AE"/>
    <w:rsid w:val="002366C9"/>
    <w:rsid w:val="0023670C"/>
    <w:rsid w:val="00236738"/>
    <w:rsid w:val="0023673B"/>
    <w:rsid w:val="0023680C"/>
    <w:rsid w:val="002368F6"/>
    <w:rsid w:val="00236905"/>
    <w:rsid w:val="0023693F"/>
    <w:rsid w:val="002369AB"/>
    <w:rsid w:val="002369BC"/>
    <w:rsid w:val="002369FD"/>
    <w:rsid w:val="00236A65"/>
    <w:rsid w:val="00236A88"/>
    <w:rsid w:val="00236AA9"/>
    <w:rsid w:val="00236B37"/>
    <w:rsid w:val="00236B5B"/>
    <w:rsid w:val="00236BBA"/>
    <w:rsid w:val="00236BE1"/>
    <w:rsid w:val="00236DC2"/>
    <w:rsid w:val="00236DC9"/>
    <w:rsid w:val="00236DE0"/>
    <w:rsid w:val="00236E2F"/>
    <w:rsid w:val="00236ECA"/>
    <w:rsid w:val="00236F27"/>
    <w:rsid w:val="00236FC0"/>
    <w:rsid w:val="00236FC3"/>
    <w:rsid w:val="00236FF0"/>
    <w:rsid w:val="002370CA"/>
    <w:rsid w:val="0023721F"/>
    <w:rsid w:val="00237287"/>
    <w:rsid w:val="002372A2"/>
    <w:rsid w:val="00237501"/>
    <w:rsid w:val="002377AD"/>
    <w:rsid w:val="002378CC"/>
    <w:rsid w:val="00237900"/>
    <w:rsid w:val="00237924"/>
    <w:rsid w:val="002379AA"/>
    <w:rsid w:val="002379DD"/>
    <w:rsid w:val="002379EA"/>
    <w:rsid w:val="00237A34"/>
    <w:rsid w:val="00237A35"/>
    <w:rsid w:val="00237A81"/>
    <w:rsid w:val="00237AA9"/>
    <w:rsid w:val="00237B0D"/>
    <w:rsid w:val="00237B30"/>
    <w:rsid w:val="00237B8B"/>
    <w:rsid w:val="00237BE0"/>
    <w:rsid w:val="00237CCB"/>
    <w:rsid w:val="00237CF5"/>
    <w:rsid w:val="00237D0B"/>
    <w:rsid w:val="00237D77"/>
    <w:rsid w:val="00237EC8"/>
    <w:rsid w:val="00237EE1"/>
    <w:rsid w:val="00237F7F"/>
    <w:rsid w:val="0024000F"/>
    <w:rsid w:val="00240127"/>
    <w:rsid w:val="002401C1"/>
    <w:rsid w:val="002402B8"/>
    <w:rsid w:val="00240315"/>
    <w:rsid w:val="0024031A"/>
    <w:rsid w:val="00240357"/>
    <w:rsid w:val="002403A6"/>
    <w:rsid w:val="00240418"/>
    <w:rsid w:val="00240448"/>
    <w:rsid w:val="0024049C"/>
    <w:rsid w:val="00240553"/>
    <w:rsid w:val="002405A4"/>
    <w:rsid w:val="002405EE"/>
    <w:rsid w:val="002406E1"/>
    <w:rsid w:val="00240711"/>
    <w:rsid w:val="00240725"/>
    <w:rsid w:val="00240773"/>
    <w:rsid w:val="00240791"/>
    <w:rsid w:val="002408CC"/>
    <w:rsid w:val="002409AF"/>
    <w:rsid w:val="002409F2"/>
    <w:rsid w:val="00240A5F"/>
    <w:rsid w:val="00240A87"/>
    <w:rsid w:val="00240ACC"/>
    <w:rsid w:val="00240AD5"/>
    <w:rsid w:val="00240CD5"/>
    <w:rsid w:val="00240CF4"/>
    <w:rsid w:val="00240D15"/>
    <w:rsid w:val="00240D1B"/>
    <w:rsid w:val="00240D20"/>
    <w:rsid w:val="00240DBB"/>
    <w:rsid w:val="00240E29"/>
    <w:rsid w:val="00240E68"/>
    <w:rsid w:val="00240E8A"/>
    <w:rsid w:val="00240E8D"/>
    <w:rsid w:val="00240EA4"/>
    <w:rsid w:val="00240F3A"/>
    <w:rsid w:val="00240F74"/>
    <w:rsid w:val="00240F90"/>
    <w:rsid w:val="00240FBC"/>
    <w:rsid w:val="00240FEF"/>
    <w:rsid w:val="002410AD"/>
    <w:rsid w:val="002410DE"/>
    <w:rsid w:val="0024130D"/>
    <w:rsid w:val="0024152E"/>
    <w:rsid w:val="00241592"/>
    <w:rsid w:val="002415BE"/>
    <w:rsid w:val="002415E7"/>
    <w:rsid w:val="002415F9"/>
    <w:rsid w:val="00241681"/>
    <w:rsid w:val="002416BC"/>
    <w:rsid w:val="00241712"/>
    <w:rsid w:val="00241757"/>
    <w:rsid w:val="002417DA"/>
    <w:rsid w:val="002417E5"/>
    <w:rsid w:val="00241800"/>
    <w:rsid w:val="00241832"/>
    <w:rsid w:val="0024199C"/>
    <w:rsid w:val="00241A3C"/>
    <w:rsid w:val="00241A77"/>
    <w:rsid w:val="00241A9E"/>
    <w:rsid w:val="00241AF1"/>
    <w:rsid w:val="00241B2A"/>
    <w:rsid w:val="00241C40"/>
    <w:rsid w:val="00241C48"/>
    <w:rsid w:val="00241D8F"/>
    <w:rsid w:val="00241ECA"/>
    <w:rsid w:val="00241ED9"/>
    <w:rsid w:val="00241FAC"/>
    <w:rsid w:val="00241FEF"/>
    <w:rsid w:val="002420C1"/>
    <w:rsid w:val="002420E8"/>
    <w:rsid w:val="00242124"/>
    <w:rsid w:val="002421C6"/>
    <w:rsid w:val="002421FF"/>
    <w:rsid w:val="00242200"/>
    <w:rsid w:val="00242211"/>
    <w:rsid w:val="0024222D"/>
    <w:rsid w:val="00242279"/>
    <w:rsid w:val="002422AA"/>
    <w:rsid w:val="0024235C"/>
    <w:rsid w:val="002424BF"/>
    <w:rsid w:val="00242512"/>
    <w:rsid w:val="002425FB"/>
    <w:rsid w:val="002427B9"/>
    <w:rsid w:val="002427BB"/>
    <w:rsid w:val="002427D9"/>
    <w:rsid w:val="002427E1"/>
    <w:rsid w:val="0024284C"/>
    <w:rsid w:val="00242881"/>
    <w:rsid w:val="00242994"/>
    <w:rsid w:val="0024299E"/>
    <w:rsid w:val="00242AF2"/>
    <w:rsid w:val="00242B95"/>
    <w:rsid w:val="00242BA6"/>
    <w:rsid w:val="00242C45"/>
    <w:rsid w:val="00242CE2"/>
    <w:rsid w:val="00242CF1"/>
    <w:rsid w:val="00242DCC"/>
    <w:rsid w:val="00242EE4"/>
    <w:rsid w:val="00243002"/>
    <w:rsid w:val="00243022"/>
    <w:rsid w:val="0024302A"/>
    <w:rsid w:val="00243184"/>
    <w:rsid w:val="00243185"/>
    <w:rsid w:val="002431A3"/>
    <w:rsid w:val="0024320E"/>
    <w:rsid w:val="002432BB"/>
    <w:rsid w:val="00243314"/>
    <w:rsid w:val="00243363"/>
    <w:rsid w:val="002433F2"/>
    <w:rsid w:val="00243547"/>
    <w:rsid w:val="00243616"/>
    <w:rsid w:val="0024361E"/>
    <w:rsid w:val="002436C9"/>
    <w:rsid w:val="002437D6"/>
    <w:rsid w:val="002437F7"/>
    <w:rsid w:val="00243859"/>
    <w:rsid w:val="00243BF3"/>
    <w:rsid w:val="00243C25"/>
    <w:rsid w:val="00243C6C"/>
    <w:rsid w:val="00243CF3"/>
    <w:rsid w:val="00243D0A"/>
    <w:rsid w:val="00243D75"/>
    <w:rsid w:val="00243D8B"/>
    <w:rsid w:val="00243E2F"/>
    <w:rsid w:val="00243E6E"/>
    <w:rsid w:val="00243EDC"/>
    <w:rsid w:val="00243F75"/>
    <w:rsid w:val="00243FB4"/>
    <w:rsid w:val="00244007"/>
    <w:rsid w:val="00244015"/>
    <w:rsid w:val="0024406B"/>
    <w:rsid w:val="002440B2"/>
    <w:rsid w:val="002440BA"/>
    <w:rsid w:val="002440FC"/>
    <w:rsid w:val="00244222"/>
    <w:rsid w:val="002442CD"/>
    <w:rsid w:val="00244361"/>
    <w:rsid w:val="00244428"/>
    <w:rsid w:val="00244431"/>
    <w:rsid w:val="00244447"/>
    <w:rsid w:val="00244467"/>
    <w:rsid w:val="0024446D"/>
    <w:rsid w:val="0024459D"/>
    <w:rsid w:val="002445B7"/>
    <w:rsid w:val="002445EA"/>
    <w:rsid w:val="0024462B"/>
    <w:rsid w:val="00244675"/>
    <w:rsid w:val="002446B5"/>
    <w:rsid w:val="00244736"/>
    <w:rsid w:val="00244787"/>
    <w:rsid w:val="0024492D"/>
    <w:rsid w:val="00244942"/>
    <w:rsid w:val="002449A5"/>
    <w:rsid w:val="002449B6"/>
    <w:rsid w:val="00244A0B"/>
    <w:rsid w:val="00244A3A"/>
    <w:rsid w:val="00244A4E"/>
    <w:rsid w:val="00244A97"/>
    <w:rsid w:val="00244A9A"/>
    <w:rsid w:val="00244BBD"/>
    <w:rsid w:val="00244BC2"/>
    <w:rsid w:val="00244D5B"/>
    <w:rsid w:val="00244E36"/>
    <w:rsid w:val="00244E4D"/>
    <w:rsid w:val="0024513E"/>
    <w:rsid w:val="002451B4"/>
    <w:rsid w:val="00245262"/>
    <w:rsid w:val="002452C6"/>
    <w:rsid w:val="00245317"/>
    <w:rsid w:val="0024535D"/>
    <w:rsid w:val="00245374"/>
    <w:rsid w:val="002453FB"/>
    <w:rsid w:val="0024542B"/>
    <w:rsid w:val="00245443"/>
    <w:rsid w:val="00245466"/>
    <w:rsid w:val="00245475"/>
    <w:rsid w:val="002454CB"/>
    <w:rsid w:val="0024553A"/>
    <w:rsid w:val="00245625"/>
    <w:rsid w:val="00245627"/>
    <w:rsid w:val="00245764"/>
    <w:rsid w:val="0024576A"/>
    <w:rsid w:val="002457C7"/>
    <w:rsid w:val="0024586C"/>
    <w:rsid w:val="002458C9"/>
    <w:rsid w:val="0024593D"/>
    <w:rsid w:val="00245C1C"/>
    <w:rsid w:val="00245CF5"/>
    <w:rsid w:val="00245D1C"/>
    <w:rsid w:val="00245D92"/>
    <w:rsid w:val="00245DE9"/>
    <w:rsid w:val="00245EB7"/>
    <w:rsid w:val="0024611D"/>
    <w:rsid w:val="002461DA"/>
    <w:rsid w:val="002461E2"/>
    <w:rsid w:val="002461EB"/>
    <w:rsid w:val="002463E6"/>
    <w:rsid w:val="00246448"/>
    <w:rsid w:val="0024646B"/>
    <w:rsid w:val="00246500"/>
    <w:rsid w:val="00246599"/>
    <w:rsid w:val="002466D2"/>
    <w:rsid w:val="002466FC"/>
    <w:rsid w:val="002466FF"/>
    <w:rsid w:val="0024670C"/>
    <w:rsid w:val="00246721"/>
    <w:rsid w:val="0024683D"/>
    <w:rsid w:val="002468AC"/>
    <w:rsid w:val="002468BA"/>
    <w:rsid w:val="002469C7"/>
    <w:rsid w:val="00246A78"/>
    <w:rsid w:val="00246A7A"/>
    <w:rsid w:val="00246A9F"/>
    <w:rsid w:val="00246B0B"/>
    <w:rsid w:val="00246BAB"/>
    <w:rsid w:val="00246C7B"/>
    <w:rsid w:val="00246C7F"/>
    <w:rsid w:val="00246D1A"/>
    <w:rsid w:val="00246D84"/>
    <w:rsid w:val="00246D85"/>
    <w:rsid w:val="00246D9A"/>
    <w:rsid w:val="00246E80"/>
    <w:rsid w:val="00246EA0"/>
    <w:rsid w:val="00246EE6"/>
    <w:rsid w:val="00246F46"/>
    <w:rsid w:val="00246F93"/>
    <w:rsid w:val="0024702B"/>
    <w:rsid w:val="002470FF"/>
    <w:rsid w:val="00247125"/>
    <w:rsid w:val="00247136"/>
    <w:rsid w:val="002471AC"/>
    <w:rsid w:val="0024720A"/>
    <w:rsid w:val="0024728A"/>
    <w:rsid w:val="0024743D"/>
    <w:rsid w:val="002474BA"/>
    <w:rsid w:val="00247529"/>
    <w:rsid w:val="002475B4"/>
    <w:rsid w:val="00247639"/>
    <w:rsid w:val="0024778F"/>
    <w:rsid w:val="0024795D"/>
    <w:rsid w:val="002479C0"/>
    <w:rsid w:val="002479FA"/>
    <w:rsid w:val="00247ADC"/>
    <w:rsid w:val="00247AF0"/>
    <w:rsid w:val="00247C7F"/>
    <w:rsid w:val="00247D0E"/>
    <w:rsid w:val="00247E6D"/>
    <w:rsid w:val="00247E9B"/>
    <w:rsid w:val="00247FE8"/>
    <w:rsid w:val="00247FEB"/>
    <w:rsid w:val="00250022"/>
    <w:rsid w:val="002500B9"/>
    <w:rsid w:val="0025014D"/>
    <w:rsid w:val="002502A6"/>
    <w:rsid w:val="002502F8"/>
    <w:rsid w:val="0025036A"/>
    <w:rsid w:val="002503FB"/>
    <w:rsid w:val="00250477"/>
    <w:rsid w:val="002504B7"/>
    <w:rsid w:val="002504FC"/>
    <w:rsid w:val="00250592"/>
    <w:rsid w:val="002505E5"/>
    <w:rsid w:val="002505FA"/>
    <w:rsid w:val="0025061E"/>
    <w:rsid w:val="00250662"/>
    <w:rsid w:val="002506AB"/>
    <w:rsid w:val="002506DE"/>
    <w:rsid w:val="00250724"/>
    <w:rsid w:val="002508B0"/>
    <w:rsid w:val="0025095C"/>
    <w:rsid w:val="002509CB"/>
    <w:rsid w:val="002509E7"/>
    <w:rsid w:val="00250AF6"/>
    <w:rsid w:val="00250B13"/>
    <w:rsid w:val="00250B1B"/>
    <w:rsid w:val="00250B1E"/>
    <w:rsid w:val="00250B43"/>
    <w:rsid w:val="00250B52"/>
    <w:rsid w:val="00250BA0"/>
    <w:rsid w:val="00250C16"/>
    <w:rsid w:val="00250C5F"/>
    <w:rsid w:val="00250C7C"/>
    <w:rsid w:val="00250CCC"/>
    <w:rsid w:val="00250D63"/>
    <w:rsid w:val="00250DF6"/>
    <w:rsid w:val="00250E01"/>
    <w:rsid w:val="00250E54"/>
    <w:rsid w:val="0025102E"/>
    <w:rsid w:val="00251075"/>
    <w:rsid w:val="00251091"/>
    <w:rsid w:val="002510A9"/>
    <w:rsid w:val="002510B8"/>
    <w:rsid w:val="002510DC"/>
    <w:rsid w:val="00251185"/>
    <w:rsid w:val="00251232"/>
    <w:rsid w:val="00251320"/>
    <w:rsid w:val="00251324"/>
    <w:rsid w:val="002513E8"/>
    <w:rsid w:val="00251503"/>
    <w:rsid w:val="002515AA"/>
    <w:rsid w:val="00251660"/>
    <w:rsid w:val="002516AB"/>
    <w:rsid w:val="002516E0"/>
    <w:rsid w:val="002516EB"/>
    <w:rsid w:val="00251871"/>
    <w:rsid w:val="00251B17"/>
    <w:rsid w:val="00251B25"/>
    <w:rsid w:val="00251BA2"/>
    <w:rsid w:val="00251C5A"/>
    <w:rsid w:val="00251C82"/>
    <w:rsid w:val="00251CA5"/>
    <w:rsid w:val="00251D37"/>
    <w:rsid w:val="00251D81"/>
    <w:rsid w:val="00251F86"/>
    <w:rsid w:val="00251FF4"/>
    <w:rsid w:val="002520A8"/>
    <w:rsid w:val="00252158"/>
    <w:rsid w:val="0025216A"/>
    <w:rsid w:val="00252293"/>
    <w:rsid w:val="00252316"/>
    <w:rsid w:val="002523E5"/>
    <w:rsid w:val="002524BB"/>
    <w:rsid w:val="00252569"/>
    <w:rsid w:val="00252589"/>
    <w:rsid w:val="0025286A"/>
    <w:rsid w:val="002528B3"/>
    <w:rsid w:val="002529E5"/>
    <w:rsid w:val="00252A9F"/>
    <w:rsid w:val="00252B41"/>
    <w:rsid w:val="00252B5A"/>
    <w:rsid w:val="00252B62"/>
    <w:rsid w:val="00252CB4"/>
    <w:rsid w:val="00252EBA"/>
    <w:rsid w:val="00252EE6"/>
    <w:rsid w:val="0025305E"/>
    <w:rsid w:val="002530C6"/>
    <w:rsid w:val="00253123"/>
    <w:rsid w:val="0025312C"/>
    <w:rsid w:val="00253135"/>
    <w:rsid w:val="00253139"/>
    <w:rsid w:val="00253201"/>
    <w:rsid w:val="00253224"/>
    <w:rsid w:val="002532B1"/>
    <w:rsid w:val="00253349"/>
    <w:rsid w:val="00253351"/>
    <w:rsid w:val="00253397"/>
    <w:rsid w:val="002533F3"/>
    <w:rsid w:val="00253525"/>
    <w:rsid w:val="0025360F"/>
    <w:rsid w:val="0025361F"/>
    <w:rsid w:val="00253623"/>
    <w:rsid w:val="0025368B"/>
    <w:rsid w:val="002536A3"/>
    <w:rsid w:val="00253757"/>
    <w:rsid w:val="00253790"/>
    <w:rsid w:val="00253852"/>
    <w:rsid w:val="00253889"/>
    <w:rsid w:val="002538F5"/>
    <w:rsid w:val="00253928"/>
    <w:rsid w:val="00253A59"/>
    <w:rsid w:val="00253A79"/>
    <w:rsid w:val="00253A99"/>
    <w:rsid w:val="00253AC7"/>
    <w:rsid w:val="00253C75"/>
    <w:rsid w:val="00253CA4"/>
    <w:rsid w:val="00253D00"/>
    <w:rsid w:val="00253D0B"/>
    <w:rsid w:val="00253D7D"/>
    <w:rsid w:val="00253E11"/>
    <w:rsid w:val="00253E3C"/>
    <w:rsid w:val="00253F0C"/>
    <w:rsid w:val="00253F6F"/>
    <w:rsid w:val="00254006"/>
    <w:rsid w:val="00254087"/>
    <w:rsid w:val="002540FA"/>
    <w:rsid w:val="0025412A"/>
    <w:rsid w:val="0025417D"/>
    <w:rsid w:val="00254185"/>
    <w:rsid w:val="00254223"/>
    <w:rsid w:val="00254225"/>
    <w:rsid w:val="002542D0"/>
    <w:rsid w:val="002543CB"/>
    <w:rsid w:val="00254428"/>
    <w:rsid w:val="00254549"/>
    <w:rsid w:val="00254562"/>
    <w:rsid w:val="00254573"/>
    <w:rsid w:val="00254694"/>
    <w:rsid w:val="0025469F"/>
    <w:rsid w:val="002546CA"/>
    <w:rsid w:val="002546F0"/>
    <w:rsid w:val="00254720"/>
    <w:rsid w:val="00254777"/>
    <w:rsid w:val="002547B1"/>
    <w:rsid w:val="002547F3"/>
    <w:rsid w:val="00254846"/>
    <w:rsid w:val="00254866"/>
    <w:rsid w:val="00254876"/>
    <w:rsid w:val="002548D0"/>
    <w:rsid w:val="002548FA"/>
    <w:rsid w:val="00254980"/>
    <w:rsid w:val="002549A1"/>
    <w:rsid w:val="002549CD"/>
    <w:rsid w:val="00254A62"/>
    <w:rsid w:val="00254A7A"/>
    <w:rsid w:val="00254AB3"/>
    <w:rsid w:val="00254AC8"/>
    <w:rsid w:val="00254B90"/>
    <w:rsid w:val="00254BB9"/>
    <w:rsid w:val="00254C02"/>
    <w:rsid w:val="00254D06"/>
    <w:rsid w:val="00254D85"/>
    <w:rsid w:val="00254D93"/>
    <w:rsid w:val="00254E77"/>
    <w:rsid w:val="00254E8C"/>
    <w:rsid w:val="00254F79"/>
    <w:rsid w:val="00254FAC"/>
    <w:rsid w:val="00254FE3"/>
    <w:rsid w:val="0025507C"/>
    <w:rsid w:val="00255147"/>
    <w:rsid w:val="0025514C"/>
    <w:rsid w:val="0025520D"/>
    <w:rsid w:val="00255217"/>
    <w:rsid w:val="002553B4"/>
    <w:rsid w:val="002553BD"/>
    <w:rsid w:val="0025549D"/>
    <w:rsid w:val="00255550"/>
    <w:rsid w:val="002555E4"/>
    <w:rsid w:val="002556E0"/>
    <w:rsid w:val="0025574E"/>
    <w:rsid w:val="002557BF"/>
    <w:rsid w:val="002557E0"/>
    <w:rsid w:val="0025580F"/>
    <w:rsid w:val="0025581E"/>
    <w:rsid w:val="00255835"/>
    <w:rsid w:val="002558A4"/>
    <w:rsid w:val="0025590D"/>
    <w:rsid w:val="00255915"/>
    <w:rsid w:val="00255962"/>
    <w:rsid w:val="00255989"/>
    <w:rsid w:val="002559C1"/>
    <w:rsid w:val="00255D07"/>
    <w:rsid w:val="00255E83"/>
    <w:rsid w:val="00255F0A"/>
    <w:rsid w:val="00255F99"/>
    <w:rsid w:val="00256044"/>
    <w:rsid w:val="00256170"/>
    <w:rsid w:val="002562C0"/>
    <w:rsid w:val="002562F5"/>
    <w:rsid w:val="002563C5"/>
    <w:rsid w:val="002565A2"/>
    <w:rsid w:val="002565E7"/>
    <w:rsid w:val="0025660B"/>
    <w:rsid w:val="0025668E"/>
    <w:rsid w:val="002566DE"/>
    <w:rsid w:val="002569F3"/>
    <w:rsid w:val="00256A6D"/>
    <w:rsid w:val="00256B5D"/>
    <w:rsid w:val="00256C03"/>
    <w:rsid w:val="00256CCD"/>
    <w:rsid w:val="00256D95"/>
    <w:rsid w:val="00256DDA"/>
    <w:rsid w:val="00256E31"/>
    <w:rsid w:val="00256F9E"/>
    <w:rsid w:val="00257049"/>
    <w:rsid w:val="00257130"/>
    <w:rsid w:val="0025713A"/>
    <w:rsid w:val="0025714A"/>
    <w:rsid w:val="00257167"/>
    <w:rsid w:val="002571A6"/>
    <w:rsid w:val="002571AE"/>
    <w:rsid w:val="00257210"/>
    <w:rsid w:val="00257272"/>
    <w:rsid w:val="002572A6"/>
    <w:rsid w:val="0025731C"/>
    <w:rsid w:val="0025736E"/>
    <w:rsid w:val="002573EC"/>
    <w:rsid w:val="00257423"/>
    <w:rsid w:val="0025744E"/>
    <w:rsid w:val="0025744F"/>
    <w:rsid w:val="00257487"/>
    <w:rsid w:val="002574E2"/>
    <w:rsid w:val="00257649"/>
    <w:rsid w:val="00257747"/>
    <w:rsid w:val="00257787"/>
    <w:rsid w:val="002577A0"/>
    <w:rsid w:val="002577A4"/>
    <w:rsid w:val="002577C5"/>
    <w:rsid w:val="002577D0"/>
    <w:rsid w:val="0025784C"/>
    <w:rsid w:val="0025788C"/>
    <w:rsid w:val="002578AD"/>
    <w:rsid w:val="002578EE"/>
    <w:rsid w:val="0025798B"/>
    <w:rsid w:val="002579C5"/>
    <w:rsid w:val="00257A0D"/>
    <w:rsid w:val="00257A7A"/>
    <w:rsid w:val="00257AFD"/>
    <w:rsid w:val="00257B62"/>
    <w:rsid w:val="00257C5E"/>
    <w:rsid w:val="00257CD8"/>
    <w:rsid w:val="00257CFB"/>
    <w:rsid w:val="00257D1E"/>
    <w:rsid w:val="00257D72"/>
    <w:rsid w:val="00257E2E"/>
    <w:rsid w:val="00257F0B"/>
    <w:rsid w:val="00257FA4"/>
    <w:rsid w:val="00257FC9"/>
    <w:rsid w:val="00257FE2"/>
    <w:rsid w:val="00257FF1"/>
    <w:rsid w:val="00257FFD"/>
    <w:rsid w:val="00260020"/>
    <w:rsid w:val="00260034"/>
    <w:rsid w:val="002600D2"/>
    <w:rsid w:val="00260104"/>
    <w:rsid w:val="0026016E"/>
    <w:rsid w:val="002601D7"/>
    <w:rsid w:val="002601D9"/>
    <w:rsid w:val="002601F4"/>
    <w:rsid w:val="00260490"/>
    <w:rsid w:val="0026050B"/>
    <w:rsid w:val="00260523"/>
    <w:rsid w:val="00260530"/>
    <w:rsid w:val="002605B7"/>
    <w:rsid w:val="002605DB"/>
    <w:rsid w:val="002606B1"/>
    <w:rsid w:val="0026071D"/>
    <w:rsid w:val="00260746"/>
    <w:rsid w:val="00260770"/>
    <w:rsid w:val="00260781"/>
    <w:rsid w:val="00260794"/>
    <w:rsid w:val="0026084F"/>
    <w:rsid w:val="0026087F"/>
    <w:rsid w:val="00260898"/>
    <w:rsid w:val="002608CC"/>
    <w:rsid w:val="0026090D"/>
    <w:rsid w:val="0026098A"/>
    <w:rsid w:val="00260A6F"/>
    <w:rsid w:val="00260ACD"/>
    <w:rsid w:val="00260AE2"/>
    <w:rsid w:val="00260C73"/>
    <w:rsid w:val="00260E98"/>
    <w:rsid w:val="00260F61"/>
    <w:rsid w:val="002610F4"/>
    <w:rsid w:val="00261118"/>
    <w:rsid w:val="002612BE"/>
    <w:rsid w:val="00261338"/>
    <w:rsid w:val="00261346"/>
    <w:rsid w:val="0026134D"/>
    <w:rsid w:val="002613BA"/>
    <w:rsid w:val="002613C4"/>
    <w:rsid w:val="00261401"/>
    <w:rsid w:val="0026140E"/>
    <w:rsid w:val="00261419"/>
    <w:rsid w:val="00261616"/>
    <w:rsid w:val="00261632"/>
    <w:rsid w:val="002616A1"/>
    <w:rsid w:val="002616E2"/>
    <w:rsid w:val="002617A8"/>
    <w:rsid w:val="00261955"/>
    <w:rsid w:val="00261987"/>
    <w:rsid w:val="002619C7"/>
    <w:rsid w:val="002619D1"/>
    <w:rsid w:val="00261B1B"/>
    <w:rsid w:val="00261B53"/>
    <w:rsid w:val="00261B7E"/>
    <w:rsid w:val="00261B84"/>
    <w:rsid w:val="00261BE4"/>
    <w:rsid w:val="00261CC8"/>
    <w:rsid w:val="00261D5A"/>
    <w:rsid w:val="00261DF0"/>
    <w:rsid w:val="00261F58"/>
    <w:rsid w:val="00261FA8"/>
    <w:rsid w:val="002620BA"/>
    <w:rsid w:val="002621C1"/>
    <w:rsid w:val="002622C6"/>
    <w:rsid w:val="002622E4"/>
    <w:rsid w:val="0026242B"/>
    <w:rsid w:val="0026244A"/>
    <w:rsid w:val="00262456"/>
    <w:rsid w:val="0026249F"/>
    <w:rsid w:val="002625C7"/>
    <w:rsid w:val="002625EF"/>
    <w:rsid w:val="00262638"/>
    <w:rsid w:val="00262652"/>
    <w:rsid w:val="0026265A"/>
    <w:rsid w:val="002626EB"/>
    <w:rsid w:val="002627BA"/>
    <w:rsid w:val="002627C1"/>
    <w:rsid w:val="00262894"/>
    <w:rsid w:val="002628F8"/>
    <w:rsid w:val="00262903"/>
    <w:rsid w:val="00262923"/>
    <w:rsid w:val="002629D7"/>
    <w:rsid w:val="00262A0C"/>
    <w:rsid w:val="00262ABD"/>
    <w:rsid w:val="00262AC4"/>
    <w:rsid w:val="00262B43"/>
    <w:rsid w:val="00262BAC"/>
    <w:rsid w:val="00262BB6"/>
    <w:rsid w:val="00262C03"/>
    <w:rsid w:val="00262C5B"/>
    <w:rsid w:val="00262C78"/>
    <w:rsid w:val="00262CD2"/>
    <w:rsid w:val="00262DD3"/>
    <w:rsid w:val="00262DDC"/>
    <w:rsid w:val="00262E12"/>
    <w:rsid w:val="00262ED1"/>
    <w:rsid w:val="00263013"/>
    <w:rsid w:val="002630CB"/>
    <w:rsid w:val="002630DD"/>
    <w:rsid w:val="002630E4"/>
    <w:rsid w:val="0026314F"/>
    <w:rsid w:val="00263223"/>
    <w:rsid w:val="00263230"/>
    <w:rsid w:val="0026323E"/>
    <w:rsid w:val="0026330F"/>
    <w:rsid w:val="00263346"/>
    <w:rsid w:val="00263389"/>
    <w:rsid w:val="00263450"/>
    <w:rsid w:val="00263576"/>
    <w:rsid w:val="002635CE"/>
    <w:rsid w:val="00263653"/>
    <w:rsid w:val="002636E8"/>
    <w:rsid w:val="00263755"/>
    <w:rsid w:val="00263764"/>
    <w:rsid w:val="002637B6"/>
    <w:rsid w:val="002637F7"/>
    <w:rsid w:val="0026381B"/>
    <w:rsid w:val="0026382D"/>
    <w:rsid w:val="00263A4A"/>
    <w:rsid w:val="00263A63"/>
    <w:rsid w:val="00263ACF"/>
    <w:rsid w:val="00263B22"/>
    <w:rsid w:val="00263B63"/>
    <w:rsid w:val="00263BA9"/>
    <w:rsid w:val="00263C51"/>
    <w:rsid w:val="00263C99"/>
    <w:rsid w:val="00263D09"/>
    <w:rsid w:val="00263D36"/>
    <w:rsid w:val="00263D63"/>
    <w:rsid w:val="00263DC4"/>
    <w:rsid w:val="00263DDC"/>
    <w:rsid w:val="00263E4C"/>
    <w:rsid w:val="00263E8C"/>
    <w:rsid w:val="00263ECE"/>
    <w:rsid w:val="00263F1D"/>
    <w:rsid w:val="002640CB"/>
    <w:rsid w:val="002640EB"/>
    <w:rsid w:val="0026412E"/>
    <w:rsid w:val="00264131"/>
    <w:rsid w:val="002641A7"/>
    <w:rsid w:val="002641C1"/>
    <w:rsid w:val="00264200"/>
    <w:rsid w:val="00264255"/>
    <w:rsid w:val="0026427E"/>
    <w:rsid w:val="002642A4"/>
    <w:rsid w:val="00264387"/>
    <w:rsid w:val="0026438E"/>
    <w:rsid w:val="0026439B"/>
    <w:rsid w:val="002643C6"/>
    <w:rsid w:val="0026444B"/>
    <w:rsid w:val="0026445F"/>
    <w:rsid w:val="0026447B"/>
    <w:rsid w:val="002646B5"/>
    <w:rsid w:val="002646C1"/>
    <w:rsid w:val="002646FB"/>
    <w:rsid w:val="002648A7"/>
    <w:rsid w:val="002648D8"/>
    <w:rsid w:val="0026492D"/>
    <w:rsid w:val="0026497C"/>
    <w:rsid w:val="00264AA5"/>
    <w:rsid w:val="00264B08"/>
    <w:rsid w:val="00264BB3"/>
    <w:rsid w:val="00264C28"/>
    <w:rsid w:val="00264CC6"/>
    <w:rsid w:val="00264D5E"/>
    <w:rsid w:val="00264EB7"/>
    <w:rsid w:val="00264EE3"/>
    <w:rsid w:val="00264F22"/>
    <w:rsid w:val="00265068"/>
    <w:rsid w:val="002651F0"/>
    <w:rsid w:val="0026524E"/>
    <w:rsid w:val="00265332"/>
    <w:rsid w:val="00265542"/>
    <w:rsid w:val="00265598"/>
    <w:rsid w:val="00265616"/>
    <w:rsid w:val="0026572D"/>
    <w:rsid w:val="00265753"/>
    <w:rsid w:val="002657EF"/>
    <w:rsid w:val="0026588C"/>
    <w:rsid w:val="002658E2"/>
    <w:rsid w:val="00265964"/>
    <w:rsid w:val="00265987"/>
    <w:rsid w:val="00265A6D"/>
    <w:rsid w:val="00265A9A"/>
    <w:rsid w:val="00265B10"/>
    <w:rsid w:val="00265BAC"/>
    <w:rsid w:val="00265BB5"/>
    <w:rsid w:val="00265D43"/>
    <w:rsid w:val="00265D92"/>
    <w:rsid w:val="00265DD5"/>
    <w:rsid w:val="00265DD7"/>
    <w:rsid w:val="00265EAD"/>
    <w:rsid w:val="00265EE3"/>
    <w:rsid w:val="00265F10"/>
    <w:rsid w:val="00265F6C"/>
    <w:rsid w:val="0026603F"/>
    <w:rsid w:val="0026605B"/>
    <w:rsid w:val="002660FE"/>
    <w:rsid w:val="0026616B"/>
    <w:rsid w:val="0026620A"/>
    <w:rsid w:val="0026643A"/>
    <w:rsid w:val="002664C4"/>
    <w:rsid w:val="002664ED"/>
    <w:rsid w:val="0026654C"/>
    <w:rsid w:val="002665C1"/>
    <w:rsid w:val="0026663A"/>
    <w:rsid w:val="0026663E"/>
    <w:rsid w:val="00266691"/>
    <w:rsid w:val="002666BE"/>
    <w:rsid w:val="002667B3"/>
    <w:rsid w:val="002667F8"/>
    <w:rsid w:val="0026680F"/>
    <w:rsid w:val="0026688D"/>
    <w:rsid w:val="00266B10"/>
    <w:rsid w:val="00266B61"/>
    <w:rsid w:val="00266BDF"/>
    <w:rsid w:val="00266C3C"/>
    <w:rsid w:val="00266CA7"/>
    <w:rsid w:val="00266F07"/>
    <w:rsid w:val="00266F36"/>
    <w:rsid w:val="00266F43"/>
    <w:rsid w:val="00266F55"/>
    <w:rsid w:val="00266F85"/>
    <w:rsid w:val="00266FCE"/>
    <w:rsid w:val="0026701A"/>
    <w:rsid w:val="00267130"/>
    <w:rsid w:val="00267132"/>
    <w:rsid w:val="00267177"/>
    <w:rsid w:val="002671B4"/>
    <w:rsid w:val="002671CE"/>
    <w:rsid w:val="00267213"/>
    <w:rsid w:val="0026723E"/>
    <w:rsid w:val="00267263"/>
    <w:rsid w:val="0026727A"/>
    <w:rsid w:val="0026729F"/>
    <w:rsid w:val="00267333"/>
    <w:rsid w:val="00267405"/>
    <w:rsid w:val="0026740E"/>
    <w:rsid w:val="00267418"/>
    <w:rsid w:val="00267434"/>
    <w:rsid w:val="0026761D"/>
    <w:rsid w:val="00267620"/>
    <w:rsid w:val="00267702"/>
    <w:rsid w:val="00267851"/>
    <w:rsid w:val="00267963"/>
    <w:rsid w:val="002679D8"/>
    <w:rsid w:val="00267B3A"/>
    <w:rsid w:val="00267C39"/>
    <w:rsid w:val="00267C8F"/>
    <w:rsid w:val="00267DD4"/>
    <w:rsid w:val="00267E0E"/>
    <w:rsid w:val="00267E1C"/>
    <w:rsid w:val="00267F31"/>
    <w:rsid w:val="00270024"/>
    <w:rsid w:val="002701CE"/>
    <w:rsid w:val="002701D6"/>
    <w:rsid w:val="00270279"/>
    <w:rsid w:val="002702D7"/>
    <w:rsid w:val="00270411"/>
    <w:rsid w:val="002704C0"/>
    <w:rsid w:val="00270545"/>
    <w:rsid w:val="0027061F"/>
    <w:rsid w:val="0027067A"/>
    <w:rsid w:val="002706D5"/>
    <w:rsid w:val="00270727"/>
    <w:rsid w:val="00270744"/>
    <w:rsid w:val="002707CC"/>
    <w:rsid w:val="002707EE"/>
    <w:rsid w:val="002707FF"/>
    <w:rsid w:val="0027086A"/>
    <w:rsid w:val="002708F2"/>
    <w:rsid w:val="0027090B"/>
    <w:rsid w:val="00270948"/>
    <w:rsid w:val="0027099B"/>
    <w:rsid w:val="00270A69"/>
    <w:rsid w:val="00270A80"/>
    <w:rsid w:val="00270AA2"/>
    <w:rsid w:val="00270B85"/>
    <w:rsid w:val="00270BB1"/>
    <w:rsid w:val="00270C05"/>
    <w:rsid w:val="00270C59"/>
    <w:rsid w:val="00270C68"/>
    <w:rsid w:val="00270CBE"/>
    <w:rsid w:val="00270D20"/>
    <w:rsid w:val="00270E19"/>
    <w:rsid w:val="00270E87"/>
    <w:rsid w:val="00270F0B"/>
    <w:rsid w:val="00270F20"/>
    <w:rsid w:val="00270F24"/>
    <w:rsid w:val="0027105F"/>
    <w:rsid w:val="002710BA"/>
    <w:rsid w:val="002711FC"/>
    <w:rsid w:val="00271226"/>
    <w:rsid w:val="002712D3"/>
    <w:rsid w:val="0027133D"/>
    <w:rsid w:val="0027134A"/>
    <w:rsid w:val="00271367"/>
    <w:rsid w:val="0027136E"/>
    <w:rsid w:val="0027137A"/>
    <w:rsid w:val="0027139C"/>
    <w:rsid w:val="00271424"/>
    <w:rsid w:val="0027145E"/>
    <w:rsid w:val="00271541"/>
    <w:rsid w:val="0027159E"/>
    <w:rsid w:val="00271669"/>
    <w:rsid w:val="0027166D"/>
    <w:rsid w:val="00271691"/>
    <w:rsid w:val="002716A0"/>
    <w:rsid w:val="0027179E"/>
    <w:rsid w:val="002717BA"/>
    <w:rsid w:val="00271834"/>
    <w:rsid w:val="00271841"/>
    <w:rsid w:val="002718EF"/>
    <w:rsid w:val="00271988"/>
    <w:rsid w:val="002719D4"/>
    <w:rsid w:val="00271B69"/>
    <w:rsid w:val="00271B6A"/>
    <w:rsid w:val="00271B8C"/>
    <w:rsid w:val="00271BB1"/>
    <w:rsid w:val="00271BB4"/>
    <w:rsid w:val="00271CE6"/>
    <w:rsid w:val="00271DE0"/>
    <w:rsid w:val="00271E1B"/>
    <w:rsid w:val="00271EEB"/>
    <w:rsid w:val="00271F28"/>
    <w:rsid w:val="00271FA5"/>
    <w:rsid w:val="00272024"/>
    <w:rsid w:val="00272061"/>
    <w:rsid w:val="002720EF"/>
    <w:rsid w:val="00272103"/>
    <w:rsid w:val="0027215A"/>
    <w:rsid w:val="002721B3"/>
    <w:rsid w:val="00272255"/>
    <w:rsid w:val="00272280"/>
    <w:rsid w:val="00272394"/>
    <w:rsid w:val="002724EA"/>
    <w:rsid w:val="00272534"/>
    <w:rsid w:val="002725D1"/>
    <w:rsid w:val="00272622"/>
    <w:rsid w:val="00272687"/>
    <w:rsid w:val="002726BD"/>
    <w:rsid w:val="002726E5"/>
    <w:rsid w:val="0027272C"/>
    <w:rsid w:val="0027272E"/>
    <w:rsid w:val="0027274B"/>
    <w:rsid w:val="00272762"/>
    <w:rsid w:val="002727E6"/>
    <w:rsid w:val="002727F7"/>
    <w:rsid w:val="00272878"/>
    <w:rsid w:val="002728FE"/>
    <w:rsid w:val="00272955"/>
    <w:rsid w:val="00272957"/>
    <w:rsid w:val="002729A5"/>
    <w:rsid w:val="002729B9"/>
    <w:rsid w:val="002729C0"/>
    <w:rsid w:val="00272ABE"/>
    <w:rsid w:val="00272B4A"/>
    <w:rsid w:val="00272C21"/>
    <w:rsid w:val="00272C85"/>
    <w:rsid w:val="00272CE3"/>
    <w:rsid w:val="00272CF1"/>
    <w:rsid w:val="00272DFB"/>
    <w:rsid w:val="00272E01"/>
    <w:rsid w:val="00272E19"/>
    <w:rsid w:val="00272ECA"/>
    <w:rsid w:val="00272F5D"/>
    <w:rsid w:val="00273027"/>
    <w:rsid w:val="0027303A"/>
    <w:rsid w:val="00273069"/>
    <w:rsid w:val="002730EC"/>
    <w:rsid w:val="0027311A"/>
    <w:rsid w:val="00273242"/>
    <w:rsid w:val="00273299"/>
    <w:rsid w:val="002732E4"/>
    <w:rsid w:val="00273477"/>
    <w:rsid w:val="0027348F"/>
    <w:rsid w:val="002734C5"/>
    <w:rsid w:val="00273527"/>
    <w:rsid w:val="0027354F"/>
    <w:rsid w:val="0027355A"/>
    <w:rsid w:val="002735A1"/>
    <w:rsid w:val="002735CF"/>
    <w:rsid w:val="002736E1"/>
    <w:rsid w:val="002737CA"/>
    <w:rsid w:val="002737F6"/>
    <w:rsid w:val="0027382F"/>
    <w:rsid w:val="00273843"/>
    <w:rsid w:val="0027384D"/>
    <w:rsid w:val="0027386B"/>
    <w:rsid w:val="00273888"/>
    <w:rsid w:val="002738DC"/>
    <w:rsid w:val="002739A0"/>
    <w:rsid w:val="002739B4"/>
    <w:rsid w:val="00273A22"/>
    <w:rsid w:val="00273A81"/>
    <w:rsid w:val="00273B4A"/>
    <w:rsid w:val="00273B6B"/>
    <w:rsid w:val="00273BA7"/>
    <w:rsid w:val="00273C07"/>
    <w:rsid w:val="00273C52"/>
    <w:rsid w:val="00273C87"/>
    <w:rsid w:val="00273D41"/>
    <w:rsid w:val="00273DA2"/>
    <w:rsid w:val="00273DFC"/>
    <w:rsid w:val="00273E55"/>
    <w:rsid w:val="00273EEF"/>
    <w:rsid w:val="00273F39"/>
    <w:rsid w:val="002740D8"/>
    <w:rsid w:val="00274176"/>
    <w:rsid w:val="002741F1"/>
    <w:rsid w:val="00274239"/>
    <w:rsid w:val="00274397"/>
    <w:rsid w:val="002744ED"/>
    <w:rsid w:val="002745F8"/>
    <w:rsid w:val="0027460B"/>
    <w:rsid w:val="0027469F"/>
    <w:rsid w:val="002746A3"/>
    <w:rsid w:val="002746D7"/>
    <w:rsid w:val="0027476D"/>
    <w:rsid w:val="0027477E"/>
    <w:rsid w:val="00274792"/>
    <w:rsid w:val="0027488B"/>
    <w:rsid w:val="00274904"/>
    <w:rsid w:val="00274971"/>
    <w:rsid w:val="00274A0F"/>
    <w:rsid w:val="00274B4B"/>
    <w:rsid w:val="00274B85"/>
    <w:rsid w:val="00274B9B"/>
    <w:rsid w:val="00274BC4"/>
    <w:rsid w:val="00274BFD"/>
    <w:rsid w:val="00274C15"/>
    <w:rsid w:val="00274C20"/>
    <w:rsid w:val="00274CA0"/>
    <w:rsid w:val="00274D96"/>
    <w:rsid w:val="00274DDA"/>
    <w:rsid w:val="00274E79"/>
    <w:rsid w:val="00274EB7"/>
    <w:rsid w:val="00274F79"/>
    <w:rsid w:val="00274FD9"/>
    <w:rsid w:val="0027502B"/>
    <w:rsid w:val="0027504C"/>
    <w:rsid w:val="0027505B"/>
    <w:rsid w:val="002750E3"/>
    <w:rsid w:val="002752F6"/>
    <w:rsid w:val="00275353"/>
    <w:rsid w:val="0027538E"/>
    <w:rsid w:val="0027542B"/>
    <w:rsid w:val="0027542F"/>
    <w:rsid w:val="0027543C"/>
    <w:rsid w:val="00275511"/>
    <w:rsid w:val="0027559D"/>
    <w:rsid w:val="00275664"/>
    <w:rsid w:val="0027568A"/>
    <w:rsid w:val="00275837"/>
    <w:rsid w:val="00275866"/>
    <w:rsid w:val="002758EB"/>
    <w:rsid w:val="00275966"/>
    <w:rsid w:val="0027596C"/>
    <w:rsid w:val="0027597E"/>
    <w:rsid w:val="002759EF"/>
    <w:rsid w:val="00275A93"/>
    <w:rsid w:val="00275ADD"/>
    <w:rsid w:val="00275BA4"/>
    <w:rsid w:val="00275BB2"/>
    <w:rsid w:val="00275BFA"/>
    <w:rsid w:val="00275C61"/>
    <w:rsid w:val="00275C70"/>
    <w:rsid w:val="00275C7D"/>
    <w:rsid w:val="00275D60"/>
    <w:rsid w:val="00275DFB"/>
    <w:rsid w:val="00275E16"/>
    <w:rsid w:val="00275E6D"/>
    <w:rsid w:val="00275E75"/>
    <w:rsid w:val="00275ECF"/>
    <w:rsid w:val="00275F4F"/>
    <w:rsid w:val="00275FDC"/>
    <w:rsid w:val="00276049"/>
    <w:rsid w:val="00276106"/>
    <w:rsid w:val="00276118"/>
    <w:rsid w:val="00276199"/>
    <w:rsid w:val="00276235"/>
    <w:rsid w:val="00276424"/>
    <w:rsid w:val="00276440"/>
    <w:rsid w:val="002764EC"/>
    <w:rsid w:val="002765CD"/>
    <w:rsid w:val="002765ED"/>
    <w:rsid w:val="002765F4"/>
    <w:rsid w:val="0027668E"/>
    <w:rsid w:val="002766B9"/>
    <w:rsid w:val="0027679B"/>
    <w:rsid w:val="0027679E"/>
    <w:rsid w:val="002767A7"/>
    <w:rsid w:val="002768CC"/>
    <w:rsid w:val="00276920"/>
    <w:rsid w:val="002769D0"/>
    <w:rsid w:val="00276A23"/>
    <w:rsid w:val="00276A81"/>
    <w:rsid w:val="00276ADC"/>
    <w:rsid w:val="00276B89"/>
    <w:rsid w:val="00276C2F"/>
    <w:rsid w:val="00276C54"/>
    <w:rsid w:val="00276C8B"/>
    <w:rsid w:val="00276C98"/>
    <w:rsid w:val="00276CA5"/>
    <w:rsid w:val="00276CBA"/>
    <w:rsid w:val="00276E6D"/>
    <w:rsid w:val="00276E87"/>
    <w:rsid w:val="00276E99"/>
    <w:rsid w:val="00276EBA"/>
    <w:rsid w:val="00277057"/>
    <w:rsid w:val="0027717D"/>
    <w:rsid w:val="0027718C"/>
    <w:rsid w:val="002771A1"/>
    <w:rsid w:val="002771C7"/>
    <w:rsid w:val="002771E1"/>
    <w:rsid w:val="002771E4"/>
    <w:rsid w:val="0027726F"/>
    <w:rsid w:val="002772F2"/>
    <w:rsid w:val="0027736B"/>
    <w:rsid w:val="00277418"/>
    <w:rsid w:val="00277441"/>
    <w:rsid w:val="002774F0"/>
    <w:rsid w:val="00277507"/>
    <w:rsid w:val="002775E1"/>
    <w:rsid w:val="00277653"/>
    <w:rsid w:val="002776BB"/>
    <w:rsid w:val="00277751"/>
    <w:rsid w:val="0027781D"/>
    <w:rsid w:val="00277952"/>
    <w:rsid w:val="00277964"/>
    <w:rsid w:val="00277983"/>
    <w:rsid w:val="002779E8"/>
    <w:rsid w:val="00277A40"/>
    <w:rsid w:val="00277AC8"/>
    <w:rsid w:val="00277ADC"/>
    <w:rsid w:val="00277AF1"/>
    <w:rsid w:val="00277D33"/>
    <w:rsid w:val="00277F2D"/>
    <w:rsid w:val="00280065"/>
    <w:rsid w:val="002800A8"/>
    <w:rsid w:val="0028010D"/>
    <w:rsid w:val="002801C0"/>
    <w:rsid w:val="0028028B"/>
    <w:rsid w:val="00280345"/>
    <w:rsid w:val="00280350"/>
    <w:rsid w:val="002803A9"/>
    <w:rsid w:val="002803B9"/>
    <w:rsid w:val="0028040D"/>
    <w:rsid w:val="0028048C"/>
    <w:rsid w:val="002804F5"/>
    <w:rsid w:val="0028050F"/>
    <w:rsid w:val="00280531"/>
    <w:rsid w:val="00280540"/>
    <w:rsid w:val="0028056D"/>
    <w:rsid w:val="002805B1"/>
    <w:rsid w:val="00280822"/>
    <w:rsid w:val="00280844"/>
    <w:rsid w:val="002808C0"/>
    <w:rsid w:val="00280B1D"/>
    <w:rsid w:val="00280C53"/>
    <w:rsid w:val="00280CC3"/>
    <w:rsid w:val="00280CCB"/>
    <w:rsid w:val="00280D14"/>
    <w:rsid w:val="00280DB0"/>
    <w:rsid w:val="00280E03"/>
    <w:rsid w:val="00280E4C"/>
    <w:rsid w:val="00280E9F"/>
    <w:rsid w:val="00280F44"/>
    <w:rsid w:val="00280F60"/>
    <w:rsid w:val="00281044"/>
    <w:rsid w:val="002810CB"/>
    <w:rsid w:val="002810F5"/>
    <w:rsid w:val="0028112B"/>
    <w:rsid w:val="00281192"/>
    <w:rsid w:val="002811E4"/>
    <w:rsid w:val="00281200"/>
    <w:rsid w:val="002813AF"/>
    <w:rsid w:val="002814BC"/>
    <w:rsid w:val="002814F5"/>
    <w:rsid w:val="00281635"/>
    <w:rsid w:val="0028166A"/>
    <w:rsid w:val="002816AB"/>
    <w:rsid w:val="002818E1"/>
    <w:rsid w:val="00281931"/>
    <w:rsid w:val="00281934"/>
    <w:rsid w:val="00281C1D"/>
    <w:rsid w:val="00281C1F"/>
    <w:rsid w:val="00281C25"/>
    <w:rsid w:val="00281C9B"/>
    <w:rsid w:val="00281CF6"/>
    <w:rsid w:val="00281D16"/>
    <w:rsid w:val="00281DB1"/>
    <w:rsid w:val="00281E15"/>
    <w:rsid w:val="00281E2E"/>
    <w:rsid w:val="00281E4F"/>
    <w:rsid w:val="00281E78"/>
    <w:rsid w:val="00281E8D"/>
    <w:rsid w:val="00281EA8"/>
    <w:rsid w:val="00281F69"/>
    <w:rsid w:val="00282012"/>
    <w:rsid w:val="00282048"/>
    <w:rsid w:val="002821B3"/>
    <w:rsid w:val="002821BA"/>
    <w:rsid w:val="00282278"/>
    <w:rsid w:val="002822A7"/>
    <w:rsid w:val="0028234B"/>
    <w:rsid w:val="002823AE"/>
    <w:rsid w:val="002823B2"/>
    <w:rsid w:val="0028245B"/>
    <w:rsid w:val="00282484"/>
    <w:rsid w:val="002824BF"/>
    <w:rsid w:val="0028255F"/>
    <w:rsid w:val="002825FC"/>
    <w:rsid w:val="0028267E"/>
    <w:rsid w:val="002826B8"/>
    <w:rsid w:val="002826CF"/>
    <w:rsid w:val="00282725"/>
    <w:rsid w:val="002827CB"/>
    <w:rsid w:val="002827D7"/>
    <w:rsid w:val="002827E4"/>
    <w:rsid w:val="00282944"/>
    <w:rsid w:val="0028294D"/>
    <w:rsid w:val="00282B9A"/>
    <w:rsid w:val="00282BA9"/>
    <w:rsid w:val="00282C75"/>
    <w:rsid w:val="00282CC5"/>
    <w:rsid w:val="00282CEB"/>
    <w:rsid w:val="00282DA0"/>
    <w:rsid w:val="00282DAA"/>
    <w:rsid w:val="00282E0C"/>
    <w:rsid w:val="00282E61"/>
    <w:rsid w:val="00282EC1"/>
    <w:rsid w:val="00282ED6"/>
    <w:rsid w:val="00282F8D"/>
    <w:rsid w:val="00282FB0"/>
    <w:rsid w:val="00282FF1"/>
    <w:rsid w:val="0028302F"/>
    <w:rsid w:val="00283032"/>
    <w:rsid w:val="0028309F"/>
    <w:rsid w:val="00283129"/>
    <w:rsid w:val="002831DB"/>
    <w:rsid w:val="00283214"/>
    <w:rsid w:val="00283219"/>
    <w:rsid w:val="00283250"/>
    <w:rsid w:val="00283260"/>
    <w:rsid w:val="00283393"/>
    <w:rsid w:val="002833EC"/>
    <w:rsid w:val="002834ED"/>
    <w:rsid w:val="00283572"/>
    <w:rsid w:val="00283597"/>
    <w:rsid w:val="00283612"/>
    <w:rsid w:val="0028364C"/>
    <w:rsid w:val="0028364F"/>
    <w:rsid w:val="0028367F"/>
    <w:rsid w:val="00283756"/>
    <w:rsid w:val="002837A5"/>
    <w:rsid w:val="002838A9"/>
    <w:rsid w:val="002838EC"/>
    <w:rsid w:val="00283984"/>
    <w:rsid w:val="00283AAA"/>
    <w:rsid w:val="00283B3B"/>
    <w:rsid w:val="00283B7E"/>
    <w:rsid w:val="00283BC0"/>
    <w:rsid w:val="00283BEF"/>
    <w:rsid w:val="00283C7B"/>
    <w:rsid w:val="00283CE3"/>
    <w:rsid w:val="00283CE9"/>
    <w:rsid w:val="00283D32"/>
    <w:rsid w:val="00283DF6"/>
    <w:rsid w:val="00283ED1"/>
    <w:rsid w:val="00283F2C"/>
    <w:rsid w:val="00283F94"/>
    <w:rsid w:val="00283FD2"/>
    <w:rsid w:val="00283FFC"/>
    <w:rsid w:val="0028402F"/>
    <w:rsid w:val="00284079"/>
    <w:rsid w:val="002840A8"/>
    <w:rsid w:val="00284103"/>
    <w:rsid w:val="0028417F"/>
    <w:rsid w:val="002841C1"/>
    <w:rsid w:val="00284296"/>
    <w:rsid w:val="0028430B"/>
    <w:rsid w:val="0028435A"/>
    <w:rsid w:val="002843AB"/>
    <w:rsid w:val="002843D2"/>
    <w:rsid w:val="00284412"/>
    <w:rsid w:val="0028451D"/>
    <w:rsid w:val="0028454B"/>
    <w:rsid w:val="0028461F"/>
    <w:rsid w:val="00284887"/>
    <w:rsid w:val="002848DB"/>
    <w:rsid w:val="0028490C"/>
    <w:rsid w:val="002849FA"/>
    <w:rsid w:val="00284A34"/>
    <w:rsid w:val="00284AAF"/>
    <w:rsid w:val="00284BE7"/>
    <w:rsid w:val="00284C16"/>
    <w:rsid w:val="00284C51"/>
    <w:rsid w:val="00284D4D"/>
    <w:rsid w:val="00284D5C"/>
    <w:rsid w:val="00284E2F"/>
    <w:rsid w:val="00284E68"/>
    <w:rsid w:val="00284E7C"/>
    <w:rsid w:val="00284E8F"/>
    <w:rsid w:val="00284F15"/>
    <w:rsid w:val="00284F34"/>
    <w:rsid w:val="00284FC0"/>
    <w:rsid w:val="00284FCC"/>
    <w:rsid w:val="00284FDC"/>
    <w:rsid w:val="002850BD"/>
    <w:rsid w:val="002850DD"/>
    <w:rsid w:val="002850FC"/>
    <w:rsid w:val="00285142"/>
    <w:rsid w:val="0028516E"/>
    <w:rsid w:val="00285177"/>
    <w:rsid w:val="0028518E"/>
    <w:rsid w:val="002852EC"/>
    <w:rsid w:val="00285336"/>
    <w:rsid w:val="00285349"/>
    <w:rsid w:val="00285357"/>
    <w:rsid w:val="0028539C"/>
    <w:rsid w:val="00285461"/>
    <w:rsid w:val="002854E2"/>
    <w:rsid w:val="0028557D"/>
    <w:rsid w:val="002856DF"/>
    <w:rsid w:val="00285751"/>
    <w:rsid w:val="0028575F"/>
    <w:rsid w:val="002857DE"/>
    <w:rsid w:val="00285880"/>
    <w:rsid w:val="00285896"/>
    <w:rsid w:val="00285903"/>
    <w:rsid w:val="00285913"/>
    <w:rsid w:val="00285971"/>
    <w:rsid w:val="00285984"/>
    <w:rsid w:val="00285A05"/>
    <w:rsid w:val="00285A8D"/>
    <w:rsid w:val="00285C44"/>
    <w:rsid w:val="00285CE4"/>
    <w:rsid w:val="00285D0E"/>
    <w:rsid w:val="00285DDB"/>
    <w:rsid w:val="00285EEE"/>
    <w:rsid w:val="00285F45"/>
    <w:rsid w:val="00285FBA"/>
    <w:rsid w:val="00285FDD"/>
    <w:rsid w:val="0028602E"/>
    <w:rsid w:val="0028606B"/>
    <w:rsid w:val="00286164"/>
    <w:rsid w:val="00286214"/>
    <w:rsid w:val="00286216"/>
    <w:rsid w:val="0028623E"/>
    <w:rsid w:val="00286375"/>
    <w:rsid w:val="0028637D"/>
    <w:rsid w:val="002863AC"/>
    <w:rsid w:val="002863C4"/>
    <w:rsid w:val="002863F1"/>
    <w:rsid w:val="002863F2"/>
    <w:rsid w:val="002866CB"/>
    <w:rsid w:val="00286707"/>
    <w:rsid w:val="00286731"/>
    <w:rsid w:val="0028679D"/>
    <w:rsid w:val="0028681F"/>
    <w:rsid w:val="00286828"/>
    <w:rsid w:val="00286848"/>
    <w:rsid w:val="00286851"/>
    <w:rsid w:val="00286853"/>
    <w:rsid w:val="0028687E"/>
    <w:rsid w:val="0028687F"/>
    <w:rsid w:val="0028688E"/>
    <w:rsid w:val="002868C0"/>
    <w:rsid w:val="002869EC"/>
    <w:rsid w:val="00286AEA"/>
    <w:rsid w:val="00286AEE"/>
    <w:rsid w:val="00286B17"/>
    <w:rsid w:val="00286C98"/>
    <w:rsid w:val="00286DF6"/>
    <w:rsid w:val="00286FFC"/>
    <w:rsid w:val="002870A5"/>
    <w:rsid w:val="002870B3"/>
    <w:rsid w:val="002870B6"/>
    <w:rsid w:val="00287151"/>
    <w:rsid w:val="0028720B"/>
    <w:rsid w:val="0028722C"/>
    <w:rsid w:val="002873C7"/>
    <w:rsid w:val="00287463"/>
    <w:rsid w:val="0028746D"/>
    <w:rsid w:val="002874CD"/>
    <w:rsid w:val="002874FF"/>
    <w:rsid w:val="00287514"/>
    <w:rsid w:val="00287524"/>
    <w:rsid w:val="00287615"/>
    <w:rsid w:val="002876F6"/>
    <w:rsid w:val="00287773"/>
    <w:rsid w:val="00287785"/>
    <w:rsid w:val="00287873"/>
    <w:rsid w:val="002878BE"/>
    <w:rsid w:val="002878C5"/>
    <w:rsid w:val="00287A7A"/>
    <w:rsid w:val="00287C17"/>
    <w:rsid w:val="00287CC6"/>
    <w:rsid w:val="00287D09"/>
    <w:rsid w:val="00287D3A"/>
    <w:rsid w:val="00287D84"/>
    <w:rsid w:val="00287F66"/>
    <w:rsid w:val="00287F74"/>
    <w:rsid w:val="00290055"/>
    <w:rsid w:val="00290205"/>
    <w:rsid w:val="00290289"/>
    <w:rsid w:val="002902A7"/>
    <w:rsid w:val="00290480"/>
    <w:rsid w:val="00290553"/>
    <w:rsid w:val="00290663"/>
    <w:rsid w:val="00290676"/>
    <w:rsid w:val="00290729"/>
    <w:rsid w:val="002907EF"/>
    <w:rsid w:val="0029087D"/>
    <w:rsid w:val="00290908"/>
    <w:rsid w:val="00290A24"/>
    <w:rsid w:val="00290AF3"/>
    <w:rsid w:val="00290AF5"/>
    <w:rsid w:val="00290B2F"/>
    <w:rsid w:val="00290B79"/>
    <w:rsid w:val="00290BDD"/>
    <w:rsid w:val="00290C2A"/>
    <w:rsid w:val="00290C52"/>
    <w:rsid w:val="00290DA8"/>
    <w:rsid w:val="00290DBF"/>
    <w:rsid w:val="00290DD7"/>
    <w:rsid w:val="00290E13"/>
    <w:rsid w:val="00290E60"/>
    <w:rsid w:val="00290E6F"/>
    <w:rsid w:val="00290F0F"/>
    <w:rsid w:val="00290F2C"/>
    <w:rsid w:val="00290F2F"/>
    <w:rsid w:val="00290F33"/>
    <w:rsid w:val="00290FAA"/>
    <w:rsid w:val="00290FDA"/>
    <w:rsid w:val="00290FE4"/>
    <w:rsid w:val="00290FF2"/>
    <w:rsid w:val="00291000"/>
    <w:rsid w:val="00291013"/>
    <w:rsid w:val="0029102A"/>
    <w:rsid w:val="002910FF"/>
    <w:rsid w:val="0029115D"/>
    <w:rsid w:val="002911C1"/>
    <w:rsid w:val="00291210"/>
    <w:rsid w:val="00291433"/>
    <w:rsid w:val="002914D2"/>
    <w:rsid w:val="002914FF"/>
    <w:rsid w:val="002915B8"/>
    <w:rsid w:val="00291696"/>
    <w:rsid w:val="0029174B"/>
    <w:rsid w:val="002917C7"/>
    <w:rsid w:val="00291828"/>
    <w:rsid w:val="00291850"/>
    <w:rsid w:val="0029196A"/>
    <w:rsid w:val="0029198B"/>
    <w:rsid w:val="00291999"/>
    <w:rsid w:val="00291A2D"/>
    <w:rsid w:val="00291AD8"/>
    <w:rsid w:val="00291B8E"/>
    <w:rsid w:val="00291BD2"/>
    <w:rsid w:val="00291BFE"/>
    <w:rsid w:val="00291C36"/>
    <w:rsid w:val="00291C40"/>
    <w:rsid w:val="00291C60"/>
    <w:rsid w:val="00291D88"/>
    <w:rsid w:val="00291DAB"/>
    <w:rsid w:val="00291DF8"/>
    <w:rsid w:val="00291FAE"/>
    <w:rsid w:val="00292009"/>
    <w:rsid w:val="002920F0"/>
    <w:rsid w:val="0029212A"/>
    <w:rsid w:val="00292133"/>
    <w:rsid w:val="00292183"/>
    <w:rsid w:val="00292219"/>
    <w:rsid w:val="002922E1"/>
    <w:rsid w:val="0029235B"/>
    <w:rsid w:val="0029247E"/>
    <w:rsid w:val="0029248B"/>
    <w:rsid w:val="002924EB"/>
    <w:rsid w:val="00292524"/>
    <w:rsid w:val="00292588"/>
    <w:rsid w:val="00292609"/>
    <w:rsid w:val="0029262D"/>
    <w:rsid w:val="002926CD"/>
    <w:rsid w:val="002926E7"/>
    <w:rsid w:val="0029276F"/>
    <w:rsid w:val="00292795"/>
    <w:rsid w:val="00292799"/>
    <w:rsid w:val="002927D2"/>
    <w:rsid w:val="002929E2"/>
    <w:rsid w:val="00292A9D"/>
    <w:rsid w:val="00292ABD"/>
    <w:rsid w:val="00292B14"/>
    <w:rsid w:val="00292B22"/>
    <w:rsid w:val="00292B79"/>
    <w:rsid w:val="00292C8A"/>
    <w:rsid w:val="00292CC7"/>
    <w:rsid w:val="00292CE7"/>
    <w:rsid w:val="00292D49"/>
    <w:rsid w:val="00292E49"/>
    <w:rsid w:val="00292E85"/>
    <w:rsid w:val="00292E91"/>
    <w:rsid w:val="0029301E"/>
    <w:rsid w:val="002930BD"/>
    <w:rsid w:val="002931C2"/>
    <w:rsid w:val="002933F0"/>
    <w:rsid w:val="0029341C"/>
    <w:rsid w:val="00293429"/>
    <w:rsid w:val="0029346A"/>
    <w:rsid w:val="0029346C"/>
    <w:rsid w:val="002934B7"/>
    <w:rsid w:val="00293508"/>
    <w:rsid w:val="00293592"/>
    <w:rsid w:val="00293620"/>
    <w:rsid w:val="00293627"/>
    <w:rsid w:val="002936A4"/>
    <w:rsid w:val="00293723"/>
    <w:rsid w:val="0029372B"/>
    <w:rsid w:val="00293763"/>
    <w:rsid w:val="002937E4"/>
    <w:rsid w:val="0029385F"/>
    <w:rsid w:val="0029394C"/>
    <w:rsid w:val="00293975"/>
    <w:rsid w:val="00293A39"/>
    <w:rsid w:val="00293ABB"/>
    <w:rsid w:val="00293ABD"/>
    <w:rsid w:val="00293B79"/>
    <w:rsid w:val="00293C04"/>
    <w:rsid w:val="00293C26"/>
    <w:rsid w:val="00293C79"/>
    <w:rsid w:val="00293DB0"/>
    <w:rsid w:val="00293DE7"/>
    <w:rsid w:val="00293DF7"/>
    <w:rsid w:val="00293E1D"/>
    <w:rsid w:val="00293E2B"/>
    <w:rsid w:val="00293E5D"/>
    <w:rsid w:val="00293E91"/>
    <w:rsid w:val="00293EC4"/>
    <w:rsid w:val="00293EEB"/>
    <w:rsid w:val="00293F2D"/>
    <w:rsid w:val="00293F66"/>
    <w:rsid w:val="00293FB4"/>
    <w:rsid w:val="002940C0"/>
    <w:rsid w:val="002940E1"/>
    <w:rsid w:val="002940E4"/>
    <w:rsid w:val="0029425B"/>
    <w:rsid w:val="002942A9"/>
    <w:rsid w:val="00294309"/>
    <w:rsid w:val="0029436A"/>
    <w:rsid w:val="002943ED"/>
    <w:rsid w:val="00294476"/>
    <w:rsid w:val="00294477"/>
    <w:rsid w:val="002944F8"/>
    <w:rsid w:val="00294557"/>
    <w:rsid w:val="002945E4"/>
    <w:rsid w:val="00294606"/>
    <w:rsid w:val="00294619"/>
    <w:rsid w:val="00294695"/>
    <w:rsid w:val="00294767"/>
    <w:rsid w:val="0029476A"/>
    <w:rsid w:val="0029476E"/>
    <w:rsid w:val="00294999"/>
    <w:rsid w:val="00294A8E"/>
    <w:rsid w:val="00294B02"/>
    <w:rsid w:val="00294B5F"/>
    <w:rsid w:val="00294B77"/>
    <w:rsid w:val="00294BE5"/>
    <w:rsid w:val="00294CAA"/>
    <w:rsid w:val="00294D65"/>
    <w:rsid w:val="00294D97"/>
    <w:rsid w:val="00294DA5"/>
    <w:rsid w:val="00294EB6"/>
    <w:rsid w:val="00294EEA"/>
    <w:rsid w:val="00294F31"/>
    <w:rsid w:val="00294F39"/>
    <w:rsid w:val="00294F6E"/>
    <w:rsid w:val="00295063"/>
    <w:rsid w:val="00295069"/>
    <w:rsid w:val="00295130"/>
    <w:rsid w:val="00295143"/>
    <w:rsid w:val="0029514A"/>
    <w:rsid w:val="0029516B"/>
    <w:rsid w:val="0029524D"/>
    <w:rsid w:val="00295272"/>
    <w:rsid w:val="002952CF"/>
    <w:rsid w:val="002952D4"/>
    <w:rsid w:val="002952FD"/>
    <w:rsid w:val="00295342"/>
    <w:rsid w:val="00295370"/>
    <w:rsid w:val="002953A0"/>
    <w:rsid w:val="002953D2"/>
    <w:rsid w:val="002953E6"/>
    <w:rsid w:val="0029544F"/>
    <w:rsid w:val="0029557A"/>
    <w:rsid w:val="0029559A"/>
    <w:rsid w:val="002955C7"/>
    <w:rsid w:val="002956C1"/>
    <w:rsid w:val="002956F0"/>
    <w:rsid w:val="00295752"/>
    <w:rsid w:val="00295755"/>
    <w:rsid w:val="0029577E"/>
    <w:rsid w:val="0029582E"/>
    <w:rsid w:val="00295833"/>
    <w:rsid w:val="0029584F"/>
    <w:rsid w:val="002958C2"/>
    <w:rsid w:val="00295911"/>
    <w:rsid w:val="002959EE"/>
    <w:rsid w:val="00295A2B"/>
    <w:rsid w:val="00295A3D"/>
    <w:rsid w:val="00295A54"/>
    <w:rsid w:val="00295B84"/>
    <w:rsid w:val="00295BCD"/>
    <w:rsid w:val="00295BF9"/>
    <w:rsid w:val="00295C88"/>
    <w:rsid w:val="00295D1E"/>
    <w:rsid w:val="00295DC0"/>
    <w:rsid w:val="00295E1B"/>
    <w:rsid w:val="00295EBC"/>
    <w:rsid w:val="00295EC9"/>
    <w:rsid w:val="00295EDD"/>
    <w:rsid w:val="00295F41"/>
    <w:rsid w:val="0029602E"/>
    <w:rsid w:val="00296035"/>
    <w:rsid w:val="00296139"/>
    <w:rsid w:val="0029613A"/>
    <w:rsid w:val="002961DF"/>
    <w:rsid w:val="002961EF"/>
    <w:rsid w:val="002961FB"/>
    <w:rsid w:val="0029624D"/>
    <w:rsid w:val="0029641A"/>
    <w:rsid w:val="00296446"/>
    <w:rsid w:val="0029654B"/>
    <w:rsid w:val="002965B0"/>
    <w:rsid w:val="0029664E"/>
    <w:rsid w:val="002966C4"/>
    <w:rsid w:val="00296750"/>
    <w:rsid w:val="0029688F"/>
    <w:rsid w:val="00296965"/>
    <w:rsid w:val="00296970"/>
    <w:rsid w:val="002969BD"/>
    <w:rsid w:val="00296A62"/>
    <w:rsid w:val="00296A96"/>
    <w:rsid w:val="00296A99"/>
    <w:rsid w:val="00296AEE"/>
    <w:rsid w:val="00296C34"/>
    <w:rsid w:val="00296D6C"/>
    <w:rsid w:val="00296D6D"/>
    <w:rsid w:val="00296EF2"/>
    <w:rsid w:val="00296F11"/>
    <w:rsid w:val="00296FD1"/>
    <w:rsid w:val="00297018"/>
    <w:rsid w:val="00297022"/>
    <w:rsid w:val="00297072"/>
    <w:rsid w:val="0029718A"/>
    <w:rsid w:val="0029719D"/>
    <w:rsid w:val="002971BC"/>
    <w:rsid w:val="002971CE"/>
    <w:rsid w:val="00297274"/>
    <w:rsid w:val="002972B4"/>
    <w:rsid w:val="00297382"/>
    <w:rsid w:val="002973D0"/>
    <w:rsid w:val="002973E6"/>
    <w:rsid w:val="00297443"/>
    <w:rsid w:val="00297456"/>
    <w:rsid w:val="0029763B"/>
    <w:rsid w:val="0029769E"/>
    <w:rsid w:val="0029774A"/>
    <w:rsid w:val="0029774E"/>
    <w:rsid w:val="00297889"/>
    <w:rsid w:val="0029791B"/>
    <w:rsid w:val="00297930"/>
    <w:rsid w:val="00297964"/>
    <w:rsid w:val="002979A7"/>
    <w:rsid w:val="00297A7B"/>
    <w:rsid w:val="00297AC4"/>
    <w:rsid w:val="00297AD3"/>
    <w:rsid w:val="00297B9B"/>
    <w:rsid w:val="00297BB3"/>
    <w:rsid w:val="00297BFB"/>
    <w:rsid w:val="00297CA4"/>
    <w:rsid w:val="00297DEB"/>
    <w:rsid w:val="00297ED4"/>
    <w:rsid w:val="00297FE2"/>
    <w:rsid w:val="002A005C"/>
    <w:rsid w:val="002A00AB"/>
    <w:rsid w:val="002A00D0"/>
    <w:rsid w:val="002A0101"/>
    <w:rsid w:val="002A010E"/>
    <w:rsid w:val="002A0124"/>
    <w:rsid w:val="002A0125"/>
    <w:rsid w:val="002A01C1"/>
    <w:rsid w:val="002A01CA"/>
    <w:rsid w:val="002A01DD"/>
    <w:rsid w:val="002A021C"/>
    <w:rsid w:val="002A024E"/>
    <w:rsid w:val="002A0364"/>
    <w:rsid w:val="002A03B3"/>
    <w:rsid w:val="002A03FF"/>
    <w:rsid w:val="002A0504"/>
    <w:rsid w:val="002A0544"/>
    <w:rsid w:val="002A05AD"/>
    <w:rsid w:val="002A05D9"/>
    <w:rsid w:val="002A0672"/>
    <w:rsid w:val="002A0819"/>
    <w:rsid w:val="002A0909"/>
    <w:rsid w:val="002A0988"/>
    <w:rsid w:val="002A09A3"/>
    <w:rsid w:val="002A0A2F"/>
    <w:rsid w:val="002A0B8C"/>
    <w:rsid w:val="002A0B97"/>
    <w:rsid w:val="002A0C44"/>
    <w:rsid w:val="002A0C54"/>
    <w:rsid w:val="002A0CD9"/>
    <w:rsid w:val="002A0D02"/>
    <w:rsid w:val="002A0D08"/>
    <w:rsid w:val="002A0D52"/>
    <w:rsid w:val="002A0D80"/>
    <w:rsid w:val="002A0E36"/>
    <w:rsid w:val="002A0EAD"/>
    <w:rsid w:val="002A0ED1"/>
    <w:rsid w:val="002A0EE7"/>
    <w:rsid w:val="002A0F55"/>
    <w:rsid w:val="002A1060"/>
    <w:rsid w:val="002A108F"/>
    <w:rsid w:val="002A10CB"/>
    <w:rsid w:val="002A10F8"/>
    <w:rsid w:val="002A10FD"/>
    <w:rsid w:val="002A111E"/>
    <w:rsid w:val="002A114D"/>
    <w:rsid w:val="002A118A"/>
    <w:rsid w:val="002A1204"/>
    <w:rsid w:val="002A120B"/>
    <w:rsid w:val="002A13D9"/>
    <w:rsid w:val="002A1517"/>
    <w:rsid w:val="002A15EC"/>
    <w:rsid w:val="002A1609"/>
    <w:rsid w:val="002A165E"/>
    <w:rsid w:val="002A1688"/>
    <w:rsid w:val="002A17E8"/>
    <w:rsid w:val="002A184F"/>
    <w:rsid w:val="002A1879"/>
    <w:rsid w:val="002A1886"/>
    <w:rsid w:val="002A19C7"/>
    <w:rsid w:val="002A19F0"/>
    <w:rsid w:val="002A1A8F"/>
    <w:rsid w:val="002A1A9C"/>
    <w:rsid w:val="002A1B56"/>
    <w:rsid w:val="002A1BD8"/>
    <w:rsid w:val="002A1C4C"/>
    <w:rsid w:val="002A1C4E"/>
    <w:rsid w:val="002A1C54"/>
    <w:rsid w:val="002A1CD5"/>
    <w:rsid w:val="002A1D1A"/>
    <w:rsid w:val="002A1D1B"/>
    <w:rsid w:val="002A1D86"/>
    <w:rsid w:val="002A1DA9"/>
    <w:rsid w:val="002A2099"/>
    <w:rsid w:val="002A20A4"/>
    <w:rsid w:val="002A20AD"/>
    <w:rsid w:val="002A215A"/>
    <w:rsid w:val="002A225A"/>
    <w:rsid w:val="002A22E4"/>
    <w:rsid w:val="002A2368"/>
    <w:rsid w:val="002A240B"/>
    <w:rsid w:val="002A2452"/>
    <w:rsid w:val="002A2479"/>
    <w:rsid w:val="002A24E7"/>
    <w:rsid w:val="002A2526"/>
    <w:rsid w:val="002A25E8"/>
    <w:rsid w:val="002A2688"/>
    <w:rsid w:val="002A276F"/>
    <w:rsid w:val="002A2840"/>
    <w:rsid w:val="002A2870"/>
    <w:rsid w:val="002A28B8"/>
    <w:rsid w:val="002A29D9"/>
    <w:rsid w:val="002A29DA"/>
    <w:rsid w:val="002A2A6D"/>
    <w:rsid w:val="002A2A6E"/>
    <w:rsid w:val="002A2B15"/>
    <w:rsid w:val="002A2BD2"/>
    <w:rsid w:val="002A2CA2"/>
    <w:rsid w:val="002A2CE9"/>
    <w:rsid w:val="002A2D65"/>
    <w:rsid w:val="002A2D6C"/>
    <w:rsid w:val="002A2EA1"/>
    <w:rsid w:val="002A2F6A"/>
    <w:rsid w:val="002A2FB4"/>
    <w:rsid w:val="002A30B4"/>
    <w:rsid w:val="002A30D1"/>
    <w:rsid w:val="002A3116"/>
    <w:rsid w:val="002A311D"/>
    <w:rsid w:val="002A3184"/>
    <w:rsid w:val="002A3385"/>
    <w:rsid w:val="002A3392"/>
    <w:rsid w:val="002A339A"/>
    <w:rsid w:val="002A3438"/>
    <w:rsid w:val="002A344D"/>
    <w:rsid w:val="002A346B"/>
    <w:rsid w:val="002A34E2"/>
    <w:rsid w:val="002A35FC"/>
    <w:rsid w:val="002A368B"/>
    <w:rsid w:val="002A3707"/>
    <w:rsid w:val="002A3715"/>
    <w:rsid w:val="002A3731"/>
    <w:rsid w:val="002A3746"/>
    <w:rsid w:val="002A3770"/>
    <w:rsid w:val="002A37F1"/>
    <w:rsid w:val="002A383D"/>
    <w:rsid w:val="002A3855"/>
    <w:rsid w:val="002A3877"/>
    <w:rsid w:val="002A38D8"/>
    <w:rsid w:val="002A38F8"/>
    <w:rsid w:val="002A393B"/>
    <w:rsid w:val="002A3974"/>
    <w:rsid w:val="002A39E4"/>
    <w:rsid w:val="002A3AED"/>
    <w:rsid w:val="002A3BCF"/>
    <w:rsid w:val="002A3C27"/>
    <w:rsid w:val="002A3C62"/>
    <w:rsid w:val="002A3D2B"/>
    <w:rsid w:val="002A3E69"/>
    <w:rsid w:val="002A3E79"/>
    <w:rsid w:val="002A427A"/>
    <w:rsid w:val="002A42E4"/>
    <w:rsid w:val="002A4301"/>
    <w:rsid w:val="002A43D8"/>
    <w:rsid w:val="002A4421"/>
    <w:rsid w:val="002A443D"/>
    <w:rsid w:val="002A4563"/>
    <w:rsid w:val="002A4573"/>
    <w:rsid w:val="002A45C7"/>
    <w:rsid w:val="002A471E"/>
    <w:rsid w:val="002A4778"/>
    <w:rsid w:val="002A47B4"/>
    <w:rsid w:val="002A47DB"/>
    <w:rsid w:val="002A4810"/>
    <w:rsid w:val="002A483D"/>
    <w:rsid w:val="002A4853"/>
    <w:rsid w:val="002A4859"/>
    <w:rsid w:val="002A4963"/>
    <w:rsid w:val="002A4969"/>
    <w:rsid w:val="002A4999"/>
    <w:rsid w:val="002A4BD1"/>
    <w:rsid w:val="002A4C69"/>
    <w:rsid w:val="002A4D48"/>
    <w:rsid w:val="002A4DF0"/>
    <w:rsid w:val="002A4DFF"/>
    <w:rsid w:val="002A4E1B"/>
    <w:rsid w:val="002A4EF9"/>
    <w:rsid w:val="002A4FB2"/>
    <w:rsid w:val="002A4FDD"/>
    <w:rsid w:val="002A4FF1"/>
    <w:rsid w:val="002A5015"/>
    <w:rsid w:val="002A5055"/>
    <w:rsid w:val="002A5141"/>
    <w:rsid w:val="002A5241"/>
    <w:rsid w:val="002A5279"/>
    <w:rsid w:val="002A52C9"/>
    <w:rsid w:val="002A5349"/>
    <w:rsid w:val="002A535F"/>
    <w:rsid w:val="002A5399"/>
    <w:rsid w:val="002A5432"/>
    <w:rsid w:val="002A5458"/>
    <w:rsid w:val="002A5484"/>
    <w:rsid w:val="002A54B7"/>
    <w:rsid w:val="002A54C1"/>
    <w:rsid w:val="002A54D6"/>
    <w:rsid w:val="002A550A"/>
    <w:rsid w:val="002A550C"/>
    <w:rsid w:val="002A5553"/>
    <w:rsid w:val="002A5601"/>
    <w:rsid w:val="002A566C"/>
    <w:rsid w:val="002A566F"/>
    <w:rsid w:val="002A56C0"/>
    <w:rsid w:val="002A56F0"/>
    <w:rsid w:val="002A5726"/>
    <w:rsid w:val="002A57F3"/>
    <w:rsid w:val="002A5809"/>
    <w:rsid w:val="002A5852"/>
    <w:rsid w:val="002A58D3"/>
    <w:rsid w:val="002A5953"/>
    <w:rsid w:val="002A59B7"/>
    <w:rsid w:val="002A5AD0"/>
    <w:rsid w:val="002A5B0F"/>
    <w:rsid w:val="002A5B2F"/>
    <w:rsid w:val="002A5B4A"/>
    <w:rsid w:val="002A5CBB"/>
    <w:rsid w:val="002A5D88"/>
    <w:rsid w:val="002A5DFC"/>
    <w:rsid w:val="002A5E1E"/>
    <w:rsid w:val="002A5EFA"/>
    <w:rsid w:val="002A5EFF"/>
    <w:rsid w:val="002A5FE5"/>
    <w:rsid w:val="002A6024"/>
    <w:rsid w:val="002A613E"/>
    <w:rsid w:val="002A619B"/>
    <w:rsid w:val="002A61CD"/>
    <w:rsid w:val="002A621D"/>
    <w:rsid w:val="002A62FF"/>
    <w:rsid w:val="002A6397"/>
    <w:rsid w:val="002A63A5"/>
    <w:rsid w:val="002A6459"/>
    <w:rsid w:val="002A64D1"/>
    <w:rsid w:val="002A65A4"/>
    <w:rsid w:val="002A65B1"/>
    <w:rsid w:val="002A6743"/>
    <w:rsid w:val="002A67B5"/>
    <w:rsid w:val="002A6803"/>
    <w:rsid w:val="002A689A"/>
    <w:rsid w:val="002A695D"/>
    <w:rsid w:val="002A6A15"/>
    <w:rsid w:val="002A6A3C"/>
    <w:rsid w:val="002A6A47"/>
    <w:rsid w:val="002A6B1F"/>
    <w:rsid w:val="002A6B31"/>
    <w:rsid w:val="002A6BEB"/>
    <w:rsid w:val="002A6BF4"/>
    <w:rsid w:val="002A6C8E"/>
    <w:rsid w:val="002A6CCC"/>
    <w:rsid w:val="002A6CFD"/>
    <w:rsid w:val="002A6D56"/>
    <w:rsid w:val="002A6D94"/>
    <w:rsid w:val="002A6DD9"/>
    <w:rsid w:val="002A6DF2"/>
    <w:rsid w:val="002A6F34"/>
    <w:rsid w:val="002A6F7F"/>
    <w:rsid w:val="002A702E"/>
    <w:rsid w:val="002A70EE"/>
    <w:rsid w:val="002A71C2"/>
    <w:rsid w:val="002A7226"/>
    <w:rsid w:val="002A723C"/>
    <w:rsid w:val="002A733A"/>
    <w:rsid w:val="002A7357"/>
    <w:rsid w:val="002A74CB"/>
    <w:rsid w:val="002A760B"/>
    <w:rsid w:val="002A768B"/>
    <w:rsid w:val="002A76C8"/>
    <w:rsid w:val="002A77C6"/>
    <w:rsid w:val="002A77E3"/>
    <w:rsid w:val="002A77F9"/>
    <w:rsid w:val="002A7813"/>
    <w:rsid w:val="002A787D"/>
    <w:rsid w:val="002A789C"/>
    <w:rsid w:val="002A78A8"/>
    <w:rsid w:val="002A7992"/>
    <w:rsid w:val="002A79FA"/>
    <w:rsid w:val="002A7A2D"/>
    <w:rsid w:val="002A7A38"/>
    <w:rsid w:val="002A7BA4"/>
    <w:rsid w:val="002A7D3F"/>
    <w:rsid w:val="002A7D60"/>
    <w:rsid w:val="002A7D64"/>
    <w:rsid w:val="002A7E09"/>
    <w:rsid w:val="002A7ECA"/>
    <w:rsid w:val="002A7F7C"/>
    <w:rsid w:val="002A7FBA"/>
    <w:rsid w:val="002A7FC8"/>
    <w:rsid w:val="002A7FD7"/>
    <w:rsid w:val="002B0009"/>
    <w:rsid w:val="002B002C"/>
    <w:rsid w:val="002B0068"/>
    <w:rsid w:val="002B008F"/>
    <w:rsid w:val="002B00AB"/>
    <w:rsid w:val="002B00E7"/>
    <w:rsid w:val="002B013E"/>
    <w:rsid w:val="002B0140"/>
    <w:rsid w:val="002B021F"/>
    <w:rsid w:val="002B0255"/>
    <w:rsid w:val="002B025A"/>
    <w:rsid w:val="002B051A"/>
    <w:rsid w:val="002B052F"/>
    <w:rsid w:val="002B05D3"/>
    <w:rsid w:val="002B05FB"/>
    <w:rsid w:val="002B0625"/>
    <w:rsid w:val="002B066E"/>
    <w:rsid w:val="002B0674"/>
    <w:rsid w:val="002B072B"/>
    <w:rsid w:val="002B07C3"/>
    <w:rsid w:val="002B083F"/>
    <w:rsid w:val="002B084F"/>
    <w:rsid w:val="002B09DB"/>
    <w:rsid w:val="002B09E7"/>
    <w:rsid w:val="002B09EC"/>
    <w:rsid w:val="002B09F1"/>
    <w:rsid w:val="002B0B86"/>
    <w:rsid w:val="002B0C52"/>
    <w:rsid w:val="002B0CB2"/>
    <w:rsid w:val="002B0CD0"/>
    <w:rsid w:val="002B0DE0"/>
    <w:rsid w:val="002B0DFC"/>
    <w:rsid w:val="002B0DFD"/>
    <w:rsid w:val="002B0E0B"/>
    <w:rsid w:val="002B0E1B"/>
    <w:rsid w:val="002B0E43"/>
    <w:rsid w:val="002B0E91"/>
    <w:rsid w:val="002B0F2A"/>
    <w:rsid w:val="002B0F32"/>
    <w:rsid w:val="002B0F38"/>
    <w:rsid w:val="002B0F45"/>
    <w:rsid w:val="002B0F71"/>
    <w:rsid w:val="002B0F79"/>
    <w:rsid w:val="002B0FDE"/>
    <w:rsid w:val="002B108C"/>
    <w:rsid w:val="002B1094"/>
    <w:rsid w:val="002B11D3"/>
    <w:rsid w:val="002B12A6"/>
    <w:rsid w:val="002B133E"/>
    <w:rsid w:val="002B1349"/>
    <w:rsid w:val="002B13A1"/>
    <w:rsid w:val="002B1416"/>
    <w:rsid w:val="002B1420"/>
    <w:rsid w:val="002B149B"/>
    <w:rsid w:val="002B1507"/>
    <w:rsid w:val="002B151D"/>
    <w:rsid w:val="002B1520"/>
    <w:rsid w:val="002B1581"/>
    <w:rsid w:val="002B15CA"/>
    <w:rsid w:val="002B16A3"/>
    <w:rsid w:val="002B16AC"/>
    <w:rsid w:val="002B172D"/>
    <w:rsid w:val="002B17D4"/>
    <w:rsid w:val="002B17E8"/>
    <w:rsid w:val="002B18A2"/>
    <w:rsid w:val="002B1B56"/>
    <w:rsid w:val="002B1B6E"/>
    <w:rsid w:val="002B1D4B"/>
    <w:rsid w:val="002B1E61"/>
    <w:rsid w:val="002B1E71"/>
    <w:rsid w:val="002B1E73"/>
    <w:rsid w:val="002B1E76"/>
    <w:rsid w:val="002B2083"/>
    <w:rsid w:val="002B209A"/>
    <w:rsid w:val="002B2105"/>
    <w:rsid w:val="002B2134"/>
    <w:rsid w:val="002B2198"/>
    <w:rsid w:val="002B2261"/>
    <w:rsid w:val="002B232E"/>
    <w:rsid w:val="002B23D8"/>
    <w:rsid w:val="002B2409"/>
    <w:rsid w:val="002B248E"/>
    <w:rsid w:val="002B24AD"/>
    <w:rsid w:val="002B25B1"/>
    <w:rsid w:val="002B25ED"/>
    <w:rsid w:val="002B25F8"/>
    <w:rsid w:val="002B265D"/>
    <w:rsid w:val="002B26E0"/>
    <w:rsid w:val="002B27FF"/>
    <w:rsid w:val="002B288F"/>
    <w:rsid w:val="002B28A6"/>
    <w:rsid w:val="002B2A0D"/>
    <w:rsid w:val="002B2A33"/>
    <w:rsid w:val="002B2A8B"/>
    <w:rsid w:val="002B2B1D"/>
    <w:rsid w:val="002B2B27"/>
    <w:rsid w:val="002B2B2F"/>
    <w:rsid w:val="002B2C0B"/>
    <w:rsid w:val="002B2C2D"/>
    <w:rsid w:val="002B2C54"/>
    <w:rsid w:val="002B2DE3"/>
    <w:rsid w:val="002B2EC6"/>
    <w:rsid w:val="002B2FE2"/>
    <w:rsid w:val="002B3080"/>
    <w:rsid w:val="002B31AC"/>
    <w:rsid w:val="002B3200"/>
    <w:rsid w:val="002B3231"/>
    <w:rsid w:val="002B334F"/>
    <w:rsid w:val="002B3371"/>
    <w:rsid w:val="002B3444"/>
    <w:rsid w:val="002B3487"/>
    <w:rsid w:val="002B34AB"/>
    <w:rsid w:val="002B351B"/>
    <w:rsid w:val="002B3614"/>
    <w:rsid w:val="002B3707"/>
    <w:rsid w:val="002B3798"/>
    <w:rsid w:val="002B37A7"/>
    <w:rsid w:val="002B37AC"/>
    <w:rsid w:val="002B37FE"/>
    <w:rsid w:val="002B384F"/>
    <w:rsid w:val="002B386A"/>
    <w:rsid w:val="002B3889"/>
    <w:rsid w:val="002B391E"/>
    <w:rsid w:val="002B39E5"/>
    <w:rsid w:val="002B3A1A"/>
    <w:rsid w:val="002B3A40"/>
    <w:rsid w:val="002B3A99"/>
    <w:rsid w:val="002B3AA4"/>
    <w:rsid w:val="002B3AAF"/>
    <w:rsid w:val="002B3B32"/>
    <w:rsid w:val="002B3B8E"/>
    <w:rsid w:val="002B3B9D"/>
    <w:rsid w:val="002B3BE2"/>
    <w:rsid w:val="002B3C24"/>
    <w:rsid w:val="002B3C73"/>
    <w:rsid w:val="002B3CF9"/>
    <w:rsid w:val="002B3D81"/>
    <w:rsid w:val="002B3DAB"/>
    <w:rsid w:val="002B3DFF"/>
    <w:rsid w:val="002B3E67"/>
    <w:rsid w:val="002B3EBF"/>
    <w:rsid w:val="002B3F1A"/>
    <w:rsid w:val="002B3F67"/>
    <w:rsid w:val="002B3F84"/>
    <w:rsid w:val="002B3FC0"/>
    <w:rsid w:val="002B4079"/>
    <w:rsid w:val="002B41F0"/>
    <w:rsid w:val="002B43C5"/>
    <w:rsid w:val="002B4503"/>
    <w:rsid w:val="002B4545"/>
    <w:rsid w:val="002B4600"/>
    <w:rsid w:val="002B4638"/>
    <w:rsid w:val="002B4687"/>
    <w:rsid w:val="002B46CF"/>
    <w:rsid w:val="002B473F"/>
    <w:rsid w:val="002B47E3"/>
    <w:rsid w:val="002B4805"/>
    <w:rsid w:val="002B485F"/>
    <w:rsid w:val="002B491C"/>
    <w:rsid w:val="002B4991"/>
    <w:rsid w:val="002B49E0"/>
    <w:rsid w:val="002B4A58"/>
    <w:rsid w:val="002B4A97"/>
    <w:rsid w:val="002B4AFF"/>
    <w:rsid w:val="002B4B0B"/>
    <w:rsid w:val="002B4B66"/>
    <w:rsid w:val="002B4CA4"/>
    <w:rsid w:val="002B4CE9"/>
    <w:rsid w:val="002B4CEE"/>
    <w:rsid w:val="002B4D2B"/>
    <w:rsid w:val="002B4D4B"/>
    <w:rsid w:val="002B4D54"/>
    <w:rsid w:val="002B4E72"/>
    <w:rsid w:val="002B4EA1"/>
    <w:rsid w:val="002B4F99"/>
    <w:rsid w:val="002B50E7"/>
    <w:rsid w:val="002B50F9"/>
    <w:rsid w:val="002B513E"/>
    <w:rsid w:val="002B51DA"/>
    <w:rsid w:val="002B524A"/>
    <w:rsid w:val="002B5272"/>
    <w:rsid w:val="002B5274"/>
    <w:rsid w:val="002B52B2"/>
    <w:rsid w:val="002B5372"/>
    <w:rsid w:val="002B53E8"/>
    <w:rsid w:val="002B542F"/>
    <w:rsid w:val="002B5477"/>
    <w:rsid w:val="002B5478"/>
    <w:rsid w:val="002B5607"/>
    <w:rsid w:val="002B560C"/>
    <w:rsid w:val="002B5642"/>
    <w:rsid w:val="002B56B1"/>
    <w:rsid w:val="002B570D"/>
    <w:rsid w:val="002B5839"/>
    <w:rsid w:val="002B583B"/>
    <w:rsid w:val="002B58C1"/>
    <w:rsid w:val="002B595E"/>
    <w:rsid w:val="002B5962"/>
    <w:rsid w:val="002B5A69"/>
    <w:rsid w:val="002B5A9F"/>
    <w:rsid w:val="002B5BE8"/>
    <w:rsid w:val="002B5CB5"/>
    <w:rsid w:val="002B5E0E"/>
    <w:rsid w:val="002B6009"/>
    <w:rsid w:val="002B602C"/>
    <w:rsid w:val="002B615E"/>
    <w:rsid w:val="002B61D3"/>
    <w:rsid w:val="002B62F7"/>
    <w:rsid w:val="002B635C"/>
    <w:rsid w:val="002B63FC"/>
    <w:rsid w:val="002B641B"/>
    <w:rsid w:val="002B6530"/>
    <w:rsid w:val="002B6561"/>
    <w:rsid w:val="002B65B4"/>
    <w:rsid w:val="002B6600"/>
    <w:rsid w:val="002B6644"/>
    <w:rsid w:val="002B6713"/>
    <w:rsid w:val="002B6775"/>
    <w:rsid w:val="002B68C1"/>
    <w:rsid w:val="002B68DD"/>
    <w:rsid w:val="002B6903"/>
    <w:rsid w:val="002B694E"/>
    <w:rsid w:val="002B699F"/>
    <w:rsid w:val="002B6AC3"/>
    <w:rsid w:val="002B6B16"/>
    <w:rsid w:val="002B6B29"/>
    <w:rsid w:val="002B6B37"/>
    <w:rsid w:val="002B6B7C"/>
    <w:rsid w:val="002B6C41"/>
    <w:rsid w:val="002B6D6C"/>
    <w:rsid w:val="002B6DC3"/>
    <w:rsid w:val="002B6E2D"/>
    <w:rsid w:val="002B6E81"/>
    <w:rsid w:val="002B6FE2"/>
    <w:rsid w:val="002B70B5"/>
    <w:rsid w:val="002B7164"/>
    <w:rsid w:val="002B721C"/>
    <w:rsid w:val="002B7256"/>
    <w:rsid w:val="002B72AC"/>
    <w:rsid w:val="002B737B"/>
    <w:rsid w:val="002B73BA"/>
    <w:rsid w:val="002B741A"/>
    <w:rsid w:val="002B7436"/>
    <w:rsid w:val="002B7443"/>
    <w:rsid w:val="002B74DA"/>
    <w:rsid w:val="002B7597"/>
    <w:rsid w:val="002B75E2"/>
    <w:rsid w:val="002B762F"/>
    <w:rsid w:val="002B7654"/>
    <w:rsid w:val="002B76A7"/>
    <w:rsid w:val="002B7720"/>
    <w:rsid w:val="002B7742"/>
    <w:rsid w:val="002B775A"/>
    <w:rsid w:val="002B79C7"/>
    <w:rsid w:val="002B79E7"/>
    <w:rsid w:val="002B7A38"/>
    <w:rsid w:val="002B7A7D"/>
    <w:rsid w:val="002B7AFC"/>
    <w:rsid w:val="002B7C75"/>
    <w:rsid w:val="002B7CE9"/>
    <w:rsid w:val="002B7E41"/>
    <w:rsid w:val="002B7F46"/>
    <w:rsid w:val="002B7F71"/>
    <w:rsid w:val="002B7FDB"/>
    <w:rsid w:val="002C0012"/>
    <w:rsid w:val="002C0033"/>
    <w:rsid w:val="002C0046"/>
    <w:rsid w:val="002C0085"/>
    <w:rsid w:val="002C00FD"/>
    <w:rsid w:val="002C020A"/>
    <w:rsid w:val="002C021A"/>
    <w:rsid w:val="002C0363"/>
    <w:rsid w:val="002C03C2"/>
    <w:rsid w:val="002C0404"/>
    <w:rsid w:val="002C0448"/>
    <w:rsid w:val="002C049A"/>
    <w:rsid w:val="002C04C0"/>
    <w:rsid w:val="002C0542"/>
    <w:rsid w:val="002C0696"/>
    <w:rsid w:val="002C06B9"/>
    <w:rsid w:val="002C07BD"/>
    <w:rsid w:val="002C07EF"/>
    <w:rsid w:val="002C0828"/>
    <w:rsid w:val="002C0841"/>
    <w:rsid w:val="002C0A1F"/>
    <w:rsid w:val="002C0A3D"/>
    <w:rsid w:val="002C0A6E"/>
    <w:rsid w:val="002C0AD9"/>
    <w:rsid w:val="002C0BD2"/>
    <w:rsid w:val="002C0C53"/>
    <w:rsid w:val="002C0D1D"/>
    <w:rsid w:val="002C0D22"/>
    <w:rsid w:val="002C0D29"/>
    <w:rsid w:val="002C0D4A"/>
    <w:rsid w:val="002C0DB1"/>
    <w:rsid w:val="002C0DCD"/>
    <w:rsid w:val="002C0E0C"/>
    <w:rsid w:val="002C0E1A"/>
    <w:rsid w:val="002C0E70"/>
    <w:rsid w:val="002C0EE0"/>
    <w:rsid w:val="002C0FBA"/>
    <w:rsid w:val="002C0FEA"/>
    <w:rsid w:val="002C1045"/>
    <w:rsid w:val="002C1076"/>
    <w:rsid w:val="002C10A1"/>
    <w:rsid w:val="002C111A"/>
    <w:rsid w:val="002C111D"/>
    <w:rsid w:val="002C1243"/>
    <w:rsid w:val="002C1274"/>
    <w:rsid w:val="002C1351"/>
    <w:rsid w:val="002C138C"/>
    <w:rsid w:val="002C13E9"/>
    <w:rsid w:val="002C147B"/>
    <w:rsid w:val="002C1525"/>
    <w:rsid w:val="002C15C6"/>
    <w:rsid w:val="002C1616"/>
    <w:rsid w:val="002C164C"/>
    <w:rsid w:val="002C1735"/>
    <w:rsid w:val="002C174F"/>
    <w:rsid w:val="002C182E"/>
    <w:rsid w:val="002C186E"/>
    <w:rsid w:val="002C18B3"/>
    <w:rsid w:val="002C18E7"/>
    <w:rsid w:val="002C18F7"/>
    <w:rsid w:val="002C1953"/>
    <w:rsid w:val="002C19A4"/>
    <w:rsid w:val="002C19BD"/>
    <w:rsid w:val="002C19FD"/>
    <w:rsid w:val="002C1A58"/>
    <w:rsid w:val="002C1AF9"/>
    <w:rsid w:val="002C1D26"/>
    <w:rsid w:val="002C1D6A"/>
    <w:rsid w:val="002C1DBB"/>
    <w:rsid w:val="002C1DF6"/>
    <w:rsid w:val="002C1E42"/>
    <w:rsid w:val="002C1FB3"/>
    <w:rsid w:val="002C1FC0"/>
    <w:rsid w:val="002C1FD6"/>
    <w:rsid w:val="002C1FEB"/>
    <w:rsid w:val="002C20C6"/>
    <w:rsid w:val="002C20D3"/>
    <w:rsid w:val="002C20E1"/>
    <w:rsid w:val="002C2111"/>
    <w:rsid w:val="002C21EA"/>
    <w:rsid w:val="002C224E"/>
    <w:rsid w:val="002C2281"/>
    <w:rsid w:val="002C230B"/>
    <w:rsid w:val="002C2342"/>
    <w:rsid w:val="002C23AF"/>
    <w:rsid w:val="002C23F2"/>
    <w:rsid w:val="002C247F"/>
    <w:rsid w:val="002C2517"/>
    <w:rsid w:val="002C25A0"/>
    <w:rsid w:val="002C25FA"/>
    <w:rsid w:val="002C2621"/>
    <w:rsid w:val="002C2635"/>
    <w:rsid w:val="002C2738"/>
    <w:rsid w:val="002C2791"/>
    <w:rsid w:val="002C27EE"/>
    <w:rsid w:val="002C2807"/>
    <w:rsid w:val="002C2973"/>
    <w:rsid w:val="002C2B31"/>
    <w:rsid w:val="002C2B93"/>
    <w:rsid w:val="002C2B9F"/>
    <w:rsid w:val="002C2C9C"/>
    <w:rsid w:val="002C2D5E"/>
    <w:rsid w:val="002C2D87"/>
    <w:rsid w:val="002C2DA5"/>
    <w:rsid w:val="002C2DED"/>
    <w:rsid w:val="002C2E1C"/>
    <w:rsid w:val="002C2EC5"/>
    <w:rsid w:val="002C2F04"/>
    <w:rsid w:val="002C301C"/>
    <w:rsid w:val="002C3029"/>
    <w:rsid w:val="002C30DF"/>
    <w:rsid w:val="002C30F5"/>
    <w:rsid w:val="002C3126"/>
    <w:rsid w:val="002C31ED"/>
    <w:rsid w:val="002C3291"/>
    <w:rsid w:val="002C32DA"/>
    <w:rsid w:val="002C32F3"/>
    <w:rsid w:val="002C33F8"/>
    <w:rsid w:val="002C341C"/>
    <w:rsid w:val="002C3430"/>
    <w:rsid w:val="002C343C"/>
    <w:rsid w:val="002C34C1"/>
    <w:rsid w:val="002C35C5"/>
    <w:rsid w:val="002C367A"/>
    <w:rsid w:val="002C368A"/>
    <w:rsid w:val="002C36B8"/>
    <w:rsid w:val="002C36C5"/>
    <w:rsid w:val="002C373B"/>
    <w:rsid w:val="002C37DF"/>
    <w:rsid w:val="002C3817"/>
    <w:rsid w:val="002C38A0"/>
    <w:rsid w:val="002C38D5"/>
    <w:rsid w:val="002C3925"/>
    <w:rsid w:val="002C3ABC"/>
    <w:rsid w:val="002C3AF1"/>
    <w:rsid w:val="002C3B97"/>
    <w:rsid w:val="002C3BB4"/>
    <w:rsid w:val="002C3BCF"/>
    <w:rsid w:val="002C3BF3"/>
    <w:rsid w:val="002C3C90"/>
    <w:rsid w:val="002C3CEB"/>
    <w:rsid w:val="002C3D67"/>
    <w:rsid w:val="002C3DF4"/>
    <w:rsid w:val="002C3EE3"/>
    <w:rsid w:val="002C3F52"/>
    <w:rsid w:val="002C3F55"/>
    <w:rsid w:val="002C3F74"/>
    <w:rsid w:val="002C4031"/>
    <w:rsid w:val="002C4047"/>
    <w:rsid w:val="002C406A"/>
    <w:rsid w:val="002C410A"/>
    <w:rsid w:val="002C412B"/>
    <w:rsid w:val="002C41A6"/>
    <w:rsid w:val="002C4240"/>
    <w:rsid w:val="002C432D"/>
    <w:rsid w:val="002C43BE"/>
    <w:rsid w:val="002C4405"/>
    <w:rsid w:val="002C4462"/>
    <w:rsid w:val="002C446D"/>
    <w:rsid w:val="002C4478"/>
    <w:rsid w:val="002C4509"/>
    <w:rsid w:val="002C45AD"/>
    <w:rsid w:val="002C45D6"/>
    <w:rsid w:val="002C46EF"/>
    <w:rsid w:val="002C4775"/>
    <w:rsid w:val="002C479D"/>
    <w:rsid w:val="002C47C9"/>
    <w:rsid w:val="002C4807"/>
    <w:rsid w:val="002C484E"/>
    <w:rsid w:val="002C48EA"/>
    <w:rsid w:val="002C49EA"/>
    <w:rsid w:val="002C4BC6"/>
    <w:rsid w:val="002C4BD5"/>
    <w:rsid w:val="002C4BE9"/>
    <w:rsid w:val="002C4C1C"/>
    <w:rsid w:val="002C4D74"/>
    <w:rsid w:val="002C4DE1"/>
    <w:rsid w:val="002C4E06"/>
    <w:rsid w:val="002C4E16"/>
    <w:rsid w:val="002C4EDC"/>
    <w:rsid w:val="002C4FE3"/>
    <w:rsid w:val="002C4FF6"/>
    <w:rsid w:val="002C5170"/>
    <w:rsid w:val="002C5196"/>
    <w:rsid w:val="002C51E9"/>
    <w:rsid w:val="002C5205"/>
    <w:rsid w:val="002C5233"/>
    <w:rsid w:val="002C5259"/>
    <w:rsid w:val="002C5260"/>
    <w:rsid w:val="002C52B0"/>
    <w:rsid w:val="002C52CB"/>
    <w:rsid w:val="002C54B0"/>
    <w:rsid w:val="002C54E9"/>
    <w:rsid w:val="002C54FB"/>
    <w:rsid w:val="002C5522"/>
    <w:rsid w:val="002C55AB"/>
    <w:rsid w:val="002C560E"/>
    <w:rsid w:val="002C564D"/>
    <w:rsid w:val="002C5788"/>
    <w:rsid w:val="002C5980"/>
    <w:rsid w:val="002C5AA5"/>
    <w:rsid w:val="002C5B28"/>
    <w:rsid w:val="002C5B9C"/>
    <w:rsid w:val="002C5BA7"/>
    <w:rsid w:val="002C5BD4"/>
    <w:rsid w:val="002C5D1C"/>
    <w:rsid w:val="002C5DD6"/>
    <w:rsid w:val="002C5FEC"/>
    <w:rsid w:val="002C6080"/>
    <w:rsid w:val="002C6114"/>
    <w:rsid w:val="002C6272"/>
    <w:rsid w:val="002C62B9"/>
    <w:rsid w:val="002C6336"/>
    <w:rsid w:val="002C6472"/>
    <w:rsid w:val="002C64EF"/>
    <w:rsid w:val="002C6537"/>
    <w:rsid w:val="002C6538"/>
    <w:rsid w:val="002C6573"/>
    <w:rsid w:val="002C6581"/>
    <w:rsid w:val="002C66A7"/>
    <w:rsid w:val="002C66B3"/>
    <w:rsid w:val="002C66C3"/>
    <w:rsid w:val="002C66DE"/>
    <w:rsid w:val="002C6718"/>
    <w:rsid w:val="002C671D"/>
    <w:rsid w:val="002C67A0"/>
    <w:rsid w:val="002C6862"/>
    <w:rsid w:val="002C68FE"/>
    <w:rsid w:val="002C6A0A"/>
    <w:rsid w:val="002C6A13"/>
    <w:rsid w:val="002C6A9F"/>
    <w:rsid w:val="002C6B32"/>
    <w:rsid w:val="002C6C2D"/>
    <w:rsid w:val="002C6C9E"/>
    <w:rsid w:val="002C6D36"/>
    <w:rsid w:val="002C6E0E"/>
    <w:rsid w:val="002C6E62"/>
    <w:rsid w:val="002C6E73"/>
    <w:rsid w:val="002C6EF8"/>
    <w:rsid w:val="002C6F4A"/>
    <w:rsid w:val="002C6F6A"/>
    <w:rsid w:val="002C6F7F"/>
    <w:rsid w:val="002C70D6"/>
    <w:rsid w:val="002C714A"/>
    <w:rsid w:val="002C718C"/>
    <w:rsid w:val="002C7248"/>
    <w:rsid w:val="002C72AA"/>
    <w:rsid w:val="002C72F3"/>
    <w:rsid w:val="002C735D"/>
    <w:rsid w:val="002C7399"/>
    <w:rsid w:val="002C73B8"/>
    <w:rsid w:val="002C73CA"/>
    <w:rsid w:val="002C74C5"/>
    <w:rsid w:val="002C74D2"/>
    <w:rsid w:val="002C75C3"/>
    <w:rsid w:val="002C76D6"/>
    <w:rsid w:val="002C771E"/>
    <w:rsid w:val="002C7728"/>
    <w:rsid w:val="002C7775"/>
    <w:rsid w:val="002C77BD"/>
    <w:rsid w:val="002C77E7"/>
    <w:rsid w:val="002C7809"/>
    <w:rsid w:val="002C7AA4"/>
    <w:rsid w:val="002C7B05"/>
    <w:rsid w:val="002C7B68"/>
    <w:rsid w:val="002C7BA9"/>
    <w:rsid w:val="002C7D4B"/>
    <w:rsid w:val="002C7DC6"/>
    <w:rsid w:val="002C7E75"/>
    <w:rsid w:val="002C7EF4"/>
    <w:rsid w:val="002C7F57"/>
    <w:rsid w:val="002C7FBC"/>
    <w:rsid w:val="002CE53E"/>
    <w:rsid w:val="002D0045"/>
    <w:rsid w:val="002D0070"/>
    <w:rsid w:val="002D01AF"/>
    <w:rsid w:val="002D01BC"/>
    <w:rsid w:val="002D0335"/>
    <w:rsid w:val="002D0410"/>
    <w:rsid w:val="002D044C"/>
    <w:rsid w:val="002D0540"/>
    <w:rsid w:val="002D054F"/>
    <w:rsid w:val="002D0591"/>
    <w:rsid w:val="002D05A2"/>
    <w:rsid w:val="002D05E0"/>
    <w:rsid w:val="002D0651"/>
    <w:rsid w:val="002D073A"/>
    <w:rsid w:val="002D0816"/>
    <w:rsid w:val="002D0889"/>
    <w:rsid w:val="002D08AC"/>
    <w:rsid w:val="002D091A"/>
    <w:rsid w:val="002D092F"/>
    <w:rsid w:val="002D098E"/>
    <w:rsid w:val="002D0A08"/>
    <w:rsid w:val="002D0A8F"/>
    <w:rsid w:val="002D0B3B"/>
    <w:rsid w:val="002D0B47"/>
    <w:rsid w:val="002D0B55"/>
    <w:rsid w:val="002D0B77"/>
    <w:rsid w:val="002D0BDE"/>
    <w:rsid w:val="002D0C09"/>
    <w:rsid w:val="002D0C92"/>
    <w:rsid w:val="002D0CFC"/>
    <w:rsid w:val="002D0D22"/>
    <w:rsid w:val="002D0DD0"/>
    <w:rsid w:val="002D0E51"/>
    <w:rsid w:val="002D0E6B"/>
    <w:rsid w:val="002D0E7E"/>
    <w:rsid w:val="002D0EAA"/>
    <w:rsid w:val="002D10A9"/>
    <w:rsid w:val="002D115C"/>
    <w:rsid w:val="002D1161"/>
    <w:rsid w:val="002D1325"/>
    <w:rsid w:val="002D13A1"/>
    <w:rsid w:val="002D13A5"/>
    <w:rsid w:val="002D13AA"/>
    <w:rsid w:val="002D13E9"/>
    <w:rsid w:val="002D13F7"/>
    <w:rsid w:val="002D1508"/>
    <w:rsid w:val="002D1517"/>
    <w:rsid w:val="002D1559"/>
    <w:rsid w:val="002D165E"/>
    <w:rsid w:val="002D1671"/>
    <w:rsid w:val="002D16F5"/>
    <w:rsid w:val="002D179D"/>
    <w:rsid w:val="002D17B2"/>
    <w:rsid w:val="002D185D"/>
    <w:rsid w:val="002D1874"/>
    <w:rsid w:val="002D1887"/>
    <w:rsid w:val="002D18E7"/>
    <w:rsid w:val="002D18F7"/>
    <w:rsid w:val="002D1929"/>
    <w:rsid w:val="002D19C5"/>
    <w:rsid w:val="002D19EB"/>
    <w:rsid w:val="002D1AC6"/>
    <w:rsid w:val="002D1B1E"/>
    <w:rsid w:val="002D1C26"/>
    <w:rsid w:val="002D1C3D"/>
    <w:rsid w:val="002D1C96"/>
    <w:rsid w:val="002D1CBF"/>
    <w:rsid w:val="002D1D6E"/>
    <w:rsid w:val="002D1DC7"/>
    <w:rsid w:val="002D1DE9"/>
    <w:rsid w:val="002D1E18"/>
    <w:rsid w:val="002D1E39"/>
    <w:rsid w:val="002D1F65"/>
    <w:rsid w:val="002D1F97"/>
    <w:rsid w:val="002D1FA7"/>
    <w:rsid w:val="002D1FFE"/>
    <w:rsid w:val="002D208E"/>
    <w:rsid w:val="002D20A2"/>
    <w:rsid w:val="002D20CF"/>
    <w:rsid w:val="002D213E"/>
    <w:rsid w:val="002D22A5"/>
    <w:rsid w:val="002D22D7"/>
    <w:rsid w:val="002D24D7"/>
    <w:rsid w:val="002D2579"/>
    <w:rsid w:val="002D25B3"/>
    <w:rsid w:val="002D25FD"/>
    <w:rsid w:val="002D26E9"/>
    <w:rsid w:val="002D2761"/>
    <w:rsid w:val="002D2904"/>
    <w:rsid w:val="002D2947"/>
    <w:rsid w:val="002D295F"/>
    <w:rsid w:val="002D2970"/>
    <w:rsid w:val="002D29FD"/>
    <w:rsid w:val="002D2A0F"/>
    <w:rsid w:val="002D2A63"/>
    <w:rsid w:val="002D2A82"/>
    <w:rsid w:val="002D2AA1"/>
    <w:rsid w:val="002D2B76"/>
    <w:rsid w:val="002D2BA3"/>
    <w:rsid w:val="002D2BCD"/>
    <w:rsid w:val="002D2CBF"/>
    <w:rsid w:val="002D2CFC"/>
    <w:rsid w:val="002D2DD0"/>
    <w:rsid w:val="002D2DD1"/>
    <w:rsid w:val="002D2DD2"/>
    <w:rsid w:val="002D2DD4"/>
    <w:rsid w:val="002D2E08"/>
    <w:rsid w:val="002D2E82"/>
    <w:rsid w:val="002D2EFE"/>
    <w:rsid w:val="002D2F08"/>
    <w:rsid w:val="002D3131"/>
    <w:rsid w:val="002D332C"/>
    <w:rsid w:val="002D3381"/>
    <w:rsid w:val="002D33B8"/>
    <w:rsid w:val="002D34AF"/>
    <w:rsid w:val="002D3605"/>
    <w:rsid w:val="002D361F"/>
    <w:rsid w:val="002D36CB"/>
    <w:rsid w:val="002D3737"/>
    <w:rsid w:val="002D376F"/>
    <w:rsid w:val="002D3798"/>
    <w:rsid w:val="002D37D1"/>
    <w:rsid w:val="002D37E1"/>
    <w:rsid w:val="002D38E6"/>
    <w:rsid w:val="002D3A9F"/>
    <w:rsid w:val="002D3B11"/>
    <w:rsid w:val="002D3B85"/>
    <w:rsid w:val="002D3CE8"/>
    <w:rsid w:val="002D3DC1"/>
    <w:rsid w:val="002D3E55"/>
    <w:rsid w:val="002D3ED5"/>
    <w:rsid w:val="002D3EE2"/>
    <w:rsid w:val="002D3F17"/>
    <w:rsid w:val="002D3F4A"/>
    <w:rsid w:val="002D3FC8"/>
    <w:rsid w:val="002D4264"/>
    <w:rsid w:val="002D42EA"/>
    <w:rsid w:val="002D4404"/>
    <w:rsid w:val="002D44BA"/>
    <w:rsid w:val="002D45A1"/>
    <w:rsid w:val="002D45AB"/>
    <w:rsid w:val="002D463F"/>
    <w:rsid w:val="002D469E"/>
    <w:rsid w:val="002D4795"/>
    <w:rsid w:val="002D4828"/>
    <w:rsid w:val="002D494F"/>
    <w:rsid w:val="002D4ADC"/>
    <w:rsid w:val="002D4B05"/>
    <w:rsid w:val="002D4B9F"/>
    <w:rsid w:val="002D4BE2"/>
    <w:rsid w:val="002D4C7A"/>
    <w:rsid w:val="002D4CCD"/>
    <w:rsid w:val="002D4CEA"/>
    <w:rsid w:val="002D4D32"/>
    <w:rsid w:val="002D4D79"/>
    <w:rsid w:val="002D4DAB"/>
    <w:rsid w:val="002D4F78"/>
    <w:rsid w:val="002D4F7D"/>
    <w:rsid w:val="002D5015"/>
    <w:rsid w:val="002D5033"/>
    <w:rsid w:val="002D5072"/>
    <w:rsid w:val="002D5076"/>
    <w:rsid w:val="002D50DE"/>
    <w:rsid w:val="002D512B"/>
    <w:rsid w:val="002D5132"/>
    <w:rsid w:val="002D516A"/>
    <w:rsid w:val="002D51D4"/>
    <w:rsid w:val="002D51EE"/>
    <w:rsid w:val="002D52BD"/>
    <w:rsid w:val="002D53AA"/>
    <w:rsid w:val="002D53C3"/>
    <w:rsid w:val="002D53FB"/>
    <w:rsid w:val="002D544C"/>
    <w:rsid w:val="002D5599"/>
    <w:rsid w:val="002D55FB"/>
    <w:rsid w:val="002D562B"/>
    <w:rsid w:val="002D566B"/>
    <w:rsid w:val="002D569E"/>
    <w:rsid w:val="002D56F8"/>
    <w:rsid w:val="002D572E"/>
    <w:rsid w:val="002D57B5"/>
    <w:rsid w:val="002D5809"/>
    <w:rsid w:val="002D58BD"/>
    <w:rsid w:val="002D597E"/>
    <w:rsid w:val="002D5982"/>
    <w:rsid w:val="002D59A4"/>
    <w:rsid w:val="002D5A44"/>
    <w:rsid w:val="002D5AC9"/>
    <w:rsid w:val="002D5AEE"/>
    <w:rsid w:val="002D5B5D"/>
    <w:rsid w:val="002D5E48"/>
    <w:rsid w:val="002D5E81"/>
    <w:rsid w:val="002D5E86"/>
    <w:rsid w:val="002D5F26"/>
    <w:rsid w:val="002D5F61"/>
    <w:rsid w:val="002D5F6C"/>
    <w:rsid w:val="002D5F81"/>
    <w:rsid w:val="002D5FB4"/>
    <w:rsid w:val="002D5FE7"/>
    <w:rsid w:val="002D603F"/>
    <w:rsid w:val="002D6142"/>
    <w:rsid w:val="002D619B"/>
    <w:rsid w:val="002D6247"/>
    <w:rsid w:val="002D62A7"/>
    <w:rsid w:val="002D62D2"/>
    <w:rsid w:val="002D6482"/>
    <w:rsid w:val="002D649B"/>
    <w:rsid w:val="002D64A3"/>
    <w:rsid w:val="002D64A9"/>
    <w:rsid w:val="002D64AA"/>
    <w:rsid w:val="002D6515"/>
    <w:rsid w:val="002D654B"/>
    <w:rsid w:val="002D6607"/>
    <w:rsid w:val="002D660D"/>
    <w:rsid w:val="002D66A9"/>
    <w:rsid w:val="002D674A"/>
    <w:rsid w:val="002D6806"/>
    <w:rsid w:val="002D68B2"/>
    <w:rsid w:val="002D68CB"/>
    <w:rsid w:val="002D6913"/>
    <w:rsid w:val="002D69C3"/>
    <w:rsid w:val="002D6A76"/>
    <w:rsid w:val="002D6A83"/>
    <w:rsid w:val="002D6A9F"/>
    <w:rsid w:val="002D6B11"/>
    <w:rsid w:val="002D6B91"/>
    <w:rsid w:val="002D6B98"/>
    <w:rsid w:val="002D6D04"/>
    <w:rsid w:val="002D6D1D"/>
    <w:rsid w:val="002D6D91"/>
    <w:rsid w:val="002D6F2E"/>
    <w:rsid w:val="002D70E3"/>
    <w:rsid w:val="002D70F5"/>
    <w:rsid w:val="002D714B"/>
    <w:rsid w:val="002D71E8"/>
    <w:rsid w:val="002D732D"/>
    <w:rsid w:val="002D7343"/>
    <w:rsid w:val="002D739A"/>
    <w:rsid w:val="002D73B2"/>
    <w:rsid w:val="002D73B5"/>
    <w:rsid w:val="002D742E"/>
    <w:rsid w:val="002D7493"/>
    <w:rsid w:val="002D74B1"/>
    <w:rsid w:val="002D7530"/>
    <w:rsid w:val="002D7547"/>
    <w:rsid w:val="002D7548"/>
    <w:rsid w:val="002D7590"/>
    <w:rsid w:val="002D75D0"/>
    <w:rsid w:val="002D76AA"/>
    <w:rsid w:val="002D76EE"/>
    <w:rsid w:val="002D778C"/>
    <w:rsid w:val="002D78D8"/>
    <w:rsid w:val="002D7973"/>
    <w:rsid w:val="002D7A0C"/>
    <w:rsid w:val="002D7A71"/>
    <w:rsid w:val="002D7A94"/>
    <w:rsid w:val="002D7BCC"/>
    <w:rsid w:val="002D7C15"/>
    <w:rsid w:val="002D7C33"/>
    <w:rsid w:val="002D7C3E"/>
    <w:rsid w:val="002D7C5E"/>
    <w:rsid w:val="002D7C95"/>
    <w:rsid w:val="002D7CEA"/>
    <w:rsid w:val="002D7D8D"/>
    <w:rsid w:val="002D7DB2"/>
    <w:rsid w:val="002D7DBD"/>
    <w:rsid w:val="002D7DEA"/>
    <w:rsid w:val="002E0004"/>
    <w:rsid w:val="002E0084"/>
    <w:rsid w:val="002E00E2"/>
    <w:rsid w:val="002E0168"/>
    <w:rsid w:val="002E01C2"/>
    <w:rsid w:val="002E034B"/>
    <w:rsid w:val="002E0373"/>
    <w:rsid w:val="002E03FC"/>
    <w:rsid w:val="002E0441"/>
    <w:rsid w:val="002E044A"/>
    <w:rsid w:val="002E0458"/>
    <w:rsid w:val="002E047E"/>
    <w:rsid w:val="002E04EC"/>
    <w:rsid w:val="002E051E"/>
    <w:rsid w:val="002E0533"/>
    <w:rsid w:val="002E05B4"/>
    <w:rsid w:val="002E05B9"/>
    <w:rsid w:val="002E0697"/>
    <w:rsid w:val="002E06DE"/>
    <w:rsid w:val="002E071E"/>
    <w:rsid w:val="002E072F"/>
    <w:rsid w:val="002E07BC"/>
    <w:rsid w:val="002E07D2"/>
    <w:rsid w:val="002E0815"/>
    <w:rsid w:val="002E0849"/>
    <w:rsid w:val="002E08E4"/>
    <w:rsid w:val="002E0A07"/>
    <w:rsid w:val="002E0A6E"/>
    <w:rsid w:val="002E0A74"/>
    <w:rsid w:val="002E0A98"/>
    <w:rsid w:val="002E0B24"/>
    <w:rsid w:val="002E0B28"/>
    <w:rsid w:val="002E0C01"/>
    <w:rsid w:val="002E0C3F"/>
    <w:rsid w:val="002E0CCC"/>
    <w:rsid w:val="002E0CD6"/>
    <w:rsid w:val="002E0DC0"/>
    <w:rsid w:val="002E0EB7"/>
    <w:rsid w:val="002E0F11"/>
    <w:rsid w:val="002E0F80"/>
    <w:rsid w:val="002E102B"/>
    <w:rsid w:val="002E106B"/>
    <w:rsid w:val="002E1079"/>
    <w:rsid w:val="002E108A"/>
    <w:rsid w:val="002E128B"/>
    <w:rsid w:val="002E1328"/>
    <w:rsid w:val="002E14BD"/>
    <w:rsid w:val="002E1580"/>
    <w:rsid w:val="002E16B9"/>
    <w:rsid w:val="002E16D7"/>
    <w:rsid w:val="002E1709"/>
    <w:rsid w:val="002E1771"/>
    <w:rsid w:val="002E17E8"/>
    <w:rsid w:val="002E19FF"/>
    <w:rsid w:val="002E1B54"/>
    <w:rsid w:val="002E1BF7"/>
    <w:rsid w:val="002E1CC3"/>
    <w:rsid w:val="002E1D0F"/>
    <w:rsid w:val="002E1E1C"/>
    <w:rsid w:val="002E1F9C"/>
    <w:rsid w:val="002E2023"/>
    <w:rsid w:val="002E20DD"/>
    <w:rsid w:val="002E210B"/>
    <w:rsid w:val="002E215B"/>
    <w:rsid w:val="002E2200"/>
    <w:rsid w:val="002E239F"/>
    <w:rsid w:val="002E242F"/>
    <w:rsid w:val="002E2464"/>
    <w:rsid w:val="002E248C"/>
    <w:rsid w:val="002E24CB"/>
    <w:rsid w:val="002E2577"/>
    <w:rsid w:val="002E2642"/>
    <w:rsid w:val="002E2705"/>
    <w:rsid w:val="002E2782"/>
    <w:rsid w:val="002E27AD"/>
    <w:rsid w:val="002E27EA"/>
    <w:rsid w:val="002E2868"/>
    <w:rsid w:val="002E28B9"/>
    <w:rsid w:val="002E2936"/>
    <w:rsid w:val="002E2A58"/>
    <w:rsid w:val="002E2A5A"/>
    <w:rsid w:val="002E2AA2"/>
    <w:rsid w:val="002E2B4D"/>
    <w:rsid w:val="002E2BFC"/>
    <w:rsid w:val="002E2C30"/>
    <w:rsid w:val="002E2CB2"/>
    <w:rsid w:val="002E2CFD"/>
    <w:rsid w:val="002E2D8D"/>
    <w:rsid w:val="002E2D8E"/>
    <w:rsid w:val="002E2D9A"/>
    <w:rsid w:val="002E2DC4"/>
    <w:rsid w:val="002E2E4E"/>
    <w:rsid w:val="002E2EA5"/>
    <w:rsid w:val="002E2F5E"/>
    <w:rsid w:val="002E2FF4"/>
    <w:rsid w:val="002E3006"/>
    <w:rsid w:val="002E317E"/>
    <w:rsid w:val="002E31AE"/>
    <w:rsid w:val="002E3219"/>
    <w:rsid w:val="002E3223"/>
    <w:rsid w:val="002E324C"/>
    <w:rsid w:val="002E3273"/>
    <w:rsid w:val="002E327E"/>
    <w:rsid w:val="002E32F8"/>
    <w:rsid w:val="002E3316"/>
    <w:rsid w:val="002E3380"/>
    <w:rsid w:val="002E338E"/>
    <w:rsid w:val="002E3411"/>
    <w:rsid w:val="002E34C8"/>
    <w:rsid w:val="002E3575"/>
    <w:rsid w:val="002E35E1"/>
    <w:rsid w:val="002E360D"/>
    <w:rsid w:val="002E36C4"/>
    <w:rsid w:val="002E370D"/>
    <w:rsid w:val="002E37E4"/>
    <w:rsid w:val="002E3803"/>
    <w:rsid w:val="002E384E"/>
    <w:rsid w:val="002E386A"/>
    <w:rsid w:val="002E38B8"/>
    <w:rsid w:val="002E38CC"/>
    <w:rsid w:val="002E38FE"/>
    <w:rsid w:val="002E3A1F"/>
    <w:rsid w:val="002E3A8F"/>
    <w:rsid w:val="002E3B2A"/>
    <w:rsid w:val="002E3B5B"/>
    <w:rsid w:val="002E3C15"/>
    <w:rsid w:val="002E3C73"/>
    <w:rsid w:val="002E3CB9"/>
    <w:rsid w:val="002E3D36"/>
    <w:rsid w:val="002E3D68"/>
    <w:rsid w:val="002E3DF5"/>
    <w:rsid w:val="002E3EE8"/>
    <w:rsid w:val="002E3F25"/>
    <w:rsid w:val="002E3FA4"/>
    <w:rsid w:val="002E3FD9"/>
    <w:rsid w:val="002E3FF2"/>
    <w:rsid w:val="002E4023"/>
    <w:rsid w:val="002E40CC"/>
    <w:rsid w:val="002E41AC"/>
    <w:rsid w:val="002E4235"/>
    <w:rsid w:val="002E42B5"/>
    <w:rsid w:val="002E436E"/>
    <w:rsid w:val="002E443F"/>
    <w:rsid w:val="002E4483"/>
    <w:rsid w:val="002E449C"/>
    <w:rsid w:val="002E44D9"/>
    <w:rsid w:val="002E4578"/>
    <w:rsid w:val="002E4587"/>
    <w:rsid w:val="002E45CD"/>
    <w:rsid w:val="002E4616"/>
    <w:rsid w:val="002E467B"/>
    <w:rsid w:val="002E4684"/>
    <w:rsid w:val="002E46D4"/>
    <w:rsid w:val="002E473D"/>
    <w:rsid w:val="002E47D1"/>
    <w:rsid w:val="002E480B"/>
    <w:rsid w:val="002E48B3"/>
    <w:rsid w:val="002E48F4"/>
    <w:rsid w:val="002E4914"/>
    <w:rsid w:val="002E495C"/>
    <w:rsid w:val="002E495D"/>
    <w:rsid w:val="002E4A10"/>
    <w:rsid w:val="002E4AA4"/>
    <w:rsid w:val="002E4AC4"/>
    <w:rsid w:val="002E4B2E"/>
    <w:rsid w:val="002E4BDA"/>
    <w:rsid w:val="002E4BE5"/>
    <w:rsid w:val="002E4BFF"/>
    <w:rsid w:val="002E4C88"/>
    <w:rsid w:val="002E4DC2"/>
    <w:rsid w:val="002E4DC4"/>
    <w:rsid w:val="002E4DC6"/>
    <w:rsid w:val="002E4E1B"/>
    <w:rsid w:val="002E4E69"/>
    <w:rsid w:val="002E4E92"/>
    <w:rsid w:val="002E4F4A"/>
    <w:rsid w:val="002E4F5C"/>
    <w:rsid w:val="002E4FE1"/>
    <w:rsid w:val="002E50B9"/>
    <w:rsid w:val="002E50E3"/>
    <w:rsid w:val="002E5161"/>
    <w:rsid w:val="002E52F8"/>
    <w:rsid w:val="002E52FE"/>
    <w:rsid w:val="002E5360"/>
    <w:rsid w:val="002E546D"/>
    <w:rsid w:val="002E548D"/>
    <w:rsid w:val="002E5777"/>
    <w:rsid w:val="002E58EA"/>
    <w:rsid w:val="002E5966"/>
    <w:rsid w:val="002E5A93"/>
    <w:rsid w:val="002E5AAD"/>
    <w:rsid w:val="002E5B4A"/>
    <w:rsid w:val="002E5B8E"/>
    <w:rsid w:val="002E5C09"/>
    <w:rsid w:val="002E5C77"/>
    <w:rsid w:val="002E5DE1"/>
    <w:rsid w:val="002E5F0D"/>
    <w:rsid w:val="002E601F"/>
    <w:rsid w:val="002E6043"/>
    <w:rsid w:val="002E6119"/>
    <w:rsid w:val="002E6162"/>
    <w:rsid w:val="002E618D"/>
    <w:rsid w:val="002E61DF"/>
    <w:rsid w:val="002E61E9"/>
    <w:rsid w:val="002E628C"/>
    <w:rsid w:val="002E62B0"/>
    <w:rsid w:val="002E630C"/>
    <w:rsid w:val="002E6390"/>
    <w:rsid w:val="002E6439"/>
    <w:rsid w:val="002E64B0"/>
    <w:rsid w:val="002E6593"/>
    <w:rsid w:val="002E6597"/>
    <w:rsid w:val="002E659F"/>
    <w:rsid w:val="002E676F"/>
    <w:rsid w:val="002E67C4"/>
    <w:rsid w:val="002E6806"/>
    <w:rsid w:val="002E681F"/>
    <w:rsid w:val="002E6867"/>
    <w:rsid w:val="002E6910"/>
    <w:rsid w:val="002E6A6F"/>
    <w:rsid w:val="002E6ACD"/>
    <w:rsid w:val="002E6BD5"/>
    <w:rsid w:val="002E6BED"/>
    <w:rsid w:val="002E6C26"/>
    <w:rsid w:val="002E6CB3"/>
    <w:rsid w:val="002E6CDB"/>
    <w:rsid w:val="002E6D3C"/>
    <w:rsid w:val="002E6DAC"/>
    <w:rsid w:val="002E6DE7"/>
    <w:rsid w:val="002E6E40"/>
    <w:rsid w:val="002E6EAA"/>
    <w:rsid w:val="002E6EFE"/>
    <w:rsid w:val="002E6F5E"/>
    <w:rsid w:val="002E6FF6"/>
    <w:rsid w:val="002E7032"/>
    <w:rsid w:val="002E7050"/>
    <w:rsid w:val="002E70AD"/>
    <w:rsid w:val="002E71B6"/>
    <w:rsid w:val="002E71BD"/>
    <w:rsid w:val="002E71D2"/>
    <w:rsid w:val="002E7231"/>
    <w:rsid w:val="002E728B"/>
    <w:rsid w:val="002E730F"/>
    <w:rsid w:val="002E7422"/>
    <w:rsid w:val="002E749F"/>
    <w:rsid w:val="002E74FD"/>
    <w:rsid w:val="002E751F"/>
    <w:rsid w:val="002E752E"/>
    <w:rsid w:val="002E75EC"/>
    <w:rsid w:val="002E7686"/>
    <w:rsid w:val="002E7698"/>
    <w:rsid w:val="002E76C4"/>
    <w:rsid w:val="002E773C"/>
    <w:rsid w:val="002E7795"/>
    <w:rsid w:val="002E7873"/>
    <w:rsid w:val="002E7885"/>
    <w:rsid w:val="002E78BE"/>
    <w:rsid w:val="002E78E6"/>
    <w:rsid w:val="002E794B"/>
    <w:rsid w:val="002E796A"/>
    <w:rsid w:val="002E799A"/>
    <w:rsid w:val="002E7A89"/>
    <w:rsid w:val="002E7C49"/>
    <w:rsid w:val="002E7C5B"/>
    <w:rsid w:val="002E7C67"/>
    <w:rsid w:val="002E7D44"/>
    <w:rsid w:val="002E7DDE"/>
    <w:rsid w:val="002E7DF0"/>
    <w:rsid w:val="002E7E3D"/>
    <w:rsid w:val="002E7EB3"/>
    <w:rsid w:val="002E7F1E"/>
    <w:rsid w:val="002E7FD2"/>
    <w:rsid w:val="002F000D"/>
    <w:rsid w:val="002F0012"/>
    <w:rsid w:val="002F0054"/>
    <w:rsid w:val="002F00EE"/>
    <w:rsid w:val="002F01A7"/>
    <w:rsid w:val="002F01B7"/>
    <w:rsid w:val="002F024A"/>
    <w:rsid w:val="002F0270"/>
    <w:rsid w:val="002F028F"/>
    <w:rsid w:val="002F02AF"/>
    <w:rsid w:val="002F02DC"/>
    <w:rsid w:val="002F02E6"/>
    <w:rsid w:val="002F02FC"/>
    <w:rsid w:val="002F03A1"/>
    <w:rsid w:val="002F0459"/>
    <w:rsid w:val="002F0461"/>
    <w:rsid w:val="002F04D9"/>
    <w:rsid w:val="002F0521"/>
    <w:rsid w:val="002F0726"/>
    <w:rsid w:val="002F074F"/>
    <w:rsid w:val="002F0770"/>
    <w:rsid w:val="002F0888"/>
    <w:rsid w:val="002F08E3"/>
    <w:rsid w:val="002F0A0B"/>
    <w:rsid w:val="002F0AED"/>
    <w:rsid w:val="002F0B0E"/>
    <w:rsid w:val="002F0BF8"/>
    <w:rsid w:val="002F0D26"/>
    <w:rsid w:val="002F0DF5"/>
    <w:rsid w:val="002F0E1E"/>
    <w:rsid w:val="002F0F40"/>
    <w:rsid w:val="002F0F98"/>
    <w:rsid w:val="002F0FBC"/>
    <w:rsid w:val="002F10C9"/>
    <w:rsid w:val="002F10ED"/>
    <w:rsid w:val="002F1123"/>
    <w:rsid w:val="002F116D"/>
    <w:rsid w:val="002F1269"/>
    <w:rsid w:val="002F127D"/>
    <w:rsid w:val="002F12C6"/>
    <w:rsid w:val="002F13BC"/>
    <w:rsid w:val="002F1441"/>
    <w:rsid w:val="002F14F8"/>
    <w:rsid w:val="002F1521"/>
    <w:rsid w:val="002F158B"/>
    <w:rsid w:val="002F1667"/>
    <w:rsid w:val="002F1680"/>
    <w:rsid w:val="002F1685"/>
    <w:rsid w:val="002F16B9"/>
    <w:rsid w:val="002F1722"/>
    <w:rsid w:val="002F178F"/>
    <w:rsid w:val="002F17CA"/>
    <w:rsid w:val="002F1840"/>
    <w:rsid w:val="002F1860"/>
    <w:rsid w:val="002F1906"/>
    <w:rsid w:val="002F1926"/>
    <w:rsid w:val="002F1A72"/>
    <w:rsid w:val="002F1AC1"/>
    <w:rsid w:val="002F1BB8"/>
    <w:rsid w:val="002F1DA7"/>
    <w:rsid w:val="002F1DB3"/>
    <w:rsid w:val="002F1DD9"/>
    <w:rsid w:val="002F1E00"/>
    <w:rsid w:val="002F1F3D"/>
    <w:rsid w:val="002F1F82"/>
    <w:rsid w:val="002F20B6"/>
    <w:rsid w:val="002F20E3"/>
    <w:rsid w:val="002F20E6"/>
    <w:rsid w:val="002F2193"/>
    <w:rsid w:val="002F2194"/>
    <w:rsid w:val="002F222A"/>
    <w:rsid w:val="002F2255"/>
    <w:rsid w:val="002F22BB"/>
    <w:rsid w:val="002F2391"/>
    <w:rsid w:val="002F23C0"/>
    <w:rsid w:val="002F23E5"/>
    <w:rsid w:val="002F241A"/>
    <w:rsid w:val="002F2496"/>
    <w:rsid w:val="002F2752"/>
    <w:rsid w:val="002F287E"/>
    <w:rsid w:val="002F296E"/>
    <w:rsid w:val="002F2997"/>
    <w:rsid w:val="002F29A8"/>
    <w:rsid w:val="002F2AB7"/>
    <w:rsid w:val="002F2AC9"/>
    <w:rsid w:val="002F2C1B"/>
    <w:rsid w:val="002F2C23"/>
    <w:rsid w:val="002F2C47"/>
    <w:rsid w:val="002F2CB4"/>
    <w:rsid w:val="002F2D17"/>
    <w:rsid w:val="002F2D28"/>
    <w:rsid w:val="002F2D3F"/>
    <w:rsid w:val="002F2D5D"/>
    <w:rsid w:val="002F2D99"/>
    <w:rsid w:val="002F2E6B"/>
    <w:rsid w:val="002F2EB0"/>
    <w:rsid w:val="002F2F29"/>
    <w:rsid w:val="002F2F63"/>
    <w:rsid w:val="002F2F72"/>
    <w:rsid w:val="002F30C2"/>
    <w:rsid w:val="002F3176"/>
    <w:rsid w:val="002F31D3"/>
    <w:rsid w:val="002F3233"/>
    <w:rsid w:val="002F335B"/>
    <w:rsid w:val="002F3394"/>
    <w:rsid w:val="002F34CE"/>
    <w:rsid w:val="002F3578"/>
    <w:rsid w:val="002F372D"/>
    <w:rsid w:val="002F3752"/>
    <w:rsid w:val="002F3859"/>
    <w:rsid w:val="002F3899"/>
    <w:rsid w:val="002F396D"/>
    <w:rsid w:val="002F3978"/>
    <w:rsid w:val="002F3992"/>
    <w:rsid w:val="002F3994"/>
    <w:rsid w:val="002F3A9F"/>
    <w:rsid w:val="002F3B27"/>
    <w:rsid w:val="002F3B3A"/>
    <w:rsid w:val="002F3B5C"/>
    <w:rsid w:val="002F3B63"/>
    <w:rsid w:val="002F3BEF"/>
    <w:rsid w:val="002F3C10"/>
    <w:rsid w:val="002F3C21"/>
    <w:rsid w:val="002F3C5E"/>
    <w:rsid w:val="002F3C8E"/>
    <w:rsid w:val="002F3C99"/>
    <w:rsid w:val="002F3DAD"/>
    <w:rsid w:val="002F3E85"/>
    <w:rsid w:val="002F3EDB"/>
    <w:rsid w:val="002F3F32"/>
    <w:rsid w:val="002F3FB2"/>
    <w:rsid w:val="002F4057"/>
    <w:rsid w:val="002F40A4"/>
    <w:rsid w:val="002F40F2"/>
    <w:rsid w:val="002F4139"/>
    <w:rsid w:val="002F4156"/>
    <w:rsid w:val="002F41D1"/>
    <w:rsid w:val="002F421F"/>
    <w:rsid w:val="002F4247"/>
    <w:rsid w:val="002F42D3"/>
    <w:rsid w:val="002F43CC"/>
    <w:rsid w:val="002F43EA"/>
    <w:rsid w:val="002F43ED"/>
    <w:rsid w:val="002F43F3"/>
    <w:rsid w:val="002F4458"/>
    <w:rsid w:val="002F4471"/>
    <w:rsid w:val="002F447D"/>
    <w:rsid w:val="002F44CB"/>
    <w:rsid w:val="002F4578"/>
    <w:rsid w:val="002F45B9"/>
    <w:rsid w:val="002F4615"/>
    <w:rsid w:val="002F4646"/>
    <w:rsid w:val="002F4680"/>
    <w:rsid w:val="002F46C5"/>
    <w:rsid w:val="002F46CB"/>
    <w:rsid w:val="002F4798"/>
    <w:rsid w:val="002F47B6"/>
    <w:rsid w:val="002F4833"/>
    <w:rsid w:val="002F485E"/>
    <w:rsid w:val="002F4866"/>
    <w:rsid w:val="002F4891"/>
    <w:rsid w:val="002F48CC"/>
    <w:rsid w:val="002F4A1F"/>
    <w:rsid w:val="002F4AEB"/>
    <w:rsid w:val="002F4AFE"/>
    <w:rsid w:val="002F4B41"/>
    <w:rsid w:val="002F4BD6"/>
    <w:rsid w:val="002F4CAD"/>
    <w:rsid w:val="002F4D2C"/>
    <w:rsid w:val="002F4DCC"/>
    <w:rsid w:val="002F4E1C"/>
    <w:rsid w:val="002F4E96"/>
    <w:rsid w:val="002F5009"/>
    <w:rsid w:val="002F5046"/>
    <w:rsid w:val="002F5069"/>
    <w:rsid w:val="002F519C"/>
    <w:rsid w:val="002F5309"/>
    <w:rsid w:val="002F5337"/>
    <w:rsid w:val="002F5353"/>
    <w:rsid w:val="002F535A"/>
    <w:rsid w:val="002F545E"/>
    <w:rsid w:val="002F5493"/>
    <w:rsid w:val="002F557A"/>
    <w:rsid w:val="002F55CA"/>
    <w:rsid w:val="002F55DB"/>
    <w:rsid w:val="002F5628"/>
    <w:rsid w:val="002F5661"/>
    <w:rsid w:val="002F567D"/>
    <w:rsid w:val="002F5781"/>
    <w:rsid w:val="002F5787"/>
    <w:rsid w:val="002F5803"/>
    <w:rsid w:val="002F581F"/>
    <w:rsid w:val="002F5856"/>
    <w:rsid w:val="002F58D7"/>
    <w:rsid w:val="002F58E5"/>
    <w:rsid w:val="002F591F"/>
    <w:rsid w:val="002F59D0"/>
    <w:rsid w:val="002F5A64"/>
    <w:rsid w:val="002F5A70"/>
    <w:rsid w:val="002F5BA0"/>
    <w:rsid w:val="002F5C36"/>
    <w:rsid w:val="002F5C9E"/>
    <w:rsid w:val="002F5D4F"/>
    <w:rsid w:val="002F5E59"/>
    <w:rsid w:val="002F5FE0"/>
    <w:rsid w:val="002F60C1"/>
    <w:rsid w:val="002F6116"/>
    <w:rsid w:val="002F61A7"/>
    <w:rsid w:val="002F6227"/>
    <w:rsid w:val="002F63DF"/>
    <w:rsid w:val="002F640D"/>
    <w:rsid w:val="002F6426"/>
    <w:rsid w:val="002F6445"/>
    <w:rsid w:val="002F6493"/>
    <w:rsid w:val="002F64CA"/>
    <w:rsid w:val="002F657A"/>
    <w:rsid w:val="002F6627"/>
    <w:rsid w:val="002F6642"/>
    <w:rsid w:val="002F68AA"/>
    <w:rsid w:val="002F68C6"/>
    <w:rsid w:val="002F692D"/>
    <w:rsid w:val="002F69F9"/>
    <w:rsid w:val="002F69FE"/>
    <w:rsid w:val="002F6B95"/>
    <w:rsid w:val="002F6C0A"/>
    <w:rsid w:val="002F6CE0"/>
    <w:rsid w:val="002F6E4A"/>
    <w:rsid w:val="002F6E58"/>
    <w:rsid w:val="002F6F22"/>
    <w:rsid w:val="002F70F7"/>
    <w:rsid w:val="002F7131"/>
    <w:rsid w:val="002F715E"/>
    <w:rsid w:val="002F71A3"/>
    <w:rsid w:val="002F71DA"/>
    <w:rsid w:val="002F71F5"/>
    <w:rsid w:val="002F738C"/>
    <w:rsid w:val="002F7442"/>
    <w:rsid w:val="002F7456"/>
    <w:rsid w:val="002F750D"/>
    <w:rsid w:val="002F7540"/>
    <w:rsid w:val="002F75F5"/>
    <w:rsid w:val="002F761B"/>
    <w:rsid w:val="002F767D"/>
    <w:rsid w:val="002F76D5"/>
    <w:rsid w:val="002F7751"/>
    <w:rsid w:val="002F77C3"/>
    <w:rsid w:val="002F77CD"/>
    <w:rsid w:val="002F7923"/>
    <w:rsid w:val="002F797D"/>
    <w:rsid w:val="002F7988"/>
    <w:rsid w:val="002F798A"/>
    <w:rsid w:val="002F7A4A"/>
    <w:rsid w:val="002F7A62"/>
    <w:rsid w:val="002F7B0A"/>
    <w:rsid w:val="002F7B27"/>
    <w:rsid w:val="002F7BAB"/>
    <w:rsid w:val="002F7C4C"/>
    <w:rsid w:val="002F7C87"/>
    <w:rsid w:val="002F7D20"/>
    <w:rsid w:val="002F7E36"/>
    <w:rsid w:val="002F7E41"/>
    <w:rsid w:val="002F7EA5"/>
    <w:rsid w:val="002F7F61"/>
    <w:rsid w:val="002F7FB0"/>
    <w:rsid w:val="0030000B"/>
    <w:rsid w:val="00300011"/>
    <w:rsid w:val="00300044"/>
    <w:rsid w:val="0030007D"/>
    <w:rsid w:val="003000A5"/>
    <w:rsid w:val="003001BD"/>
    <w:rsid w:val="00300278"/>
    <w:rsid w:val="003002AB"/>
    <w:rsid w:val="003004CB"/>
    <w:rsid w:val="00300621"/>
    <w:rsid w:val="0030067B"/>
    <w:rsid w:val="003006ED"/>
    <w:rsid w:val="003006EE"/>
    <w:rsid w:val="0030080F"/>
    <w:rsid w:val="003008C5"/>
    <w:rsid w:val="00300908"/>
    <w:rsid w:val="0030097F"/>
    <w:rsid w:val="0030098E"/>
    <w:rsid w:val="0030099D"/>
    <w:rsid w:val="003009BA"/>
    <w:rsid w:val="00300A5E"/>
    <w:rsid w:val="00300A9C"/>
    <w:rsid w:val="00300ACE"/>
    <w:rsid w:val="00300B4B"/>
    <w:rsid w:val="00300B98"/>
    <w:rsid w:val="00300BD9"/>
    <w:rsid w:val="00300C2A"/>
    <w:rsid w:val="00300CF1"/>
    <w:rsid w:val="00300D56"/>
    <w:rsid w:val="00300D98"/>
    <w:rsid w:val="00300DAC"/>
    <w:rsid w:val="0030106F"/>
    <w:rsid w:val="00301149"/>
    <w:rsid w:val="0030115E"/>
    <w:rsid w:val="0030119E"/>
    <w:rsid w:val="00301206"/>
    <w:rsid w:val="0030123C"/>
    <w:rsid w:val="003014F5"/>
    <w:rsid w:val="003016BB"/>
    <w:rsid w:val="00301702"/>
    <w:rsid w:val="00301776"/>
    <w:rsid w:val="0030178E"/>
    <w:rsid w:val="00301791"/>
    <w:rsid w:val="0030184C"/>
    <w:rsid w:val="003018C0"/>
    <w:rsid w:val="0030196B"/>
    <w:rsid w:val="003019B2"/>
    <w:rsid w:val="00301A10"/>
    <w:rsid w:val="00301A54"/>
    <w:rsid w:val="00301AE6"/>
    <w:rsid w:val="00301B47"/>
    <w:rsid w:val="00301B75"/>
    <w:rsid w:val="00301B80"/>
    <w:rsid w:val="00301C22"/>
    <w:rsid w:val="00301C76"/>
    <w:rsid w:val="00301D63"/>
    <w:rsid w:val="00301E77"/>
    <w:rsid w:val="00301EAC"/>
    <w:rsid w:val="00301F72"/>
    <w:rsid w:val="00301FCB"/>
    <w:rsid w:val="00302092"/>
    <w:rsid w:val="003020C5"/>
    <w:rsid w:val="00302154"/>
    <w:rsid w:val="00302184"/>
    <w:rsid w:val="003021E2"/>
    <w:rsid w:val="0030228F"/>
    <w:rsid w:val="00302300"/>
    <w:rsid w:val="00302525"/>
    <w:rsid w:val="0030252B"/>
    <w:rsid w:val="00302591"/>
    <w:rsid w:val="00302603"/>
    <w:rsid w:val="0030263D"/>
    <w:rsid w:val="003026FC"/>
    <w:rsid w:val="0030275D"/>
    <w:rsid w:val="00302806"/>
    <w:rsid w:val="00302896"/>
    <w:rsid w:val="003028AA"/>
    <w:rsid w:val="003028AC"/>
    <w:rsid w:val="00302908"/>
    <w:rsid w:val="00302A4C"/>
    <w:rsid w:val="00302ABF"/>
    <w:rsid w:val="00302AD1"/>
    <w:rsid w:val="00302B1C"/>
    <w:rsid w:val="00302B2D"/>
    <w:rsid w:val="00302B85"/>
    <w:rsid w:val="00302BB4"/>
    <w:rsid w:val="00302BFE"/>
    <w:rsid w:val="00302D1E"/>
    <w:rsid w:val="00302D59"/>
    <w:rsid w:val="00302DB5"/>
    <w:rsid w:val="00302E9D"/>
    <w:rsid w:val="00302EAA"/>
    <w:rsid w:val="00302F37"/>
    <w:rsid w:val="00302F7C"/>
    <w:rsid w:val="0030304B"/>
    <w:rsid w:val="00303188"/>
    <w:rsid w:val="003031BB"/>
    <w:rsid w:val="0030323D"/>
    <w:rsid w:val="003032C6"/>
    <w:rsid w:val="003032DA"/>
    <w:rsid w:val="0030347C"/>
    <w:rsid w:val="00303529"/>
    <w:rsid w:val="003035D2"/>
    <w:rsid w:val="00303664"/>
    <w:rsid w:val="003036BF"/>
    <w:rsid w:val="0030373A"/>
    <w:rsid w:val="00303753"/>
    <w:rsid w:val="0030379C"/>
    <w:rsid w:val="003037B2"/>
    <w:rsid w:val="003037F7"/>
    <w:rsid w:val="0030392B"/>
    <w:rsid w:val="00303958"/>
    <w:rsid w:val="00303A20"/>
    <w:rsid w:val="00303B49"/>
    <w:rsid w:val="00303B59"/>
    <w:rsid w:val="00303C6D"/>
    <w:rsid w:val="00303D1B"/>
    <w:rsid w:val="00303DC0"/>
    <w:rsid w:val="00303EC4"/>
    <w:rsid w:val="00303FE7"/>
    <w:rsid w:val="00304026"/>
    <w:rsid w:val="00304103"/>
    <w:rsid w:val="0030424B"/>
    <w:rsid w:val="0030425B"/>
    <w:rsid w:val="00304280"/>
    <w:rsid w:val="003042C8"/>
    <w:rsid w:val="003042D4"/>
    <w:rsid w:val="00304468"/>
    <w:rsid w:val="003044E8"/>
    <w:rsid w:val="00304504"/>
    <w:rsid w:val="0030451E"/>
    <w:rsid w:val="00304544"/>
    <w:rsid w:val="0030455E"/>
    <w:rsid w:val="003046AB"/>
    <w:rsid w:val="003047C1"/>
    <w:rsid w:val="00304908"/>
    <w:rsid w:val="00304932"/>
    <w:rsid w:val="0030496D"/>
    <w:rsid w:val="00304973"/>
    <w:rsid w:val="00304974"/>
    <w:rsid w:val="00304B25"/>
    <w:rsid w:val="00304B81"/>
    <w:rsid w:val="00304BAC"/>
    <w:rsid w:val="00304BDA"/>
    <w:rsid w:val="00304C20"/>
    <w:rsid w:val="00304C53"/>
    <w:rsid w:val="00304C77"/>
    <w:rsid w:val="00304C79"/>
    <w:rsid w:val="00304C8C"/>
    <w:rsid w:val="00304E59"/>
    <w:rsid w:val="00304EBF"/>
    <w:rsid w:val="00305031"/>
    <w:rsid w:val="0030503D"/>
    <w:rsid w:val="003050FB"/>
    <w:rsid w:val="00305125"/>
    <w:rsid w:val="0030512B"/>
    <w:rsid w:val="00305143"/>
    <w:rsid w:val="0030514A"/>
    <w:rsid w:val="00305164"/>
    <w:rsid w:val="0030518F"/>
    <w:rsid w:val="003052D7"/>
    <w:rsid w:val="003052F7"/>
    <w:rsid w:val="003053BF"/>
    <w:rsid w:val="003053C4"/>
    <w:rsid w:val="00305406"/>
    <w:rsid w:val="0030541D"/>
    <w:rsid w:val="003055B2"/>
    <w:rsid w:val="003055EE"/>
    <w:rsid w:val="00305671"/>
    <w:rsid w:val="003057F4"/>
    <w:rsid w:val="003058E7"/>
    <w:rsid w:val="00305922"/>
    <w:rsid w:val="00305AF2"/>
    <w:rsid w:val="00305B4F"/>
    <w:rsid w:val="00305B5F"/>
    <w:rsid w:val="00305BEC"/>
    <w:rsid w:val="00305C1A"/>
    <w:rsid w:val="00305CA7"/>
    <w:rsid w:val="00305E04"/>
    <w:rsid w:val="00305EEC"/>
    <w:rsid w:val="00305F14"/>
    <w:rsid w:val="0030601A"/>
    <w:rsid w:val="00306025"/>
    <w:rsid w:val="00306026"/>
    <w:rsid w:val="00306034"/>
    <w:rsid w:val="00306123"/>
    <w:rsid w:val="00306125"/>
    <w:rsid w:val="00306131"/>
    <w:rsid w:val="00306159"/>
    <w:rsid w:val="0030615E"/>
    <w:rsid w:val="003061AD"/>
    <w:rsid w:val="00306211"/>
    <w:rsid w:val="0030631D"/>
    <w:rsid w:val="0030638B"/>
    <w:rsid w:val="003063A9"/>
    <w:rsid w:val="003063DF"/>
    <w:rsid w:val="0030646B"/>
    <w:rsid w:val="00306529"/>
    <w:rsid w:val="0030659E"/>
    <w:rsid w:val="003065AC"/>
    <w:rsid w:val="003065DF"/>
    <w:rsid w:val="00306608"/>
    <w:rsid w:val="0030660D"/>
    <w:rsid w:val="0030660E"/>
    <w:rsid w:val="00306618"/>
    <w:rsid w:val="00306656"/>
    <w:rsid w:val="0030666B"/>
    <w:rsid w:val="003066BF"/>
    <w:rsid w:val="003066C4"/>
    <w:rsid w:val="00306782"/>
    <w:rsid w:val="003067EF"/>
    <w:rsid w:val="0030683A"/>
    <w:rsid w:val="003068B8"/>
    <w:rsid w:val="003068FB"/>
    <w:rsid w:val="003069D8"/>
    <w:rsid w:val="00306A95"/>
    <w:rsid w:val="00306AC7"/>
    <w:rsid w:val="00306B3B"/>
    <w:rsid w:val="00306BB9"/>
    <w:rsid w:val="00306C02"/>
    <w:rsid w:val="00306C05"/>
    <w:rsid w:val="00306C21"/>
    <w:rsid w:val="00306C3D"/>
    <w:rsid w:val="00306C6C"/>
    <w:rsid w:val="00306C98"/>
    <w:rsid w:val="00306CE9"/>
    <w:rsid w:val="00306DB1"/>
    <w:rsid w:val="00306E5B"/>
    <w:rsid w:val="00306ED2"/>
    <w:rsid w:val="003070BE"/>
    <w:rsid w:val="00307185"/>
    <w:rsid w:val="0030737E"/>
    <w:rsid w:val="003073B7"/>
    <w:rsid w:val="003074A3"/>
    <w:rsid w:val="003074C1"/>
    <w:rsid w:val="003074CA"/>
    <w:rsid w:val="00307526"/>
    <w:rsid w:val="00307584"/>
    <w:rsid w:val="003075DC"/>
    <w:rsid w:val="003075EC"/>
    <w:rsid w:val="003076B3"/>
    <w:rsid w:val="0030772A"/>
    <w:rsid w:val="00307746"/>
    <w:rsid w:val="0030775F"/>
    <w:rsid w:val="00307763"/>
    <w:rsid w:val="00307790"/>
    <w:rsid w:val="0030794E"/>
    <w:rsid w:val="00307A5F"/>
    <w:rsid w:val="00307A97"/>
    <w:rsid w:val="00307B2E"/>
    <w:rsid w:val="00307B57"/>
    <w:rsid w:val="00307B82"/>
    <w:rsid w:val="00307BAA"/>
    <w:rsid w:val="00307C4E"/>
    <w:rsid w:val="00307C55"/>
    <w:rsid w:val="00307C82"/>
    <w:rsid w:val="00307CAC"/>
    <w:rsid w:val="00307D3F"/>
    <w:rsid w:val="00307D53"/>
    <w:rsid w:val="00307D62"/>
    <w:rsid w:val="00307D9F"/>
    <w:rsid w:val="00307E4F"/>
    <w:rsid w:val="00307EC7"/>
    <w:rsid w:val="00307F1C"/>
    <w:rsid w:val="00307F56"/>
    <w:rsid w:val="00310186"/>
    <w:rsid w:val="0031021A"/>
    <w:rsid w:val="003102D9"/>
    <w:rsid w:val="003102E1"/>
    <w:rsid w:val="00310486"/>
    <w:rsid w:val="00310536"/>
    <w:rsid w:val="0031060D"/>
    <w:rsid w:val="00310642"/>
    <w:rsid w:val="00310682"/>
    <w:rsid w:val="0031073A"/>
    <w:rsid w:val="00310827"/>
    <w:rsid w:val="00310873"/>
    <w:rsid w:val="003108B0"/>
    <w:rsid w:val="0031094C"/>
    <w:rsid w:val="003109B3"/>
    <w:rsid w:val="00310A56"/>
    <w:rsid w:val="00310AD5"/>
    <w:rsid w:val="00310AD7"/>
    <w:rsid w:val="00310B01"/>
    <w:rsid w:val="00310B0D"/>
    <w:rsid w:val="00310B14"/>
    <w:rsid w:val="00310B93"/>
    <w:rsid w:val="00310C1A"/>
    <w:rsid w:val="00310CE8"/>
    <w:rsid w:val="00310D46"/>
    <w:rsid w:val="00310E3D"/>
    <w:rsid w:val="00310E56"/>
    <w:rsid w:val="00310E58"/>
    <w:rsid w:val="00310F27"/>
    <w:rsid w:val="00311029"/>
    <w:rsid w:val="00311042"/>
    <w:rsid w:val="003110C7"/>
    <w:rsid w:val="003110ED"/>
    <w:rsid w:val="003110FF"/>
    <w:rsid w:val="00311128"/>
    <w:rsid w:val="00311267"/>
    <w:rsid w:val="0031129A"/>
    <w:rsid w:val="003112E7"/>
    <w:rsid w:val="00311305"/>
    <w:rsid w:val="0031132A"/>
    <w:rsid w:val="003113AF"/>
    <w:rsid w:val="00311538"/>
    <w:rsid w:val="0031169A"/>
    <w:rsid w:val="00311736"/>
    <w:rsid w:val="003117FB"/>
    <w:rsid w:val="00311868"/>
    <w:rsid w:val="003118FF"/>
    <w:rsid w:val="00311A3B"/>
    <w:rsid w:val="00311ABB"/>
    <w:rsid w:val="00311B0B"/>
    <w:rsid w:val="00311B94"/>
    <w:rsid w:val="00311C18"/>
    <w:rsid w:val="00311C37"/>
    <w:rsid w:val="00311D50"/>
    <w:rsid w:val="00311DEC"/>
    <w:rsid w:val="00311E02"/>
    <w:rsid w:val="00311EF3"/>
    <w:rsid w:val="00311FDB"/>
    <w:rsid w:val="00312008"/>
    <w:rsid w:val="0031200A"/>
    <w:rsid w:val="00312029"/>
    <w:rsid w:val="0031207A"/>
    <w:rsid w:val="00312171"/>
    <w:rsid w:val="0031221F"/>
    <w:rsid w:val="00312229"/>
    <w:rsid w:val="003122F9"/>
    <w:rsid w:val="00312355"/>
    <w:rsid w:val="00312367"/>
    <w:rsid w:val="00312386"/>
    <w:rsid w:val="0031241C"/>
    <w:rsid w:val="003124EE"/>
    <w:rsid w:val="00312553"/>
    <w:rsid w:val="00312556"/>
    <w:rsid w:val="00312635"/>
    <w:rsid w:val="0031276F"/>
    <w:rsid w:val="00312815"/>
    <w:rsid w:val="00312839"/>
    <w:rsid w:val="00312853"/>
    <w:rsid w:val="003128B6"/>
    <w:rsid w:val="00312904"/>
    <w:rsid w:val="003129D0"/>
    <w:rsid w:val="003129FC"/>
    <w:rsid w:val="00312AC3"/>
    <w:rsid w:val="00312B55"/>
    <w:rsid w:val="00312BE8"/>
    <w:rsid w:val="00312C00"/>
    <w:rsid w:val="00312CB8"/>
    <w:rsid w:val="00312D1A"/>
    <w:rsid w:val="00312DCF"/>
    <w:rsid w:val="00312DD1"/>
    <w:rsid w:val="00312E1F"/>
    <w:rsid w:val="00312F5A"/>
    <w:rsid w:val="00312FD9"/>
    <w:rsid w:val="00313066"/>
    <w:rsid w:val="00313069"/>
    <w:rsid w:val="003130D0"/>
    <w:rsid w:val="00313162"/>
    <w:rsid w:val="003131A0"/>
    <w:rsid w:val="003132B8"/>
    <w:rsid w:val="003133FD"/>
    <w:rsid w:val="0031341D"/>
    <w:rsid w:val="0031350C"/>
    <w:rsid w:val="0031352F"/>
    <w:rsid w:val="00313556"/>
    <w:rsid w:val="003135E9"/>
    <w:rsid w:val="00313621"/>
    <w:rsid w:val="0031364E"/>
    <w:rsid w:val="0031368F"/>
    <w:rsid w:val="00313749"/>
    <w:rsid w:val="003137A7"/>
    <w:rsid w:val="003137AD"/>
    <w:rsid w:val="003137D4"/>
    <w:rsid w:val="00313800"/>
    <w:rsid w:val="003138EF"/>
    <w:rsid w:val="003138F2"/>
    <w:rsid w:val="003139A5"/>
    <w:rsid w:val="00313AC6"/>
    <w:rsid w:val="00313B00"/>
    <w:rsid w:val="00313B6A"/>
    <w:rsid w:val="00313BED"/>
    <w:rsid w:val="00313C5E"/>
    <w:rsid w:val="00313C97"/>
    <w:rsid w:val="00313C98"/>
    <w:rsid w:val="00313CA2"/>
    <w:rsid w:val="00313D03"/>
    <w:rsid w:val="00313DDD"/>
    <w:rsid w:val="00313E2A"/>
    <w:rsid w:val="0031400B"/>
    <w:rsid w:val="003140A0"/>
    <w:rsid w:val="003140C8"/>
    <w:rsid w:val="003140F3"/>
    <w:rsid w:val="00314182"/>
    <w:rsid w:val="00314227"/>
    <w:rsid w:val="003142A4"/>
    <w:rsid w:val="003142F6"/>
    <w:rsid w:val="0031448D"/>
    <w:rsid w:val="0031459B"/>
    <w:rsid w:val="003145D5"/>
    <w:rsid w:val="003145F5"/>
    <w:rsid w:val="00314605"/>
    <w:rsid w:val="0031479B"/>
    <w:rsid w:val="00314808"/>
    <w:rsid w:val="003148CE"/>
    <w:rsid w:val="003148EF"/>
    <w:rsid w:val="00314984"/>
    <w:rsid w:val="003149B2"/>
    <w:rsid w:val="003149BD"/>
    <w:rsid w:val="003149C3"/>
    <w:rsid w:val="003149F4"/>
    <w:rsid w:val="00314A02"/>
    <w:rsid w:val="00314AD6"/>
    <w:rsid w:val="00314B0F"/>
    <w:rsid w:val="00314C4E"/>
    <w:rsid w:val="00314C55"/>
    <w:rsid w:val="00314C86"/>
    <w:rsid w:val="00314CB9"/>
    <w:rsid w:val="00314CF7"/>
    <w:rsid w:val="00314DC9"/>
    <w:rsid w:val="00314DF2"/>
    <w:rsid w:val="00314EC3"/>
    <w:rsid w:val="00314EE0"/>
    <w:rsid w:val="00314FB2"/>
    <w:rsid w:val="00315032"/>
    <w:rsid w:val="00315073"/>
    <w:rsid w:val="0031508F"/>
    <w:rsid w:val="00315162"/>
    <w:rsid w:val="00315283"/>
    <w:rsid w:val="003152D7"/>
    <w:rsid w:val="003152E9"/>
    <w:rsid w:val="003153B9"/>
    <w:rsid w:val="003153D8"/>
    <w:rsid w:val="003153FC"/>
    <w:rsid w:val="003155CC"/>
    <w:rsid w:val="003155FE"/>
    <w:rsid w:val="0031567A"/>
    <w:rsid w:val="00315685"/>
    <w:rsid w:val="003156C5"/>
    <w:rsid w:val="003157A8"/>
    <w:rsid w:val="003157F2"/>
    <w:rsid w:val="0031580E"/>
    <w:rsid w:val="0031586C"/>
    <w:rsid w:val="003158B6"/>
    <w:rsid w:val="003158DD"/>
    <w:rsid w:val="00315905"/>
    <w:rsid w:val="00315927"/>
    <w:rsid w:val="0031593B"/>
    <w:rsid w:val="00315AB1"/>
    <w:rsid w:val="00315AB5"/>
    <w:rsid w:val="00315AE3"/>
    <w:rsid w:val="00315BE9"/>
    <w:rsid w:val="00315BF7"/>
    <w:rsid w:val="00315C94"/>
    <w:rsid w:val="00315CB7"/>
    <w:rsid w:val="00315D59"/>
    <w:rsid w:val="00315D9B"/>
    <w:rsid w:val="00315DAE"/>
    <w:rsid w:val="00315DCC"/>
    <w:rsid w:val="00315DDD"/>
    <w:rsid w:val="00315E35"/>
    <w:rsid w:val="00315EB3"/>
    <w:rsid w:val="00315EC1"/>
    <w:rsid w:val="00315F26"/>
    <w:rsid w:val="00315FD5"/>
    <w:rsid w:val="00316083"/>
    <w:rsid w:val="0031616C"/>
    <w:rsid w:val="00316239"/>
    <w:rsid w:val="0031633A"/>
    <w:rsid w:val="003164BB"/>
    <w:rsid w:val="00316679"/>
    <w:rsid w:val="00316756"/>
    <w:rsid w:val="0031679C"/>
    <w:rsid w:val="003167A6"/>
    <w:rsid w:val="003167E5"/>
    <w:rsid w:val="003168B9"/>
    <w:rsid w:val="00316959"/>
    <w:rsid w:val="00316986"/>
    <w:rsid w:val="003169BC"/>
    <w:rsid w:val="003169C2"/>
    <w:rsid w:val="003169EE"/>
    <w:rsid w:val="00316A15"/>
    <w:rsid w:val="00316AE5"/>
    <w:rsid w:val="00316B17"/>
    <w:rsid w:val="00316BDD"/>
    <w:rsid w:val="00316C68"/>
    <w:rsid w:val="00316CDB"/>
    <w:rsid w:val="00316CF7"/>
    <w:rsid w:val="00316E96"/>
    <w:rsid w:val="00316F2C"/>
    <w:rsid w:val="00316F5F"/>
    <w:rsid w:val="003170FE"/>
    <w:rsid w:val="00317137"/>
    <w:rsid w:val="00317189"/>
    <w:rsid w:val="003171FB"/>
    <w:rsid w:val="00317202"/>
    <w:rsid w:val="0031723A"/>
    <w:rsid w:val="00317270"/>
    <w:rsid w:val="00317284"/>
    <w:rsid w:val="00317406"/>
    <w:rsid w:val="003174FB"/>
    <w:rsid w:val="0031750B"/>
    <w:rsid w:val="003175B9"/>
    <w:rsid w:val="003176E0"/>
    <w:rsid w:val="00317786"/>
    <w:rsid w:val="0031778A"/>
    <w:rsid w:val="0031782F"/>
    <w:rsid w:val="00317858"/>
    <w:rsid w:val="0031787D"/>
    <w:rsid w:val="003178EB"/>
    <w:rsid w:val="0031791C"/>
    <w:rsid w:val="00317935"/>
    <w:rsid w:val="0031799F"/>
    <w:rsid w:val="00317A08"/>
    <w:rsid w:val="00317A6C"/>
    <w:rsid w:val="00317A6F"/>
    <w:rsid w:val="00317A8A"/>
    <w:rsid w:val="00317AFA"/>
    <w:rsid w:val="00317B1A"/>
    <w:rsid w:val="00317B1F"/>
    <w:rsid w:val="00317C32"/>
    <w:rsid w:val="00317D3D"/>
    <w:rsid w:val="00317ED5"/>
    <w:rsid w:val="00317ED7"/>
    <w:rsid w:val="0032009C"/>
    <w:rsid w:val="00320166"/>
    <w:rsid w:val="00320226"/>
    <w:rsid w:val="003202C0"/>
    <w:rsid w:val="003202CE"/>
    <w:rsid w:val="00320306"/>
    <w:rsid w:val="003203B4"/>
    <w:rsid w:val="003203CF"/>
    <w:rsid w:val="00320408"/>
    <w:rsid w:val="00320496"/>
    <w:rsid w:val="0032050E"/>
    <w:rsid w:val="00320598"/>
    <w:rsid w:val="003205C1"/>
    <w:rsid w:val="00320601"/>
    <w:rsid w:val="0032063E"/>
    <w:rsid w:val="003206C9"/>
    <w:rsid w:val="003206D0"/>
    <w:rsid w:val="003206F0"/>
    <w:rsid w:val="0032071C"/>
    <w:rsid w:val="0032076A"/>
    <w:rsid w:val="0032077A"/>
    <w:rsid w:val="0032080C"/>
    <w:rsid w:val="00320846"/>
    <w:rsid w:val="00320860"/>
    <w:rsid w:val="00320887"/>
    <w:rsid w:val="0032098C"/>
    <w:rsid w:val="00320996"/>
    <w:rsid w:val="003209C0"/>
    <w:rsid w:val="00320AAE"/>
    <w:rsid w:val="00320AB3"/>
    <w:rsid w:val="00320AC0"/>
    <w:rsid w:val="00320B2C"/>
    <w:rsid w:val="00320BF2"/>
    <w:rsid w:val="00320CE8"/>
    <w:rsid w:val="00320D38"/>
    <w:rsid w:val="00320EA2"/>
    <w:rsid w:val="00320EE1"/>
    <w:rsid w:val="00320F6E"/>
    <w:rsid w:val="003210D0"/>
    <w:rsid w:val="003210EB"/>
    <w:rsid w:val="00321150"/>
    <w:rsid w:val="0032117A"/>
    <w:rsid w:val="0032118F"/>
    <w:rsid w:val="00321193"/>
    <w:rsid w:val="003212BF"/>
    <w:rsid w:val="003212C1"/>
    <w:rsid w:val="003212CB"/>
    <w:rsid w:val="00321314"/>
    <w:rsid w:val="0032131E"/>
    <w:rsid w:val="0032134C"/>
    <w:rsid w:val="00321380"/>
    <w:rsid w:val="0032140B"/>
    <w:rsid w:val="00321493"/>
    <w:rsid w:val="003214AD"/>
    <w:rsid w:val="003214DF"/>
    <w:rsid w:val="003215CB"/>
    <w:rsid w:val="003216E1"/>
    <w:rsid w:val="003217F5"/>
    <w:rsid w:val="0032181E"/>
    <w:rsid w:val="00321851"/>
    <w:rsid w:val="003218B6"/>
    <w:rsid w:val="003218D2"/>
    <w:rsid w:val="00321923"/>
    <w:rsid w:val="003219D5"/>
    <w:rsid w:val="00321AE1"/>
    <w:rsid w:val="00321AE6"/>
    <w:rsid w:val="00321B27"/>
    <w:rsid w:val="00321B28"/>
    <w:rsid w:val="00321B2B"/>
    <w:rsid w:val="00321B66"/>
    <w:rsid w:val="00321DF2"/>
    <w:rsid w:val="00321E60"/>
    <w:rsid w:val="00321FA4"/>
    <w:rsid w:val="00321FE9"/>
    <w:rsid w:val="00322068"/>
    <w:rsid w:val="0032216A"/>
    <w:rsid w:val="00322182"/>
    <w:rsid w:val="00322197"/>
    <w:rsid w:val="003221E5"/>
    <w:rsid w:val="0032220F"/>
    <w:rsid w:val="0032222F"/>
    <w:rsid w:val="0032228E"/>
    <w:rsid w:val="00322296"/>
    <w:rsid w:val="003222B0"/>
    <w:rsid w:val="0032234E"/>
    <w:rsid w:val="003223B2"/>
    <w:rsid w:val="003223E5"/>
    <w:rsid w:val="003224AF"/>
    <w:rsid w:val="00322509"/>
    <w:rsid w:val="00322518"/>
    <w:rsid w:val="00322543"/>
    <w:rsid w:val="0032254B"/>
    <w:rsid w:val="00322595"/>
    <w:rsid w:val="00322728"/>
    <w:rsid w:val="0032278F"/>
    <w:rsid w:val="003228BF"/>
    <w:rsid w:val="0032290D"/>
    <w:rsid w:val="003229BB"/>
    <w:rsid w:val="003229F4"/>
    <w:rsid w:val="00322A69"/>
    <w:rsid w:val="00322A79"/>
    <w:rsid w:val="00322AFC"/>
    <w:rsid w:val="00322B90"/>
    <w:rsid w:val="00322C73"/>
    <w:rsid w:val="00322CEF"/>
    <w:rsid w:val="00322D5C"/>
    <w:rsid w:val="00322D5E"/>
    <w:rsid w:val="00322E43"/>
    <w:rsid w:val="00322E6D"/>
    <w:rsid w:val="00322E89"/>
    <w:rsid w:val="00322EA8"/>
    <w:rsid w:val="00322F24"/>
    <w:rsid w:val="00322F8D"/>
    <w:rsid w:val="003230BB"/>
    <w:rsid w:val="00323142"/>
    <w:rsid w:val="00323179"/>
    <w:rsid w:val="003231A5"/>
    <w:rsid w:val="003231A9"/>
    <w:rsid w:val="003231C8"/>
    <w:rsid w:val="003231D5"/>
    <w:rsid w:val="00323252"/>
    <w:rsid w:val="003233FE"/>
    <w:rsid w:val="00323611"/>
    <w:rsid w:val="0032364C"/>
    <w:rsid w:val="00323714"/>
    <w:rsid w:val="003237A8"/>
    <w:rsid w:val="00323865"/>
    <w:rsid w:val="00323867"/>
    <w:rsid w:val="003239E5"/>
    <w:rsid w:val="00323ACC"/>
    <w:rsid w:val="00323BBD"/>
    <w:rsid w:val="00323BEC"/>
    <w:rsid w:val="00323C19"/>
    <w:rsid w:val="00323C31"/>
    <w:rsid w:val="00323C6E"/>
    <w:rsid w:val="00323CF5"/>
    <w:rsid w:val="00323D2F"/>
    <w:rsid w:val="00323D5B"/>
    <w:rsid w:val="00323D62"/>
    <w:rsid w:val="00323E8D"/>
    <w:rsid w:val="00323F2F"/>
    <w:rsid w:val="00323F90"/>
    <w:rsid w:val="003240C4"/>
    <w:rsid w:val="00324135"/>
    <w:rsid w:val="00324151"/>
    <w:rsid w:val="00324176"/>
    <w:rsid w:val="003241A1"/>
    <w:rsid w:val="003241F4"/>
    <w:rsid w:val="00324323"/>
    <w:rsid w:val="00324386"/>
    <w:rsid w:val="00324462"/>
    <w:rsid w:val="003245D5"/>
    <w:rsid w:val="003245E9"/>
    <w:rsid w:val="00324696"/>
    <w:rsid w:val="00324815"/>
    <w:rsid w:val="00324AC3"/>
    <w:rsid w:val="00324B67"/>
    <w:rsid w:val="00324B9F"/>
    <w:rsid w:val="00324BE4"/>
    <w:rsid w:val="00324C71"/>
    <w:rsid w:val="00324CBB"/>
    <w:rsid w:val="00324CD4"/>
    <w:rsid w:val="00324CD9"/>
    <w:rsid w:val="00324CF1"/>
    <w:rsid w:val="00324D38"/>
    <w:rsid w:val="00324DC5"/>
    <w:rsid w:val="00324E62"/>
    <w:rsid w:val="00324E6F"/>
    <w:rsid w:val="00324FBC"/>
    <w:rsid w:val="0032500C"/>
    <w:rsid w:val="0032503F"/>
    <w:rsid w:val="00325071"/>
    <w:rsid w:val="00325201"/>
    <w:rsid w:val="003252A4"/>
    <w:rsid w:val="00325378"/>
    <w:rsid w:val="0032545B"/>
    <w:rsid w:val="0032555B"/>
    <w:rsid w:val="003256D3"/>
    <w:rsid w:val="00325791"/>
    <w:rsid w:val="003257ED"/>
    <w:rsid w:val="00325855"/>
    <w:rsid w:val="003258ED"/>
    <w:rsid w:val="0032594B"/>
    <w:rsid w:val="00325954"/>
    <w:rsid w:val="00325A28"/>
    <w:rsid w:val="00325A51"/>
    <w:rsid w:val="00325AA7"/>
    <w:rsid w:val="00325BEB"/>
    <w:rsid w:val="00325C7E"/>
    <w:rsid w:val="00325F71"/>
    <w:rsid w:val="00326001"/>
    <w:rsid w:val="00326027"/>
    <w:rsid w:val="0032604D"/>
    <w:rsid w:val="0032605E"/>
    <w:rsid w:val="00326092"/>
    <w:rsid w:val="003260C3"/>
    <w:rsid w:val="003260E1"/>
    <w:rsid w:val="00326113"/>
    <w:rsid w:val="00326153"/>
    <w:rsid w:val="00326210"/>
    <w:rsid w:val="0032623A"/>
    <w:rsid w:val="00326378"/>
    <w:rsid w:val="00326438"/>
    <w:rsid w:val="00326540"/>
    <w:rsid w:val="003265AA"/>
    <w:rsid w:val="00326632"/>
    <w:rsid w:val="00326655"/>
    <w:rsid w:val="00326675"/>
    <w:rsid w:val="0032674D"/>
    <w:rsid w:val="0032675E"/>
    <w:rsid w:val="003267ED"/>
    <w:rsid w:val="0032690B"/>
    <w:rsid w:val="003269D7"/>
    <w:rsid w:val="003269DF"/>
    <w:rsid w:val="003269F0"/>
    <w:rsid w:val="00326AAF"/>
    <w:rsid w:val="00326B0F"/>
    <w:rsid w:val="00326B1E"/>
    <w:rsid w:val="00326C3D"/>
    <w:rsid w:val="00326C61"/>
    <w:rsid w:val="00326C7E"/>
    <w:rsid w:val="00326CD4"/>
    <w:rsid w:val="00326D02"/>
    <w:rsid w:val="00326D3E"/>
    <w:rsid w:val="00326D48"/>
    <w:rsid w:val="00326D9E"/>
    <w:rsid w:val="00326DF3"/>
    <w:rsid w:val="00326E09"/>
    <w:rsid w:val="00326E74"/>
    <w:rsid w:val="00326F29"/>
    <w:rsid w:val="0032720F"/>
    <w:rsid w:val="00327253"/>
    <w:rsid w:val="00327263"/>
    <w:rsid w:val="00327282"/>
    <w:rsid w:val="003272BE"/>
    <w:rsid w:val="003273A2"/>
    <w:rsid w:val="003273B6"/>
    <w:rsid w:val="003273BA"/>
    <w:rsid w:val="003275F8"/>
    <w:rsid w:val="003276A6"/>
    <w:rsid w:val="003276FA"/>
    <w:rsid w:val="0032772B"/>
    <w:rsid w:val="0032773C"/>
    <w:rsid w:val="003277D9"/>
    <w:rsid w:val="00327852"/>
    <w:rsid w:val="00327868"/>
    <w:rsid w:val="003278CE"/>
    <w:rsid w:val="003278D0"/>
    <w:rsid w:val="003278DC"/>
    <w:rsid w:val="003278E8"/>
    <w:rsid w:val="0032793D"/>
    <w:rsid w:val="00327965"/>
    <w:rsid w:val="0032799B"/>
    <w:rsid w:val="00327A06"/>
    <w:rsid w:val="00327A95"/>
    <w:rsid w:val="00327B09"/>
    <w:rsid w:val="00327B7E"/>
    <w:rsid w:val="00327B8F"/>
    <w:rsid w:val="00327BF9"/>
    <w:rsid w:val="00327C03"/>
    <w:rsid w:val="00327C41"/>
    <w:rsid w:val="00327C4A"/>
    <w:rsid w:val="00327CA0"/>
    <w:rsid w:val="00327CC6"/>
    <w:rsid w:val="00327CE2"/>
    <w:rsid w:val="00327D8B"/>
    <w:rsid w:val="00327EA4"/>
    <w:rsid w:val="00327EE9"/>
    <w:rsid w:val="00327F28"/>
    <w:rsid w:val="00327F68"/>
    <w:rsid w:val="00327F79"/>
    <w:rsid w:val="00327F84"/>
    <w:rsid w:val="00327F8A"/>
    <w:rsid w:val="00330099"/>
    <w:rsid w:val="003300EE"/>
    <w:rsid w:val="003300FF"/>
    <w:rsid w:val="00330111"/>
    <w:rsid w:val="00330115"/>
    <w:rsid w:val="00330127"/>
    <w:rsid w:val="0033017F"/>
    <w:rsid w:val="003301AF"/>
    <w:rsid w:val="003301C9"/>
    <w:rsid w:val="0033051F"/>
    <w:rsid w:val="0033060D"/>
    <w:rsid w:val="00330668"/>
    <w:rsid w:val="00330833"/>
    <w:rsid w:val="003308A3"/>
    <w:rsid w:val="003308FC"/>
    <w:rsid w:val="003309B5"/>
    <w:rsid w:val="003309C3"/>
    <w:rsid w:val="003309CB"/>
    <w:rsid w:val="00330AEA"/>
    <w:rsid w:val="00330B3B"/>
    <w:rsid w:val="00330B7F"/>
    <w:rsid w:val="00330BDA"/>
    <w:rsid w:val="00330BF7"/>
    <w:rsid w:val="00330C75"/>
    <w:rsid w:val="00330C90"/>
    <w:rsid w:val="00330CF1"/>
    <w:rsid w:val="00330DAE"/>
    <w:rsid w:val="00330DB0"/>
    <w:rsid w:val="00330F38"/>
    <w:rsid w:val="00330F73"/>
    <w:rsid w:val="00330FB5"/>
    <w:rsid w:val="00330FBA"/>
    <w:rsid w:val="00331052"/>
    <w:rsid w:val="00331073"/>
    <w:rsid w:val="00331075"/>
    <w:rsid w:val="00331161"/>
    <w:rsid w:val="003311EC"/>
    <w:rsid w:val="00331232"/>
    <w:rsid w:val="0033129F"/>
    <w:rsid w:val="00331365"/>
    <w:rsid w:val="00331374"/>
    <w:rsid w:val="0033147E"/>
    <w:rsid w:val="003314C9"/>
    <w:rsid w:val="003315AB"/>
    <w:rsid w:val="00331658"/>
    <w:rsid w:val="0033167C"/>
    <w:rsid w:val="00331735"/>
    <w:rsid w:val="0033173E"/>
    <w:rsid w:val="003317ED"/>
    <w:rsid w:val="0033184E"/>
    <w:rsid w:val="0033196C"/>
    <w:rsid w:val="003319A3"/>
    <w:rsid w:val="003319D7"/>
    <w:rsid w:val="00331A07"/>
    <w:rsid w:val="00331A11"/>
    <w:rsid w:val="00331AE0"/>
    <w:rsid w:val="00331BC5"/>
    <w:rsid w:val="00331CB3"/>
    <w:rsid w:val="00331D1D"/>
    <w:rsid w:val="00331D38"/>
    <w:rsid w:val="00331E64"/>
    <w:rsid w:val="00331FC2"/>
    <w:rsid w:val="00331FDE"/>
    <w:rsid w:val="0033202A"/>
    <w:rsid w:val="00332086"/>
    <w:rsid w:val="003320AC"/>
    <w:rsid w:val="003320CF"/>
    <w:rsid w:val="0033213B"/>
    <w:rsid w:val="0033217E"/>
    <w:rsid w:val="003321F1"/>
    <w:rsid w:val="0033230D"/>
    <w:rsid w:val="003323C3"/>
    <w:rsid w:val="003323D3"/>
    <w:rsid w:val="00332444"/>
    <w:rsid w:val="00332478"/>
    <w:rsid w:val="003324E1"/>
    <w:rsid w:val="003324EF"/>
    <w:rsid w:val="003324FD"/>
    <w:rsid w:val="003325CB"/>
    <w:rsid w:val="00332629"/>
    <w:rsid w:val="0033263D"/>
    <w:rsid w:val="003326FB"/>
    <w:rsid w:val="00332764"/>
    <w:rsid w:val="00332864"/>
    <w:rsid w:val="003328A2"/>
    <w:rsid w:val="003328AF"/>
    <w:rsid w:val="003328D6"/>
    <w:rsid w:val="00332A57"/>
    <w:rsid w:val="00332ADA"/>
    <w:rsid w:val="00332AEB"/>
    <w:rsid w:val="00332B9F"/>
    <w:rsid w:val="00332C67"/>
    <w:rsid w:val="00332CD7"/>
    <w:rsid w:val="00332E0B"/>
    <w:rsid w:val="00332E1B"/>
    <w:rsid w:val="00332EDD"/>
    <w:rsid w:val="00332FDF"/>
    <w:rsid w:val="00332FEB"/>
    <w:rsid w:val="0033306F"/>
    <w:rsid w:val="003330C3"/>
    <w:rsid w:val="00333172"/>
    <w:rsid w:val="00333324"/>
    <w:rsid w:val="003333DA"/>
    <w:rsid w:val="003334CC"/>
    <w:rsid w:val="003334EE"/>
    <w:rsid w:val="00333514"/>
    <w:rsid w:val="00333540"/>
    <w:rsid w:val="0033379F"/>
    <w:rsid w:val="003337D2"/>
    <w:rsid w:val="003337FD"/>
    <w:rsid w:val="0033381A"/>
    <w:rsid w:val="00333A61"/>
    <w:rsid w:val="00333A7B"/>
    <w:rsid w:val="00333AC2"/>
    <w:rsid w:val="00333B3F"/>
    <w:rsid w:val="00333B44"/>
    <w:rsid w:val="00333BDD"/>
    <w:rsid w:val="00333BEC"/>
    <w:rsid w:val="00333BF3"/>
    <w:rsid w:val="00333C76"/>
    <w:rsid w:val="00333C7D"/>
    <w:rsid w:val="00333CD4"/>
    <w:rsid w:val="00333D79"/>
    <w:rsid w:val="00333DA3"/>
    <w:rsid w:val="00333E20"/>
    <w:rsid w:val="00333E65"/>
    <w:rsid w:val="00333E7A"/>
    <w:rsid w:val="00333EA8"/>
    <w:rsid w:val="00333F17"/>
    <w:rsid w:val="00333FF1"/>
    <w:rsid w:val="00334002"/>
    <w:rsid w:val="00334042"/>
    <w:rsid w:val="003342C3"/>
    <w:rsid w:val="003342EF"/>
    <w:rsid w:val="00334332"/>
    <w:rsid w:val="0033433D"/>
    <w:rsid w:val="00334398"/>
    <w:rsid w:val="003344DB"/>
    <w:rsid w:val="00334509"/>
    <w:rsid w:val="00334523"/>
    <w:rsid w:val="00334668"/>
    <w:rsid w:val="0033475A"/>
    <w:rsid w:val="003347B8"/>
    <w:rsid w:val="003347CB"/>
    <w:rsid w:val="003347CF"/>
    <w:rsid w:val="003347E6"/>
    <w:rsid w:val="00334801"/>
    <w:rsid w:val="00334822"/>
    <w:rsid w:val="003348B8"/>
    <w:rsid w:val="003348C1"/>
    <w:rsid w:val="003348D6"/>
    <w:rsid w:val="00334906"/>
    <w:rsid w:val="00334925"/>
    <w:rsid w:val="003349C6"/>
    <w:rsid w:val="003349C9"/>
    <w:rsid w:val="003349F7"/>
    <w:rsid w:val="00334A40"/>
    <w:rsid w:val="00334A76"/>
    <w:rsid w:val="00334AB5"/>
    <w:rsid w:val="00334B0E"/>
    <w:rsid w:val="00334B29"/>
    <w:rsid w:val="00334B59"/>
    <w:rsid w:val="00334C13"/>
    <w:rsid w:val="00334C36"/>
    <w:rsid w:val="00334C70"/>
    <w:rsid w:val="00334D0A"/>
    <w:rsid w:val="00334D12"/>
    <w:rsid w:val="00334DD2"/>
    <w:rsid w:val="00334DE8"/>
    <w:rsid w:val="00334E94"/>
    <w:rsid w:val="00334F86"/>
    <w:rsid w:val="00334FA9"/>
    <w:rsid w:val="00334FDF"/>
    <w:rsid w:val="003350EB"/>
    <w:rsid w:val="003350F0"/>
    <w:rsid w:val="003350F3"/>
    <w:rsid w:val="003351A4"/>
    <w:rsid w:val="003351B7"/>
    <w:rsid w:val="003351D5"/>
    <w:rsid w:val="0033526D"/>
    <w:rsid w:val="0033527D"/>
    <w:rsid w:val="0033527E"/>
    <w:rsid w:val="003352B2"/>
    <w:rsid w:val="00335369"/>
    <w:rsid w:val="0033538D"/>
    <w:rsid w:val="0033543B"/>
    <w:rsid w:val="00335465"/>
    <w:rsid w:val="0033547B"/>
    <w:rsid w:val="00335481"/>
    <w:rsid w:val="003354F1"/>
    <w:rsid w:val="003355B7"/>
    <w:rsid w:val="003355E7"/>
    <w:rsid w:val="00335763"/>
    <w:rsid w:val="003358E6"/>
    <w:rsid w:val="00335925"/>
    <w:rsid w:val="00335938"/>
    <w:rsid w:val="0033596E"/>
    <w:rsid w:val="00335A92"/>
    <w:rsid w:val="00335B58"/>
    <w:rsid w:val="00335B96"/>
    <w:rsid w:val="00335C25"/>
    <w:rsid w:val="00335C8D"/>
    <w:rsid w:val="00335CE9"/>
    <w:rsid w:val="00335D7F"/>
    <w:rsid w:val="00335E56"/>
    <w:rsid w:val="00336017"/>
    <w:rsid w:val="00336106"/>
    <w:rsid w:val="003361BA"/>
    <w:rsid w:val="0033620C"/>
    <w:rsid w:val="00336281"/>
    <w:rsid w:val="0033629B"/>
    <w:rsid w:val="003362DC"/>
    <w:rsid w:val="00336314"/>
    <w:rsid w:val="0033633D"/>
    <w:rsid w:val="003363C9"/>
    <w:rsid w:val="003364BF"/>
    <w:rsid w:val="003364F5"/>
    <w:rsid w:val="00336555"/>
    <w:rsid w:val="003365ED"/>
    <w:rsid w:val="00336686"/>
    <w:rsid w:val="003366FD"/>
    <w:rsid w:val="00336737"/>
    <w:rsid w:val="00336742"/>
    <w:rsid w:val="00336911"/>
    <w:rsid w:val="00336967"/>
    <w:rsid w:val="0033696F"/>
    <w:rsid w:val="0033699E"/>
    <w:rsid w:val="00336BA1"/>
    <w:rsid w:val="00336BD7"/>
    <w:rsid w:val="00336C60"/>
    <w:rsid w:val="00336C71"/>
    <w:rsid w:val="00336CD4"/>
    <w:rsid w:val="00336F28"/>
    <w:rsid w:val="00336F4B"/>
    <w:rsid w:val="0033702C"/>
    <w:rsid w:val="0033704D"/>
    <w:rsid w:val="003370A2"/>
    <w:rsid w:val="003370C3"/>
    <w:rsid w:val="003370C4"/>
    <w:rsid w:val="0033711B"/>
    <w:rsid w:val="0033714D"/>
    <w:rsid w:val="003371C1"/>
    <w:rsid w:val="00337207"/>
    <w:rsid w:val="0033721B"/>
    <w:rsid w:val="00337265"/>
    <w:rsid w:val="00337273"/>
    <w:rsid w:val="00337307"/>
    <w:rsid w:val="00337374"/>
    <w:rsid w:val="00337377"/>
    <w:rsid w:val="003373AA"/>
    <w:rsid w:val="003373CB"/>
    <w:rsid w:val="00337448"/>
    <w:rsid w:val="003374D1"/>
    <w:rsid w:val="003375C1"/>
    <w:rsid w:val="003375DB"/>
    <w:rsid w:val="00337653"/>
    <w:rsid w:val="0033775B"/>
    <w:rsid w:val="00337796"/>
    <w:rsid w:val="00337933"/>
    <w:rsid w:val="00337ACB"/>
    <w:rsid w:val="00337B78"/>
    <w:rsid w:val="00337BD9"/>
    <w:rsid w:val="00337C5C"/>
    <w:rsid w:val="00337C92"/>
    <w:rsid w:val="00337CB6"/>
    <w:rsid w:val="00337CE8"/>
    <w:rsid w:val="00337CF3"/>
    <w:rsid w:val="00337D08"/>
    <w:rsid w:val="00337D1D"/>
    <w:rsid w:val="00337D4F"/>
    <w:rsid w:val="00337D50"/>
    <w:rsid w:val="00337D6E"/>
    <w:rsid w:val="00337D98"/>
    <w:rsid w:val="00337E6B"/>
    <w:rsid w:val="00337EB3"/>
    <w:rsid w:val="00337ECF"/>
    <w:rsid w:val="00337EE9"/>
    <w:rsid w:val="00337F64"/>
    <w:rsid w:val="00337F6F"/>
    <w:rsid w:val="00337FB9"/>
    <w:rsid w:val="00337FEC"/>
    <w:rsid w:val="00340008"/>
    <w:rsid w:val="00340048"/>
    <w:rsid w:val="00340062"/>
    <w:rsid w:val="003400CE"/>
    <w:rsid w:val="0034011F"/>
    <w:rsid w:val="00340134"/>
    <w:rsid w:val="00340180"/>
    <w:rsid w:val="003401E4"/>
    <w:rsid w:val="00340336"/>
    <w:rsid w:val="00340360"/>
    <w:rsid w:val="0034039B"/>
    <w:rsid w:val="003403D3"/>
    <w:rsid w:val="003403E3"/>
    <w:rsid w:val="00340547"/>
    <w:rsid w:val="003405CD"/>
    <w:rsid w:val="00340681"/>
    <w:rsid w:val="00340699"/>
    <w:rsid w:val="00340903"/>
    <w:rsid w:val="00340913"/>
    <w:rsid w:val="00340A67"/>
    <w:rsid w:val="00340BCB"/>
    <w:rsid w:val="00340C39"/>
    <w:rsid w:val="00340FB7"/>
    <w:rsid w:val="003410C8"/>
    <w:rsid w:val="0034110D"/>
    <w:rsid w:val="003411DC"/>
    <w:rsid w:val="00341224"/>
    <w:rsid w:val="003412A6"/>
    <w:rsid w:val="00341317"/>
    <w:rsid w:val="00341324"/>
    <w:rsid w:val="003413A7"/>
    <w:rsid w:val="0034142E"/>
    <w:rsid w:val="00341459"/>
    <w:rsid w:val="00341464"/>
    <w:rsid w:val="003414C8"/>
    <w:rsid w:val="00341522"/>
    <w:rsid w:val="0034152C"/>
    <w:rsid w:val="0034154B"/>
    <w:rsid w:val="0034157D"/>
    <w:rsid w:val="00341687"/>
    <w:rsid w:val="003416B0"/>
    <w:rsid w:val="003417C1"/>
    <w:rsid w:val="003417D7"/>
    <w:rsid w:val="00341850"/>
    <w:rsid w:val="00341917"/>
    <w:rsid w:val="0034191E"/>
    <w:rsid w:val="00341A23"/>
    <w:rsid w:val="00341A2E"/>
    <w:rsid w:val="00341A92"/>
    <w:rsid w:val="00341A99"/>
    <w:rsid w:val="00341A9B"/>
    <w:rsid w:val="00341BA3"/>
    <w:rsid w:val="00341BA7"/>
    <w:rsid w:val="00341BF9"/>
    <w:rsid w:val="00341C2D"/>
    <w:rsid w:val="00341C7E"/>
    <w:rsid w:val="00341C96"/>
    <w:rsid w:val="00341CFB"/>
    <w:rsid w:val="00341D27"/>
    <w:rsid w:val="00341D5B"/>
    <w:rsid w:val="00341D82"/>
    <w:rsid w:val="00341D95"/>
    <w:rsid w:val="00341E4A"/>
    <w:rsid w:val="00341F2C"/>
    <w:rsid w:val="00341F57"/>
    <w:rsid w:val="00342050"/>
    <w:rsid w:val="00342058"/>
    <w:rsid w:val="00342193"/>
    <w:rsid w:val="003421A7"/>
    <w:rsid w:val="00342211"/>
    <w:rsid w:val="00342357"/>
    <w:rsid w:val="003423A8"/>
    <w:rsid w:val="0034242C"/>
    <w:rsid w:val="0034252F"/>
    <w:rsid w:val="0034257D"/>
    <w:rsid w:val="0034258E"/>
    <w:rsid w:val="003425E7"/>
    <w:rsid w:val="003425F2"/>
    <w:rsid w:val="003426F8"/>
    <w:rsid w:val="00342828"/>
    <w:rsid w:val="00342863"/>
    <w:rsid w:val="0034286E"/>
    <w:rsid w:val="003428BC"/>
    <w:rsid w:val="00342A2D"/>
    <w:rsid w:val="00342ABC"/>
    <w:rsid w:val="00342B50"/>
    <w:rsid w:val="00342BF2"/>
    <w:rsid w:val="00342C31"/>
    <w:rsid w:val="00342C59"/>
    <w:rsid w:val="00342CCB"/>
    <w:rsid w:val="00342D7B"/>
    <w:rsid w:val="00342DC7"/>
    <w:rsid w:val="00342DFA"/>
    <w:rsid w:val="00342E39"/>
    <w:rsid w:val="00342FFA"/>
    <w:rsid w:val="00343084"/>
    <w:rsid w:val="003430A2"/>
    <w:rsid w:val="00343185"/>
    <w:rsid w:val="003431B4"/>
    <w:rsid w:val="003432AB"/>
    <w:rsid w:val="003432BE"/>
    <w:rsid w:val="00343354"/>
    <w:rsid w:val="00343364"/>
    <w:rsid w:val="00343455"/>
    <w:rsid w:val="00343534"/>
    <w:rsid w:val="00343540"/>
    <w:rsid w:val="00343557"/>
    <w:rsid w:val="0034359A"/>
    <w:rsid w:val="0034360A"/>
    <w:rsid w:val="0034361B"/>
    <w:rsid w:val="00343621"/>
    <w:rsid w:val="00343656"/>
    <w:rsid w:val="00343698"/>
    <w:rsid w:val="0034373D"/>
    <w:rsid w:val="003437CF"/>
    <w:rsid w:val="003438EE"/>
    <w:rsid w:val="003438F6"/>
    <w:rsid w:val="0034396A"/>
    <w:rsid w:val="0034396F"/>
    <w:rsid w:val="00343974"/>
    <w:rsid w:val="003439BA"/>
    <w:rsid w:val="00343ABA"/>
    <w:rsid w:val="00343ACD"/>
    <w:rsid w:val="00343B58"/>
    <w:rsid w:val="00343B79"/>
    <w:rsid w:val="00343B89"/>
    <w:rsid w:val="00343B8A"/>
    <w:rsid w:val="00343DC9"/>
    <w:rsid w:val="00343F61"/>
    <w:rsid w:val="003440AD"/>
    <w:rsid w:val="003440B1"/>
    <w:rsid w:val="00344105"/>
    <w:rsid w:val="00344124"/>
    <w:rsid w:val="0034415D"/>
    <w:rsid w:val="00344239"/>
    <w:rsid w:val="0034436B"/>
    <w:rsid w:val="003443B7"/>
    <w:rsid w:val="0034444D"/>
    <w:rsid w:val="0034447F"/>
    <w:rsid w:val="0034450F"/>
    <w:rsid w:val="00344568"/>
    <w:rsid w:val="00344599"/>
    <w:rsid w:val="00344667"/>
    <w:rsid w:val="00344682"/>
    <w:rsid w:val="003447B7"/>
    <w:rsid w:val="00344890"/>
    <w:rsid w:val="003448F2"/>
    <w:rsid w:val="00344901"/>
    <w:rsid w:val="00344984"/>
    <w:rsid w:val="003449B6"/>
    <w:rsid w:val="00344B2E"/>
    <w:rsid w:val="00344B48"/>
    <w:rsid w:val="00344B9E"/>
    <w:rsid w:val="00344C52"/>
    <w:rsid w:val="00344C53"/>
    <w:rsid w:val="00344D0C"/>
    <w:rsid w:val="00344DFA"/>
    <w:rsid w:val="00344DFE"/>
    <w:rsid w:val="00344E17"/>
    <w:rsid w:val="00344E31"/>
    <w:rsid w:val="00344E3B"/>
    <w:rsid w:val="00344E7D"/>
    <w:rsid w:val="00344EAC"/>
    <w:rsid w:val="00344EF7"/>
    <w:rsid w:val="00345001"/>
    <w:rsid w:val="0034510B"/>
    <w:rsid w:val="0034519F"/>
    <w:rsid w:val="003452EB"/>
    <w:rsid w:val="003452FE"/>
    <w:rsid w:val="0034535F"/>
    <w:rsid w:val="003453E7"/>
    <w:rsid w:val="003453F8"/>
    <w:rsid w:val="0034542A"/>
    <w:rsid w:val="0034544A"/>
    <w:rsid w:val="0034544B"/>
    <w:rsid w:val="003454A0"/>
    <w:rsid w:val="003454DD"/>
    <w:rsid w:val="003455C8"/>
    <w:rsid w:val="00345612"/>
    <w:rsid w:val="0034563E"/>
    <w:rsid w:val="00345644"/>
    <w:rsid w:val="00345819"/>
    <w:rsid w:val="00345821"/>
    <w:rsid w:val="003458C2"/>
    <w:rsid w:val="003458F7"/>
    <w:rsid w:val="0034597F"/>
    <w:rsid w:val="003459FE"/>
    <w:rsid w:val="00345ADA"/>
    <w:rsid w:val="00345AE6"/>
    <w:rsid w:val="00345C10"/>
    <w:rsid w:val="00345CB3"/>
    <w:rsid w:val="00345D5C"/>
    <w:rsid w:val="00345E38"/>
    <w:rsid w:val="00345EB3"/>
    <w:rsid w:val="00345F68"/>
    <w:rsid w:val="00345F9F"/>
    <w:rsid w:val="00345FA4"/>
    <w:rsid w:val="00345FF2"/>
    <w:rsid w:val="00345FF4"/>
    <w:rsid w:val="0034606D"/>
    <w:rsid w:val="003460B4"/>
    <w:rsid w:val="003461C0"/>
    <w:rsid w:val="00346209"/>
    <w:rsid w:val="0034620F"/>
    <w:rsid w:val="003463CB"/>
    <w:rsid w:val="003463CD"/>
    <w:rsid w:val="00346454"/>
    <w:rsid w:val="003465D3"/>
    <w:rsid w:val="003465E3"/>
    <w:rsid w:val="003466BF"/>
    <w:rsid w:val="003466F9"/>
    <w:rsid w:val="0034670A"/>
    <w:rsid w:val="003467B6"/>
    <w:rsid w:val="003467E2"/>
    <w:rsid w:val="0034687F"/>
    <w:rsid w:val="003468AE"/>
    <w:rsid w:val="003469AE"/>
    <w:rsid w:val="003469F9"/>
    <w:rsid w:val="00346B08"/>
    <w:rsid w:val="00346B1F"/>
    <w:rsid w:val="00346B9C"/>
    <w:rsid w:val="00346D43"/>
    <w:rsid w:val="00346DFB"/>
    <w:rsid w:val="00346EE7"/>
    <w:rsid w:val="00346F3F"/>
    <w:rsid w:val="00346F4C"/>
    <w:rsid w:val="00346F79"/>
    <w:rsid w:val="00346F8C"/>
    <w:rsid w:val="0034705D"/>
    <w:rsid w:val="003470BF"/>
    <w:rsid w:val="00347133"/>
    <w:rsid w:val="00347192"/>
    <w:rsid w:val="003471BE"/>
    <w:rsid w:val="00347227"/>
    <w:rsid w:val="00347281"/>
    <w:rsid w:val="003472A8"/>
    <w:rsid w:val="0034741D"/>
    <w:rsid w:val="0034745A"/>
    <w:rsid w:val="003474E5"/>
    <w:rsid w:val="003475ED"/>
    <w:rsid w:val="003475EE"/>
    <w:rsid w:val="003476B4"/>
    <w:rsid w:val="003476D4"/>
    <w:rsid w:val="003476E8"/>
    <w:rsid w:val="00347703"/>
    <w:rsid w:val="003477CC"/>
    <w:rsid w:val="00347806"/>
    <w:rsid w:val="00347870"/>
    <w:rsid w:val="003478CF"/>
    <w:rsid w:val="003479A4"/>
    <w:rsid w:val="00347AD0"/>
    <w:rsid w:val="00347B1F"/>
    <w:rsid w:val="00347B5B"/>
    <w:rsid w:val="00347BAF"/>
    <w:rsid w:val="00347C71"/>
    <w:rsid w:val="00347C78"/>
    <w:rsid w:val="00347D06"/>
    <w:rsid w:val="00347D37"/>
    <w:rsid w:val="00347E29"/>
    <w:rsid w:val="00347EB4"/>
    <w:rsid w:val="00347ECA"/>
    <w:rsid w:val="00347EE4"/>
    <w:rsid w:val="00347F62"/>
    <w:rsid w:val="00347F63"/>
    <w:rsid w:val="00347F6D"/>
    <w:rsid w:val="00350019"/>
    <w:rsid w:val="0035010A"/>
    <w:rsid w:val="0035023B"/>
    <w:rsid w:val="00350297"/>
    <w:rsid w:val="003502CD"/>
    <w:rsid w:val="0035030E"/>
    <w:rsid w:val="0035040C"/>
    <w:rsid w:val="00350461"/>
    <w:rsid w:val="003504AD"/>
    <w:rsid w:val="003504AF"/>
    <w:rsid w:val="0035072E"/>
    <w:rsid w:val="0035084E"/>
    <w:rsid w:val="0035086A"/>
    <w:rsid w:val="003508DD"/>
    <w:rsid w:val="003508F5"/>
    <w:rsid w:val="00350A0F"/>
    <w:rsid w:val="00350B2A"/>
    <w:rsid w:val="00350B66"/>
    <w:rsid w:val="00350BB6"/>
    <w:rsid w:val="00350BB8"/>
    <w:rsid w:val="00350BC1"/>
    <w:rsid w:val="00350C0C"/>
    <w:rsid w:val="00350C1D"/>
    <w:rsid w:val="00350C3C"/>
    <w:rsid w:val="00350C3E"/>
    <w:rsid w:val="00350C56"/>
    <w:rsid w:val="00350C74"/>
    <w:rsid w:val="00350C91"/>
    <w:rsid w:val="00350CE5"/>
    <w:rsid w:val="00350DA1"/>
    <w:rsid w:val="00350E29"/>
    <w:rsid w:val="00350ED3"/>
    <w:rsid w:val="00350F91"/>
    <w:rsid w:val="00350FC3"/>
    <w:rsid w:val="00351051"/>
    <w:rsid w:val="0035105E"/>
    <w:rsid w:val="00351079"/>
    <w:rsid w:val="00351136"/>
    <w:rsid w:val="00351169"/>
    <w:rsid w:val="00351189"/>
    <w:rsid w:val="0035119B"/>
    <w:rsid w:val="003511F9"/>
    <w:rsid w:val="00351233"/>
    <w:rsid w:val="0035129B"/>
    <w:rsid w:val="0035129F"/>
    <w:rsid w:val="00351327"/>
    <w:rsid w:val="003513B8"/>
    <w:rsid w:val="003513D9"/>
    <w:rsid w:val="00351489"/>
    <w:rsid w:val="003514F3"/>
    <w:rsid w:val="00351532"/>
    <w:rsid w:val="003515A6"/>
    <w:rsid w:val="00351669"/>
    <w:rsid w:val="00351672"/>
    <w:rsid w:val="003516DD"/>
    <w:rsid w:val="00351756"/>
    <w:rsid w:val="00351827"/>
    <w:rsid w:val="0035184B"/>
    <w:rsid w:val="003518C4"/>
    <w:rsid w:val="0035191F"/>
    <w:rsid w:val="00351935"/>
    <w:rsid w:val="003519D6"/>
    <w:rsid w:val="00351A2B"/>
    <w:rsid w:val="00351AB4"/>
    <w:rsid w:val="00351AF4"/>
    <w:rsid w:val="00351B85"/>
    <w:rsid w:val="00351CDD"/>
    <w:rsid w:val="00351CEF"/>
    <w:rsid w:val="00351D79"/>
    <w:rsid w:val="00351E1D"/>
    <w:rsid w:val="00351EE7"/>
    <w:rsid w:val="00351F53"/>
    <w:rsid w:val="00351F87"/>
    <w:rsid w:val="00351FF2"/>
    <w:rsid w:val="00352018"/>
    <w:rsid w:val="003520E7"/>
    <w:rsid w:val="00352166"/>
    <w:rsid w:val="00352177"/>
    <w:rsid w:val="00352198"/>
    <w:rsid w:val="00352231"/>
    <w:rsid w:val="0035223A"/>
    <w:rsid w:val="00352278"/>
    <w:rsid w:val="003522A2"/>
    <w:rsid w:val="003522C8"/>
    <w:rsid w:val="00352342"/>
    <w:rsid w:val="003523A1"/>
    <w:rsid w:val="003523CA"/>
    <w:rsid w:val="003524B8"/>
    <w:rsid w:val="0035251B"/>
    <w:rsid w:val="00352525"/>
    <w:rsid w:val="00352587"/>
    <w:rsid w:val="00352741"/>
    <w:rsid w:val="0035275A"/>
    <w:rsid w:val="003527A0"/>
    <w:rsid w:val="0035294B"/>
    <w:rsid w:val="0035294C"/>
    <w:rsid w:val="00352966"/>
    <w:rsid w:val="00352A91"/>
    <w:rsid w:val="00352B60"/>
    <w:rsid w:val="00352B62"/>
    <w:rsid w:val="00352BF6"/>
    <w:rsid w:val="00352C6B"/>
    <w:rsid w:val="00352DC9"/>
    <w:rsid w:val="00352E05"/>
    <w:rsid w:val="00352E24"/>
    <w:rsid w:val="00352EF7"/>
    <w:rsid w:val="00352F14"/>
    <w:rsid w:val="00352FC7"/>
    <w:rsid w:val="00353060"/>
    <w:rsid w:val="00353107"/>
    <w:rsid w:val="00353112"/>
    <w:rsid w:val="003531A1"/>
    <w:rsid w:val="003533B6"/>
    <w:rsid w:val="003533D2"/>
    <w:rsid w:val="003534B4"/>
    <w:rsid w:val="0035355E"/>
    <w:rsid w:val="0035366C"/>
    <w:rsid w:val="00353785"/>
    <w:rsid w:val="00353809"/>
    <w:rsid w:val="0035387C"/>
    <w:rsid w:val="0035388C"/>
    <w:rsid w:val="003539A2"/>
    <w:rsid w:val="003539E2"/>
    <w:rsid w:val="00353B38"/>
    <w:rsid w:val="00353BA6"/>
    <w:rsid w:val="00353BD9"/>
    <w:rsid w:val="00353C46"/>
    <w:rsid w:val="00353C48"/>
    <w:rsid w:val="00353CAE"/>
    <w:rsid w:val="00353CAF"/>
    <w:rsid w:val="00353D56"/>
    <w:rsid w:val="00353DD6"/>
    <w:rsid w:val="00353E49"/>
    <w:rsid w:val="00353ECB"/>
    <w:rsid w:val="00354057"/>
    <w:rsid w:val="003540EC"/>
    <w:rsid w:val="0035413E"/>
    <w:rsid w:val="0035417D"/>
    <w:rsid w:val="003541CB"/>
    <w:rsid w:val="00354239"/>
    <w:rsid w:val="00354508"/>
    <w:rsid w:val="00354574"/>
    <w:rsid w:val="00354587"/>
    <w:rsid w:val="003545AF"/>
    <w:rsid w:val="00354636"/>
    <w:rsid w:val="003546B9"/>
    <w:rsid w:val="00354752"/>
    <w:rsid w:val="00354817"/>
    <w:rsid w:val="00354835"/>
    <w:rsid w:val="00354A58"/>
    <w:rsid w:val="00354ABE"/>
    <w:rsid w:val="00354AD0"/>
    <w:rsid w:val="00354AE3"/>
    <w:rsid w:val="00354B99"/>
    <w:rsid w:val="00354BCE"/>
    <w:rsid w:val="00354C29"/>
    <w:rsid w:val="00354EE5"/>
    <w:rsid w:val="00354F12"/>
    <w:rsid w:val="00354F22"/>
    <w:rsid w:val="00354F64"/>
    <w:rsid w:val="00354F7C"/>
    <w:rsid w:val="00354FE5"/>
    <w:rsid w:val="00355130"/>
    <w:rsid w:val="0035516B"/>
    <w:rsid w:val="00355224"/>
    <w:rsid w:val="00355311"/>
    <w:rsid w:val="00355329"/>
    <w:rsid w:val="003553E3"/>
    <w:rsid w:val="003553FF"/>
    <w:rsid w:val="0035556B"/>
    <w:rsid w:val="00355625"/>
    <w:rsid w:val="00355642"/>
    <w:rsid w:val="00355655"/>
    <w:rsid w:val="003557F4"/>
    <w:rsid w:val="00355803"/>
    <w:rsid w:val="003558A0"/>
    <w:rsid w:val="0035597E"/>
    <w:rsid w:val="00355ACF"/>
    <w:rsid w:val="00355B13"/>
    <w:rsid w:val="00355B87"/>
    <w:rsid w:val="00355B93"/>
    <w:rsid w:val="00355BD9"/>
    <w:rsid w:val="00355C5C"/>
    <w:rsid w:val="00355D4F"/>
    <w:rsid w:val="00355DC9"/>
    <w:rsid w:val="00355DF4"/>
    <w:rsid w:val="00355E79"/>
    <w:rsid w:val="00355EAD"/>
    <w:rsid w:val="00355EFE"/>
    <w:rsid w:val="00355F63"/>
    <w:rsid w:val="00356095"/>
    <w:rsid w:val="00356292"/>
    <w:rsid w:val="003562D0"/>
    <w:rsid w:val="00356313"/>
    <w:rsid w:val="00356338"/>
    <w:rsid w:val="003563C1"/>
    <w:rsid w:val="00356404"/>
    <w:rsid w:val="0035644F"/>
    <w:rsid w:val="003564CF"/>
    <w:rsid w:val="003564E7"/>
    <w:rsid w:val="003564EA"/>
    <w:rsid w:val="00356586"/>
    <w:rsid w:val="003565C1"/>
    <w:rsid w:val="0035667A"/>
    <w:rsid w:val="00356694"/>
    <w:rsid w:val="003566DF"/>
    <w:rsid w:val="003567C8"/>
    <w:rsid w:val="003567DB"/>
    <w:rsid w:val="003567F4"/>
    <w:rsid w:val="00356809"/>
    <w:rsid w:val="00356811"/>
    <w:rsid w:val="00356889"/>
    <w:rsid w:val="00356894"/>
    <w:rsid w:val="003568C6"/>
    <w:rsid w:val="003568F4"/>
    <w:rsid w:val="00356955"/>
    <w:rsid w:val="00356972"/>
    <w:rsid w:val="00356975"/>
    <w:rsid w:val="00356B49"/>
    <w:rsid w:val="00356B8C"/>
    <w:rsid w:val="00356BF9"/>
    <w:rsid w:val="00356C92"/>
    <w:rsid w:val="00356D13"/>
    <w:rsid w:val="00356D24"/>
    <w:rsid w:val="00356D31"/>
    <w:rsid w:val="00356D74"/>
    <w:rsid w:val="00356DCE"/>
    <w:rsid w:val="00356E7E"/>
    <w:rsid w:val="00356F7A"/>
    <w:rsid w:val="00356FC3"/>
    <w:rsid w:val="003570BD"/>
    <w:rsid w:val="003570FC"/>
    <w:rsid w:val="00357127"/>
    <w:rsid w:val="0035713E"/>
    <w:rsid w:val="0035714A"/>
    <w:rsid w:val="0035721B"/>
    <w:rsid w:val="00357261"/>
    <w:rsid w:val="003573A8"/>
    <w:rsid w:val="003573D6"/>
    <w:rsid w:val="00357403"/>
    <w:rsid w:val="0035741E"/>
    <w:rsid w:val="00357454"/>
    <w:rsid w:val="00357457"/>
    <w:rsid w:val="0035747C"/>
    <w:rsid w:val="0035754F"/>
    <w:rsid w:val="0035755C"/>
    <w:rsid w:val="00357596"/>
    <w:rsid w:val="003575ED"/>
    <w:rsid w:val="00357756"/>
    <w:rsid w:val="00357773"/>
    <w:rsid w:val="003577F1"/>
    <w:rsid w:val="00357836"/>
    <w:rsid w:val="0035786B"/>
    <w:rsid w:val="00357885"/>
    <w:rsid w:val="0035792D"/>
    <w:rsid w:val="00357B5B"/>
    <w:rsid w:val="00357B7E"/>
    <w:rsid w:val="00357BDB"/>
    <w:rsid w:val="00357C7D"/>
    <w:rsid w:val="00357DE0"/>
    <w:rsid w:val="00357E4E"/>
    <w:rsid w:val="00357FD5"/>
    <w:rsid w:val="00357FEC"/>
    <w:rsid w:val="0036005F"/>
    <w:rsid w:val="003600C3"/>
    <w:rsid w:val="003601D0"/>
    <w:rsid w:val="003602DA"/>
    <w:rsid w:val="00360367"/>
    <w:rsid w:val="0036037E"/>
    <w:rsid w:val="003603C7"/>
    <w:rsid w:val="003603C8"/>
    <w:rsid w:val="0036042F"/>
    <w:rsid w:val="00360490"/>
    <w:rsid w:val="003604A5"/>
    <w:rsid w:val="003604E8"/>
    <w:rsid w:val="003604FA"/>
    <w:rsid w:val="00360511"/>
    <w:rsid w:val="0036066C"/>
    <w:rsid w:val="00360747"/>
    <w:rsid w:val="0036081E"/>
    <w:rsid w:val="0036083B"/>
    <w:rsid w:val="003608D4"/>
    <w:rsid w:val="003608D8"/>
    <w:rsid w:val="00360A27"/>
    <w:rsid w:val="00360AB0"/>
    <w:rsid w:val="00360AC6"/>
    <w:rsid w:val="00360AE6"/>
    <w:rsid w:val="00360BBA"/>
    <w:rsid w:val="00360C7D"/>
    <w:rsid w:val="00360DBD"/>
    <w:rsid w:val="00360E5B"/>
    <w:rsid w:val="00360E66"/>
    <w:rsid w:val="00360E77"/>
    <w:rsid w:val="00360F28"/>
    <w:rsid w:val="00360F60"/>
    <w:rsid w:val="0036100D"/>
    <w:rsid w:val="0036123A"/>
    <w:rsid w:val="00361249"/>
    <w:rsid w:val="003613D8"/>
    <w:rsid w:val="0036141E"/>
    <w:rsid w:val="00361586"/>
    <w:rsid w:val="003615A1"/>
    <w:rsid w:val="0036160B"/>
    <w:rsid w:val="003616FB"/>
    <w:rsid w:val="003616FC"/>
    <w:rsid w:val="00361716"/>
    <w:rsid w:val="00361737"/>
    <w:rsid w:val="00361787"/>
    <w:rsid w:val="0036183A"/>
    <w:rsid w:val="003619E8"/>
    <w:rsid w:val="00361A17"/>
    <w:rsid w:val="00361A88"/>
    <w:rsid w:val="00361B23"/>
    <w:rsid w:val="00361C1E"/>
    <w:rsid w:val="00361C72"/>
    <w:rsid w:val="00361CEF"/>
    <w:rsid w:val="00361D44"/>
    <w:rsid w:val="00361D46"/>
    <w:rsid w:val="00361D6F"/>
    <w:rsid w:val="00361DB9"/>
    <w:rsid w:val="00361E00"/>
    <w:rsid w:val="00361EA7"/>
    <w:rsid w:val="00361EEE"/>
    <w:rsid w:val="00361FCE"/>
    <w:rsid w:val="00362130"/>
    <w:rsid w:val="0036214C"/>
    <w:rsid w:val="00362196"/>
    <w:rsid w:val="0036234C"/>
    <w:rsid w:val="00362354"/>
    <w:rsid w:val="0036240D"/>
    <w:rsid w:val="003624A0"/>
    <w:rsid w:val="0036255D"/>
    <w:rsid w:val="003625C7"/>
    <w:rsid w:val="003625D9"/>
    <w:rsid w:val="00362657"/>
    <w:rsid w:val="00362702"/>
    <w:rsid w:val="0036277E"/>
    <w:rsid w:val="003627E2"/>
    <w:rsid w:val="003627F6"/>
    <w:rsid w:val="00362966"/>
    <w:rsid w:val="00362974"/>
    <w:rsid w:val="0036297E"/>
    <w:rsid w:val="00362A61"/>
    <w:rsid w:val="00362A76"/>
    <w:rsid w:val="00362AC5"/>
    <w:rsid w:val="00362B77"/>
    <w:rsid w:val="00362BEA"/>
    <w:rsid w:val="00362C53"/>
    <w:rsid w:val="00362CAB"/>
    <w:rsid w:val="00362DD2"/>
    <w:rsid w:val="00362DDA"/>
    <w:rsid w:val="00362EBC"/>
    <w:rsid w:val="00362EFC"/>
    <w:rsid w:val="00362F7F"/>
    <w:rsid w:val="00362F95"/>
    <w:rsid w:val="00362FCB"/>
    <w:rsid w:val="00362FFF"/>
    <w:rsid w:val="003632B3"/>
    <w:rsid w:val="003632C7"/>
    <w:rsid w:val="00363320"/>
    <w:rsid w:val="003633DE"/>
    <w:rsid w:val="003635EE"/>
    <w:rsid w:val="00363679"/>
    <w:rsid w:val="00363685"/>
    <w:rsid w:val="00363730"/>
    <w:rsid w:val="0036374E"/>
    <w:rsid w:val="00363766"/>
    <w:rsid w:val="00363845"/>
    <w:rsid w:val="0036385C"/>
    <w:rsid w:val="00363872"/>
    <w:rsid w:val="003638A9"/>
    <w:rsid w:val="0036395B"/>
    <w:rsid w:val="0036395D"/>
    <w:rsid w:val="00363AC6"/>
    <w:rsid w:val="00363B23"/>
    <w:rsid w:val="00363B8F"/>
    <w:rsid w:val="00363C07"/>
    <w:rsid w:val="00363D50"/>
    <w:rsid w:val="00363E4C"/>
    <w:rsid w:val="00363E6B"/>
    <w:rsid w:val="00363ECB"/>
    <w:rsid w:val="00363EE3"/>
    <w:rsid w:val="00363F1B"/>
    <w:rsid w:val="00363F33"/>
    <w:rsid w:val="00363F68"/>
    <w:rsid w:val="0036400A"/>
    <w:rsid w:val="0036411F"/>
    <w:rsid w:val="00364145"/>
    <w:rsid w:val="00364190"/>
    <w:rsid w:val="003641DA"/>
    <w:rsid w:val="00364233"/>
    <w:rsid w:val="003642A1"/>
    <w:rsid w:val="003642FF"/>
    <w:rsid w:val="0036437A"/>
    <w:rsid w:val="003643A5"/>
    <w:rsid w:val="003644AE"/>
    <w:rsid w:val="0036471C"/>
    <w:rsid w:val="00364725"/>
    <w:rsid w:val="00364775"/>
    <w:rsid w:val="0036478B"/>
    <w:rsid w:val="00364798"/>
    <w:rsid w:val="003647AB"/>
    <w:rsid w:val="0036482A"/>
    <w:rsid w:val="00364918"/>
    <w:rsid w:val="00364B47"/>
    <w:rsid w:val="00364B83"/>
    <w:rsid w:val="00364B97"/>
    <w:rsid w:val="00364C28"/>
    <w:rsid w:val="00364C45"/>
    <w:rsid w:val="00364D3C"/>
    <w:rsid w:val="00364D62"/>
    <w:rsid w:val="00364D83"/>
    <w:rsid w:val="00365015"/>
    <w:rsid w:val="00365035"/>
    <w:rsid w:val="003651C6"/>
    <w:rsid w:val="003651F6"/>
    <w:rsid w:val="00365248"/>
    <w:rsid w:val="0036525D"/>
    <w:rsid w:val="00365333"/>
    <w:rsid w:val="00365363"/>
    <w:rsid w:val="003653B4"/>
    <w:rsid w:val="0036543A"/>
    <w:rsid w:val="00365443"/>
    <w:rsid w:val="003654FD"/>
    <w:rsid w:val="00365505"/>
    <w:rsid w:val="00365571"/>
    <w:rsid w:val="00365635"/>
    <w:rsid w:val="00365646"/>
    <w:rsid w:val="0036567A"/>
    <w:rsid w:val="003656A8"/>
    <w:rsid w:val="003656DC"/>
    <w:rsid w:val="003656E0"/>
    <w:rsid w:val="003657C7"/>
    <w:rsid w:val="00365805"/>
    <w:rsid w:val="00365808"/>
    <w:rsid w:val="00365931"/>
    <w:rsid w:val="0036596E"/>
    <w:rsid w:val="00365A8D"/>
    <w:rsid w:val="00365AF7"/>
    <w:rsid w:val="00365B37"/>
    <w:rsid w:val="00365C1D"/>
    <w:rsid w:val="00365D18"/>
    <w:rsid w:val="00365D5D"/>
    <w:rsid w:val="00365DB2"/>
    <w:rsid w:val="00365DC7"/>
    <w:rsid w:val="00365DE8"/>
    <w:rsid w:val="00365EF2"/>
    <w:rsid w:val="00365EF9"/>
    <w:rsid w:val="00365F2F"/>
    <w:rsid w:val="00365FCA"/>
    <w:rsid w:val="00365FE6"/>
    <w:rsid w:val="003660B2"/>
    <w:rsid w:val="003661D5"/>
    <w:rsid w:val="003662A5"/>
    <w:rsid w:val="0036644C"/>
    <w:rsid w:val="0036645D"/>
    <w:rsid w:val="00366487"/>
    <w:rsid w:val="003664DF"/>
    <w:rsid w:val="003664ED"/>
    <w:rsid w:val="0036650C"/>
    <w:rsid w:val="00366586"/>
    <w:rsid w:val="003665DF"/>
    <w:rsid w:val="00366605"/>
    <w:rsid w:val="00366678"/>
    <w:rsid w:val="0036671E"/>
    <w:rsid w:val="00366725"/>
    <w:rsid w:val="00366762"/>
    <w:rsid w:val="00366989"/>
    <w:rsid w:val="003669EF"/>
    <w:rsid w:val="003669FB"/>
    <w:rsid w:val="00366AF0"/>
    <w:rsid w:val="00366BD9"/>
    <w:rsid w:val="00366C5D"/>
    <w:rsid w:val="00366C6B"/>
    <w:rsid w:val="00366D86"/>
    <w:rsid w:val="00366D93"/>
    <w:rsid w:val="00366EDD"/>
    <w:rsid w:val="00366F09"/>
    <w:rsid w:val="00366F65"/>
    <w:rsid w:val="00366FD3"/>
    <w:rsid w:val="00367068"/>
    <w:rsid w:val="00367166"/>
    <w:rsid w:val="003671A6"/>
    <w:rsid w:val="0036721F"/>
    <w:rsid w:val="0036726A"/>
    <w:rsid w:val="00367272"/>
    <w:rsid w:val="0036728A"/>
    <w:rsid w:val="003672D5"/>
    <w:rsid w:val="003672F3"/>
    <w:rsid w:val="003673BA"/>
    <w:rsid w:val="00367414"/>
    <w:rsid w:val="0036741F"/>
    <w:rsid w:val="00367498"/>
    <w:rsid w:val="003674F8"/>
    <w:rsid w:val="0036755F"/>
    <w:rsid w:val="003675CD"/>
    <w:rsid w:val="00367657"/>
    <w:rsid w:val="00367693"/>
    <w:rsid w:val="003676DC"/>
    <w:rsid w:val="0036770D"/>
    <w:rsid w:val="003677C5"/>
    <w:rsid w:val="003678AD"/>
    <w:rsid w:val="003678F0"/>
    <w:rsid w:val="003678FB"/>
    <w:rsid w:val="0036799B"/>
    <w:rsid w:val="00367A6B"/>
    <w:rsid w:val="00367A93"/>
    <w:rsid w:val="00367AD1"/>
    <w:rsid w:val="00367B99"/>
    <w:rsid w:val="00367BA1"/>
    <w:rsid w:val="00367BA8"/>
    <w:rsid w:val="00367BFE"/>
    <w:rsid w:val="00367C13"/>
    <w:rsid w:val="00367CB5"/>
    <w:rsid w:val="00367D69"/>
    <w:rsid w:val="00367D75"/>
    <w:rsid w:val="00367DC7"/>
    <w:rsid w:val="00367E0D"/>
    <w:rsid w:val="00367FE0"/>
    <w:rsid w:val="00367FF8"/>
    <w:rsid w:val="0037004F"/>
    <w:rsid w:val="0037008D"/>
    <w:rsid w:val="003700D9"/>
    <w:rsid w:val="003701A0"/>
    <w:rsid w:val="00370252"/>
    <w:rsid w:val="003703DB"/>
    <w:rsid w:val="00370421"/>
    <w:rsid w:val="0037042B"/>
    <w:rsid w:val="00370465"/>
    <w:rsid w:val="003705AD"/>
    <w:rsid w:val="0037068D"/>
    <w:rsid w:val="003707C5"/>
    <w:rsid w:val="00370804"/>
    <w:rsid w:val="003708E4"/>
    <w:rsid w:val="00370988"/>
    <w:rsid w:val="00370A07"/>
    <w:rsid w:val="00370AC5"/>
    <w:rsid w:val="00370B4C"/>
    <w:rsid w:val="00370CD6"/>
    <w:rsid w:val="00370DDB"/>
    <w:rsid w:val="00370F05"/>
    <w:rsid w:val="00370F3F"/>
    <w:rsid w:val="00370FA5"/>
    <w:rsid w:val="00371059"/>
    <w:rsid w:val="00371089"/>
    <w:rsid w:val="00371177"/>
    <w:rsid w:val="003711E9"/>
    <w:rsid w:val="0037126E"/>
    <w:rsid w:val="0037128F"/>
    <w:rsid w:val="00371294"/>
    <w:rsid w:val="003712A3"/>
    <w:rsid w:val="0037130F"/>
    <w:rsid w:val="00371325"/>
    <w:rsid w:val="00371328"/>
    <w:rsid w:val="00371333"/>
    <w:rsid w:val="00371369"/>
    <w:rsid w:val="003713B9"/>
    <w:rsid w:val="00371421"/>
    <w:rsid w:val="00371431"/>
    <w:rsid w:val="003715B9"/>
    <w:rsid w:val="00371657"/>
    <w:rsid w:val="0037182C"/>
    <w:rsid w:val="00371908"/>
    <w:rsid w:val="00371917"/>
    <w:rsid w:val="00371982"/>
    <w:rsid w:val="0037198F"/>
    <w:rsid w:val="00371AB8"/>
    <w:rsid w:val="00371B0C"/>
    <w:rsid w:val="00371B36"/>
    <w:rsid w:val="00371B5F"/>
    <w:rsid w:val="00371B99"/>
    <w:rsid w:val="00371BF2"/>
    <w:rsid w:val="00371C10"/>
    <w:rsid w:val="00371C31"/>
    <w:rsid w:val="00371C55"/>
    <w:rsid w:val="00371C63"/>
    <w:rsid w:val="00371C71"/>
    <w:rsid w:val="00371C7A"/>
    <w:rsid w:val="00371C87"/>
    <w:rsid w:val="00371D01"/>
    <w:rsid w:val="00371D0F"/>
    <w:rsid w:val="00371DFB"/>
    <w:rsid w:val="00371F08"/>
    <w:rsid w:val="00371FCB"/>
    <w:rsid w:val="00371FCE"/>
    <w:rsid w:val="00372080"/>
    <w:rsid w:val="003720E2"/>
    <w:rsid w:val="0037211D"/>
    <w:rsid w:val="003721AE"/>
    <w:rsid w:val="00372317"/>
    <w:rsid w:val="0037244D"/>
    <w:rsid w:val="0037250C"/>
    <w:rsid w:val="0037250D"/>
    <w:rsid w:val="0037252E"/>
    <w:rsid w:val="003726AD"/>
    <w:rsid w:val="003726CA"/>
    <w:rsid w:val="00372830"/>
    <w:rsid w:val="003728A3"/>
    <w:rsid w:val="0037298D"/>
    <w:rsid w:val="003729D0"/>
    <w:rsid w:val="00372A80"/>
    <w:rsid w:val="00372AA4"/>
    <w:rsid w:val="00372AED"/>
    <w:rsid w:val="00372B47"/>
    <w:rsid w:val="00372CFD"/>
    <w:rsid w:val="00372DEE"/>
    <w:rsid w:val="00372F73"/>
    <w:rsid w:val="00372F7B"/>
    <w:rsid w:val="00372FB1"/>
    <w:rsid w:val="00373078"/>
    <w:rsid w:val="00373093"/>
    <w:rsid w:val="003730D1"/>
    <w:rsid w:val="003731EA"/>
    <w:rsid w:val="0037324F"/>
    <w:rsid w:val="003733D0"/>
    <w:rsid w:val="003733DC"/>
    <w:rsid w:val="00373425"/>
    <w:rsid w:val="0037343A"/>
    <w:rsid w:val="00373515"/>
    <w:rsid w:val="00373596"/>
    <w:rsid w:val="003735D7"/>
    <w:rsid w:val="003735E7"/>
    <w:rsid w:val="003735FB"/>
    <w:rsid w:val="003737AA"/>
    <w:rsid w:val="00373815"/>
    <w:rsid w:val="00373879"/>
    <w:rsid w:val="003738A1"/>
    <w:rsid w:val="003738EE"/>
    <w:rsid w:val="003739C6"/>
    <w:rsid w:val="00373A24"/>
    <w:rsid w:val="00373A89"/>
    <w:rsid w:val="00373B3A"/>
    <w:rsid w:val="00373B9E"/>
    <w:rsid w:val="00373C6A"/>
    <w:rsid w:val="00373C73"/>
    <w:rsid w:val="00373CFB"/>
    <w:rsid w:val="00373D61"/>
    <w:rsid w:val="00373D76"/>
    <w:rsid w:val="00373DD4"/>
    <w:rsid w:val="00373E0E"/>
    <w:rsid w:val="00373E25"/>
    <w:rsid w:val="00373E52"/>
    <w:rsid w:val="00373EB0"/>
    <w:rsid w:val="0037404C"/>
    <w:rsid w:val="0037407C"/>
    <w:rsid w:val="003740E0"/>
    <w:rsid w:val="003740F0"/>
    <w:rsid w:val="0037412A"/>
    <w:rsid w:val="0037415F"/>
    <w:rsid w:val="003741D2"/>
    <w:rsid w:val="003741E3"/>
    <w:rsid w:val="0037428D"/>
    <w:rsid w:val="003742DF"/>
    <w:rsid w:val="003742E5"/>
    <w:rsid w:val="003742E6"/>
    <w:rsid w:val="003743CE"/>
    <w:rsid w:val="003743FD"/>
    <w:rsid w:val="0037440A"/>
    <w:rsid w:val="0037440F"/>
    <w:rsid w:val="00374448"/>
    <w:rsid w:val="00374614"/>
    <w:rsid w:val="003746A2"/>
    <w:rsid w:val="003747B1"/>
    <w:rsid w:val="003747D0"/>
    <w:rsid w:val="00374A9C"/>
    <w:rsid w:val="00374AA6"/>
    <w:rsid w:val="00374B06"/>
    <w:rsid w:val="00374C1C"/>
    <w:rsid w:val="00374C47"/>
    <w:rsid w:val="00374C4E"/>
    <w:rsid w:val="00374C9B"/>
    <w:rsid w:val="00374CBD"/>
    <w:rsid w:val="00374CD0"/>
    <w:rsid w:val="00374D3F"/>
    <w:rsid w:val="00374D8B"/>
    <w:rsid w:val="00374E04"/>
    <w:rsid w:val="00374E82"/>
    <w:rsid w:val="00374ECA"/>
    <w:rsid w:val="00374F5B"/>
    <w:rsid w:val="00374F70"/>
    <w:rsid w:val="00374FF6"/>
    <w:rsid w:val="00375006"/>
    <w:rsid w:val="0037503F"/>
    <w:rsid w:val="0037508D"/>
    <w:rsid w:val="003751ED"/>
    <w:rsid w:val="0037529E"/>
    <w:rsid w:val="003752B4"/>
    <w:rsid w:val="00375328"/>
    <w:rsid w:val="0037535E"/>
    <w:rsid w:val="0037546A"/>
    <w:rsid w:val="0037548E"/>
    <w:rsid w:val="003754DE"/>
    <w:rsid w:val="00375552"/>
    <w:rsid w:val="00375559"/>
    <w:rsid w:val="00375608"/>
    <w:rsid w:val="00375628"/>
    <w:rsid w:val="00375693"/>
    <w:rsid w:val="003756C8"/>
    <w:rsid w:val="003756DC"/>
    <w:rsid w:val="00375748"/>
    <w:rsid w:val="00375781"/>
    <w:rsid w:val="003757E2"/>
    <w:rsid w:val="00375825"/>
    <w:rsid w:val="0037592C"/>
    <w:rsid w:val="0037594F"/>
    <w:rsid w:val="00375995"/>
    <w:rsid w:val="003759C7"/>
    <w:rsid w:val="003759F9"/>
    <w:rsid w:val="00375ACC"/>
    <w:rsid w:val="00375AFC"/>
    <w:rsid w:val="00375B54"/>
    <w:rsid w:val="00375C11"/>
    <w:rsid w:val="00375C2A"/>
    <w:rsid w:val="00375C4A"/>
    <w:rsid w:val="00375C9E"/>
    <w:rsid w:val="00375D0A"/>
    <w:rsid w:val="00375D10"/>
    <w:rsid w:val="00375E77"/>
    <w:rsid w:val="00375EFA"/>
    <w:rsid w:val="00375F06"/>
    <w:rsid w:val="00375F1A"/>
    <w:rsid w:val="00376075"/>
    <w:rsid w:val="0037617C"/>
    <w:rsid w:val="003761A9"/>
    <w:rsid w:val="00376464"/>
    <w:rsid w:val="00376691"/>
    <w:rsid w:val="003766AA"/>
    <w:rsid w:val="00376703"/>
    <w:rsid w:val="00376732"/>
    <w:rsid w:val="00376785"/>
    <w:rsid w:val="0037685F"/>
    <w:rsid w:val="00376861"/>
    <w:rsid w:val="0037687E"/>
    <w:rsid w:val="003768EE"/>
    <w:rsid w:val="00376A64"/>
    <w:rsid w:val="00376D9A"/>
    <w:rsid w:val="00376D9C"/>
    <w:rsid w:val="00376DF4"/>
    <w:rsid w:val="00376E37"/>
    <w:rsid w:val="00376E4A"/>
    <w:rsid w:val="00376E58"/>
    <w:rsid w:val="00376F0F"/>
    <w:rsid w:val="00376F23"/>
    <w:rsid w:val="00376F3E"/>
    <w:rsid w:val="00376F57"/>
    <w:rsid w:val="00376F64"/>
    <w:rsid w:val="00376F8E"/>
    <w:rsid w:val="00377007"/>
    <w:rsid w:val="00377051"/>
    <w:rsid w:val="00377149"/>
    <w:rsid w:val="003771C3"/>
    <w:rsid w:val="00377256"/>
    <w:rsid w:val="00377273"/>
    <w:rsid w:val="00377295"/>
    <w:rsid w:val="0037729E"/>
    <w:rsid w:val="003772B8"/>
    <w:rsid w:val="003772DA"/>
    <w:rsid w:val="003773ED"/>
    <w:rsid w:val="003774A6"/>
    <w:rsid w:val="003776DB"/>
    <w:rsid w:val="0037777E"/>
    <w:rsid w:val="0037778B"/>
    <w:rsid w:val="00377893"/>
    <w:rsid w:val="00377956"/>
    <w:rsid w:val="003779C0"/>
    <w:rsid w:val="00377A51"/>
    <w:rsid w:val="00377A54"/>
    <w:rsid w:val="00377ACF"/>
    <w:rsid w:val="00377C0F"/>
    <w:rsid w:val="00377CD5"/>
    <w:rsid w:val="00377D50"/>
    <w:rsid w:val="00377D7A"/>
    <w:rsid w:val="00377DAA"/>
    <w:rsid w:val="00377FA3"/>
    <w:rsid w:val="00380010"/>
    <w:rsid w:val="0038003E"/>
    <w:rsid w:val="003800C4"/>
    <w:rsid w:val="00380148"/>
    <w:rsid w:val="00380167"/>
    <w:rsid w:val="003801BE"/>
    <w:rsid w:val="003801D8"/>
    <w:rsid w:val="00380243"/>
    <w:rsid w:val="0038024A"/>
    <w:rsid w:val="0038028A"/>
    <w:rsid w:val="00380291"/>
    <w:rsid w:val="0038029C"/>
    <w:rsid w:val="003802BF"/>
    <w:rsid w:val="00380304"/>
    <w:rsid w:val="003803C7"/>
    <w:rsid w:val="0038049E"/>
    <w:rsid w:val="00380575"/>
    <w:rsid w:val="003805AF"/>
    <w:rsid w:val="00380671"/>
    <w:rsid w:val="003806E2"/>
    <w:rsid w:val="003806E3"/>
    <w:rsid w:val="003806F0"/>
    <w:rsid w:val="0038080E"/>
    <w:rsid w:val="00380810"/>
    <w:rsid w:val="00380953"/>
    <w:rsid w:val="00380A6B"/>
    <w:rsid w:val="00380A6F"/>
    <w:rsid w:val="00380AC7"/>
    <w:rsid w:val="00380AE7"/>
    <w:rsid w:val="00380B3D"/>
    <w:rsid w:val="00380BC7"/>
    <w:rsid w:val="00380BE8"/>
    <w:rsid w:val="00380BF5"/>
    <w:rsid w:val="00380CF7"/>
    <w:rsid w:val="00380D1F"/>
    <w:rsid w:val="00380DA3"/>
    <w:rsid w:val="00380F99"/>
    <w:rsid w:val="00380FD8"/>
    <w:rsid w:val="00381046"/>
    <w:rsid w:val="0038112B"/>
    <w:rsid w:val="00381186"/>
    <w:rsid w:val="00381333"/>
    <w:rsid w:val="0038135E"/>
    <w:rsid w:val="003813A0"/>
    <w:rsid w:val="003813A9"/>
    <w:rsid w:val="003813E2"/>
    <w:rsid w:val="00381405"/>
    <w:rsid w:val="00381423"/>
    <w:rsid w:val="00381467"/>
    <w:rsid w:val="00381475"/>
    <w:rsid w:val="0038149D"/>
    <w:rsid w:val="00381503"/>
    <w:rsid w:val="003815D8"/>
    <w:rsid w:val="0038163F"/>
    <w:rsid w:val="003818E2"/>
    <w:rsid w:val="003818FF"/>
    <w:rsid w:val="003819F6"/>
    <w:rsid w:val="00381AC3"/>
    <w:rsid w:val="00381ADD"/>
    <w:rsid w:val="00381AE2"/>
    <w:rsid w:val="00381B67"/>
    <w:rsid w:val="00381B78"/>
    <w:rsid w:val="00381B91"/>
    <w:rsid w:val="00381C83"/>
    <w:rsid w:val="00381FD6"/>
    <w:rsid w:val="0038203B"/>
    <w:rsid w:val="003821C7"/>
    <w:rsid w:val="00382302"/>
    <w:rsid w:val="00382315"/>
    <w:rsid w:val="0038243B"/>
    <w:rsid w:val="00382499"/>
    <w:rsid w:val="003824C7"/>
    <w:rsid w:val="00382550"/>
    <w:rsid w:val="0038256F"/>
    <w:rsid w:val="0038261B"/>
    <w:rsid w:val="00382685"/>
    <w:rsid w:val="00382725"/>
    <w:rsid w:val="0038273F"/>
    <w:rsid w:val="0038291D"/>
    <w:rsid w:val="00382AF4"/>
    <w:rsid w:val="00382B28"/>
    <w:rsid w:val="00382C14"/>
    <w:rsid w:val="00382C56"/>
    <w:rsid w:val="00382DB8"/>
    <w:rsid w:val="00382DF8"/>
    <w:rsid w:val="00382E97"/>
    <w:rsid w:val="00382EA2"/>
    <w:rsid w:val="00382EA8"/>
    <w:rsid w:val="00382EF3"/>
    <w:rsid w:val="00382F24"/>
    <w:rsid w:val="00382F73"/>
    <w:rsid w:val="00382F7B"/>
    <w:rsid w:val="00382FB7"/>
    <w:rsid w:val="0038301A"/>
    <w:rsid w:val="003830A1"/>
    <w:rsid w:val="00383172"/>
    <w:rsid w:val="003831EE"/>
    <w:rsid w:val="003833C7"/>
    <w:rsid w:val="0038343E"/>
    <w:rsid w:val="003834A3"/>
    <w:rsid w:val="00383503"/>
    <w:rsid w:val="00383560"/>
    <w:rsid w:val="00383631"/>
    <w:rsid w:val="003836C9"/>
    <w:rsid w:val="003836D0"/>
    <w:rsid w:val="003836DD"/>
    <w:rsid w:val="00383729"/>
    <w:rsid w:val="003837CD"/>
    <w:rsid w:val="0038381D"/>
    <w:rsid w:val="0038388C"/>
    <w:rsid w:val="00383988"/>
    <w:rsid w:val="0038398C"/>
    <w:rsid w:val="0038398F"/>
    <w:rsid w:val="0038399B"/>
    <w:rsid w:val="00383B45"/>
    <w:rsid w:val="00383BCC"/>
    <w:rsid w:val="00383BDA"/>
    <w:rsid w:val="00383CB9"/>
    <w:rsid w:val="00383DD8"/>
    <w:rsid w:val="00383DF0"/>
    <w:rsid w:val="00383DFC"/>
    <w:rsid w:val="00383E9B"/>
    <w:rsid w:val="00383FA5"/>
    <w:rsid w:val="00383FD3"/>
    <w:rsid w:val="00384106"/>
    <w:rsid w:val="00384168"/>
    <w:rsid w:val="003841AA"/>
    <w:rsid w:val="003841F1"/>
    <w:rsid w:val="003842CB"/>
    <w:rsid w:val="00384341"/>
    <w:rsid w:val="00384346"/>
    <w:rsid w:val="0038440E"/>
    <w:rsid w:val="0038446D"/>
    <w:rsid w:val="00384499"/>
    <w:rsid w:val="003844BA"/>
    <w:rsid w:val="003845F1"/>
    <w:rsid w:val="00384693"/>
    <w:rsid w:val="003846B8"/>
    <w:rsid w:val="003846DB"/>
    <w:rsid w:val="003846EC"/>
    <w:rsid w:val="00384721"/>
    <w:rsid w:val="00384787"/>
    <w:rsid w:val="003847DA"/>
    <w:rsid w:val="0038481B"/>
    <w:rsid w:val="0038490A"/>
    <w:rsid w:val="00384984"/>
    <w:rsid w:val="003849B8"/>
    <w:rsid w:val="003849CA"/>
    <w:rsid w:val="003849F9"/>
    <w:rsid w:val="00384A46"/>
    <w:rsid w:val="00384CCC"/>
    <w:rsid w:val="00384DF9"/>
    <w:rsid w:val="00384E00"/>
    <w:rsid w:val="00384EB1"/>
    <w:rsid w:val="00384F43"/>
    <w:rsid w:val="00384FF3"/>
    <w:rsid w:val="00385012"/>
    <w:rsid w:val="00385037"/>
    <w:rsid w:val="00385083"/>
    <w:rsid w:val="003850AD"/>
    <w:rsid w:val="003850C0"/>
    <w:rsid w:val="0038516A"/>
    <w:rsid w:val="003851A9"/>
    <w:rsid w:val="003852FF"/>
    <w:rsid w:val="0038533F"/>
    <w:rsid w:val="00385366"/>
    <w:rsid w:val="00385409"/>
    <w:rsid w:val="00385414"/>
    <w:rsid w:val="00385430"/>
    <w:rsid w:val="003854F7"/>
    <w:rsid w:val="00385550"/>
    <w:rsid w:val="00385565"/>
    <w:rsid w:val="003855C4"/>
    <w:rsid w:val="003855CC"/>
    <w:rsid w:val="003856AD"/>
    <w:rsid w:val="003857C9"/>
    <w:rsid w:val="0038581F"/>
    <w:rsid w:val="00385864"/>
    <w:rsid w:val="003858A6"/>
    <w:rsid w:val="00385991"/>
    <w:rsid w:val="00385A71"/>
    <w:rsid w:val="00385AB0"/>
    <w:rsid w:val="00385B0A"/>
    <w:rsid w:val="00385B49"/>
    <w:rsid w:val="00385BBA"/>
    <w:rsid w:val="00385C4D"/>
    <w:rsid w:val="00385C78"/>
    <w:rsid w:val="00385D5E"/>
    <w:rsid w:val="00385D61"/>
    <w:rsid w:val="00385D95"/>
    <w:rsid w:val="00385D98"/>
    <w:rsid w:val="00385E1B"/>
    <w:rsid w:val="00385E27"/>
    <w:rsid w:val="00385E2D"/>
    <w:rsid w:val="00385E43"/>
    <w:rsid w:val="00385E4D"/>
    <w:rsid w:val="00385E52"/>
    <w:rsid w:val="00385F7F"/>
    <w:rsid w:val="00386027"/>
    <w:rsid w:val="00386070"/>
    <w:rsid w:val="00386075"/>
    <w:rsid w:val="00386106"/>
    <w:rsid w:val="00386160"/>
    <w:rsid w:val="0038616A"/>
    <w:rsid w:val="003861DF"/>
    <w:rsid w:val="0038633F"/>
    <w:rsid w:val="003864AF"/>
    <w:rsid w:val="003864DB"/>
    <w:rsid w:val="0038656D"/>
    <w:rsid w:val="00386591"/>
    <w:rsid w:val="003865B4"/>
    <w:rsid w:val="00386612"/>
    <w:rsid w:val="00386616"/>
    <w:rsid w:val="00386626"/>
    <w:rsid w:val="003866CF"/>
    <w:rsid w:val="003866D3"/>
    <w:rsid w:val="0038679F"/>
    <w:rsid w:val="003868DE"/>
    <w:rsid w:val="00386917"/>
    <w:rsid w:val="00386920"/>
    <w:rsid w:val="00386949"/>
    <w:rsid w:val="0038696E"/>
    <w:rsid w:val="003869C3"/>
    <w:rsid w:val="00386A4A"/>
    <w:rsid w:val="00386AF2"/>
    <w:rsid w:val="00386B8F"/>
    <w:rsid w:val="00386BB3"/>
    <w:rsid w:val="00386BC0"/>
    <w:rsid w:val="00386BE6"/>
    <w:rsid w:val="00386C37"/>
    <w:rsid w:val="00386C3B"/>
    <w:rsid w:val="00386CAF"/>
    <w:rsid w:val="00386CE6"/>
    <w:rsid w:val="00386D57"/>
    <w:rsid w:val="00386DB1"/>
    <w:rsid w:val="00386E37"/>
    <w:rsid w:val="00386E48"/>
    <w:rsid w:val="00386E6C"/>
    <w:rsid w:val="0038702E"/>
    <w:rsid w:val="003870B2"/>
    <w:rsid w:val="003870CA"/>
    <w:rsid w:val="0038715E"/>
    <w:rsid w:val="00387168"/>
    <w:rsid w:val="00387196"/>
    <w:rsid w:val="003871A8"/>
    <w:rsid w:val="003871B9"/>
    <w:rsid w:val="003871DE"/>
    <w:rsid w:val="00387254"/>
    <w:rsid w:val="00387290"/>
    <w:rsid w:val="00387321"/>
    <w:rsid w:val="00387347"/>
    <w:rsid w:val="00387444"/>
    <w:rsid w:val="00387455"/>
    <w:rsid w:val="00387487"/>
    <w:rsid w:val="00387578"/>
    <w:rsid w:val="0038757E"/>
    <w:rsid w:val="003875CC"/>
    <w:rsid w:val="00387632"/>
    <w:rsid w:val="00387659"/>
    <w:rsid w:val="003876CD"/>
    <w:rsid w:val="00387833"/>
    <w:rsid w:val="003878DA"/>
    <w:rsid w:val="003878FF"/>
    <w:rsid w:val="00387946"/>
    <w:rsid w:val="003879AB"/>
    <w:rsid w:val="003879C0"/>
    <w:rsid w:val="00387B0A"/>
    <w:rsid w:val="00387C28"/>
    <w:rsid w:val="00387C79"/>
    <w:rsid w:val="00387CE9"/>
    <w:rsid w:val="00387E2A"/>
    <w:rsid w:val="00387E7F"/>
    <w:rsid w:val="00387F1D"/>
    <w:rsid w:val="003900C5"/>
    <w:rsid w:val="00390200"/>
    <w:rsid w:val="0039023D"/>
    <w:rsid w:val="0039028A"/>
    <w:rsid w:val="00390425"/>
    <w:rsid w:val="003904BB"/>
    <w:rsid w:val="003904C8"/>
    <w:rsid w:val="00390550"/>
    <w:rsid w:val="00390552"/>
    <w:rsid w:val="00390623"/>
    <w:rsid w:val="00390751"/>
    <w:rsid w:val="0039079D"/>
    <w:rsid w:val="003908B5"/>
    <w:rsid w:val="003908CD"/>
    <w:rsid w:val="00390919"/>
    <w:rsid w:val="00390A4C"/>
    <w:rsid w:val="00390B03"/>
    <w:rsid w:val="00390B79"/>
    <w:rsid w:val="00390BB4"/>
    <w:rsid w:val="00390BDD"/>
    <w:rsid w:val="00390BF9"/>
    <w:rsid w:val="00390E13"/>
    <w:rsid w:val="00390EA7"/>
    <w:rsid w:val="003910AC"/>
    <w:rsid w:val="003910D4"/>
    <w:rsid w:val="003911BE"/>
    <w:rsid w:val="00391287"/>
    <w:rsid w:val="003912A8"/>
    <w:rsid w:val="0039147C"/>
    <w:rsid w:val="003914A7"/>
    <w:rsid w:val="003914BD"/>
    <w:rsid w:val="003914C5"/>
    <w:rsid w:val="003915B6"/>
    <w:rsid w:val="00391664"/>
    <w:rsid w:val="00391668"/>
    <w:rsid w:val="003916F4"/>
    <w:rsid w:val="00391787"/>
    <w:rsid w:val="0039178E"/>
    <w:rsid w:val="003917F3"/>
    <w:rsid w:val="003918B7"/>
    <w:rsid w:val="003918C6"/>
    <w:rsid w:val="003919A5"/>
    <w:rsid w:val="003919FA"/>
    <w:rsid w:val="00391B40"/>
    <w:rsid w:val="00391BAC"/>
    <w:rsid w:val="00391C49"/>
    <w:rsid w:val="00391CB9"/>
    <w:rsid w:val="00391CFA"/>
    <w:rsid w:val="00391D55"/>
    <w:rsid w:val="00391DDC"/>
    <w:rsid w:val="00391F0B"/>
    <w:rsid w:val="00391FBB"/>
    <w:rsid w:val="00392034"/>
    <w:rsid w:val="00392036"/>
    <w:rsid w:val="003920E5"/>
    <w:rsid w:val="00392102"/>
    <w:rsid w:val="00392184"/>
    <w:rsid w:val="00392211"/>
    <w:rsid w:val="00392238"/>
    <w:rsid w:val="003922C9"/>
    <w:rsid w:val="003922CC"/>
    <w:rsid w:val="00392458"/>
    <w:rsid w:val="00392513"/>
    <w:rsid w:val="0039254E"/>
    <w:rsid w:val="0039259A"/>
    <w:rsid w:val="003927E8"/>
    <w:rsid w:val="003927EC"/>
    <w:rsid w:val="003928F6"/>
    <w:rsid w:val="00392970"/>
    <w:rsid w:val="003929C1"/>
    <w:rsid w:val="003929E1"/>
    <w:rsid w:val="00392A2D"/>
    <w:rsid w:val="00392B0D"/>
    <w:rsid w:val="00392B1C"/>
    <w:rsid w:val="00392B34"/>
    <w:rsid w:val="00392BC4"/>
    <w:rsid w:val="00392BCA"/>
    <w:rsid w:val="00392C45"/>
    <w:rsid w:val="00392D66"/>
    <w:rsid w:val="00392E22"/>
    <w:rsid w:val="00392E2E"/>
    <w:rsid w:val="00392E4D"/>
    <w:rsid w:val="00392EC0"/>
    <w:rsid w:val="00392F0A"/>
    <w:rsid w:val="00392F68"/>
    <w:rsid w:val="00392F8F"/>
    <w:rsid w:val="00393018"/>
    <w:rsid w:val="0039309E"/>
    <w:rsid w:val="00393140"/>
    <w:rsid w:val="0039314E"/>
    <w:rsid w:val="0039316A"/>
    <w:rsid w:val="003931BC"/>
    <w:rsid w:val="003931CE"/>
    <w:rsid w:val="003931E8"/>
    <w:rsid w:val="0039327D"/>
    <w:rsid w:val="003932A0"/>
    <w:rsid w:val="0039342F"/>
    <w:rsid w:val="0039361E"/>
    <w:rsid w:val="00393696"/>
    <w:rsid w:val="0039376C"/>
    <w:rsid w:val="003937BD"/>
    <w:rsid w:val="00393882"/>
    <w:rsid w:val="003938F3"/>
    <w:rsid w:val="003938FF"/>
    <w:rsid w:val="00393933"/>
    <w:rsid w:val="0039393E"/>
    <w:rsid w:val="00393948"/>
    <w:rsid w:val="003939DF"/>
    <w:rsid w:val="00393B0F"/>
    <w:rsid w:val="00393B1F"/>
    <w:rsid w:val="00393C2F"/>
    <w:rsid w:val="00393CFB"/>
    <w:rsid w:val="00393EFF"/>
    <w:rsid w:val="00393F62"/>
    <w:rsid w:val="00393FAA"/>
    <w:rsid w:val="00393FCB"/>
    <w:rsid w:val="00393FE1"/>
    <w:rsid w:val="003940E3"/>
    <w:rsid w:val="00394150"/>
    <w:rsid w:val="0039424E"/>
    <w:rsid w:val="003942FF"/>
    <w:rsid w:val="00394327"/>
    <w:rsid w:val="0039433E"/>
    <w:rsid w:val="0039437B"/>
    <w:rsid w:val="003943B8"/>
    <w:rsid w:val="0039442E"/>
    <w:rsid w:val="003944F7"/>
    <w:rsid w:val="00394585"/>
    <w:rsid w:val="0039459C"/>
    <w:rsid w:val="003945CC"/>
    <w:rsid w:val="003945E3"/>
    <w:rsid w:val="00394716"/>
    <w:rsid w:val="0039479A"/>
    <w:rsid w:val="003947AE"/>
    <w:rsid w:val="00394817"/>
    <w:rsid w:val="00394886"/>
    <w:rsid w:val="003948F8"/>
    <w:rsid w:val="00394959"/>
    <w:rsid w:val="003949BC"/>
    <w:rsid w:val="003949E5"/>
    <w:rsid w:val="003949EC"/>
    <w:rsid w:val="00394A8D"/>
    <w:rsid w:val="00394A95"/>
    <w:rsid w:val="00394ABC"/>
    <w:rsid w:val="00394ACD"/>
    <w:rsid w:val="00394AE8"/>
    <w:rsid w:val="00394B5A"/>
    <w:rsid w:val="00394CDB"/>
    <w:rsid w:val="00394D95"/>
    <w:rsid w:val="00394DE5"/>
    <w:rsid w:val="00394E92"/>
    <w:rsid w:val="00394F0A"/>
    <w:rsid w:val="00395004"/>
    <w:rsid w:val="0039502E"/>
    <w:rsid w:val="003950EE"/>
    <w:rsid w:val="003951C6"/>
    <w:rsid w:val="0039521F"/>
    <w:rsid w:val="003952DE"/>
    <w:rsid w:val="00395414"/>
    <w:rsid w:val="0039548C"/>
    <w:rsid w:val="003954D9"/>
    <w:rsid w:val="003954FB"/>
    <w:rsid w:val="00395535"/>
    <w:rsid w:val="00395589"/>
    <w:rsid w:val="00395606"/>
    <w:rsid w:val="00395626"/>
    <w:rsid w:val="00395679"/>
    <w:rsid w:val="003956A3"/>
    <w:rsid w:val="00395714"/>
    <w:rsid w:val="00395746"/>
    <w:rsid w:val="003957FE"/>
    <w:rsid w:val="0039599B"/>
    <w:rsid w:val="003959BC"/>
    <w:rsid w:val="00395A10"/>
    <w:rsid w:val="00395A5A"/>
    <w:rsid w:val="00395AB4"/>
    <w:rsid w:val="00395B51"/>
    <w:rsid w:val="00395BD6"/>
    <w:rsid w:val="00395C34"/>
    <w:rsid w:val="00395C78"/>
    <w:rsid w:val="00395C8A"/>
    <w:rsid w:val="00395C8B"/>
    <w:rsid w:val="00395C94"/>
    <w:rsid w:val="00395CAD"/>
    <w:rsid w:val="00395CFB"/>
    <w:rsid w:val="00395D84"/>
    <w:rsid w:val="00395D8A"/>
    <w:rsid w:val="00395E13"/>
    <w:rsid w:val="00395E7F"/>
    <w:rsid w:val="00395E87"/>
    <w:rsid w:val="00395F4F"/>
    <w:rsid w:val="00395F61"/>
    <w:rsid w:val="00395FF1"/>
    <w:rsid w:val="003960C9"/>
    <w:rsid w:val="0039610F"/>
    <w:rsid w:val="0039615C"/>
    <w:rsid w:val="0039616D"/>
    <w:rsid w:val="0039638F"/>
    <w:rsid w:val="00396414"/>
    <w:rsid w:val="0039648E"/>
    <w:rsid w:val="003965A5"/>
    <w:rsid w:val="00396656"/>
    <w:rsid w:val="0039668B"/>
    <w:rsid w:val="003966CC"/>
    <w:rsid w:val="003966E9"/>
    <w:rsid w:val="00396764"/>
    <w:rsid w:val="00396789"/>
    <w:rsid w:val="003967B0"/>
    <w:rsid w:val="0039689F"/>
    <w:rsid w:val="0039698E"/>
    <w:rsid w:val="003969BE"/>
    <w:rsid w:val="003969E1"/>
    <w:rsid w:val="00396A17"/>
    <w:rsid w:val="00396B05"/>
    <w:rsid w:val="00396B5D"/>
    <w:rsid w:val="00396BB0"/>
    <w:rsid w:val="00396BDE"/>
    <w:rsid w:val="00396C07"/>
    <w:rsid w:val="00396C15"/>
    <w:rsid w:val="00396C79"/>
    <w:rsid w:val="00396CAD"/>
    <w:rsid w:val="00396D12"/>
    <w:rsid w:val="00396DE3"/>
    <w:rsid w:val="00396F16"/>
    <w:rsid w:val="00396FC2"/>
    <w:rsid w:val="003970E7"/>
    <w:rsid w:val="0039723E"/>
    <w:rsid w:val="0039739D"/>
    <w:rsid w:val="00397433"/>
    <w:rsid w:val="0039748C"/>
    <w:rsid w:val="0039752C"/>
    <w:rsid w:val="0039753A"/>
    <w:rsid w:val="0039767E"/>
    <w:rsid w:val="0039781D"/>
    <w:rsid w:val="003979B8"/>
    <w:rsid w:val="00397A28"/>
    <w:rsid w:val="00397B59"/>
    <w:rsid w:val="00397BB6"/>
    <w:rsid w:val="00397BC1"/>
    <w:rsid w:val="00397CE9"/>
    <w:rsid w:val="00397D1C"/>
    <w:rsid w:val="00397D3D"/>
    <w:rsid w:val="00397D88"/>
    <w:rsid w:val="00397DBF"/>
    <w:rsid w:val="00397E19"/>
    <w:rsid w:val="00397E21"/>
    <w:rsid w:val="00397E36"/>
    <w:rsid w:val="00397F34"/>
    <w:rsid w:val="003A00C2"/>
    <w:rsid w:val="003A0289"/>
    <w:rsid w:val="003A0417"/>
    <w:rsid w:val="003A044F"/>
    <w:rsid w:val="003A04AE"/>
    <w:rsid w:val="003A051E"/>
    <w:rsid w:val="003A0583"/>
    <w:rsid w:val="003A05D8"/>
    <w:rsid w:val="003A0665"/>
    <w:rsid w:val="003A06FE"/>
    <w:rsid w:val="003A07D2"/>
    <w:rsid w:val="003A07F6"/>
    <w:rsid w:val="003A081A"/>
    <w:rsid w:val="003A092B"/>
    <w:rsid w:val="003A0950"/>
    <w:rsid w:val="003A0A22"/>
    <w:rsid w:val="003A0B04"/>
    <w:rsid w:val="003A0C1A"/>
    <w:rsid w:val="003A0CCA"/>
    <w:rsid w:val="003A0CE5"/>
    <w:rsid w:val="003A0CF7"/>
    <w:rsid w:val="003A0D21"/>
    <w:rsid w:val="003A0D69"/>
    <w:rsid w:val="003A0D90"/>
    <w:rsid w:val="003A0DA5"/>
    <w:rsid w:val="003A0EDB"/>
    <w:rsid w:val="003A0F3A"/>
    <w:rsid w:val="003A0FE4"/>
    <w:rsid w:val="003A1023"/>
    <w:rsid w:val="003A1073"/>
    <w:rsid w:val="003A113A"/>
    <w:rsid w:val="003A11CF"/>
    <w:rsid w:val="003A1297"/>
    <w:rsid w:val="003A1355"/>
    <w:rsid w:val="003A13E2"/>
    <w:rsid w:val="003A13F1"/>
    <w:rsid w:val="003A14E0"/>
    <w:rsid w:val="003A1528"/>
    <w:rsid w:val="003A152E"/>
    <w:rsid w:val="003A15EA"/>
    <w:rsid w:val="003A1667"/>
    <w:rsid w:val="003A16CC"/>
    <w:rsid w:val="003A1731"/>
    <w:rsid w:val="003A181F"/>
    <w:rsid w:val="003A186B"/>
    <w:rsid w:val="003A1997"/>
    <w:rsid w:val="003A19BE"/>
    <w:rsid w:val="003A1A46"/>
    <w:rsid w:val="003A1A48"/>
    <w:rsid w:val="003A1A92"/>
    <w:rsid w:val="003A1AAA"/>
    <w:rsid w:val="003A1AC5"/>
    <w:rsid w:val="003A1ACE"/>
    <w:rsid w:val="003A1B04"/>
    <w:rsid w:val="003A1BD2"/>
    <w:rsid w:val="003A1BE4"/>
    <w:rsid w:val="003A1C8B"/>
    <w:rsid w:val="003A1CAF"/>
    <w:rsid w:val="003A1D32"/>
    <w:rsid w:val="003A1D86"/>
    <w:rsid w:val="003A1DD4"/>
    <w:rsid w:val="003A1E1B"/>
    <w:rsid w:val="003A1E5E"/>
    <w:rsid w:val="003A1EED"/>
    <w:rsid w:val="003A2026"/>
    <w:rsid w:val="003A202B"/>
    <w:rsid w:val="003A2182"/>
    <w:rsid w:val="003A21AE"/>
    <w:rsid w:val="003A2364"/>
    <w:rsid w:val="003A237B"/>
    <w:rsid w:val="003A23CE"/>
    <w:rsid w:val="003A2410"/>
    <w:rsid w:val="003A243A"/>
    <w:rsid w:val="003A2452"/>
    <w:rsid w:val="003A254E"/>
    <w:rsid w:val="003A2597"/>
    <w:rsid w:val="003A2642"/>
    <w:rsid w:val="003A288D"/>
    <w:rsid w:val="003A2927"/>
    <w:rsid w:val="003A293B"/>
    <w:rsid w:val="003A2986"/>
    <w:rsid w:val="003A2A7A"/>
    <w:rsid w:val="003A2B4D"/>
    <w:rsid w:val="003A2B73"/>
    <w:rsid w:val="003A2C49"/>
    <w:rsid w:val="003A2C55"/>
    <w:rsid w:val="003A2C79"/>
    <w:rsid w:val="003A2DD9"/>
    <w:rsid w:val="003A2DDD"/>
    <w:rsid w:val="003A2E63"/>
    <w:rsid w:val="003A2EAE"/>
    <w:rsid w:val="003A2F5C"/>
    <w:rsid w:val="003A3048"/>
    <w:rsid w:val="003A3055"/>
    <w:rsid w:val="003A3094"/>
    <w:rsid w:val="003A30B3"/>
    <w:rsid w:val="003A313C"/>
    <w:rsid w:val="003A3145"/>
    <w:rsid w:val="003A3240"/>
    <w:rsid w:val="003A3249"/>
    <w:rsid w:val="003A325F"/>
    <w:rsid w:val="003A32D4"/>
    <w:rsid w:val="003A33E2"/>
    <w:rsid w:val="003A3488"/>
    <w:rsid w:val="003A34F0"/>
    <w:rsid w:val="003A3508"/>
    <w:rsid w:val="003A35E6"/>
    <w:rsid w:val="003A3661"/>
    <w:rsid w:val="003A36D1"/>
    <w:rsid w:val="003A37D3"/>
    <w:rsid w:val="003A38FC"/>
    <w:rsid w:val="003A39BE"/>
    <w:rsid w:val="003A39DA"/>
    <w:rsid w:val="003A39F2"/>
    <w:rsid w:val="003A3A91"/>
    <w:rsid w:val="003A3AA1"/>
    <w:rsid w:val="003A3B11"/>
    <w:rsid w:val="003A3B1A"/>
    <w:rsid w:val="003A3B2E"/>
    <w:rsid w:val="003A3B52"/>
    <w:rsid w:val="003A3C05"/>
    <w:rsid w:val="003A3EF1"/>
    <w:rsid w:val="003A4033"/>
    <w:rsid w:val="003A403C"/>
    <w:rsid w:val="003A4197"/>
    <w:rsid w:val="003A4203"/>
    <w:rsid w:val="003A4297"/>
    <w:rsid w:val="003A42BA"/>
    <w:rsid w:val="003A430B"/>
    <w:rsid w:val="003A4373"/>
    <w:rsid w:val="003A43E1"/>
    <w:rsid w:val="003A44F6"/>
    <w:rsid w:val="003A4557"/>
    <w:rsid w:val="003A458D"/>
    <w:rsid w:val="003A45D6"/>
    <w:rsid w:val="003A462C"/>
    <w:rsid w:val="003A468D"/>
    <w:rsid w:val="003A469B"/>
    <w:rsid w:val="003A4800"/>
    <w:rsid w:val="003A48F5"/>
    <w:rsid w:val="003A4944"/>
    <w:rsid w:val="003A4A2E"/>
    <w:rsid w:val="003A4A4C"/>
    <w:rsid w:val="003A4AC3"/>
    <w:rsid w:val="003A4B05"/>
    <w:rsid w:val="003A4B11"/>
    <w:rsid w:val="003A4C34"/>
    <w:rsid w:val="003A4C38"/>
    <w:rsid w:val="003A4C77"/>
    <w:rsid w:val="003A4D6F"/>
    <w:rsid w:val="003A4E32"/>
    <w:rsid w:val="003A4EB7"/>
    <w:rsid w:val="003A4F32"/>
    <w:rsid w:val="003A4FBD"/>
    <w:rsid w:val="003A4FCC"/>
    <w:rsid w:val="003A500F"/>
    <w:rsid w:val="003A5033"/>
    <w:rsid w:val="003A50D7"/>
    <w:rsid w:val="003A5108"/>
    <w:rsid w:val="003A517E"/>
    <w:rsid w:val="003A51F0"/>
    <w:rsid w:val="003A535D"/>
    <w:rsid w:val="003A55AC"/>
    <w:rsid w:val="003A55EA"/>
    <w:rsid w:val="003A5673"/>
    <w:rsid w:val="003A56ED"/>
    <w:rsid w:val="003A577F"/>
    <w:rsid w:val="003A57A9"/>
    <w:rsid w:val="003A5816"/>
    <w:rsid w:val="003A5866"/>
    <w:rsid w:val="003A589F"/>
    <w:rsid w:val="003A58A4"/>
    <w:rsid w:val="003A58A7"/>
    <w:rsid w:val="003A58F9"/>
    <w:rsid w:val="003A5A84"/>
    <w:rsid w:val="003A5A8A"/>
    <w:rsid w:val="003A5B35"/>
    <w:rsid w:val="003A5B60"/>
    <w:rsid w:val="003A5B91"/>
    <w:rsid w:val="003A5C01"/>
    <w:rsid w:val="003A5C2D"/>
    <w:rsid w:val="003A5C85"/>
    <w:rsid w:val="003A5CF8"/>
    <w:rsid w:val="003A5D86"/>
    <w:rsid w:val="003A5E28"/>
    <w:rsid w:val="003A5E6B"/>
    <w:rsid w:val="003A5FB4"/>
    <w:rsid w:val="003A603F"/>
    <w:rsid w:val="003A605A"/>
    <w:rsid w:val="003A6125"/>
    <w:rsid w:val="003A61EB"/>
    <w:rsid w:val="003A625D"/>
    <w:rsid w:val="003A629A"/>
    <w:rsid w:val="003A631F"/>
    <w:rsid w:val="003A6323"/>
    <w:rsid w:val="003A6327"/>
    <w:rsid w:val="003A6464"/>
    <w:rsid w:val="003A6488"/>
    <w:rsid w:val="003A6567"/>
    <w:rsid w:val="003A6572"/>
    <w:rsid w:val="003A668B"/>
    <w:rsid w:val="003A66C7"/>
    <w:rsid w:val="003A66F6"/>
    <w:rsid w:val="003A6793"/>
    <w:rsid w:val="003A67DD"/>
    <w:rsid w:val="003A68D0"/>
    <w:rsid w:val="003A68DC"/>
    <w:rsid w:val="003A6972"/>
    <w:rsid w:val="003A69A6"/>
    <w:rsid w:val="003A6A1F"/>
    <w:rsid w:val="003A6A38"/>
    <w:rsid w:val="003A6A52"/>
    <w:rsid w:val="003A6A78"/>
    <w:rsid w:val="003A6AC4"/>
    <w:rsid w:val="003A6C00"/>
    <w:rsid w:val="003A6C03"/>
    <w:rsid w:val="003A6C34"/>
    <w:rsid w:val="003A6D95"/>
    <w:rsid w:val="003A6E30"/>
    <w:rsid w:val="003A6EB9"/>
    <w:rsid w:val="003A6F6E"/>
    <w:rsid w:val="003A6F70"/>
    <w:rsid w:val="003A6FD2"/>
    <w:rsid w:val="003A72CC"/>
    <w:rsid w:val="003A7328"/>
    <w:rsid w:val="003A7331"/>
    <w:rsid w:val="003A7369"/>
    <w:rsid w:val="003A73BE"/>
    <w:rsid w:val="003A73F2"/>
    <w:rsid w:val="003A743C"/>
    <w:rsid w:val="003A7523"/>
    <w:rsid w:val="003A7560"/>
    <w:rsid w:val="003A7582"/>
    <w:rsid w:val="003A76D9"/>
    <w:rsid w:val="003A76EE"/>
    <w:rsid w:val="003A77AE"/>
    <w:rsid w:val="003A77EF"/>
    <w:rsid w:val="003A781C"/>
    <w:rsid w:val="003A7854"/>
    <w:rsid w:val="003A789D"/>
    <w:rsid w:val="003A7982"/>
    <w:rsid w:val="003A7B7F"/>
    <w:rsid w:val="003A7B84"/>
    <w:rsid w:val="003A7BC7"/>
    <w:rsid w:val="003A7D2F"/>
    <w:rsid w:val="003A7D45"/>
    <w:rsid w:val="003A7D49"/>
    <w:rsid w:val="003A7DB6"/>
    <w:rsid w:val="003A7DC9"/>
    <w:rsid w:val="003A7ED4"/>
    <w:rsid w:val="003A7FD7"/>
    <w:rsid w:val="003B0079"/>
    <w:rsid w:val="003B00A8"/>
    <w:rsid w:val="003B00AE"/>
    <w:rsid w:val="003B0328"/>
    <w:rsid w:val="003B0360"/>
    <w:rsid w:val="003B044F"/>
    <w:rsid w:val="003B04C8"/>
    <w:rsid w:val="003B0506"/>
    <w:rsid w:val="003B0519"/>
    <w:rsid w:val="003B0539"/>
    <w:rsid w:val="003B067C"/>
    <w:rsid w:val="003B0693"/>
    <w:rsid w:val="003B07A6"/>
    <w:rsid w:val="003B07D1"/>
    <w:rsid w:val="003B0830"/>
    <w:rsid w:val="003B0862"/>
    <w:rsid w:val="003B0873"/>
    <w:rsid w:val="003B08BC"/>
    <w:rsid w:val="003B08FF"/>
    <w:rsid w:val="003B091E"/>
    <w:rsid w:val="003B09CA"/>
    <w:rsid w:val="003B0A04"/>
    <w:rsid w:val="003B0A65"/>
    <w:rsid w:val="003B0A8A"/>
    <w:rsid w:val="003B0AB2"/>
    <w:rsid w:val="003B0ADB"/>
    <w:rsid w:val="003B0AFC"/>
    <w:rsid w:val="003B0B6F"/>
    <w:rsid w:val="003B0C06"/>
    <w:rsid w:val="003B0C78"/>
    <w:rsid w:val="003B0CCF"/>
    <w:rsid w:val="003B0D04"/>
    <w:rsid w:val="003B0D24"/>
    <w:rsid w:val="003B0D78"/>
    <w:rsid w:val="003B0DFF"/>
    <w:rsid w:val="003B0E1D"/>
    <w:rsid w:val="003B0E3A"/>
    <w:rsid w:val="003B0EEC"/>
    <w:rsid w:val="003B0F54"/>
    <w:rsid w:val="003B0F9E"/>
    <w:rsid w:val="003B0FD4"/>
    <w:rsid w:val="003B1128"/>
    <w:rsid w:val="003B112E"/>
    <w:rsid w:val="003B116C"/>
    <w:rsid w:val="003B11AA"/>
    <w:rsid w:val="003B11EA"/>
    <w:rsid w:val="003B1231"/>
    <w:rsid w:val="003B12FB"/>
    <w:rsid w:val="003B1367"/>
    <w:rsid w:val="003B1383"/>
    <w:rsid w:val="003B13A9"/>
    <w:rsid w:val="003B144D"/>
    <w:rsid w:val="003B1485"/>
    <w:rsid w:val="003B14C4"/>
    <w:rsid w:val="003B1549"/>
    <w:rsid w:val="003B155D"/>
    <w:rsid w:val="003B15D4"/>
    <w:rsid w:val="003B1626"/>
    <w:rsid w:val="003B16B9"/>
    <w:rsid w:val="003B17DD"/>
    <w:rsid w:val="003B1800"/>
    <w:rsid w:val="003B18F2"/>
    <w:rsid w:val="003B18FD"/>
    <w:rsid w:val="003B1943"/>
    <w:rsid w:val="003B1954"/>
    <w:rsid w:val="003B1A21"/>
    <w:rsid w:val="003B1AE2"/>
    <w:rsid w:val="003B1B57"/>
    <w:rsid w:val="003B1B74"/>
    <w:rsid w:val="003B1C24"/>
    <w:rsid w:val="003B1C5B"/>
    <w:rsid w:val="003B1CE7"/>
    <w:rsid w:val="003B1D2A"/>
    <w:rsid w:val="003B1D4E"/>
    <w:rsid w:val="003B1D77"/>
    <w:rsid w:val="003B1D9B"/>
    <w:rsid w:val="003B1E59"/>
    <w:rsid w:val="003B1E87"/>
    <w:rsid w:val="003B1F03"/>
    <w:rsid w:val="003B1F3B"/>
    <w:rsid w:val="003B1FCE"/>
    <w:rsid w:val="003B1FED"/>
    <w:rsid w:val="003B2084"/>
    <w:rsid w:val="003B2097"/>
    <w:rsid w:val="003B21EA"/>
    <w:rsid w:val="003B21F3"/>
    <w:rsid w:val="003B2271"/>
    <w:rsid w:val="003B227D"/>
    <w:rsid w:val="003B234F"/>
    <w:rsid w:val="003B23DB"/>
    <w:rsid w:val="003B2443"/>
    <w:rsid w:val="003B24B6"/>
    <w:rsid w:val="003B24E0"/>
    <w:rsid w:val="003B24E6"/>
    <w:rsid w:val="003B259C"/>
    <w:rsid w:val="003B2654"/>
    <w:rsid w:val="003B2655"/>
    <w:rsid w:val="003B2676"/>
    <w:rsid w:val="003B27CE"/>
    <w:rsid w:val="003B2850"/>
    <w:rsid w:val="003B28F5"/>
    <w:rsid w:val="003B28F9"/>
    <w:rsid w:val="003B2931"/>
    <w:rsid w:val="003B29AB"/>
    <w:rsid w:val="003B2AB6"/>
    <w:rsid w:val="003B2B33"/>
    <w:rsid w:val="003B2B41"/>
    <w:rsid w:val="003B2B57"/>
    <w:rsid w:val="003B2B73"/>
    <w:rsid w:val="003B2BBD"/>
    <w:rsid w:val="003B2BFF"/>
    <w:rsid w:val="003B2D06"/>
    <w:rsid w:val="003B2D54"/>
    <w:rsid w:val="003B2DC4"/>
    <w:rsid w:val="003B2DC7"/>
    <w:rsid w:val="003B2DD0"/>
    <w:rsid w:val="003B2DEC"/>
    <w:rsid w:val="003B2DF0"/>
    <w:rsid w:val="003B306B"/>
    <w:rsid w:val="003B3070"/>
    <w:rsid w:val="003B3246"/>
    <w:rsid w:val="003B325B"/>
    <w:rsid w:val="003B3293"/>
    <w:rsid w:val="003B3353"/>
    <w:rsid w:val="003B354F"/>
    <w:rsid w:val="003B36AC"/>
    <w:rsid w:val="003B37DF"/>
    <w:rsid w:val="003B3858"/>
    <w:rsid w:val="003B3881"/>
    <w:rsid w:val="003B3899"/>
    <w:rsid w:val="003B3A22"/>
    <w:rsid w:val="003B3A65"/>
    <w:rsid w:val="003B3A8C"/>
    <w:rsid w:val="003B3ABA"/>
    <w:rsid w:val="003B3AC7"/>
    <w:rsid w:val="003B3B57"/>
    <w:rsid w:val="003B3B6B"/>
    <w:rsid w:val="003B3BC8"/>
    <w:rsid w:val="003B3C87"/>
    <w:rsid w:val="003B3D31"/>
    <w:rsid w:val="003B3D8D"/>
    <w:rsid w:val="003B3DC9"/>
    <w:rsid w:val="003B3DDB"/>
    <w:rsid w:val="003B3EEC"/>
    <w:rsid w:val="003B3F02"/>
    <w:rsid w:val="003B3F28"/>
    <w:rsid w:val="003B3F32"/>
    <w:rsid w:val="003B3F6D"/>
    <w:rsid w:val="003B3FBD"/>
    <w:rsid w:val="003B404E"/>
    <w:rsid w:val="003B4075"/>
    <w:rsid w:val="003B412A"/>
    <w:rsid w:val="003B4147"/>
    <w:rsid w:val="003B4188"/>
    <w:rsid w:val="003B41F5"/>
    <w:rsid w:val="003B4225"/>
    <w:rsid w:val="003B42C1"/>
    <w:rsid w:val="003B445E"/>
    <w:rsid w:val="003B446A"/>
    <w:rsid w:val="003B4482"/>
    <w:rsid w:val="003B44AA"/>
    <w:rsid w:val="003B44B3"/>
    <w:rsid w:val="003B4670"/>
    <w:rsid w:val="003B4682"/>
    <w:rsid w:val="003B46D7"/>
    <w:rsid w:val="003B477F"/>
    <w:rsid w:val="003B4819"/>
    <w:rsid w:val="003B485B"/>
    <w:rsid w:val="003B488D"/>
    <w:rsid w:val="003B48C2"/>
    <w:rsid w:val="003B4966"/>
    <w:rsid w:val="003B49C1"/>
    <w:rsid w:val="003B4A24"/>
    <w:rsid w:val="003B4A75"/>
    <w:rsid w:val="003B4B1C"/>
    <w:rsid w:val="003B4B3E"/>
    <w:rsid w:val="003B4BDC"/>
    <w:rsid w:val="003B4C11"/>
    <w:rsid w:val="003B4CA0"/>
    <w:rsid w:val="003B4CCB"/>
    <w:rsid w:val="003B4D7A"/>
    <w:rsid w:val="003B4E06"/>
    <w:rsid w:val="003B4E25"/>
    <w:rsid w:val="003B4E46"/>
    <w:rsid w:val="003B4E84"/>
    <w:rsid w:val="003B4EC9"/>
    <w:rsid w:val="003B4EF3"/>
    <w:rsid w:val="003B4F64"/>
    <w:rsid w:val="003B5007"/>
    <w:rsid w:val="003B50C2"/>
    <w:rsid w:val="003B516F"/>
    <w:rsid w:val="003B5185"/>
    <w:rsid w:val="003B519C"/>
    <w:rsid w:val="003B51BA"/>
    <w:rsid w:val="003B51EC"/>
    <w:rsid w:val="003B52A3"/>
    <w:rsid w:val="003B52AE"/>
    <w:rsid w:val="003B52E4"/>
    <w:rsid w:val="003B52E9"/>
    <w:rsid w:val="003B535F"/>
    <w:rsid w:val="003B5396"/>
    <w:rsid w:val="003B53B3"/>
    <w:rsid w:val="003B53DF"/>
    <w:rsid w:val="003B549E"/>
    <w:rsid w:val="003B55C5"/>
    <w:rsid w:val="003B55D4"/>
    <w:rsid w:val="003B5712"/>
    <w:rsid w:val="003B57A2"/>
    <w:rsid w:val="003B584F"/>
    <w:rsid w:val="003B5A96"/>
    <w:rsid w:val="003B5B4F"/>
    <w:rsid w:val="003B5B65"/>
    <w:rsid w:val="003B5B90"/>
    <w:rsid w:val="003B5B94"/>
    <w:rsid w:val="003B5C2F"/>
    <w:rsid w:val="003B5CE4"/>
    <w:rsid w:val="003B5DC0"/>
    <w:rsid w:val="003B5E19"/>
    <w:rsid w:val="003B5E22"/>
    <w:rsid w:val="003B5E81"/>
    <w:rsid w:val="003B5E97"/>
    <w:rsid w:val="003B5F74"/>
    <w:rsid w:val="003B5FFB"/>
    <w:rsid w:val="003B602E"/>
    <w:rsid w:val="003B60AF"/>
    <w:rsid w:val="003B6147"/>
    <w:rsid w:val="003B6224"/>
    <w:rsid w:val="003B623A"/>
    <w:rsid w:val="003B6336"/>
    <w:rsid w:val="003B6461"/>
    <w:rsid w:val="003B646C"/>
    <w:rsid w:val="003B64B0"/>
    <w:rsid w:val="003B64D3"/>
    <w:rsid w:val="003B6511"/>
    <w:rsid w:val="003B6566"/>
    <w:rsid w:val="003B6594"/>
    <w:rsid w:val="003B65E1"/>
    <w:rsid w:val="003B666A"/>
    <w:rsid w:val="003B66A7"/>
    <w:rsid w:val="003B66B5"/>
    <w:rsid w:val="003B66FA"/>
    <w:rsid w:val="003B671A"/>
    <w:rsid w:val="003B6766"/>
    <w:rsid w:val="003B685E"/>
    <w:rsid w:val="003B68D7"/>
    <w:rsid w:val="003B68EB"/>
    <w:rsid w:val="003B68FB"/>
    <w:rsid w:val="003B6979"/>
    <w:rsid w:val="003B6A23"/>
    <w:rsid w:val="003B6A37"/>
    <w:rsid w:val="003B6A73"/>
    <w:rsid w:val="003B6AC4"/>
    <w:rsid w:val="003B6B30"/>
    <w:rsid w:val="003B6BA1"/>
    <w:rsid w:val="003B6BAB"/>
    <w:rsid w:val="003B6BB8"/>
    <w:rsid w:val="003B6BF5"/>
    <w:rsid w:val="003B6C6B"/>
    <w:rsid w:val="003B6D61"/>
    <w:rsid w:val="003B6D87"/>
    <w:rsid w:val="003B6E27"/>
    <w:rsid w:val="003B6EBD"/>
    <w:rsid w:val="003B6F89"/>
    <w:rsid w:val="003B6FB3"/>
    <w:rsid w:val="003B7094"/>
    <w:rsid w:val="003B70DF"/>
    <w:rsid w:val="003B722F"/>
    <w:rsid w:val="003B7272"/>
    <w:rsid w:val="003B7290"/>
    <w:rsid w:val="003B733B"/>
    <w:rsid w:val="003B735B"/>
    <w:rsid w:val="003B7364"/>
    <w:rsid w:val="003B7497"/>
    <w:rsid w:val="003B74F5"/>
    <w:rsid w:val="003B7706"/>
    <w:rsid w:val="003B7715"/>
    <w:rsid w:val="003B773B"/>
    <w:rsid w:val="003B7744"/>
    <w:rsid w:val="003B7761"/>
    <w:rsid w:val="003B77D8"/>
    <w:rsid w:val="003B786B"/>
    <w:rsid w:val="003B789C"/>
    <w:rsid w:val="003B7910"/>
    <w:rsid w:val="003B7985"/>
    <w:rsid w:val="003B799F"/>
    <w:rsid w:val="003B79C0"/>
    <w:rsid w:val="003B79D8"/>
    <w:rsid w:val="003B7A66"/>
    <w:rsid w:val="003B7B31"/>
    <w:rsid w:val="003B7B84"/>
    <w:rsid w:val="003B7BA5"/>
    <w:rsid w:val="003B7BF2"/>
    <w:rsid w:val="003B7CAE"/>
    <w:rsid w:val="003B7CC1"/>
    <w:rsid w:val="003B7D0B"/>
    <w:rsid w:val="003B7D16"/>
    <w:rsid w:val="003B7D21"/>
    <w:rsid w:val="003B7DEF"/>
    <w:rsid w:val="003B7E83"/>
    <w:rsid w:val="003B7E85"/>
    <w:rsid w:val="003B7F16"/>
    <w:rsid w:val="003C0004"/>
    <w:rsid w:val="003C0020"/>
    <w:rsid w:val="003C0030"/>
    <w:rsid w:val="003C003D"/>
    <w:rsid w:val="003C008A"/>
    <w:rsid w:val="003C00A8"/>
    <w:rsid w:val="003C00D8"/>
    <w:rsid w:val="003C00E0"/>
    <w:rsid w:val="003C0112"/>
    <w:rsid w:val="003C0193"/>
    <w:rsid w:val="003C01F2"/>
    <w:rsid w:val="003C01F8"/>
    <w:rsid w:val="003C020B"/>
    <w:rsid w:val="003C0240"/>
    <w:rsid w:val="003C0340"/>
    <w:rsid w:val="003C034F"/>
    <w:rsid w:val="003C036A"/>
    <w:rsid w:val="003C0461"/>
    <w:rsid w:val="003C0473"/>
    <w:rsid w:val="003C04E0"/>
    <w:rsid w:val="003C0531"/>
    <w:rsid w:val="003C0532"/>
    <w:rsid w:val="003C0591"/>
    <w:rsid w:val="003C062F"/>
    <w:rsid w:val="003C06C7"/>
    <w:rsid w:val="003C079D"/>
    <w:rsid w:val="003C089A"/>
    <w:rsid w:val="003C089C"/>
    <w:rsid w:val="003C08DF"/>
    <w:rsid w:val="003C0A6E"/>
    <w:rsid w:val="003C0A96"/>
    <w:rsid w:val="003C0AA4"/>
    <w:rsid w:val="003C0AF5"/>
    <w:rsid w:val="003C0C38"/>
    <w:rsid w:val="003C0CC8"/>
    <w:rsid w:val="003C0D4E"/>
    <w:rsid w:val="003C0E48"/>
    <w:rsid w:val="003C0E91"/>
    <w:rsid w:val="003C0FEC"/>
    <w:rsid w:val="003C1094"/>
    <w:rsid w:val="003C10A9"/>
    <w:rsid w:val="003C1132"/>
    <w:rsid w:val="003C1163"/>
    <w:rsid w:val="003C118F"/>
    <w:rsid w:val="003C11E0"/>
    <w:rsid w:val="003C123A"/>
    <w:rsid w:val="003C12EB"/>
    <w:rsid w:val="003C13B7"/>
    <w:rsid w:val="003C14E5"/>
    <w:rsid w:val="003C1501"/>
    <w:rsid w:val="003C1505"/>
    <w:rsid w:val="003C1620"/>
    <w:rsid w:val="003C164F"/>
    <w:rsid w:val="003C16E7"/>
    <w:rsid w:val="003C1710"/>
    <w:rsid w:val="003C172A"/>
    <w:rsid w:val="003C175E"/>
    <w:rsid w:val="003C1786"/>
    <w:rsid w:val="003C178E"/>
    <w:rsid w:val="003C17C7"/>
    <w:rsid w:val="003C1871"/>
    <w:rsid w:val="003C19B0"/>
    <w:rsid w:val="003C1A73"/>
    <w:rsid w:val="003C1AC1"/>
    <w:rsid w:val="003C1AE5"/>
    <w:rsid w:val="003C1B12"/>
    <w:rsid w:val="003C1B13"/>
    <w:rsid w:val="003C1B3C"/>
    <w:rsid w:val="003C1BBB"/>
    <w:rsid w:val="003C1CE7"/>
    <w:rsid w:val="003C1D4B"/>
    <w:rsid w:val="003C1D84"/>
    <w:rsid w:val="003C1DC7"/>
    <w:rsid w:val="003C1E2A"/>
    <w:rsid w:val="003C1E9F"/>
    <w:rsid w:val="003C1F61"/>
    <w:rsid w:val="003C1FE3"/>
    <w:rsid w:val="003C202B"/>
    <w:rsid w:val="003C20FB"/>
    <w:rsid w:val="003C20FC"/>
    <w:rsid w:val="003C20FD"/>
    <w:rsid w:val="003C22D9"/>
    <w:rsid w:val="003C2366"/>
    <w:rsid w:val="003C2393"/>
    <w:rsid w:val="003C2509"/>
    <w:rsid w:val="003C2525"/>
    <w:rsid w:val="003C2532"/>
    <w:rsid w:val="003C25A5"/>
    <w:rsid w:val="003C2695"/>
    <w:rsid w:val="003C26A6"/>
    <w:rsid w:val="003C26F7"/>
    <w:rsid w:val="003C2725"/>
    <w:rsid w:val="003C27B8"/>
    <w:rsid w:val="003C2804"/>
    <w:rsid w:val="003C2893"/>
    <w:rsid w:val="003C2946"/>
    <w:rsid w:val="003C2967"/>
    <w:rsid w:val="003C298F"/>
    <w:rsid w:val="003C29F3"/>
    <w:rsid w:val="003C2BDD"/>
    <w:rsid w:val="003C2CA5"/>
    <w:rsid w:val="003C2CFF"/>
    <w:rsid w:val="003C2D60"/>
    <w:rsid w:val="003C2D83"/>
    <w:rsid w:val="003C2DFE"/>
    <w:rsid w:val="003C2EB4"/>
    <w:rsid w:val="003C2F51"/>
    <w:rsid w:val="003C2F5B"/>
    <w:rsid w:val="003C30AD"/>
    <w:rsid w:val="003C315D"/>
    <w:rsid w:val="003C3196"/>
    <w:rsid w:val="003C3213"/>
    <w:rsid w:val="003C32C3"/>
    <w:rsid w:val="003C3335"/>
    <w:rsid w:val="003C336E"/>
    <w:rsid w:val="003C3478"/>
    <w:rsid w:val="003C34D4"/>
    <w:rsid w:val="003C34E3"/>
    <w:rsid w:val="003C34E5"/>
    <w:rsid w:val="003C3584"/>
    <w:rsid w:val="003C35D3"/>
    <w:rsid w:val="003C3639"/>
    <w:rsid w:val="003C3663"/>
    <w:rsid w:val="003C366A"/>
    <w:rsid w:val="003C3691"/>
    <w:rsid w:val="003C37C0"/>
    <w:rsid w:val="003C3868"/>
    <w:rsid w:val="003C3911"/>
    <w:rsid w:val="003C3A18"/>
    <w:rsid w:val="003C3BA0"/>
    <w:rsid w:val="003C3CC7"/>
    <w:rsid w:val="003C3CF6"/>
    <w:rsid w:val="003C3D8A"/>
    <w:rsid w:val="003C3DAA"/>
    <w:rsid w:val="003C3DB8"/>
    <w:rsid w:val="003C3F1B"/>
    <w:rsid w:val="003C3F49"/>
    <w:rsid w:val="003C3F85"/>
    <w:rsid w:val="003C3FE1"/>
    <w:rsid w:val="003C40F0"/>
    <w:rsid w:val="003C4152"/>
    <w:rsid w:val="003C415A"/>
    <w:rsid w:val="003C419E"/>
    <w:rsid w:val="003C420C"/>
    <w:rsid w:val="003C426A"/>
    <w:rsid w:val="003C42BA"/>
    <w:rsid w:val="003C4314"/>
    <w:rsid w:val="003C431E"/>
    <w:rsid w:val="003C4360"/>
    <w:rsid w:val="003C4376"/>
    <w:rsid w:val="003C4378"/>
    <w:rsid w:val="003C43A8"/>
    <w:rsid w:val="003C43B8"/>
    <w:rsid w:val="003C43C0"/>
    <w:rsid w:val="003C4415"/>
    <w:rsid w:val="003C45E9"/>
    <w:rsid w:val="003C4656"/>
    <w:rsid w:val="003C4803"/>
    <w:rsid w:val="003C4818"/>
    <w:rsid w:val="003C4832"/>
    <w:rsid w:val="003C485B"/>
    <w:rsid w:val="003C4923"/>
    <w:rsid w:val="003C4A7C"/>
    <w:rsid w:val="003C4A9B"/>
    <w:rsid w:val="003C4AF1"/>
    <w:rsid w:val="003C4B8E"/>
    <w:rsid w:val="003C4C3E"/>
    <w:rsid w:val="003C4CC3"/>
    <w:rsid w:val="003C4CD1"/>
    <w:rsid w:val="003C4D20"/>
    <w:rsid w:val="003C4D97"/>
    <w:rsid w:val="003C4EB7"/>
    <w:rsid w:val="003C4EF0"/>
    <w:rsid w:val="003C4F53"/>
    <w:rsid w:val="003C4F7A"/>
    <w:rsid w:val="003C4F88"/>
    <w:rsid w:val="003C5045"/>
    <w:rsid w:val="003C504F"/>
    <w:rsid w:val="003C50C2"/>
    <w:rsid w:val="003C50D7"/>
    <w:rsid w:val="003C51EE"/>
    <w:rsid w:val="003C5264"/>
    <w:rsid w:val="003C529E"/>
    <w:rsid w:val="003C52D3"/>
    <w:rsid w:val="003C5391"/>
    <w:rsid w:val="003C5451"/>
    <w:rsid w:val="003C5540"/>
    <w:rsid w:val="003C55AB"/>
    <w:rsid w:val="003C5609"/>
    <w:rsid w:val="003C5638"/>
    <w:rsid w:val="003C56F4"/>
    <w:rsid w:val="003C5714"/>
    <w:rsid w:val="003C5777"/>
    <w:rsid w:val="003C5795"/>
    <w:rsid w:val="003C57A5"/>
    <w:rsid w:val="003C5911"/>
    <w:rsid w:val="003C59AD"/>
    <w:rsid w:val="003C59B5"/>
    <w:rsid w:val="003C5A3F"/>
    <w:rsid w:val="003C5A98"/>
    <w:rsid w:val="003C5AD2"/>
    <w:rsid w:val="003C5B45"/>
    <w:rsid w:val="003C5BA6"/>
    <w:rsid w:val="003C5C50"/>
    <w:rsid w:val="003C5C7A"/>
    <w:rsid w:val="003C5C7B"/>
    <w:rsid w:val="003C5DB3"/>
    <w:rsid w:val="003C5E65"/>
    <w:rsid w:val="003C5E67"/>
    <w:rsid w:val="003C5ECB"/>
    <w:rsid w:val="003C5F4B"/>
    <w:rsid w:val="003C5F84"/>
    <w:rsid w:val="003C5F96"/>
    <w:rsid w:val="003C5FB5"/>
    <w:rsid w:val="003C6041"/>
    <w:rsid w:val="003C6136"/>
    <w:rsid w:val="003C62D1"/>
    <w:rsid w:val="003C6535"/>
    <w:rsid w:val="003C656C"/>
    <w:rsid w:val="003C65DC"/>
    <w:rsid w:val="003C663C"/>
    <w:rsid w:val="003C66DF"/>
    <w:rsid w:val="003C67CE"/>
    <w:rsid w:val="003C67EB"/>
    <w:rsid w:val="003C683A"/>
    <w:rsid w:val="003C6923"/>
    <w:rsid w:val="003C69F7"/>
    <w:rsid w:val="003C6A9B"/>
    <w:rsid w:val="003C6AFC"/>
    <w:rsid w:val="003C6B47"/>
    <w:rsid w:val="003C6BF7"/>
    <w:rsid w:val="003C6C92"/>
    <w:rsid w:val="003C6CAF"/>
    <w:rsid w:val="003C6CF9"/>
    <w:rsid w:val="003C6DD0"/>
    <w:rsid w:val="003C6E01"/>
    <w:rsid w:val="003C6E34"/>
    <w:rsid w:val="003C6E75"/>
    <w:rsid w:val="003C6FA9"/>
    <w:rsid w:val="003C7037"/>
    <w:rsid w:val="003C706C"/>
    <w:rsid w:val="003C70F3"/>
    <w:rsid w:val="003C7178"/>
    <w:rsid w:val="003C727E"/>
    <w:rsid w:val="003C7287"/>
    <w:rsid w:val="003C72F6"/>
    <w:rsid w:val="003C7314"/>
    <w:rsid w:val="003C7345"/>
    <w:rsid w:val="003C734D"/>
    <w:rsid w:val="003C7378"/>
    <w:rsid w:val="003C73F3"/>
    <w:rsid w:val="003C7564"/>
    <w:rsid w:val="003C75B6"/>
    <w:rsid w:val="003C7687"/>
    <w:rsid w:val="003C7749"/>
    <w:rsid w:val="003C776D"/>
    <w:rsid w:val="003C77D0"/>
    <w:rsid w:val="003C78F2"/>
    <w:rsid w:val="003C7980"/>
    <w:rsid w:val="003C79CD"/>
    <w:rsid w:val="003C79E8"/>
    <w:rsid w:val="003C7A0C"/>
    <w:rsid w:val="003C7A18"/>
    <w:rsid w:val="003C7BA2"/>
    <w:rsid w:val="003C7BCA"/>
    <w:rsid w:val="003C7BD3"/>
    <w:rsid w:val="003C7C2C"/>
    <w:rsid w:val="003C7C33"/>
    <w:rsid w:val="003C7CE2"/>
    <w:rsid w:val="003C7EB2"/>
    <w:rsid w:val="003C7EB5"/>
    <w:rsid w:val="003C7F2F"/>
    <w:rsid w:val="003C7F4C"/>
    <w:rsid w:val="003C7F84"/>
    <w:rsid w:val="003C7FE0"/>
    <w:rsid w:val="003CC715"/>
    <w:rsid w:val="003D00AA"/>
    <w:rsid w:val="003D00AB"/>
    <w:rsid w:val="003D00C6"/>
    <w:rsid w:val="003D0156"/>
    <w:rsid w:val="003D0370"/>
    <w:rsid w:val="003D03D7"/>
    <w:rsid w:val="003D0498"/>
    <w:rsid w:val="003D04A6"/>
    <w:rsid w:val="003D04CA"/>
    <w:rsid w:val="003D04FD"/>
    <w:rsid w:val="003D0517"/>
    <w:rsid w:val="003D055D"/>
    <w:rsid w:val="003D05A5"/>
    <w:rsid w:val="003D05FE"/>
    <w:rsid w:val="003D070A"/>
    <w:rsid w:val="003D076E"/>
    <w:rsid w:val="003D0797"/>
    <w:rsid w:val="003D085E"/>
    <w:rsid w:val="003D08D2"/>
    <w:rsid w:val="003D08F1"/>
    <w:rsid w:val="003D091D"/>
    <w:rsid w:val="003D09A6"/>
    <w:rsid w:val="003D09A8"/>
    <w:rsid w:val="003D0A7A"/>
    <w:rsid w:val="003D0B25"/>
    <w:rsid w:val="003D0B37"/>
    <w:rsid w:val="003D0BC8"/>
    <w:rsid w:val="003D0D24"/>
    <w:rsid w:val="003D0D50"/>
    <w:rsid w:val="003D0ED1"/>
    <w:rsid w:val="003D0F04"/>
    <w:rsid w:val="003D0F06"/>
    <w:rsid w:val="003D0FCE"/>
    <w:rsid w:val="003D1069"/>
    <w:rsid w:val="003D107E"/>
    <w:rsid w:val="003D116B"/>
    <w:rsid w:val="003D1296"/>
    <w:rsid w:val="003D138A"/>
    <w:rsid w:val="003D13EC"/>
    <w:rsid w:val="003D140E"/>
    <w:rsid w:val="003D1451"/>
    <w:rsid w:val="003D1498"/>
    <w:rsid w:val="003D14D5"/>
    <w:rsid w:val="003D14E6"/>
    <w:rsid w:val="003D1517"/>
    <w:rsid w:val="003D1526"/>
    <w:rsid w:val="003D1612"/>
    <w:rsid w:val="003D1688"/>
    <w:rsid w:val="003D16D3"/>
    <w:rsid w:val="003D16ED"/>
    <w:rsid w:val="003D16FC"/>
    <w:rsid w:val="003D177C"/>
    <w:rsid w:val="003D17D4"/>
    <w:rsid w:val="003D17E5"/>
    <w:rsid w:val="003D1839"/>
    <w:rsid w:val="003D1890"/>
    <w:rsid w:val="003D18D1"/>
    <w:rsid w:val="003D1A14"/>
    <w:rsid w:val="003D1AAC"/>
    <w:rsid w:val="003D1AF8"/>
    <w:rsid w:val="003D1B23"/>
    <w:rsid w:val="003D1BE4"/>
    <w:rsid w:val="003D1C13"/>
    <w:rsid w:val="003D1D3D"/>
    <w:rsid w:val="003D1D79"/>
    <w:rsid w:val="003D1DBE"/>
    <w:rsid w:val="003D1DFE"/>
    <w:rsid w:val="003D1E3B"/>
    <w:rsid w:val="003D1EFA"/>
    <w:rsid w:val="003D1F24"/>
    <w:rsid w:val="003D1FC9"/>
    <w:rsid w:val="003D200F"/>
    <w:rsid w:val="003D2021"/>
    <w:rsid w:val="003D20EF"/>
    <w:rsid w:val="003D210E"/>
    <w:rsid w:val="003D2163"/>
    <w:rsid w:val="003D23B8"/>
    <w:rsid w:val="003D244F"/>
    <w:rsid w:val="003D2530"/>
    <w:rsid w:val="003D2652"/>
    <w:rsid w:val="003D27B6"/>
    <w:rsid w:val="003D27DE"/>
    <w:rsid w:val="003D280F"/>
    <w:rsid w:val="003D281A"/>
    <w:rsid w:val="003D28C9"/>
    <w:rsid w:val="003D2926"/>
    <w:rsid w:val="003D2974"/>
    <w:rsid w:val="003D29A5"/>
    <w:rsid w:val="003D29D7"/>
    <w:rsid w:val="003D2BDA"/>
    <w:rsid w:val="003D2CAB"/>
    <w:rsid w:val="003D2CCD"/>
    <w:rsid w:val="003D2D89"/>
    <w:rsid w:val="003D2DEB"/>
    <w:rsid w:val="003D2E34"/>
    <w:rsid w:val="003D2E9C"/>
    <w:rsid w:val="003D306C"/>
    <w:rsid w:val="003D3072"/>
    <w:rsid w:val="003D3077"/>
    <w:rsid w:val="003D30DF"/>
    <w:rsid w:val="003D30E8"/>
    <w:rsid w:val="003D315E"/>
    <w:rsid w:val="003D317B"/>
    <w:rsid w:val="003D318D"/>
    <w:rsid w:val="003D3319"/>
    <w:rsid w:val="003D33FD"/>
    <w:rsid w:val="003D34BE"/>
    <w:rsid w:val="003D3530"/>
    <w:rsid w:val="003D3551"/>
    <w:rsid w:val="003D3590"/>
    <w:rsid w:val="003D35B0"/>
    <w:rsid w:val="003D3614"/>
    <w:rsid w:val="003D3683"/>
    <w:rsid w:val="003D3734"/>
    <w:rsid w:val="003D3803"/>
    <w:rsid w:val="003D384E"/>
    <w:rsid w:val="003D38B0"/>
    <w:rsid w:val="003D38E2"/>
    <w:rsid w:val="003D391F"/>
    <w:rsid w:val="003D396C"/>
    <w:rsid w:val="003D39B0"/>
    <w:rsid w:val="003D39F0"/>
    <w:rsid w:val="003D3A25"/>
    <w:rsid w:val="003D3A81"/>
    <w:rsid w:val="003D3B0A"/>
    <w:rsid w:val="003D3B73"/>
    <w:rsid w:val="003D3CCA"/>
    <w:rsid w:val="003D3CDE"/>
    <w:rsid w:val="003D3CF6"/>
    <w:rsid w:val="003D3D4E"/>
    <w:rsid w:val="003D3DEC"/>
    <w:rsid w:val="003D3F62"/>
    <w:rsid w:val="003D3FBE"/>
    <w:rsid w:val="003D4137"/>
    <w:rsid w:val="003D4199"/>
    <w:rsid w:val="003D41CC"/>
    <w:rsid w:val="003D41F0"/>
    <w:rsid w:val="003D425D"/>
    <w:rsid w:val="003D42DE"/>
    <w:rsid w:val="003D4322"/>
    <w:rsid w:val="003D4416"/>
    <w:rsid w:val="003D4475"/>
    <w:rsid w:val="003D4514"/>
    <w:rsid w:val="003D4515"/>
    <w:rsid w:val="003D453C"/>
    <w:rsid w:val="003D45FF"/>
    <w:rsid w:val="003D462F"/>
    <w:rsid w:val="003D469D"/>
    <w:rsid w:val="003D46AA"/>
    <w:rsid w:val="003D46DE"/>
    <w:rsid w:val="003D4743"/>
    <w:rsid w:val="003D49DB"/>
    <w:rsid w:val="003D4A34"/>
    <w:rsid w:val="003D4A43"/>
    <w:rsid w:val="003D4A4D"/>
    <w:rsid w:val="003D4A6B"/>
    <w:rsid w:val="003D4AAF"/>
    <w:rsid w:val="003D4BE1"/>
    <w:rsid w:val="003D4C83"/>
    <w:rsid w:val="003D4D6B"/>
    <w:rsid w:val="003D4DBF"/>
    <w:rsid w:val="003D4E0C"/>
    <w:rsid w:val="003D4FD1"/>
    <w:rsid w:val="003D4FDD"/>
    <w:rsid w:val="003D4FE8"/>
    <w:rsid w:val="003D5013"/>
    <w:rsid w:val="003D5038"/>
    <w:rsid w:val="003D50B3"/>
    <w:rsid w:val="003D50BA"/>
    <w:rsid w:val="003D519D"/>
    <w:rsid w:val="003D525D"/>
    <w:rsid w:val="003D5477"/>
    <w:rsid w:val="003D5505"/>
    <w:rsid w:val="003D55FD"/>
    <w:rsid w:val="003D5638"/>
    <w:rsid w:val="003D56E3"/>
    <w:rsid w:val="003D572B"/>
    <w:rsid w:val="003D574F"/>
    <w:rsid w:val="003D578F"/>
    <w:rsid w:val="003D5848"/>
    <w:rsid w:val="003D589A"/>
    <w:rsid w:val="003D58BD"/>
    <w:rsid w:val="003D58C6"/>
    <w:rsid w:val="003D5A51"/>
    <w:rsid w:val="003D5B3E"/>
    <w:rsid w:val="003D5BB6"/>
    <w:rsid w:val="003D5C73"/>
    <w:rsid w:val="003D5C9A"/>
    <w:rsid w:val="003D5D8C"/>
    <w:rsid w:val="003D5E0C"/>
    <w:rsid w:val="003D5E55"/>
    <w:rsid w:val="003D5E6E"/>
    <w:rsid w:val="003D5F3E"/>
    <w:rsid w:val="003D5F8D"/>
    <w:rsid w:val="003D5FC4"/>
    <w:rsid w:val="003D5FD5"/>
    <w:rsid w:val="003D6104"/>
    <w:rsid w:val="003D61B4"/>
    <w:rsid w:val="003D61C7"/>
    <w:rsid w:val="003D6305"/>
    <w:rsid w:val="003D6319"/>
    <w:rsid w:val="003D6394"/>
    <w:rsid w:val="003D64C8"/>
    <w:rsid w:val="003D64ED"/>
    <w:rsid w:val="003D66C5"/>
    <w:rsid w:val="003D66E1"/>
    <w:rsid w:val="003D66E8"/>
    <w:rsid w:val="003D675D"/>
    <w:rsid w:val="003D6847"/>
    <w:rsid w:val="003D6987"/>
    <w:rsid w:val="003D6A2D"/>
    <w:rsid w:val="003D6A41"/>
    <w:rsid w:val="003D6A7C"/>
    <w:rsid w:val="003D6ACE"/>
    <w:rsid w:val="003D6B49"/>
    <w:rsid w:val="003D6CD4"/>
    <w:rsid w:val="003D6CEB"/>
    <w:rsid w:val="003D6D8C"/>
    <w:rsid w:val="003D6DAE"/>
    <w:rsid w:val="003D6F76"/>
    <w:rsid w:val="003D6FDB"/>
    <w:rsid w:val="003D700E"/>
    <w:rsid w:val="003D703D"/>
    <w:rsid w:val="003D7093"/>
    <w:rsid w:val="003D70C7"/>
    <w:rsid w:val="003D70D5"/>
    <w:rsid w:val="003D711C"/>
    <w:rsid w:val="003D7253"/>
    <w:rsid w:val="003D728F"/>
    <w:rsid w:val="003D7334"/>
    <w:rsid w:val="003D734E"/>
    <w:rsid w:val="003D7380"/>
    <w:rsid w:val="003D73EC"/>
    <w:rsid w:val="003D7437"/>
    <w:rsid w:val="003D7442"/>
    <w:rsid w:val="003D74AB"/>
    <w:rsid w:val="003D7558"/>
    <w:rsid w:val="003D75D6"/>
    <w:rsid w:val="003D7626"/>
    <w:rsid w:val="003D7629"/>
    <w:rsid w:val="003D7656"/>
    <w:rsid w:val="003D7763"/>
    <w:rsid w:val="003D776A"/>
    <w:rsid w:val="003D77E6"/>
    <w:rsid w:val="003D7832"/>
    <w:rsid w:val="003D7835"/>
    <w:rsid w:val="003D7858"/>
    <w:rsid w:val="003D78D9"/>
    <w:rsid w:val="003D7966"/>
    <w:rsid w:val="003D79CE"/>
    <w:rsid w:val="003D79FD"/>
    <w:rsid w:val="003D7A06"/>
    <w:rsid w:val="003D7A11"/>
    <w:rsid w:val="003D7A21"/>
    <w:rsid w:val="003D7A33"/>
    <w:rsid w:val="003D7A34"/>
    <w:rsid w:val="003D7ABC"/>
    <w:rsid w:val="003D7B79"/>
    <w:rsid w:val="003D7BF3"/>
    <w:rsid w:val="003D7C7C"/>
    <w:rsid w:val="003D7D3E"/>
    <w:rsid w:val="003D7D8B"/>
    <w:rsid w:val="003D7DC6"/>
    <w:rsid w:val="003D7DD5"/>
    <w:rsid w:val="003D7E4D"/>
    <w:rsid w:val="003D7E7B"/>
    <w:rsid w:val="003D7EBE"/>
    <w:rsid w:val="003D7F69"/>
    <w:rsid w:val="003D7FC1"/>
    <w:rsid w:val="003E0040"/>
    <w:rsid w:val="003E00BF"/>
    <w:rsid w:val="003E0168"/>
    <w:rsid w:val="003E0184"/>
    <w:rsid w:val="003E018C"/>
    <w:rsid w:val="003E01B0"/>
    <w:rsid w:val="003E0211"/>
    <w:rsid w:val="003E025A"/>
    <w:rsid w:val="003E02CF"/>
    <w:rsid w:val="003E02D9"/>
    <w:rsid w:val="003E0357"/>
    <w:rsid w:val="003E03B5"/>
    <w:rsid w:val="003E0411"/>
    <w:rsid w:val="003E049A"/>
    <w:rsid w:val="003E05BE"/>
    <w:rsid w:val="003E0630"/>
    <w:rsid w:val="003E06D9"/>
    <w:rsid w:val="003E07AA"/>
    <w:rsid w:val="003E07CE"/>
    <w:rsid w:val="003E0890"/>
    <w:rsid w:val="003E08AB"/>
    <w:rsid w:val="003E08F0"/>
    <w:rsid w:val="003E0955"/>
    <w:rsid w:val="003E0966"/>
    <w:rsid w:val="003E09E3"/>
    <w:rsid w:val="003E0A44"/>
    <w:rsid w:val="003E0A5E"/>
    <w:rsid w:val="003E0AD5"/>
    <w:rsid w:val="003E0C5D"/>
    <w:rsid w:val="003E0CB2"/>
    <w:rsid w:val="003E0DA7"/>
    <w:rsid w:val="003E0EFA"/>
    <w:rsid w:val="003E0FFC"/>
    <w:rsid w:val="003E107E"/>
    <w:rsid w:val="003E10F4"/>
    <w:rsid w:val="003E1163"/>
    <w:rsid w:val="003E122E"/>
    <w:rsid w:val="003E1250"/>
    <w:rsid w:val="003E12C0"/>
    <w:rsid w:val="003E13C8"/>
    <w:rsid w:val="003E1450"/>
    <w:rsid w:val="003E1481"/>
    <w:rsid w:val="003E1595"/>
    <w:rsid w:val="003E161C"/>
    <w:rsid w:val="003E165D"/>
    <w:rsid w:val="003E16FC"/>
    <w:rsid w:val="003E1712"/>
    <w:rsid w:val="003E1739"/>
    <w:rsid w:val="003E178D"/>
    <w:rsid w:val="003E17EF"/>
    <w:rsid w:val="003E182C"/>
    <w:rsid w:val="003E1833"/>
    <w:rsid w:val="003E183E"/>
    <w:rsid w:val="003E186D"/>
    <w:rsid w:val="003E19CE"/>
    <w:rsid w:val="003E19D6"/>
    <w:rsid w:val="003E19D9"/>
    <w:rsid w:val="003E19F9"/>
    <w:rsid w:val="003E1A2C"/>
    <w:rsid w:val="003E1AC4"/>
    <w:rsid w:val="003E1D70"/>
    <w:rsid w:val="003E1DA0"/>
    <w:rsid w:val="003E1DC8"/>
    <w:rsid w:val="003E1E0C"/>
    <w:rsid w:val="003E1F01"/>
    <w:rsid w:val="003E1F49"/>
    <w:rsid w:val="003E1F82"/>
    <w:rsid w:val="003E2094"/>
    <w:rsid w:val="003E20A6"/>
    <w:rsid w:val="003E20DD"/>
    <w:rsid w:val="003E2266"/>
    <w:rsid w:val="003E2314"/>
    <w:rsid w:val="003E231E"/>
    <w:rsid w:val="003E2325"/>
    <w:rsid w:val="003E2383"/>
    <w:rsid w:val="003E248F"/>
    <w:rsid w:val="003E2560"/>
    <w:rsid w:val="003E25A0"/>
    <w:rsid w:val="003E25AE"/>
    <w:rsid w:val="003E26AD"/>
    <w:rsid w:val="003E26BF"/>
    <w:rsid w:val="003E27C5"/>
    <w:rsid w:val="003E2848"/>
    <w:rsid w:val="003E2860"/>
    <w:rsid w:val="003E2889"/>
    <w:rsid w:val="003E296D"/>
    <w:rsid w:val="003E2992"/>
    <w:rsid w:val="003E29A9"/>
    <w:rsid w:val="003E2ADA"/>
    <w:rsid w:val="003E2AFA"/>
    <w:rsid w:val="003E2B7C"/>
    <w:rsid w:val="003E2BDA"/>
    <w:rsid w:val="003E2BE8"/>
    <w:rsid w:val="003E2C47"/>
    <w:rsid w:val="003E2C70"/>
    <w:rsid w:val="003E2C99"/>
    <w:rsid w:val="003E2D43"/>
    <w:rsid w:val="003E2DE6"/>
    <w:rsid w:val="003E2E40"/>
    <w:rsid w:val="003E2ECC"/>
    <w:rsid w:val="003E2F41"/>
    <w:rsid w:val="003E2F9F"/>
    <w:rsid w:val="003E30A8"/>
    <w:rsid w:val="003E30DC"/>
    <w:rsid w:val="003E3196"/>
    <w:rsid w:val="003E3224"/>
    <w:rsid w:val="003E331B"/>
    <w:rsid w:val="003E33B8"/>
    <w:rsid w:val="003E33BA"/>
    <w:rsid w:val="003E350A"/>
    <w:rsid w:val="003E36E9"/>
    <w:rsid w:val="003E3770"/>
    <w:rsid w:val="003E3962"/>
    <w:rsid w:val="003E39CD"/>
    <w:rsid w:val="003E39FF"/>
    <w:rsid w:val="003E3A0E"/>
    <w:rsid w:val="003E3A10"/>
    <w:rsid w:val="003E3A4E"/>
    <w:rsid w:val="003E3B0E"/>
    <w:rsid w:val="003E3B72"/>
    <w:rsid w:val="003E3B9B"/>
    <w:rsid w:val="003E3CB2"/>
    <w:rsid w:val="003E3CEC"/>
    <w:rsid w:val="003E3CEE"/>
    <w:rsid w:val="003E3D9B"/>
    <w:rsid w:val="003E3DE6"/>
    <w:rsid w:val="003E3E1A"/>
    <w:rsid w:val="003E3E50"/>
    <w:rsid w:val="003E3EA5"/>
    <w:rsid w:val="003E3F25"/>
    <w:rsid w:val="003E3FA3"/>
    <w:rsid w:val="003E4117"/>
    <w:rsid w:val="003E435F"/>
    <w:rsid w:val="003E437E"/>
    <w:rsid w:val="003E43C1"/>
    <w:rsid w:val="003E4465"/>
    <w:rsid w:val="003E44BB"/>
    <w:rsid w:val="003E44F1"/>
    <w:rsid w:val="003E4606"/>
    <w:rsid w:val="003E468F"/>
    <w:rsid w:val="003E4768"/>
    <w:rsid w:val="003E4A43"/>
    <w:rsid w:val="003E4A54"/>
    <w:rsid w:val="003E4A86"/>
    <w:rsid w:val="003E4AE5"/>
    <w:rsid w:val="003E4B3D"/>
    <w:rsid w:val="003E4B75"/>
    <w:rsid w:val="003E4B80"/>
    <w:rsid w:val="003E4CB6"/>
    <w:rsid w:val="003E4D14"/>
    <w:rsid w:val="003E4D20"/>
    <w:rsid w:val="003E4D3C"/>
    <w:rsid w:val="003E4D43"/>
    <w:rsid w:val="003E4EDF"/>
    <w:rsid w:val="003E4FD4"/>
    <w:rsid w:val="003E50BC"/>
    <w:rsid w:val="003E50C6"/>
    <w:rsid w:val="003E50FB"/>
    <w:rsid w:val="003E5121"/>
    <w:rsid w:val="003E521D"/>
    <w:rsid w:val="003E528F"/>
    <w:rsid w:val="003E5370"/>
    <w:rsid w:val="003E538F"/>
    <w:rsid w:val="003E53EB"/>
    <w:rsid w:val="003E5477"/>
    <w:rsid w:val="003E54B3"/>
    <w:rsid w:val="003E54B4"/>
    <w:rsid w:val="003E5587"/>
    <w:rsid w:val="003E5632"/>
    <w:rsid w:val="003E56AF"/>
    <w:rsid w:val="003E5723"/>
    <w:rsid w:val="003E57A5"/>
    <w:rsid w:val="003E580A"/>
    <w:rsid w:val="003E5818"/>
    <w:rsid w:val="003E5839"/>
    <w:rsid w:val="003E5878"/>
    <w:rsid w:val="003E5891"/>
    <w:rsid w:val="003E58FF"/>
    <w:rsid w:val="003E597B"/>
    <w:rsid w:val="003E5985"/>
    <w:rsid w:val="003E5A53"/>
    <w:rsid w:val="003E5A7B"/>
    <w:rsid w:val="003E5AE6"/>
    <w:rsid w:val="003E5BDB"/>
    <w:rsid w:val="003E5C60"/>
    <w:rsid w:val="003E5C6D"/>
    <w:rsid w:val="003E5D32"/>
    <w:rsid w:val="003E5D3F"/>
    <w:rsid w:val="003E5E8F"/>
    <w:rsid w:val="003E5EE6"/>
    <w:rsid w:val="003E5F1B"/>
    <w:rsid w:val="003E5F8F"/>
    <w:rsid w:val="003E5FA9"/>
    <w:rsid w:val="003E60D6"/>
    <w:rsid w:val="003E60D9"/>
    <w:rsid w:val="003E61D3"/>
    <w:rsid w:val="003E61D6"/>
    <w:rsid w:val="003E622A"/>
    <w:rsid w:val="003E622C"/>
    <w:rsid w:val="003E6260"/>
    <w:rsid w:val="003E63BA"/>
    <w:rsid w:val="003E63D6"/>
    <w:rsid w:val="003E6497"/>
    <w:rsid w:val="003E64AA"/>
    <w:rsid w:val="003E64B7"/>
    <w:rsid w:val="003E64D8"/>
    <w:rsid w:val="003E6664"/>
    <w:rsid w:val="003E6766"/>
    <w:rsid w:val="003E68DF"/>
    <w:rsid w:val="003E692D"/>
    <w:rsid w:val="003E6959"/>
    <w:rsid w:val="003E6AE4"/>
    <w:rsid w:val="003E6B5C"/>
    <w:rsid w:val="003E6D18"/>
    <w:rsid w:val="003E6D2A"/>
    <w:rsid w:val="003E6D36"/>
    <w:rsid w:val="003E6D44"/>
    <w:rsid w:val="003E6D8B"/>
    <w:rsid w:val="003E6F1A"/>
    <w:rsid w:val="003E6FB5"/>
    <w:rsid w:val="003E7041"/>
    <w:rsid w:val="003E70C2"/>
    <w:rsid w:val="003E7129"/>
    <w:rsid w:val="003E7143"/>
    <w:rsid w:val="003E716B"/>
    <w:rsid w:val="003E71B0"/>
    <w:rsid w:val="003E71FC"/>
    <w:rsid w:val="003E7244"/>
    <w:rsid w:val="003E7246"/>
    <w:rsid w:val="003E7291"/>
    <w:rsid w:val="003E7293"/>
    <w:rsid w:val="003E72C9"/>
    <w:rsid w:val="003E72E3"/>
    <w:rsid w:val="003E74DF"/>
    <w:rsid w:val="003E753A"/>
    <w:rsid w:val="003E7563"/>
    <w:rsid w:val="003E75B2"/>
    <w:rsid w:val="003E75F9"/>
    <w:rsid w:val="003E762B"/>
    <w:rsid w:val="003E7654"/>
    <w:rsid w:val="003E76D1"/>
    <w:rsid w:val="003E76E8"/>
    <w:rsid w:val="003E7774"/>
    <w:rsid w:val="003E77B5"/>
    <w:rsid w:val="003E77EE"/>
    <w:rsid w:val="003E7935"/>
    <w:rsid w:val="003E7A26"/>
    <w:rsid w:val="003E7AE3"/>
    <w:rsid w:val="003E7C97"/>
    <w:rsid w:val="003E7D8C"/>
    <w:rsid w:val="003E7DAF"/>
    <w:rsid w:val="003E7DE6"/>
    <w:rsid w:val="003E7E71"/>
    <w:rsid w:val="003E7EE6"/>
    <w:rsid w:val="003E7F74"/>
    <w:rsid w:val="003E7FA0"/>
    <w:rsid w:val="003F00C8"/>
    <w:rsid w:val="003F01C9"/>
    <w:rsid w:val="003F01EF"/>
    <w:rsid w:val="003F026A"/>
    <w:rsid w:val="003F0339"/>
    <w:rsid w:val="003F0448"/>
    <w:rsid w:val="003F0454"/>
    <w:rsid w:val="003F0475"/>
    <w:rsid w:val="003F0526"/>
    <w:rsid w:val="003F0563"/>
    <w:rsid w:val="003F066B"/>
    <w:rsid w:val="003F069C"/>
    <w:rsid w:val="003F06E2"/>
    <w:rsid w:val="003F06FA"/>
    <w:rsid w:val="003F0707"/>
    <w:rsid w:val="003F076A"/>
    <w:rsid w:val="003F0778"/>
    <w:rsid w:val="003F07A3"/>
    <w:rsid w:val="003F07C5"/>
    <w:rsid w:val="003F07D2"/>
    <w:rsid w:val="003F0821"/>
    <w:rsid w:val="003F0951"/>
    <w:rsid w:val="003F0A8E"/>
    <w:rsid w:val="003F0B2F"/>
    <w:rsid w:val="003F0CF9"/>
    <w:rsid w:val="003F0EE4"/>
    <w:rsid w:val="003F0F0D"/>
    <w:rsid w:val="003F0F69"/>
    <w:rsid w:val="003F10A9"/>
    <w:rsid w:val="003F10BE"/>
    <w:rsid w:val="003F116C"/>
    <w:rsid w:val="003F1186"/>
    <w:rsid w:val="003F11A3"/>
    <w:rsid w:val="003F11B5"/>
    <w:rsid w:val="003F1222"/>
    <w:rsid w:val="003F12B7"/>
    <w:rsid w:val="003F142A"/>
    <w:rsid w:val="003F14BB"/>
    <w:rsid w:val="003F14D9"/>
    <w:rsid w:val="003F157B"/>
    <w:rsid w:val="003F158F"/>
    <w:rsid w:val="003F1799"/>
    <w:rsid w:val="003F179D"/>
    <w:rsid w:val="003F181D"/>
    <w:rsid w:val="003F18D8"/>
    <w:rsid w:val="003F190C"/>
    <w:rsid w:val="003F1915"/>
    <w:rsid w:val="003F19F3"/>
    <w:rsid w:val="003F1A67"/>
    <w:rsid w:val="003F1CFD"/>
    <w:rsid w:val="003F1D75"/>
    <w:rsid w:val="003F1E21"/>
    <w:rsid w:val="003F1E8A"/>
    <w:rsid w:val="003F1ED7"/>
    <w:rsid w:val="003F1F8B"/>
    <w:rsid w:val="003F1F92"/>
    <w:rsid w:val="003F1FD6"/>
    <w:rsid w:val="003F2068"/>
    <w:rsid w:val="003F2081"/>
    <w:rsid w:val="003F2143"/>
    <w:rsid w:val="003F2179"/>
    <w:rsid w:val="003F21C8"/>
    <w:rsid w:val="003F2241"/>
    <w:rsid w:val="003F2263"/>
    <w:rsid w:val="003F2267"/>
    <w:rsid w:val="003F2289"/>
    <w:rsid w:val="003F22BB"/>
    <w:rsid w:val="003F2413"/>
    <w:rsid w:val="003F2446"/>
    <w:rsid w:val="003F24F0"/>
    <w:rsid w:val="003F259F"/>
    <w:rsid w:val="003F2768"/>
    <w:rsid w:val="003F27C6"/>
    <w:rsid w:val="003F2848"/>
    <w:rsid w:val="003F285A"/>
    <w:rsid w:val="003F28B2"/>
    <w:rsid w:val="003F28EB"/>
    <w:rsid w:val="003F296D"/>
    <w:rsid w:val="003F2977"/>
    <w:rsid w:val="003F29E0"/>
    <w:rsid w:val="003F29ED"/>
    <w:rsid w:val="003F2A67"/>
    <w:rsid w:val="003F2B0A"/>
    <w:rsid w:val="003F2BFA"/>
    <w:rsid w:val="003F2D74"/>
    <w:rsid w:val="003F2DD7"/>
    <w:rsid w:val="003F2E0C"/>
    <w:rsid w:val="003F2E34"/>
    <w:rsid w:val="003F2E40"/>
    <w:rsid w:val="003F2EAB"/>
    <w:rsid w:val="003F2ECE"/>
    <w:rsid w:val="003F30D9"/>
    <w:rsid w:val="003F30F7"/>
    <w:rsid w:val="003F31E5"/>
    <w:rsid w:val="003F3302"/>
    <w:rsid w:val="003F341F"/>
    <w:rsid w:val="003F3421"/>
    <w:rsid w:val="003F3429"/>
    <w:rsid w:val="003F343B"/>
    <w:rsid w:val="003F346D"/>
    <w:rsid w:val="003F34DD"/>
    <w:rsid w:val="003F34FF"/>
    <w:rsid w:val="003F3561"/>
    <w:rsid w:val="003F35E2"/>
    <w:rsid w:val="003F362B"/>
    <w:rsid w:val="003F3649"/>
    <w:rsid w:val="003F36BB"/>
    <w:rsid w:val="003F3774"/>
    <w:rsid w:val="003F386D"/>
    <w:rsid w:val="003F3961"/>
    <w:rsid w:val="003F39D8"/>
    <w:rsid w:val="003F3A98"/>
    <w:rsid w:val="003F3ACE"/>
    <w:rsid w:val="003F3B4B"/>
    <w:rsid w:val="003F3B59"/>
    <w:rsid w:val="003F3B7E"/>
    <w:rsid w:val="003F3C7A"/>
    <w:rsid w:val="003F3CB5"/>
    <w:rsid w:val="003F3DA5"/>
    <w:rsid w:val="003F3DDF"/>
    <w:rsid w:val="003F3E40"/>
    <w:rsid w:val="003F3EBA"/>
    <w:rsid w:val="003F3F34"/>
    <w:rsid w:val="003F3F3F"/>
    <w:rsid w:val="003F3FC8"/>
    <w:rsid w:val="003F409D"/>
    <w:rsid w:val="003F40C0"/>
    <w:rsid w:val="003F4236"/>
    <w:rsid w:val="003F426F"/>
    <w:rsid w:val="003F433F"/>
    <w:rsid w:val="003F441B"/>
    <w:rsid w:val="003F4554"/>
    <w:rsid w:val="003F460C"/>
    <w:rsid w:val="003F46C4"/>
    <w:rsid w:val="003F474C"/>
    <w:rsid w:val="003F4833"/>
    <w:rsid w:val="003F48A8"/>
    <w:rsid w:val="003F48F5"/>
    <w:rsid w:val="003F48F6"/>
    <w:rsid w:val="003F49B0"/>
    <w:rsid w:val="003F49C3"/>
    <w:rsid w:val="003F49DF"/>
    <w:rsid w:val="003F49E7"/>
    <w:rsid w:val="003F49ED"/>
    <w:rsid w:val="003F4ADC"/>
    <w:rsid w:val="003F4B24"/>
    <w:rsid w:val="003F4B2A"/>
    <w:rsid w:val="003F4CDF"/>
    <w:rsid w:val="003F4CE2"/>
    <w:rsid w:val="003F4D70"/>
    <w:rsid w:val="003F4DC2"/>
    <w:rsid w:val="003F4DE5"/>
    <w:rsid w:val="003F4E93"/>
    <w:rsid w:val="003F4EA1"/>
    <w:rsid w:val="003F4F74"/>
    <w:rsid w:val="003F4FFD"/>
    <w:rsid w:val="003F5001"/>
    <w:rsid w:val="003F5052"/>
    <w:rsid w:val="003F506D"/>
    <w:rsid w:val="003F50A8"/>
    <w:rsid w:val="003F5173"/>
    <w:rsid w:val="003F517D"/>
    <w:rsid w:val="003F51BB"/>
    <w:rsid w:val="003F51CA"/>
    <w:rsid w:val="003F51DD"/>
    <w:rsid w:val="003F5207"/>
    <w:rsid w:val="003F5210"/>
    <w:rsid w:val="003F530A"/>
    <w:rsid w:val="003F5310"/>
    <w:rsid w:val="003F5315"/>
    <w:rsid w:val="003F531D"/>
    <w:rsid w:val="003F5386"/>
    <w:rsid w:val="003F53BA"/>
    <w:rsid w:val="003F54BC"/>
    <w:rsid w:val="003F5588"/>
    <w:rsid w:val="003F5607"/>
    <w:rsid w:val="003F564B"/>
    <w:rsid w:val="003F57E6"/>
    <w:rsid w:val="003F5827"/>
    <w:rsid w:val="003F5AF8"/>
    <w:rsid w:val="003F5B9D"/>
    <w:rsid w:val="003F5BC3"/>
    <w:rsid w:val="003F5BC5"/>
    <w:rsid w:val="003F5C65"/>
    <w:rsid w:val="003F5C6A"/>
    <w:rsid w:val="003F5E02"/>
    <w:rsid w:val="003F5E2C"/>
    <w:rsid w:val="003F5EA1"/>
    <w:rsid w:val="003F5EBC"/>
    <w:rsid w:val="003F5ECE"/>
    <w:rsid w:val="003F5F47"/>
    <w:rsid w:val="003F5FD0"/>
    <w:rsid w:val="003F6051"/>
    <w:rsid w:val="003F613E"/>
    <w:rsid w:val="003F614F"/>
    <w:rsid w:val="003F6277"/>
    <w:rsid w:val="003F62C5"/>
    <w:rsid w:val="003F62FA"/>
    <w:rsid w:val="003F6400"/>
    <w:rsid w:val="003F642A"/>
    <w:rsid w:val="003F6436"/>
    <w:rsid w:val="003F6511"/>
    <w:rsid w:val="003F6629"/>
    <w:rsid w:val="003F6632"/>
    <w:rsid w:val="003F67B5"/>
    <w:rsid w:val="003F6854"/>
    <w:rsid w:val="003F68B0"/>
    <w:rsid w:val="003F6910"/>
    <w:rsid w:val="003F6947"/>
    <w:rsid w:val="003F696C"/>
    <w:rsid w:val="003F69FC"/>
    <w:rsid w:val="003F6A6E"/>
    <w:rsid w:val="003F6C8F"/>
    <w:rsid w:val="003F6D49"/>
    <w:rsid w:val="003F6D75"/>
    <w:rsid w:val="003F6E16"/>
    <w:rsid w:val="003F6F7B"/>
    <w:rsid w:val="003F7063"/>
    <w:rsid w:val="003F7067"/>
    <w:rsid w:val="003F7174"/>
    <w:rsid w:val="003F717C"/>
    <w:rsid w:val="003F71D3"/>
    <w:rsid w:val="003F72E1"/>
    <w:rsid w:val="003F7306"/>
    <w:rsid w:val="003F73CA"/>
    <w:rsid w:val="003F747E"/>
    <w:rsid w:val="003F7503"/>
    <w:rsid w:val="003F7616"/>
    <w:rsid w:val="003F7628"/>
    <w:rsid w:val="003F769A"/>
    <w:rsid w:val="003F7859"/>
    <w:rsid w:val="003F795A"/>
    <w:rsid w:val="003F7A2F"/>
    <w:rsid w:val="003F7B53"/>
    <w:rsid w:val="003F7B77"/>
    <w:rsid w:val="003F7B8F"/>
    <w:rsid w:val="003F7BD0"/>
    <w:rsid w:val="003F7BD5"/>
    <w:rsid w:val="003F7C05"/>
    <w:rsid w:val="003F7CD5"/>
    <w:rsid w:val="003F7CE8"/>
    <w:rsid w:val="003F7D76"/>
    <w:rsid w:val="003F7E0C"/>
    <w:rsid w:val="003F7E2A"/>
    <w:rsid w:val="003F7E65"/>
    <w:rsid w:val="003F7EEF"/>
    <w:rsid w:val="00400011"/>
    <w:rsid w:val="0040002E"/>
    <w:rsid w:val="00400034"/>
    <w:rsid w:val="00400066"/>
    <w:rsid w:val="00400092"/>
    <w:rsid w:val="004000DF"/>
    <w:rsid w:val="0040016B"/>
    <w:rsid w:val="004001C1"/>
    <w:rsid w:val="00400291"/>
    <w:rsid w:val="00400524"/>
    <w:rsid w:val="0040059F"/>
    <w:rsid w:val="004005F9"/>
    <w:rsid w:val="0040062E"/>
    <w:rsid w:val="0040066C"/>
    <w:rsid w:val="004006B4"/>
    <w:rsid w:val="004006F9"/>
    <w:rsid w:val="0040072F"/>
    <w:rsid w:val="00400823"/>
    <w:rsid w:val="00400865"/>
    <w:rsid w:val="004008D4"/>
    <w:rsid w:val="0040092E"/>
    <w:rsid w:val="00400BE6"/>
    <w:rsid w:val="00400DB6"/>
    <w:rsid w:val="00400DFC"/>
    <w:rsid w:val="00400EE6"/>
    <w:rsid w:val="00400EED"/>
    <w:rsid w:val="00400EEE"/>
    <w:rsid w:val="00400F87"/>
    <w:rsid w:val="00400F96"/>
    <w:rsid w:val="00401026"/>
    <w:rsid w:val="00401030"/>
    <w:rsid w:val="00401052"/>
    <w:rsid w:val="004011F2"/>
    <w:rsid w:val="00401255"/>
    <w:rsid w:val="00401326"/>
    <w:rsid w:val="00401363"/>
    <w:rsid w:val="0040137E"/>
    <w:rsid w:val="00401388"/>
    <w:rsid w:val="0040141A"/>
    <w:rsid w:val="00401644"/>
    <w:rsid w:val="00401651"/>
    <w:rsid w:val="004016B0"/>
    <w:rsid w:val="00401945"/>
    <w:rsid w:val="004019F6"/>
    <w:rsid w:val="00401A77"/>
    <w:rsid w:val="00401AD5"/>
    <w:rsid w:val="00401B19"/>
    <w:rsid w:val="00401B55"/>
    <w:rsid w:val="00401B77"/>
    <w:rsid w:val="00401BDD"/>
    <w:rsid w:val="00401BF5"/>
    <w:rsid w:val="00401D32"/>
    <w:rsid w:val="00401D5B"/>
    <w:rsid w:val="00401D66"/>
    <w:rsid w:val="00401D67"/>
    <w:rsid w:val="00401E98"/>
    <w:rsid w:val="00401F2A"/>
    <w:rsid w:val="00401F7F"/>
    <w:rsid w:val="00401FFA"/>
    <w:rsid w:val="00402091"/>
    <w:rsid w:val="00402108"/>
    <w:rsid w:val="0040210B"/>
    <w:rsid w:val="00402134"/>
    <w:rsid w:val="00402338"/>
    <w:rsid w:val="00402479"/>
    <w:rsid w:val="0040248A"/>
    <w:rsid w:val="004024D4"/>
    <w:rsid w:val="004024F3"/>
    <w:rsid w:val="0040254F"/>
    <w:rsid w:val="004025B5"/>
    <w:rsid w:val="004027A4"/>
    <w:rsid w:val="004028C0"/>
    <w:rsid w:val="00402913"/>
    <w:rsid w:val="0040293F"/>
    <w:rsid w:val="00402A96"/>
    <w:rsid w:val="00402ABE"/>
    <w:rsid w:val="00402AC1"/>
    <w:rsid w:val="00402B01"/>
    <w:rsid w:val="00402B27"/>
    <w:rsid w:val="00402B34"/>
    <w:rsid w:val="00402B47"/>
    <w:rsid w:val="00402B66"/>
    <w:rsid w:val="00402B80"/>
    <w:rsid w:val="00402C31"/>
    <w:rsid w:val="00402C51"/>
    <w:rsid w:val="00402C6D"/>
    <w:rsid w:val="00402DAA"/>
    <w:rsid w:val="00402E3D"/>
    <w:rsid w:val="00402E66"/>
    <w:rsid w:val="00402F88"/>
    <w:rsid w:val="0040302C"/>
    <w:rsid w:val="00403056"/>
    <w:rsid w:val="0040309C"/>
    <w:rsid w:val="004030A1"/>
    <w:rsid w:val="00403162"/>
    <w:rsid w:val="0040316D"/>
    <w:rsid w:val="004031A8"/>
    <w:rsid w:val="004031BC"/>
    <w:rsid w:val="004031E8"/>
    <w:rsid w:val="004032B9"/>
    <w:rsid w:val="0040337C"/>
    <w:rsid w:val="00403443"/>
    <w:rsid w:val="00403519"/>
    <w:rsid w:val="0040353A"/>
    <w:rsid w:val="00403645"/>
    <w:rsid w:val="0040369D"/>
    <w:rsid w:val="004036AE"/>
    <w:rsid w:val="00403782"/>
    <w:rsid w:val="00403787"/>
    <w:rsid w:val="004038BF"/>
    <w:rsid w:val="0040393B"/>
    <w:rsid w:val="00403A4E"/>
    <w:rsid w:val="00403A55"/>
    <w:rsid w:val="00403A9D"/>
    <w:rsid w:val="00403AEA"/>
    <w:rsid w:val="00403BC5"/>
    <w:rsid w:val="00403C5B"/>
    <w:rsid w:val="00403C67"/>
    <w:rsid w:val="00403D3A"/>
    <w:rsid w:val="00403D59"/>
    <w:rsid w:val="00403DA5"/>
    <w:rsid w:val="00403E1A"/>
    <w:rsid w:val="00403F24"/>
    <w:rsid w:val="00403F43"/>
    <w:rsid w:val="00403FC5"/>
    <w:rsid w:val="00403FD4"/>
    <w:rsid w:val="004040E2"/>
    <w:rsid w:val="0040414B"/>
    <w:rsid w:val="00404460"/>
    <w:rsid w:val="004044CE"/>
    <w:rsid w:val="004044D7"/>
    <w:rsid w:val="0040454F"/>
    <w:rsid w:val="004047A2"/>
    <w:rsid w:val="004047B7"/>
    <w:rsid w:val="004047D1"/>
    <w:rsid w:val="004047DF"/>
    <w:rsid w:val="00404815"/>
    <w:rsid w:val="00404897"/>
    <w:rsid w:val="00404A5A"/>
    <w:rsid w:val="00404AB2"/>
    <w:rsid w:val="00404AE2"/>
    <w:rsid w:val="00404B0E"/>
    <w:rsid w:val="00404D8D"/>
    <w:rsid w:val="00404E59"/>
    <w:rsid w:val="00404E9F"/>
    <w:rsid w:val="00405055"/>
    <w:rsid w:val="00405070"/>
    <w:rsid w:val="0040514D"/>
    <w:rsid w:val="004051DA"/>
    <w:rsid w:val="004051EC"/>
    <w:rsid w:val="004051F9"/>
    <w:rsid w:val="00405205"/>
    <w:rsid w:val="00405271"/>
    <w:rsid w:val="00405316"/>
    <w:rsid w:val="0040533B"/>
    <w:rsid w:val="004053A2"/>
    <w:rsid w:val="004053DF"/>
    <w:rsid w:val="00405487"/>
    <w:rsid w:val="004054A4"/>
    <w:rsid w:val="004054D3"/>
    <w:rsid w:val="0040553B"/>
    <w:rsid w:val="004055B2"/>
    <w:rsid w:val="004056FD"/>
    <w:rsid w:val="0040578D"/>
    <w:rsid w:val="00405833"/>
    <w:rsid w:val="00405939"/>
    <w:rsid w:val="00405948"/>
    <w:rsid w:val="0040595B"/>
    <w:rsid w:val="004059F7"/>
    <w:rsid w:val="00405ADA"/>
    <w:rsid w:val="00405B78"/>
    <w:rsid w:val="00405B89"/>
    <w:rsid w:val="00405BBF"/>
    <w:rsid w:val="00405C0E"/>
    <w:rsid w:val="00405C91"/>
    <w:rsid w:val="00405CA4"/>
    <w:rsid w:val="00405DA9"/>
    <w:rsid w:val="00405EC5"/>
    <w:rsid w:val="00405EE6"/>
    <w:rsid w:val="00405F7C"/>
    <w:rsid w:val="00405FFB"/>
    <w:rsid w:val="00406176"/>
    <w:rsid w:val="004061AA"/>
    <w:rsid w:val="004061C9"/>
    <w:rsid w:val="00406206"/>
    <w:rsid w:val="0040639D"/>
    <w:rsid w:val="00406427"/>
    <w:rsid w:val="0040644E"/>
    <w:rsid w:val="0040655C"/>
    <w:rsid w:val="0040658D"/>
    <w:rsid w:val="004065D9"/>
    <w:rsid w:val="00406670"/>
    <w:rsid w:val="0040669B"/>
    <w:rsid w:val="004066A4"/>
    <w:rsid w:val="00406718"/>
    <w:rsid w:val="004067F0"/>
    <w:rsid w:val="00406852"/>
    <w:rsid w:val="004068C6"/>
    <w:rsid w:val="0040697D"/>
    <w:rsid w:val="004069A7"/>
    <w:rsid w:val="004069B2"/>
    <w:rsid w:val="00406A2E"/>
    <w:rsid w:val="00406A56"/>
    <w:rsid w:val="00406B37"/>
    <w:rsid w:val="00406CA3"/>
    <w:rsid w:val="00406DA7"/>
    <w:rsid w:val="00406DB3"/>
    <w:rsid w:val="00406DC0"/>
    <w:rsid w:val="00406E1D"/>
    <w:rsid w:val="00406ED4"/>
    <w:rsid w:val="00406EED"/>
    <w:rsid w:val="00406F40"/>
    <w:rsid w:val="00406FC4"/>
    <w:rsid w:val="00406FF1"/>
    <w:rsid w:val="00407091"/>
    <w:rsid w:val="004070C5"/>
    <w:rsid w:val="00407116"/>
    <w:rsid w:val="00407139"/>
    <w:rsid w:val="0040714D"/>
    <w:rsid w:val="00407155"/>
    <w:rsid w:val="00407168"/>
    <w:rsid w:val="00407210"/>
    <w:rsid w:val="00407213"/>
    <w:rsid w:val="0040725C"/>
    <w:rsid w:val="0040734E"/>
    <w:rsid w:val="004073B4"/>
    <w:rsid w:val="00407486"/>
    <w:rsid w:val="0040750E"/>
    <w:rsid w:val="00407648"/>
    <w:rsid w:val="00407659"/>
    <w:rsid w:val="00407714"/>
    <w:rsid w:val="004077A4"/>
    <w:rsid w:val="00407817"/>
    <w:rsid w:val="00407893"/>
    <w:rsid w:val="00407912"/>
    <w:rsid w:val="00407A08"/>
    <w:rsid w:val="00407A51"/>
    <w:rsid w:val="00407A87"/>
    <w:rsid w:val="00407B1B"/>
    <w:rsid w:val="00407B4A"/>
    <w:rsid w:val="00407C26"/>
    <w:rsid w:val="00407CC2"/>
    <w:rsid w:val="00407D08"/>
    <w:rsid w:val="00407D98"/>
    <w:rsid w:val="00407DE5"/>
    <w:rsid w:val="00407E47"/>
    <w:rsid w:val="00407E99"/>
    <w:rsid w:val="00407EF4"/>
    <w:rsid w:val="00407F46"/>
    <w:rsid w:val="00407F74"/>
    <w:rsid w:val="00410002"/>
    <w:rsid w:val="00410019"/>
    <w:rsid w:val="00410098"/>
    <w:rsid w:val="00410148"/>
    <w:rsid w:val="004101C6"/>
    <w:rsid w:val="004102C1"/>
    <w:rsid w:val="0041032E"/>
    <w:rsid w:val="0041037B"/>
    <w:rsid w:val="004103B0"/>
    <w:rsid w:val="004103BD"/>
    <w:rsid w:val="004103BF"/>
    <w:rsid w:val="0041048F"/>
    <w:rsid w:val="004104B6"/>
    <w:rsid w:val="004104E7"/>
    <w:rsid w:val="00410569"/>
    <w:rsid w:val="0041056B"/>
    <w:rsid w:val="00410574"/>
    <w:rsid w:val="0041059B"/>
    <w:rsid w:val="0041068E"/>
    <w:rsid w:val="00410789"/>
    <w:rsid w:val="004107F1"/>
    <w:rsid w:val="004107F3"/>
    <w:rsid w:val="0041081C"/>
    <w:rsid w:val="00410823"/>
    <w:rsid w:val="00410870"/>
    <w:rsid w:val="0041088A"/>
    <w:rsid w:val="00410891"/>
    <w:rsid w:val="0041089E"/>
    <w:rsid w:val="004108B7"/>
    <w:rsid w:val="004108CA"/>
    <w:rsid w:val="0041099B"/>
    <w:rsid w:val="004109B0"/>
    <w:rsid w:val="004109BC"/>
    <w:rsid w:val="004109C0"/>
    <w:rsid w:val="00410A19"/>
    <w:rsid w:val="00410AA1"/>
    <w:rsid w:val="00410ABF"/>
    <w:rsid w:val="00410B07"/>
    <w:rsid w:val="00410B69"/>
    <w:rsid w:val="00410B6C"/>
    <w:rsid w:val="00410BB1"/>
    <w:rsid w:val="00410BC7"/>
    <w:rsid w:val="00410C68"/>
    <w:rsid w:val="00410CFD"/>
    <w:rsid w:val="00410D0D"/>
    <w:rsid w:val="00410D1C"/>
    <w:rsid w:val="00410D51"/>
    <w:rsid w:val="00410D69"/>
    <w:rsid w:val="00410DF9"/>
    <w:rsid w:val="00410E01"/>
    <w:rsid w:val="00410EAE"/>
    <w:rsid w:val="00410ECF"/>
    <w:rsid w:val="00410F5A"/>
    <w:rsid w:val="00410FC1"/>
    <w:rsid w:val="0041101F"/>
    <w:rsid w:val="00411053"/>
    <w:rsid w:val="0041106E"/>
    <w:rsid w:val="004110AE"/>
    <w:rsid w:val="004110B0"/>
    <w:rsid w:val="004110BF"/>
    <w:rsid w:val="00411242"/>
    <w:rsid w:val="00411251"/>
    <w:rsid w:val="0041125F"/>
    <w:rsid w:val="00411385"/>
    <w:rsid w:val="004113BC"/>
    <w:rsid w:val="004113D3"/>
    <w:rsid w:val="004113E2"/>
    <w:rsid w:val="004113EF"/>
    <w:rsid w:val="004115C8"/>
    <w:rsid w:val="00411638"/>
    <w:rsid w:val="00411666"/>
    <w:rsid w:val="004116A9"/>
    <w:rsid w:val="00411770"/>
    <w:rsid w:val="004117BC"/>
    <w:rsid w:val="004117CD"/>
    <w:rsid w:val="00411805"/>
    <w:rsid w:val="00411842"/>
    <w:rsid w:val="0041191C"/>
    <w:rsid w:val="00411941"/>
    <w:rsid w:val="0041195F"/>
    <w:rsid w:val="00411984"/>
    <w:rsid w:val="004119FA"/>
    <w:rsid w:val="00411A34"/>
    <w:rsid w:val="00411A4D"/>
    <w:rsid w:val="00411C41"/>
    <w:rsid w:val="00411E40"/>
    <w:rsid w:val="00411E99"/>
    <w:rsid w:val="00411ECE"/>
    <w:rsid w:val="00411F1F"/>
    <w:rsid w:val="00412000"/>
    <w:rsid w:val="00412017"/>
    <w:rsid w:val="00412059"/>
    <w:rsid w:val="0041220C"/>
    <w:rsid w:val="004122C8"/>
    <w:rsid w:val="004123A9"/>
    <w:rsid w:val="0041242C"/>
    <w:rsid w:val="00412446"/>
    <w:rsid w:val="004124AF"/>
    <w:rsid w:val="004124CA"/>
    <w:rsid w:val="004124F6"/>
    <w:rsid w:val="004125F2"/>
    <w:rsid w:val="004126A5"/>
    <w:rsid w:val="004127DB"/>
    <w:rsid w:val="00412862"/>
    <w:rsid w:val="004128BA"/>
    <w:rsid w:val="00412909"/>
    <w:rsid w:val="00412AFA"/>
    <w:rsid w:val="00412B03"/>
    <w:rsid w:val="00412BA8"/>
    <w:rsid w:val="00412C47"/>
    <w:rsid w:val="00412C90"/>
    <w:rsid w:val="00412C9E"/>
    <w:rsid w:val="00412CD3"/>
    <w:rsid w:val="00412CE3"/>
    <w:rsid w:val="00412D05"/>
    <w:rsid w:val="00412D55"/>
    <w:rsid w:val="00412D6E"/>
    <w:rsid w:val="00412EF4"/>
    <w:rsid w:val="00412EFB"/>
    <w:rsid w:val="00412F11"/>
    <w:rsid w:val="00412F4F"/>
    <w:rsid w:val="00412FD1"/>
    <w:rsid w:val="00413014"/>
    <w:rsid w:val="00413028"/>
    <w:rsid w:val="00413058"/>
    <w:rsid w:val="00413081"/>
    <w:rsid w:val="004130A3"/>
    <w:rsid w:val="004130C0"/>
    <w:rsid w:val="00413118"/>
    <w:rsid w:val="00413198"/>
    <w:rsid w:val="004132FB"/>
    <w:rsid w:val="00413302"/>
    <w:rsid w:val="00413415"/>
    <w:rsid w:val="00413444"/>
    <w:rsid w:val="00413447"/>
    <w:rsid w:val="00413475"/>
    <w:rsid w:val="0041348F"/>
    <w:rsid w:val="00413604"/>
    <w:rsid w:val="0041365E"/>
    <w:rsid w:val="0041367D"/>
    <w:rsid w:val="004136BA"/>
    <w:rsid w:val="00413763"/>
    <w:rsid w:val="004137A7"/>
    <w:rsid w:val="00413848"/>
    <w:rsid w:val="0041385A"/>
    <w:rsid w:val="004139CD"/>
    <w:rsid w:val="004139E5"/>
    <w:rsid w:val="00413BE8"/>
    <w:rsid w:val="00413D39"/>
    <w:rsid w:val="00413E43"/>
    <w:rsid w:val="00413F13"/>
    <w:rsid w:val="00413F47"/>
    <w:rsid w:val="00413FA4"/>
    <w:rsid w:val="0041400F"/>
    <w:rsid w:val="00414169"/>
    <w:rsid w:val="0041421E"/>
    <w:rsid w:val="0041422D"/>
    <w:rsid w:val="004142A3"/>
    <w:rsid w:val="0041430B"/>
    <w:rsid w:val="00414454"/>
    <w:rsid w:val="0041446F"/>
    <w:rsid w:val="0041447A"/>
    <w:rsid w:val="004144EF"/>
    <w:rsid w:val="0041451A"/>
    <w:rsid w:val="00414520"/>
    <w:rsid w:val="0041452C"/>
    <w:rsid w:val="0041452F"/>
    <w:rsid w:val="004145B5"/>
    <w:rsid w:val="00414603"/>
    <w:rsid w:val="0041465D"/>
    <w:rsid w:val="00414695"/>
    <w:rsid w:val="00414722"/>
    <w:rsid w:val="00414804"/>
    <w:rsid w:val="00414862"/>
    <w:rsid w:val="0041489A"/>
    <w:rsid w:val="004148E2"/>
    <w:rsid w:val="00414A6C"/>
    <w:rsid w:val="00414A77"/>
    <w:rsid w:val="00414AB1"/>
    <w:rsid w:val="00414BF4"/>
    <w:rsid w:val="00414C03"/>
    <w:rsid w:val="00414C16"/>
    <w:rsid w:val="00414C3E"/>
    <w:rsid w:val="00414DA8"/>
    <w:rsid w:val="00414E6E"/>
    <w:rsid w:val="00414F3B"/>
    <w:rsid w:val="00414F68"/>
    <w:rsid w:val="00414FAE"/>
    <w:rsid w:val="0041506A"/>
    <w:rsid w:val="004150CC"/>
    <w:rsid w:val="00415126"/>
    <w:rsid w:val="00415161"/>
    <w:rsid w:val="004151BA"/>
    <w:rsid w:val="004151E2"/>
    <w:rsid w:val="00415230"/>
    <w:rsid w:val="0041525B"/>
    <w:rsid w:val="00415264"/>
    <w:rsid w:val="0041534C"/>
    <w:rsid w:val="0041535B"/>
    <w:rsid w:val="004153AB"/>
    <w:rsid w:val="004153B1"/>
    <w:rsid w:val="004153E4"/>
    <w:rsid w:val="0041558C"/>
    <w:rsid w:val="00415688"/>
    <w:rsid w:val="00415747"/>
    <w:rsid w:val="00415750"/>
    <w:rsid w:val="004158F1"/>
    <w:rsid w:val="00415A42"/>
    <w:rsid w:val="00415A71"/>
    <w:rsid w:val="00415AB0"/>
    <w:rsid w:val="00415AB9"/>
    <w:rsid w:val="00415B51"/>
    <w:rsid w:val="00415BCE"/>
    <w:rsid w:val="00415C1E"/>
    <w:rsid w:val="00415C76"/>
    <w:rsid w:val="00415CAC"/>
    <w:rsid w:val="00415CB0"/>
    <w:rsid w:val="00415D1C"/>
    <w:rsid w:val="00415D99"/>
    <w:rsid w:val="00415DA0"/>
    <w:rsid w:val="00415DE8"/>
    <w:rsid w:val="00415EDF"/>
    <w:rsid w:val="00415F10"/>
    <w:rsid w:val="00415FB8"/>
    <w:rsid w:val="00416056"/>
    <w:rsid w:val="00416085"/>
    <w:rsid w:val="004160A3"/>
    <w:rsid w:val="004160B7"/>
    <w:rsid w:val="004160F8"/>
    <w:rsid w:val="0041610E"/>
    <w:rsid w:val="00416142"/>
    <w:rsid w:val="00416143"/>
    <w:rsid w:val="0041615A"/>
    <w:rsid w:val="00416211"/>
    <w:rsid w:val="00416235"/>
    <w:rsid w:val="0041623C"/>
    <w:rsid w:val="00416254"/>
    <w:rsid w:val="004162F1"/>
    <w:rsid w:val="0041631B"/>
    <w:rsid w:val="004163AB"/>
    <w:rsid w:val="004163ED"/>
    <w:rsid w:val="0041648A"/>
    <w:rsid w:val="004164BF"/>
    <w:rsid w:val="004164DC"/>
    <w:rsid w:val="004164E9"/>
    <w:rsid w:val="0041661B"/>
    <w:rsid w:val="004166EB"/>
    <w:rsid w:val="00416800"/>
    <w:rsid w:val="0041688B"/>
    <w:rsid w:val="004168D8"/>
    <w:rsid w:val="00416949"/>
    <w:rsid w:val="00416AB3"/>
    <w:rsid w:val="00416ADF"/>
    <w:rsid w:val="00416B50"/>
    <w:rsid w:val="00416BC6"/>
    <w:rsid w:val="00416C7B"/>
    <w:rsid w:val="00416CB7"/>
    <w:rsid w:val="00416CDE"/>
    <w:rsid w:val="00416D25"/>
    <w:rsid w:val="00416D85"/>
    <w:rsid w:val="00416E80"/>
    <w:rsid w:val="00416EB9"/>
    <w:rsid w:val="00416F23"/>
    <w:rsid w:val="00416F53"/>
    <w:rsid w:val="0041707F"/>
    <w:rsid w:val="004170C7"/>
    <w:rsid w:val="004171EC"/>
    <w:rsid w:val="0041725B"/>
    <w:rsid w:val="004173F8"/>
    <w:rsid w:val="00417414"/>
    <w:rsid w:val="00417421"/>
    <w:rsid w:val="00417425"/>
    <w:rsid w:val="00417433"/>
    <w:rsid w:val="00417481"/>
    <w:rsid w:val="0041748B"/>
    <w:rsid w:val="0041758D"/>
    <w:rsid w:val="004175DA"/>
    <w:rsid w:val="00417635"/>
    <w:rsid w:val="00417678"/>
    <w:rsid w:val="004176AE"/>
    <w:rsid w:val="00417790"/>
    <w:rsid w:val="004177C9"/>
    <w:rsid w:val="00417845"/>
    <w:rsid w:val="00417849"/>
    <w:rsid w:val="00417882"/>
    <w:rsid w:val="0041791A"/>
    <w:rsid w:val="004179DE"/>
    <w:rsid w:val="00417B05"/>
    <w:rsid w:val="00417B13"/>
    <w:rsid w:val="00417B51"/>
    <w:rsid w:val="00417B80"/>
    <w:rsid w:val="00417B82"/>
    <w:rsid w:val="00417CBA"/>
    <w:rsid w:val="00417D39"/>
    <w:rsid w:val="00417D66"/>
    <w:rsid w:val="00417D78"/>
    <w:rsid w:val="00417D9B"/>
    <w:rsid w:val="00417DB5"/>
    <w:rsid w:val="00417EA1"/>
    <w:rsid w:val="00417EC7"/>
    <w:rsid w:val="00417EC9"/>
    <w:rsid w:val="00417F24"/>
    <w:rsid w:val="00417FA3"/>
    <w:rsid w:val="00420002"/>
    <w:rsid w:val="00420021"/>
    <w:rsid w:val="0042002B"/>
    <w:rsid w:val="00420036"/>
    <w:rsid w:val="004200B2"/>
    <w:rsid w:val="004200BD"/>
    <w:rsid w:val="0042018C"/>
    <w:rsid w:val="004201CC"/>
    <w:rsid w:val="004202A1"/>
    <w:rsid w:val="004203AA"/>
    <w:rsid w:val="004203B3"/>
    <w:rsid w:val="004203FC"/>
    <w:rsid w:val="0042048D"/>
    <w:rsid w:val="004204A8"/>
    <w:rsid w:val="00420558"/>
    <w:rsid w:val="004205F3"/>
    <w:rsid w:val="0042062C"/>
    <w:rsid w:val="004206CA"/>
    <w:rsid w:val="004206CE"/>
    <w:rsid w:val="00420712"/>
    <w:rsid w:val="00420808"/>
    <w:rsid w:val="0042081D"/>
    <w:rsid w:val="00420897"/>
    <w:rsid w:val="004208CF"/>
    <w:rsid w:val="00420A64"/>
    <w:rsid w:val="00420A9E"/>
    <w:rsid w:val="00420BD3"/>
    <w:rsid w:val="00420C15"/>
    <w:rsid w:val="00420C5A"/>
    <w:rsid w:val="00420D1B"/>
    <w:rsid w:val="00420D73"/>
    <w:rsid w:val="00420DFB"/>
    <w:rsid w:val="00420E0F"/>
    <w:rsid w:val="00420E54"/>
    <w:rsid w:val="00420EFE"/>
    <w:rsid w:val="00420FC6"/>
    <w:rsid w:val="0042100A"/>
    <w:rsid w:val="0042106C"/>
    <w:rsid w:val="0042107D"/>
    <w:rsid w:val="004210DC"/>
    <w:rsid w:val="004211D0"/>
    <w:rsid w:val="004212BF"/>
    <w:rsid w:val="00421360"/>
    <w:rsid w:val="004213AE"/>
    <w:rsid w:val="00421429"/>
    <w:rsid w:val="004214B9"/>
    <w:rsid w:val="00421560"/>
    <w:rsid w:val="00421561"/>
    <w:rsid w:val="00421672"/>
    <w:rsid w:val="00421749"/>
    <w:rsid w:val="00421856"/>
    <w:rsid w:val="004218F9"/>
    <w:rsid w:val="00421913"/>
    <w:rsid w:val="0042197E"/>
    <w:rsid w:val="00421981"/>
    <w:rsid w:val="004219DB"/>
    <w:rsid w:val="00421A91"/>
    <w:rsid w:val="00421B48"/>
    <w:rsid w:val="00421B6B"/>
    <w:rsid w:val="00421BA4"/>
    <w:rsid w:val="00421C12"/>
    <w:rsid w:val="00421D0F"/>
    <w:rsid w:val="00421EE6"/>
    <w:rsid w:val="00421F1A"/>
    <w:rsid w:val="00421FDD"/>
    <w:rsid w:val="00422057"/>
    <w:rsid w:val="00422063"/>
    <w:rsid w:val="00422091"/>
    <w:rsid w:val="004220DD"/>
    <w:rsid w:val="00422155"/>
    <w:rsid w:val="004221A7"/>
    <w:rsid w:val="004221D3"/>
    <w:rsid w:val="004221ED"/>
    <w:rsid w:val="00422274"/>
    <w:rsid w:val="00422275"/>
    <w:rsid w:val="0042227A"/>
    <w:rsid w:val="004222A8"/>
    <w:rsid w:val="004222D8"/>
    <w:rsid w:val="00422343"/>
    <w:rsid w:val="004223E3"/>
    <w:rsid w:val="00422451"/>
    <w:rsid w:val="0042253A"/>
    <w:rsid w:val="0042256B"/>
    <w:rsid w:val="00422584"/>
    <w:rsid w:val="00422590"/>
    <w:rsid w:val="004225E2"/>
    <w:rsid w:val="004225F2"/>
    <w:rsid w:val="004225FB"/>
    <w:rsid w:val="0042269D"/>
    <w:rsid w:val="004226CF"/>
    <w:rsid w:val="004226D6"/>
    <w:rsid w:val="0042281D"/>
    <w:rsid w:val="00422876"/>
    <w:rsid w:val="004228BC"/>
    <w:rsid w:val="0042291F"/>
    <w:rsid w:val="004229EB"/>
    <w:rsid w:val="00422A00"/>
    <w:rsid w:val="00422B12"/>
    <w:rsid w:val="00422B78"/>
    <w:rsid w:val="00422C51"/>
    <w:rsid w:val="00422C64"/>
    <w:rsid w:val="00422CB6"/>
    <w:rsid w:val="00422CCF"/>
    <w:rsid w:val="00422D60"/>
    <w:rsid w:val="00422EBC"/>
    <w:rsid w:val="00422F05"/>
    <w:rsid w:val="00423049"/>
    <w:rsid w:val="004230A0"/>
    <w:rsid w:val="00423104"/>
    <w:rsid w:val="00423119"/>
    <w:rsid w:val="004231E8"/>
    <w:rsid w:val="0042324C"/>
    <w:rsid w:val="00423258"/>
    <w:rsid w:val="00423362"/>
    <w:rsid w:val="004234A0"/>
    <w:rsid w:val="004235BE"/>
    <w:rsid w:val="00423664"/>
    <w:rsid w:val="00423668"/>
    <w:rsid w:val="00423708"/>
    <w:rsid w:val="0042375D"/>
    <w:rsid w:val="00423784"/>
    <w:rsid w:val="004237D2"/>
    <w:rsid w:val="004237EE"/>
    <w:rsid w:val="004237F5"/>
    <w:rsid w:val="00423A19"/>
    <w:rsid w:val="00423B08"/>
    <w:rsid w:val="00423C20"/>
    <w:rsid w:val="00423CD6"/>
    <w:rsid w:val="00423D49"/>
    <w:rsid w:val="00423DBD"/>
    <w:rsid w:val="00423EB2"/>
    <w:rsid w:val="00423F12"/>
    <w:rsid w:val="00423F2B"/>
    <w:rsid w:val="00423FA3"/>
    <w:rsid w:val="004240C8"/>
    <w:rsid w:val="004240EF"/>
    <w:rsid w:val="004241F1"/>
    <w:rsid w:val="00424252"/>
    <w:rsid w:val="0042438B"/>
    <w:rsid w:val="004243F4"/>
    <w:rsid w:val="00424410"/>
    <w:rsid w:val="00424480"/>
    <w:rsid w:val="004244F7"/>
    <w:rsid w:val="00424539"/>
    <w:rsid w:val="0042454E"/>
    <w:rsid w:val="00424586"/>
    <w:rsid w:val="00424684"/>
    <w:rsid w:val="004246AF"/>
    <w:rsid w:val="004246DC"/>
    <w:rsid w:val="004246DE"/>
    <w:rsid w:val="00424736"/>
    <w:rsid w:val="00424781"/>
    <w:rsid w:val="00424797"/>
    <w:rsid w:val="00424818"/>
    <w:rsid w:val="004248A9"/>
    <w:rsid w:val="0042495F"/>
    <w:rsid w:val="00424A1B"/>
    <w:rsid w:val="00424A9A"/>
    <w:rsid w:val="00424B07"/>
    <w:rsid w:val="00424C44"/>
    <w:rsid w:val="00424D16"/>
    <w:rsid w:val="00424E24"/>
    <w:rsid w:val="00424ED0"/>
    <w:rsid w:val="00424F17"/>
    <w:rsid w:val="00424F9F"/>
    <w:rsid w:val="0042504E"/>
    <w:rsid w:val="00425060"/>
    <w:rsid w:val="00425093"/>
    <w:rsid w:val="0042510A"/>
    <w:rsid w:val="0042512A"/>
    <w:rsid w:val="00425147"/>
    <w:rsid w:val="004251D8"/>
    <w:rsid w:val="0042525D"/>
    <w:rsid w:val="004252B4"/>
    <w:rsid w:val="004252E9"/>
    <w:rsid w:val="004253C9"/>
    <w:rsid w:val="0042540B"/>
    <w:rsid w:val="00425447"/>
    <w:rsid w:val="0042545A"/>
    <w:rsid w:val="0042545E"/>
    <w:rsid w:val="00425495"/>
    <w:rsid w:val="00425518"/>
    <w:rsid w:val="00425567"/>
    <w:rsid w:val="00425579"/>
    <w:rsid w:val="00425590"/>
    <w:rsid w:val="004255AA"/>
    <w:rsid w:val="00425627"/>
    <w:rsid w:val="00425698"/>
    <w:rsid w:val="004256ED"/>
    <w:rsid w:val="00425791"/>
    <w:rsid w:val="004257AB"/>
    <w:rsid w:val="0042596D"/>
    <w:rsid w:val="004259E5"/>
    <w:rsid w:val="004259E6"/>
    <w:rsid w:val="00425AF8"/>
    <w:rsid w:val="00425B8B"/>
    <w:rsid w:val="00425BF0"/>
    <w:rsid w:val="00425C0D"/>
    <w:rsid w:val="00425C2E"/>
    <w:rsid w:val="00425DC9"/>
    <w:rsid w:val="00425DE8"/>
    <w:rsid w:val="00425E1B"/>
    <w:rsid w:val="00425EAB"/>
    <w:rsid w:val="00425EC1"/>
    <w:rsid w:val="00425F36"/>
    <w:rsid w:val="00425FE0"/>
    <w:rsid w:val="0042600B"/>
    <w:rsid w:val="0042600D"/>
    <w:rsid w:val="0042601E"/>
    <w:rsid w:val="00426078"/>
    <w:rsid w:val="0042609C"/>
    <w:rsid w:val="0042617E"/>
    <w:rsid w:val="00426183"/>
    <w:rsid w:val="0042619B"/>
    <w:rsid w:val="004261A2"/>
    <w:rsid w:val="004261D0"/>
    <w:rsid w:val="00426206"/>
    <w:rsid w:val="0042625E"/>
    <w:rsid w:val="004262D5"/>
    <w:rsid w:val="004262D8"/>
    <w:rsid w:val="00426309"/>
    <w:rsid w:val="00426373"/>
    <w:rsid w:val="00426385"/>
    <w:rsid w:val="004263A8"/>
    <w:rsid w:val="004265DE"/>
    <w:rsid w:val="004265ED"/>
    <w:rsid w:val="00426702"/>
    <w:rsid w:val="0042670B"/>
    <w:rsid w:val="0042676A"/>
    <w:rsid w:val="00426781"/>
    <w:rsid w:val="004267D0"/>
    <w:rsid w:val="00426833"/>
    <w:rsid w:val="0042688E"/>
    <w:rsid w:val="004268A3"/>
    <w:rsid w:val="0042696A"/>
    <w:rsid w:val="00426991"/>
    <w:rsid w:val="004269C2"/>
    <w:rsid w:val="004269E7"/>
    <w:rsid w:val="00426A1B"/>
    <w:rsid w:val="00426A66"/>
    <w:rsid w:val="00426B17"/>
    <w:rsid w:val="00426BEE"/>
    <w:rsid w:val="00426C10"/>
    <w:rsid w:val="00426CC0"/>
    <w:rsid w:val="00426CEE"/>
    <w:rsid w:val="00426D89"/>
    <w:rsid w:val="00426D91"/>
    <w:rsid w:val="00426DDF"/>
    <w:rsid w:val="00426E71"/>
    <w:rsid w:val="00426EEF"/>
    <w:rsid w:val="00426F0D"/>
    <w:rsid w:val="00426F3A"/>
    <w:rsid w:val="00427019"/>
    <w:rsid w:val="004270A2"/>
    <w:rsid w:val="004270D5"/>
    <w:rsid w:val="004271B6"/>
    <w:rsid w:val="00427238"/>
    <w:rsid w:val="004272AD"/>
    <w:rsid w:val="004272F4"/>
    <w:rsid w:val="0042739E"/>
    <w:rsid w:val="004273CF"/>
    <w:rsid w:val="004273EF"/>
    <w:rsid w:val="0042742E"/>
    <w:rsid w:val="0042759D"/>
    <w:rsid w:val="004275D2"/>
    <w:rsid w:val="004275DC"/>
    <w:rsid w:val="004276D0"/>
    <w:rsid w:val="00427776"/>
    <w:rsid w:val="00427784"/>
    <w:rsid w:val="004277B5"/>
    <w:rsid w:val="0042784E"/>
    <w:rsid w:val="0042790B"/>
    <w:rsid w:val="0042798C"/>
    <w:rsid w:val="004279C2"/>
    <w:rsid w:val="00427A01"/>
    <w:rsid w:val="00427A0A"/>
    <w:rsid w:val="00427A83"/>
    <w:rsid w:val="00427C1D"/>
    <w:rsid w:val="00427C76"/>
    <w:rsid w:val="00427C93"/>
    <w:rsid w:val="00427CBF"/>
    <w:rsid w:val="00427CF7"/>
    <w:rsid w:val="00427DED"/>
    <w:rsid w:val="00427F01"/>
    <w:rsid w:val="00427F04"/>
    <w:rsid w:val="00427F6C"/>
    <w:rsid w:val="00430028"/>
    <w:rsid w:val="004301CB"/>
    <w:rsid w:val="00430264"/>
    <w:rsid w:val="004302D4"/>
    <w:rsid w:val="004302E3"/>
    <w:rsid w:val="00430312"/>
    <w:rsid w:val="00430350"/>
    <w:rsid w:val="00430353"/>
    <w:rsid w:val="004303CD"/>
    <w:rsid w:val="004303ED"/>
    <w:rsid w:val="004303F7"/>
    <w:rsid w:val="004303FF"/>
    <w:rsid w:val="00430403"/>
    <w:rsid w:val="0043045C"/>
    <w:rsid w:val="00430764"/>
    <w:rsid w:val="004307E0"/>
    <w:rsid w:val="004307F4"/>
    <w:rsid w:val="00430854"/>
    <w:rsid w:val="00430872"/>
    <w:rsid w:val="00430934"/>
    <w:rsid w:val="0043095A"/>
    <w:rsid w:val="004309FF"/>
    <w:rsid w:val="00430AA5"/>
    <w:rsid w:val="00430AD3"/>
    <w:rsid w:val="00430B54"/>
    <w:rsid w:val="00430BCC"/>
    <w:rsid w:val="00430CC0"/>
    <w:rsid w:val="00430F7E"/>
    <w:rsid w:val="00430F91"/>
    <w:rsid w:val="00430FB2"/>
    <w:rsid w:val="00431138"/>
    <w:rsid w:val="004311C4"/>
    <w:rsid w:val="0043125E"/>
    <w:rsid w:val="004312F9"/>
    <w:rsid w:val="00431328"/>
    <w:rsid w:val="0043132B"/>
    <w:rsid w:val="004313D3"/>
    <w:rsid w:val="004313EB"/>
    <w:rsid w:val="00431402"/>
    <w:rsid w:val="00431415"/>
    <w:rsid w:val="00431447"/>
    <w:rsid w:val="0043144B"/>
    <w:rsid w:val="00431463"/>
    <w:rsid w:val="0043148E"/>
    <w:rsid w:val="004315C2"/>
    <w:rsid w:val="004315F5"/>
    <w:rsid w:val="0043160F"/>
    <w:rsid w:val="004316E9"/>
    <w:rsid w:val="004317DD"/>
    <w:rsid w:val="0043188B"/>
    <w:rsid w:val="004318D6"/>
    <w:rsid w:val="00431968"/>
    <w:rsid w:val="0043198B"/>
    <w:rsid w:val="004319CD"/>
    <w:rsid w:val="00431AEB"/>
    <w:rsid w:val="00431B0A"/>
    <w:rsid w:val="00431B13"/>
    <w:rsid w:val="00431BC1"/>
    <w:rsid w:val="00431BDF"/>
    <w:rsid w:val="00431C41"/>
    <w:rsid w:val="00431D77"/>
    <w:rsid w:val="00431DBE"/>
    <w:rsid w:val="00431E28"/>
    <w:rsid w:val="00431EAC"/>
    <w:rsid w:val="00431EF0"/>
    <w:rsid w:val="00431FCB"/>
    <w:rsid w:val="00431FD8"/>
    <w:rsid w:val="00431FDA"/>
    <w:rsid w:val="00431FDE"/>
    <w:rsid w:val="00431FE8"/>
    <w:rsid w:val="0043200A"/>
    <w:rsid w:val="0043206B"/>
    <w:rsid w:val="00432075"/>
    <w:rsid w:val="004320ED"/>
    <w:rsid w:val="004320F9"/>
    <w:rsid w:val="0043213B"/>
    <w:rsid w:val="00432185"/>
    <w:rsid w:val="004322E9"/>
    <w:rsid w:val="00432318"/>
    <w:rsid w:val="00432363"/>
    <w:rsid w:val="0043236A"/>
    <w:rsid w:val="00432418"/>
    <w:rsid w:val="00432487"/>
    <w:rsid w:val="004324E3"/>
    <w:rsid w:val="00432531"/>
    <w:rsid w:val="004326B7"/>
    <w:rsid w:val="004326B8"/>
    <w:rsid w:val="004326D9"/>
    <w:rsid w:val="004327B5"/>
    <w:rsid w:val="004327ED"/>
    <w:rsid w:val="004327EF"/>
    <w:rsid w:val="004327FF"/>
    <w:rsid w:val="00432801"/>
    <w:rsid w:val="0043283F"/>
    <w:rsid w:val="004328FC"/>
    <w:rsid w:val="00432943"/>
    <w:rsid w:val="00432A43"/>
    <w:rsid w:val="00432A4C"/>
    <w:rsid w:val="00432ACE"/>
    <w:rsid w:val="00432B3C"/>
    <w:rsid w:val="00432BAC"/>
    <w:rsid w:val="00432C4D"/>
    <w:rsid w:val="00432E64"/>
    <w:rsid w:val="00432EA1"/>
    <w:rsid w:val="00432EA6"/>
    <w:rsid w:val="00432FCD"/>
    <w:rsid w:val="00433002"/>
    <w:rsid w:val="0043301B"/>
    <w:rsid w:val="00433240"/>
    <w:rsid w:val="0043332B"/>
    <w:rsid w:val="0043332D"/>
    <w:rsid w:val="0043340A"/>
    <w:rsid w:val="00433434"/>
    <w:rsid w:val="004334ED"/>
    <w:rsid w:val="004335C2"/>
    <w:rsid w:val="004335D5"/>
    <w:rsid w:val="00433630"/>
    <w:rsid w:val="004336AB"/>
    <w:rsid w:val="00433749"/>
    <w:rsid w:val="004337D7"/>
    <w:rsid w:val="00433814"/>
    <w:rsid w:val="00433820"/>
    <w:rsid w:val="0043385B"/>
    <w:rsid w:val="0043396F"/>
    <w:rsid w:val="0043398B"/>
    <w:rsid w:val="00433B07"/>
    <w:rsid w:val="00433B93"/>
    <w:rsid w:val="00433C7B"/>
    <w:rsid w:val="00433CAA"/>
    <w:rsid w:val="00433D48"/>
    <w:rsid w:val="00433DA1"/>
    <w:rsid w:val="00433E0D"/>
    <w:rsid w:val="00433E1C"/>
    <w:rsid w:val="00433E96"/>
    <w:rsid w:val="00433EEE"/>
    <w:rsid w:val="00433F0A"/>
    <w:rsid w:val="00433FD9"/>
    <w:rsid w:val="00434012"/>
    <w:rsid w:val="00434015"/>
    <w:rsid w:val="00434106"/>
    <w:rsid w:val="00434158"/>
    <w:rsid w:val="0043416B"/>
    <w:rsid w:val="00434176"/>
    <w:rsid w:val="004341D5"/>
    <w:rsid w:val="004341D9"/>
    <w:rsid w:val="004341EC"/>
    <w:rsid w:val="00434245"/>
    <w:rsid w:val="00434372"/>
    <w:rsid w:val="0043445F"/>
    <w:rsid w:val="00434517"/>
    <w:rsid w:val="0043453E"/>
    <w:rsid w:val="00434578"/>
    <w:rsid w:val="00434595"/>
    <w:rsid w:val="004345A7"/>
    <w:rsid w:val="00434647"/>
    <w:rsid w:val="0043468C"/>
    <w:rsid w:val="004346AE"/>
    <w:rsid w:val="004346F5"/>
    <w:rsid w:val="00434777"/>
    <w:rsid w:val="004347D5"/>
    <w:rsid w:val="004347F2"/>
    <w:rsid w:val="0043480F"/>
    <w:rsid w:val="0043482B"/>
    <w:rsid w:val="00434929"/>
    <w:rsid w:val="0043492F"/>
    <w:rsid w:val="00434943"/>
    <w:rsid w:val="0043498A"/>
    <w:rsid w:val="00434A04"/>
    <w:rsid w:val="00434A19"/>
    <w:rsid w:val="00434AB5"/>
    <w:rsid w:val="00434B25"/>
    <w:rsid w:val="00434B8A"/>
    <w:rsid w:val="00434CAC"/>
    <w:rsid w:val="00434D64"/>
    <w:rsid w:val="00434E20"/>
    <w:rsid w:val="00434EC9"/>
    <w:rsid w:val="00434ED3"/>
    <w:rsid w:val="00434F82"/>
    <w:rsid w:val="00434FCB"/>
    <w:rsid w:val="0043503C"/>
    <w:rsid w:val="00435172"/>
    <w:rsid w:val="00435178"/>
    <w:rsid w:val="004351FE"/>
    <w:rsid w:val="004352C2"/>
    <w:rsid w:val="004352F4"/>
    <w:rsid w:val="00435327"/>
    <w:rsid w:val="00435460"/>
    <w:rsid w:val="00435525"/>
    <w:rsid w:val="00435566"/>
    <w:rsid w:val="00435568"/>
    <w:rsid w:val="00435587"/>
    <w:rsid w:val="004355E1"/>
    <w:rsid w:val="004357FE"/>
    <w:rsid w:val="00435808"/>
    <w:rsid w:val="00435884"/>
    <w:rsid w:val="004358A0"/>
    <w:rsid w:val="004358AC"/>
    <w:rsid w:val="004358C4"/>
    <w:rsid w:val="00435939"/>
    <w:rsid w:val="0043596D"/>
    <w:rsid w:val="00435A14"/>
    <w:rsid w:val="00435A7A"/>
    <w:rsid w:val="00435AC2"/>
    <w:rsid w:val="00435B8A"/>
    <w:rsid w:val="00435B99"/>
    <w:rsid w:val="00435BCA"/>
    <w:rsid w:val="00435BD9"/>
    <w:rsid w:val="00435D05"/>
    <w:rsid w:val="00435D25"/>
    <w:rsid w:val="00435D31"/>
    <w:rsid w:val="00435D5C"/>
    <w:rsid w:val="00435D87"/>
    <w:rsid w:val="00435DA4"/>
    <w:rsid w:val="00435E19"/>
    <w:rsid w:val="00435E75"/>
    <w:rsid w:val="004361A3"/>
    <w:rsid w:val="004361B4"/>
    <w:rsid w:val="0043623F"/>
    <w:rsid w:val="00436397"/>
    <w:rsid w:val="004363C1"/>
    <w:rsid w:val="0043644A"/>
    <w:rsid w:val="004364C4"/>
    <w:rsid w:val="004366C5"/>
    <w:rsid w:val="0043671D"/>
    <w:rsid w:val="00436755"/>
    <w:rsid w:val="004367E3"/>
    <w:rsid w:val="004367E6"/>
    <w:rsid w:val="0043690E"/>
    <w:rsid w:val="00436983"/>
    <w:rsid w:val="00436A55"/>
    <w:rsid w:val="00436A7D"/>
    <w:rsid w:val="00436A81"/>
    <w:rsid w:val="00436AFE"/>
    <w:rsid w:val="00436B4A"/>
    <w:rsid w:val="00436C40"/>
    <w:rsid w:val="00436CA6"/>
    <w:rsid w:val="00436CA9"/>
    <w:rsid w:val="00436CC9"/>
    <w:rsid w:val="00436CF6"/>
    <w:rsid w:val="00436E1F"/>
    <w:rsid w:val="00437027"/>
    <w:rsid w:val="004370F3"/>
    <w:rsid w:val="00437132"/>
    <w:rsid w:val="0043716E"/>
    <w:rsid w:val="00437244"/>
    <w:rsid w:val="0043727A"/>
    <w:rsid w:val="004372FE"/>
    <w:rsid w:val="00437362"/>
    <w:rsid w:val="0043736A"/>
    <w:rsid w:val="00437382"/>
    <w:rsid w:val="0043739F"/>
    <w:rsid w:val="00437482"/>
    <w:rsid w:val="00437494"/>
    <w:rsid w:val="004374BF"/>
    <w:rsid w:val="00437508"/>
    <w:rsid w:val="004375BF"/>
    <w:rsid w:val="004375C4"/>
    <w:rsid w:val="004375E4"/>
    <w:rsid w:val="00437660"/>
    <w:rsid w:val="004376E1"/>
    <w:rsid w:val="00437700"/>
    <w:rsid w:val="00437737"/>
    <w:rsid w:val="00437815"/>
    <w:rsid w:val="004378F9"/>
    <w:rsid w:val="00437BF7"/>
    <w:rsid w:val="00437BFD"/>
    <w:rsid w:val="00437C10"/>
    <w:rsid w:val="00437D40"/>
    <w:rsid w:val="00437D49"/>
    <w:rsid w:val="00437D5F"/>
    <w:rsid w:val="00437D8D"/>
    <w:rsid w:val="00437E91"/>
    <w:rsid w:val="00437EB4"/>
    <w:rsid w:val="00437F22"/>
    <w:rsid w:val="00437F95"/>
    <w:rsid w:val="00437FDE"/>
    <w:rsid w:val="0044006E"/>
    <w:rsid w:val="0044007D"/>
    <w:rsid w:val="004400F9"/>
    <w:rsid w:val="004400FA"/>
    <w:rsid w:val="004400FB"/>
    <w:rsid w:val="004400FF"/>
    <w:rsid w:val="00440259"/>
    <w:rsid w:val="0044033F"/>
    <w:rsid w:val="004404EB"/>
    <w:rsid w:val="00440590"/>
    <w:rsid w:val="004406EC"/>
    <w:rsid w:val="00440788"/>
    <w:rsid w:val="00440794"/>
    <w:rsid w:val="00440812"/>
    <w:rsid w:val="004408C1"/>
    <w:rsid w:val="004408C7"/>
    <w:rsid w:val="00440983"/>
    <w:rsid w:val="00440A0E"/>
    <w:rsid w:val="00440A87"/>
    <w:rsid w:val="00440B54"/>
    <w:rsid w:val="00440BC3"/>
    <w:rsid w:val="00440C15"/>
    <w:rsid w:val="00440C3D"/>
    <w:rsid w:val="00440C54"/>
    <w:rsid w:val="00440CC7"/>
    <w:rsid w:val="00440D74"/>
    <w:rsid w:val="00440E13"/>
    <w:rsid w:val="00440E77"/>
    <w:rsid w:val="00440F01"/>
    <w:rsid w:val="00440F43"/>
    <w:rsid w:val="00441161"/>
    <w:rsid w:val="00441199"/>
    <w:rsid w:val="00441215"/>
    <w:rsid w:val="004412F3"/>
    <w:rsid w:val="00441326"/>
    <w:rsid w:val="004413AC"/>
    <w:rsid w:val="004413E1"/>
    <w:rsid w:val="004414BF"/>
    <w:rsid w:val="004414DC"/>
    <w:rsid w:val="00441578"/>
    <w:rsid w:val="00441641"/>
    <w:rsid w:val="0044167E"/>
    <w:rsid w:val="004416AA"/>
    <w:rsid w:val="004416CC"/>
    <w:rsid w:val="004416F8"/>
    <w:rsid w:val="0044171C"/>
    <w:rsid w:val="00441756"/>
    <w:rsid w:val="004418B4"/>
    <w:rsid w:val="00441942"/>
    <w:rsid w:val="00441976"/>
    <w:rsid w:val="004419D4"/>
    <w:rsid w:val="004419F9"/>
    <w:rsid w:val="00441AEE"/>
    <w:rsid w:val="00441B57"/>
    <w:rsid w:val="00441B77"/>
    <w:rsid w:val="00441BDE"/>
    <w:rsid w:val="00441C00"/>
    <w:rsid w:val="00441D03"/>
    <w:rsid w:val="00441D40"/>
    <w:rsid w:val="00441D63"/>
    <w:rsid w:val="00441D79"/>
    <w:rsid w:val="00441DF0"/>
    <w:rsid w:val="00441E1B"/>
    <w:rsid w:val="00441F42"/>
    <w:rsid w:val="00441F5A"/>
    <w:rsid w:val="00441F81"/>
    <w:rsid w:val="00441FCD"/>
    <w:rsid w:val="00442068"/>
    <w:rsid w:val="00442133"/>
    <w:rsid w:val="0044219D"/>
    <w:rsid w:val="00442255"/>
    <w:rsid w:val="0044226D"/>
    <w:rsid w:val="00442317"/>
    <w:rsid w:val="0044241A"/>
    <w:rsid w:val="00442449"/>
    <w:rsid w:val="0044248A"/>
    <w:rsid w:val="0044249D"/>
    <w:rsid w:val="0044258B"/>
    <w:rsid w:val="004425E6"/>
    <w:rsid w:val="00442620"/>
    <w:rsid w:val="0044262E"/>
    <w:rsid w:val="00442667"/>
    <w:rsid w:val="004427B1"/>
    <w:rsid w:val="004427D1"/>
    <w:rsid w:val="004428A9"/>
    <w:rsid w:val="004428C4"/>
    <w:rsid w:val="00442998"/>
    <w:rsid w:val="004429AD"/>
    <w:rsid w:val="004429BB"/>
    <w:rsid w:val="00442C22"/>
    <w:rsid w:val="00442C69"/>
    <w:rsid w:val="00442CBF"/>
    <w:rsid w:val="00442CC7"/>
    <w:rsid w:val="00442CD7"/>
    <w:rsid w:val="00442CFB"/>
    <w:rsid w:val="00442F3F"/>
    <w:rsid w:val="00442FA7"/>
    <w:rsid w:val="00442FBD"/>
    <w:rsid w:val="00442FF4"/>
    <w:rsid w:val="004430CE"/>
    <w:rsid w:val="00443173"/>
    <w:rsid w:val="00443223"/>
    <w:rsid w:val="00443249"/>
    <w:rsid w:val="00443325"/>
    <w:rsid w:val="00443342"/>
    <w:rsid w:val="00443348"/>
    <w:rsid w:val="004433E1"/>
    <w:rsid w:val="0044341C"/>
    <w:rsid w:val="00443563"/>
    <w:rsid w:val="004435A0"/>
    <w:rsid w:val="004435B6"/>
    <w:rsid w:val="0044365D"/>
    <w:rsid w:val="004436A0"/>
    <w:rsid w:val="004436FE"/>
    <w:rsid w:val="00443746"/>
    <w:rsid w:val="00443759"/>
    <w:rsid w:val="0044382B"/>
    <w:rsid w:val="00443893"/>
    <w:rsid w:val="00443907"/>
    <w:rsid w:val="00443989"/>
    <w:rsid w:val="004439D8"/>
    <w:rsid w:val="00443AD2"/>
    <w:rsid w:val="00443B05"/>
    <w:rsid w:val="00443BB4"/>
    <w:rsid w:val="00443BC7"/>
    <w:rsid w:val="00443C05"/>
    <w:rsid w:val="00443C34"/>
    <w:rsid w:val="00443C44"/>
    <w:rsid w:val="00443CA2"/>
    <w:rsid w:val="00443D1B"/>
    <w:rsid w:val="00443D7B"/>
    <w:rsid w:val="00443DF9"/>
    <w:rsid w:val="00443E05"/>
    <w:rsid w:val="00443E11"/>
    <w:rsid w:val="00443EEC"/>
    <w:rsid w:val="00444056"/>
    <w:rsid w:val="00444097"/>
    <w:rsid w:val="004440BA"/>
    <w:rsid w:val="004440F4"/>
    <w:rsid w:val="00444154"/>
    <w:rsid w:val="004441A4"/>
    <w:rsid w:val="0044423B"/>
    <w:rsid w:val="0044442B"/>
    <w:rsid w:val="00444487"/>
    <w:rsid w:val="00444488"/>
    <w:rsid w:val="004444DB"/>
    <w:rsid w:val="00444563"/>
    <w:rsid w:val="00444649"/>
    <w:rsid w:val="0044469B"/>
    <w:rsid w:val="004446E1"/>
    <w:rsid w:val="00444723"/>
    <w:rsid w:val="00444844"/>
    <w:rsid w:val="00444868"/>
    <w:rsid w:val="0044488E"/>
    <w:rsid w:val="00444997"/>
    <w:rsid w:val="004449EB"/>
    <w:rsid w:val="00444AEE"/>
    <w:rsid w:val="00444B95"/>
    <w:rsid w:val="00444B9B"/>
    <w:rsid w:val="00444B9D"/>
    <w:rsid w:val="00444C05"/>
    <w:rsid w:val="00444C9C"/>
    <w:rsid w:val="00444E2D"/>
    <w:rsid w:val="00444E82"/>
    <w:rsid w:val="00444F29"/>
    <w:rsid w:val="0044503F"/>
    <w:rsid w:val="00445051"/>
    <w:rsid w:val="004450F8"/>
    <w:rsid w:val="004451D1"/>
    <w:rsid w:val="00445211"/>
    <w:rsid w:val="0044522F"/>
    <w:rsid w:val="00445310"/>
    <w:rsid w:val="00445393"/>
    <w:rsid w:val="00445489"/>
    <w:rsid w:val="004454F3"/>
    <w:rsid w:val="0044567D"/>
    <w:rsid w:val="00445689"/>
    <w:rsid w:val="004457A0"/>
    <w:rsid w:val="004457FE"/>
    <w:rsid w:val="00445834"/>
    <w:rsid w:val="0044583A"/>
    <w:rsid w:val="00445861"/>
    <w:rsid w:val="004458C9"/>
    <w:rsid w:val="00445965"/>
    <w:rsid w:val="00445A29"/>
    <w:rsid w:val="00445A56"/>
    <w:rsid w:val="00445B0C"/>
    <w:rsid w:val="00445BE7"/>
    <w:rsid w:val="00445D79"/>
    <w:rsid w:val="00445D95"/>
    <w:rsid w:val="00445DA4"/>
    <w:rsid w:val="00445E7C"/>
    <w:rsid w:val="00445EBA"/>
    <w:rsid w:val="00445EC8"/>
    <w:rsid w:val="00445FA2"/>
    <w:rsid w:val="00446021"/>
    <w:rsid w:val="00446026"/>
    <w:rsid w:val="00446047"/>
    <w:rsid w:val="00446082"/>
    <w:rsid w:val="0044608E"/>
    <w:rsid w:val="004460E7"/>
    <w:rsid w:val="00446166"/>
    <w:rsid w:val="00446185"/>
    <w:rsid w:val="004463A1"/>
    <w:rsid w:val="004463DF"/>
    <w:rsid w:val="00446411"/>
    <w:rsid w:val="00446530"/>
    <w:rsid w:val="00446655"/>
    <w:rsid w:val="004466AD"/>
    <w:rsid w:val="00446746"/>
    <w:rsid w:val="004467EB"/>
    <w:rsid w:val="00446818"/>
    <w:rsid w:val="0044685C"/>
    <w:rsid w:val="004468AB"/>
    <w:rsid w:val="00446901"/>
    <w:rsid w:val="00446A05"/>
    <w:rsid w:val="00446A88"/>
    <w:rsid w:val="00446D60"/>
    <w:rsid w:val="00446DA1"/>
    <w:rsid w:val="00446DB8"/>
    <w:rsid w:val="00446E17"/>
    <w:rsid w:val="00446E5B"/>
    <w:rsid w:val="00446FA9"/>
    <w:rsid w:val="0044708D"/>
    <w:rsid w:val="004470CF"/>
    <w:rsid w:val="004470D5"/>
    <w:rsid w:val="004472E2"/>
    <w:rsid w:val="004472FF"/>
    <w:rsid w:val="004473F1"/>
    <w:rsid w:val="00447450"/>
    <w:rsid w:val="00447468"/>
    <w:rsid w:val="00447475"/>
    <w:rsid w:val="00447528"/>
    <w:rsid w:val="00447572"/>
    <w:rsid w:val="004475DC"/>
    <w:rsid w:val="00447611"/>
    <w:rsid w:val="0044763C"/>
    <w:rsid w:val="00447742"/>
    <w:rsid w:val="004478CC"/>
    <w:rsid w:val="004479F0"/>
    <w:rsid w:val="00447A26"/>
    <w:rsid w:val="00447A7E"/>
    <w:rsid w:val="00447BD8"/>
    <w:rsid w:val="00447BEA"/>
    <w:rsid w:val="00447C62"/>
    <w:rsid w:val="00447CBD"/>
    <w:rsid w:val="00447D43"/>
    <w:rsid w:val="00447EC9"/>
    <w:rsid w:val="00447F00"/>
    <w:rsid w:val="00447F6F"/>
    <w:rsid w:val="00447FCF"/>
    <w:rsid w:val="00450045"/>
    <w:rsid w:val="00450057"/>
    <w:rsid w:val="004500A3"/>
    <w:rsid w:val="004500CB"/>
    <w:rsid w:val="0045014C"/>
    <w:rsid w:val="004501B1"/>
    <w:rsid w:val="004501B9"/>
    <w:rsid w:val="004502A9"/>
    <w:rsid w:val="0045036E"/>
    <w:rsid w:val="004503D5"/>
    <w:rsid w:val="00450430"/>
    <w:rsid w:val="004504AA"/>
    <w:rsid w:val="004505B7"/>
    <w:rsid w:val="00450649"/>
    <w:rsid w:val="00450751"/>
    <w:rsid w:val="00450792"/>
    <w:rsid w:val="004507B0"/>
    <w:rsid w:val="004508EC"/>
    <w:rsid w:val="00450938"/>
    <w:rsid w:val="00450978"/>
    <w:rsid w:val="0045097B"/>
    <w:rsid w:val="00450A04"/>
    <w:rsid w:val="00450B03"/>
    <w:rsid w:val="00450B0B"/>
    <w:rsid w:val="00450B13"/>
    <w:rsid w:val="00450B4C"/>
    <w:rsid w:val="00450BC1"/>
    <w:rsid w:val="00450C0A"/>
    <w:rsid w:val="00450CAF"/>
    <w:rsid w:val="00450D06"/>
    <w:rsid w:val="00450D4B"/>
    <w:rsid w:val="00450D52"/>
    <w:rsid w:val="00450E64"/>
    <w:rsid w:val="00450EE4"/>
    <w:rsid w:val="00451005"/>
    <w:rsid w:val="004511A1"/>
    <w:rsid w:val="004511D5"/>
    <w:rsid w:val="0045123B"/>
    <w:rsid w:val="0045128D"/>
    <w:rsid w:val="00451319"/>
    <w:rsid w:val="0045131E"/>
    <w:rsid w:val="00451325"/>
    <w:rsid w:val="0045132C"/>
    <w:rsid w:val="00451403"/>
    <w:rsid w:val="00451455"/>
    <w:rsid w:val="00451474"/>
    <w:rsid w:val="00451482"/>
    <w:rsid w:val="004514BE"/>
    <w:rsid w:val="004514CC"/>
    <w:rsid w:val="004514CE"/>
    <w:rsid w:val="00451505"/>
    <w:rsid w:val="00451518"/>
    <w:rsid w:val="00451569"/>
    <w:rsid w:val="00451572"/>
    <w:rsid w:val="00451653"/>
    <w:rsid w:val="004516AE"/>
    <w:rsid w:val="004517A8"/>
    <w:rsid w:val="00451854"/>
    <w:rsid w:val="00451942"/>
    <w:rsid w:val="0045198D"/>
    <w:rsid w:val="00451AF8"/>
    <w:rsid w:val="00451B62"/>
    <w:rsid w:val="00451C69"/>
    <w:rsid w:val="00451D9A"/>
    <w:rsid w:val="00451F3B"/>
    <w:rsid w:val="004520BB"/>
    <w:rsid w:val="00452114"/>
    <w:rsid w:val="00452156"/>
    <w:rsid w:val="00452167"/>
    <w:rsid w:val="004521A3"/>
    <w:rsid w:val="004521C8"/>
    <w:rsid w:val="004523A4"/>
    <w:rsid w:val="00452477"/>
    <w:rsid w:val="004524E6"/>
    <w:rsid w:val="004525A9"/>
    <w:rsid w:val="00452603"/>
    <w:rsid w:val="00452648"/>
    <w:rsid w:val="0045268D"/>
    <w:rsid w:val="004526D6"/>
    <w:rsid w:val="004526D9"/>
    <w:rsid w:val="004526E7"/>
    <w:rsid w:val="0045279A"/>
    <w:rsid w:val="00452853"/>
    <w:rsid w:val="004528A9"/>
    <w:rsid w:val="00452A47"/>
    <w:rsid w:val="00452A48"/>
    <w:rsid w:val="00452B3F"/>
    <w:rsid w:val="00452B73"/>
    <w:rsid w:val="00452C6C"/>
    <w:rsid w:val="00452CCC"/>
    <w:rsid w:val="00452CE5"/>
    <w:rsid w:val="00452CFF"/>
    <w:rsid w:val="00452D10"/>
    <w:rsid w:val="00452D54"/>
    <w:rsid w:val="00452D6A"/>
    <w:rsid w:val="00452D7B"/>
    <w:rsid w:val="00452E09"/>
    <w:rsid w:val="00452EB6"/>
    <w:rsid w:val="00452F03"/>
    <w:rsid w:val="0045305F"/>
    <w:rsid w:val="004530A0"/>
    <w:rsid w:val="004530AB"/>
    <w:rsid w:val="00453269"/>
    <w:rsid w:val="00453287"/>
    <w:rsid w:val="00453299"/>
    <w:rsid w:val="004532EF"/>
    <w:rsid w:val="00453359"/>
    <w:rsid w:val="00453517"/>
    <w:rsid w:val="00453537"/>
    <w:rsid w:val="0045354E"/>
    <w:rsid w:val="00453566"/>
    <w:rsid w:val="00453593"/>
    <w:rsid w:val="004535E2"/>
    <w:rsid w:val="00453631"/>
    <w:rsid w:val="004536C1"/>
    <w:rsid w:val="0045371F"/>
    <w:rsid w:val="0045376F"/>
    <w:rsid w:val="00453788"/>
    <w:rsid w:val="00453791"/>
    <w:rsid w:val="00453A8D"/>
    <w:rsid w:val="00453AAA"/>
    <w:rsid w:val="00453ABC"/>
    <w:rsid w:val="00453AEC"/>
    <w:rsid w:val="00453B70"/>
    <w:rsid w:val="00453CAA"/>
    <w:rsid w:val="00453E1B"/>
    <w:rsid w:val="00454105"/>
    <w:rsid w:val="004541A5"/>
    <w:rsid w:val="004541C4"/>
    <w:rsid w:val="00454245"/>
    <w:rsid w:val="00454254"/>
    <w:rsid w:val="00454322"/>
    <w:rsid w:val="00454484"/>
    <w:rsid w:val="0045449F"/>
    <w:rsid w:val="004544C6"/>
    <w:rsid w:val="004544F3"/>
    <w:rsid w:val="0045450D"/>
    <w:rsid w:val="00454592"/>
    <w:rsid w:val="00454620"/>
    <w:rsid w:val="0045468D"/>
    <w:rsid w:val="004547AD"/>
    <w:rsid w:val="004547C3"/>
    <w:rsid w:val="004548EF"/>
    <w:rsid w:val="004548F0"/>
    <w:rsid w:val="0045493D"/>
    <w:rsid w:val="00454962"/>
    <w:rsid w:val="004549BE"/>
    <w:rsid w:val="00454A66"/>
    <w:rsid w:val="00454B1F"/>
    <w:rsid w:val="00454B21"/>
    <w:rsid w:val="00454C2A"/>
    <w:rsid w:val="00454C9F"/>
    <w:rsid w:val="00454D0E"/>
    <w:rsid w:val="00454D27"/>
    <w:rsid w:val="00454DCD"/>
    <w:rsid w:val="00454DF2"/>
    <w:rsid w:val="00454E5F"/>
    <w:rsid w:val="00454ECA"/>
    <w:rsid w:val="00454F36"/>
    <w:rsid w:val="0045501D"/>
    <w:rsid w:val="004550C6"/>
    <w:rsid w:val="004550E8"/>
    <w:rsid w:val="00455111"/>
    <w:rsid w:val="0045512E"/>
    <w:rsid w:val="004551CB"/>
    <w:rsid w:val="00455280"/>
    <w:rsid w:val="004552CD"/>
    <w:rsid w:val="004552E0"/>
    <w:rsid w:val="0045532A"/>
    <w:rsid w:val="0045533A"/>
    <w:rsid w:val="004554BD"/>
    <w:rsid w:val="0045555C"/>
    <w:rsid w:val="004555C4"/>
    <w:rsid w:val="00455768"/>
    <w:rsid w:val="00455783"/>
    <w:rsid w:val="004557AE"/>
    <w:rsid w:val="004557CA"/>
    <w:rsid w:val="0045592B"/>
    <w:rsid w:val="00455A04"/>
    <w:rsid w:val="00455ADF"/>
    <w:rsid w:val="00455B54"/>
    <w:rsid w:val="00455BA8"/>
    <w:rsid w:val="00455C51"/>
    <w:rsid w:val="00455C52"/>
    <w:rsid w:val="00455C85"/>
    <w:rsid w:val="00455D1D"/>
    <w:rsid w:val="00455D5B"/>
    <w:rsid w:val="00455D72"/>
    <w:rsid w:val="00455D9D"/>
    <w:rsid w:val="00455F1F"/>
    <w:rsid w:val="0045603F"/>
    <w:rsid w:val="00456050"/>
    <w:rsid w:val="004560FD"/>
    <w:rsid w:val="00456365"/>
    <w:rsid w:val="004563AC"/>
    <w:rsid w:val="004563E9"/>
    <w:rsid w:val="004563F7"/>
    <w:rsid w:val="004564AF"/>
    <w:rsid w:val="004564FB"/>
    <w:rsid w:val="004565A7"/>
    <w:rsid w:val="004565B1"/>
    <w:rsid w:val="00456620"/>
    <w:rsid w:val="004566B7"/>
    <w:rsid w:val="0045671A"/>
    <w:rsid w:val="0045675F"/>
    <w:rsid w:val="00456814"/>
    <w:rsid w:val="00456838"/>
    <w:rsid w:val="004568AE"/>
    <w:rsid w:val="004568E6"/>
    <w:rsid w:val="0045696B"/>
    <w:rsid w:val="004569FF"/>
    <w:rsid w:val="00456A21"/>
    <w:rsid w:val="00456DE4"/>
    <w:rsid w:val="00456E83"/>
    <w:rsid w:val="00456EE8"/>
    <w:rsid w:val="00456EF6"/>
    <w:rsid w:val="00456F11"/>
    <w:rsid w:val="00456F12"/>
    <w:rsid w:val="00456F4B"/>
    <w:rsid w:val="00456F54"/>
    <w:rsid w:val="004570A4"/>
    <w:rsid w:val="004570CE"/>
    <w:rsid w:val="00457275"/>
    <w:rsid w:val="00457283"/>
    <w:rsid w:val="0045728D"/>
    <w:rsid w:val="00457312"/>
    <w:rsid w:val="0045734B"/>
    <w:rsid w:val="00457381"/>
    <w:rsid w:val="0045738C"/>
    <w:rsid w:val="0045744D"/>
    <w:rsid w:val="004574EB"/>
    <w:rsid w:val="004574EC"/>
    <w:rsid w:val="0045750B"/>
    <w:rsid w:val="00457533"/>
    <w:rsid w:val="004575C3"/>
    <w:rsid w:val="0045760C"/>
    <w:rsid w:val="004576C4"/>
    <w:rsid w:val="004576FE"/>
    <w:rsid w:val="00457741"/>
    <w:rsid w:val="00457754"/>
    <w:rsid w:val="0045779D"/>
    <w:rsid w:val="004577E1"/>
    <w:rsid w:val="00457816"/>
    <w:rsid w:val="0045790D"/>
    <w:rsid w:val="00457913"/>
    <w:rsid w:val="00457A1D"/>
    <w:rsid w:val="00457A79"/>
    <w:rsid w:val="00457AE0"/>
    <w:rsid w:val="00457AEE"/>
    <w:rsid w:val="00457B30"/>
    <w:rsid w:val="00457B6B"/>
    <w:rsid w:val="00457BFE"/>
    <w:rsid w:val="00457D30"/>
    <w:rsid w:val="00457D3B"/>
    <w:rsid w:val="00457E4A"/>
    <w:rsid w:val="00457F9B"/>
    <w:rsid w:val="0046001D"/>
    <w:rsid w:val="00460038"/>
    <w:rsid w:val="00460212"/>
    <w:rsid w:val="004602CE"/>
    <w:rsid w:val="00460316"/>
    <w:rsid w:val="004603C4"/>
    <w:rsid w:val="004604B1"/>
    <w:rsid w:val="0046062C"/>
    <w:rsid w:val="00460795"/>
    <w:rsid w:val="004607A6"/>
    <w:rsid w:val="004608F6"/>
    <w:rsid w:val="0046091D"/>
    <w:rsid w:val="00460A69"/>
    <w:rsid w:val="00460AE7"/>
    <w:rsid w:val="00460B02"/>
    <w:rsid w:val="00460B05"/>
    <w:rsid w:val="00460B27"/>
    <w:rsid w:val="00460B82"/>
    <w:rsid w:val="00460BB8"/>
    <w:rsid w:val="00460BC9"/>
    <w:rsid w:val="00460CC5"/>
    <w:rsid w:val="00460D3E"/>
    <w:rsid w:val="00460F21"/>
    <w:rsid w:val="00460FAE"/>
    <w:rsid w:val="0046104C"/>
    <w:rsid w:val="00461076"/>
    <w:rsid w:val="0046109B"/>
    <w:rsid w:val="004610CF"/>
    <w:rsid w:val="004610D4"/>
    <w:rsid w:val="00461101"/>
    <w:rsid w:val="0046114D"/>
    <w:rsid w:val="004611A7"/>
    <w:rsid w:val="004611B3"/>
    <w:rsid w:val="004611CD"/>
    <w:rsid w:val="004611ED"/>
    <w:rsid w:val="0046123F"/>
    <w:rsid w:val="0046126A"/>
    <w:rsid w:val="004612CC"/>
    <w:rsid w:val="00461357"/>
    <w:rsid w:val="00461369"/>
    <w:rsid w:val="00461463"/>
    <w:rsid w:val="00461499"/>
    <w:rsid w:val="00461623"/>
    <w:rsid w:val="004616F7"/>
    <w:rsid w:val="0046174E"/>
    <w:rsid w:val="00461799"/>
    <w:rsid w:val="00461896"/>
    <w:rsid w:val="004618B2"/>
    <w:rsid w:val="004618C7"/>
    <w:rsid w:val="00461AD9"/>
    <w:rsid w:val="00461AE9"/>
    <w:rsid w:val="00461B16"/>
    <w:rsid w:val="00461B2A"/>
    <w:rsid w:val="00461B64"/>
    <w:rsid w:val="00461BBF"/>
    <w:rsid w:val="00461CA8"/>
    <w:rsid w:val="00461D88"/>
    <w:rsid w:val="00461E0A"/>
    <w:rsid w:val="00461F53"/>
    <w:rsid w:val="00461F6E"/>
    <w:rsid w:val="00462056"/>
    <w:rsid w:val="0046216C"/>
    <w:rsid w:val="0046231B"/>
    <w:rsid w:val="00462373"/>
    <w:rsid w:val="00462478"/>
    <w:rsid w:val="0046247B"/>
    <w:rsid w:val="004624A0"/>
    <w:rsid w:val="00462541"/>
    <w:rsid w:val="0046257D"/>
    <w:rsid w:val="004625E2"/>
    <w:rsid w:val="00462605"/>
    <w:rsid w:val="004626DC"/>
    <w:rsid w:val="004626FC"/>
    <w:rsid w:val="004627D2"/>
    <w:rsid w:val="00462871"/>
    <w:rsid w:val="004628A8"/>
    <w:rsid w:val="004628CC"/>
    <w:rsid w:val="0046299D"/>
    <w:rsid w:val="00462A4A"/>
    <w:rsid w:val="00462A65"/>
    <w:rsid w:val="00462A83"/>
    <w:rsid w:val="00462ABB"/>
    <w:rsid w:val="00462B55"/>
    <w:rsid w:val="00462CCF"/>
    <w:rsid w:val="00462DAD"/>
    <w:rsid w:val="00462DC8"/>
    <w:rsid w:val="00462DF7"/>
    <w:rsid w:val="00462E1C"/>
    <w:rsid w:val="00462F67"/>
    <w:rsid w:val="00463085"/>
    <w:rsid w:val="004631CB"/>
    <w:rsid w:val="0046325C"/>
    <w:rsid w:val="004632A3"/>
    <w:rsid w:val="00463309"/>
    <w:rsid w:val="0046335C"/>
    <w:rsid w:val="004633EA"/>
    <w:rsid w:val="004635C5"/>
    <w:rsid w:val="004635DA"/>
    <w:rsid w:val="00463601"/>
    <w:rsid w:val="00463656"/>
    <w:rsid w:val="004636AE"/>
    <w:rsid w:val="0046370D"/>
    <w:rsid w:val="00463720"/>
    <w:rsid w:val="00463837"/>
    <w:rsid w:val="00463845"/>
    <w:rsid w:val="00463987"/>
    <w:rsid w:val="004639CD"/>
    <w:rsid w:val="00463A1B"/>
    <w:rsid w:val="00463A30"/>
    <w:rsid w:val="00463A60"/>
    <w:rsid w:val="00463A78"/>
    <w:rsid w:val="00463BF1"/>
    <w:rsid w:val="00463CF2"/>
    <w:rsid w:val="00463D7A"/>
    <w:rsid w:val="00463D90"/>
    <w:rsid w:val="00463E10"/>
    <w:rsid w:val="00463E89"/>
    <w:rsid w:val="00463F0E"/>
    <w:rsid w:val="00463F9D"/>
    <w:rsid w:val="00464012"/>
    <w:rsid w:val="00464072"/>
    <w:rsid w:val="004640F0"/>
    <w:rsid w:val="004641C3"/>
    <w:rsid w:val="0046420A"/>
    <w:rsid w:val="0046423E"/>
    <w:rsid w:val="0046427B"/>
    <w:rsid w:val="0046431E"/>
    <w:rsid w:val="00464336"/>
    <w:rsid w:val="0046435A"/>
    <w:rsid w:val="00464375"/>
    <w:rsid w:val="00464417"/>
    <w:rsid w:val="004645E4"/>
    <w:rsid w:val="00464633"/>
    <w:rsid w:val="00464634"/>
    <w:rsid w:val="00464668"/>
    <w:rsid w:val="00464683"/>
    <w:rsid w:val="00464694"/>
    <w:rsid w:val="00464697"/>
    <w:rsid w:val="004646A0"/>
    <w:rsid w:val="00464877"/>
    <w:rsid w:val="0046491B"/>
    <w:rsid w:val="00464968"/>
    <w:rsid w:val="004649CC"/>
    <w:rsid w:val="00464A5A"/>
    <w:rsid w:val="00464A76"/>
    <w:rsid w:val="00464A78"/>
    <w:rsid w:val="00464B0D"/>
    <w:rsid w:val="00464B4D"/>
    <w:rsid w:val="00464B87"/>
    <w:rsid w:val="00464BE8"/>
    <w:rsid w:val="00464C0A"/>
    <w:rsid w:val="00464C0C"/>
    <w:rsid w:val="00464C45"/>
    <w:rsid w:val="00464C69"/>
    <w:rsid w:val="00464CF0"/>
    <w:rsid w:val="00464D5D"/>
    <w:rsid w:val="00464DF2"/>
    <w:rsid w:val="00464EFB"/>
    <w:rsid w:val="00464F4D"/>
    <w:rsid w:val="00464F9E"/>
    <w:rsid w:val="00464FC8"/>
    <w:rsid w:val="00465063"/>
    <w:rsid w:val="0046508E"/>
    <w:rsid w:val="00465117"/>
    <w:rsid w:val="00465138"/>
    <w:rsid w:val="0046518C"/>
    <w:rsid w:val="004651CB"/>
    <w:rsid w:val="004651E2"/>
    <w:rsid w:val="00465254"/>
    <w:rsid w:val="004652E1"/>
    <w:rsid w:val="0046540D"/>
    <w:rsid w:val="00465429"/>
    <w:rsid w:val="00465445"/>
    <w:rsid w:val="0046551B"/>
    <w:rsid w:val="00465564"/>
    <w:rsid w:val="004655E6"/>
    <w:rsid w:val="004656FE"/>
    <w:rsid w:val="0046570F"/>
    <w:rsid w:val="00465853"/>
    <w:rsid w:val="004658BC"/>
    <w:rsid w:val="004658E6"/>
    <w:rsid w:val="004658EE"/>
    <w:rsid w:val="00465B47"/>
    <w:rsid w:val="00465B4B"/>
    <w:rsid w:val="00465B6A"/>
    <w:rsid w:val="00465BF7"/>
    <w:rsid w:val="00465BFA"/>
    <w:rsid w:val="00465C08"/>
    <w:rsid w:val="00465C66"/>
    <w:rsid w:val="00465E0C"/>
    <w:rsid w:val="00465E8B"/>
    <w:rsid w:val="00465F11"/>
    <w:rsid w:val="00465F31"/>
    <w:rsid w:val="00465F5C"/>
    <w:rsid w:val="00465FC7"/>
    <w:rsid w:val="00465FE9"/>
    <w:rsid w:val="0046604F"/>
    <w:rsid w:val="0046614C"/>
    <w:rsid w:val="004661A7"/>
    <w:rsid w:val="004661E1"/>
    <w:rsid w:val="00466282"/>
    <w:rsid w:val="00466303"/>
    <w:rsid w:val="00466320"/>
    <w:rsid w:val="00466357"/>
    <w:rsid w:val="004663DB"/>
    <w:rsid w:val="00466557"/>
    <w:rsid w:val="0046659E"/>
    <w:rsid w:val="00466611"/>
    <w:rsid w:val="004666ED"/>
    <w:rsid w:val="0046677C"/>
    <w:rsid w:val="004667D4"/>
    <w:rsid w:val="004667F8"/>
    <w:rsid w:val="004668E8"/>
    <w:rsid w:val="004669C0"/>
    <w:rsid w:val="00466A5B"/>
    <w:rsid w:val="00466A5D"/>
    <w:rsid w:val="00466B57"/>
    <w:rsid w:val="00466BAD"/>
    <w:rsid w:val="00466CCE"/>
    <w:rsid w:val="00466CE5"/>
    <w:rsid w:val="00466D87"/>
    <w:rsid w:val="00466D93"/>
    <w:rsid w:val="00466DC2"/>
    <w:rsid w:val="00466DD2"/>
    <w:rsid w:val="00466E73"/>
    <w:rsid w:val="00466F5E"/>
    <w:rsid w:val="00466F79"/>
    <w:rsid w:val="00466F8B"/>
    <w:rsid w:val="00466FE0"/>
    <w:rsid w:val="00467080"/>
    <w:rsid w:val="004670F3"/>
    <w:rsid w:val="004671E3"/>
    <w:rsid w:val="0046721C"/>
    <w:rsid w:val="004672A2"/>
    <w:rsid w:val="0046735F"/>
    <w:rsid w:val="0046743E"/>
    <w:rsid w:val="00467488"/>
    <w:rsid w:val="004674CD"/>
    <w:rsid w:val="004674F1"/>
    <w:rsid w:val="004674FF"/>
    <w:rsid w:val="004675A0"/>
    <w:rsid w:val="004675E9"/>
    <w:rsid w:val="004676C6"/>
    <w:rsid w:val="004676DC"/>
    <w:rsid w:val="00467737"/>
    <w:rsid w:val="00467763"/>
    <w:rsid w:val="00467792"/>
    <w:rsid w:val="004677A5"/>
    <w:rsid w:val="0046788B"/>
    <w:rsid w:val="004678BA"/>
    <w:rsid w:val="0046792A"/>
    <w:rsid w:val="00467972"/>
    <w:rsid w:val="0046799E"/>
    <w:rsid w:val="004679C5"/>
    <w:rsid w:val="00467B30"/>
    <w:rsid w:val="00467B86"/>
    <w:rsid w:val="00467CC9"/>
    <w:rsid w:val="00467D8A"/>
    <w:rsid w:val="00467DBF"/>
    <w:rsid w:val="00467DF2"/>
    <w:rsid w:val="00467E1A"/>
    <w:rsid w:val="00467E66"/>
    <w:rsid w:val="00467ED9"/>
    <w:rsid w:val="00467FD3"/>
    <w:rsid w:val="0046CFE8"/>
    <w:rsid w:val="0047001F"/>
    <w:rsid w:val="0047002E"/>
    <w:rsid w:val="00470049"/>
    <w:rsid w:val="004700FF"/>
    <w:rsid w:val="00470120"/>
    <w:rsid w:val="00470124"/>
    <w:rsid w:val="004701D5"/>
    <w:rsid w:val="004701DA"/>
    <w:rsid w:val="00470275"/>
    <w:rsid w:val="00470383"/>
    <w:rsid w:val="0047043E"/>
    <w:rsid w:val="0047045D"/>
    <w:rsid w:val="004704CF"/>
    <w:rsid w:val="00470524"/>
    <w:rsid w:val="0047058B"/>
    <w:rsid w:val="00470594"/>
    <w:rsid w:val="0047069B"/>
    <w:rsid w:val="004706D8"/>
    <w:rsid w:val="0047070D"/>
    <w:rsid w:val="00470730"/>
    <w:rsid w:val="004707C0"/>
    <w:rsid w:val="004707C3"/>
    <w:rsid w:val="004707E4"/>
    <w:rsid w:val="00470818"/>
    <w:rsid w:val="0047087C"/>
    <w:rsid w:val="0047099E"/>
    <w:rsid w:val="004709C0"/>
    <w:rsid w:val="00470A28"/>
    <w:rsid w:val="00470B02"/>
    <w:rsid w:val="00470B59"/>
    <w:rsid w:val="00470B64"/>
    <w:rsid w:val="00470BFE"/>
    <w:rsid w:val="00470D30"/>
    <w:rsid w:val="00470D95"/>
    <w:rsid w:val="00470DD0"/>
    <w:rsid w:val="00470DD7"/>
    <w:rsid w:val="00470E08"/>
    <w:rsid w:val="00470E6B"/>
    <w:rsid w:val="00470EAE"/>
    <w:rsid w:val="00470EF6"/>
    <w:rsid w:val="00470F1B"/>
    <w:rsid w:val="00470F73"/>
    <w:rsid w:val="00470F74"/>
    <w:rsid w:val="00471021"/>
    <w:rsid w:val="0047103A"/>
    <w:rsid w:val="00471052"/>
    <w:rsid w:val="00471053"/>
    <w:rsid w:val="0047105A"/>
    <w:rsid w:val="004710AE"/>
    <w:rsid w:val="0047113F"/>
    <w:rsid w:val="00471183"/>
    <w:rsid w:val="0047118B"/>
    <w:rsid w:val="0047119F"/>
    <w:rsid w:val="004711C6"/>
    <w:rsid w:val="00471233"/>
    <w:rsid w:val="004712A9"/>
    <w:rsid w:val="004712D8"/>
    <w:rsid w:val="004712ED"/>
    <w:rsid w:val="0047132D"/>
    <w:rsid w:val="0047132F"/>
    <w:rsid w:val="0047138F"/>
    <w:rsid w:val="004713AC"/>
    <w:rsid w:val="0047157F"/>
    <w:rsid w:val="004715C7"/>
    <w:rsid w:val="004715FE"/>
    <w:rsid w:val="0047177A"/>
    <w:rsid w:val="00471780"/>
    <w:rsid w:val="0047187A"/>
    <w:rsid w:val="0047187B"/>
    <w:rsid w:val="004718D0"/>
    <w:rsid w:val="00471940"/>
    <w:rsid w:val="004719AF"/>
    <w:rsid w:val="004719DB"/>
    <w:rsid w:val="00471A4D"/>
    <w:rsid w:val="00471A64"/>
    <w:rsid w:val="00471A68"/>
    <w:rsid w:val="00471A74"/>
    <w:rsid w:val="00471A85"/>
    <w:rsid w:val="00471ACC"/>
    <w:rsid w:val="00471B21"/>
    <w:rsid w:val="00471B51"/>
    <w:rsid w:val="00471B6D"/>
    <w:rsid w:val="00471CCE"/>
    <w:rsid w:val="00471E9F"/>
    <w:rsid w:val="00471F40"/>
    <w:rsid w:val="00471F51"/>
    <w:rsid w:val="00471FB6"/>
    <w:rsid w:val="00471FB8"/>
    <w:rsid w:val="004720B0"/>
    <w:rsid w:val="0047218F"/>
    <w:rsid w:val="00472231"/>
    <w:rsid w:val="004722FD"/>
    <w:rsid w:val="00472387"/>
    <w:rsid w:val="004723EA"/>
    <w:rsid w:val="0047245F"/>
    <w:rsid w:val="00472524"/>
    <w:rsid w:val="0047259A"/>
    <w:rsid w:val="004725A0"/>
    <w:rsid w:val="0047264C"/>
    <w:rsid w:val="0047267E"/>
    <w:rsid w:val="004727A4"/>
    <w:rsid w:val="004727B7"/>
    <w:rsid w:val="0047285D"/>
    <w:rsid w:val="00472880"/>
    <w:rsid w:val="00472882"/>
    <w:rsid w:val="004728DC"/>
    <w:rsid w:val="00472B83"/>
    <w:rsid w:val="00472E04"/>
    <w:rsid w:val="00472E0B"/>
    <w:rsid w:val="00472F05"/>
    <w:rsid w:val="00472F87"/>
    <w:rsid w:val="00472F92"/>
    <w:rsid w:val="00472F98"/>
    <w:rsid w:val="004730F3"/>
    <w:rsid w:val="00473134"/>
    <w:rsid w:val="00473145"/>
    <w:rsid w:val="00473176"/>
    <w:rsid w:val="00473183"/>
    <w:rsid w:val="004731B3"/>
    <w:rsid w:val="0047328F"/>
    <w:rsid w:val="004732FB"/>
    <w:rsid w:val="00473316"/>
    <w:rsid w:val="00473330"/>
    <w:rsid w:val="00473366"/>
    <w:rsid w:val="00473372"/>
    <w:rsid w:val="004733DA"/>
    <w:rsid w:val="0047344D"/>
    <w:rsid w:val="0047351E"/>
    <w:rsid w:val="00473555"/>
    <w:rsid w:val="0047360D"/>
    <w:rsid w:val="0047380C"/>
    <w:rsid w:val="004738FF"/>
    <w:rsid w:val="004739F3"/>
    <w:rsid w:val="00473A55"/>
    <w:rsid w:val="00473A5F"/>
    <w:rsid w:val="00473AD4"/>
    <w:rsid w:val="00473AF6"/>
    <w:rsid w:val="00473B62"/>
    <w:rsid w:val="00473B93"/>
    <w:rsid w:val="00473BBD"/>
    <w:rsid w:val="00473BDE"/>
    <w:rsid w:val="00473D10"/>
    <w:rsid w:val="00473E12"/>
    <w:rsid w:val="00473E2B"/>
    <w:rsid w:val="00473E7D"/>
    <w:rsid w:val="00473E81"/>
    <w:rsid w:val="00473EB5"/>
    <w:rsid w:val="00473EC1"/>
    <w:rsid w:val="00473F9C"/>
    <w:rsid w:val="00473FC3"/>
    <w:rsid w:val="00474075"/>
    <w:rsid w:val="00474095"/>
    <w:rsid w:val="00474166"/>
    <w:rsid w:val="0047417C"/>
    <w:rsid w:val="004741AC"/>
    <w:rsid w:val="004742E9"/>
    <w:rsid w:val="00474326"/>
    <w:rsid w:val="0047432B"/>
    <w:rsid w:val="0047437B"/>
    <w:rsid w:val="004744BA"/>
    <w:rsid w:val="0047454A"/>
    <w:rsid w:val="00474560"/>
    <w:rsid w:val="00474672"/>
    <w:rsid w:val="004746AC"/>
    <w:rsid w:val="004746B6"/>
    <w:rsid w:val="004746BA"/>
    <w:rsid w:val="00474720"/>
    <w:rsid w:val="00474769"/>
    <w:rsid w:val="004747A7"/>
    <w:rsid w:val="004747B4"/>
    <w:rsid w:val="004747E9"/>
    <w:rsid w:val="00474825"/>
    <w:rsid w:val="00474840"/>
    <w:rsid w:val="0047495B"/>
    <w:rsid w:val="00474996"/>
    <w:rsid w:val="004749D9"/>
    <w:rsid w:val="00474B03"/>
    <w:rsid w:val="00474BA8"/>
    <w:rsid w:val="00474C10"/>
    <w:rsid w:val="00474C43"/>
    <w:rsid w:val="00474C9A"/>
    <w:rsid w:val="00474CC2"/>
    <w:rsid w:val="00474CE5"/>
    <w:rsid w:val="00474DB6"/>
    <w:rsid w:val="00474DBF"/>
    <w:rsid w:val="00474F82"/>
    <w:rsid w:val="00474F93"/>
    <w:rsid w:val="004750D0"/>
    <w:rsid w:val="004750D4"/>
    <w:rsid w:val="00475166"/>
    <w:rsid w:val="0047519E"/>
    <w:rsid w:val="004751F8"/>
    <w:rsid w:val="00475200"/>
    <w:rsid w:val="004752AC"/>
    <w:rsid w:val="004753B1"/>
    <w:rsid w:val="004753CF"/>
    <w:rsid w:val="0047540D"/>
    <w:rsid w:val="00475562"/>
    <w:rsid w:val="00475597"/>
    <w:rsid w:val="004755AC"/>
    <w:rsid w:val="00475619"/>
    <w:rsid w:val="00475686"/>
    <w:rsid w:val="0047568E"/>
    <w:rsid w:val="004756C0"/>
    <w:rsid w:val="004756D7"/>
    <w:rsid w:val="004757EE"/>
    <w:rsid w:val="00475847"/>
    <w:rsid w:val="0047584A"/>
    <w:rsid w:val="004758A1"/>
    <w:rsid w:val="004758F1"/>
    <w:rsid w:val="00475914"/>
    <w:rsid w:val="00475938"/>
    <w:rsid w:val="00475945"/>
    <w:rsid w:val="0047599C"/>
    <w:rsid w:val="004759B7"/>
    <w:rsid w:val="00475A5D"/>
    <w:rsid w:val="00475AA5"/>
    <w:rsid w:val="00475AAA"/>
    <w:rsid w:val="00475ADE"/>
    <w:rsid w:val="00475B05"/>
    <w:rsid w:val="00475BCC"/>
    <w:rsid w:val="00475CA1"/>
    <w:rsid w:val="00475CB3"/>
    <w:rsid w:val="00475E5F"/>
    <w:rsid w:val="00475F00"/>
    <w:rsid w:val="0047605D"/>
    <w:rsid w:val="004760F7"/>
    <w:rsid w:val="004760FB"/>
    <w:rsid w:val="004761DC"/>
    <w:rsid w:val="004761FA"/>
    <w:rsid w:val="00476233"/>
    <w:rsid w:val="00476245"/>
    <w:rsid w:val="00476589"/>
    <w:rsid w:val="004765B0"/>
    <w:rsid w:val="00476644"/>
    <w:rsid w:val="004766D5"/>
    <w:rsid w:val="004766DD"/>
    <w:rsid w:val="0047690A"/>
    <w:rsid w:val="00476987"/>
    <w:rsid w:val="00476AC6"/>
    <w:rsid w:val="00476AD6"/>
    <w:rsid w:val="00476B19"/>
    <w:rsid w:val="00476BA9"/>
    <w:rsid w:val="00476BE2"/>
    <w:rsid w:val="00476C3C"/>
    <w:rsid w:val="00476CEA"/>
    <w:rsid w:val="00476D88"/>
    <w:rsid w:val="00476F4B"/>
    <w:rsid w:val="00476F58"/>
    <w:rsid w:val="00476F75"/>
    <w:rsid w:val="004771B3"/>
    <w:rsid w:val="004771D4"/>
    <w:rsid w:val="00477270"/>
    <w:rsid w:val="004772B7"/>
    <w:rsid w:val="004772F3"/>
    <w:rsid w:val="00477300"/>
    <w:rsid w:val="00477485"/>
    <w:rsid w:val="004774ED"/>
    <w:rsid w:val="0047756E"/>
    <w:rsid w:val="00477578"/>
    <w:rsid w:val="004775B4"/>
    <w:rsid w:val="004775D8"/>
    <w:rsid w:val="0047769F"/>
    <w:rsid w:val="004776A7"/>
    <w:rsid w:val="004776C6"/>
    <w:rsid w:val="004776F1"/>
    <w:rsid w:val="00477781"/>
    <w:rsid w:val="00477905"/>
    <w:rsid w:val="00477A55"/>
    <w:rsid w:val="00477A63"/>
    <w:rsid w:val="00477A6B"/>
    <w:rsid w:val="00477B0F"/>
    <w:rsid w:val="00477B4A"/>
    <w:rsid w:val="00477B75"/>
    <w:rsid w:val="00477BB9"/>
    <w:rsid w:val="00477BEC"/>
    <w:rsid w:val="00477BF1"/>
    <w:rsid w:val="00477C2F"/>
    <w:rsid w:val="00477C45"/>
    <w:rsid w:val="00477C4C"/>
    <w:rsid w:val="00477E1E"/>
    <w:rsid w:val="00477E72"/>
    <w:rsid w:val="00477EB6"/>
    <w:rsid w:val="00480003"/>
    <w:rsid w:val="00480020"/>
    <w:rsid w:val="004800AC"/>
    <w:rsid w:val="004800AF"/>
    <w:rsid w:val="00480165"/>
    <w:rsid w:val="00480226"/>
    <w:rsid w:val="0048033B"/>
    <w:rsid w:val="00480410"/>
    <w:rsid w:val="00480471"/>
    <w:rsid w:val="00480478"/>
    <w:rsid w:val="004804B4"/>
    <w:rsid w:val="004804C7"/>
    <w:rsid w:val="00480552"/>
    <w:rsid w:val="00480554"/>
    <w:rsid w:val="004805B1"/>
    <w:rsid w:val="00480602"/>
    <w:rsid w:val="00480699"/>
    <w:rsid w:val="004806F8"/>
    <w:rsid w:val="0048071C"/>
    <w:rsid w:val="004807AE"/>
    <w:rsid w:val="004807BA"/>
    <w:rsid w:val="00480806"/>
    <w:rsid w:val="0048080D"/>
    <w:rsid w:val="0048082C"/>
    <w:rsid w:val="00480838"/>
    <w:rsid w:val="0048087B"/>
    <w:rsid w:val="0048088C"/>
    <w:rsid w:val="00480913"/>
    <w:rsid w:val="00480919"/>
    <w:rsid w:val="00480A03"/>
    <w:rsid w:val="00480A87"/>
    <w:rsid w:val="00480A98"/>
    <w:rsid w:val="00480AF2"/>
    <w:rsid w:val="00480C34"/>
    <w:rsid w:val="00480E49"/>
    <w:rsid w:val="00481044"/>
    <w:rsid w:val="00481048"/>
    <w:rsid w:val="0048118C"/>
    <w:rsid w:val="004811CC"/>
    <w:rsid w:val="0048125D"/>
    <w:rsid w:val="00481267"/>
    <w:rsid w:val="0048127D"/>
    <w:rsid w:val="0048132A"/>
    <w:rsid w:val="00481393"/>
    <w:rsid w:val="0048141D"/>
    <w:rsid w:val="004814B6"/>
    <w:rsid w:val="004814D2"/>
    <w:rsid w:val="004814D7"/>
    <w:rsid w:val="00481523"/>
    <w:rsid w:val="004815DC"/>
    <w:rsid w:val="004816A1"/>
    <w:rsid w:val="004816CF"/>
    <w:rsid w:val="0048172B"/>
    <w:rsid w:val="004817B3"/>
    <w:rsid w:val="004817BF"/>
    <w:rsid w:val="004817D3"/>
    <w:rsid w:val="004817E7"/>
    <w:rsid w:val="0048198A"/>
    <w:rsid w:val="004819B8"/>
    <w:rsid w:val="00481A1A"/>
    <w:rsid w:val="00481A9D"/>
    <w:rsid w:val="00481ADE"/>
    <w:rsid w:val="00481C06"/>
    <w:rsid w:val="00481C42"/>
    <w:rsid w:val="00481C53"/>
    <w:rsid w:val="00481C5D"/>
    <w:rsid w:val="00481C8F"/>
    <w:rsid w:val="00481D3A"/>
    <w:rsid w:val="00481D44"/>
    <w:rsid w:val="00481DD1"/>
    <w:rsid w:val="00481E52"/>
    <w:rsid w:val="00481F21"/>
    <w:rsid w:val="00482156"/>
    <w:rsid w:val="00482187"/>
    <w:rsid w:val="00482202"/>
    <w:rsid w:val="004824DE"/>
    <w:rsid w:val="00482760"/>
    <w:rsid w:val="00482796"/>
    <w:rsid w:val="004827B9"/>
    <w:rsid w:val="004827EF"/>
    <w:rsid w:val="00482868"/>
    <w:rsid w:val="0048287A"/>
    <w:rsid w:val="004828D4"/>
    <w:rsid w:val="00482925"/>
    <w:rsid w:val="0048295F"/>
    <w:rsid w:val="00482986"/>
    <w:rsid w:val="004829D3"/>
    <w:rsid w:val="00482A62"/>
    <w:rsid w:val="00482A8D"/>
    <w:rsid w:val="00482B0E"/>
    <w:rsid w:val="00482B14"/>
    <w:rsid w:val="00482B21"/>
    <w:rsid w:val="00482B42"/>
    <w:rsid w:val="00482C28"/>
    <w:rsid w:val="00482C32"/>
    <w:rsid w:val="00482C6A"/>
    <w:rsid w:val="00482CA5"/>
    <w:rsid w:val="00482CCB"/>
    <w:rsid w:val="00482D1A"/>
    <w:rsid w:val="00482D50"/>
    <w:rsid w:val="00482DD4"/>
    <w:rsid w:val="00482DDC"/>
    <w:rsid w:val="00482E92"/>
    <w:rsid w:val="00482F0A"/>
    <w:rsid w:val="00482F33"/>
    <w:rsid w:val="00482FD8"/>
    <w:rsid w:val="0048301D"/>
    <w:rsid w:val="00483048"/>
    <w:rsid w:val="004830F2"/>
    <w:rsid w:val="00483189"/>
    <w:rsid w:val="0048330F"/>
    <w:rsid w:val="0048335F"/>
    <w:rsid w:val="004833BD"/>
    <w:rsid w:val="00483448"/>
    <w:rsid w:val="004834A5"/>
    <w:rsid w:val="0048351B"/>
    <w:rsid w:val="00483533"/>
    <w:rsid w:val="00483534"/>
    <w:rsid w:val="0048355E"/>
    <w:rsid w:val="004835C1"/>
    <w:rsid w:val="004835D7"/>
    <w:rsid w:val="0048366A"/>
    <w:rsid w:val="00483759"/>
    <w:rsid w:val="0048396E"/>
    <w:rsid w:val="004839DB"/>
    <w:rsid w:val="00483A30"/>
    <w:rsid w:val="00483A40"/>
    <w:rsid w:val="00483B74"/>
    <w:rsid w:val="00483BF7"/>
    <w:rsid w:val="00483C99"/>
    <w:rsid w:val="00483CCB"/>
    <w:rsid w:val="00483D28"/>
    <w:rsid w:val="00483E07"/>
    <w:rsid w:val="00483E51"/>
    <w:rsid w:val="00483E61"/>
    <w:rsid w:val="00483ED1"/>
    <w:rsid w:val="00483FCE"/>
    <w:rsid w:val="00484108"/>
    <w:rsid w:val="00484127"/>
    <w:rsid w:val="0048413B"/>
    <w:rsid w:val="00484194"/>
    <w:rsid w:val="004841F2"/>
    <w:rsid w:val="004842C5"/>
    <w:rsid w:val="004842E3"/>
    <w:rsid w:val="00484374"/>
    <w:rsid w:val="00484398"/>
    <w:rsid w:val="004845BE"/>
    <w:rsid w:val="00484717"/>
    <w:rsid w:val="00484788"/>
    <w:rsid w:val="004847DB"/>
    <w:rsid w:val="004847E8"/>
    <w:rsid w:val="00484952"/>
    <w:rsid w:val="00484980"/>
    <w:rsid w:val="00484986"/>
    <w:rsid w:val="00484A11"/>
    <w:rsid w:val="00484B1C"/>
    <w:rsid w:val="00484B6C"/>
    <w:rsid w:val="00484B71"/>
    <w:rsid w:val="00484BD8"/>
    <w:rsid w:val="00484BF5"/>
    <w:rsid w:val="00484C54"/>
    <w:rsid w:val="00484CB2"/>
    <w:rsid w:val="00484D70"/>
    <w:rsid w:val="00484D7D"/>
    <w:rsid w:val="00484DC0"/>
    <w:rsid w:val="00484DD0"/>
    <w:rsid w:val="00484DE6"/>
    <w:rsid w:val="00484DFD"/>
    <w:rsid w:val="00484E69"/>
    <w:rsid w:val="00484F6F"/>
    <w:rsid w:val="00485015"/>
    <w:rsid w:val="00485033"/>
    <w:rsid w:val="0048522C"/>
    <w:rsid w:val="0048525E"/>
    <w:rsid w:val="0048529C"/>
    <w:rsid w:val="00485363"/>
    <w:rsid w:val="0048538E"/>
    <w:rsid w:val="004853F6"/>
    <w:rsid w:val="0048547E"/>
    <w:rsid w:val="00485484"/>
    <w:rsid w:val="00485528"/>
    <w:rsid w:val="0048557F"/>
    <w:rsid w:val="00485583"/>
    <w:rsid w:val="004855FB"/>
    <w:rsid w:val="004856B4"/>
    <w:rsid w:val="004856FE"/>
    <w:rsid w:val="004857F6"/>
    <w:rsid w:val="004858E0"/>
    <w:rsid w:val="00485943"/>
    <w:rsid w:val="00485AAF"/>
    <w:rsid w:val="00485AFD"/>
    <w:rsid w:val="00485B54"/>
    <w:rsid w:val="00485B9C"/>
    <w:rsid w:val="00485BA5"/>
    <w:rsid w:val="00485C32"/>
    <w:rsid w:val="00485D5F"/>
    <w:rsid w:val="00485D89"/>
    <w:rsid w:val="00485DA5"/>
    <w:rsid w:val="00485E0E"/>
    <w:rsid w:val="00485E9F"/>
    <w:rsid w:val="00485ED9"/>
    <w:rsid w:val="00485FF0"/>
    <w:rsid w:val="0048609C"/>
    <w:rsid w:val="004860A1"/>
    <w:rsid w:val="00486139"/>
    <w:rsid w:val="0048616D"/>
    <w:rsid w:val="0048622C"/>
    <w:rsid w:val="00486376"/>
    <w:rsid w:val="00486382"/>
    <w:rsid w:val="0048644F"/>
    <w:rsid w:val="00486455"/>
    <w:rsid w:val="004864BF"/>
    <w:rsid w:val="004864F5"/>
    <w:rsid w:val="00486515"/>
    <w:rsid w:val="004865D4"/>
    <w:rsid w:val="004866BF"/>
    <w:rsid w:val="004866E5"/>
    <w:rsid w:val="00486774"/>
    <w:rsid w:val="00486797"/>
    <w:rsid w:val="004867CC"/>
    <w:rsid w:val="004867DE"/>
    <w:rsid w:val="004867F5"/>
    <w:rsid w:val="004867F9"/>
    <w:rsid w:val="0048688E"/>
    <w:rsid w:val="004868E9"/>
    <w:rsid w:val="0048692A"/>
    <w:rsid w:val="00486974"/>
    <w:rsid w:val="00486994"/>
    <w:rsid w:val="00486A33"/>
    <w:rsid w:val="00486A53"/>
    <w:rsid w:val="00486A8E"/>
    <w:rsid w:val="00486AB0"/>
    <w:rsid w:val="00486AE5"/>
    <w:rsid w:val="00486B00"/>
    <w:rsid w:val="00486B4C"/>
    <w:rsid w:val="00486C37"/>
    <w:rsid w:val="00486C95"/>
    <w:rsid w:val="00486CDC"/>
    <w:rsid w:val="00486CE8"/>
    <w:rsid w:val="00486D76"/>
    <w:rsid w:val="00486D92"/>
    <w:rsid w:val="00486E25"/>
    <w:rsid w:val="00486E79"/>
    <w:rsid w:val="00486EB4"/>
    <w:rsid w:val="00486ED6"/>
    <w:rsid w:val="00486EDB"/>
    <w:rsid w:val="00486F17"/>
    <w:rsid w:val="00486F2A"/>
    <w:rsid w:val="00487106"/>
    <w:rsid w:val="0048713A"/>
    <w:rsid w:val="00487194"/>
    <w:rsid w:val="0048721B"/>
    <w:rsid w:val="004872EF"/>
    <w:rsid w:val="0048731A"/>
    <w:rsid w:val="00487355"/>
    <w:rsid w:val="004873ED"/>
    <w:rsid w:val="004873F5"/>
    <w:rsid w:val="0048741D"/>
    <w:rsid w:val="00487420"/>
    <w:rsid w:val="0048742A"/>
    <w:rsid w:val="00487475"/>
    <w:rsid w:val="004874A5"/>
    <w:rsid w:val="004875A3"/>
    <w:rsid w:val="004875A8"/>
    <w:rsid w:val="00487606"/>
    <w:rsid w:val="00487636"/>
    <w:rsid w:val="0048778C"/>
    <w:rsid w:val="0048783C"/>
    <w:rsid w:val="0048792A"/>
    <w:rsid w:val="0048797F"/>
    <w:rsid w:val="004879E3"/>
    <w:rsid w:val="004879E5"/>
    <w:rsid w:val="004879F7"/>
    <w:rsid w:val="00487A50"/>
    <w:rsid w:val="00487A82"/>
    <w:rsid w:val="00487AC7"/>
    <w:rsid w:val="00487B17"/>
    <w:rsid w:val="00487B1C"/>
    <w:rsid w:val="00487B3A"/>
    <w:rsid w:val="00487BDF"/>
    <w:rsid w:val="00487D40"/>
    <w:rsid w:val="00487D4F"/>
    <w:rsid w:val="00487DEB"/>
    <w:rsid w:val="00487EB0"/>
    <w:rsid w:val="00487F00"/>
    <w:rsid w:val="00487F09"/>
    <w:rsid w:val="00487F5A"/>
    <w:rsid w:val="00487F72"/>
    <w:rsid w:val="00487FF5"/>
    <w:rsid w:val="00490066"/>
    <w:rsid w:val="00490100"/>
    <w:rsid w:val="0049011D"/>
    <w:rsid w:val="004902DD"/>
    <w:rsid w:val="0049036F"/>
    <w:rsid w:val="00490374"/>
    <w:rsid w:val="004903BA"/>
    <w:rsid w:val="00490583"/>
    <w:rsid w:val="0049058B"/>
    <w:rsid w:val="00490874"/>
    <w:rsid w:val="00490A65"/>
    <w:rsid w:val="00490AA0"/>
    <w:rsid w:val="00490C14"/>
    <w:rsid w:val="00490C42"/>
    <w:rsid w:val="00490C71"/>
    <w:rsid w:val="00490CB4"/>
    <w:rsid w:val="00490CE7"/>
    <w:rsid w:val="00490D3E"/>
    <w:rsid w:val="00490D81"/>
    <w:rsid w:val="00490E20"/>
    <w:rsid w:val="00490F07"/>
    <w:rsid w:val="00490F22"/>
    <w:rsid w:val="00490F3B"/>
    <w:rsid w:val="00491024"/>
    <w:rsid w:val="00491081"/>
    <w:rsid w:val="0049111B"/>
    <w:rsid w:val="00491141"/>
    <w:rsid w:val="00491166"/>
    <w:rsid w:val="00491188"/>
    <w:rsid w:val="004911B3"/>
    <w:rsid w:val="0049129F"/>
    <w:rsid w:val="0049130F"/>
    <w:rsid w:val="004913B8"/>
    <w:rsid w:val="004913C5"/>
    <w:rsid w:val="00491478"/>
    <w:rsid w:val="00491495"/>
    <w:rsid w:val="00491498"/>
    <w:rsid w:val="004914EC"/>
    <w:rsid w:val="004915AD"/>
    <w:rsid w:val="004915BF"/>
    <w:rsid w:val="004915FD"/>
    <w:rsid w:val="0049163A"/>
    <w:rsid w:val="00491662"/>
    <w:rsid w:val="00491818"/>
    <w:rsid w:val="0049181F"/>
    <w:rsid w:val="0049185B"/>
    <w:rsid w:val="004918C8"/>
    <w:rsid w:val="00491922"/>
    <w:rsid w:val="00491944"/>
    <w:rsid w:val="00491945"/>
    <w:rsid w:val="0049195C"/>
    <w:rsid w:val="0049196D"/>
    <w:rsid w:val="00491ACA"/>
    <w:rsid w:val="00491AEC"/>
    <w:rsid w:val="00491B0E"/>
    <w:rsid w:val="00491C31"/>
    <w:rsid w:val="00491CAA"/>
    <w:rsid w:val="00491D8D"/>
    <w:rsid w:val="00491DF7"/>
    <w:rsid w:val="00491E6B"/>
    <w:rsid w:val="00491E73"/>
    <w:rsid w:val="00491E9C"/>
    <w:rsid w:val="00491EF0"/>
    <w:rsid w:val="00491F57"/>
    <w:rsid w:val="0049202D"/>
    <w:rsid w:val="004920BE"/>
    <w:rsid w:val="004920D1"/>
    <w:rsid w:val="00492188"/>
    <w:rsid w:val="00492193"/>
    <w:rsid w:val="00492224"/>
    <w:rsid w:val="004922A4"/>
    <w:rsid w:val="004922B8"/>
    <w:rsid w:val="004922D9"/>
    <w:rsid w:val="004924B5"/>
    <w:rsid w:val="00492507"/>
    <w:rsid w:val="004925CC"/>
    <w:rsid w:val="004926CA"/>
    <w:rsid w:val="004927C5"/>
    <w:rsid w:val="004929AB"/>
    <w:rsid w:val="00492A00"/>
    <w:rsid w:val="00492A8C"/>
    <w:rsid w:val="00492BD5"/>
    <w:rsid w:val="00492BD7"/>
    <w:rsid w:val="00492D03"/>
    <w:rsid w:val="00492D38"/>
    <w:rsid w:val="00492DE6"/>
    <w:rsid w:val="00492E0D"/>
    <w:rsid w:val="00492E2A"/>
    <w:rsid w:val="00492E57"/>
    <w:rsid w:val="00492F46"/>
    <w:rsid w:val="00492F73"/>
    <w:rsid w:val="00492FA0"/>
    <w:rsid w:val="00492FA4"/>
    <w:rsid w:val="00492FDD"/>
    <w:rsid w:val="00493007"/>
    <w:rsid w:val="00493074"/>
    <w:rsid w:val="004930B9"/>
    <w:rsid w:val="004931AD"/>
    <w:rsid w:val="004931B1"/>
    <w:rsid w:val="00493211"/>
    <w:rsid w:val="00493283"/>
    <w:rsid w:val="004932DE"/>
    <w:rsid w:val="00493392"/>
    <w:rsid w:val="0049347D"/>
    <w:rsid w:val="0049348D"/>
    <w:rsid w:val="00493535"/>
    <w:rsid w:val="00493641"/>
    <w:rsid w:val="004936D7"/>
    <w:rsid w:val="00493753"/>
    <w:rsid w:val="004937FF"/>
    <w:rsid w:val="00493887"/>
    <w:rsid w:val="004938A4"/>
    <w:rsid w:val="00493C1F"/>
    <w:rsid w:val="00493CD2"/>
    <w:rsid w:val="00493D8E"/>
    <w:rsid w:val="00493DDB"/>
    <w:rsid w:val="00493E3C"/>
    <w:rsid w:val="00493EDB"/>
    <w:rsid w:val="00493F90"/>
    <w:rsid w:val="00493FA3"/>
    <w:rsid w:val="00494052"/>
    <w:rsid w:val="00494119"/>
    <w:rsid w:val="00494144"/>
    <w:rsid w:val="00494155"/>
    <w:rsid w:val="00494238"/>
    <w:rsid w:val="00494418"/>
    <w:rsid w:val="00494456"/>
    <w:rsid w:val="00494459"/>
    <w:rsid w:val="0049453B"/>
    <w:rsid w:val="0049458D"/>
    <w:rsid w:val="004945B1"/>
    <w:rsid w:val="0049464C"/>
    <w:rsid w:val="0049467A"/>
    <w:rsid w:val="004946C5"/>
    <w:rsid w:val="004946EF"/>
    <w:rsid w:val="004946FA"/>
    <w:rsid w:val="004947BF"/>
    <w:rsid w:val="0049483D"/>
    <w:rsid w:val="0049484D"/>
    <w:rsid w:val="00494902"/>
    <w:rsid w:val="004949CA"/>
    <w:rsid w:val="00494A04"/>
    <w:rsid w:val="00494A1E"/>
    <w:rsid w:val="00494A95"/>
    <w:rsid w:val="00494B0A"/>
    <w:rsid w:val="00494B19"/>
    <w:rsid w:val="00494B90"/>
    <w:rsid w:val="00494BC7"/>
    <w:rsid w:val="00494BD3"/>
    <w:rsid w:val="00494BDC"/>
    <w:rsid w:val="00494C4A"/>
    <w:rsid w:val="00494CCE"/>
    <w:rsid w:val="00494CF4"/>
    <w:rsid w:val="00494D5B"/>
    <w:rsid w:val="00494D99"/>
    <w:rsid w:val="00494DA4"/>
    <w:rsid w:val="00494DAD"/>
    <w:rsid w:val="00494E6A"/>
    <w:rsid w:val="00494E6D"/>
    <w:rsid w:val="00494ECA"/>
    <w:rsid w:val="00494F7A"/>
    <w:rsid w:val="00494FBA"/>
    <w:rsid w:val="004951DC"/>
    <w:rsid w:val="004952B0"/>
    <w:rsid w:val="00495529"/>
    <w:rsid w:val="0049554A"/>
    <w:rsid w:val="0049554F"/>
    <w:rsid w:val="0049559D"/>
    <w:rsid w:val="00495680"/>
    <w:rsid w:val="004956EB"/>
    <w:rsid w:val="004957EF"/>
    <w:rsid w:val="0049584F"/>
    <w:rsid w:val="00495886"/>
    <w:rsid w:val="004958BF"/>
    <w:rsid w:val="00495928"/>
    <w:rsid w:val="0049593E"/>
    <w:rsid w:val="00495940"/>
    <w:rsid w:val="0049595A"/>
    <w:rsid w:val="00495975"/>
    <w:rsid w:val="00495A5D"/>
    <w:rsid w:val="00495A78"/>
    <w:rsid w:val="00495AF1"/>
    <w:rsid w:val="00495B57"/>
    <w:rsid w:val="00495BAA"/>
    <w:rsid w:val="00495CAA"/>
    <w:rsid w:val="00495D5C"/>
    <w:rsid w:val="00495DA8"/>
    <w:rsid w:val="00495E30"/>
    <w:rsid w:val="00495EDD"/>
    <w:rsid w:val="00495F1C"/>
    <w:rsid w:val="00495F4D"/>
    <w:rsid w:val="00495F9C"/>
    <w:rsid w:val="00495FD0"/>
    <w:rsid w:val="00495FEE"/>
    <w:rsid w:val="004960E0"/>
    <w:rsid w:val="004960E7"/>
    <w:rsid w:val="004960ED"/>
    <w:rsid w:val="0049610B"/>
    <w:rsid w:val="00496146"/>
    <w:rsid w:val="00496193"/>
    <w:rsid w:val="004961C3"/>
    <w:rsid w:val="004962AB"/>
    <w:rsid w:val="004962F0"/>
    <w:rsid w:val="0049639C"/>
    <w:rsid w:val="004963C7"/>
    <w:rsid w:val="004963EF"/>
    <w:rsid w:val="004963F6"/>
    <w:rsid w:val="0049641D"/>
    <w:rsid w:val="00496421"/>
    <w:rsid w:val="0049642E"/>
    <w:rsid w:val="0049671D"/>
    <w:rsid w:val="00496763"/>
    <w:rsid w:val="00496796"/>
    <w:rsid w:val="0049679F"/>
    <w:rsid w:val="0049685B"/>
    <w:rsid w:val="004968B6"/>
    <w:rsid w:val="0049690D"/>
    <w:rsid w:val="00496A25"/>
    <w:rsid w:val="00496A2C"/>
    <w:rsid w:val="00496ACF"/>
    <w:rsid w:val="00496BDC"/>
    <w:rsid w:val="00496C98"/>
    <w:rsid w:val="00496CA6"/>
    <w:rsid w:val="00496CF0"/>
    <w:rsid w:val="00496D35"/>
    <w:rsid w:val="00496DAE"/>
    <w:rsid w:val="00496EE7"/>
    <w:rsid w:val="004971CE"/>
    <w:rsid w:val="00497269"/>
    <w:rsid w:val="0049733B"/>
    <w:rsid w:val="00497379"/>
    <w:rsid w:val="00497384"/>
    <w:rsid w:val="004973AE"/>
    <w:rsid w:val="004973CA"/>
    <w:rsid w:val="0049744F"/>
    <w:rsid w:val="0049767D"/>
    <w:rsid w:val="00497693"/>
    <w:rsid w:val="004976CE"/>
    <w:rsid w:val="004976E4"/>
    <w:rsid w:val="00497730"/>
    <w:rsid w:val="00497744"/>
    <w:rsid w:val="0049776A"/>
    <w:rsid w:val="004977B5"/>
    <w:rsid w:val="0049787F"/>
    <w:rsid w:val="004978C9"/>
    <w:rsid w:val="004979A3"/>
    <w:rsid w:val="004979FA"/>
    <w:rsid w:val="004979FD"/>
    <w:rsid w:val="00497A5A"/>
    <w:rsid w:val="00497A8F"/>
    <w:rsid w:val="00497C23"/>
    <w:rsid w:val="00497C8E"/>
    <w:rsid w:val="00497CAF"/>
    <w:rsid w:val="00497D34"/>
    <w:rsid w:val="00497ECE"/>
    <w:rsid w:val="00497F13"/>
    <w:rsid w:val="004A0072"/>
    <w:rsid w:val="004A0155"/>
    <w:rsid w:val="004A01AE"/>
    <w:rsid w:val="004A01E1"/>
    <w:rsid w:val="004A02E9"/>
    <w:rsid w:val="004A0421"/>
    <w:rsid w:val="004A0436"/>
    <w:rsid w:val="004A0465"/>
    <w:rsid w:val="004A04F7"/>
    <w:rsid w:val="004A052A"/>
    <w:rsid w:val="004A0563"/>
    <w:rsid w:val="004A05DD"/>
    <w:rsid w:val="004A05DE"/>
    <w:rsid w:val="004A05E2"/>
    <w:rsid w:val="004A06FE"/>
    <w:rsid w:val="004A0727"/>
    <w:rsid w:val="004A0746"/>
    <w:rsid w:val="004A07E2"/>
    <w:rsid w:val="004A080D"/>
    <w:rsid w:val="004A0827"/>
    <w:rsid w:val="004A08AD"/>
    <w:rsid w:val="004A08FE"/>
    <w:rsid w:val="004A08FF"/>
    <w:rsid w:val="004A0946"/>
    <w:rsid w:val="004A0A90"/>
    <w:rsid w:val="004A0AE6"/>
    <w:rsid w:val="004A0BF5"/>
    <w:rsid w:val="004A0C5A"/>
    <w:rsid w:val="004A0D05"/>
    <w:rsid w:val="004A0D61"/>
    <w:rsid w:val="004A0E44"/>
    <w:rsid w:val="004A0F3A"/>
    <w:rsid w:val="004A0FB3"/>
    <w:rsid w:val="004A103D"/>
    <w:rsid w:val="004A10B6"/>
    <w:rsid w:val="004A10F7"/>
    <w:rsid w:val="004A1166"/>
    <w:rsid w:val="004A132F"/>
    <w:rsid w:val="004A1379"/>
    <w:rsid w:val="004A1406"/>
    <w:rsid w:val="004A14AA"/>
    <w:rsid w:val="004A15A7"/>
    <w:rsid w:val="004A1629"/>
    <w:rsid w:val="004A1677"/>
    <w:rsid w:val="004A16B1"/>
    <w:rsid w:val="004A16C8"/>
    <w:rsid w:val="004A178E"/>
    <w:rsid w:val="004A17EB"/>
    <w:rsid w:val="004A18A3"/>
    <w:rsid w:val="004A18A5"/>
    <w:rsid w:val="004A18AF"/>
    <w:rsid w:val="004A19EF"/>
    <w:rsid w:val="004A1A8B"/>
    <w:rsid w:val="004A1A97"/>
    <w:rsid w:val="004A1B89"/>
    <w:rsid w:val="004A1BE6"/>
    <w:rsid w:val="004A1C17"/>
    <w:rsid w:val="004A1C89"/>
    <w:rsid w:val="004A1E85"/>
    <w:rsid w:val="004A1EE6"/>
    <w:rsid w:val="004A1FA7"/>
    <w:rsid w:val="004A1FF9"/>
    <w:rsid w:val="004A20B3"/>
    <w:rsid w:val="004A20FA"/>
    <w:rsid w:val="004A20FE"/>
    <w:rsid w:val="004A2139"/>
    <w:rsid w:val="004A21C3"/>
    <w:rsid w:val="004A2300"/>
    <w:rsid w:val="004A23FB"/>
    <w:rsid w:val="004A246A"/>
    <w:rsid w:val="004A24BC"/>
    <w:rsid w:val="004A2569"/>
    <w:rsid w:val="004A25FD"/>
    <w:rsid w:val="004A26A3"/>
    <w:rsid w:val="004A2714"/>
    <w:rsid w:val="004A2771"/>
    <w:rsid w:val="004A27EC"/>
    <w:rsid w:val="004A280F"/>
    <w:rsid w:val="004A2901"/>
    <w:rsid w:val="004A2B22"/>
    <w:rsid w:val="004A2B28"/>
    <w:rsid w:val="004A2B4F"/>
    <w:rsid w:val="004A2B75"/>
    <w:rsid w:val="004A2B8A"/>
    <w:rsid w:val="004A2C83"/>
    <w:rsid w:val="004A2CA2"/>
    <w:rsid w:val="004A2D2A"/>
    <w:rsid w:val="004A2DA2"/>
    <w:rsid w:val="004A2E33"/>
    <w:rsid w:val="004A2E5F"/>
    <w:rsid w:val="004A2E8E"/>
    <w:rsid w:val="004A2ECF"/>
    <w:rsid w:val="004A2FE6"/>
    <w:rsid w:val="004A307E"/>
    <w:rsid w:val="004A30A6"/>
    <w:rsid w:val="004A30F0"/>
    <w:rsid w:val="004A315E"/>
    <w:rsid w:val="004A3194"/>
    <w:rsid w:val="004A323D"/>
    <w:rsid w:val="004A32B2"/>
    <w:rsid w:val="004A32EB"/>
    <w:rsid w:val="004A3395"/>
    <w:rsid w:val="004A33B0"/>
    <w:rsid w:val="004A3466"/>
    <w:rsid w:val="004A34DF"/>
    <w:rsid w:val="004A354D"/>
    <w:rsid w:val="004A359A"/>
    <w:rsid w:val="004A35E7"/>
    <w:rsid w:val="004A3651"/>
    <w:rsid w:val="004A371E"/>
    <w:rsid w:val="004A37B2"/>
    <w:rsid w:val="004A3841"/>
    <w:rsid w:val="004A3871"/>
    <w:rsid w:val="004A389C"/>
    <w:rsid w:val="004A38F7"/>
    <w:rsid w:val="004A3956"/>
    <w:rsid w:val="004A398A"/>
    <w:rsid w:val="004A3AA1"/>
    <w:rsid w:val="004A3B78"/>
    <w:rsid w:val="004A3BD0"/>
    <w:rsid w:val="004A3C77"/>
    <w:rsid w:val="004A3DC1"/>
    <w:rsid w:val="004A3DCE"/>
    <w:rsid w:val="004A3DD2"/>
    <w:rsid w:val="004A3DE8"/>
    <w:rsid w:val="004A3E1C"/>
    <w:rsid w:val="004A3E43"/>
    <w:rsid w:val="004A3EBD"/>
    <w:rsid w:val="004A3F9C"/>
    <w:rsid w:val="004A3FA7"/>
    <w:rsid w:val="004A403D"/>
    <w:rsid w:val="004A40C5"/>
    <w:rsid w:val="004A4143"/>
    <w:rsid w:val="004A41B5"/>
    <w:rsid w:val="004A4303"/>
    <w:rsid w:val="004A43C0"/>
    <w:rsid w:val="004A4409"/>
    <w:rsid w:val="004A441C"/>
    <w:rsid w:val="004A4485"/>
    <w:rsid w:val="004A44A3"/>
    <w:rsid w:val="004A46AF"/>
    <w:rsid w:val="004A4717"/>
    <w:rsid w:val="004A471A"/>
    <w:rsid w:val="004A474E"/>
    <w:rsid w:val="004A4776"/>
    <w:rsid w:val="004A478A"/>
    <w:rsid w:val="004A47F2"/>
    <w:rsid w:val="004A480B"/>
    <w:rsid w:val="004A4890"/>
    <w:rsid w:val="004A4998"/>
    <w:rsid w:val="004A49C7"/>
    <w:rsid w:val="004A4B1C"/>
    <w:rsid w:val="004A4B6E"/>
    <w:rsid w:val="004A4D2D"/>
    <w:rsid w:val="004A4DC5"/>
    <w:rsid w:val="004A4E47"/>
    <w:rsid w:val="004A4E9C"/>
    <w:rsid w:val="004A4EC1"/>
    <w:rsid w:val="004A4EE7"/>
    <w:rsid w:val="004A5053"/>
    <w:rsid w:val="004A50E5"/>
    <w:rsid w:val="004A51ED"/>
    <w:rsid w:val="004A51FB"/>
    <w:rsid w:val="004A5225"/>
    <w:rsid w:val="004A5299"/>
    <w:rsid w:val="004A52C1"/>
    <w:rsid w:val="004A5320"/>
    <w:rsid w:val="004A5321"/>
    <w:rsid w:val="004A53AF"/>
    <w:rsid w:val="004A54DD"/>
    <w:rsid w:val="004A54F7"/>
    <w:rsid w:val="004A555A"/>
    <w:rsid w:val="004A55AF"/>
    <w:rsid w:val="004A55B3"/>
    <w:rsid w:val="004A5607"/>
    <w:rsid w:val="004A5849"/>
    <w:rsid w:val="004A58AD"/>
    <w:rsid w:val="004A58CD"/>
    <w:rsid w:val="004A58FF"/>
    <w:rsid w:val="004A59E1"/>
    <w:rsid w:val="004A5A46"/>
    <w:rsid w:val="004A5AB9"/>
    <w:rsid w:val="004A5AFC"/>
    <w:rsid w:val="004A5B58"/>
    <w:rsid w:val="004A5CC1"/>
    <w:rsid w:val="004A5CC8"/>
    <w:rsid w:val="004A5D8B"/>
    <w:rsid w:val="004A5E1B"/>
    <w:rsid w:val="004A5E33"/>
    <w:rsid w:val="004A5E88"/>
    <w:rsid w:val="004A5E97"/>
    <w:rsid w:val="004A5EF4"/>
    <w:rsid w:val="004A5F04"/>
    <w:rsid w:val="004A5F35"/>
    <w:rsid w:val="004A608A"/>
    <w:rsid w:val="004A60D8"/>
    <w:rsid w:val="004A61C4"/>
    <w:rsid w:val="004A61D6"/>
    <w:rsid w:val="004A61DA"/>
    <w:rsid w:val="004A6200"/>
    <w:rsid w:val="004A62D6"/>
    <w:rsid w:val="004A62DE"/>
    <w:rsid w:val="004A634C"/>
    <w:rsid w:val="004A6489"/>
    <w:rsid w:val="004A64D3"/>
    <w:rsid w:val="004A656B"/>
    <w:rsid w:val="004A6581"/>
    <w:rsid w:val="004A6585"/>
    <w:rsid w:val="004A6643"/>
    <w:rsid w:val="004A6761"/>
    <w:rsid w:val="004A6777"/>
    <w:rsid w:val="004A680E"/>
    <w:rsid w:val="004A6818"/>
    <w:rsid w:val="004A69E4"/>
    <w:rsid w:val="004A6A07"/>
    <w:rsid w:val="004A6A2C"/>
    <w:rsid w:val="004A6B45"/>
    <w:rsid w:val="004A6B60"/>
    <w:rsid w:val="004A6B8B"/>
    <w:rsid w:val="004A6BF3"/>
    <w:rsid w:val="004A6CEE"/>
    <w:rsid w:val="004A6DDF"/>
    <w:rsid w:val="004A6EFC"/>
    <w:rsid w:val="004A6F14"/>
    <w:rsid w:val="004A6F69"/>
    <w:rsid w:val="004A6F8E"/>
    <w:rsid w:val="004A71FC"/>
    <w:rsid w:val="004A7204"/>
    <w:rsid w:val="004A729C"/>
    <w:rsid w:val="004A72D8"/>
    <w:rsid w:val="004A7309"/>
    <w:rsid w:val="004A74F6"/>
    <w:rsid w:val="004A7505"/>
    <w:rsid w:val="004A75C0"/>
    <w:rsid w:val="004A75CA"/>
    <w:rsid w:val="004A7665"/>
    <w:rsid w:val="004A76DE"/>
    <w:rsid w:val="004A77C5"/>
    <w:rsid w:val="004A78AA"/>
    <w:rsid w:val="004A78E9"/>
    <w:rsid w:val="004A792C"/>
    <w:rsid w:val="004A799B"/>
    <w:rsid w:val="004A79A7"/>
    <w:rsid w:val="004A79A8"/>
    <w:rsid w:val="004A7B7D"/>
    <w:rsid w:val="004A7CAA"/>
    <w:rsid w:val="004A7D67"/>
    <w:rsid w:val="004A7DAE"/>
    <w:rsid w:val="004A7E5F"/>
    <w:rsid w:val="004A7EBC"/>
    <w:rsid w:val="004AEA2B"/>
    <w:rsid w:val="004B0049"/>
    <w:rsid w:val="004B00A3"/>
    <w:rsid w:val="004B013E"/>
    <w:rsid w:val="004B0207"/>
    <w:rsid w:val="004B03D4"/>
    <w:rsid w:val="004B052B"/>
    <w:rsid w:val="004B06DE"/>
    <w:rsid w:val="004B075C"/>
    <w:rsid w:val="004B0847"/>
    <w:rsid w:val="004B0972"/>
    <w:rsid w:val="004B0975"/>
    <w:rsid w:val="004B09AE"/>
    <w:rsid w:val="004B09B8"/>
    <w:rsid w:val="004B09D1"/>
    <w:rsid w:val="004B0A7D"/>
    <w:rsid w:val="004B0AB2"/>
    <w:rsid w:val="004B0B06"/>
    <w:rsid w:val="004B0B53"/>
    <w:rsid w:val="004B0BDB"/>
    <w:rsid w:val="004B0D98"/>
    <w:rsid w:val="004B0E38"/>
    <w:rsid w:val="004B0E50"/>
    <w:rsid w:val="004B0FA4"/>
    <w:rsid w:val="004B1040"/>
    <w:rsid w:val="004B104D"/>
    <w:rsid w:val="004B1097"/>
    <w:rsid w:val="004B1149"/>
    <w:rsid w:val="004B12BD"/>
    <w:rsid w:val="004B1321"/>
    <w:rsid w:val="004B133B"/>
    <w:rsid w:val="004B1496"/>
    <w:rsid w:val="004B1618"/>
    <w:rsid w:val="004B1643"/>
    <w:rsid w:val="004B16B7"/>
    <w:rsid w:val="004B16CF"/>
    <w:rsid w:val="004B17EF"/>
    <w:rsid w:val="004B1833"/>
    <w:rsid w:val="004B188B"/>
    <w:rsid w:val="004B1927"/>
    <w:rsid w:val="004B1A20"/>
    <w:rsid w:val="004B1A4D"/>
    <w:rsid w:val="004B1ADF"/>
    <w:rsid w:val="004B1B2B"/>
    <w:rsid w:val="004B1BC3"/>
    <w:rsid w:val="004B1C05"/>
    <w:rsid w:val="004B1C2F"/>
    <w:rsid w:val="004B1C83"/>
    <w:rsid w:val="004B1C89"/>
    <w:rsid w:val="004B1DB1"/>
    <w:rsid w:val="004B1E40"/>
    <w:rsid w:val="004B1E42"/>
    <w:rsid w:val="004B1E59"/>
    <w:rsid w:val="004B1F1E"/>
    <w:rsid w:val="004B1FA3"/>
    <w:rsid w:val="004B1FD0"/>
    <w:rsid w:val="004B2035"/>
    <w:rsid w:val="004B20C7"/>
    <w:rsid w:val="004B20F5"/>
    <w:rsid w:val="004B2113"/>
    <w:rsid w:val="004B2128"/>
    <w:rsid w:val="004B21B4"/>
    <w:rsid w:val="004B21CC"/>
    <w:rsid w:val="004B2214"/>
    <w:rsid w:val="004B2269"/>
    <w:rsid w:val="004B229E"/>
    <w:rsid w:val="004B239A"/>
    <w:rsid w:val="004B2511"/>
    <w:rsid w:val="004B2577"/>
    <w:rsid w:val="004B2661"/>
    <w:rsid w:val="004B2665"/>
    <w:rsid w:val="004B2678"/>
    <w:rsid w:val="004B2790"/>
    <w:rsid w:val="004B279F"/>
    <w:rsid w:val="004B27F0"/>
    <w:rsid w:val="004B2985"/>
    <w:rsid w:val="004B29AC"/>
    <w:rsid w:val="004B29F6"/>
    <w:rsid w:val="004B2A08"/>
    <w:rsid w:val="004B2A18"/>
    <w:rsid w:val="004B2A30"/>
    <w:rsid w:val="004B2A6A"/>
    <w:rsid w:val="004B2B9A"/>
    <w:rsid w:val="004B2BC3"/>
    <w:rsid w:val="004B2BF3"/>
    <w:rsid w:val="004B2C1E"/>
    <w:rsid w:val="004B2C35"/>
    <w:rsid w:val="004B2C68"/>
    <w:rsid w:val="004B2CD0"/>
    <w:rsid w:val="004B2DCA"/>
    <w:rsid w:val="004B2DD9"/>
    <w:rsid w:val="004B2E6E"/>
    <w:rsid w:val="004B2F07"/>
    <w:rsid w:val="004B2F31"/>
    <w:rsid w:val="004B3064"/>
    <w:rsid w:val="004B3086"/>
    <w:rsid w:val="004B30BF"/>
    <w:rsid w:val="004B31A8"/>
    <w:rsid w:val="004B323D"/>
    <w:rsid w:val="004B329E"/>
    <w:rsid w:val="004B32D0"/>
    <w:rsid w:val="004B3353"/>
    <w:rsid w:val="004B3359"/>
    <w:rsid w:val="004B3371"/>
    <w:rsid w:val="004B3472"/>
    <w:rsid w:val="004B35BA"/>
    <w:rsid w:val="004B35E0"/>
    <w:rsid w:val="004B3643"/>
    <w:rsid w:val="004B3660"/>
    <w:rsid w:val="004B3699"/>
    <w:rsid w:val="004B36C4"/>
    <w:rsid w:val="004B36CD"/>
    <w:rsid w:val="004B36D0"/>
    <w:rsid w:val="004B36E4"/>
    <w:rsid w:val="004B36F2"/>
    <w:rsid w:val="004B370D"/>
    <w:rsid w:val="004B376B"/>
    <w:rsid w:val="004B37A8"/>
    <w:rsid w:val="004B37C7"/>
    <w:rsid w:val="004B380E"/>
    <w:rsid w:val="004B386E"/>
    <w:rsid w:val="004B38B7"/>
    <w:rsid w:val="004B38CE"/>
    <w:rsid w:val="004B38F1"/>
    <w:rsid w:val="004B3A90"/>
    <w:rsid w:val="004B3AF0"/>
    <w:rsid w:val="004B3BDE"/>
    <w:rsid w:val="004B3C1D"/>
    <w:rsid w:val="004B3CAC"/>
    <w:rsid w:val="004B3CEB"/>
    <w:rsid w:val="004B3D34"/>
    <w:rsid w:val="004B3D6D"/>
    <w:rsid w:val="004B3D7E"/>
    <w:rsid w:val="004B3DAC"/>
    <w:rsid w:val="004B3DB0"/>
    <w:rsid w:val="004B3E5C"/>
    <w:rsid w:val="004B3FE5"/>
    <w:rsid w:val="004B3FFA"/>
    <w:rsid w:val="004B407A"/>
    <w:rsid w:val="004B40EF"/>
    <w:rsid w:val="004B4106"/>
    <w:rsid w:val="004B4202"/>
    <w:rsid w:val="004B423B"/>
    <w:rsid w:val="004B446B"/>
    <w:rsid w:val="004B470B"/>
    <w:rsid w:val="004B47D7"/>
    <w:rsid w:val="004B47E9"/>
    <w:rsid w:val="004B488F"/>
    <w:rsid w:val="004B499B"/>
    <w:rsid w:val="004B4A29"/>
    <w:rsid w:val="004B4A45"/>
    <w:rsid w:val="004B4A93"/>
    <w:rsid w:val="004B4B3F"/>
    <w:rsid w:val="004B4B76"/>
    <w:rsid w:val="004B4BA9"/>
    <w:rsid w:val="004B4BF0"/>
    <w:rsid w:val="004B4D49"/>
    <w:rsid w:val="004B4D93"/>
    <w:rsid w:val="004B4DDB"/>
    <w:rsid w:val="004B4E68"/>
    <w:rsid w:val="004B4EEA"/>
    <w:rsid w:val="004B4F0C"/>
    <w:rsid w:val="004B4F10"/>
    <w:rsid w:val="004B4FBC"/>
    <w:rsid w:val="004B4FCF"/>
    <w:rsid w:val="004B4FFC"/>
    <w:rsid w:val="004B500F"/>
    <w:rsid w:val="004B50CA"/>
    <w:rsid w:val="004B50DC"/>
    <w:rsid w:val="004B50DE"/>
    <w:rsid w:val="004B50FF"/>
    <w:rsid w:val="004B511F"/>
    <w:rsid w:val="004B5172"/>
    <w:rsid w:val="004B5297"/>
    <w:rsid w:val="004B5303"/>
    <w:rsid w:val="004B534A"/>
    <w:rsid w:val="004B5362"/>
    <w:rsid w:val="004B5549"/>
    <w:rsid w:val="004B55C1"/>
    <w:rsid w:val="004B56F4"/>
    <w:rsid w:val="004B575A"/>
    <w:rsid w:val="004B5804"/>
    <w:rsid w:val="004B586F"/>
    <w:rsid w:val="004B5958"/>
    <w:rsid w:val="004B595A"/>
    <w:rsid w:val="004B59C5"/>
    <w:rsid w:val="004B5AEF"/>
    <w:rsid w:val="004B5B66"/>
    <w:rsid w:val="004B5B68"/>
    <w:rsid w:val="004B5BE5"/>
    <w:rsid w:val="004B5C69"/>
    <w:rsid w:val="004B5C7C"/>
    <w:rsid w:val="004B5D18"/>
    <w:rsid w:val="004B5EEA"/>
    <w:rsid w:val="004B5F88"/>
    <w:rsid w:val="004B5FD1"/>
    <w:rsid w:val="004B6066"/>
    <w:rsid w:val="004B60C0"/>
    <w:rsid w:val="004B60CD"/>
    <w:rsid w:val="004B61D5"/>
    <w:rsid w:val="004B6203"/>
    <w:rsid w:val="004B620A"/>
    <w:rsid w:val="004B6261"/>
    <w:rsid w:val="004B6266"/>
    <w:rsid w:val="004B62E8"/>
    <w:rsid w:val="004B6312"/>
    <w:rsid w:val="004B63F7"/>
    <w:rsid w:val="004B64BD"/>
    <w:rsid w:val="004B64C5"/>
    <w:rsid w:val="004B6526"/>
    <w:rsid w:val="004B656E"/>
    <w:rsid w:val="004B6574"/>
    <w:rsid w:val="004B658A"/>
    <w:rsid w:val="004B660A"/>
    <w:rsid w:val="004B66E3"/>
    <w:rsid w:val="004B673F"/>
    <w:rsid w:val="004B68EC"/>
    <w:rsid w:val="004B6908"/>
    <w:rsid w:val="004B691F"/>
    <w:rsid w:val="004B6A2D"/>
    <w:rsid w:val="004B6AAE"/>
    <w:rsid w:val="004B6B13"/>
    <w:rsid w:val="004B6BA2"/>
    <w:rsid w:val="004B6BB8"/>
    <w:rsid w:val="004B6CD8"/>
    <w:rsid w:val="004B6D5D"/>
    <w:rsid w:val="004B6DB2"/>
    <w:rsid w:val="004B6DE0"/>
    <w:rsid w:val="004B6DE8"/>
    <w:rsid w:val="004B6EC2"/>
    <w:rsid w:val="004B6F71"/>
    <w:rsid w:val="004B6F7E"/>
    <w:rsid w:val="004B6F99"/>
    <w:rsid w:val="004B707F"/>
    <w:rsid w:val="004B7194"/>
    <w:rsid w:val="004B71DC"/>
    <w:rsid w:val="004B71F5"/>
    <w:rsid w:val="004B71F7"/>
    <w:rsid w:val="004B7260"/>
    <w:rsid w:val="004B7335"/>
    <w:rsid w:val="004B7338"/>
    <w:rsid w:val="004B73C5"/>
    <w:rsid w:val="004B741A"/>
    <w:rsid w:val="004B7494"/>
    <w:rsid w:val="004B7569"/>
    <w:rsid w:val="004B7570"/>
    <w:rsid w:val="004B75FD"/>
    <w:rsid w:val="004B760E"/>
    <w:rsid w:val="004B7618"/>
    <w:rsid w:val="004B770F"/>
    <w:rsid w:val="004B787D"/>
    <w:rsid w:val="004B78AE"/>
    <w:rsid w:val="004B78AF"/>
    <w:rsid w:val="004B795D"/>
    <w:rsid w:val="004B7B55"/>
    <w:rsid w:val="004B7B6A"/>
    <w:rsid w:val="004B7C41"/>
    <w:rsid w:val="004B7C6F"/>
    <w:rsid w:val="004B7C77"/>
    <w:rsid w:val="004B7CBD"/>
    <w:rsid w:val="004B7CCB"/>
    <w:rsid w:val="004B7E56"/>
    <w:rsid w:val="004B7EA6"/>
    <w:rsid w:val="004B7F82"/>
    <w:rsid w:val="004B93C2"/>
    <w:rsid w:val="004C0062"/>
    <w:rsid w:val="004C00D7"/>
    <w:rsid w:val="004C00DF"/>
    <w:rsid w:val="004C00EA"/>
    <w:rsid w:val="004C0133"/>
    <w:rsid w:val="004C0159"/>
    <w:rsid w:val="004C016D"/>
    <w:rsid w:val="004C01E9"/>
    <w:rsid w:val="004C01EB"/>
    <w:rsid w:val="004C01F9"/>
    <w:rsid w:val="004C0204"/>
    <w:rsid w:val="004C0258"/>
    <w:rsid w:val="004C02EF"/>
    <w:rsid w:val="004C0379"/>
    <w:rsid w:val="004C0398"/>
    <w:rsid w:val="004C060F"/>
    <w:rsid w:val="004C06C5"/>
    <w:rsid w:val="004C0712"/>
    <w:rsid w:val="004C071A"/>
    <w:rsid w:val="004C072C"/>
    <w:rsid w:val="004C0759"/>
    <w:rsid w:val="004C0810"/>
    <w:rsid w:val="004C08D5"/>
    <w:rsid w:val="004C0A47"/>
    <w:rsid w:val="004C0A9F"/>
    <w:rsid w:val="004C0D0A"/>
    <w:rsid w:val="004C0D37"/>
    <w:rsid w:val="004C0D83"/>
    <w:rsid w:val="004C0DD8"/>
    <w:rsid w:val="004C0E4F"/>
    <w:rsid w:val="004C0E94"/>
    <w:rsid w:val="004C0FEB"/>
    <w:rsid w:val="004C1136"/>
    <w:rsid w:val="004C114F"/>
    <w:rsid w:val="004C1166"/>
    <w:rsid w:val="004C119A"/>
    <w:rsid w:val="004C1254"/>
    <w:rsid w:val="004C125F"/>
    <w:rsid w:val="004C12CC"/>
    <w:rsid w:val="004C1334"/>
    <w:rsid w:val="004C13C4"/>
    <w:rsid w:val="004C13D8"/>
    <w:rsid w:val="004C1401"/>
    <w:rsid w:val="004C14E5"/>
    <w:rsid w:val="004C157D"/>
    <w:rsid w:val="004C16A7"/>
    <w:rsid w:val="004C1733"/>
    <w:rsid w:val="004C17DD"/>
    <w:rsid w:val="004C17DF"/>
    <w:rsid w:val="004C17E8"/>
    <w:rsid w:val="004C181B"/>
    <w:rsid w:val="004C1866"/>
    <w:rsid w:val="004C1897"/>
    <w:rsid w:val="004C193D"/>
    <w:rsid w:val="004C1988"/>
    <w:rsid w:val="004C1ADA"/>
    <w:rsid w:val="004C1B01"/>
    <w:rsid w:val="004C1CAD"/>
    <w:rsid w:val="004C1CB5"/>
    <w:rsid w:val="004C1CCA"/>
    <w:rsid w:val="004C1CD2"/>
    <w:rsid w:val="004C1D2B"/>
    <w:rsid w:val="004C1D6D"/>
    <w:rsid w:val="004C1D9C"/>
    <w:rsid w:val="004C1DEC"/>
    <w:rsid w:val="004C1EA0"/>
    <w:rsid w:val="004C1EF3"/>
    <w:rsid w:val="004C1EFD"/>
    <w:rsid w:val="004C1F1F"/>
    <w:rsid w:val="004C1F7C"/>
    <w:rsid w:val="004C200C"/>
    <w:rsid w:val="004C208F"/>
    <w:rsid w:val="004C21E8"/>
    <w:rsid w:val="004C222B"/>
    <w:rsid w:val="004C223B"/>
    <w:rsid w:val="004C2253"/>
    <w:rsid w:val="004C240F"/>
    <w:rsid w:val="004C243D"/>
    <w:rsid w:val="004C2445"/>
    <w:rsid w:val="004C24F6"/>
    <w:rsid w:val="004C2501"/>
    <w:rsid w:val="004C25DB"/>
    <w:rsid w:val="004C2694"/>
    <w:rsid w:val="004C2753"/>
    <w:rsid w:val="004C27F4"/>
    <w:rsid w:val="004C287A"/>
    <w:rsid w:val="004C2890"/>
    <w:rsid w:val="004C2937"/>
    <w:rsid w:val="004C2957"/>
    <w:rsid w:val="004C2A52"/>
    <w:rsid w:val="004C2ABC"/>
    <w:rsid w:val="004C2AC3"/>
    <w:rsid w:val="004C2B01"/>
    <w:rsid w:val="004C2C07"/>
    <w:rsid w:val="004C2C79"/>
    <w:rsid w:val="004C2CB4"/>
    <w:rsid w:val="004C2D0F"/>
    <w:rsid w:val="004C2D97"/>
    <w:rsid w:val="004C2E30"/>
    <w:rsid w:val="004C2E81"/>
    <w:rsid w:val="004C2EEC"/>
    <w:rsid w:val="004C2FA6"/>
    <w:rsid w:val="004C2FC4"/>
    <w:rsid w:val="004C2FE9"/>
    <w:rsid w:val="004C3040"/>
    <w:rsid w:val="004C314B"/>
    <w:rsid w:val="004C3177"/>
    <w:rsid w:val="004C32D0"/>
    <w:rsid w:val="004C3422"/>
    <w:rsid w:val="004C3429"/>
    <w:rsid w:val="004C3459"/>
    <w:rsid w:val="004C3483"/>
    <w:rsid w:val="004C3570"/>
    <w:rsid w:val="004C376B"/>
    <w:rsid w:val="004C3777"/>
    <w:rsid w:val="004C3804"/>
    <w:rsid w:val="004C383A"/>
    <w:rsid w:val="004C386A"/>
    <w:rsid w:val="004C39BD"/>
    <w:rsid w:val="004C3B4B"/>
    <w:rsid w:val="004C3B96"/>
    <w:rsid w:val="004C3BC3"/>
    <w:rsid w:val="004C3BFC"/>
    <w:rsid w:val="004C3C38"/>
    <w:rsid w:val="004C3C42"/>
    <w:rsid w:val="004C3C7B"/>
    <w:rsid w:val="004C3CAD"/>
    <w:rsid w:val="004C3CCB"/>
    <w:rsid w:val="004C3D39"/>
    <w:rsid w:val="004C3DE3"/>
    <w:rsid w:val="004C3E64"/>
    <w:rsid w:val="004C3E91"/>
    <w:rsid w:val="004C3F19"/>
    <w:rsid w:val="004C3F9E"/>
    <w:rsid w:val="004C3FE3"/>
    <w:rsid w:val="004C4054"/>
    <w:rsid w:val="004C414B"/>
    <w:rsid w:val="004C4232"/>
    <w:rsid w:val="004C42F8"/>
    <w:rsid w:val="004C4306"/>
    <w:rsid w:val="004C43F3"/>
    <w:rsid w:val="004C444B"/>
    <w:rsid w:val="004C449A"/>
    <w:rsid w:val="004C449B"/>
    <w:rsid w:val="004C4602"/>
    <w:rsid w:val="004C4741"/>
    <w:rsid w:val="004C4788"/>
    <w:rsid w:val="004C4798"/>
    <w:rsid w:val="004C47EC"/>
    <w:rsid w:val="004C4912"/>
    <w:rsid w:val="004C4955"/>
    <w:rsid w:val="004C49F6"/>
    <w:rsid w:val="004C4B34"/>
    <w:rsid w:val="004C4C1E"/>
    <w:rsid w:val="004C4CCF"/>
    <w:rsid w:val="004C4E09"/>
    <w:rsid w:val="004C4E11"/>
    <w:rsid w:val="004C4E5B"/>
    <w:rsid w:val="004C4E89"/>
    <w:rsid w:val="004C4F1D"/>
    <w:rsid w:val="004C4F99"/>
    <w:rsid w:val="004C4FAE"/>
    <w:rsid w:val="004C4FE7"/>
    <w:rsid w:val="004C504B"/>
    <w:rsid w:val="004C5082"/>
    <w:rsid w:val="004C508B"/>
    <w:rsid w:val="004C50F4"/>
    <w:rsid w:val="004C5206"/>
    <w:rsid w:val="004C5252"/>
    <w:rsid w:val="004C5257"/>
    <w:rsid w:val="004C52AD"/>
    <w:rsid w:val="004C52CB"/>
    <w:rsid w:val="004C533E"/>
    <w:rsid w:val="004C544B"/>
    <w:rsid w:val="004C545E"/>
    <w:rsid w:val="004C5497"/>
    <w:rsid w:val="004C54D7"/>
    <w:rsid w:val="004C5528"/>
    <w:rsid w:val="004C55E2"/>
    <w:rsid w:val="004C564D"/>
    <w:rsid w:val="004C56C5"/>
    <w:rsid w:val="004C572D"/>
    <w:rsid w:val="004C5742"/>
    <w:rsid w:val="004C5769"/>
    <w:rsid w:val="004C5792"/>
    <w:rsid w:val="004C5838"/>
    <w:rsid w:val="004C587B"/>
    <w:rsid w:val="004C58D0"/>
    <w:rsid w:val="004C58FA"/>
    <w:rsid w:val="004C591A"/>
    <w:rsid w:val="004C597B"/>
    <w:rsid w:val="004C5A21"/>
    <w:rsid w:val="004C5A74"/>
    <w:rsid w:val="004C5C3A"/>
    <w:rsid w:val="004C5C49"/>
    <w:rsid w:val="004C5C59"/>
    <w:rsid w:val="004C5CB2"/>
    <w:rsid w:val="004C5CE8"/>
    <w:rsid w:val="004C5CF5"/>
    <w:rsid w:val="004C5D60"/>
    <w:rsid w:val="004C5D96"/>
    <w:rsid w:val="004C5DC8"/>
    <w:rsid w:val="004C5E11"/>
    <w:rsid w:val="004C5E16"/>
    <w:rsid w:val="004C5E68"/>
    <w:rsid w:val="004C5ED9"/>
    <w:rsid w:val="004C5FB8"/>
    <w:rsid w:val="004C5FD8"/>
    <w:rsid w:val="004C5FDD"/>
    <w:rsid w:val="004C6048"/>
    <w:rsid w:val="004C6072"/>
    <w:rsid w:val="004C60CC"/>
    <w:rsid w:val="004C619E"/>
    <w:rsid w:val="004C61B6"/>
    <w:rsid w:val="004C62B5"/>
    <w:rsid w:val="004C630D"/>
    <w:rsid w:val="004C6329"/>
    <w:rsid w:val="004C6370"/>
    <w:rsid w:val="004C640B"/>
    <w:rsid w:val="004C64BB"/>
    <w:rsid w:val="004C6576"/>
    <w:rsid w:val="004C6577"/>
    <w:rsid w:val="004C6724"/>
    <w:rsid w:val="004C6762"/>
    <w:rsid w:val="004C6821"/>
    <w:rsid w:val="004C6989"/>
    <w:rsid w:val="004C69B2"/>
    <w:rsid w:val="004C6A1B"/>
    <w:rsid w:val="004C6A31"/>
    <w:rsid w:val="004C6A74"/>
    <w:rsid w:val="004C6B31"/>
    <w:rsid w:val="004C6B39"/>
    <w:rsid w:val="004C6BA5"/>
    <w:rsid w:val="004C6BC6"/>
    <w:rsid w:val="004C6C84"/>
    <w:rsid w:val="004C6DDC"/>
    <w:rsid w:val="004C6DF8"/>
    <w:rsid w:val="004C6E1B"/>
    <w:rsid w:val="004C6F8A"/>
    <w:rsid w:val="004C70E7"/>
    <w:rsid w:val="004C710A"/>
    <w:rsid w:val="004C7112"/>
    <w:rsid w:val="004C7267"/>
    <w:rsid w:val="004C7293"/>
    <w:rsid w:val="004C7387"/>
    <w:rsid w:val="004C7430"/>
    <w:rsid w:val="004C74FE"/>
    <w:rsid w:val="004C75CD"/>
    <w:rsid w:val="004C7669"/>
    <w:rsid w:val="004C7689"/>
    <w:rsid w:val="004C770F"/>
    <w:rsid w:val="004C7766"/>
    <w:rsid w:val="004C782E"/>
    <w:rsid w:val="004C7866"/>
    <w:rsid w:val="004C78D0"/>
    <w:rsid w:val="004C78E7"/>
    <w:rsid w:val="004C78E9"/>
    <w:rsid w:val="004C78F2"/>
    <w:rsid w:val="004C798E"/>
    <w:rsid w:val="004C7A15"/>
    <w:rsid w:val="004C7A7B"/>
    <w:rsid w:val="004C7B43"/>
    <w:rsid w:val="004C7C65"/>
    <w:rsid w:val="004C7C71"/>
    <w:rsid w:val="004C7D17"/>
    <w:rsid w:val="004C7DEC"/>
    <w:rsid w:val="004C7DEE"/>
    <w:rsid w:val="004C7E2C"/>
    <w:rsid w:val="004C7E2E"/>
    <w:rsid w:val="004C7E3D"/>
    <w:rsid w:val="004C7E4A"/>
    <w:rsid w:val="004C7EA7"/>
    <w:rsid w:val="004C7EDD"/>
    <w:rsid w:val="004C7F81"/>
    <w:rsid w:val="004CBBCE"/>
    <w:rsid w:val="004D0026"/>
    <w:rsid w:val="004D0046"/>
    <w:rsid w:val="004D00A1"/>
    <w:rsid w:val="004D00AA"/>
    <w:rsid w:val="004D012A"/>
    <w:rsid w:val="004D0150"/>
    <w:rsid w:val="004D018E"/>
    <w:rsid w:val="004D01A9"/>
    <w:rsid w:val="004D01FE"/>
    <w:rsid w:val="004D0219"/>
    <w:rsid w:val="004D02BB"/>
    <w:rsid w:val="004D034D"/>
    <w:rsid w:val="004D0391"/>
    <w:rsid w:val="004D03C5"/>
    <w:rsid w:val="004D03D8"/>
    <w:rsid w:val="004D042F"/>
    <w:rsid w:val="004D047A"/>
    <w:rsid w:val="004D055A"/>
    <w:rsid w:val="004D056C"/>
    <w:rsid w:val="004D066F"/>
    <w:rsid w:val="004D06DA"/>
    <w:rsid w:val="004D0733"/>
    <w:rsid w:val="004D07D1"/>
    <w:rsid w:val="004D0982"/>
    <w:rsid w:val="004D0A46"/>
    <w:rsid w:val="004D0A48"/>
    <w:rsid w:val="004D0AE3"/>
    <w:rsid w:val="004D0BA0"/>
    <w:rsid w:val="004D0BBF"/>
    <w:rsid w:val="004D0C07"/>
    <w:rsid w:val="004D0C50"/>
    <w:rsid w:val="004D0CF2"/>
    <w:rsid w:val="004D0D18"/>
    <w:rsid w:val="004D0D24"/>
    <w:rsid w:val="004D0E37"/>
    <w:rsid w:val="004D0E8F"/>
    <w:rsid w:val="004D0E97"/>
    <w:rsid w:val="004D0EC5"/>
    <w:rsid w:val="004D0F05"/>
    <w:rsid w:val="004D0F2A"/>
    <w:rsid w:val="004D1056"/>
    <w:rsid w:val="004D1064"/>
    <w:rsid w:val="004D108C"/>
    <w:rsid w:val="004D10BA"/>
    <w:rsid w:val="004D1173"/>
    <w:rsid w:val="004D1180"/>
    <w:rsid w:val="004D11A0"/>
    <w:rsid w:val="004D14CD"/>
    <w:rsid w:val="004D1525"/>
    <w:rsid w:val="004D1573"/>
    <w:rsid w:val="004D1580"/>
    <w:rsid w:val="004D1627"/>
    <w:rsid w:val="004D164A"/>
    <w:rsid w:val="004D1672"/>
    <w:rsid w:val="004D16E9"/>
    <w:rsid w:val="004D17FE"/>
    <w:rsid w:val="004D1825"/>
    <w:rsid w:val="004D18DB"/>
    <w:rsid w:val="004D1922"/>
    <w:rsid w:val="004D193C"/>
    <w:rsid w:val="004D1940"/>
    <w:rsid w:val="004D199E"/>
    <w:rsid w:val="004D19B5"/>
    <w:rsid w:val="004D1B56"/>
    <w:rsid w:val="004D1BCF"/>
    <w:rsid w:val="004D1C1E"/>
    <w:rsid w:val="004D1CE8"/>
    <w:rsid w:val="004D1D80"/>
    <w:rsid w:val="004D1F1A"/>
    <w:rsid w:val="004D1F93"/>
    <w:rsid w:val="004D212B"/>
    <w:rsid w:val="004D216E"/>
    <w:rsid w:val="004D22AD"/>
    <w:rsid w:val="004D22B3"/>
    <w:rsid w:val="004D2507"/>
    <w:rsid w:val="004D26F0"/>
    <w:rsid w:val="004D270E"/>
    <w:rsid w:val="004D27DF"/>
    <w:rsid w:val="004D27EE"/>
    <w:rsid w:val="004D27F3"/>
    <w:rsid w:val="004D296E"/>
    <w:rsid w:val="004D2991"/>
    <w:rsid w:val="004D29AD"/>
    <w:rsid w:val="004D2A08"/>
    <w:rsid w:val="004D2CD2"/>
    <w:rsid w:val="004D2D67"/>
    <w:rsid w:val="004D2E00"/>
    <w:rsid w:val="004D2F0B"/>
    <w:rsid w:val="004D2F52"/>
    <w:rsid w:val="004D2F73"/>
    <w:rsid w:val="004D3019"/>
    <w:rsid w:val="004D3043"/>
    <w:rsid w:val="004D3054"/>
    <w:rsid w:val="004D3080"/>
    <w:rsid w:val="004D3158"/>
    <w:rsid w:val="004D318A"/>
    <w:rsid w:val="004D326A"/>
    <w:rsid w:val="004D3286"/>
    <w:rsid w:val="004D3304"/>
    <w:rsid w:val="004D3358"/>
    <w:rsid w:val="004D3428"/>
    <w:rsid w:val="004D34DC"/>
    <w:rsid w:val="004D3567"/>
    <w:rsid w:val="004D358B"/>
    <w:rsid w:val="004D35D7"/>
    <w:rsid w:val="004D36B8"/>
    <w:rsid w:val="004D36EA"/>
    <w:rsid w:val="004D372D"/>
    <w:rsid w:val="004D3765"/>
    <w:rsid w:val="004D37DC"/>
    <w:rsid w:val="004D37F0"/>
    <w:rsid w:val="004D3880"/>
    <w:rsid w:val="004D39C5"/>
    <w:rsid w:val="004D3B8D"/>
    <w:rsid w:val="004D3BC1"/>
    <w:rsid w:val="004D3C6D"/>
    <w:rsid w:val="004D3CB8"/>
    <w:rsid w:val="004D3D9E"/>
    <w:rsid w:val="004D3E7F"/>
    <w:rsid w:val="004D3EBC"/>
    <w:rsid w:val="004D3ED4"/>
    <w:rsid w:val="004D3EEB"/>
    <w:rsid w:val="004D3F42"/>
    <w:rsid w:val="004D3F63"/>
    <w:rsid w:val="004D3FBA"/>
    <w:rsid w:val="004D4066"/>
    <w:rsid w:val="004D406B"/>
    <w:rsid w:val="004D40C0"/>
    <w:rsid w:val="004D41CF"/>
    <w:rsid w:val="004D42F6"/>
    <w:rsid w:val="004D437F"/>
    <w:rsid w:val="004D4395"/>
    <w:rsid w:val="004D43EF"/>
    <w:rsid w:val="004D4519"/>
    <w:rsid w:val="004D461E"/>
    <w:rsid w:val="004D4657"/>
    <w:rsid w:val="004D468D"/>
    <w:rsid w:val="004D46C1"/>
    <w:rsid w:val="004D470B"/>
    <w:rsid w:val="004D4715"/>
    <w:rsid w:val="004D4769"/>
    <w:rsid w:val="004D478E"/>
    <w:rsid w:val="004D47B9"/>
    <w:rsid w:val="004D485F"/>
    <w:rsid w:val="004D49E1"/>
    <w:rsid w:val="004D4A38"/>
    <w:rsid w:val="004D4A4D"/>
    <w:rsid w:val="004D4AAB"/>
    <w:rsid w:val="004D4ADB"/>
    <w:rsid w:val="004D4BB1"/>
    <w:rsid w:val="004D4C40"/>
    <w:rsid w:val="004D4C65"/>
    <w:rsid w:val="004D4C75"/>
    <w:rsid w:val="004D4C7B"/>
    <w:rsid w:val="004D4C8C"/>
    <w:rsid w:val="004D4CFE"/>
    <w:rsid w:val="004D4EFA"/>
    <w:rsid w:val="004D4EFB"/>
    <w:rsid w:val="004D4F21"/>
    <w:rsid w:val="004D5105"/>
    <w:rsid w:val="004D5162"/>
    <w:rsid w:val="004D517A"/>
    <w:rsid w:val="004D5208"/>
    <w:rsid w:val="004D526B"/>
    <w:rsid w:val="004D5301"/>
    <w:rsid w:val="004D5688"/>
    <w:rsid w:val="004D568B"/>
    <w:rsid w:val="004D56B1"/>
    <w:rsid w:val="004D56CF"/>
    <w:rsid w:val="004D56D2"/>
    <w:rsid w:val="004D56FE"/>
    <w:rsid w:val="004D5701"/>
    <w:rsid w:val="004D571B"/>
    <w:rsid w:val="004D57E3"/>
    <w:rsid w:val="004D57FB"/>
    <w:rsid w:val="004D58F7"/>
    <w:rsid w:val="004D5947"/>
    <w:rsid w:val="004D5951"/>
    <w:rsid w:val="004D5956"/>
    <w:rsid w:val="004D59AC"/>
    <w:rsid w:val="004D5A0B"/>
    <w:rsid w:val="004D5AB5"/>
    <w:rsid w:val="004D5AC0"/>
    <w:rsid w:val="004D5AD1"/>
    <w:rsid w:val="004D5B75"/>
    <w:rsid w:val="004D5F13"/>
    <w:rsid w:val="004D6117"/>
    <w:rsid w:val="004D6194"/>
    <w:rsid w:val="004D61E8"/>
    <w:rsid w:val="004D62CD"/>
    <w:rsid w:val="004D62F8"/>
    <w:rsid w:val="004D633C"/>
    <w:rsid w:val="004D6374"/>
    <w:rsid w:val="004D637F"/>
    <w:rsid w:val="004D63B1"/>
    <w:rsid w:val="004D6453"/>
    <w:rsid w:val="004D64DC"/>
    <w:rsid w:val="004D65CA"/>
    <w:rsid w:val="004D65FC"/>
    <w:rsid w:val="004D6602"/>
    <w:rsid w:val="004D66E3"/>
    <w:rsid w:val="004D6712"/>
    <w:rsid w:val="004D67B6"/>
    <w:rsid w:val="004D67C7"/>
    <w:rsid w:val="004D68C5"/>
    <w:rsid w:val="004D68F2"/>
    <w:rsid w:val="004D699B"/>
    <w:rsid w:val="004D6A06"/>
    <w:rsid w:val="004D6B15"/>
    <w:rsid w:val="004D6B8F"/>
    <w:rsid w:val="004D6D51"/>
    <w:rsid w:val="004D6D61"/>
    <w:rsid w:val="004D6DD3"/>
    <w:rsid w:val="004D6DD4"/>
    <w:rsid w:val="004D6E65"/>
    <w:rsid w:val="004D6E96"/>
    <w:rsid w:val="004D6F34"/>
    <w:rsid w:val="004D6F40"/>
    <w:rsid w:val="004D6F7A"/>
    <w:rsid w:val="004D70D0"/>
    <w:rsid w:val="004D711E"/>
    <w:rsid w:val="004D7126"/>
    <w:rsid w:val="004D716D"/>
    <w:rsid w:val="004D7187"/>
    <w:rsid w:val="004D71FA"/>
    <w:rsid w:val="004D720F"/>
    <w:rsid w:val="004D722C"/>
    <w:rsid w:val="004D738C"/>
    <w:rsid w:val="004D7399"/>
    <w:rsid w:val="004D73A0"/>
    <w:rsid w:val="004D73F2"/>
    <w:rsid w:val="004D747A"/>
    <w:rsid w:val="004D748D"/>
    <w:rsid w:val="004D7494"/>
    <w:rsid w:val="004D762A"/>
    <w:rsid w:val="004D7636"/>
    <w:rsid w:val="004D768A"/>
    <w:rsid w:val="004D7782"/>
    <w:rsid w:val="004D77F0"/>
    <w:rsid w:val="004D7837"/>
    <w:rsid w:val="004D7846"/>
    <w:rsid w:val="004D78B7"/>
    <w:rsid w:val="004D7938"/>
    <w:rsid w:val="004D7A29"/>
    <w:rsid w:val="004D7AF1"/>
    <w:rsid w:val="004D7B8A"/>
    <w:rsid w:val="004D7B98"/>
    <w:rsid w:val="004D7C45"/>
    <w:rsid w:val="004D7C9D"/>
    <w:rsid w:val="004D7CD2"/>
    <w:rsid w:val="004D7D42"/>
    <w:rsid w:val="004D7D8D"/>
    <w:rsid w:val="004D7FD0"/>
    <w:rsid w:val="004D7FD5"/>
    <w:rsid w:val="004E005E"/>
    <w:rsid w:val="004E015D"/>
    <w:rsid w:val="004E019B"/>
    <w:rsid w:val="004E0226"/>
    <w:rsid w:val="004E0241"/>
    <w:rsid w:val="004E02A3"/>
    <w:rsid w:val="004E02F0"/>
    <w:rsid w:val="004E030F"/>
    <w:rsid w:val="004E0311"/>
    <w:rsid w:val="004E032E"/>
    <w:rsid w:val="004E033B"/>
    <w:rsid w:val="004E0340"/>
    <w:rsid w:val="004E0343"/>
    <w:rsid w:val="004E03B8"/>
    <w:rsid w:val="004E04B7"/>
    <w:rsid w:val="004E04F3"/>
    <w:rsid w:val="004E06B4"/>
    <w:rsid w:val="004E074D"/>
    <w:rsid w:val="004E07F2"/>
    <w:rsid w:val="004E081B"/>
    <w:rsid w:val="004E0863"/>
    <w:rsid w:val="004E08BA"/>
    <w:rsid w:val="004E08BF"/>
    <w:rsid w:val="004E0A74"/>
    <w:rsid w:val="004E0A93"/>
    <w:rsid w:val="004E0B3F"/>
    <w:rsid w:val="004E0B9E"/>
    <w:rsid w:val="004E0C1A"/>
    <w:rsid w:val="004E0C4F"/>
    <w:rsid w:val="004E0C96"/>
    <w:rsid w:val="004E0CBC"/>
    <w:rsid w:val="004E0CDD"/>
    <w:rsid w:val="004E0D4F"/>
    <w:rsid w:val="004E0D52"/>
    <w:rsid w:val="004E0DB2"/>
    <w:rsid w:val="004E0DD4"/>
    <w:rsid w:val="004E0F03"/>
    <w:rsid w:val="004E104F"/>
    <w:rsid w:val="004E1079"/>
    <w:rsid w:val="004E119B"/>
    <w:rsid w:val="004E1228"/>
    <w:rsid w:val="004E1250"/>
    <w:rsid w:val="004E1294"/>
    <w:rsid w:val="004E129D"/>
    <w:rsid w:val="004E1391"/>
    <w:rsid w:val="004E13E6"/>
    <w:rsid w:val="004E13F6"/>
    <w:rsid w:val="004E148E"/>
    <w:rsid w:val="004E14B8"/>
    <w:rsid w:val="004E1571"/>
    <w:rsid w:val="004E1572"/>
    <w:rsid w:val="004E1631"/>
    <w:rsid w:val="004E1734"/>
    <w:rsid w:val="004E174F"/>
    <w:rsid w:val="004E1790"/>
    <w:rsid w:val="004E17D2"/>
    <w:rsid w:val="004E186F"/>
    <w:rsid w:val="004E18F8"/>
    <w:rsid w:val="004E1909"/>
    <w:rsid w:val="004E190D"/>
    <w:rsid w:val="004E19F0"/>
    <w:rsid w:val="004E1A2A"/>
    <w:rsid w:val="004E1A81"/>
    <w:rsid w:val="004E1AEF"/>
    <w:rsid w:val="004E1AFE"/>
    <w:rsid w:val="004E1B15"/>
    <w:rsid w:val="004E1B38"/>
    <w:rsid w:val="004E1B4D"/>
    <w:rsid w:val="004E1C3A"/>
    <w:rsid w:val="004E1DA8"/>
    <w:rsid w:val="004E1DBC"/>
    <w:rsid w:val="004E1E4D"/>
    <w:rsid w:val="004E1EAC"/>
    <w:rsid w:val="004E1EB0"/>
    <w:rsid w:val="004E1FBF"/>
    <w:rsid w:val="004E213C"/>
    <w:rsid w:val="004E22DB"/>
    <w:rsid w:val="004E2310"/>
    <w:rsid w:val="004E2348"/>
    <w:rsid w:val="004E237D"/>
    <w:rsid w:val="004E2398"/>
    <w:rsid w:val="004E23F6"/>
    <w:rsid w:val="004E242F"/>
    <w:rsid w:val="004E24EB"/>
    <w:rsid w:val="004E2503"/>
    <w:rsid w:val="004E25F7"/>
    <w:rsid w:val="004E26C7"/>
    <w:rsid w:val="004E26E4"/>
    <w:rsid w:val="004E28CF"/>
    <w:rsid w:val="004E28EA"/>
    <w:rsid w:val="004E29DE"/>
    <w:rsid w:val="004E2A00"/>
    <w:rsid w:val="004E2A04"/>
    <w:rsid w:val="004E2B09"/>
    <w:rsid w:val="004E2BEC"/>
    <w:rsid w:val="004E2C3C"/>
    <w:rsid w:val="004E2CCC"/>
    <w:rsid w:val="004E2CD4"/>
    <w:rsid w:val="004E2E03"/>
    <w:rsid w:val="004E2E60"/>
    <w:rsid w:val="004E2E8A"/>
    <w:rsid w:val="004E2E9E"/>
    <w:rsid w:val="004E2F0C"/>
    <w:rsid w:val="004E2F95"/>
    <w:rsid w:val="004E2FF9"/>
    <w:rsid w:val="004E3005"/>
    <w:rsid w:val="004E30DE"/>
    <w:rsid w:val="004E313D"/>
    <w:rsid w:val="004E321C"/>
    <w:rsid w:val="004E32C8"/>
    <w:rsid w:val="004E3399"/>
    <w:rsid w:val="004E3487"/>
    <w:rsid w:val="004E3531"/>
    <w:rsid w:val="004E35EF"/>
    <w:rsid w:val="004E361C"/>
    <w:rsid w:val="004E3646"/>
    <w:rsid w:val="004E36B8"/>
    <w:rsid w:val="004E3761"/>
    <w:rsid w:val="004E37D4"/>
    <w:rsid w:val="004E381A"/>
    <w:rsid w:val="004E38D4"/>
    <w:rsid w:val="004E39CC"/>
    <w:rsid w:val="004E3B33"/>
    <w:rsid w:val="004E3B3D"/>
    <w:rsid w:val="004E3BDC"/>
    <w:rsid w:val="004E3C23"/>
    <w:rsid w:val="004E3C6A"/>
    <w:rsid w:val="004E3D72"/>
    <w:rsid w:val="004E3E20"/>
    <w:rsid w:val="004E3E91"/>
    <w:rsid w:val="004E3EA3"/>
    <w:rsid w:val="004E3F7F"/>
    <w:rsid w:val="004E4020"/>
    <w:rsid w:val="004E40F4"/>
    <w:rsid w:val="004E4193"/>
    <w:rsid w:val="004E4281"/>
    <w:rsid w:val="004E42AE"/>
    <w:rsid w:val="004E42F7"/>
    <w:rsid w:val="004E4305"/>
    <w:rsid w:val="004E43BD"/>
    <w:rsid w:val="004E43FD"/>
    <w:rsid w:val="004E44AA"/>
    <w:rsid w:val="004E4544"/>
    <w:rsid w:val="004E4595"/>
    <w:rsid w:val="004E4667"/>
    <w:rsid w:val="004E472C"/>
    <w:rsid w:val="004E475E"/>
    <w:rsid w:val="004E4874"/>
    <w:rsid w:val="004E488D"/>
    <w:rsid w:val="004E488F"/>
    <w:rsid w:val="004E4968"/>
    <w:rsid w:val="004E4976"/>
    <w:rsid w:val="004E49BD"/>
    <w:rsid w:val="004E49C0"/>
    <w:rsid w:val="004E4A23"/>
    <w:rsid w:val="004E4AFA"/>
    <w:rsid w:val="004E4BF0"/>
    <w:rsid w:val="004E4BF2"/>
    <w:rsid w:val="004E4C62"/>
    <w:rsid w:val="004E4C6A"/>
    <w:rsid w:val="004E4CB6"/>
    <w:rsid w:val="004E4CE0"/>
    <w:rsid w:val="004E4D8E"/>
    <w:rsid w:val="004E4DAC"/>
    <w:rsid w:val="004E4DF6"/>
    <w:rsid w:val="004E4E85"/>
    <w:rsid w:val="004E4EB1"/>
    <w:rsid w:val="004E4EB5"/>
    <w:rsid w:val="004E4F51"/>
    <w:rsid w:val="004E50F6"/>
    <w:rsid w:val="004E512E"/>
    <w:rsid w:val="004E514B"/>
    <w:rsid w:val="004E514D"/>
    <w:rsid w:val="004E546C"/>
    <w:rsid w:val="004E54B9"/>
    <w:rsid w:val="004E54D5"/>
    <w:rsid w:val="004E55E1"/>
    <w:rsid w:val="004E55E9"/>
    <w:rsid w:val="004E561B"/>
    <w:rsid w:val="004E56B0"/>
    <w:rsid w:val="004E574B"/>
    <w:rsid w:val="004E574C"/>
    <w:rsid w:val="004E5770"/>
    <w:rsid w:val="004E581D"/>
    <w:rsid w:val="004E58ED"/>
    <w:rsid w:val="004E599A"/>
    <w:rsid w:val="004E59BC"/>
    <w:rsid w:val="004E59E6"/>
    <w:rsid w:val="004E5AA6"/>
    <w:rsid w:val="004E5B44"/>
    <w:rsid w:val="004E5B51"/>
    <w:rsid w:val="004E5BC9"/>
    <w:rsid w:val="004E5BDA"/>
    <w:rsid w:val="004E5BE2"/>
    <w:rsid w:val="004E5C39"/>
    <w:rsid w:val="004E5C46"/>
    <w:rsid w:val="004E5C66"/>
    <w:rsid w:val="004E5DE9"/>
    <w:rsid w:val="004E5E06"/>
    <w:rsid w:val="004E5E5C"/>
    <w:rsid w:val="004E5F33"/>
    <w:rsid w:val="004E5FC5"/>
    <w:rsid w:val="004E60BD"/>
    <w:rsid w:val="004E60F0"/>
    <w:rsid w:val="004E6145"/>
    <w:rsid w:val="004E61B7"/>
    <w:rsid w:val="004E61FF"/>
    <w:rsid w:val="004E6203"/>
    <w:rsid w:val="004E6228"/>
    <w:rsid w:val="004E6229"/>
    <w:rsid w:val="004E629C"/>
    <w:rsid w:val="004E63AF"/>
    <w:rsid w:val="004E63EB"/>
    <w:rsid w:val="004E642A"/>
    <w:rsid w:val="004E6471"/>
    <w:rsid w:val="004E6522"/>
    <w:rsid w:val="004E6625"/>
    <w:rsid w:val="004E67A0"/>
    <w:rsid w:val="004E67BB"/>
    <w:rsid w:val="004E67BF"/>
    <w:rsid w:val="004E6810"/>
    <w:rsid w:val="004E6832"/>
    <w:rsid w:val="004E68AD"/>
    <w:rsid w:val="004E6949"/>
    <w:rsid w:val="004E6AAB"/>
    <w:rsid w:val="004E6AE6"/>
    <w:rsid w:val="004E6C32"/>
    <w:rsid w:val="004E6C49"/>
    <w:rsid w:val="004E6C93"/>
    <w:rsid w:val="004E6C9A"/>
    <w:rsid w:val="004E6D72"/>
    <w:rsid w:val="004E6DB0"/>
    <w:rsid w:val="004E6DB2"/>
    <w:rsid w:val="004E6DBA"/>
    <w:rsid w:val="004E6DE6"/>
    <w:rsid w:val="004E6EDD"/>
    <w:rsid w:val="004E6F96"/>
    <w:rsid w:val="004E6FA2"/>
    <w:rsid w:val="004E7032"/>
    <w:rsid w:val="004E7057"/>
    <w:rsid w:val="004E7084"/>
    <w:rsid w:val="004E7096"/>
    <w:rsid w:val="004E709B"/>
    <w:rsid w:val="004E7118"/>
    <w:rsid w:val="004E717F"/>
    <w:rsid w:val="004E7231"/>
    <w:rsid w:val="004E724A"/>
    <w:rsid w:val="004E72F9"/>
    <w:rsid w:val="004E733C"/>
    <w:rsid w:val="004E7374"/>
    <w:rsid w:val="004E74A6"/>
    <w:rsid w:val="004E74B9"/>
    <w:rsid w:val="004E7516"/>
    <w:rsid w:val="004E7581"/>
    <w:rsid w:val="004E762A"/>
    <w:rsid w:val="004E7635"/>
    <w:rsid w:val="004E7701"/>
    <w:rsid w:val="004E77A0"/>
    <w:rsid w:val="004E7826"/>
    <w:rsid w:val="004E785E"/>
    <w:rsid w:val="004E791E"/>
    <w:rsid w:val="004E797F"/>
    <w:rsid w:val="004E7A80"/>
    <w:rsid w:val="004E7AB1"/>
    <w:rsid w:val="004E7AD5"/>
    <w:rsid w:val="004E7B8D"/>
    <w:rsid w:val="004E7B9D"/>
    <w:rsid w:val="004E7C1A"/>
    <w:rsid w:val="004E7C87"/>
    <w:rsid w:val="004E7C9C"/>
    <w:rsid w:val="004E7CB7"/>
    <w:rsid w:val="004E7CF7"/>
    <w:rsid w:val="004E7D12"/>
    <w:rsid w:val="004E7D3D"/>
    <w:rsid w:val="004E7DB4"/>
    <w:rsid w:val="004E7E06"/>
    <w:rsid w:val="004E7F90"/>
    <w:rsid w:val="004E7F9A"/>
    <w:rsid w:val="004F00A5"/>
    <w:rsid w:val="004F00F2"/>
    <w:rsid w:val="004F0117"/>
    <w:rsid w:val="004F021E"/>
    <w:rsid w:val="004F0331"/>
    <w:rsid w:val="004F0340"/>
    <w:rsid w:val="004F03CF"/>
    <w:rsid w:val="004F054F"/>
    <w:rsid w:val="004F05A5"/>
    <w:rsid w:val="004F0666"/>
    <w:rsid w:val="004F068B"/>
    <w:rsid w:val="004F06A3"/>
    <w:rsid w:val="004F06DC"/>
    <w:rsid w:val="004F0718"/>
    <w:rsid w:val="004F09ED"/>
    <w:rsid w:val="004F0A70"/>
    <w:rsid w:val="004F0AC7"/>
    <w:rsid w:val="004F0B27"/>
    <w:rsid w:val="004F0BC2"/>
    <w:rsid w:val="004F0BD3"/>
    <w:rsid w:val="004F0D75"/>
    <w:rsid w:val="004F0DF1"/>
    <w:rsid w:val="004F0EE1"/>
    <w:rsid w:val="004F0EE8"/>
    <w:rsid w:val="004F0EF1"/>
    <w:rsid w:val="004F0F76"/>
    <w:rsid w:val="004F0FD7"/>
    <w:rsid w:val="004F0FDC"/>
    <w:rsid w:val="004F0FFE"/>
    <w:rsid w:val="004F1002"/>
    <w:rsid w:val="004F111F"/>
    <w:rsid w:val="004F1133"/>
    <w:rsid w:val="004F1281"/>
    <w:rsid w:val="004F12F0"/>
    <w:rsid w:val="004F1417"/>
    <w:rsid w:val="004F1439"/>
    <w:rsid w:val="004F1450"/>
    <w:rsid w:val="004F148C"/>
    <w:rsid w:val="004F14B2"/>
    <w:rsid w:val="004F1512"/>
    <w:rsid w:val="004F1513"/>
    <w:rsid w:val="004F158F"/>
    <w:rsid w:val="004F159A"/>
    <w:rsid w:val="004F163A"/>
    <w:rsid w:val="004F1643"/>
    <w:rsid w:val="004F1667"/>
    <w:rsid w:val="004F1770"/>
    <w:rsid w:val="004F17F3"/>
    <w:rsid w:val="004F1911"/>
    <w:rsid w:val="004F1A71"/>
    <w:rsid w:val="004F1A8F"/>
    <w:rsid w:val="004F1AF7"/>
    <w:rsid w:val="004F1B11"/>
    <w:rsid w:val="004F1BDF"/>
    <w:rsid w:val="004F1D41"/>
    <w:rsid w:val="004F1E3F"/>
    <w:rsid w:val="004F1ECA"/>
    <w:rsid w:val="004F1F82"/>
    <w:rsid w:val="004F1FEA"/>
    <w:rsid w:val="004F2030"/>
    <w:rsid w:val="004F204C"/>
    <w:rsid w:val="004F20BE"/>
    <w:rsid w:val="004F2191"/>
    <w:rsid w:val="004F225F"/>
    <w:rsid w:val="004F226D"/>
    <w:rsid w:val="004F2312"/>
    <w:rsid w:val="004F255C"/>
    <w:rsid w:val="004F2577"/>
    <w:rsid w:val="004F261F"/>
    <w:rsid w:val="004F263D"/>
    <w:rsid w:val="004F2787"/>
    <w:rsid w:val="004F27A8"/>
    <w:rsid w:val="004F27ED"/>
    <w:rsid w:val="004F282E"/>
    <w:rsid w:val="004F2831"/>
    <w:rsid w:val="004F28A3"/>
    <w:rsid w:val="004F28F9"/>
    <w:rsid w:val="004F2918"/>
    <w:rsid w:val="004F294F"/>
    <w:rsid w:val="004F299B"/>
    <w:rsid w:val="004F2A24"/>
    <w:rsid w:val="004F2A26"/>
    <w:rsid w:val="004F2B16"/>
    <w:rsid w:val="004F2B2B"/>
    <w:rsid w:val="004F2B39"/>
    <w:rsid w:val="004F2C31"/>
    <w:rsid w:val="004F2E48"/>
    <w:rsid w:val="004F2EC2"/>
    <w:rsid w:val="004F2F1E"/>
    <w:rsid w:val="004F301B"/>
    <w:rsid w:val="004F30D1"/>
    <w:rsid w:val="004F3198"/>
    <w:rsid w:val="004F31E1"/>
    <w:rsid w:val="004F3417"/>
    <w:rsid w:val="004F3667"/>
    <w:rsid w:val="004F3736"/>
    <w:rsid w:val="004F3810"/>
    <w:rsid w:val="004F3840"/>
    <w:rsid w:val="004F3867"/>
    <w:rsid w:val="004F3A0A"/>
    <w:rsid w:val="004F3A0F"/>
    <w:rsid w:val="004F3A91"/>
    <w:rsid w:val="004F3AA3"/>
    <w:rsid w:val="004F3AD2"/>
    <w:rsid w:val="004F3BB3"/>
    <w:rsid w:val="004F3C1A"/>
    <w:rsid w:val="004F3C45"/>
    <w:rsid w:val="004F3D7F"/>
    <w:rsid w:val="004F3E6C"/>
    <w:rsid w:val="004F3EA9"/>
    <w:rsid w:val="004F3EFD"/>
    <w:rsid w:val="004F3F02"/>
    <w:rsid w:val="004F4053"/>
    <w:rsid w:val="004F4054"/>
    <w:rsid w:val="004F40CC"/>
    <w:rsid w:val="004F4165"/>
    <w:rsid w:val="004F41C6"/>
    <w:rsid w:val="004F41CE"/>
    <w:rsid w:val="004F41F9"/>
    <w:rsid w:val="004F4205"/>
    <w:rsid w:val="004F4292"/>
    <w:rsid w:val="004F429C"/>
    <w:rsid w:val="004F42D6"/>
    <w:rsid w:val="004F42DB"/>
    <w:rsid w:val="004F42FF"/>
    <w:rsid w:val="004F4323"/>
    <w:rsid w:val="004F434E"/>
    <w:rsid w:val="004F4408"/>
    <w:rsid w:val="004F4409"/>
    <w:rsid w:val="004F4420"/>
    <w:rsid w:val="004F44AD"/>
    <w:rsid w:val="004F44B6"/>
    <w:rsid w:val="004F455F"/>
    <w:rsid w:val="004F45B5"/>
    <w:rsid w:val="004F45C1"/>
    <w:rsid w:val="004F45D5"/>
    <w:rsid w:val="004F4627"/>
    <w:rsid w:val="004F466B"/>
    <w:rsid w:val="004F466F"/>
    <w:rsid w:val="004F472A"/>
    <w:rsid w:val="004F4757"/>
    <w:rsid w:val="004F477D"/>
    <w:rsid w:val="004F4816"/>
    <w:rsid w:val="004F48C6"/>
    <w:rsid w:val="004F48D2"/>
    <w:rsid w:val="004F493D"/>
    <w:rsid w:val="004F495E"/>
    <w:rsid w:val="004F49FC"/>
    <w:rsid w:val="004F4ADA"/>
    <w:rsid w:val="004F4C22"/>
    <w:rsid w:val="004F4C99"/>
    <w:rsid w:val="004F4DD3"/>
    <w:rsid w:val="004F4DD5"/>
    <w:rsid w:val="004F4DF3"/>
    <w:rsid w:val="004F4EB3"/>
    <w:rsid w:val="004F4EB5"/>
    <w:rsid w:val="004F4F04"/>
    <w:rsid w:val="004F4F9A"/>
    <w:rsid w:val="004F4FF6"/>
    <w:rsid w:val="004F502F"/>
    <w:rsid w:val="004F5062"/>
    <w:rsid w:val="004F5135"/>
    <w:rsid w:val="004F51F4"/>
    <w:rsid w:val="004F5274"/>
    <w:rsid w:val="004F52DE"/>
    <w:rsid w:val="004F5375"/>
    <w:rsid w:val="004F538D"/>
    <w:rsid w:val="004F5423"/>
    <w:rsid w:val="004F5436"/>
    <w:rsid w:val="004F5445"/>
    <w:rsid w:val="004F5485"/>
    <w:rsid w:val="004F54F0"/>
    <w:rsid w:val="004F5506"/>
    <w:rsid w:val="004F57B8"/>
    <w:rsid w:val="004F57E6"/>
    <w:rsid w:val="004F5849"/>
    <w:rsid w:val="004F58F9"/>
    <w:rsid w:val="004F594F"/>
    <w:rsid w:val="004F59A6"/>
    <w:rsid w:val="004F59A7"/>
    <w:rsid w:val="004F5AEF"/>
    <w:rsid w:val="004F5D07"/>
    <w:rsid w:val="004F5D12"/>
    <w:rsid w:val="004F5DBA"/>
    <w:rsid w:val="004F5E18"/>
    <w:rsid w:val="004F5E62"/>
    <w:rsid w:val="004F5EA4"/>
    <w:rsid w:val="004F5EBA"/>
    <w:rsid w:val="004F5EF3"/>
    <w:rsid w:val="004F5F0C"/>
    <w:rsid w:val="004F5F8D"/>
    <w:rsid w:val="004F5F97"/>
    <w:rsid w:val="004F5FE3"/>
    <w:rsid w:val="004F6019"/>
    <w:rsid w:val="004F6212"/>
    <w:rsid w:val="004F6237"/>
    <w:rsid w:val="004F6284"/>
    <w:rsid w:val="004F6413"/>
    <w:rsid w:val="004F6462"/>
    <w:rsid w:val="004F650E"/>
    <w:rsid w:val="004F6553"/>
    <w:rsid w:val="004F6557"/>
    <w:rsid w:val="004F6598"/>
    <w:rsid w:val="004F6600"/>
    <w:rsid w:val="004F66E4"/>
    <w:rsid w:val="004F6702"/>
    <w:rsid w:val="004F6717"/>
    <w:rsid w:val="004F675B"/>
    <w:rsid w:val="004F679B"/>
    <w:rsid w:val="004F67B9"/>
    <w:rsid w:val="004F68DC"/>
    <w:rsid w:val="004F69D1"/>
    <w:rsid w:val="004F6AD1"/>
    <w:rsid w:val="004F6AF3"/>
    <w:rsid w:val="004F6B2C"/>
    <w:rsid w:val="004F6B2E"/>
    <w:rsid w:val="004F6BB2"/>
    <w:rsid w:val="004F6BBC"/>
    <w:rsid w:val="004F6CD8"/>
    <w:rsid w:val="004F6D2D"/>
    <w:rsid w:val="004F6D79"/>
    <w:rsid w:val="004F6D91"/>
    <w:rsid w:val="004F6E12"/>
    <w:rsid w:val="004F6E74"/>
    <w:rsid w:val="004F6EFF"/>
    <w:rsid w:val="004F6F22"/>
    <w:rsid w:val="004F6F23"/>
    <w:rsid w:val="004F6F47"/>
    <w:rsid w:val="004F6F4B"/>
    <w:rsid w:val="004F6F9C"/>
    <w:rsid w:val="004F7043"/>
    <w:rsid w:val="004F7052"/>
    <w:rsid w:val="004F705B"/>
    <w:rsid w:val="004F7099"/>
    <w:rsid w:val="004F70CB"/>
    <w:rsid w:val="004F7176"/>
    <w:rsid w:val="004F7191"/>
    <w:rsid w:val="004F71CB"/>
    <w:rsid w:val="004F71EB"/>
    <w:rsid w:val="004F725B"/>
    <w:rsid w:val="004F74C9"/>
    <w:rsid w:val="004F7509"/>
    <w:rsid w:val="004F7544"/>
    <w:rsid w:val="004F757F"/>
    <w:rsid w:val="004F75DB"/>
    <w:rsid w:val="004F75E2"/>
    <w:rsid w:val="004F7682"/>
    <w:rsid w:val="004F769E"/>
    <w:rsid w:val="004F7957"/>
    <w:rsid w:val="004F798D"/>
    <w:rsid w:val="004F79CD"/>
    <w:rsid w:val="004F7A10"/>
    <w:rsid w:val="004F7A1C"/>
    <w:rsid w:val="004F7A3F"/>
    <w:rsid w:val="004F7A4B"/>
    <w:rsid w:val="004F7B94"/>
    <w:rsid w:val="004F7C85"/>
    <w:rsid w:val="004F7CAE"/>
    <w:rsid w:val="004F7CBD"/>
    <w:rsid w:val="004F7CE1"/>
    <w:rsid w:val="004F7CED"/>
    <w:rsid w:val="004F7D0B"/>
    <w:rsid w:val="004F7D6B"/>
    <w:rsid w:val="004F7D9D"/>
    <w:rsid w:val="004F7EC5"/>
    <w:rsid w:val="004F7F2B"/>
    <w:rsid w:val="004F7FC2"/>
    <w:rsid w:val="00500096"/>
    <w:rsid w:val="005000BF"/>
    <w:rsid w:val="00500155"/>
    <w:rsid w:val="0050016F"/>
    <w:rsid w:val="0050025D"/>
    <w:rsid w:val="0050026B"/>
    <w:rsid w:val="005002E4"/>
    <w:rsid w:val="005002F3"/>
    <w:rsid w:val="00500363"/>
    <w:rsid w:val="0050036B"/>
    <w:rsid w:val="005003F7"/>
    <w:rsid w:val="00500429"/>
    <w:rsid w:val="00500495"/>
    <w:rsid w:val="005004BE"/>
    <w:rsid w:val="005004F0"/>
    <w:rsid w:val="00500530"/>
    <w:rsid w:val="00500643"/>
    <w:rsid w:val="005006E4"/>
    <w:rsid w:val="00500751"/>
    <w:rsid w:val="0050076D"/>
    <w:rsid w:val="005007EA"/>
    <w:rsid w:val="0050080F"/>
    <w:rsid w:val="00500832"/>
    <w:rsid w:val="00500C9A"/>
    <w:rsid w:val="00500CF8"/>
    <w:rsid w:val="00500D07"/>
    <w:rsid w:val="00500D58"/>
    <w:rsid w:val="00500D89"/>
    <w:rsid w:val="00500DA7"/>
    <w:rsid w:val="00500DC7"/>
    <w:rsid w:val="00500E24"/>
    <w:rsid w:val="00500E6A"/>
    <w:rsid w:val="00500EBE"/>
    <w:rsid w:val="00500F4C"/>
    <w:rsid w:val="00500F73"/>
    <w:rsid w:val="00500F86"/>
    <w:rsid w:val="00500FDB"/>
    <w:rsid w:val="00501002"/>
    <w:rsid w:val="00501026"/>
    <w:rsid w:val="0050111C"/>
    <w:rsid w:val="0050112A"/>
    <w:rsid w:val="00501148"/>
    <w:rsid w:val="00501230"/>
    <w:rsid w:val="00501268"/>
    <w:rsid w:val="00501319"/>
    <w:rsid w:val="005013D5"/>
    <w:rsid w:val="0050144A"/>
    <w:rsid w:val="0050145E"/>
    <w:rsid w:val="0050147F"/>
    <w:rsid w:val="005014D2"/>
    <w:rsid w:val="00501513"/>
    <w:rsid w:val="0050155D"/>
    <w:rsid w:val="0050176E"/>
    <w:rsid w:val="005017DA"/>
    <w:rsid w:val="00501831"/>
    <w:rsid w:val="00501855"/>
    <w:rsid w:val="0050186A"/>
    <w:rsid w:val="005018AD"/>
    <w:rsid w:val="0050192D"/>
    <w:rsid w:val="0050194A"/>
    <w:rsid w:val="00501AF5"/>
    <w:rsid w:val="00501B4D"/>
    <w:rsid w:val="00501BC4"/>
    <w:rsid w:val="00501BCF"/>
    <w:rsid w:val="00501C2B"/>
    <w:rsid w:val="00501C3D"/>
    <w:rsid w:val="00501CAB"/>
    <w:rsid w:val="00501CAD"/>
    <w:rsid w:val="00501D64"/>
    <w:rsid w:val="00501D81"/>
    <w:rsid w:val="00501D8E"/>
    <w:rsid w:val="00501F42"/>
    <w:rsid w:val="00501FBB"/>
    <w:rsid w:val="00502033"/>
    <w:rsid w:val="00502060"/>
    <w:rsid w:val="005021C6"/>
    <w:rsid w:val="00502221"/>
    <w:rsid w:val="00502240"/>
    <w:rsid w:val="0050233B"/>
    <w:rsid w:val="00502350"/>
    <w:rsid w:val="00502377"/>
    <w:rsid w:val="0050241E"/>
    <w:rsid w:val="00502426"/>
    <w:rsid w:val="005024F9"/>
    <w:rsid w:val="005026A3"/>
    <w:rsid w:val="00502718"/>
    <w:rsid w:val="00502728"/>
    <w:rsid w:val="0050279D"/>
    <w:rsid w:val="005027B6"/>
    <w:rsid w:val="00502870"/>
    <w:rsid w:val="005028D9"/>
    <w:rsid w:val="005028F5"/>
    <w:rsid w:val="005029C2"/>
    <w:rsid w:val="00502A9E"/>
    <w:rsid w:val="00502AC2"/>
    <w:rsid w:val="00502B07"/>
    <w:rsid w:val="00502B0A"/>
    <w:rsid w:val="00502B4F"/>
    <w:rsid w:val="00502B93"/>
    <w:rsid w:val="00502BB3"/>
    <w:rsid w:val="00502CA5"/>
    <w:rsid w:val="00502D8A"/>
    <w:rsid w:val="00502DDD"/>
    <w:rsid w:val="00502DF5"/>
    <w:rsid w:val="00502E0A"/>
    <w:rsid w:val="00502E43"/>
    <w:rsid w:val="00502F0D"/>
    <w:rsid w:val="00502F0F"/>
    <w:rsid w:val="00502F72"/>
    <w:rsid w:val="00502FBA"/>
    <w:rsid w:val="00503186"/>
    <w:rsid w:val="00503239"/>
    <w:rsid w:val="0050328B"/>
    <w:rsid w:val="005032C7"/>
    <w:rsid w:val="005033D0"/>
    <w:rsid w:val="005033D5"/>
    <w:rsid w:val="005033FD"/>
    <w:rsid w:val="0050340A"/>
    <w:rsid w:val="0050347A"/>
    <w:rsid w:val="005034B4"/>
    <w:rsid w:val="005034E1"/>
    <w:rsid w:val="00503500"/>
    <w:rsid w:val="00503588"/>
    <w:rsid w:val="005035F2"/>
    <w:rsid w:val="00503645"/>
    <w:rsid w:val="00503770"/>
    <w:rsid w:val="005037A0"/>
    <w:rsid w:val="005037E1"/>
    <w:rsid w:val="00503921"/>
    <w:rsid w:val="00503940"/>
    <w:rsid w:val="00503980"/>
    <w:rsid w:val="00503A2B"/>
    <w:rsid w:val="00503BD6"/>
    <w:rsid w:val="00503CFB"/>
    <w:rsid w:val="00503D75"/>
    <w:rsid w:val="00503E76"/>
    <w:rsid w:val="00503EE1"/>
    <w:rsid w:val="00503EE7"/>
    <w:rsid w:val="00503F35"/>
    <w:rsid w:val="00503F50"/>
    <w:rsid w:val="00503F6F"/>
    <w:rsid w:val="005040B9"/>
    <w:rsid w:val="005040E6"/>
    <w:rsid w:val="0050418B"/>
    <w:rsid w:val="0050427D"/>
    <w:rsid w:val="00504323"/>
    <w:rsid w:val="00504381"/>
    <w:rsid w:val="005043F0"/>
    <w:rsid w:val="00504448"/>
    <w:rsid w:val="00504454"/>
    <w:rsid w:val="00504492"/>
    <w:rsid w:val="005044D5"/>
    <w:rsid w:val="005044EE"/>
    <w:rsid w:val="0050451B"/>
    <w:rsid w:val="005046AF"/>
    <w:rsid w:val="005047BA"/>
    <w:rsid w:val="00504803"/>
    <w:rsid w:val="00504858"/>
    <w:rsid w:val="0050489C"/>
    <w:rsid w:val="005048AA"/>
    <w:rsid w:val="00504987"/>
    <w:rsid w:val="00504A0D"/>
    <w:rsid w:val="00504B06"/>
    <w:rsid w:val="00504B7F"/>
    <w:rsid w:val="00504C32"/>
    <w:rsid w:val="00504D13"/>
    <w:rsid w:val="00504DF9"/>
    <w:rsid w:val="00504EDC"/>
    <w:rsid w:val="00504F62"/>
    <w:rsid w:val="00504F96"/>
    <w:rsid w:val="00504FC5"/>
    <w:rsid w:val="00505091"/>
    <w:rsid w:val="005050C2"/>
    <w:rsid w:val="00505275"/>
    <w:rsid w:val="0050527F"/>
    <w:rsid w:val="00505282"/>
    <w:rsid w:val="005052DA"/>
    <w:rsid w:val="005052FE"/>
    <w:rsid w:val="0050530F"/>
    <w:rsid w:val="0050531D"/>
    <w:rsid w:val="00505356"/>
    <w:rsid w:val="005053DB"/>
    <w:rsid w:val="00505431"/>
    <w:rsid w:val="005054BA"/>
    <w:rsid w:val="00505540"/>
    <w:rsid w:val="0050559E"/>
    <w:rsid w:val="00505640"/>
    <w:rsid w:val="0050566B"/>
    <w:rsid w:val="0050568E"/>
    <w:rsid w:val="005056A3"/>
    <w:rsid w:val="005056B9"/>
    <w:rsid w:val="005056E3"/>
    <w:rsid w:val="00505732"/>
    <w:rsid w:val="00505739"/>
    <w:rsid w:val="0050589D"/>
    <w:rsid w:val="005059B3"/>
    <w:rsid w:val="00505A23"/>
    <w:rsid w:val="00505A56"/>
    <w:rsid w:val="00505AB4"/>
    <w:rsid w:val="00505B5B"/>
    <w:rsid w:val="00505B9D"/>
    <w:rsid w:val="00505C70"/>
    <w:rsid w:val="00505C89"/>
    <w:rsid w:val="00505CDC"/>
    <w:rsid w:val="00505D41"/>
    <w:rsid w:val="00505D4D"/>
    <w:rsid w:val="00505DA2"/>
    <w:rsid w:val="00505DB9"/>
    <w:rsid w:val="00505E52"/>
    <w:rsid w:val="00505E79"/>
    <w:rsid w:val="00505EE3"/>
    <w:rsid w:val="00505FB2"/>
    <w:rsid w:val="00505FE8"/>
    <w:rsid w:val="00506022"/>
    <w:rsid w:val="0050606B"/>
    <w:rsid w:val="0050606E"/>
    <w:rsid w:val="00506078"/>
    <w:rsid w:val="0050607C"/>
    <w:rsid w:val="005060A0"/>
    <w:rsid w:val="005060E3"/>
    <w:rsid w:val="005060E8"/>
    <w:rsid w:val="005060FA"/>
    <w:rsid w:val="005060FE"/>
    <w:rsid w:val="00506102"/>
    <w:rsid w:val="005061FC"/>
    <w:rsid w:val="0050625C"/>
    <w:rsid w:val="00506279"/>
    <w:rsid w:val="0050637F"/>
    <w:rsid w:val="005064CC"/>
    <w:rsid w:val="00506574"/>
    <w:rsid w:val="00506576"/>
    <w:rsid w:val="00506631"/>
    <w:rsid w:val="00506718"/>
    <w:rsid w:val="0050671F"/>
    <w:rsid w:val="005067D6"/>
    <w:rsid w:val="0050683C"/>
    <w:rsid w:val="00506869"/>
    <w:rsid w:val="005068CF"/>
    <w:rsid w:val="00506918"/>
    <w:rsid w:val="0050691F"/>
    <w:rsid w:val="00506995"/>
    <w:rsid w:val="00506999"/>
    <w:rsid w:val="005069CD"/>
    <w:rsid w:val="005069FB"/>
    <w:rsid w:val="00506A2F"/>
    <w:rsid w:val="00506AA8"/>
    <w:rsid w:val="00506B43"/>
    <w:rsid w:val="00506B92"/>
    <w:rsid w:val="00506BCC"/>
    <w:rsid w:val="00506D38"/>
    <w:rsid w:val="00506D6D"/>
    <w:rsid w:val="00506E26"/>
    <w:rsid w:val="00506E9D"/>
    <w:rsid w:val="00506F08"/>
    <w:rsid w:val="00506FE4"/>
    <w:rsid w:val="00506FF7"/>
    <w:rsid w:val="0050712D"/>
    <w:rsid w:val="0050719E"/>
    <w:rsid w:val="005071A5"/>
    <w:rsid w:val="00507204"/>
    <w:rsid w:val="00507271"/>
    <w:rsid w:val="0050727A"/>
    <w:rsid w:val="005072E9"/>
    <w:rsid w:val="0050730C"/>
    <w:rsid w:val="00507320"/>
    <w:rsid w:val="00507366"/>
    <w:rsid w:val="005073F2"/>
    <w:rsid w:val="00507492"/>
    <w:rsid w:val="00507508"/>
    <w:rsid w:val="00507518"/>
    <w:rsid w:val="0050754B"/>
    <w:rsid w:val="005075F0"/>
    <w:rsid w:val="00507609"/>
    <w:rsid w:val="005076B6"/>
    <w:rsid w:val="005076ED"/>
    <w:rsid w:val="005076FC"/>
    <w:rsid w:val="0050779E"/>
    <w:rsid w:val="00507860"/>
    <w:rsid w:val="00507886"/>
    <w:rsid w:val="0050788A"/>
    <w:rsid w:val="0050791B"/>
    <w:rsid w:val="00507A4F"/>
    <w:rsid w:val="00507ACF"/>
    <w:rsid w:val="00507BAB"/>
    <w:rsid w:val="00507C67"/>
    <w:rsid w:val="00507CFB"/>
    <w:rsid w:val="00507D96"/>
    <w:rsid w:val="00507DDF"/>
    <w:rsid w:val="00507E47"/>
    <w:rsid w:val="00507EA9"/>
    <w:rsid w:val="00507EE9"/>
    <w:rsid w:val="005100A3"/>
    <w:rsid w:val="00510191"/>
    <w:rsid w:val="00510233"/>
    <w:rsid w:val="00510266"/>
    <w:rsid w:val="0051032C"/>
    <w:rsid w:val="00510361"/>
    <w:rsid w:val="00510389"/>
    <w:rsid w:val="0051044E"/>
    <w:rsid w:val="0051045E"/>
    <w:rsid w:val="005104F9"/>
    <w:rsid w:val="0051083F"/>
    <w:rsid w:val="0051091C"/>
    <w:rsid w:val="005109D8"/>
    <w:rsid w:val="00510B8C"/>
    <w:rsid w:val="00510C0E"/>
    <w:rsid w:val="00510C2D"/>
    <w:rsid w:val="00510D58"/>
    <w:rsid w:val="00510D8E"/>
    <w:rsid w:val="00510DAA"/>
    <w:rsid w:val="00510E0F"/>
    <w:rsid w:val="00510E73"/>
    <w:rsid w:val="00510F72"/>
    <w:rsid w:val="0051102C"/>
    <w:rsid w:val="00511034"/>
    <w:rsid w:val="005110D3"/>
    <w:rsid w:val="00511136"/>
    <w:rsid w:val="005111AD"/>
    <w:rsid w:val="005111BF"/>
    <w:rsid w:val="00511216"/>
    <w:rsid w:val="00511294"/>
    <w:rsid w:val="00511526"/>
    <w:rsid w:val="0051163F"/>
    <w:rsid w:val="00511685"/>
    <w:rsid w:val="00511737"/>
    <w:rsid w:val="0051178A"/>
    <w:rsid w:val="005118A7"/>
    <w:rsid w:val="005119A4"/>
    <w:rsid w:val="00511A5A"/>
    <w:rsid w:val="00511A8E"/>
    <w:rsid w:val="00511B9A"/>
    <w:rsid w:val="00511BC5"/>
    <w:rsid w:val="00511F2C"/>
    <w:rsid w:val="00511F52"/>
    <w:rsid w:val="00511F74"/>
    <w:rsid w:val="00512015"/>
    <w:rsid w:val="005120BE"/>
    <w:rsid w:val="005120D4"/>
    <w:rsid w:val="00512166"/>
    <w:rsid w:val="00512220"/>
    <w:rsid w:val="005122F6"/>
    <w:rsid w:val="0051235E"/>
    <w:rsid w:val="005123CA"/>
    <w:rsid w:val="005123ED"/>
    <w:rsid w:val="00512425"/>
    <w:rsid w:val="00512492"/>
    <w:rsid w:val="005124CD"/>
    <w:rsid w:val="005124FB"/>
    <w:rsid w:val="00512623"/>
    <w:rsid w:val="0051266F"/>
    <w:rsid w:val="0051273D"/>
    <w:rsid w:val="00512776"/>
    <w:rsid w:val="005127AC"/>
    <w:rsid w:val="00512896"/>
    <w:rsid w:val="005129A4"/>
    <w:rsid w:val="005129D5"/>
    <w:rsid w:val="00512B0A"/>
    <w:rsid w:val="00512B24"/>
    <w:rsid w:val="00512BBF"/>
    <w:rsid w:val="00512C55"/>
    <w:rsid w:val="00512D1E"/>
    <w:rsid w:val="00512D85"/>
    <w:rsid w:val="00512D86"/>
    <w:rsid w:val="00512DB6"/>
    <w:rsid w:val="00512EFB"/>
    <w:rsid w:val="00512F1E"/>
    <w:rsid w:val="00512F3C"/>
    <w:rsid w:val="00512F3D"/>
    <w:rsid w:val="00512F7C"/>
    <w:rsid w:val="00512FA0"/>
    <w:rsid w:val="005130C6"/>
    <w:rsid w:val="005130CE"/>
    <w:rsid w:val="005130F8"/>
    <w:rsid w:val="00513214"/>
    <w:rsid w:val="00513277"/>
    <w:rsid w:val="005132EC"/>
    <w:rsid w:val="005132F1"/>
    <w:rsid w:val="005132F3"/>
    <w:rsid w:val="00513314"/>
    <w:rsid w:val="0051335D"/>
    <w:rsid w:val="00513370"/>
    <w:rsid w:val="005134E9"/>
    <w:rsid w:val="005134FE"/>
    <w:rsid w:val="00513615"/>
    <w:rsid w:val="00513696"/>
    <w:rsid w:val="00513723"/>
    <w:rsid w:val="00513724"/>
    <w:rsid w:val="0051373D"/>
    <w:rsid w:val="00513781"/>
    <w:rsid w:val="00513785"/>
    <w:rsid w:val="005137B2"/>
    <w:rsid w:val="005137D0"/>
    <w:rsid w:val="005138AA"/>
    <w:rsid w:val="005138CF"/>
    <w:rsid w:val="00513987"/>
    <w:rsid w:val="00513ABF"/>
    <w:rsid w:val="00513B72"/>
    <w:rsid w:val="00513BA3"/>
    <w:rsid w:val="00513CDA"/>
    <w:rsid w:val="00513CEC"/>
    <w:rsid w:val="00513D01"/>
    <w:rsid w:val="00513D17"/>
    <w:rsid w:val="00513D70"/>
    <w:rsid w:val="00513E12"/>
    <w:rsid w:val="00513E18"/>
    <w:rsid w:val="00513EEA"/>
    <w:rsid w:val="00513F5A"/>
    <w:rsid w:val="00513FCF"/>
    <w:rsid w:val="005140AE"/>
    <w:rsid w:val="0051419A"/>
    <w:rsid w:val="005141CF"/>
    <w:rsid w:val="00514280"/>
    <w:rsid w:val="005142C0"/>
    <w:rsid w:val="00514449"/>
    <w:rsid w:val="0051444C"/>
    <w:rsid w:val="0051445A"/>
    <w:rsid w:val="0051446D"/>
    <w:rsid w:val="0051456A"/>
    <w:rsid w:val="00514698"/>
    <w:rsid w:val="005146C5"/>
    <w:rsid w:val="005146C6"/>
    <w:rsid w:val="00514770"/>
    <w:rsid w:val="005148AD"/>
    <w:rsid w:val="00514919"/>
    <w:rsid w:val="00514A50"/>
    <w:rsid w:val="00514A78"/>
    <w:rsid w:val="00514B9A"/>
    <w:rsid w:val="00514BD2"/>
    <w:rsid w:val="00514BFA"/>
    <w:rsid w:val="00514C39"/>
    <w:rsid w:val="00514E0D"/>
    <w:rsid w:val="00514F35"/>
    <w:rsid w:val="00514F4A"/>
    <w:rsid w:val="00514F7F"/>
    <w:rsid w:val="0051500A"/>
    <w:rsid w:val="0051508C"/>
    <w:rsid w:val="005150EB"/>
    <w:rsid w:val="0051510A"/>
    <w:rsid w:val="0051518B"/>
    <w:rsid w:val="0051520E"/>
    <w:rsid w:val="005152EB"/>
    <w:rsid w:val="005153A4"/>
    <w:rsid w:val="005154DC"/>
    <w:rsid w:val="005155BF"/>
    <w:rsid w:val="00515675"/>
    <w:rsid w:val="0051567D"/>
    <w:rsid w:val="00515749"/>
    <w:rsid w:val="005158F0"/>
    <w:rsid w:val="00515947"/>
    <w:rsid w:val="005159C3"/>
    <w:rsid w:val="00515A00"/>
    <w:rsid w:val="00515A33"/>
    <w:rsid w:val="00515A56"/>
    <w:rsid w:val="00515A75"/>
    <w:rsid w:val="00515A9F"/>
    <w:rsid w:val="00515B4F"/>
    <w:rsid w:val="00515B70"/>
    <w:rsid w:val="00515BE7"/>
    <w:rsid w:val="00515C28"/>
    <w:rsid w:val="00515C7F"/>
    <w:rsid w:val="00515C91"/>
    <w:rsid w:val="00515C95"/>
    <w:rsid w:val="00515C9C"/>
    <w:rsid w:val="00515DEF"/>
    <w:rsid w:val="00515E53"/>
    <w:rsid w:val="00515E5A"/>
    <w:rsid w:val="00515EEA"/>
    <w:rsid w:val="0051601D"/>
    <w:rsid w:val="005161A8"/>
    <w:rsid w:val="0051628D"/>
    <w:rsid w:val="0051630E"/>
    <w:rsid w:val="00516325"/>
    <w:rsid w:val="005163F4"/>
    <w:rsid w:val="00516425"/>
    <w:rsid w:val="00516550"/>
    <w:rsid w:val="0051657D"/>
    <w:rsid w:val="005165F4"/>
    <w:rsid w:val="0051662F"/>
    <w:rsid w:val="00516630"/>
    <w:rsid w:val="00516695"/>
    <w:rsid w:val="00516735"/>
    <w:rsid w:val="00516745"/>
    <w:rsid w:val="00516773"/>
    <w:rsid w:val="0051678F"/>
    <w:rsid w:val="005167EA"/>
    <w:rsid w:val="005168AB"/>
    <w:rsid w:val="0051693B"/>
    <w:rsid w:val="00516973"/>
    <w:rsid w:val="005169AC"/>
    <w:rsid w:val="005169B7"/>
    <w:rsid w:val="005169F1"/>
    <w:rsid w:val="00516A12"/>
    <w:rsid w:val="00516A5C"/>
    <w:rsid w:val="00516A85"/>
    <w:rsid w:val="00516AFC"/>
    <w:rsid w:val="00516B6D"/>
    <w:rsid w:val="00516BC4"/>
    <w:rsid w:val="00516C12"/>
    <w:rsid w:val="00516C2C"/>
    <w:rsid w:val="00516CD1"/>
    <w:rsid w:val="00516DBF"/>
    <w:rsid w:val="00516E50"/>
    <w:rsid w:val="00516EB7"/>
    <w:rsid w:val="00516F44"/>
    <w:rsid w:val="00516FB3"/>
    <w:rsid w:val="005171A5"/>
    <w:rsid w:val="005171FC"/>
    <w:rsid w:val="00517219"/>
    <w:rsid w:val="0051731D"/>
    <w:rsid w:val="00517358"/>
    <w:rsid w:val="005173A9"/>
    <w:rsid w:val="0051751F"/>
    <w:rsid w:val="00517586"/>
    <w:rsid w:val="005175BC"/>
    <w:rsid w:val="005176BA"/>
    <w:rsid w:val="0051787F"/>
    <w:rsid w:val="00517896"/>
    <w:rsid w:val="00517933"/>
    <w:rsid w:val="0051793C"/>
    <w:rsid w:val="00517A2D"/>
    <w:rsid w:val="00517A34"/>
    <w:rsid w:val="00517AA3"/>
    <w:rsid w:val="00517AAF"/>
    <w:rsid w:val="00517B35"/>
    <w:rsid w:val="00517BE4"/>
    <w:rsid w:val="00517DD9"/>
    <w:rsid w:val="00517DE3"/>
    <w:rsid w:val="00517E51"/>
    <w:rsid w:val="00517F27"/>
    <w:rsid w:val="00517F85"/>
    <w:rsid w:val="00517FDD"/>
    <w:rsid w:val="00517FEC"/>
    <w:rsid w:val="00517FF7"/>
    <w:rsid w:val="005200C8"/>
    <w:rsid w:val="005200D7"/>
    <w:rsid w:val="005200F4"/>
    <w:rsid w:val="0052010F"/>
    <w:rsid w:val="00520227"/>
    <w:rsid w:val="0052030D"/>
    <w:rsid w:val="00520319"/>
    <w:rsid w:val="005203BB"/>
    <w:rsid w:val="005203F2"/>
    <w:rsid w:val="00520515"/>
    <w:rsid w:val="0052055B"/>
    <w:rsid w:val="005205C2"/>
    <w:rsid w:val="0052061F"/>
    <w:rsid w:val="005206C2"/>
    <w:rsid w:val="005206D3"/>
    <w:rsid w:val="005206F4"/>
    <w:rsid w:val="00520823"/>
    <w:rsid w:val="005209F3"/>
    <w:rsid w:val="00520A1A"/>
    <w:rsid w:val="00520A3D"/>
    <w:rsid w:val="00520A49"/>
    <w:rsid w:val="00520AF6"/>
    <w:rsid w:val="00520C6B"/>
    <w:rsid w:val="00520CC0"/>
    <w:rsid w:val="00520CE0"/>
    <w:rsid w:val="00520DE2"/>
    <w:rsid w:val="00520E6D"/>
    <w:rsid w:val="00520EC1"/>
    <w:rsid w:val="00520EEC"/>
    <w:rsid w:val="00520F22"/>
    <w:rsid w:val="00520F53"/>
    <w:rsid w:val="00520F6D"/>
    <w:rsid w:val="005210B7"/>
    <w:rsid w:val="0052115E"/>
    <w:rsid w:val="0052122D"/>
    <w:rsid w:val="00521341"/>
    <w:rsid w:val="00521355"/>
    <w:rsid w:val="00521483"/>
    <w:rsid w:val="00521484"/>
    <w:rsid w:val="0052156E"/>
    <w:rsid w:val="005215F4"/>
    <w:rsid w:val="0052163B"/>
    <w:rsid w:val="00521648"/>
    <w:rsid w:val="00521652"/>
    <w:rsid w:val="00521655"/>
    <w:rsid w:val="005216C7"/>
    <w:rsid w:val="005216E3"/>
    <w:rsid w:val="0052170C"/>
    <w:rsid w:val="00521801"/>
    <w:rsid w:val="0052181B"/>
    <w:rsid w:val="00521863"/>
    <w:rsid w:val="0052189D"/>
    <w:rsid w:val="0052190C"/>
    <w:rsid w:val="00521910"/>
    <w:rsid w:val="005219A8"/>
    <w:rsid w:val="00521A02"/>
    <w:rsid w:val="00521A2E"/>
    <w:rsid w:val="00521B53"/>
    <w:rsid w:val="00521B55"/>
    <w:rsid w:val="00521BF7"/>
    <w:rsid w:val="00521CB5"/>
    <w:rsid w:val="00521CC5"/>
    <w:rsid w:val="00521CCF"/>
    <w:rsid w:val="00521CD0"/>
    <w:rsid w:val="00521CF9"/>
    <w:rsid w:val="00521D56"/>
    <w:rsid w:val="00521DE3"/>
    <w:rsid w:val="00521EF5"/>
    <w:rsid w:val="00521F84"/>
    <w:rsid w:val="00521FC0"/>
    <w:rsid w:val="005220EB"/>
    <w:rsid w:val="00522130"/>
    <w:rsid w:val="005221A6"/>
    <w:rsid w:val="005222F9"/>
    <w:rsid w:val="00522396"/>
    <w:rsid w:val="005224F2"/>
    <w:rsid w:val="005224F3"/>
    <w:rsid w:val="00522540"/>
    <w:rsid w:val="005225C0"/>
    <w:rsid w:val="00522660"/>
    <w:rsid w:val="00522768"/>
    <w:rsid w:val="00522B2D"/>
    <w:rsid w:val="00522BB1"/>
    <w:rsid w:val="00522BF5"/>
    <w:rsid w:val="00522C5F"/>
    <w:rsid w:val="00522CC4"/>
    <w:rsid w:val="00522CFC"/>
    <w:rsid w:val="00522D4C"/>
    <w:rsid w:val="00522DB8"/>
    <w:rsid w:val="00522E8A"/>
    <w:rsid w:val="00522E91"/>
    <w:rsid w:val="00522F41"/>
    <w:rsid w:val="00523027"/>
    <w:rsid w:val="005231E5"/>
    <w:rsid w:val="0052325A"/>
    <w:rsid w:val="00523328"/>
    <w:rsid w:val="0052332F"/>
    <w:rsid w:val="00523363"/>
    <w:rsid w:val="00523387"/>
    <w:rsid w:val="0052340F"/>
    <w:rsid w:val="00523493"/>
    <w:rsid w:val="00523503"/>
    <w:rsid w:val="00523523"/>
    <w:rsid w:val="00523544"/>
    <w:rsid w:val="0052355F"/>
    <w:rsid w:val="0052359C"/>
    <w:rsid w:val="005235B2"/>
    <w:rsid w:val="005235BA"/>
    <w:rsid w:val="005236A2"/>
    <w:rsid w:val="0052370C"/>
    <w:rsid w:val="0052376A"/>
    <w:rsid w:val="00523790"/>
    <w:rsid w:val="0052389E"/>
    <w:rsid w:val="00523A30"/>
    <w:rsid w:val="00523A37"/>
    <w:rsid w:val="00523ADD"/>
    <w:rsid w:val="00523B3E"/>
    <w:rsid w:val="00523BFD"/>
    <w:rsid w:val="00523D4A"/>
    <w:rsid w:val="00523DA1"/>
    <w:rsid w:val="00523DAD"/>
    <w:rsid w:val="00523DC6"/>
    <w:rsid w:val="00523DD9"/>
    <w:rsid w:val="00523EBB"/>
    <w:rsid w:val="00523EE3"/>
    <w:rsid w:val="00523EFA"/>
    <w:rsid w:val="00523F3B"/>
    <w:rsid w:val="00523F3C"/>
    <w:rsid w:val="00523F7D"/>
    <w:rsid w:val="00523F95"/>
    <w:rsid w:val="00523FB4"/>
    <w:rsid w:val="00524100"/>
    <w:rsid w:val="005241DC"/>
    <w:rsid w:val="0052434F"/>
    <w:rsid w:val="00524497"/>
    <w:rsid w:val="00524507"/>
    <w:rsid w:val="00524558"/>
    <w:rsid w:val="0052466C"/>
    <w:rsid w:val="0052468F"/>
    <w:rsid w:val="005246B3"/>
    <w:rsid w:val="005246C1"/>
    <w:rsid w:val="005246D1"/>
    <w:rsid w:val="005246E2"/>
    <w:rsid w:val="00524783"/>
    <w:rsid w:val="005247E5"/>
    <w:rsid w:val="005248F0"/>
    <w:rsid w:val="00524998"/>
    <w:rsid w:val="005249B6"/>
    <w:rsid w:val="005249D6"/>
    <w:rsid w:val="00524AD4"/>
    <w:rsid w:val="00524B10"/>
    <w:rsid w:val="00524B30"/>
    <w:rsid w:val="00524BCC"/>
    <w:rsid w:val="00524D2B"/>
    <w:rsid w:val="00524DBB"/>
    <w:rsid w:val="00524DD7"/>
    <w:rsid w:val="00524DE2"/>
    <w:rsid w:val="00524E06"/>
    <w:rsid w:val="00524E57"/>
    <w:rsid w:val="00524E79"/>
    <w:rsid w:val="00524E8C"/>
    <w:rsid w:val="00524EE1"/>
    <w:rsid w:val="00524EEE"/>
    <w:rsid w:val="00524F87"/>
    <w:rsid w:val="00524FD9"/>
    <w:rsid w:val="0052500A"/>
    <w:rsid w:val="0052503E"/>
    <w:rsid w:val="0052508D"/>
    <w:rsid w:val="005250E7"/>
    <w:rsid w:val="00525310"/>
    <w:rsid w:val="00525395"/>
    <w:rsid w:val="00525407"/>
    <w:rsid w:val="00525481"/>
    <w:rsid w:val="005254A6"/>
    <w:rsid w:val="005254CF"/>
    <w:rsid w:val="005255B3"/>
    <w:rsid w:val="005256ED"/>
    <w:rsid w:val="0052571D"/>
    <w:rsid w:val="00525758"/>
    <w:rsid w:val="0052577D"/>
    <w:rsid w:val="005257E3"/>
    <w:rsid w:val="00525A8F"/>
    <w:rsid w:val="00525AF7"/>
    <w:rsid w:val="00525BD5"/>
    <w:rsid w:val="00525C5A"/>
    <w:rsid w:val="00525C6A"/>
    <w:rsid w:val="00525CBE"/>
    <w:rsid w:val="00525D02"/>
    <w:rsid w:val="00525D97"/>
    <w:rsid w:val="00525E0A"/>
    <w:rsid w:val="00525E39"/>
    <w:rsid w:val="00525EB5"/>
    <w:rsid w:val="00525F0C"/>
    <w:rsid w:val="00525F7E"/>
    <w:rsid w:val="00526064"/>
    <w:rsid w:val="005260B6"/>
    <w:rsid w:val="00526126"/>
    <w:rsid w:val="00526130"/>
    <w:rsid w:val="0052615B"/>
    <w:rsid w:val="0052617B"/>
    <w:rsid w:val="0052618C"/>
    <w:rsid w:val="00526237"/>
    <w:rsid w:val="005262DB"/>
    <w:rsid w:val="005264EA"/>
    <w:rsid w:val="00526525"/>
    <w:rsid w:val="00526539"/>
    <w:rsid w:val="005265CF"/>
    <w:rsid w:val="005265D8"/>
    <w:rsid w:val="00526610"/>
    <w:rsid w:val="00526612"/>
    <w:rsid w:val="00526661"/>
    <w:rsid w:val="00526677"/>
    <w:rsid w:val="005266BC"/>
    <w:rsid w:val="00526731"/>
    <w:rsid w:val="00526744"/>
    <w:rsid w:val="00526761"/>
    <w:rsid w:val="005267DD"/>
    <w:rsid w:val="005267F3"/>
    <w:rsid w:val="00526807"/>
    <w:rsid w:val="0052689C"/>
    <w:rsid w:val="005269AA"/>
    <w:rsid w:val="005269B0"/>
    <w:rsid w:val="005269C9"/>
    <w:rsid w:val="00526A17"/>
    <w:rsid w:val="00526A94"/>
    <w:rsid w:val="00526B41"/>
    <w:rsid w:val="00526C03"/>
    <w:rsid w:val="00526D2D"/>
    <w:rsid w:val="00526E11"/>
    <w:rsid w:val="00526E66"/>
    <w:rsid w:val="00526E69"/>
    <w:rsid w:val="00526FB5"/>
    <w:rsid w:val="00527125"/>
    <w:rsid w:val="0052713D"/>
    <w:rsid w:val="005271C3"/>
    <w:rsid w:val="005273D0"/>
    <w:rsid w:val="0052740C"/>
    <w:rsid w:val="00527436"/>
    <w:rsid w:val="00527542"/>
    <w:rsid w:val="00527592"/>
    <w:rsid w:val="0052763C"/>
    <w:rsid w:val="00527725"/>
    <w:rsid w:val="0052774F"/>
    <w:rsid w:val="00527789"/>
    <w:rsid w:val="005277DF"/>
    <w:rsid w:val="005277F5"/>
    <w:rsid w:val="00527846"/>
    <w:rsid w:val="005278C1"/>
    <w:rsid w:val="00527982"/>
    <w:rsid w:val="00527B33"/>
    <w:rsid w:val="00527C5A"/>
    <w:rsid w:val="00527CEA"/>
    <w:rsid w:val="00527CF6"/>
    <w:rsid w:val="00527D31"/>
    <w:rsid w:val="00527D67"/>
    <w:rsid w:val="00527E81"/>
    <w:rsid w:val="00527F4D"/>
    <w:rsid w:val="00527FA0"/>
    <w:rsid w:val="00530135"/>
    <w:rsid w:val="005301A3"/>
    <w:rsid w:val="005301FA"/>
    <w:rsid w:val="005302DA"/>
    <w:rsid w:val="005303FB"/>
    <w:rsid w:val="00530441"/>
    <w:rsid w:val="005304BB"/>
    <w:rsid w:val="005305B6"/>
    <w:rsid w:val="00530667"/>
    <w:rsid w:val="005307B8"/>
    <w:rsid w:val="00530803"/>
    <w:rsid w:val="00530842"/>
    <w:rsid w:val="0053086C"/>
    <w:rsid w:val="005308EC"/>
    <w:rsid w:val="00530950"/>
    <w:rsid w:val="00530954"/>
    <w:rsid w:val="005309EC"/>
    <w:rsid w:val="005309F7"/>
    <w:rsid w:val="005309F8"/>
    <w:rsid w:val="00530ABA"/>
    <w:rsid w:val="00530AF3"/>
    <w:rsid w:val="00530B51"/>
    <w:rsid w:val="00530C58"/>
    <w:rsid w:val="00530D3F"/>
    <w:rsid w:val="00530D40"/>
    <w:rsid w:val="00530D94"/>
    <w:rsid w:val="00530DD5"/>
    <w:rsid w:val="00530DF5"/>
    <w:rsid w:val="00530E04"/>
    <w:rsid w:val="00530E34"/>
    <w:rsid w:val="00530E41"/>
    <w:rsid w:val="00530E66"/>
    <w:rsid w:val="00530EBC"/>
    <w:rsid w:val="00530ECB"/>
    <w:rsid w:val="00530EEA"/>
    <w:rsid w:val="00531006"/>
    <w:rsid w:val="0053101B"/>
    <w:rsid w:val="00531061"/>
    <w:rsid w:val="0053106C"/>
    <w:rsid w:val="0053107B"/>
    <w:rsid w:val="005310FE"/>
    <w:rsid w:val="0053114D"/>
    <w:rsid w:val="00531158"/>
    <w:rsid w:val="00531210"/>
    <w:rsid w:val="005312E5"/>
    <w:rsid w:val="00531322"/>
    <w:rsid w:val="00531368"/>
    <w:rsid w:val="00531405"/>
    <w:rsid w:val="005314FB"/>
    <w:rsid w:val="005314FC"/>
    <w:rsid w:val="00531535"/>
    <w:rsid w:val="005315C7"/>
    <w:rsid w:val="005315FF"/>
    <w:rsid w:val="005316CB"/>
    <w:rsid w:val="0053174B"/>
    <w:rsid w:val="005318D1"/>
    <w:rsid w:val="005318D7"/>
    <w:rsid w:val="005318DC"/>
    <w:rsid w:val="00531936"/>
    <w:rsid w:val="0053196D"/>
    <w:rsid w:val="00531981"/>
    <w:rsid w:val="005319DE"/>
    <w:rsid w:val="00531B2D"/>
    <w:rsid w:val="00531B38"/>
    <w:rsid w:val="00531B3B"/>
    <w:rsid w:val="00531B83"/>
    <w:rsid w:val="00531BBF"/>
    <w:rsid w:val="00531CD0"/>
    <w:rsid w:val="00531F1A"/>
    <w:rsid w:val="00531FA4"/>
    <w:rsid w:val="00531FEC"/>
    <w:rsid w:val="005320AA"/>
    <w:rsid w:val="005320FC"/>
    <w:rsid w:val="00532162"/>
    <w:rsid w:val="005321AD"/>
    <w:rsid w:val="005321BE"/>
    <w:rsid w:val="005321F4"/>
    <w:rsid w:val="00532222"/>
    <w:rsid w:val="005323E3"/>
    <w:rsid w:val="0053246F"/>
    <w:rsid w:val="005324E0"/>
    <w:rsid w:val="00532506"/>
    <w:rsid w:val="00532524"/>
    <w:rsid w:val="00532562"/>
    <w:rsid w:val="005325A5"/>
    <w:rsid w:val="00532748"/>
    <w:rsid w:val="00532787"/>
    <w:rsid w:val="005327F9"/>
    <w:rsid w:val="00532833"/>
    <w:rsid w:val="0053288D"/>
    <w:rsid w:val="005328E7"/>
    <w:rsid w:val="00532970"/>
    <w:rsid w:val="00532978"/>
    <w:rsid w:val="005329F6"/>
    <w:rsid w:val="00532A87"/>
    <w:rsid w:val="00532B7F"/>
    <w:rsid w:val="00532BDB"/>
    <w:rsid w:val="00532BF1"/>
    <w:rsid w:val="00532C51"/>
    <w:rsid w:val="00532C81"/>
    <w:rsid w:val="00532D43"/>
    <w:rsid w:val="00532D5F"/>
    <w:rsid w:val="00532D61"/>
    <w:rsid w:val="00532FBA"/>
    <w:rsid w:val="00533204"/>
    <w:rsid w:val="0053321E"/>
    <w:rsid w:val="0053324F"/>
    <w:rsid w:val="00533277"/>
    <w:rsid w:val="00533342"/>
    <w:rsid w:val="005333A3"/>
    <w:rsid w:val="005333C9"/>
    <w:rsid w:val="005333D7"/>
    <w:rsid w:val="0053340D"/>
    <w:rsid w:val="005334A8"/>
    <w:rsid w:val="005334B0"/>
    <w:rsid w:val="005334B5"/>
    <w:rsid w:val="005334C3"/>
    <w:rsid w:val="00533548"/>
    <w:rsid w:val="0053356E"/>
    <w:rsid w:val="00533581"/>
    <w:rsid w:val="005335AE"/>
    <w:rsid w:val="00533622"/>
    <w:rsid w:val="00533673"/>
    <w:rsid w:val="005336D3"/>
    <w:rsid w:val="005337D6"/>
    <w:rsid w:val="005337F6"/>
    <w:rsid w:val="0053381A"/>
    <w:rsid w:val="00533832"/>
    <w:rsid w:val="005338F8"/>
    <w:rsid w:val="00533942"/>
    <w:rsid w:val="0053396A"/>
    <w:rsid w:val="005339AC"/>
    <w:rsid w:val="00533AAD"/>
    <w:rsid w:val="00533C7F"/>
    <w:rsid w:val="00533CD3"/>
    <w:rsid w:val="00533D72"/>
    <w:rsid w:val="00533DC4"/>
    <w:rsid w:val="00533E31"/>
    <w:rsid w:val="00533E3B"/>
    <w:rsid w:val="00533E51"/>
    <w:rsid w:val="00533F98"/>
    <w:rsid w:val="00533FDE"/>
    <w:rsid w:val="00533FF3"/>
    <w:rsid w:val="0053415C"/>
    <w:rsid w:val="005341FA"/>
    <w:rsid w:val="0053421F"/>
    <w:rsid w:val="005342A2"/>
    <w:rsid w:val="00534533"/>
    <w:rsid w:val="005345B0"/>
    <w:rsid w:val="005345E0"/>
    <w:rsid w:val="0053471C"/>
    <w:rsid w:val="00534788"/>
    <w:rsid w:val="00534832"/>
    <w:rsid w:val="00534929"/>
    <w:rsid w:val="00534993"/>
    <w:rsid w:val="00534A28"/>
    <w:rsid w:val="00534A4E"/>
    <w:rsid w:val="00534A51"/>
    <w:rsid w:val="00534A6D"/>
    <w:rsid w:val="00534AF0"/>
    <w:rsid w:val="00534B18"/>
    <w:rsid w:val="00534BCE"/>
    <w:rsid w:val="00534CB0"/>
    <w:rsid w:val="00534DB9"/>
    <w:rsid w:val="00534DED"/>
    <w:rsid w:val="00534DFB"/>
    <w:rsid w:val="00534DFC"/>
    <w:rsid w:val="00534F5E"/>
    <w:rsid w:val="00534F8B"/>
    <w:rsid w:val="00534FB6"/>
    <w:rsid w:val="00534FC7"/>
    <w:rsid w:val="0053500F"/>
    <w:rsid w:val="0053505C"/>
    <w:rsid w:val="005350A1"/>
    <w:rsid w:val="005350FB"/>
    <w:rsid w:val="00535108"/>
    <w:rsid w:val="0053514E"/>
    <w:rsid w:val="00535165"/>
    <w:rsid w:val="0053521E"/>
    <w:rsid w:val="00535229"/>
    <w:rsid w:val="0053523D"/>
    <w:rsid w:val="005352D3"/>
    <w:rsid w:val="005353DE"/>
    <w:rsid w:val="00535448"/>
    <w:rsid w:val="005354D0"/>
    <w:rsid w:val="005354DB"/>
    <w:rsid w:val="00535524"/>
    <w:rsid w:val="0053553B"/>
    <w:rsid w:val="005355A9"/>
    <w:rsid w:val="005355D0"/>
    <w:rsid w:val="005356C7"/>
    <w:rsid w:val="0053577F"/>
    <w:rsid w:val="005357C2"/>
    <w:rsid w:val="005357F4"/>
    <w:rsid w:val="0053585A"/>
    <w:rsid w:val="005358EA"/>
    <w:rsid w:val="0053598E"/>
    <w:rsid w:val="00535A22"/>
    <w:rsid w:val="00535AB3"/>
    <w:rsid w:val="00535AD7"/>
    <w:rsid w:val="00535B68"/>
    <w:rsid w:val="00535C79"/>
    <w:rsid w:val="00535C8B"/>
    <w:rsid w:val="00535CB6"/>
    <w:rsid w:val="00535CE8"/>
    <w:rsid w:val="00535CF8"/>
    <w:rsid w:val="00535D1C"/>
    <w:rsid w:val="00535D67"/>
    <w:rsid w:val="00535D89"/>
    <w:rsid w:val="00535E88"/>
    <w:rsid w:val="00536025"/>
    <w:rsid w:val="0053621E"/>
    <w:rsid w:val="0053628E"/>
    <w:rsid w:val="005362FD"/>
    <w:rsid w:val="00536313"/>
    <w:rsid w:val="00536316"/>
    <w:rsid w:val="00536372"/>
    <w:rsid w:val="00536401"/>
    <w:rsid w:val="0053646F"/>
    <w:rsid w:val="00536517"/>
    <w:rsid w:val="00536589"/>
    <w:rsid w:val="0053658C"/>
    <w:rsid w:val="00536599"/>
    <w:rsid w:val="005365B2"/>
    <w:rsid w:val="00536655"/>
    <w:rsid w:val="005366B7"/>
    <w:rsid w:val="0053673D"/>
    <w:rsid w:val="005367DD"/>
    <w:rsid w:val="00536859"/>
    <w:rsid w:val="00536A01"/>
    <w:rsid w:val="00536A0E"/>
    <w:rsid w:val="00536A93"/>
    <w:rsid w:val="00536AF1"/>
    <w:rsid w:val="00536CB8"/>
    <w:rsid w:val="00536CD5"/>
    <w:rsid w:val="00536CEF"/>
    <w:rsid w:val="00536D46"/>
    <w:rsid w:val="00536D92"/>
    <w:rsid w:val="00536E54"/>
    <w:rsid w:val="00536EF4"/>
    <w:rsid w:val="00536F2A"/>
    <w:rsid w:val="00536F3F"/>
    <w:rsid w:val="00536F50"/>
    <w:rsid w:val="00536F64"/>
    <w:rsid w:val="00536FB0"/>
    <w:rsid w:val="00536FB6"/>
    <w:rsid w:val="00536FD1"/>
    <w:rsid w:val="0053709B"/>
    <w:rsid w:val="005370B0"/>
    <w:rsid w:val="005370DD"/>
    <w:rsid w:val="0053713F"/>
    <w:rsid w:val="00537149"/>
    <w:rsid w:val="005371F6"/>
    <w:rsid w:val="005372F8"/>
    <w:rsid w:val="00537378"/>
    <w:rsid w:val="005373A1"/>
    <w:rsid w:val="00537452"/>
    <w:rsid w:val="0053747B"/>
    <w:rsid w:val="005374EF"/>
    <w:rsid w:val="00537500"/>
    <w:rsid w:val="005375CA"/>
    <w:rsid w:val="005375FC"/>
    <w:rsid w:val="0053774A"/>
    <w:rsid w:val="005377F7"/>
    <w:rsid w:val="0053780C"/>
    <w:rsid w:val="00537898"/>
    <w:rsid w:val="0053796A"/>
    <w:rsid w:val="005379D9"/>
    <w:rsid w:val="00537A01"/>
    <w:rsid w:val="00537AEA"/>
    <w:rsid w:val="00537B2E"/>
    <w:rsid w:val="00537C0E"/>
    <w:rsid w:val="00537CAB"/>
    <w:rsid w:val="00537CAE"/>
    <w:rsid w:val="00537CD0"/>
    <w:rsid w:val="00537CF9"/>
    <w:rsid w:val="00537D75"/>
    <w:rsid w:val="00537D81"/>
    <w:rsid w:val="00537DCD"/>
    <w:rsid w:val="00537E4C"/>
    <w:rsid w:val="00537EA8"/>
    <w:rsid w:val="00537EF2"/>
    <w:rsid w:val="00537EFF"/>
    <w:rsid w:val="00537FDB"/>
    <w:rsid w:val="00537FDC"/>
    <w:rsid w:val="005400AF"/>
    <w:rsid w:val="00540116"/>
    <w:rsid w:val="0054011A"/>
    <w:rsid w:val="00540148"/>
    <w:rsid w:val="0054019C"/>
    <w:rsid w:val="00540373"/>
    <w:rsid w:val="0054038B"/>
    <w:rsid w:val="005403F6"/>
    <w:rsid w:val="00540505"/>
    <w:rsid w:val="00540545"/>
    <w:rsid w:val="005405ED"/>
    <w:rsid w:val="00540628"/>
    <w:rsid w:val="005406E5"/>
    <w:rsid w:val="005406E9"/>
    <w:rsid w:val="0054085B"/>
    <w:rsid w:val="00540880"/>
    <w:rsid w:val="00540957"/>
    <w:rsid w:val="005409C4"/>
    <w:rsid w:val="00540A2D"/>
    <w:rsid w:val="00540ABE"/>
    <w:rsid w:val="00540B0A"/>
    <w:rsid w:val="00540C35"/>
    <w:rsid w:val="00540C44"/>
    <w:rsid w:val="00540C60"/>
    <w:rsid w:val="00540CB5"/>
    <w:rsid w:val="00540DA2"/>
    <w:rsid w:val="00540DDF"/>
    <w:rsid w:val="00540DE9"/>
    <w:rsid w:val="00540E34"/>
    <w:rsid w:val="00540E7C"/>
    <w:rsid w:val="00540F75"/>
    <w:rsid w:val="00540F9D"/>
    <w:rsid w:val="00540FC8"/>
    <w:rsid w:val="00541081"/>
    <w:rsid w:val="005410E9"/>
    <w:rsid w:val="00541176"/>
    <w:rsid w:val="005412E5"/>
    <w:rsid w:val="005413E3"/>
    <w:rsid w:val="005414E2"/>
    <w:rsid w:val="0054168D"/>
    <w:rsid w:val="005416F0"/>
    <w:rsid w:val="005417F7"/>
    <w:rsid w:val="005418EF"/>
    <w:rsid w:val="00541949"/>
    <w:rsid w:val="00541960"/>
    <w:rsid w:val="00541988"/>
    <w:rsid w:val="00541B32"/>
    <w:rsid w:val="00541B3C"/>
    <w:rsid w:val="00541B50"/>
    <w:rsid w:val="00541B9A"/>
    <w:rsid w:val="00541BA4"/>
    <w:rsid w:val="00541BEF"/>
    <w:rsid w:val="00541DD6"/>
    <w:rsid w:val="00541E1C"/>
    <w:rsid w:val="00541E8F"/>
    <w:rsid w:val="00541F2C"/>
    <w:rsid w:val="00542058"/>
    <w:rsid w:val="00542079"/>
    <w:rsid w:val="0054208E"/>
    <w:rsid w:val="005420D1"/>
    <w:rsid w:val="005421C2"/>
    <w:rsid w:val="005421E0"/>
    <w:rsid w:val="00542217"/>
    <w:rsid w:val="00542358"/>
    <w:rsid w:val="005423D1"/>
    <w:rsid w:val="00542461"/>
    <w:rsid w:val="0054255A"/>
    <w:rsid w:val="00542582"/>
    <w:rsid w:val="00542767"/>
    <w:rsid w:val="005427CE"/>
    <w:rsid w:val="005427D6"/>
    <w:rsid w:val="0054280C"/>
    <w:rsid w:val="005428C0"/>
    <w:rsid w:val="00542929"/>
    <w:rsid w:val="005429A8"/>
    <w:rsid w:val="005429D7"/>
    <w:rsid w:val="005429F3"/>
    <w:rsid w:val="00542A4A"/>
    <w:rsid w:val="00542B0A"/>
    <w:rsid w:val="00542B89"/>
    <w:rsid w:val="00542CA9"/>
    <w:rsid w:val="00542DC3"/>
    <w:rsid w:val="00542DE5"/>
    <w:rsid w:val="00542E1F"/>
    <w:rsid w:val="00542E28"/>
    <w:rsid w:val="0054318C"/>
    <w:rsid w:val="00543282"/>
    <w:rsid w:val="00543333"/>
    <w:rsid w:val="0054338B"/>
    <w:rsid w:val="005433EF"/>
    <w:rsid w:val="00543473"/>
    <w:rsid w:val="00543477"/>
    <w:rsid w:val="005434C8"/>
    <w:rsid w:val="005434DB"/>
    <w:rsid w:val="005434F1"/>
    <w:rsid w:val="00543515"/>
    <w:rsid w:val="0054352C"/>
    <w:rsid w:val="0054359D"/>
    <w:rsid w:val="0054374E"/>
    <w:rsid w:val="00543762"/>
    <w:rsid w:val="0054378D"/>
    <w:rsid w:val="0054379F"/>
    <w:rsid w:val="0054383F"/>
    <w:rsid w:val="005438C5"/>
    <w:rsid w:val="005438E6"/>
    <w:rsid w:val="0054394E"/>
    <w:rsid w:val="00543991"/>
    <w:rsid w:val="005439B4"/>
    <w:rsid w:val="005439B6"/>
    <w:rsid w:val="005439CB"/>
    <w:rsid w:val="00543AA5"/>
    <w:rsid w:val="00543B13"/>
    <w:rsid w:val="00543C9F"/>
    <w:rsid w:val="00543D00"/>
    <w:rsid w:val="00543D4A"/>
    <w:rsid w:val="00543DF1"/>
    <w:rsid w:val="00543E0D"/>
    <w:rsid w:val="00543E4F"/>
    <w:rsid w:val="00543EB0"/>
    <w:rsid w:val="00543EE5"/>
    <w:rsid w:val="00543F16"/>
    <w:rsid w:val="00543F94"/>
    <w:rsid w:val="00543FA6"/>
    <w:rsid w:val="00543FF3"/>
    <w:rsid w:val="00544038"/>
    <w:rsid w:val="005440B9"/>
    <w:rsid w:val="005440C7"/>
    <w:rsid w:val="00544131"/>
    <w:rsid w:val="00544221"/>
    <w:rsid w:val="0054423D"/>
    <w:rsid w:val="005442E2"/>
    <w:rsid w:val="0054435D"/>
    <w:rsid w:val="005444F0"/>
    <w:rsid w:val="00544540"/>
    <w:rsid w:val="005445D7"/>
    <w:rsid w:val="00544626"/>
    <w:rsid w:val="0054469C"/>
    <w:rsid w:val="00544778"/>
    <w:rsid w:val="005447A3"/>
    <w:rsid w:val="005447DE"/>
    <w:rsid w:val="005448BD"/>
    <w:rsid w:val="005448C1"/>
    <w:rsid w:val="00544901"/>
    <w:rsid w:val="0054492E"/>
    <w:rsid w:val="0054495F"/>
    <w:rsid w:val="005449B3"/>
    <w:rsid w:val="00544A60"/>
    <w:rsid w:val="00544AC9"/>
    <w:rsid w:val="00544B6B"/>
    <w:rsid w:val="00544BA7"/>
    <w:rsid w:val="00544C1C"/>
    <w:rsid w:val="00544CB6"/>
    <w:rsid w:val="00544D7E"/>
    <w:rsid w:val="00544E36"/>
    <w:rsid w:val="00544EEE"/>
    <w:rsid w:val="00544F4E"/>
    <w:rsid w:val="00544F71"/>
    <w:rsid w:val="00544FDF"/>
    <w:rsid w:val="00545079"/>
    <w:rsid w:val="0054513F"/>
    <w:rsid w:val="005451D7"/>
    <w:rsid w:val="00545282"/>
    <w:rsid w:val="005452B5"/>
    <w:rsid w:val="005452E3"/>
    <w:rsid w:val="005453DF"/>
    <w:rsid w:val="0054548A"/>
    <w:rsid w:val="005454C1"/>
    <w:rsid w:val="00545503"/>
    <w:rsid w:val="00545578"/>
    <w:rsid w:val="0054569E"/>
    <w:rsid w:val="005456B4"/>
    <w:rsid w:val="005456D6"/>
    <w:rsid w:val="005457BD"/>
    <w:rsid w:val="005458F1"/>
    <w:rsid w:val="00545901"/>
    <w:rsid w:val="005459E0"/>
    <w:rsid w:val="00545A21"/>
    <w:rsid w:val="00545A4B"/>
    <w:rsid w:val="00545AF3"/>
    <w:rsid w:val="00545C46"/>
    <w:rsid w:val="00545C4D"/>
    <w:rsid w:val="00545CFA"/>
    <w:rsid w:val="00545D13"/>
    <w:rsid w:val="00545D24"/>
    <w:rsid w:val="00545EC2"/>
    <w:rsid w:val="00545ED0"/>
    <w:rsid w:val="00545ED4"/>
    <w:rsid w:val="00545EE2"/>
    <w:rsid w:val="00545FF2"/>
    <w:rsid w:val="0054601E"/>
    <w:rsid w:val="00546059"/>
    <w:rsid w:val="005460E8"/>
    <w:rsid w:val="00546152"/>
    <w:rsid w:val="005461B6"/>
    <w:rsid w:val="005461F5"/>
    <w:rsid w:val="0054622E"/>
    <w:rsid w:val="005462B0"/>
    <w:rsid w:val="005462D2"/>
    <w:rsid w:val="0054635A"/>
    <w:rsid w:val="005464FD"/>
    <w:rsid w:val="0054653E"/>
    <w:rsid w:val="0054668A"/>
    <w:rsid w:val="005466F6"/>
    <w:rsid w:val="00546756"/>
    <w:rsid w:val="00546768"/>
    <w:rsid w:val="005467B1"/>
    <w:rsid w:val="0054682D"/>
    <w:rsid w:val="00546937"/>
    <w:rsid w:val="00546A17"/>
    <w:rsid w:val="00546A98"/>
    <w:rsid w:val="00546AF4"/>
    <w:rsid w:val="00546B39"/>
    <w:rsid w:val="00546B4D"/>
    <w:rsid w:val="00546B66"/>
    <w:rsid w:val="00546B95"/>
    <w:rsid w:val="00546CB8"/>
    <w:rsid w:val="00546D11"/>
    <w:rsid w:val="00546D19"/>
    <w:rsid w:val="00546E54"/>
    <w:rsid w:val="00546E6B"/>
    <w:rsid w:val="00546EB5"/>
    <w:rsid w:val="00546EF3"/>
    <w:rsid w:val="00546F79"/>
    <w:rsid w:val="00546FC0"/>
    <w:rsid w:val="00546FEB"/>
    <w:rsid w:val="00547134"/>
    <w:rsid w:val="0054713D"/>
    <w:rsid w:val="005472F2"/>
    <w:rsid w:val="00547307"/>
    <w:rsid w:val="0054738D"/>
    <w:rsid w:val="005474DC"/>
    <w:rsid w:val="00547594"/>
    <w:rsid w:val="005479F2"/>
    <w:rsid w:val="005479F6"/>
    <w:rsid w:val="00547A48"/>
    <w:rsid w:val="00547B1F"/>
    <w:rsid w:val="00547B4E"/>
    <w:rsid w:val="00547BBF"/>
    <w:rsid w:val="00547C0A"/>
    <w:rsid w:val="00547CD4"/>
    <w:rsid w:val="00547D4E"/>
    <w:rsid w:val="00547E11"/>
    <w:rsid w:val="00547E45"/>
    <w:rsid w:val="00547E6C"/>
    <w:rsid w:val="00547ECF"/>
    <w:rsid w:val="00550037"/>
    <w:rsid w:val="00550075"/>
    <w:rsid w:val="0055009C"/>
    <w:rsid w:val="005500F3"/>
    <w:rsid w:val="00550129"/>
    <w:rsid w:val="005501CC"/>
    <w:rsid w:val="00550210"/>
    <w:rsid w:val="0055024A"/>
    <w:rsid w:val="00550254"/>
    <w:rsid w:val="005502B7"/>
    <w:rsid w:val="005502DD"/>
    <w:rsid w:val="0055033D"/>
    <w:rsid w:val="0055037D"/>
    <w:rsid w:val="005503CD"/>
    <w:rsid w:val="005503EA"/>
    <w:rsid w:val="0055044E"/>
    <w:rsid w:val="00550565"/>
    <w:rsid w:val="00550589"/>
    <w:rsid w:val="005505A1"/>
    <w:rsid w:val="00550664"/>
    <w:rsid w:val="0055075F"/>
    <w:rsid w:val="0055085E"/>
    <w:rsid w:val="00550935"/>
    <w:rsid w:val="005509D9"/>
    <w:rsid w:val="00550AB1"/>
    <w:rsid w:val="00550C3B"/>
    <w:rsid w:val="00550D28"/>
    <w:rsid w:val="00550D31"/>
    <w:rsid w:val="00550D60"/>
    <w:rsid w:val="00550DD1"/>
    <w:rsid w:val="00550F34"/>
    <w:rsid w:val="00550F3B"/>
    <w:rsid w:val="00550F55"/>
    <w:rsid w:val="00550FA7"/>
    <w:rsid w:val="00550FBA"/>
    <w:rsid w:val="005510A1"/>
    <w:rsid w:val="005510C9"/>
    <w:rsid w:val="005510D6"/>
    <w:rsid w:val="005510E3"/>
    <w:rsid w:val="005511A6"/>
    <w:rsid w:val="005511D5"/>
    <w:rsid w:val="005511D6"/>
    <w:rsid w:val="00551252"/>
    <w:rsid w:val="005512A9"/>
    <w:rsid w:val="005512E9"/>
    <w:rsid w:val="00551385"/>
    <w:rsid w:val="005513A6"/>
    <w:rsid w:val="005513F4"/>
    <w:rsid w:val="005513FB"/>
    <w:rsid w:val="0055140E"/>
    <w:rsid w:val="00551436"/>
    <w:rsid w:val="00551550"/>
    <w:rsid w:val="005515CF"/>
    <w:rsid w:val="00551746"/>
    <w:rsid w:val="005517ED"/>
    <w:rsid w:val="00551868"/>
    <w:rsid w:val="00551908"/>
    <w:rsid w:val="00551940"/>
    <w:rsid w:val="00551A39"/>
    <w:rsid w:val="00551A61"/>
    <w:rsid w:val="00551B3F"/>
    <w:rsid w:val="00551BFB"/>
    <w:rsid w:val="00551C46"/>
    <w:rsid w:val="00551C48"/>
    <w:rsid w:val="00551C98"/>
    <w:rsid w:val="00551CAF"/>
    <w:rsid w:val="00551CB3"/>
    <w:rsid w:val="00551D39"/>
    <w:rsid w:val="00551DD8"/>
    <w:rsid w:val="00551E1D"/>
    <w:rsid w:val="00551FC2"/>
    <w:rsid w:val="00552067"/>
    <w:rsid w:val="00552141"/>
    <w:rsid w:val="00552212"/>
    <w:rsid w:val="0055225B"/>
    <w:rsid w:val="0055226A"/>
    <w:rsid w:val="00552291"/>
    <w:rsid w:val="00552328"/>
    <w:rsid w:val="00552399"/>
    <w:rsid w:val="005523F1"/>
    <w:rsid w:val="00552555"/>
    <w:rsid w:val="00552581"/>
    <w:rsid w:val="00552586"/>
    <w:rsid w:val="0055267E"/>
    <w:rsid w:val="00552702"/>
    <w:rsid w:val="00552737"/>
    <w:rsid w:val="00552764"/>
    <w:rsid w:val="00552770"/>
    <w:rsid w:val="0055278C"/>
    <w:rsid w:val="005528D0"/>
    <w:rsid w:val="00552972"/>
    <w:rsid w:val="00552991"/>
    <w:rsid w:val="00552AC6"/>
    <w:rsid w:val="00552AD0"/>
    <w:rsid w:val="00552B78"/>
    <w:rsid w:val="00552BDE"/>
    <w:rsid w:val="00552BF8"/>
    <w:rsid w:val="00552DBC"/>
    <w:rsid w:val="00552E11"/>
    <w:rsid w:val="00552E58"/>
    <w:rsid w:val="00552F29"/>
    <w:rsid w:val="00552F7A"/>
    <w:rsid w:val="00552F82"/>
    <w:rsid w:val="005530D9"/>
    <w:rsid w:val="005530EE"/>
    <w:rsid w:val="0055310B"/>
    <w:rsid w:val="00553164"/>
    <w:rsid w:val="005531FB"/>
    <w:rsid w:val="00553239"/>
    <w:rsid w:val="005532A0"/>
    <w:rsid w:val="005532FF"/>
    <w:rsid w:val="00553365"/>
    <w:rsid w:val="00553661"/>
    <w:rsid w:val="0055368D"/>
    <w:rsid w:val="00553751"/>
    <w:rsid w:val="005537E1"/>
    <w:rsid w:val="005538A1"/>
    <w:rsid w:val="005538B3"/>
    <w:rsid w:val="005538BD"/>
    <w:rsid w:val="005538EB"/>
    <w:rsid w:val="005538F5"/>
    <w:rsid w:val="00553907"/>
    <w:rsid w:val="00553919"/>
    <w:rsid w:val="0055399E"/>
    <w:rsid w:val="00553A23"/>
    <w:rsid w:val="00553A3C"/>
    <w:rsid w:val="00553B65"/>
    <w:rsid w:val="00553BE6"/>
    <w:rsid w:val="00553C92"/>
    <w:rsid w:val="00553D88"/>
    <w:rsid w:val="00553DAE"/>
    <w:rsid w:val="00553EFD"/>
    <w:rsid w:val="005540EB"/>
    <w:rsid w:val="0055423B"/>
    <w:rsid w:val="0055428C"/>
    <w:rsid w:val="005542C4"/>
    <w:rsid w:val="005542C5"/>
    <w:rsid w:val="005543CF"/>
    <w:rsid w:val="00554410"/>
    <w:rsid w:val="00554518"/>
    <w:rsid w:val="0055453E"/>
    <w:rsid w:val="0055457A"/>
    <w:rsid w:val="005545FC"/>
    <w:rsid w:val="00554776"/>
    <w:rsid w:val="00554805"/>
    <w:rsid w:val="00554896"/>
    <w:rsid w:val="00554931"/>
    <w:rsid w:val="0055496F"/>
    <w:rsid w:val="005549B8"/>
    <w:rsid w:val="00554ABF"/>
    <w:rsid w:val="00554B1C"/>
    <w:rsid w:val="00554C2C"/>
    <w:rsid w:val="00554CE0"/>
    <w:rsid w:val="00554CFD"/>
    <w:rsid w:val="00554EFF"/>
    <w:rsid w:val="00554F59"/>
    <w:rsid w:val="00555037"/>
    <w:rsid w:val="005550C4"/>
    <w:rsid w:val="005550C9"/>
    <w:rsid w:val="00555100"/>
    <w:rsid w:val="00555109"/>
    <w:rsid w:val="005551A3"/>
    <w:rsid w:val="005551F2"/>
    <w:rsid w:val="00555200"/>
    <w:rsid w:val="00555268"/>
    <w:rsid w:val="005552B0"/>
    <w:rsid w:val="005552F1"/>
    <w:rsid w:val="0055533D"/>
    <w:rsid w:val="00555382"/>
    <w:rsid w:val="00555440"/>
    <w:rsid w:val="00555483"/>
    <w:rsid w:val="005555DD"/>
    <w:rsid w:val="0055563D"/>
    <w:rsid w:val="0055571A"/>
    <w:rsid w:val="00555756"/>
    <w:rsid w:val="005557C7"/>
    <w:rsid w:val="005557F7"/>
    <w:rsid w:val="00555857"/>
    <w:rsid w:val="0055586A"/>
    <w:rsid w:val="0055594B"/>
    <w:rsid w:val="0055595A"/>
    <w:rsid w:val="005559D2"/>
    <w:rsid w:val="00555A80"/>
    <w:rsid w:val="00555B80"/>
    <w:rsid w:val="00555CBC"/>
    <w:rsid w:val="00555E7E"/>
    <w:rsid w:val="00555E93"/>
    <w:rsid w:val="00555EBF"/>
    <w:rsid w:val="00555FD1"/>
    <w:rsid w:val="00556350"/>
    <w:rsid w:val="00556556"/>
    <w:rsid w:val="005565F3"/>
    <w:rsid w:val="00556642"/>
    <w:rsid w:val="0055673D"/>
    <w:rsid w:val="00556864"/>
    <w:rsid w:val="00556A36"/>
    <w:rsid w:val="00556A49"/>
    <w:rsid w:val="00556A77"/>
    <w:rsid w:val="00556A78"/>
    <w:rsid w:val="00556A82"/>
    <w:rsid w:val="00556B4B"/>
    <w:rsid w:val="00556C4D"/>
    <w:rsid w:val="00556C6B"/>
    <w:rsid w:val="00556D07"/>
    <w:rsid w:val="00556DD1"/>
    <w:rsid w:val="00556DDC"/>
    <w:rsid w:val="00556DEC"/>
    <w:rsid w:val="00556E29"/>
    <w:rsid w:val="00556E3F"/>
    <w:rsid w:val="00556EAD"/>
    <w:rsid w:val="00556EBC"/>
    <w:rsid w:val="00556F68"/>
    <w:rsid w:val="00557072"/>
    <w:rsid w:val="005570BB"/>
    <w:rsid w:val="005570CE"/>
    <w:rsid w:val="005570FC"/>
    <w:rsid w:val="0055723D"/>
    <w:rsid w:val="00557240"/>
    <w:rsid w:val="00557278"/>
    <w:rsid w:val="0055728A"/>
    <w:rsid w:val="0055729E"/>
    <w:rsid w:val="005572C6"/>
    <w:rsid w:val="00557318"/>
    <w:rsid w:val="0055759D"/>
    <w:rsid w:val="00557626"/>
    <w:rsid w:val="0055764B"/>
    <w:rsid w:val="0055764F"/>
    <w:rsid w:val="00557760"/>
    <w:rsid w:val="005577F3"/>
    <w:rsid w:val="00557841"/>
    <w:rsid w:val="005578A7"/>
    <w:rsid w:val="00557910"/>
    <w:rsid w:val="00557A2E"/>
    <w:rsid w:val="00557A40"/>
    <w:rsid w:val="00557A52"/>
    <w:rsid w:val="00557A98"/>
    <w:rsid w:val="00557B60"/>
    <w:rsid w:val="00557C6B"/>
    <w:rsid w:val="00557C77"/>
    <w:rsid w:val="00557D0E"/>
    <w:rsid w:val="00557EC7"/>
    <w:rsid w:val="00557EE8"/>
    <w:rsid w:val="00557EFF"/>
    <w:rsid w:val="00557F16"/>
    <w:rsid w:val="00557F23"/>
    <w:rsid w:val="00557F6C"/>
    <w:rsid w:val="00557FA7"/>
    <w:rsid w:val="0056005D"/>
    <w:rsid w:val="005600C4"/>
    <w:rsid w:val="005601A2"/>
    <w:rsid w:val="00560296"/>
    <w:rsid w:val="0056045C"/>
    <w:rsid w:val="00560487"/>
    <w:rsid w:val="005604BA"/>
    <w:rsid w:val="0056052E"/>
    <w:rsid w:val="0056055E"/>
    <w:rsid w:val="005605D0"/>
    <w:rsid w:val="005606C6"/>
    <w:rsid w:val="00560852"/>
    <w:rsid w:val="005609E8"/>
    <w:rsid w:val="00560A4E"/>
    <w:rsid w:val="00560A53"/>
    <w:rsid w:val="00560A95"/>
    <w:rsid w:val="00560B6F"/>
    <w:rsid w:val="00560B97"/>
    <w:rsid w:val="00560BB4"/>
    <w:rsid w:val="00560C44"/>
    <w:rsid w:val="00560CBD"/>
    <w:rsid w:val="00560D34"/>
    <w:rsid w:val="00560D5E"/>
    <w:rsid w:val="00560DA6"/>
    <w:rsid w:val="00560DEF"/>
    <w:rsid w:val="00560E36"/>
    <w:rsid w:val="00560EC5"/>
    <w:rsid w:val="00560F1B"/>
    <w:rsid w:val="00560F2C"/>
    <w:rsid w:val="00560F3B"/>
    <w:rsid w:val="00560F76"/>
    <w:rsid w:val="00560FA8"/>
    <w:rsid w:val="00560FF7"/>
    <w:rsid w:val="0056103E"/>
    <w:rsid w:val="005611C4"/>
    <w:rsid w:val="00561204"/>
    <w:rsid w:val="00561314"/>
    <w:rsid w:val="00561326"/>
    <w:rsid w:val="005613A7"/>
    <w:rsid w:val="00561403"/>
    <w:rsid w:val="0056145B"/>
    <w:rsid w:val="0056146F"/>
    <w:rsid w:val="00561486"/>
    <w:rsid w:val="005614EE"/>
    <w:rsid w:val="00561664"/>
    <w:rsid w:val="005616B9"/>
    <w:rsid w:val="0056174F"/>
    <w:rsid w:val="00561779"/>
    <w:rsid w:val="0056179E"/>
    <w:rsid w:val="00561840"/>
    <w:rsid w:val="00561844"/>
    <w:rsid w:val="005618D9"/>
    <w:rsid w:val="0056199B"/>
    <w:rsid w:val="00561A35"/>
    <w:rsid w:val="00561ABF"/>
    <w:rsid w:val="00561AD0"/>
    <w:rsid w:val="00561B0A"/>
    <w:rsid w:val="00561C2F"/>
    <w:rsid w:val="00561CAD"/>
    <w:rsid w:val="00561CD9"/>
    <w:rsid w:val="00561D02"/>
    <w:rsid w:val="00561D4C"/>
    <w:rsid w:val="00561E37"/>
    <w:rsid w:val="00561ED8"/>
    <w:rsid w:val="00561FA9"/>
    <w:rsid w:val="00561FDA"/>
    <w:rsid w:val="00561FE6"/>
    <w:rsid w:val="00562061"/>
    <w:rsid w:val="005620B1"/>
    <w:rsid w:val="005620C9"/>
    <w:rsid w:val="005620E5"/>
    <w:rsid w:val="00562296"/>
    <w:rsid w:val="005622D1"/>
    <w:rsid w:val="005623E0"/>
    <w:rsid w:val="005623FA"/>
    <w:rsid w:val="00562446"/>
    <w:rsid w:val="00562558"/>
    <w:rsid w:val="005625E4"/>
    <w:rsid w:val="00562601"/>
    <w:rsid w:val="00562616"/>
    <w:rsid w:val="00562679"/>
    <w:rsid w:val="0056269A"/>
    <w:rsid w:val="00562746"/>
    <w:rsid w:val="0056279A"/>
    <w:rsid w:val="0056279C"/>
    <w:rsid w:val="005627CA"/>
    <w:rsid w:val="00562807"/>
    <w:rsid w:val="00562843"/>
    <w:rsid w:val="005628D5"/>
    <w:rsid w:val="005628FD"/>
    <w:rsid w:val="00562919"/>
    <w:rsid w:val="0056292E"/>
    <w:rsid w:val="005629B5"/>
    <w:rsid w:val="00562A2D"/>
    <w:rsid w:val="00562A7F"/>
    <w:rsid w:val="00562AFD"/>
    <w:rsid w:val="00562B16"/>
    <w:rsid w:val="00562B89"/>
    <w:rsid w:val="00562BA6"/>
    <w:rsid w:val="00562CA5"/>
    <w:rsid w:val="00562DEC"/>
    <w:rsid w:val="00562E00"/>
    <w:rsid w:val="00563008"/>
    <w:rsid w:val="00563023"/>
    <w:rsid w:val="0056304E"/>
    <w:rsid w:val="00563052"/>
    <w:rsid w:val="00563054"/>
    <w:rsid w:val="00563186"/>
    <w:rsid w:val="0056318B"/>
    <w:rsid w:val="00563217"/>
    <w:rsid w:val="0056324D"/>
    <w:rsid w:val="005632BC"/>
    <w:rsid w:val="00563422"/>
    <w:rsid w:val="00563491"/>
    <w:rsid w:val="005634A3"/>
    <w:rsid w:val="005635D7"/>
    <w:rsid w:val="00563677"/>
    <w:rsid w:val="0056369D"/>
    <w:rsid w:val="005636BA"/>
    <w:rsid w:val="0056372E"/>
    <w:rsid w:val="0056379D"/>
    <w:rsid w:val="00563831"/>
    <w:rsid w:val="00563880"/>
    <w:rsid w:val="00563970"/>
    <w:rsid w:val="00563980"/>
    <w:rsid w:val="00563A6E"/>
    <w:rsid w:val="00563B06"/>
    <w:rsid w:val="00563B17"/>
    <w:rsid w:val="00563BAC"/>
    <w:rsid w:val="00563C0F"/>
    <w:rsid w:val="00563C6C"/>
    <w:rsid w:val="00563D5C"/>
    <w:rsid w:val="00563D67"/>
    <w:rsid w:val="00563E11"/>
    <w:rsid w:val="00563E4E"/>
    <w:rsid w:val="00563E7A"/>
    <w:rsid w:val="00563E9B"/>
    <w:rsid w:val="00563E9C"/>
    <w:rsid w:val="00563F1F"/>
    <w:rsid w:val="00564089"/>
    <w:rsid w:val="0056409E"/>
    <w:rsid w:val="0056414D"/>
    <w:rsid w:val="0056418F"/>
    <w:rsid w:val="005641B8"/>
    <w:rsid w:val="005641CE"/>
    <w:rsid w:val="00564231"/>
    <w:rsid w:val="005642A0"/>
    <w:rsid w:val="00564314"/>
    <w:rsid w:val="00564409"/>
    <w:rsid w:val="00564739"/>
    <w:rsid w:val="0056474A"/>
    <w:rsid w:val="00564878"/>
    <w:rsid w:val="005648C0"/>
    <w:rsid w:val="005649BD"/>
    <w:rsid w:val="005649CA"/>
    <w:rsid w:val="00564A08"/>
    <w:rsid w:val="00564A3C"/>
    <w:rsid w:val="00564B22"/>
    <w:rsid w:val="00564B25"/>
    <w:rsid w:val="00564CE9"/>
    <w:rsid w:val="00564D8D"/>
    <w:rsid w:val="00564DCE"/>
    <w:rsid w:val="00564E6A"/>
    <w:rsid w:val="00564E89"/>
    <w:rsid w:val="00564EE0"/>
    <w:rsid w:val="00564FBB"/>
    <w:rsid w:val="00564FC6"/>
    <w:rsid w:val="00564FC7"/>
    <w:rsid w:val="00565085"/>
    <w:rsid w:val="00565136"/>
    <w:rsid w:val="0056515D"/>
    <w:rsid w:val="005651B2"/>
    <w:rsid w:val="0056537A"/>
    <w:rsid w:val="005653BB"/>
    <w:rsid w:val="0056549A"/>
    <w:rsid w:val="0056555C"/>
    <w:rsid w:val="005655DF"/>
    <w:rsid w:val="005655F1"/>
    <w:rsid w:val="0056563A"/>
    <w:rsid w:val="005656C3"/>
    <w:rsid w:val="005658B2"/>
    <w:rsid w:val="005658C9"/>
    <w:rsid w:val="00565908"/>
    <w:rsid w:val="005659F0"/>
    <w:rsid w:val="00565A0D"/>
    <w:rsid w:val="00565B89"/>
    <w:rsid w:val="00565BE9"/>
    <w:rsid w:val="00565C30"/>
    <w:rsid w:val="00565C76"/>
    <w:rsid w:val="00565D4D"/>
    <w:rsid w:val="00565DDE"/>
    <w:rsid w:val="00565ED1"/>
    <w:rsid w:val="00565F73"/>
    <w:rsid w:val="00566040"/>
    <w:rsid w:val="00566077"/>
    <w:rsid w:val="005661A5"/>
    <w:rsid w:val="005661E6"/>
    <w:rsid w:val="005662AF"/>
    <w:rsid w:val="0056636F"/>
    <w:rsid w:val="005664D6"/>
    <w:rsid w:val="00566603"/>
    <w:rsid w:val="0056679F"/>
    <w:rsid w:val="0056684F"/>
    <w:rsid w:val="00566850"/>
    <w:rsid w:val="00566863"/>
    <w:rsid w:val="005668CB"/>
    <w:rsid w:val="005668FF"/>
    <w:rsid w:val="005669C2"/>
    <w:rsid w:val="00566A02"/>
    <w:rsid w:val="00566A2C"/>
    <w:rsid w:val="00566B10"/>
    <w:rsid w:val="00566B67"/>
    <w:rsid w:val="00566C0E"/>
    <w:rsid w:val="00566D7D"/>
    <w:rsid w:val="00566DA0"/>
    <w:rsid w:val="00566F09"/>
    <w:rsid w:val="00567015"/>
    <w:rsid w:val="0056705B"/>
    <w:rsid w:val="00567089"/>
    <w:rsid w:val="00567223"/>
    <w:rsid w:val="0056727E"/>
    <w:rsid w:val="0056729F"/>
    <w:rsid w:val="005673A1"/>
    <w:rsid w:val="005673A2"/>
    <w:rsid w:val="005673B1"/>
    <w:rsid w:val="005673E3"/>
    <w:rsid w:val="00567473"/>
    <w:rsid w:val="00567515"/>
    <w:rsid w:val="0056754E"/>
    <w:rsid w:val="00567595"/>
    <w:rsid w:val="005675F2"/>
    <w:rsid w:val="00567606"/>
    <w:rsid w:val="005677EC"/>
    <w:rsid w:val="00567825"/>
    <w:rsid w:val="00567834"/>
    <w:rsid w:val="00567929"/>
    <w:rsid w:val="00567A58"/>
    <w:rsid w:val="00567AD7"/>
    <w:rsid w:val="00567B16"/>
    <w:rsid w:val="00567C20"/>
    <w:rsid w:val="00567C30"/>
    <w:rsid w:val="00567DAC"/>
    <w:rsid w:val="00567E44"/>
    <w:rsid w:val="00567EF3"/>
    <w:rsid w:val="00567F4D"/>
    <w:rsid w:val="00567F9B"/>
    <w:rsid w:val="0057003C"/>
    <w:rsid w:val="005701DF"/>
    <w:rsid w:val="005702FF"/>
    <w:rsid w:val="00570343"/>
    <w:rsid w:val="005703AE"/>
    <w:rsid w:val="005704D7"/>
    <w:rsid w:val="0057050A"/>
    <w:rsid w:val="00570543"/>
    <w:rsid w:val="00570562"/>
    <w:rsid w:val="0057059F"/>
    <w:rsid w:val="005705E2"/>
    <w:rsid w:val="0057061D"/>
    <w:rsid w:val="005706BE"/>
    <w:rsid w:val="00570798"/>
    <w:rsid w:val="005707DF"/>
    <w:rsid w:val="00570815"/>
    <w:rsid w:val="0057082E"/>
    <w:rsid w:val="00570895"/>
    <w:rsid w:val="005708B2"/>
    <w:rsid w:val="00570972"/>
    <w:rsid w:val="0057098C"/>
    <w:rsid w:val="005709E2"/>
    <w:rsid w:val="005709FF"/>
    <w:rsid w:val="00570B1B"/>
    <w:rsid w:val="00570BA0"/>
    <w:rsid w:val="00570BF5"/>
    <w:rsid w:val="00570BFB"/>
    <w:rsid w:val="00570C32"/>
    <w:rsid w:val="00570C37"/>
    <w:rsid w:val="00570D66"/>
    <w:rsid w:val="00570D7F"/>
    <w:rsid w:val="00570DC5"/>
    <w:rsid w:val="00570DDA"/>
    <w:rsid w:val="00570DDF"/>
    <w:rsid w:val="00570E29"/>
    <w:rsid w:val="00570F52"/>
    <w:rsid w:val="00570F92"/>
    <w:rsid w:val="00570FBD"/>
    <w:rsid w:val="005710C0"/>
    <w:rsid w:val="0057112E"/>
    <w:rsid w:val="00571140"/>
    <w:rsid w:val="005711B4"/>
    <w:rsid w:val="00571260"/>
    <w:rsid w:val="00571306"/>
    <w:rsid w:val="0057135E"/>
    <w:rsid w:val="00571379"/>
    <w:rsid w:val="00571383"/>
    <w:rsid w:val="005713D8"/>
    <w:rsid w:val="005714A6"/>
    <w:rsid w:val="005714D1"/>
    <w:rsid w:val="00571534"/>
    <w:rsid w:val="0057161E"/>
    <w:rsid w:val="005716E1"/>
    <w:rsid w:val="0057170A"/>
    <w:rsid w:val="0057185A"/>
    <w:rsid w:val="00571877"/>
    <w:rsid w:val="005718B8"/>
    <w:rsid w:val="005718DB"/>
    <w:rsid w:val="00571A28"/>
    <w:rsid w:val="00571A32"/>
    <w:rsid w:val="00571A66"/>
    <w:rsid w:val="00571AA3"/>
    <w:rsid w:val="00571BE3"/>
    <w:rsid w:val="00571DBD"/>
    <w:rsid w:val="00571EBB"/>
    <w:rsid w:val="00571FE3"/>
    <w:rsid w:val="00572049"/>
    <w:rsid w:val="005720AD"/>
    <w:rsid w:val="005720C3"/>
    <w:rsid w:val="00572107"/>
    <w:rsid w:val="00572238"/>
    <w:rsid w:val="00572244"/>
    <w:rsid w:val="00572368"/>
    <w:rsid w:val="00572376"/>
    <w:rsid w:val="00572429"/>
    <w:rsid w:val="005724C8"/>
    <w:rsid w:val="005724CF"/>
    <w:rsid w:val="0057252B"/>
    <w:rsid w:val="00572593"/>
    <w:rsid w:val="005725DA"/>
    <w:rsid w:val="0057265A"/>
    <w:rsid w:val="00572668"/>
    <w:rsid w:val="0057274E"/>
    <w:rsid w:val="005727D1"/>
    <w:rsid w:val="0057286E"/>
    <w:rsid w:val="005728B2"/>
    <w:rsid w:val="00572923"/>
    <w:rsid w:val="0057298C"/>
    <w:rsid w:val="005729A2"/>
    <w:rsid w:val="00572C4D"/>
    <w:rsid w:val="00572CDA"/>
    <w:rsid w:val="00572CE9"/>
    <w:rsid w:val="00572D76"/>
    <w:rsid w:val="00572DE6"/>
    <w:rsid w:val="00572E0A"/>
    <w:rsid w:val="00572E7E"/>
    <w:rsid w:val="00572E82"/>
    <w:rsid w:val="00572EDA"/>
    <w:rsid w:val="00572F1E"/>
    <w:rsid w:val="00572F5C"/>
    <w:rsid w:val="00572F8E"/>
    <w:rsid w:val="00573054"/>
    <w:rsid w:val="005730E5"/>
    <w:rsid w:val="00573197"/>
    <w:rsid w:val="005731F5"/>
    <w:rsid w:val="00573356"/>
    <w:rsid w:val="005733A7"/>
    <w:rsid w:val="00573405"/>
    <w:rsid w:val="0057359E"/>
    <w:rsid w:val="005735AF"/>
    <w:rsid w:val="005736A7"/>
    <w:rsid w:val="005736AC"/>
    <w:rsid w:val="005736CD"/>
    <w:rsid w:val="0057378D"/>
    <w:rsid w:val="0057382D"/>
    <w:rsid w:val="0057385E"/>
    <w:rsid w:val="005738D5"/>
    <w:rsid w:val="00573A79"/>
    <w:rsid w:val="00573B66"/>
    <w:rsid w:val="00573BAA"/>
    <w:rsid w:val="00573BBA"/>
    <w:rsid w:val="00573BC0"/>
    <w:rsid w:val="00573C1B"/>
    <w:rsid w:val="00573C71"/>
    <w:rsid w:val="00573CA3"/>
    <w:rsid w:val="00573D58"/>
    <w:rsid w:val="00573D7E"/>
    <w:rsid w:val="00573E16"/>
    <w:rsid w:val="00573E1A"/>
    <w:rsid w:val="00573E8F"/>
    <w:rsid w:val="00573F04"/>
    <w:rsid w:val="00573F1F"/>
    <w:rsid w:val="00573F28"/>
    <w:rsid w:val="00573FFA"/>
    <w:rsid w:val="0057409E"/>
    <w:rsid w:val="005740A1"/>
    <w:rsid w:val="00574139"/>
    <w:rsid w:val="00574202"/>
    <w:rsid w:val="00574245"/>
    <w:rsid w:val="005742A0"/>
    <w:rsid w:val="005742CA"/>
    <w:rsid w:val="005742D7"/>
    <w:rsid w:val="0057434F"/>
    <w:rsid w:val="00574369"/>
    <w:rsid w:val="0057445F"/>
    <w:rsid w:val="00574468"/>
    <w:rsid w:val="005744C2"/>
    <w:rsid w:val="0057454B"/>
    <w:rsid w:val="005745F2"/>
    <w:rsid w:val="00574643"/>
    <w:rsid w:val="005746E5"/>
    <w:rsid w:val="0057475A"/>
    <w:rsid w:val="0057475D"/>
    <w:rsid w:val="00574779"/>
    <w:rsid w:val="00574797"/>
    <w:rsid w:val="005747C0"/>
    <w:rsid w:val="00574840"/>
    <w:rsid w:val="0057484E"/>
    <w:rsid w:val="0057494B"/>
    <w:rsid w:val="00574950"/>
    <w:rsid w:val="0057495A"/>
    <w:rsid w:val="0057496F"/>
    <w:rsid w:val="00574996"/>
    <w:rsid w:val="005749AC"/>
    <w:rsid w:val="005749E0"/>
    <w:rsid w:val="00574AC7"/>
    <w:rsid w:val="00574BE8"/>
    <w:rsid w:val="00574C2F"/>
    <w:rsid w:val="00574CEC"/>
    <w:rsid w:val="00574D00"/>
    <w:rsid w:val="00574D1D"/>
    <w:rsid w:val="00574DF0"/>
    <w:rsid w:val="00574ED6"/>
    <w:rsid w:val="00574F3B"/>
    <w:rsid w:val="00574F5B"/>
    <w:rsid w:val="00574FD1"/>
    <w:rsid w:val="00575251"/>
    <w:rsid w:val="00575309"/>
    <w:rsid w:val="005754BE"/>
    <w:rsid w:val="0057579B"/>
    <w:rsid w:val="005757C7"/>
    <w:rsid w:val="00575816"/>
    <w:rsid w:val="0057583E"/>
    <w:rsid w:val="0057585F"/>
    <w:rsid w:val="00575943"/>
    <w:rsid w:val="00575984"/>
    <w:rsid w:val="0057598F"/>
    <w:rsid w:val="00575A85"/>
    <w:rsid w:val="00575BF8"/>
    <w:rsid w:val="00575C78"/>
    <w:rsid w:val="00575D85"/>
    <w:rsid w:val="00575E93"/>
    <w:rsid w:val="00575E94"/>
    <w:rsid w:val="00575EB6"/>
    <w:rsid w:val="00575F02"/>
    <w:rsid w:val="00575F1A"/>
    <w:rsid w:val="00575F84"/>
    <w:rsid w:val="00575FCB"/>
    <w:rsid w:val="00576147"/>
    <w:rsid w:val="00576148"/>
    <w:rsid w:val="005761FB"/>
    <w:rsid w:val="0057620C"/>
    <w:rsid w:val="0057627F"/>
    <w:rsid w:val="0057629A"/>
    <w:rsid w:val="0057629C"/>
    <w:rsid w:val="00576438"/>
    <w:rsid w:val="00576466"/>
    <w:rsid w:val="00576467"/>
    <w:rsid w:val="005764B1"/>
    <w:rsid w:val="005764D5"/>
    <w:rsid w:val="00576507"/>
    <w:rsid w:val="005765CE"/>
    <w:rsid w:val="005767DD"/>
    <w:rsid w:val="005768C8"/>
    <w:rsid w:val="00576920"/>
    <w:rsid w:val="00576B9C"/>
    <w:rsid w:val="00576C2F"/>
    <w:rsid w:val="00576D8B"/>
    <w:rsid w:val="00576DC7"/>
    <w:rsid w:val="00576DCB"/>
    <w:rsid w:val="00576E5E"/>
    <w:rsid w:val="00576EC6"/>
    <w:rsid w:val="00576F77"/>
    <w:rsid w:val="00576F91"/>
    <w:rsid w:val="00577040"/>
    <w:rsid w:val="00577045"/>
    <w:rsid w:val="00577048"/>
    <w:rsid w:val="00577056"/>
    <w:rsid w:val="0057713B"/>
    <w:rsid w:val="00577144"/>
    <w:rsid w:val="005771BB"/>
    <w:rsid w:val="005771EA"/>
    <w:rsid w:val="00577275"/>
    <w:rsid w:val="005772E7"/>
    <w:rsid w:val="005772F2"/>
    <w:rsid w:val="0057733B"/>
    <w:rsid w:val="005773F4"/>
    <w:rsid w:val="005773FA"/>
    <w:rsid w:val="00577409"/>
    <w:rsid w:val="0057744B"/>
    <w:rsid w:val="00577484"/>
    <w:rsid w:val="00577528"/>
    <w:rsid w:val="00577579"/>
    <w:rsid w:val="005775EE"/>
    <w:rsid w:val="00577616"/>
    <w:rsid w:val="0057764D"/>
    <w:rsid w:val="005776F9"/>
    <w:rsid w:val="0057772C"/>
    <w:rsid w:val="0057779D"/>
    <w:rsid w:val="005777F6"/>
    <w:rsid w:val="00577839"/>
    <w:rsid w:val="00577913"/>
    <w:rsid w:val="00577915"/>
    <w:rsid w:val="00577917"/>
    <w:rsid w:val="005779D3"/>
    <w:rsid w:val="00577AE3"/>
    <w:rsid w:val="00577B4A"/>
    <w:rsid w:val="00577C44"/>
    <w:rsid w:val="00577CC4"/>
    <w:rsid w:val="00577CEA"/>
    <w:rsid w:val="00577D7F"/>
    <w:rsid w:val="00577E2F"/>
    <w:rsid w:val="00577E6C"/>
    <w:rsid w:val="00577EDA"/>
    <w:rsid w:val="00577F46"/>
    <w:rsid w:val="00577FE5"/>
    <w:rsid w:val="005800B9"/>
    <w:rsid w:val="00580240"/>
    <w:rsid w:val="005802D3"/>
    <w:rsid w:val="00580318"/>
    <w:rsid w:val="00580369"/>
    <w:rsid w:val="00580380"/>
    <w:rsid w:val="00580402"/>
    <w:rsid w:val="0058051F"/>
    <w:rsid w:val="00580530"/>
    <w:rsid w:val="0058058D"/>
    <w:rsid w:val="00580597"/>
    <w:rsid w:val="00580622"/>
    <w:rsid w:val="005806D4"/>
    <w:rsid w:val="0058086E"/>
    <w:rsid w:val="00580938"/>
    <w:rsid w:val="00580969"/>
    <w:rsid w:val="00580973"/>
    <w:rsid w:val="005809E3"/>
    <w:rsid w:val="005809F6"/>
    <w:rsid w:val="00580A62"/>
    <w:rsid w:val="00580A68"/>
    <w:rsid w:val="00580B17"/>
    <w:rsid w:val="00580B31"/>
    <w:rsid w:val="00580B77"/>
    <w:rsid w:val="00580B9F"/>
    <w:rsid w:val="00580C3A"/>
    <w:rsid w:val="00580D7D"/>
    <w:rsid w:val="00580D98"/>
    <w:rsid w:val="00580DE5"/>
    <w:rsid w:val="00580E0D"/>
    <w:rsid w:val="00580E63"/>
    <w:rsid w:val="00580F56"/>
    <w:rsid w:val="00580FC4"/>
    <w:rsid w:val="00581067"/>
    <w:rsid w:val="00581113"/>
    <w:rsid w:val="00581126"/>
    <w:rsid w:val="0058117C"/>
    <w:rsid w:val="005811DB"/>
    <w:rsid w:val="0058141A"/>
    <w:rsid w:val="00581498"/>
    <w:rsid w:val="0058152D"/>
    <w:rsid w:val="00581539"/>
    <w:rsid w:val="00581662"/>
    <w:rsid w:val="00581669"/>
    <w:rsid w:val="0058176C"/>
    <w:rsid w:val="005817F5"/>
    <w:rsid w:val="005818B1"/>
    <w:rsid w:val="005818E6"/>
    <w:rsid w:val="0058193E"/>
    <w:rsid w:val="0058197D"/>
    <w:rsid w:val="005819AF"/>
    <w:rsid w:val="005819C8"/>
    <w:rsid w:val="00581A56"/>
    <w:rsid w:val="00581BC0"/>
    <w:rsid w:val="00581C9B"/>
    <w:rsid w:val="00581CF9"/>
    <w:rsid w:val="00581D19"/>
    <w:rsid w:val="00581DC0"/>
    <w:rsid w:val="00581E11"/>
    <w:rsid w:val="00581EF1"/>
    <w:rsid w:val="00581FA2"/>
    <w:rsid w:val="00581FA5"/>
    <w:rsid w:val="00582056"/>
    <w:rsid w:val="00582065"/>
    <w:rsid w:val="005822AE"/>
    <w:rsid w:val="00582366"/>
    <w:rsid w:val="00582377"/>
    <w:rsid w:val="00582410"/>
    <w:rsid w:val="005825A8"/>
    <w:rsid w:val="005825BF"/>
    <w:rsid w:val="0058263B"/>
    <w:rsid w:val="00582689"/>
    <w:rsid w:val="005826C4"/>
    <w:rsid w:val="005826DE"/>
    <w:rsid w:val="0058274D"/>
    <w:rsid w:val="0058288B"/>
    <w:rsid w:val="0058289A"/>
    <w:rsid w:val="005828F3"/>
    <w:rsid w:val="00582950"/>
    <w:rsid w:val="005829B4"/>
    <w:rsid w:val="00582AAC"/>
    <w:rsid w:val="00582AFA"/>
    <w:rsid w:val="00582BC4"/>
    <w:rsid w:val="00582BF3"/>
    <w:rsid w:val="00582CA9"/>
    <w:rsid w:val="00582D00"/>
    <w:rsid w:val="00582D82"/>
    <w:rsid w:val="00582D94"/>
    <w:rsid w:val="00582DA4"/>
    <w:rsid w:val="00582DD6"/>
    <w:rsid w:val="00582DEC"/>
    <w:rsid w:val="00582EF4"/>
    <w:rsid w:val="00582F48"/>
    <w:rsid w:val="00582F9C"/>
    <w:rsid w:val="005830CF"/>
    <w:rsid w:val="005830F8"/>
    <w:rsid w:val="00583157"/>
    <w:rsid w:val="005831A6"/>
    <w:rsid w:val="0058321F"/>
    <w:rsid w:val="00583295"/>
    <w:rsid w:val="005832B3"/>
    <w:rsid w:val="00583311"/>
    <w:rsid w:val="00583420"/>
    <w:rsid w:val="00583520"/>
    <w:rsid w:val="00583665"/>
    <w:rsid w:val="00583700"/>
    <w:rsid w:val="00583786"/>
    <w:rsid w:val="00583813"/>
    <w:rsid w:val="0058387A"/>
    <w:rsid w:val="005838AF"/>
    <w:rsid w:val="005838C7"/>
    <w:rsid w:val="00583948"/>
    <w:rsid w:val="0058398B"/>
    <w:rsid w:val="00583A4B"/>
    <w:rsid w:val="00583AA6"/>
    <w:rsid w:val="00583AEE"/>
    <w:rsid w:val="00583B2C"/>
    <w:rsid w:val="00583C11"/>
    <w:rsid w:val="00583C9B"/>
    <w:rsid w:val="00583D6C"/>
    <w:rsid w:val="00583D70"/>
    <w:rsid w:val="00583D96"/>
    <w:rsid w:val="00583DB2"/>
    <w:rsid w:val="00583DEF"/>
    <w:rsid w:val="00583ED6"/>
    <w:rsid w:val="00583FBB"/>
    <w:rsid w:val="00583FC4"/>
    <w:rsid w:val="00584133"/>
    <w:rsid w:val="0058413F"/>
    <w:rsid w:val="00584168"/>
    <w:rsid w:val="00584178"/>
    <w:rsid w:val="0058419B"/>
    <w:rsid w:val="005842FA"/>
    <w:rsid w:val="00584303"/>
    <w:rsid w:val="005843ED"/>
    <w:rsid w:val="0058443F"/>
    <w:rsid w:val="00584451"/>
    <w:rsid w:val="00584543"/>
    <w:rsid w:val="0058458B"/>
    <w:rsid w:val="00584634"/>
    <w:rsid w:val="005846CA"/>
    <w:rsid w:val="00584776"/>
    <w:rsid w:val="0058477B"/>
    <w:rsid w:val="00584801"/>
    <w:rsid w:val="00584878"/>
    <w:rsid w:val="0058487C"/>
    <w:rsid w:val="005848B3"/>
    <w:rsid w:val="00584912"/>
    <w:rsid w:val="005849C5"/>
    <w:rsid w:val="005849F5"/>
    <w:rsid w:val="00584BCD"/>
    <w:rsid w:val="00584C3A"/>
    <w:rsid w:val="00584CFF"/>
    <w:rsid w:val="00584D46"/>
    <w:rsid w:val="00584DAD"/>
    <w:rsid w:val="00584E48"/>
    <w:rsid w:val="00585046"/>
    <w:rsid w:val="0058508A"/>
    <w:rsid w:val="00585168"/>
    <w:rsid w:val="005851B2"/>
    <w:rsid w:val="0058522D"/>
    <w:rsid w:val="005852E9"/>
    <w:rsid w:val="005852ED"/>
    <w:rsid w:val="00585303"/>
    <w:rsid w:val="005853B6"/>
    <w:rsid w:val="00585408"/>
    <w:rsid w:val="00585444"/>
    <w:rsid w:val="00585489"/>
    <w:rsid w:val="0058549E"/>
    <w:rsid w:val="005854CA"/>
    <w:rsid w:val="0058558B"/>
    <w:rsid w:val="005855C2"/>
    <w:rsid w:val="00585602"/>
    <w:rsid w:val="00585624"/>
    <w:rsid w:val="005856A1"/>
    <w:rsid w:val="00585904"/>
    <w:rsid w:val="0058595D"/>
    <w:rsid w:val="005859F6"/>
    <w:rsid w:val="00585B7B"/>
    <w:rsid w:val="00585CB6"/>
    <w:rsid w:val="00585DD0"/>
    <w:rsid w:val="00585E0B"/>
    <w:rsid w:val="00585E0D"/>
    <w:rsid w:val="00585E14"/>
    <w:rsid w:val="00585E30"/>
    <w:rsid w:val="00585E36"/>
    <w:rsid w:val="00585E3F"/>
    <w:rsid w:val="00585E80"/>
    <w:rsid w:val="00585EE7"/>
    <w:rsid w:val="00585F16"/>
    <w:rsid w:val="00585F62"/>
    <w:rsid w:val="005860E4"/>
    <w:rsid w:val="00586145"/>
    <w:rsid w:val="00586154"/>
    <w:rsid w:val="0058616C"/>
    <w:rsid w:val="005861A9"/>
    <w:rsid w:val="00586234"/>
    <w:rsid w:val="00586344"/>
    <w:rsid w:val="00586383"/>
    <w:rsid w:val="00586438"/>
    <w:rsid w:val="0058654F"/>
    <w:rsid w:val="00586599"/>
    <w:rsid w:val="005865E0"/>
    <w:rsid w:val="00586660"/>
    <w:rsid w:val="00586692"/>
    <w:rsid w:val="005867DD"/>
    <w:rsid w:val="00586851"/>
    <w:rsid w:val="00586902"/>
    <w:rsid w:val="005869AE"/>
    <w:rsid w:val="00586A04"/>
    <w:rsid w:val="00586AB1"/>
    <w:rsid w:val="00586ABC"/>
    <w:rsid w:val="00586AFD"/>
    <w:rsid w:val="00586B42"/>
    <w:rsid w:val="00586B55"/>
    <w:rsid w:val="00586BD4"/>
    <w:rsid w:val="00586C91"/>
    <w:rsid w:val="00586D0A"/>
    <w:rsid w:val="00586DD9"/>
    <w:rsid w:val="00586E36"/>
    <w:rsid w:val="00586E6A"/>
    <w:rsid w:val="00586EED"/>
    <w:rsid w:val="00586F6E"/>
    <w:rsid w:val="00586F78"/>
    <w:rsid w:val="0058707A"/>
    <w:rsid w:val="00587330"/>
    <w:rsid w:val="0058736A"/>
    <w:rsid w:val="0058737D"/>
    <w:rsid w:val="0058738E"/>
    <w:rsid w:val="00587484"/>
    <w:rsid w:val="00587537"/>
    <w:rsid w:val="00587594"/>
    <w:rsid w:val="005875F4"/>
    <w:rsid w:val="00587639"/>
    <w:rsid w:val="00587640"/>
    <w:rsid w:val="0058768A"/>
    <w:rsid w:val="0058769B"/>
    <w:rsid w:val="005876EA"/>
    <w:rsid w:val="005878AA"/>
    <w:rsid w:val="00587989"/>
    <w:rsid w:val="005879B0"/>
    <w:rsid w:val="00587C01"/>
    <w:rsid w:val="00587C3B"/>
    <w:rsid w:val="00587E43"/>
    <w:rsid w:val="00587E69"/>
    <w:rsid w:val="00587E93"/>
    <w:rsid w:val="00587EA0"/>
    <w:rsid w:val="00587EDE"/>
    <w:rsid w:val="00587F2E"/>
    <w:rsid w:val="00587F5C"/>
    <w:rsid w:val="00587FDC"/>
    <w:rsid w:val="00590031"/>
    <w:rsid w:val="0059003F"/>
    <w:rsid w:val="005900CE"/>
    <w:rsid w:val="005900EE"/>
    <w:rsid w:val="00590166"/>
    <w:rsid w:val="005901FC"/>
    <w:rsid w:val="0059023C"/>
    <w:rsid w:val="0059025E"/>
    <w:rsid w:val="00590278"/>
    <w:rsid w:val="0059027A"/>
    <w:rsid w:val="00590293"/>
    <w:rsid w:val="0059030B"/>
    <w:rsid w:val="0059030D"/>
    <w:rsid w:val="00590312"/>
    <w:rsid w:val="0059036E"/>
    <w:rsid w:val="00590372"/>
    <w:rsid w:val="00590482"/>
    <w:rsid w:val="0059048C"/>
    <w:rsid w:val="0059052C"/>
    <w:rsid w:val="00590532"/>
    <w:rsid w:val="0059057A"/>
    <w:rsid w:val="005905C2"/>
    <w:rsid w:val="005905F6"/>
    <w:rsid w:val="00590640"/>
    <w:rsid w:val="005906C1"/>
    <w:rsid w:val="00590796"/>
    <w:rsid w:val="005907A3"/>
    <w:rsid w:val="005907EE"/>
    <w:rsid w:val="00590837"/>
    <w:rsid w:val="00590855"/>
    <w:rsid w:val="005908AE"/>
    <w:rsid w:val="00590972"/>
    <w:rsid w:val="005909C0"/>
    <w:rsid w:val="00590AC6"/>
    <w:rsid w:val="00590C84"/>
    <w:rsid w:val="00590CA6"/>
    <w:rsid w:val="00590DAD"/>
    <w:rsid w:val="00590DB6"/>
    <w:rsid w:val="00590DDE"/>
    <w:rsid w:val="00590EC7"/>
    <w:rsid w:val="00590ED5"/>
    <w:rsid w:val="00590EE1"/>
    <w:rsid w:val="00590FBD"/>
    <w:rsid w:val="00591053"/>
    <w:rsid w:val="005910D9"/>
    <w:rsid w:val="00591183"/>
    <w:rsid w:val="005911A0"/>
    <w:rsid w:val="005911EB"/>
    <w:rsid w:val="00591262"/>
    <w:rsid w:val="005912DE"/>
    <w:rsid w:val="005912E8"/>
    <w:rsid w:val="0059138E"/>
    <w:rsid w:val="005913E8"/>
    <w:rsid w:val="005913EA"/>
    <w:rsid w:val="0059142D"/>
    <w:rsid w:val="00591471"/>
    <w:rsid w:val="00591515"/>
    <w:rsid w:val="005915CD"/>
    <w:rsid w:val="00591741"/>
    <w:rsid w:val="0059178A"/>
    <w:rsid w:val="005917B5"/>
    <w:rsid w:val="0059182D"/>
    <w:rsid w:val="005918EC"/>
    <w:rsid w:val="00591970"/>
    <w:rsid w:val="005919F7"/>
    <w:rsid w:val="00591A55"/>
    <w:rsid w:val="00591A90"/>
    <w:rsid w:val="00591B83"/>
    <w:rsid w:val="00591B98"/>
    <w:rsid w:val="00591BBE"/>
    <w:rsid w:val="00591C9B"/>
    <w:rsid w:val="00591C9D"/>
    <w:rsid w:val="00591CF4"/>
    <w:rsid w:val="00591D95"/>
    <w:rsid w:val="00591DD1"/>
    <w:rsid w:val="00591E6C"/>
    <w:rsid w:val="00591FB0"/>
    <w:rsid w:val="00591FBC"/>
    <w:rsid w:val="00592010"/>
    <w:rsid w:val="00592067"/>
    <w:rsid w:val="0059210D"/>
    <w:rsid w:val="00592151"/>
    <w:rsid w:val="0059219F"/>
    <w:rsid w:val="00592200"/>
    <w:rsid w:val="00592255"/>
    <w:rsid w:val="00592298"/>
    <w:rsid w:val="005922E7"/>
    <w:rsid w:val="00592308"/>
    <w:rsid w:val="0059231F"/>
    <w:rsid w:val="005923BE"/>
    <w:rsid w:val="005923FA"/>
    <w:rsid w:val="005924C4"/>
    <w:rsid w:val="00592571"/>
    <w:rsid w:val="00592633"/>
    <w:rsid w:val="0059278C"/>
    <w:rsid w:val="0059286A"/>
    <w:rsid w:val="0059290C"/>
    <w:rsid w:val="0059298B"/>
    <w:rsid w:val="005929B2"/>
    <w:rsid w:val="005929DB"/>
    <w:rsid w:val="00592B43"/>
    <w:rsid w:val="00592B56"/>
    <w:rsid w:val="00592BAF"/>
    <w:rsid w:val="00592C53"/>
    <w:rsid w:val="00592C98"/>
    <w:rsid w:val="00592DA1"/>
    <w:rsid w:val="00592DE3"/>
    <w:rsid w:val="00592E24"/>
    <w:rsid w:val="00592F24"/>
    <w:rsid w:val="00592F5A"/>
    <w:rsid w:val="00592F7E"/>
    <w:rsid w:val="0059300A"/>
    <w:rsid w:val="00593019"/>
    <w:rsid w:val="00593043"/>
    <w:rsid w:val="0059304D"/>
    <w:rsid w:val="00593099"/>
    <w:rsid w:val="005930D0"/>
    <w:rsid w:val="00593133"/>
    <w:rsid w:val="005931A6"/>
    <w:rsid w:val="0059329B"/>
    <w:rsid w:val="00593323"/>
    <w:rsid w:val="0059334E"/>
    <w:rsid w:val="0059339D"/>
    <w:rsid w:val="0059341B"/>
    <w:rsid w:val="00593565"/>
    <w:rsid w:val="00593578"/>
    <w:rsid w:val="00593581"/>
    <w:rsid w:val="005935DB"/>
    <w:rsid w:val="00593600"/>
    <w:rsid w:val="005936A1"/>
    <w:rsid w:val="0059376E"/>
    <w:rsid w:val="0059378B"/>
    <w:rsid w:val="005937FC"/>
    <w:rsid w:val="00593802"/>
    <w:rsid w:val="005938C6"/>
    <w:rsid w:val="005938D1"/>
    <w:rsid w:val="005938D5"/>
    <w:rsid w:val="00593900"/>
    <w:rsid w:val="00593904"/>
    <w:rsid w:val="005939CA"/>
    <w:rsid w:val="005939F6"/>
    <w:rsid w:val="00593A22"/>
    <w:rsid w:val="00593A47"/>
    <w:rsid w:val="00593B5F"/>
    <w:rsid w:val="00593C0E"/>
    <w:rsid w:val="00593C54"/>
    <w:rsid w:val="00593E50"/>
    <w:rsid w:val="00593EF3"/>
    <w:rsid w:val="00593FAE"/>
    <w:rsid w:val="00594029"/>
    <w:rsid w:val="0059403E"/>
    <w:rsid w:val="005940A9"/>
    <w:rsid w:val="005940AF"/>
    <w:rsid w:val="0059415F"/>
    <w:rsid w:val="00594191"/>
    <w:rsid w:val="0059420C"/>
    <w:rsid w:val="005943B4"/>
    <w:rsid w:val="00594416"/>
    <w:rsid w:val="00594449"/>
    <w:rsid w:val="0059453A"/>
    <w:rsid w:val="00594581"/>
    <w:rsid w:val="005945D6"/>
    <w:rsid w:val="005946B6"/>
    <w:rsid w:val="005946FE"/>
    <w:rsid w:val="0059470E"/>
    <w:rsid w:val="00594716"/>
    <w:rsid w:val="00594717"/>
    <w:rsid w:val="00594793"/>
    <w:rsid w:val="005947C3"/>
    <w:rsid w:val="0059482A"/>
    <w:rsid w:val="00594919"/>
    <w:rsid w:val="00594A12"/>
    <w:rsid w:val="00594A4A"/>
    <w:rsid w:val="00594A68"/>
    <w:rsid w:val="00594C18"/>
    <w:rsid w:val="00594C2F"/>
    <w:rsid w:val="00594C7B"/>
    <w:rsid w:val="00594CAB"/>
    <w:rsid w:val="00594CB0"/>
    <w:rsid w:val="00594D57"/>
    <w:rsid w:val="00594D88"/>
    <w:rsid w:val="00594D95"/>
    <w:rsid w:val="00594DFF"/>
    <w:rsid w:val="00594E34"/>
    <w:rsid w:val="00594E39"/>
    <w:rsid w:val="00594E96"/>
    <w:rsid w:val="00594EFF"/>
    <w:rsid w:val="00594F0E"/>
    <w:rsid w:val="00594F7E"/>
    <w:rsid w:val="00594FF6"/>
    <w:rsid w:val="0059503D"/>
    <w:rsid w:val="005950AC"/>
    <w:rsid w:val="005950F3"/>
    <w:rsid w:val="00595121"/>
    <w:rsid w:val="00595191"/>
    <w:rsid w:val="005951E7"/>
    <w:rsid w:val="005951F2"/>
    <w:rsid w:val="00595255"/>
    <w:rsid w:val="00595274"/>
    <w:rsid w:val="005952C2"/>
    <w:rsid w:val="00595329"/>
    <w:rsid w:val="00595382"/>
    <w:rsid w:val="005954AB"/>
    <w:rsid w:val="00595535"/>
    <w:rsid w:val="0059559B"/>
    <w:rsid w:val="005955AE"/>
    <w:rsid w:val="00595643"/>
    <w:rsid w:val="0059569C"/>
    <w:rsid w:val="005956A3"/>
    <w:rsid w:val="005956D3"/>
    <w:rsid w:val="005956FE"/>
    <w:rsid w:val="0059570C"/>
    <w:rsid w:val="00595773"/>
    <w:rsid w:val="00595797"/>
    <w:rsid w:val="005957F9"/>
    <w:rsid w:val="005957FD"/>
    <w:rsid w:val="00595870"/>
    <w:rsid w:val="005958C4"/>
    <w:rsid w:val="005958E1"/>
    <w:rsid w:val="005958F6"/>
    <w:rsid w:val="00595947"/>
    <w:rsid w:val="00595A30"/>
    <w:rsid w:val="00595AD6"/>
    <w:rsid w:val="00595B43"/>
    <w:rsid w:val="00595B48"/>
    <w:rsid w:val="00595B65"/>
    <w:rsid w:val="00595BEB"/>
    <w:rsid w:val="00595C84"/>
    <w:rsid w:val="00595D12"/>
    <w:rsid w:val="00595D6B"/>
    <w:rsid w:val="00595DCE"/>
    <w:rsid w:val="00595E7D"/>
    <w:rsid w:val="00595E90"/>
    <w:rsid w:val="00595F00"/>
    <w:rsid w:val="00595F14"/>
    <w:rsid w:val="00595F36"/>
    <w:rsid w:val="0059608A"/>
    <w:rsid w:val="0059608B"/>
    <w:rsid w:val="0059608E"/>
    <w:rsid w:val="0059608F"/>
    <w:rsid w:val="005960BF"/>
    <w:rsid w:val="00596117"/>
    <w:rsid w:val="00596133"/>
    <w:rsid w:val="00596217"/>
    <w:rsid w:val="00596263"/>
    <w:rsid w:val="005962BA"/>
    <w:rsid w:val="0059639B"/>
    <w:rsid w:val="005963AC"/>
    <w:rsid w:val="0059641E"/>
    <w:rsid w:val="005964B6"/>
    <w:rsid w:val="0059661E"/>
    <w:rsid w:val="005966CE"/>
    <w:rsid w:val="00596791"/>
    <w:rsid w:val="005967D8"/>
    <w:rsid w:val="00596898"/>
    <w:rsid w:val="00596971"/>
    <w:rsid w:val="00596A2D"/>
    <w:rsid w:val="00596A5E"/>
    <w:rsid w:val="00596B12"/>
    <w:rsid w:val="00596B58"/>
    <w:rsid w:val="00596B61"/>
    <w:rsid w:val="00596BC2"/>
    <w:rsid w:val="00596BD1"/>
    <w:rsid w:val="00596BDF"/>
    <w:rsid w:val="00596C02"/>
    <w:rsid w:val="00596C2D"/>
    <w:rsid w:val="00596C4C"/>
    <w:rsid w:val="00596C6F"/>
    <w:rsid w:val="00596C7D"/>
    <w:rsid w:val="00596D19"/>
    <w:rsid w:val="00596D60"/>
    <w:rsid w:val="00596EDF"/>
    <w:rsid w:val="00596F2E"/>
    <w:rsid w:val="00596F7A"/>
    <w:rsid w:val="005970A9"/>
    <w:rsid w:val="005971E0"/>
    <w:rsid w:val="0059721B"/>
    <w:rsid w:val="00597279"/>
    <w:rsid w:val="005972C8"/>
    <w:rsid w:val="005972DC"/>
    <w:rsid w:val="00597303"/>
    <w:rsid w:val="00597358"/>
    <w:rsid w:val="005973E6"/>
    <w:rsid w:val="0059740C"/>
    <w:rsid w:val="00597418"/>
    <w:rsid w:val="00597444"/>
    <w:rsid w:val="005974E5"/>
    <w:rsid w:val="005975CF"/>
    <w:rsid w:val="0059760C"/>
    <w:rsid w:val="0059768C"/>
    <w:rsid w:val="005976B3"/>
    <w:rsid w:val="005976E3"/>
    <w:rsid w:val="005976EA"/>
    <w:rsid w:val="0059774C"/>
    <w:rsid w:val="005978D1"/>
    <w:rsid w:val="00597982"/>
    <w:rsid w:val="00597993"/>
    <w:rsid w:val="00597A31"/>
    <w:rsid w:val="00597B04"/>
    <w:rsid w:val="00597B1E"/>
    <w:rsid w:val="00597B6A"/>
    <w:rsid w:val="00597B6E"/>
    <w:rsid w:val="00597BCE"/>
    <w:rsid w:val="00597BF0"/>
    <w:rsid w:val="00597CF7"/>
    <w:rsid w:val="00597D12"/>
    <w:rsid w:val="00597D25"/>
    <w:rsid w:val="00597DE8"/>
    <w:rsid w:val="00597E1D"/>
    <w:rsid w:val="00597E5D"/>
    <w:rsid w:val="00597E9E"/>
    <w:rsid w:val="00597EB2"/>
    <w:rsid w:val="00597EBB"/>
    <w:rsid w:val="00597F5B"/>
    <w:rsid w:val="00597F7D"/>
    <w:rsid w:val="005A001F"/>
    <w:rsid w:val="005A00C1"/>
    <w:rsid w:val="005A00D5"/>
    <w:rsid w:val="005A016C"/>
    <w:rsid w:val="005A01BC"/>
    <w:rsid w:val="005A025E"/>
    <w:rsid w:val="005A0265"/>
    <w:rsid w:val="005A034D"/>
    <w:rsid w:val="005A03C5"/>
    <w:rsid w:val="005A06A2"/>
    <w:rsid w:val="005A06BD"/>
    <w:rsid w:val="005A075F"/>
    <w:rsid w:val="005A07AD"/>
    <w:rsid w:val="005A07D0"/>
    <w:rsid w:val="005A0812"/>
    <w:rsid w:val="005A08A3"/>
    <w:rsid w:val="005A0938"/>
    <w:rsid w:val="005A0A09"/>
    <w:rsid w:val="005A0A45"/>
    <w:rsid w:val="005A0A59"/>
    <w:rsid w:val="005A0B00"/>
    <w:rsid w:val="005A0B90"/>
    <w:rsid w:val="005A0C34"/>
    <w:rsid w:val="005A0CF1"/>
    <w:rsid w:val="005A0D22"/>
    <w:rsid w:val="005A0D91"/>
    <w:rsid w:val="005A0DA1"/>
    <w:rsid w:val="005A0DC7"/>
    <w:rsid w:val="005A0DCC"/>
    <w:rsid w:val="005A0EA5"/>
    <w:rsid w:val="005A0EC0"/>
    <w:rsid w:val="005A0F3D"/>
    <w:rsid w:val="005A0FE0"/>
    <w:rsid w:val="005A1048"/>
    <w:rsid w:val="005A1080"/>
    <w:rsid w:val="005A117C"/>
    <w:rsid w:val="005A11A6"/>
    <w:rsid w:val="005A1218"/>
    <w:rsid w:val="005A1239"/>
    <w:rsid w:val="005A125D"/>
    <w:rsid w:val="005A1271"/>
    <w:rsid w:val="005A129C"/>
    <w:rsid w:val="005A13BF"/>
    <w:rsid w:val="005A147E"/>
    <w:rsid w:val="005A14B3"/>
    <w:rsid w:val="005A14B6"/>
    <w:rsid w:val="005A14EA"/>
    <w:rsid w:val="005A1590"/>
    <w:rsid w:val="005A15C6"/>
    <w:rsid w:val="005A1681"/>
    <w:rsid w:val="005A16DD"/>
    <w:rsid w:val="005A1720"/>
    <w:rsid w:val="005A1775"/>
    <w:rsid w:val="005A178B"/>
    <w:rsid w:val="005A17FE"/>
    <w:rsid w:val="005A19E1"/>
    <w:rsid w:val="005A19FA"/>
    <w:rsid w:val="005A1A0E"/>
    <w:rsid w:val="005A1ACB"/>
    <w:rsid w:val="005A1BCE"/>
    <w:rsid w:val="005A1BD1"/>
    <w:rsid w:val="005A1C20"/>
    <w:rsid w:val="005A1C2D"/>
    <w:rsid w:val="005A1D05"/>
    <w:rsid w:val="005A1D7A"/>
    <w:rsid w:val="005A1E6A"/>
    <w:rsid w:val="005A1F00"/>
    <w:rsid w:val="005A1F6F"/>
    <w:rsid w:val="005A1FB1"/>
    <w:rsid w:val="005A20F6"/>
    <w:rsid w:val="005A233E"/>
    <w:rsid w:val="005A23F5"/>
    <w:rsid w:val="005A2401"/>
    <w:rsid w:val="005A240E"/>
    <w:rsid w:val="005A2462"/>
    <w:rsid w:val="005A253E"/>
    <w:rsid w:val="005A2544"/>
    <w:rsid w:val="005A2602"/>
    <w:rsid w:val="005A268F"/>
    <w:rsid w:val="005A2690"/>
    <w:rsid w:val="005A288A"/>
    <w:rsid w:val="005A295E"/>
    <w:rsid w:val="005A29FC"/>
    <w:rsid w:val="005A2A16"/>
    <w:rsid w:val="005A2A1B"/>
    <w:rsid w:val="005A2A32"/>
    <w:rsid w:val="005A2ADA"/>
    <w:rsid w:val="005A2B4C"/>
    <w:rsid w:val="005A2BCA"/>
    <w:rsid w:val="005A2DC2"/>
    <w:rsid w:val="005A2DD1"/>
    <w:rsid w:val="005A2E7E"/>
    <w:rsid w:val="005A2F7D"/>
    <w:rsid w:val="005A2FE9"/>
    <w:rsid w:val="005A307F"/>
    <w:rsid w:val="005A314C"/>
    <w:rsid w:val="005A317D"/>
    <w:rsid w:val="005A31FA"/>
    <w:rsid w:val="005A3224"/>
    <w:rsid w:val="005A3257"/>
    <w:rsid w:val="005A333B"/>
    <w:rsid w:val="005A3575"/>
    <w:rsid w:val="005A361D"/>
    <w:rsid w:val="005A36D7"/>
    <w:rsid w:val="005A3715"/>
    <w:rsid w:val="005A37A3"/>
    <w:rsid w:val="005A38B6"/>
    <w:rsid w:val="005A391D"/>
    <w:rsid w:val="005A3983"/>
    <w:rsid w:val="005A39B7"/>
    <w:rsid w:val="005A39C4"/>
    <w:rsid w:val="005A3A54"/>
    <w:rsid w:val="005A3A75"/>
    <w:rsid w:val="005A3B10"/>
    <w:rsid w:val="005A3CD8"/>
    <w:rsid w:val="005A3CFE"/>
    <w:rsid w:val="005A3D15"/>
    <w:rsid w:val="005A3DB6"/>
    <w:rsid w:val="005A3DEB"/>
    <w:rsid w:val="005A3E06"/>
    <w:rsid w:val="005A3FCF"/>
    <w:rsid w:val="005A4009"/>
    <w:rsid w:val="005A402C"/>
    <w:rsid w:val="005A40A4"/>
    <w:rsid w:val="005A42B7"/>
    <w:rsid w:val="005A42C9"/>
    <w:rsid w:val="005A42CC"/>
    <w:rsid w:val="005A42D2"/>
    <w:rsid w:val="005A4356"/>
    <w:rsid w:val="005A43C9"/>
    <w:rsid w:val="005A442B"/>
    <w:rsid w:val="005A44FA"/>
    <w:rsid w:val="005A4570"/>
    <w:rsid w:val="005A4614"/>
    <w:rsid w:val="005A4679"/>
    <w:rsid w:val="005A46C0"/>
    <w:rsid w:val="005A473D"/>
    <w:rsid w:val="005A474C"/>
    <w:rsid w:val="005A489F"/>
    <w:rsid w:val="005A48F2"/>
    <w:rsid w:val="005A49E8"/>
    <w:rsid w:val="005A4A36"/>
    <w:rsid w:val="005A4B5D"/>
    <w:rsid w:val="005A4B7B"/>
    <w:rsid w:val="005A4B8D"/>
    <w:rsid w:val="005A4BDB"/>
    <w:rsid w:val="005A4E0E"/>
    <w:rsid w:val="005A4E62"/>
    <w:rsid w:val="005A4EE1"/>
    <w:rsid w:val="005A4FA1"/>
    <w:rsid w:val="005A500F"/>
    <w:rsid w:val="005A507B"/>
    <w:rsid w:val="005A514F"/>
    <w:rsid w:val="005A5366"/>
    <w:rsid w:val="005A53B6"/>
    <w:rsid w:val="005A54BA"/>
    <w:rsid w:val="005A562F"/>
    <w:rsid w:val="005A565D"/>
    <w:rsid w:val="005A56BD"/>
    <w:rsid w:val="005A5775"/>
    <w:rsid w:val="005A5857"/>
    <w:rsid w:val="005A58AC"/>
    <w:rsid w:val="005A58B8"/>
    <w:rsid w:val="005A5A12"/>
    <w:rsid w:val="005A5A8E"/>
    <w:rsid w:val="005A5B60"/>
    <w:rsid w:val="005A5BA1"/>
    <w:rsid w:val="005A5C4A"/>
    <w:rsid w:val="005A5D57"/>
    <w:rsid w:val="005A5FA1"/>
    <w:rsid w:val="005A5FAF"/>
    <w:rsid w:val="005A5FEA"/>
    <w:rsid w:val="005A6030"/>
    <w:rsid w:val="005A6063"/>
    <w:rsid w:val="005A60BD"/>
    <w:rsid w:val="005A6123"/>
    <w:rsid w:val="005A6152"/>
    <w:rsid w:val="005A62C2"/>
    <w:rsid w:val="005A62CF"/>
    <w:rsid w:val="005A6331"/>
    <w:rsid w:val="005A642D"/>
    <w:rsid w:val="005A64BA"/>
    <w:rsid w:val="005A64C5"/>
    <w:rsid w:val="005A6611"/>
    <w:rsid w:val="005A6731"/>
    <w:rsid w:val="005A681A"/>
    <w:rsid w:val="005A69AF"/>
    <w:rsid w:val="005A6B11"/>
    <w:rsid w:val="005A6B1C"/>
    <w:rsid w:val="005A6B8D"/>
    <w:rsid w:val="005A6C22"/>
    <w:rsid w:val="005A6C33"/>
    <w:rsid w:val="005A6D27"/>
    <w:rsid w:val="005A6D2B"/>
    <w:rsid w:val="005A6D82"/>
    <w:rsid w:val="005A6DAF"/>
    <w:rsid w:val="005A6DB1"/>
    <w:rsid w:val="005A6DF8"/>
    <w:rsid w:val="005A6F22"/>
    <w:rsid w:val="005A6FAC"/>
    <w:rsid w:val="005A7019"/>
    <w:rsid w:val="005A709C"/>
    <w:rsid w:val="005A7243"/>
    <w:rsid w:val="005A72E1"/>
    <w:rsid w:val="005A7330"/>
    <w:rsid w:val="005A73B2"/>
    <w:rsid w:val="005A7415"/>
    <w:rsid w:val="005A7509"/>
    <w:rsid w:val="005A750E"/>
    <w:rsid w:val="005A75B2"/>
    <w:rsid w:val="005A76DE"/>
    <w:rsid w:val="005A7735"/>
    <w:rsid w:val="005A7750"/>
    <w:rsid w:val="005A789A"/>
    <w:rsid w:val="005A7961"/>
    <w:rsid w:val="005A7997"/>
    <w:rsid w:val="005A79FD"/>
    <w:rsid w:val="005A7A92"/>
    <w:rsid w:val="005A7AE8"/>
    <w:rsid w:val="005A7C10"/>
    <w:rsid w:val="005A7C70"/>
    <w:rsid w:val="005A7D11"/>
    <w:rsid w:val="005A7DBB"/>
    <w:rsid w:val="005A7DD2"/>
    <w:rsid w:val="005A7F2C"/>
    <w:rsid w:val="005B0061"/>
    <w:rsid w:val="005B007E"/>
    <w:rsid w:val="005B00DB"/>
    <w:rsid w:val="005B01A5"/>
    <w:rsid w:val="005B0201"/>
    <w:rsid w:val="005B0253"/>
    <w:rsid w:val="005B0385"/>
    <w:rsid w:val="005B0403"/>
    <w:rsid w:val="005B0462"/>
    <w:rsid w:val="005B0533"/>
    <w:rsid w:val="005B05C8"/>
    <w:rsid w:val="005B05E3"/>
    <w:rsid w:val="005B0605"/>
    <w:rsid w:val="005B065E"/>
    <w:rsid w:val="005B071E"/>
    <w:rsid w:val="005B07E0"/>
    <w:rsid w:val="005B081F"/>
    <w:rsid w:val="005B0850"/>
    <w:rsid w:val="005B08E1"/>
    <w:rsid w:val="005B09E3"/>
    <w:rsid w:val="005B0AD6"/>
    <w:rsid w:val="005B0ADE"/>
    <w:rsid w:val="005B0B65"/>
    <w:rsid w:val="005B0B8C"/>
    <w:rsid w:val="005B0B95"/>
    <w:rsid w:val="005B0BEC"/>
    <w:rsid w:val="005B0C30"/>
    <w:rsid w:val="005B0C54"/>
    <w:rsid w:val="005B0CC4"/>
    <w:rsid w:val="005B0D46"/>
    <w:rsid w:val="005B0D74"/>
    <w:rsid w:val="005B0DF7"/>
    <w:rsid w:val="005B0E19"/>
    <w:rsid w:val="005B0E81"/>
    <w:rsid w:val="005B0F1B"/>
    <w:rsid w:val="005B0F48"/>
    <w:rsid w:val="005B0F58"/>
    <w:rsid w:val="005B1030"/>
    <w:rsid w:val="005B1129"/>
    <w:rsid w:val="005B145B"/>
    <w:rsid w:val="005B14E3"/>
    <w:rsid w:val="005B1537"/>
    <w:rsid w:val="005B15E2"/>
    <w:rsid w:val="005B1722"/>
    <w:rsid w:val="005B1831"/>
    <w:rsid w:val="005B192C"/>
    <w:rsid w:val="005B19AF"/>
    <w:rsid w:val="005B19C7"/>
    <w:rsid w:val="005B19E4"/>
    <w:rsid w:val="005B19F0"/>
    <w:rsid w:val="005B1A70"/>
    <w:rsid w:val="005B1ACF"/>
    <w:rsid w:val="005B1AD0"/>
    <w:rsid w:val="005B1AEA"/>
    <w:rsid w:val="005B1AF4"/>
    <w:rsid w:val="005B1B34"/>
    <w:rsid w:val="005B1C22"/>
    <w:rsid w:val="005B1C61"/>
    <w:rsid w:val="005B1CB2"/>
    <w:rsid w:val="005B1DE7"/>
    <w:rsid w:val="005B1DFD"/>
    <w:rsid w:val="005B1E4E"/>
    <w:rsid w:val="005B1EED"/>
    <w:rsid w:val="005B1EF9"/>
    <w:rsid w:val="005B1F66"/>
    <w:rsid w:val="005B1FAA"/>
    <w:rsid w:val="005B2026"/>
    <w:rsid w:val="005B204A"/>
    <w:rsid w:val="005B2093"/>
    <w:rsid w:val="005B2200"/>
    <w:rsid w:val="005B220C"/>
    <w:rsid w:val="005B2219"/>
    <w:rsid w:val="005B22E1"/>
    <w:rsid w:val="005B2341"/>
    <w:rsid w:val="005B23AE"/>
    <w:rsid w:val="005B2434"/>
    <w:rsid w:val="005B24BE"/>
    <w:rsid w:val="005B24E8"/>
    <w:rsid w:val="005B262E"/>
    <w:rsid w:val="005B2638"/>
    <w:rsid w:val="005B2660"/>
    <w:rsid w:val="005B2666"/>
    <w:rsid w:val="005B272F"/>
    <w:rsid w:val="005B2754"/>
    <w:rsid w:val="005B27A3"/>
    <w:rsid w:val="005B27A9"/>
    <w:rsid w:val="005B27B8"/>
    <w:rsid w:val="005B27CA"/>
    <w:rsid w:val="005B2831"/>
    <w:rsid w:val="005B28A3"/>
    <w:rsid w:val="005B2918"/>
    <w:rsid w:val="005B296C"/>
    <w:rsid w:val="005B297D"/>
    <w:rsid w:val="005B29CC"/>
    <w:rsid w:val="005B29D3"/>
    <w:rsid w:val="005B2A5B"/>
    <w:rsid w:val="005B2A75"/>
    <w:rsid w:val="005B2A9E"/>
    <w:rsid w:val="005B2B57"/>
    <w:rsid w:val="005B2BFD"/>
    <w:rsid w:val="005B2D09"/>
    <w:rsid w:val="005B2D85"/>
    <w:rsid w:val="005B2D93"/>
    <w:rsid w:val="005B2E9E"/>
    <w:rsid w:val="005B2FC4"/>
    <w:rsid w:val="005B2FD3"/>
    <w:rsid w:val="005B303E"/>
    <w:rsid w:val="005B30E0"/>
    <w:rsid w:val="005B3153"/>
    <w:rsid w:val="005B3157"/>
    <w:rsid w:val="005B3189"/>
    <w:rsid w:val="005B31B0"/>
    <w:rsid w:val="005B31CE"/>
    <w:rsid w:val="005B3210"/>
    <w:rsid w:val="005B3232"/>
    <w:rsid w:val="005B3250"/>
    <w:rsid w:val="005B32D3"/>
    <w:rsid w:val="005B3336"/>
    <w:rsid w:val="005B3418"/>
    <w:rsid w:val="005B342C"/>
    <w:rsid w:val="005B34E2"/>
    <w:rsid w:val="005B35BC"/>
    <w:rsid w:val="005B3698"/>
    <w:rsid w:val="005B36CC"/>
    <w:rsid w:val="005B3713"/>
    <w:rsid w:val="005B3737"/>
    <w:rsid w:val="005B379D"/>
    <w:rsid w:val="005B37BB"/>
    <w:rsid w:val="005B37D1"/>
    <w:rsid w:val="005B3842"/>
    <w:rsid w:val="005B389A"/>
    <w:rsid w:val="005B38A7"/>
    <w:rsid w:val="005B38C8"/>
    <w:rsid w:val="005B38D7"/>
    <w:rsid w:val="005B390E"/>
    <w:rsid w:val="005B3932"/>
    <w:rsid w:val="005B3938"/>
    <w:rsid w:val="005B3984"/>
    <w:rsid w:val="005B398A"/>
    <w:rsid w:val="005B3A72"/>
    <w:rsid w:val="005B3AEE"/>
    <w:rsid w:val="005B3B57"/>
    <w:rsid w:val="005B3C02"/>
    <w:rsid w:val="005B3C2D"/>
    <w:rsid w:val="005B3C3C"/>
    <w:rsid w:val="005B3DEF"/>
    <w:rsid w:val="005B3E1B"/>
    <w:rsid w:val="005B3E91"/>
    <w:rsid w:val="005B3EA1"/>
    <w:rsid w:val="005B3EB4"/>
    <w:rsid w:val="005B3EC4"/>
    <w:rsid w:val="005B402B"/>
    <w:rsid w:val="005B4086"/>
    <w:rsid w:val="005B412E"/>
    <w:rsid w:val="005B4136"/>
    <w:rsid w:val="005B41A2"/>
    <w:rsid w:val="005B41AF"/>
    <w:rsid w:val="005B41BA"/>
    <w:rsid w:val="005B421C"/>
    <w:rsid w:val="005B42C9"/>
    <w:rsid w:val="005B43AB"/>
    <w:rsid w:val="005B450B"/>
    <w:rsid w:val="005B455B"/>
    <w:rsid w:val="005B455C"/>
    <w:rsid w:val="005B45BF"/>
    <w:rsid w:val="005B4644"/>
    <w:rsid w:val="005B46BF"/>
    <w:rsid w:val="005B4734"/>
    <w:rsid w:val="005B4782"/>
    <w:rsid w:val="005B479C"/>
    <w:rsid w:val="005B489C"/>
    <w:rsid w:val="005B4914"/>
    <w:rsid w:val="005B4927"/>
    <w:rsid w:val="005B49AD"/>
    <w:rsid w:val="005B49CA"/>
    <w:rsid w:val="005B4A0B"/>
    <w:rsid w:val="005B4A4C"/>
    <w:rsid w:val="005B4A6A"/>
    <w:rsid w:val="005B4C21"/>
    <w:rsid w:val="005B4C6E"/>
    <w:rsid w:val="005B4CDB"/>
    <w:rsid w:val="005B4DAB"/>
    <w:rsid w:val="005B4DDB"/>
    <w:rsid w:val="005B4E24"/>
    <w:rsid w:val="005B4F7A"/>
    <w:rsid w:val="005B4F82"/>
    <w:rsid w:val="005B4FA2"/>
    <w:rsid w:val="005B4FBB"/>
    <w:rsid w:val="005B4FEC"/>
    <w:rsid w:val="005B4FF5"/>
    <w:rsid w:val="005B5003"/>
    <w:rsid w:val="005B5011"/>
    <w:rsid w:val="005B518F"/>
    <w:rsid w:val="005B51FD"/>
    <w:rsid w:val="005B5293"/>
    <w:rsid w:val="005B549F"/>
    <w:rsid w:val="005B5569"/>
    <w:rsid w:val="005B5593"/>
    <w:rsid w:val="005B55DF"/>
    <w:rsid w:val="005B560A"/>
    <w:rsid w:val="005B562D"/>
    <w:rsid w:val="005B56AB"/>
    <w:rsid w:val="005B571E"/>
    <w:rsid w:val="005B58C3"/>
    <w:rsid w:val="005B592F"/>
    <w:rsid w:val="005B5946"/>
    <w:rsid w:val="005B5B69"/>
    <w:rsid w:val="005B5B81"/>
    <w:rsid w:val="005B5B8A"/>
    <w:rsid w:val="005B5C70"/>
    <w:rsid w:val="005B5CD9"/>
    <w:rsid w:val="005B5D98"/>
    <w:rsid w:val="005B5DF4"/>
    <w:rsid w:val="005B5E1B"/>
    <w:rsid w:val="005B5F89"/>
    <w:rsid w:val="005B6029"/>
    <w:rsid w:val="005B61A6"/>
    <w:rsid w:val="005B627C"/>
    <w:rsid w:val="005B6301"/>
    <w:rsid w:val="005B631C"/>
    <w:rsid w:val="005B6327"/>
    <w:rsid w:val="005B6393"/>
    <w:rsid w:val="005B63D4"/>
    <w:rsid w:val="005B6511"/>
    <w:rsid w:val="005B6561"/>
    <w:rsid w:val="005B66BD"/>
    <w:rsid w:val="005B674E"/>
    <w:rsid w:val="005B67F0"/>
    <w:rsid w:val="005B6835"/>
    <w:rsid w:val="005B684E"/>
    <w:rsid w:val="005B6860"/>
    <w:rsid w:val="005B6993"/>
    <w:rsid w:val="005B69DA"/>
    <w:rsid w:val="005B6A27"/>
    <w:rsid w:val="005B6A5C"/>
    <w:rsid w:val="005B6ABC"/>
    <w:rsid w:val="005B6ADF"/>
    <w:rsid w:val="005B6AF3"/>
    <w:rsid w:val="005B6D53"/>
    <w:rsid w:val="005B6D61"/>
    <w:rsid w:val="005B6DD2"/>
    <w:rsid w:val="005B710C"/>
    <w:rsid w:val="005B711D"/>
    <w:rsid w:val="005B715A"/>
    <w:rsid w:val="005B7206"/>
    <w:rsid w:val="005B722D"/>
    <w:rsid w:val="005B7331"/>
    <w:rsid w:val="005B7457"/>
    <w:rsid w:val="005B74C3"/>
    <w:rsid w:val="005B7537"/>
    <w:rsid w:val="005B7636"/>
    <w:rsid w:val="005B763E"/>
    <w:rsid w:val="005B7656"/>
    <w:rsid w:val="005B7679"/>
    <w:rsid w:val="005B76BB"/>
    <w:rsid w:val="005B77FD"/>
    <w:rsid w:val="005B7806"/>
    <w:rsid w:val="005B783A"/>
    <w:rsid w:val="005B7935"/>
    <w:rsid w:val="005B7993"/>
    <w:rsid w:val="005B79C4"/>
    <w:rsid w:val="005B7A0D"/>
    <w:rsid w:val="005B7A1B"/>
    <w:rsid w:val="005B7B07"/>
    <w:rsid w:val="005B7CDA"/>
    <w:rsid w:val="005B7CF5"/>
    <w:rsid w:val="005B7D45"/>
    <w:rsid w:val="005B7E0B"/>
    <w:rsid w:val="005B7E54"/>
    <w:rsid w:val="005B7E84"/>
    <w:rsid w:val="005B7E8B"/>
    <w:rsid w:val="005B7EE6"/>
    <w:rsid w:val="005B7F5C"/>
    <w:rsid w:val="005C0010"/>
    <w:rsid w:val="005C005D"/>
    <w:rsid w:val="005C00C9"/>
    <w:rsid w:val="005C0201"/>
    <w:rsid w:val="005C027D"/>
    <w:rsid w:val="005C0283"/>
    <w:rsid w:val="005C0351"/>
    <w:rsid w:val="005C0352"/>
    <w:rsid w:val="005C0407"/>
    <w:rsid w:val="005C0436"/>
    <w:rsid w:val="005C048D"/>
    <w:rsid w:val="005C04BA"/>
    <w:rsid w:val="005C04E2"/>
    <w:rsid w:val="005C059A"/>
    <w:rsid w:val="005C05E1"/>
    <w:rsid w:val="005C0612"/>
    <w:rsid w:val="005C0757"/>
    <w:rsid w:val="005C0769"/>
    <w:rsid w:val="005C076F"/>
    <w:rsid w:val="005C07AA"/>
    <w:rsid w:val="005C0984"/>
    <w:rsid w:val="005C09EB"/>
    <w:rsid w:val="005C09EF"/>
    <w:rsid w:val="005C0AB8"/>
    <w:rsid w:val="005C0ABB"/>
    <w:rsid w:val="005C0B31"/>
    <w:rsid w:val="005C0B9F"/>
    <w:rsid w:val="005C0BB3"/>
    <w:rsid w:val="005C0BFD"/>
    <w:rsid w:val="005C0C5A"/>
    <w:rsid w:val="005C0D76"/>
    <w:rsid w:val="005C0DC6"/>
    <w:rsid w:val="005C0E2C"/>
    <w:rsid w:val="005C0FB2"/>
    <w:rsid w:val="005C0FE8"/>
    <w:rsid w:val="005C1098"/>
    <w:rsid w:val="005C10F9"/>
    <w:rsid w:val="005C1102"/>
    <w:rsid w:val="005C113A"/>
    <w:rsid w:val="005C11A0"/>
    <w:rsid w:val="005C11B3"/>
    <w:rsid w:val="005C11DC"/>
    <w:rsid w:val="005C146A"/>
    <w:rsid w:val="005C14AF"/>
    <w:rsid w:val="005C14F3"/>
    <w:rsid w:val="005C15B9"/>
    <w:rsid w:val="005C163D"/>
    <w:rsid w:val="005C16D5"/>
    <w:rsid w:val="005C1742"/>
    <w:rsid w:val="005C1791"/>
    <w:rsid w:val="005C1813"/>
    <w:rsid w:val="005C181F"/>
    <w:rsid w:val="005C1925"/>
    <w:rsid w:val="005C1A2B"/>
    <w:rsid w:val="005C1A84"/>
    <w:rsid w:val="005C1AC2"/>
    <w:rsid w:val="005C1BE2"/>
    <w:rsid w:val="005C1C15"/>
    <w:rsid w:val="005C1CD6"/>
    <w:rsid w:val="005C1CF5"/>
    <w:rsid w:val="005C1D12"/>
    <w:rsid w:val="005C1D98"/>
    <w:rsid w:val="005C1DFF"/>
    <w:rsid w:val="005C1E1B"/>
    <w:rsid w:val="005C1ED6"/>
    <w:rsid w:val="005C1F7B"/>
    <w:rsid w:val="005C1FD6"/>
    <w:rsid w:val="005C212F"/>
    <w:rsid w:val="005C2281"/>
    <w:rsid w:val="005C22EC"/>
    <w:rsid w:val="005C235F"/>
    <w:rsid w:val="005C2368"/>
    <w:rsid w:val="005C23FC"/>
    <w:rsid w:val="005C2406"/>
    <w:rsid w:val="005C241D"/>
    <w:rsid w:val="005C2540"/>
    <w:rsid w:val="005C259B"/>
    <w:rsid w:val="005C2620"/>
    <w:rsid w:val="005C2624"/>
    <w:rsid w:val="005C267F"/>
    <w:rsid w:val="005C2714"/>
    <w:rsid w:val="005C2731"/>
    <w:rsid w:val="005C277F"/>
    <w:rsid w:val="005C27D9"/>
    <w:rsid w:val="005C281E"/>
    <w:rsid w:val="005C286C"/>
    <w:rsid w:val="005C2A45"/>
    <w:rsid w:val="005C2A47"/>
    <w:rsid w:val="005C2BC5"/>
    <w:rsid w:val="005C2BC6"/>
    <w:rsid w:val="005C2BC7"/>
    <w:rsid w:val="005C2BFC"/>
    <w:rsid w:val="005C2BFE"/>
    <w:rsid w:val="005C2C16"/>
    <w:rsid w:val="005C2C78"/>
    <w:rsid w:val="005C2C84"/>
    <w:rsid w:val="005C2CB8"/>
    <w:rsid w:val="005C2D88"/>
    <w:rsid w:val="005C2DA2"/>
    <w:rsid w:val="005C2DD1"/>
    <w:rsid w:val="005C2E5E"/>
    <w:rsid w:val="005C2EA1"/>
    <w:rsid w:val="005C2F2C"/>
    <w:rsid w:val="005C2FB8"/>
    <w:rsid w:val="005C2FCA"/>
    <w:rsid w:val="005C31D5"/>
    <w:rsid w:val="005C32AE"/>
    <w:rsid w:val="005C32C1"/>
    <w:rsid w:val="005C32DE"/>
    <w:rsid w:val="005C32FF"/>
    <w:rsid w:val="005C336B"/>
    <w:rsid w:val="005C3396"/>
    <w:rsid w:val="005C33BA"/>
    <w:rsid w:val="005C33E9"/>
    <w:rsid w:val="005C347D"/>
    <w:rsid w:val="005C34A6"/>
    <w:rsid w:val="005C3535"/>
    <w:rsid w:val="005C3568"/>
    <w:rsid w:val="005C3662"/>
    <w:rsid w:val="005C36C4"/>
    <w:rsid w:val="005C3760"/>
    <w:rsid w:val="005C3776"/>
    <w:rsid w:val="005C3790"/>
    <w:rsid w:val="005C37A9"/>
    <w:rsid w:val="005C381E"/>
    <w:rsid w:val="005C390E"/>
    <w:rsid w:val="005C394F"/>
    <w:rsid w:val="005C3BAB"/>
    <w:rsid w:val="005C3C0C"/>
    <w:rsid w:val="005C3CB0"/>
    <w:rsid w:val="005C3CF9"/>
    <w:rsid w:val="005C3D16"/>
    <w:rsid w:val="005C3D65"/>
    <w:rsid w:val="005C3D66"/>
    <w:rsid w:val="005C3E86"/>
    <w:rsid w:val="005C3FFF"/>
    <w:rsid w:val="005C404E"/>
    <w:rsid w:val="005C409D"/>
    <w:rsid w:val="005C40AC"/>
    <w:rsid w:val="005C42AF"/>
    <w:rsid w:val="005C42FC"/>
    <w:rsid w:val="005C4456"/>
    <w:rsid w:val="005C44DD"/>
    <w:rsid w:val="005C44EB"/>
    <w:rsid w:val="005C455E"/>
    <w:rsid w:val="005C455F"/>
    <w:rsid w:val="005C46A6"/>
    <w:rsid w:val="005C46B9"/>
    <w:rsid w:val="005C47C4"/>
    <w:rsid w:val="005C47FC"/>
    <w:rsid w:val="005C4845"/>
    <w:rsid w:val="005C4877"/>
    <w:rsid w:val="005C48F8"/>
    <w:rsid w:val="005C494F"/>
    <w:rsid w:val="005C49BF"/>
    <w:rsid w:val="005C4B2A"/>
    <w:rsid w:val="005C4BA0"/>
    <w:rsid w:val="005C4BB4"/>
    <w:rsid w:val="005C4E2C"/>
    <w:rsid w:val="005C4E3D"/>
    <w:rsid w:val="005C4EB4"/>
    <w:rsid w:val="005C4EDD"/>
    <w:rsid w:val="005C50D7"/>
    <w:rsid w:val="005C5110"/>
    <w:rsid w:val="005C51DE"/>
    <w:rsid w:val="005C5279"/>
    <w:rsid w:val="005C52FB"/>
    <w:rsid w:val="005C5339"/>
    <w:rsid w:val="005C5373"/>
    <w:rsid w:val="005C5430"/>
    <w:rsid w:val="005C5540"/>
    <w:rsid w:val="005C559E"/>
    <w:rsid w:val="005C5628"/>
    <w:rsid w:val="005C56B0"/>
    <w:rsid w:val="005C57D2"/>
    <w:rsid w:val="005C57DB"/>
    <w:rsid w:val="005C58A9"/>
    <w:rsid w:val="005C58F5"/>
    <w:rsid w:val="005C58FF"/>
    <w:rsid w:val="005C59C5"/>
    <w:rsid w:val="005C59CB"/>
    <w:rsid w:val="005C5A2D"/>
    <w:rsid w:val="005C5A69"/>
    <w:rsid w:val="005C5B94"/>
    <w:rsid w:val="005C5BC8"/>
    <w:rsid w:val="005C5C09"/>
    <w:rsid w:val="005C5C23"/>
    <w:rsid w:val="005C5C85"/>
    <w:rsid w:val="005C5D04"/>
    <w:rsid w:val="005C5D34"/>
    <w:rsid w:val="005C5E3B"/>
    <w:rsid w:val="005C5E95"/>
    <w:rsid w:val="005C60B2"/>
    <w:rsid w:val="005C60EF"/>
    <w:rsid w:val="005C6119"/>
    <w:rsid w:val="005C614A"/>
    <w:rsid w:val="005C6267"/>
    <w:rsid w:val="005C62BF"/>
    <w:rsid w:val="005C62E6"/>
    <w:rsid w:val="005C6361"/>
    <w:rsid w:val="005C637F"/>
    <w:rsid w:val="005C638A"/>
    <w:rsid w:val="005C641A"/>
    <w:rsid w:val="005C645E"/>
    <w:rsid w:val="005C6509"/>
    <w:rsid w:val="005C666B"/>
    <w:rsid w:val="005C66A5"/>
    <w:rsid w:val="005C66BD"/>
    <w:rsid w:val="005C66C3"/>
    <w:rsid w:val="005C6719"/>
    <w:rsid w:val="005C67D3"/>
    <w:rsid w:val="005C67D5"/>
    <w:rsid w:val="005C67EF"/>
    <w:rsid w:val="005C6822"/>
    <w:rsid w:val="005C6832"/>
    <w:rsid w:val="005C6836"/>
    <w:rsid w:val="005C68E1"/>
    <w:rsid w:val="005C6923"/>
    <w:rsid w:val="005C692C"/>
    <w:rsid w:val="005C693D"/>
    <w:rsid w:val="005C6984"/>
    <w:rsid w:val="005C69AF"/>
    <w:rsid w:val="005C6ACF"/>
    <w:rsid w:val="005C6CB5"/>
    <w:rsid w:val="005C6D3A"/>
    <w:rsid w:val="005C6D93"/>
    <w:rsid w:val="005C6F61"/>
    <w:rsid w:val="005C6F68"/>
    <w:rsid w:val="005C6F97"/>
    <w:rsid w:val="005C6F9C"/>
    <w:rsid w:val="005C6FEB"/>
    <w:rsid w:val="005C7029"/>
    <w:rsid w:val="005C714D"/>
    <w:rsid w:val="005C7150"/>
    <w:rsid w:val="005C715F"/>
    <w:rsid w:val="005C7169"/>
    <w:rsid w:val="005C71AB"/>
    <w:rsid w:val="005C722C"/>
    <w:rsid w:val="005C7287"/>
    <w:rsid w:val="005C730F"/>
    <w:rsid w:val="005C7317"/>
    <w:rsid w:val="005C7322"/>
    <w:rsid w:val="005C73AA"/>
    <w:rsid w:val="005C73C9"/>
    <w:rsid w:val="005C74D3"/>
    <w:rsid w:val="005C7661"/>
    <w:rsid w:val="005C76DF"/>
    <w:rsid w:val="005C76F2"/>
    <w:rsid w:val="005C7762"/>
    <w:rsid w:val="005C7826"/>
    <w:rsid w:val="005C782A"/>
    <w:rsid w:val="005C78B1"/>
    <w:rsid w:val="005C78B6"/>
    <w:rsid w:val="005C7A06"/>
    <w:rsid w:val="005C7A80"/>
    <w:rsid w:val="005C7AE2"/>
    <w:rsid w:val="005C7BB7"/>
    <w:rsid w:val="005C7BDF"/>
    <w:rsid w:val="005C7C66"/>
    <w:rsid w:val="005C7E4B"/>
    <w:rsid w:val="005C7E62"/>
    <w:rsid w:val="005C7E84"/>
    <w:rsid w:val="005C7ECA"/>
    <w:rsid w:val="005C7F45"/>
    <w:rsid w:val="005C7F80"/>
    <w:rsid w:val="005C7FC6"/>
    <w:rsid w:val="005D003E"/>
    <w:rsid w:val="005D015F"/>
    <w:rsid w:val="005D01FD"/>
    <w:rsid w:val="005D02A5"/>
    <w:rsid w:val="005D03F1"/>
    <w:rsid w:val="005D065C"/>
    <w:rsid w:val="005D067C"/>
    <w:rsid w:val="005D06C4"/>
    <w:rsid w:val="005D075B"/>
    <w:rsid w:val="005D075E"/>
    <w:rsid w:val="005D0762"/>
    <w:rsid w:val="005D0833"/>
    <w:rsid w:val="005D0897"/>
    <w:rsid w:val="005D0A6B"/>
    <w:rsid w:val="005D0AC4"/>
    <w:rsid w:val="005D0ADF"/>
    <w:rsid w:val="005D0AF6"/>
    <w:rsid w:val="005D0B05"/>
    <w:rsid w:val="005D0B44"/>
    <w:rsid w:val="005D0DA1"/>
    <w:rsid w:val="005D0DAE"/>
    <w:rsid w:val="005D0E26"/>
    <w:rsid w:val="005D0E54"/>
    <w:rsid w:val="005D0EE3"/>
    <w:rsid w:val="005D0EEE"/>
    <w:rsid w:val="005D1094"/>
    <w:rsid w:val="005D10C0"/>
    <w:rsid w:val="005D10C8"/>
    <w:rsid w:val="005D1106"/>
    <w:rsid w:val="005D1183"/>
    <w:rsid w:val="005D11C6"/>
    <w:rsid w:val="005D1299"/>
    <w:rsid w:val="005D13D2"/>
    <w:rsid w:val="005D1443"/>
    <w:rsid w:val="005D146E"/>
    <w:rsid w:val="005D1486"/>
    <w:rsid w:val="005D148C"/>
    <w:rsid w:val="005D14A6"/>
    <w:rsid w:val="005D14F9"/>
    <w:rsid w:val="005D164B"/>
    <w:rsid w:val="005D1671"/>
    <w:rsid w:val="005D16D5"/>
    <w:rsid w:val="005D16F9"/>
    <w:rsid w:val="005D1798"/>
    <w:rsid w:val="005D183C"/>
    <w:rsid w:val="005D18D6"/>
    <w:rsid w:val="005D1962"/>
    <w:rsid w:val="005D1A5E"/>
    <w:rsid w:val="005D1A72"/>
    <w:rsid w:val="005D1B19"/>
    <w:rsid w:val="005D1B97"/>
    <w:rsid w:val="005D1BB5"/>
    <w:rsid w:val="005D1BEC"/>
    <w:rsid w:val="005D1BF6"/>
    <w:rsid w:val="005D1C60"/>
    <w:rsid w:val="005D1FA9"/>
    <w:rsid w:val="005D1FB4"/>
    <w:rsid w:val="005D200C"/>
    <w:rsid w:val="005D20C9"/>
    <w:rsid w:val="005D2118"/>
    <w:rsid w:val="005D2144"/>
    <w:rsid w:val="005D21B7"/>
    <w:rsid w:val="005D21B9"/>
    <w:rsid w:val="005D21D1"/>
    <w:rsid w:val="005D2322"/>
    <w:rsid w:val="005D2383"/>
    <w:rsid w:val="005D2417"/>
    <w:rsid w:val="005D2521"/>
    <w:rsid w:val="005D255B"/>
    <w:rsid w:val="005D262C"/>
    <w:rsid w:val="005D2655"/>
    <w:rsid w:val="005D2671"/>
    <w:rsid w:val="005D26E6"/>
    <w:rsid w:val="005D278A"/>
    <w:rsid w:val="005D27AB"/>
    <w:rsid w:val="005D28DD"/>
    <w:rsid w:val="005D2923"/>
    <w:rsid w:val="005D29EF"/>
    <w:rsid w:val="005D2BC8"/>
    <w:rsid w:val="005D2C60"/>
    <w:rsid w:val="005D2CFE"/>
    <w:rsid w:val="005D2ED3"/>
    <w:rsid w:val="005D2EF3"/>
    <w:rsid w:val="005D3011"/>
    <w:rsid w:val="005D305D"/>
    <w:rsid w:val="005D309A"/>
    <w:rsid w:val="005D30DE"/>
    <w:rsid w:val="005D30FE"/>
    <w:rsid w:val="005D3139"/>
    <w:rsid w:val="005D31BC"/>
    <w:rsid w:val="005D3204"/>
    <w:rsid w:val="005D3236"/>
    <w:rsid w:val="005D3293"/>
    <w:rsid w:val="005D32C4"/>
    <w:rsid w:val="005D33C3"/>
    <w:rsid w:val="005D3404"/>
    <w:rsid w:val="005D34E3"/>
    <w:rsid w:val="005D3529"/>
    <w:rsid w:val="005D3578"/>
    <w:rsid w:val="005D3586"/>
    <w:rsid w:val="005D3603"/>
    <w:rsid w:val="005D3659"/>
    <w:rsid w:val="005D3723"/>
    <w:rsid w:val="005D376B"/>
    <w:rsid w:val="005D37CB"/>
    <w:rsid w:val="005D37FD"/>
    <w:rsid w:val="005D38CE"/>
    <w:rsid w:val="005D38EF"/>
    <w:rsid w:val="005D39C0"/>
    <w:rsid w:val="005D3A0A"/>
    <w:rsid w:val="005D3A61"/>
    <w:rsid w:val="005D3B0E"/>
    <w:rsid w:val="005D3B52"/>
    <w:rsid w:val="005D3C0A"/>
    <w:rsid w:val="005D3CA1"/>
    <w:rsid w:val="005D3D5E"/>
    <w:rsid w:val="005D3D86"/>
    <w:rsid w:val="005D3D99"/>
    <w:rsid w:val="005D3EA3"/>
    <w:rsid w:val="005D3F0B"/>
    <w:rsid w:val="005D407B"/>
    <w:rsid w:val="005D408B"/>
    <w:rsid w:val="005D40AB"/>
    <w:rsid w:val="005D4126"/>
    <w:rsid w:val="005D413D"/>
    <w:rsid w:val="005D41DC"/>
    <w:rsid w:val="005D41DD"/>
    <w:rsid w:val="005D42B4"/>
    <w:rsid w:val="005D438C"/>
    <w:rsid w:val="005D43F7"/>
    <w:rsid w:val="005D4429"/>
    <w:rsid w:val="005D44EA"/>
    <w:rsid w:val="005D4515"/>
    <w:rsid w:val="005D4548"/>
    <w:rsid w:val="005D4615"/>
    <w:rsid w:val="005D4669"/>
    <w:rsid w:val="005D4811"/>
    <w:rsid w:val="005D48CA"/>
    <w:rsid w:val="005D48E7"/>
    <w:rsid w:val="005D4AD1"/>
    <w:rsid w:val="005D4B67"/>
    <w:rsid w:val="005D4BCA"/>
    <w:rsid w:val="005D4BFB"/>
    <w:rsid w:val="005D4C37"/>
    <w:rsid w:val="005D4C78"/>
    <w:rsid w:val="005D4D8A"/>
    <w:rsid w:val="005D4DB9"/>
    <w:rsid w:val="005D4DD5"/>
    <w:rsid w:val="005D4E87"/>
    <w:rsid w:val="005D4F1F"/>
    <w:rsid w:val="005D4F22"/>
    <w:rsid w:val="005D4F7E"/>
    <w:rsid w:val="005D5046"/>
    <w:rsid w:val="005D50AA"/>
    <w:rsid w:val="005D50DC"/>
    <w:rsid w:val="005D5153"/>
    <w:rsid w:val="005D51C8"/>
    <w:rsid w:val="005D51F0"/>
    <w:rsid w:val="005D5225"/>
    <w:rsid w:val="005D5234"/>
    <w:rsid w:val="005D535E"/>
    <w:rsid w:val="005D5372"/>
    <w:rsid w:val="005D54BF"/>
    <w:rsid w:val="005D552D"/>
    <w:rsid w:val="005D554C"/>
    <w:rsid w:val="005D556C"/>
    <w:rsid w:val="005D55C0"/>
    <w:rsid w:val="005D57C5"/>
    <w:rsid w:val="005D57CA"/>
    <w:rsid w:val="005D57CC"/>
    <w:rsid w:val="005D5827"/>
    <w:rsid w:val="005D583C"/>
    <w:rsid w:val="005D5934"/>
    <w:rsid w:val="005D5962"/>
    <w:rsid w:val="005D59FE"/>
    <w:rsid w:val="005D5A2A"/>
    <w:rsid w:val="005D5B44"/>
    <w:rsid w:val="005D5BBF"/>
    <w:rsid w:val="005D5C94"/>
    <w:rsid w:val="005D5CBE"/>
    <w:rsid w:val="005D5D25"/>
    <w:rsid w:val="005D5D26"/>
    <w:rsid w:val="005D5D34"/>
    <w:rsid w:val="005D5D5B"/>
    <w:rsid w:val="005D5D9C"/>
    <w:rsid w:val="005D5F48"/>
    <w:rsid w:val="005D5F9C"/>
    <w:rsid w:val="005D6003"/>
    <w:rsid w:val="005D608C"/>
    <w:rsid w:val="005D6119"/>
    <w:rsid w:val="005D611B"/>
    <w:rsid w:val="005D61A3"/>
    <w:rsid w:val="005D62A9"/>
    <w:rsid w:val="005D62C0"/>
    <w:rsid w:val="005D63B9"/>
    <w:rsid w:val="005D63CC"/>
    <w:rsid w:val="005D6452"/>
    <w:rsid w:val="005D64E9"/>
    <w:rsid w:val="005D6691"/>
    <w:rsid w:val="005D67A4"/>
    <w:rsid w:val="005D67EB"/>
    <w:rsid w:val="005D6826"/>
    <w:rsid w:val="005D694E"/>
    <w:rsid w:val="005D6987"/>
    <w:rsid w:val="005D69C8"/>
    <w:rsid w:val="005D6AFB"/>
    <w:rsid w:val="005D6B66"/>
    <w:rsid w:val="005D6CF4"/>
    <w:rsid w:val="005D6DE6"/>
    <w:rsid w:val="005D6E75"/>
    <w:rsid w:val="005D6E86"/>
    <w:rsid w:val="005D6E99"/>
    <w:rsid w:val="005D6F1A"/>
    <w:rsid w:val="005D6F53"/>
    <w:rsid w:val="005D6F5F"/>
    <w:rsid w:val="005D6FCA"/>
    <w:rsid w:val="005D704F"/>
    <w:rsid w:val="005D7075"/>
    <w:rsid w:val="005D7078"/>
    <w:rsid w:val="005D7093"/>
    <w:rsid w:val="005D711D"/>
    <w:rsid w:val="005D7139"/>
    <w:rsid w:val="005D71D9"/>
    <w:rsid w:val="005D71E2"/>
    <w:rsid w:val="005D7240"/>
    <w:rsid w:val="005D7326"/>
    <w:rsid w:val="005D73E4"/>
    <w:rsid w:val="005D742F"/>
    <w:rsid w:val="005D744C"/>
    <w:rsid w:val="005D7493"/>
    <w:rsid w:val="005D749E"/>
    <w:rsid w:val="005D7510"/>
    <w:rsid w:val="005D753F"/>
    <w:rsid w:val="005D758A"/>
    <w:rsid w:val="005D75B7"/>
    <w:rsid w:val="005D75FE"/>
    <w:rsid w:val="005D7605"/>
    <w:rsid w:val="005D7727"/>
    <w:rsid w:val="005D77C8"/>
    <w:rsid w:val="005D7861"/>
    <w:rsid w:val="005D78C3"/>
    <w:rsid w:val="005D7932"/>
    <w:rsid w:val="005D79A2"/>
    <w:rsid w:val="005D79EB"/>
    <w:rsid w:val="005D7A35"/>
    <w:rsid w:val="005D7A97"/>
    <w:rsid w:val="005D7B3C"/>
    <w:rsid w:val="005D7B3F"/>
    <w:rsid w:val="005D7B5B"/>
    <w:rsid w:val="005D7BF8"/>
    <w:rsid w:val="005D7C24"/>
    <w:rsid w:val="005D7C9A"/>
    <w:rsid w:val="005D7CA0"/>
    <w:rsid w:val="005D7DF8"/>
    <w:rsid w:val="005D7DFF"/>
    <w:rsid w:val="005D7E51"/>
    <w:rsid w:val="005D7E7F"/>
    <w:rsid w:val="005D7EC9"/>
    <w:rsid w:val="005D7F3F"/>
    <w:rsid w:val="005D7FA7"/>
    <w:rsid w:val="005D7FD3"/>
    <w:rsid w:val="005DD5F2"/>
    <w:rsid w:val="005E00FE"/>
    <w:rsid w:val="005E014D"/>
    <w:rsid w:val="005E01B3"/>
    <w:rsid w:val="005E024F"/>
    <w:rsid w:val="005E026B"/>
    <w:rsid w:val="005E043D"/>
    <w:rsid w:val="005E049B"/>
    <w:rsid w:val="005E04AD"/>
    <w:rsid w:val="005E050C"/>
    <w:rsid w:val="005E058D"/>
    <w:rsid w:val="005E0604"/>
    <w:rsid w:val="005E0616"/>
    <w:rsid w:val="005E0658"/>
    <w:rsid w:val="005E06AF"/>
    <w:rsid w:val="005E0742"/>
    <w:rsid w:val="005E0772"/>
    <w:rsid w:val="005E07D1"/>
    <w:rsid w:val="005E0843"/>
    <w:rsid w:val="005E0869"/>
    <w:rsid w:val="005E0879"/>
    <w:rsid w:val="005E0911"/>
    <w:rsid w:val="005E09A7"/>
    <w:rsid w:val="005E0A78"/>
    <w:rsid w:val="005E0AF2"/>
    <w:rsid w:val="005E0B60"/>
    <w:rsid w:val="005E0C78"/>
    <w:rsid w:val="005E0E0D"/>
    <w:rsid w:val="005E0ED9"/>
    <w:rsid w:val="005E0FC0"/>
    <w:rsid w:val="005E11FD"/>
    <w:rsid w:val="005E127F"/>
    <w:rsid w:val="005E12CB"/>
    <w:rsid w:val="005E136C"/>
    <w:rsid w:val="005E136D"/>
    <w:rsid w:val="005E13E3"/>
    <w:rsid w:val="005E1449"/>
    <w:rsid w:val="005E14F2"/>
    <w:rsid w:val="005E150F"/>
    <w:rsid w:val="005E1547"/>
    <w:rsid w:val="005E1690"/>
    <w:rsid w:val="005E1736"/>
    <w:rsid w:val="005E183B"/>
    <w:rsid w:val="005E1873"/>
    <w:rsid w:val="005E18C9"/>
    <w:rsid w:val="005E1903"/>
    <w:rsid w:val="005E1991"/>
    <w:rsid w:val="005E19B7"/>
    <w:rsid w:val="005E19F5"/>
    <w:rsid w:val="005E1A29"/>
    <w:rsid w:val="005E1ACC"/>
    <w:rsid w:val="005E1BB4"/>
    <w:rsid w:val="005E1BB9"/>
    <w:rsid w:val="005E1BFA"/>
    <w:rsid w:val="005E1C34"/>
    <w:rsid w:val="005E1CF8"/>
    <w:rsid w:val="005E1D03"/>
    <w:rsid w:val="005E1D22"/>
    <w:rsid w:val="005E1D75"/>
    <w:rsid w:val="005E1DF7"/>
    <w:rsid w:val="005E1E1B"/>
    <w:rsid w:val="005E1FA1"/>
    <w:rsid w:val="005E2037"/>
    <w:rsid w:val="005E20B1"/>
    <w:rsid w:val="005E220C"/>
    <w:rsid w:val="005E22AB"/>
    <w:rsid w:val="005E22FA"/>
    <w:rsid w:val="005E2308"/>
    <w:rsid w:val="005E236A"/>
    <w:rsid w:val="005E23A3"/>
    <w:rsid w:val="005E23CC"/>
    <w:rsid w:val="005E23E5"/>
    <w:rsid w:val="005E23EA"/>
    <w:rsid w:val="005E2445"/>
    <w:rsid w:val="005E24C7"/>
    <w:rsid w:val="005E273F"/>
    <w:rsid w:val="005E27A8"/>
    <w:rsid w:val="005E2812"/>
    <w:rsid w:val="005E2825"/>
    <w:rsid w:val="005E2881"/>
    <w:rsid w:val="005E297E"/>
    <w:rsid w:val="005E29B6"/>
    <w:rsid w:val="005E2AF5"/>
    <w:rsid w:val="005E2C38"/>
    <w:rsid w:val="005E2C46"/>
    <w:rsid w:val="005E2C9A"/>
    <w:rsid w:val="005E2CCC"/>
    <w:rsid w:val="005E2D3F"/>
    <w:rsid w:val="005E2D6A"/>
    <w:rsid w:val="005E2F82"/>
    <w:rsid w:val="005E3064"/>
    <w:rsid w:val="005E30A4"/>
    <w:rsid w:val="005E30B6"/>
    <w:rsid w:val="005E31D8"/>
    <w:rsid w:val="005E3292"/>
    <w:rsid w:val="005E3310"/>
    <w:rsid w:val="005E3353"/>
    <w:rsid w:val="005E336C"/>
    <w:rsid w:val="005E3396"/>
    <w:rsid w:val="005E3469"/>
    <w:rsid w:val="005E364B"/>
    <w:rsid w:val="005E3694"/>
    <w:rsid w:val="005E36A2"/>
    <w:rsid w:val="005E384C"/>
    <w:rsid w:val="005E38AB"/>
    <w:rsid w:val="005E38F4"/>
    <w:rsid w:val="005E3907"/>
    <w:rsid w:val="005E3ADB"/>
    <w:rsid w:val="005E3B4B"/>
    <w:rsid w:val="005E3B96"/>
    <w:rsid w:val="005E3C2F"/>
    <w:rsid w:val="005E3D01"/>
    <w:rsid w:val="005E3DA7"/>
    <w:rsid w:val="005E3E03"/>
    <w:rsid w:val="005E3ECB"/>
    <w:rsid w:val="005E3F24"/>
    <w:rsid w:val="005E3F43"/>
    <w:rsid w:val="005E3F71"/>
    <w:rsid w:val="005E3F94"/>
    <w:rsid w:val="005E4088"/>
    <w:rsid w:val="005E40E3"/>
    <w:rsid w:val="005E4105"/>
    <w:rsid w:val="005E4132"/>
    <w:rsid w:val="005E4136"/>
    <w:rsid w:val="005E4140"/>
    <w:rsid w:val="005E41F2"/>
    <w:rsid w:val="005E420F"/>
    <w:rsid w:val="005E4262"/>
    <w:rsid w:val="005E42D9"/>
    <w:rsid w:val="005E42DB"/>
    <w:rsid w:val="005E43B2"/>
    <w:rsid w:val="005E43C2"/>
    <w:rsid w:val="005E4426"/>
    <w:rsid w:val="005E4633"/>
    <w:rsid w:val="005E475E"/>
    <w:rsid w:val="005E4764"/>
    <w:rsid w:val="005E47B5"/>
    <w:rsid w:val="005E48EE"/>
    <w:rsid w:val="005E4937"/>
    <w:rsid w:val="005E49D7"/>
    <w:rsid w:val="005E4A8A"/>
    <w:rsid w:val="005E4BC3"/>
    <w:rsid w:val="005E4BC5"/>
    <w:rsid w:val="005E4BD7"/>
    <w:rsid w:val="005E4C2B"/>
    <w:rsid w:val="005E4DEE"/>
    <w:rsid w:val="005E4E23"/>
    <w:rsid w:val="005E50A8"/>
    <w:rsid w:val="005E50B3"/>
    <w:rsid w:val="005E50E9"/>
    <w:rsid w:val="005E50F1"/>
    <w:rsid w:val="005E51DC"/>
    <w:rsid w:val="005E51F7"/>
    <w:rsid w:val="005E5211"/>
    <w:rsid w:val="005E522B"/>
    <w:rsid w:val="005E5281"/>
    <w:rsid w:val="005E52C9"/>
    <w:rsid w:val="005E52EF"/>
    <w:rsid w:val="005E53D7"/>
    <w:rsid w:val="005E53EB"/>
    <w:rsid w:val="005E53FB"/>
    <w:rsid w:val="005E540F"/>
    <w:rsid w:val="005E545C"/>
    <w:rsid w:val="005E5496"/>
    <w:rsid w:val="005E54F9"/>
    <w:rsid w:val="005E5501"/>
    <w:rsid w:val="005E5547"/>
    <w:rsid w:val="005E5565"/>
    <w:rsid w:val="005E55F9"/>
    <w:rsid w:val="005E5696"/>
    <w:rsid w:val="005E56B5"/>
    <w:rsid w:val="005E56BB"/>
    <w:rsid w:val="005E571A"/>
    <w:rsid w:val="005E574C"/>
    <w:rsid w:val="005E57A9"/>
    <w:rsid w:val="005E5821"/>
    <w:rsid w:val="005E5845"/>
    <w:rsid w:val="005E58C6"/>
    <w:rsid w:val="005E58C7"/>
    <w:rsid w:val="005E58F6"/>
    <w:rsid w:val="005E5950"/>
    <w:rsid w:val="005E5985"/>
    <w:rsid w:val="005E5AC9"/>
    <w:rsid w:val="005E5B65"/>
    <w:rsid w:val="005E5B7B"/>
    <w:rsid w:val="005E5BB6"/>
    <w:rsid w:val="005E5C1F"/>
    <w:rsid w:val="005E5C38"/>
    <w:rsid w:val="005E5D64"/>
    <w:rsid w:val="005E5E0E"/>
    <w:rsid w:val="005E5E3F"/>
    <w:rsid w:val="005E5E73"/>
    <w:rsid w:val="005E5E95"/>
    <w:rsid w:val="005E6023"/>
    <w:rsid w:val="005E6135"/>
    <w:rsid w:val="005E6136"/>
    <w:rsid w:val="005E61BC"/>
    <w:rsid w:val="005E61E3"/>
    <w:rsid w:val="005E620A"/>
    <w:rsid w:val="005E622B"/>
    <w:rsid w:val="005E6376"/>
    <w:rsid w:val="005E63A5"/>
    <w:rsid w:val="005E63AC"/>
    <w:rsid w:val="005E64C2"/>
    <w:rsid w:val="005E65EF"/>
    <w:rsid w:val="005E65F9"/>
    <w:rsid w:val="005E671A"/>
    <w:rsid w:val="005E6761"/>
    <w:rsid w:val="005E6776"/>
    <w:rsid w:val="005E6801"/>
    <w:rsid w:val="005E6890"/>
    <w:rsid w:val="005E6901"/>
    <w:rsid w:val="005E6949"/>
    <w:rsid w:val="005E6A07"/>
    <w:rsid w:val="005E6A43"/>
    <w:rsid w:val="005E6A81"/>
    <w:rsid w:val="005E6AF3"/>
    <w:rsid w:val="005E6B27"/>
    <w:rsid w:val="005E6C6D"/>
    <w:rsid w:val="005E6C74"/>
    <w:rsid w:val="005E6CA7"/>
    <w:rsid w:val="005E6CC9"/>
    <w:rsid w:val="005E6CCF"/>
    <w:rsid w:val="005E6E2D"/>
    <w:rsid w:val="005E6E91"/>
    <w:rsid w:val="005E708B"/>
    <w:rsid w:val="005E70BE"/>
    <w:rsid w:val="005E70C6"/>
    <w:rsid w:val="005E7150"/>
    <w:rsid w:val="005E7241"/>
    <w:rsid w:val="005E7247"/>
    <w:rsid w:val="005E7255"/>
    <w:rsid w:val="005E7268"/>
    <w:rsid w:val="005E738F"/>
    <w:rsid w:val="005E73D9"/>
    <w:rsid w:val="005E7400"/>
    <w:rsid w:val="005E747D"/>
    <w:rsid w:val="005E74B8"/>
    <w:rsid w:val="005E74BC"/>
    <w:rsid w:val="005E74CC"/>
    <w:rsid w:val="005E75C9"/>
    <w:rsid w:val="005E7647"/>
    <w:rsid w:val="005E7669"/>
    <w:rsid w:val="005E766F"/>
    <w:rsid w:val="005E76EB"/>
    <w:rsid w:val="005E772E"/>
    <w:rsid w:val="005E7837"/>
    <w:rsid w:val="005E7888"/>
    <w:rsid w:val="005E78A9"/>
    <w:rsid w:val="005E78CB"/>
    <w:rsid w:val="005E79F4"/>
    <w:rsid w:val="005E7A00"/>
    <w:rsid w:val="005E7A04"/>
    <w:rsid w:val="005E7A0E"/>
    <w:rsid w:val="005E7B61"/>
    <w:rsid w:val="005E7C0F"/>
    <w:rsid w:val="005E7C5B"/>
    <w:rsid w:val="005E7CD4"/>
    <w:rsid w:val="005E7CDD"/>
    <w:rsid w:val="005E7D94"/>
    <w:rsid w:val="005E7F8B"/>
    <w:rsid w:val="005E7FEB"/>
    <w:rsid w:val="005F000C"/>
    <w:rsid w:val="005F006F"/>
    <w:rsid w:val="005F0073"/>
    <w:rsid w:val="005F0082"/>
    <w:rsid w:val="005F00A4"/>
    <w:rsid w:val="005F00B5"/>
    <w:rsid w:val="005F00EA"/>
    <w:rsid w:val="005F0115"/>
    <w:rsid w:val="005F0198"/>
    <w:rsid w:val="005F0297"/>
    <w:rsid w:val="005F0348"/>
    <w:rsid w:val="005F0367"/>
    <w:rsid w:val="005F03AD"/>
    <w:rsid w:val="005F03B4"/>
    <w:rsid w:val="005F0499"/>
    <w:rsid w:val="005F0549"/>
    <w:rsid w:val="005F0573"/>
    <w:rsid w:val="005F0577"/>
    <w:rsid w:val="005F05A3"/>
    <w:rsid w:val="005F05D7"/>
    <w:rsid w:val="005F0643"/>
    <w:rsid w:val="005F0690"/>
    <w:rsid w:val="005F06C3"/>
    <w:rsid w:val="005F06DA"/>
    <w:rsid w:val="005F0743"/>
    <w:rsid w:val="005F07F5"/>
    <w:rsid w:val="005F07FC"/>
    <w:rsid w:val="005F0825"/>
    <w:rsid w:val="005F082C"/>
    <w:rsid w:val="005F0885"/>
    <w:rsid w:val="005F08EF"/>
    <w:rsid w:val="005F09A4"/>
    <w:rsid w:val="005F0A28"/>
    <w:rsid w:val="005F0A89"/>
    <w:rsid w:val="005F0AA1"/>
    <w:rsid w:val="005F0AE7"/>
    <w:rsid w:val="005F0AEC"/>
    <w:rsid w:val="005F0B9D"/>
    <w:rsid w:val="005F0BCE"/>
    <w:rsid w:val="005F0C78"/>
    <w:rsid w:val="005F0CC9"/>
    <w:rsid w:val="005F0CF5"/>
    <w:rsid w:val="005F0D77"/>
    <w:rsid w:val="005F0DAA"/>
    <w:rsid w:val="005F0E5B"/>
    <w:rsid w:val="005F0EB7"/>
    <w:rsid w:val="005F111C"/>
    <w:rsid w:val="005F11FC"/>
    <w:rsid w:val="005F1276"/>
    <w:rsid w:val="005F128B"/>
    <w:rsid w:val="005F12A6"/>
    <w:rsid w:val="005F12C1"/>
    <w:rsid w:val="005F13D8"/>
    <w:rsid w:val="005F14DD"/>
    <w:rsid w:val="005F14EB"/>
    <w:rsid w:val="005F150A"/>
    <w:rsid w:val="005F153D"/>
    <w:rsid w:val="005F155E"/>
    <w:rsid w:val="005F155F"/>
    <w:rsid w:val="005F15C6"/>
    <w:rsid w:val="005F168B"/>
    <w:rsid w:val="005F16BD"/>
    <w:rsid w:val="005F16E6"/>
    <w:rsid w:val="005F19AE"/>
    <w:rsid w:val="005F1A57"/>
    <w:rsid w:val="005F1B6E"/>
    <w:rsid w:val="005F1BC0"/>
    <w:rsid w:val="005F1BE4"/>
    <w:rsid w:val="005F1BF0"/>
    <w:rsid w:val="005F1C02"/>
    <w:rsid w:val="005F1C91"/>
    <w:rsid w:val="005F1D06"/>
    <w:rsid w:val="005F1D5A"/>
    <w:rsid w:val="005F1D67"/>
    <w:rsid w:val="005F1E10"/>
    <w:rsid w:val="005F1F83"/>
    <w:rsid w:val="005F2081"/>
    <w:rsid w:val="005F2085"/>
    <w:rsid w:val="005F2139"/>
    <w:rsid w:val="005F213E"/>
    <w:rsid w:val="005F229E"/>
    <w:rsid w:val="005F22C8"/>
    <w:rsid w:val="005F2351"/>
    <w:rsid w:val="005F2385"/>
    <w:rsid w:val="005F23C6"/>
    <w:rsid w:val="005F23F7"/>
    <w:rsid w:val="005F2497"/>
    <w:rsid w:val="005F26CB"/>
    <w:rsid w:val="005F26E6"/>
    <w:rsid w:val="005F2774"/>
    <w:rsid w:val="005F280D"/>
    <w:rsid w:val="005F2822"/>
    <w:rsid w:val="005F28E1"/>
    <w:rsid w:val="005F2943"/>
    <w:rsid w:val="005F296E"/>
    <w:rsid w:val="005F29C0"/>
    <w:rsid w:val="005F29DC"/>
    <w:rsid w:val="005F2AEA"/>
    <w:rsid w:val="005F2B22"/>
    <w:rsid w:val="005F2C05"/>
    <w:rsid w:val="005F2C7B"/>
    <w:rsid w:val="005F2CB1"/>
    <w:rsid w:val="005F2CB4"/>
    <w:rsid w:val="005F2D25"/>
    <w:rsid w:val="005F2D3F"/>
    <w:rsid w:val="005F2D95"/>
    <w:rsid w:val="005F2DB6"/>
    <w:rsid w:val="005F2DB9"/>
    <w:rsid w:val="005F2DE4"/>
    <w:rsid w:val="005F2DEA"/>
    <w:rsid w:val="005F2E63"/>
    <w:rsid w:val="005F2F46"/>
    <w:rsid w:val="005F2FB4"/>
    <w:rsid w:val="005F2FD4"/>
    <w:rsid w:val="005F2FF9"/>
    <w:rsid w:val="005F3027"/>
    <w:rsid w:val="005F305A"/>
    <w:rsid w:val="005F306F"/>
    <w:rsid w:val="005F3155"/>
    <w:rsid w:val="005F31AC"/>
    <w:rsid w:val="005F31C5"/>
    <w:rsid w:val="005F32C6"/>
    <w:rsid w:val="005F32CC"/>
    <w:rsid w:val="005F3326"/>
    <w:rsid w:val="005F33F1"/>
    <w:rsid w:val="005F3465"/>
    <w:rsid w:val="005F34EB"/>
    <w:rsid w:val="005F358D"/>
    <w:rsid w:val="005F35CE"/>
    <w:rsid w:val="005F3600"/>
    <w:rsid w:val="005F3661"/>
    <w:rsid w:val="005F376E"/>
    <w:rsid w:val="005F3787"/>
    <w:rsid w:val="005F38A4"/>
    <w:rsid w:val="005F39A3"/>
    <w:rsid w:val="005F3AC3"/>
    <w:rsid w:val="005F3ACA"/>
    <w:rsid w:val="005F3B46"/>
    <w:rsid w:val="005F3B9F"/>
    <w:rsid w:val="005F3C00"/>
    <w:rsid w:val="005F3C74"/>
    <w:rsid w:val="005F3C82"/>
    <w:rsid w:val="005F3D1C"/>
    <w:rsid w:val="005F3D38"/>
    <w:rsid w:val="005F3DBB"/>
    <w:rsid w:val="005F3DD3"/>
    <w:rsid w:val="005F3DE4"/>
    <w:rsid w:val="005F3E3A"/>
    <w:rsid w:val="005F3E77"/>
    <w:rsid w:val="005F4017"/>
    <w:rsid w:val="005F4067"/>
    <w:rsid w:val="005F40D6"/>
    <w:rsid w:val="005F411D"/>
    <w:rsid w:val="005F41C1"/>
    <w:rsid w:val="005F41D1"/>
    <w:rsid w:val="005F4387"/>
    <w:rsid w:val="005F4558"/>
    <w:rsid w:val="005F4577"/>
    <w:rsid w:val="005F45D5"/>
    <w:rsid w:val="005F466F"/>
    <w:rsid w:val="005F4704"/>
    <w:rsid w:val="005F4738"/>
    <w:rsid w:val="005F479E"/>
    <w:rsid w:val="005F47A2"/>
    <w:rsid w:val="005F47E1"/>
    <w:rsid w:val="005F48B0"/>
    <w:rsid w:val="005F4983"/>
    <w:rsid w:val="005F49DD"/>
    <w:rsid w:val="005F4A92"/>
    <w:rsid w:val="005F4B11"/>
    <w:rsid w:val="005F4B15"/>
    <w:rsid w:val="005F4BA9"/>
    <w:rsid w:val="005F4BB4"/>
    <w:rsid w:val="005F4C1D"/>
    <w:rsid w:val="005F4C76"/>
    <w:rsid w:val="005F4CFB"/>
    <w:rsid w:val="005F4D0A"/>
    <w:rsid w:val="005F4E2D"/>
    <w:rsid w:val="005F4E2F"/>
    <w:rsid w:val="005F4ED9"/>
    <w:rsid w:val="005F524A"/>
    <w:rsid w:val="005F5298"/>
    <w:rsid w:val="005F5436"/>
    <w:rsid w:val="005F54C9"/>
    <w:rsid w:val="005F5676"/>
    <w:rsid w:val="005F575E"/>
    <w:rsid w:val="005F5999"/>
    <w:rsid w:val="005F59B6"/>
    <w:rsid w:val="005F5A41"/>
    <w:rsid w:val="005F5AB0"/>
    <w:rsid w:val="005F5B84"/>
    <w:rsid w:val="005F5B8B"/>
    <w:rsid w:val="005F5C31"/>
    <w:rsid w:val="005F5C35"/>
    <w:rsid w:val="005F5E40"/>
    <w:rsid w:val="005F5E9A"/>
    <w:rsid w:val="005F5EE3"/>
    <w:rsid w:val="005F5F65"/>
    <w:rsid w:val="005F5F80"/>
    <w:rsid w:val="005F5FA6"/>
    <w:rsid w:val="005F5FF6"/>
    <w:rsid w:val="005F600C"/>
    <w:rsid w:val="005F60D9"/>
    <w:rsid w:val="005F6104"/>
    <w:rsid w:val="005F6134"/>
    <w:rsid w:val="005F6180"/>
    <w:rsid w:val="005F61C4"/>
    <w:rsid w:val="005F6213"/>
    <w:rsid w:val="005F6283"/>
    <w:rsid w:val="005F62AE"/>
    <w:rsid w:val="005F6356"/>
    <w:rsid w:val="005F64AB"/>
    <w:rsid w:val="005F64D1"/>
    <w:rsid w:val="005F64E2"/>
    <w:rsid w:val="005F6531"/>
    <w:rsid w:val="005F6556"/>
    <w:rsid w:val="005F65C4"/>
    <w:rsid w:val="005F6644"/>
    <w:rsid w:val="005F6681"/>
    <w:rsid w:val="005F66DF"/>
    <w:rsid w:val="005F67B3"/>
    <w:rsid w:val="005F6978"/>
    <w:rsid w:val="005F6ADD"/>
    <w:rsid w:val="005F6B36"/>
    <w:rsid w:val="005F6B3A"/>
    <w:rsid w:val="005F6C05"/>
    <w:rsid w:val="005F6D2E"/>
    <w:rsid w:val="005F6DF4"/>
    <w:rsid w:val="005F6E85"/>
    <w:rsid w:val="005F6ED9"/>
    <w:rsid w:val="005F6EDC"/>
    <w:rsid w:val="005F6F18"/>
    <w:rsid w:val="005F6F33"/>
    <w:rsid w:val="005F702E"/>
    <w:rsid w:val="005F7132"/>
    <w:rsid w:val="005F7146"/>
    <w:rsid w:val="005F7286"/>
    <w:rsid w:val="005F72C0"/>
    <w:rsid w:val="005F732D"/>
    <w:rsid w:val="005F7458"/>
    <w:rsid w:val="005F7490"/>
    <w:rsid w:val="005F74C2"/>
    <w:rsid w:val="005F74EF"/>
    <w:rsid w:val="005F7544"/>
    <w:rsid w:val="005F757E"/>
    <w:rsid w:val="005F75B4"/>
    <w:rsid w:val="005F75D6"/>
    <w:rsid w:val="005F75F3"/>
    <w:rsid w:val="005F76BE"/>
    <w:rsid w:val="005F77B5"/>
    <w:rsid w:val="005F780F"/>
    <w:rsid w:val="005F78A9"/>
    <w:rsid w:val="005F78B5"/>
    <w:rsid w:val="005F78C0"/>
    <w:rsid w:val="005F796C"/>
    <w:rsid w:val="005F796D"/>
    <w:rsid w:val="005F79C7"/>
    <w:rsid w:val="005F79DB"/>
    <w:rsid w:val="005F79EF"/>
    <w:rsid w:val="005F7A3A"/>
    <w:rsid w:val="005F7A6E"/>
    <w:rsid w:val="005F7B14"/>
    <w:rsid w:val="005F7B44"/>
    <w:rsid w:val="005F7C01"/>
    <w:rsid w:val="005F7C97"/>
    <w:rsid w:val="005F7D49"/>
    <w:rsid w:val="005F7D95"/>
    <w:rsid w:val="005F7DCF"/>
    <w:rsid w:val="005F7E64"/>
    <w:rsid w:val="005F7FE2"/>
    <w:rsid w:val="005FC0DE"/>
    <w:rsid w:val="00600021"/>
    <w:rsid w:val="006000DE"/>
    <w:rsid w:val="006000FC"/>
    <w:rsid w:val="00600120"/>
    <w:rsid w:val="00600142"/>
    <w:rsid w:val="0060016F"/>
    <w:rsid w:val="006001AA"/>
    <w:rsid w:val="006001BD"/>
    <w:rsid w:val="006001D0"/>
    <w:rsid w:val="0060020B"/>
    <w:rsid w:val="0060025E"/>
    <w:rsid w:val="006003E0"/>
    <w:rsid w:val="00600468"/>
    <w:rsid w:val="0060049C"/>
    <w:rsid w:val="0060054E"/>
    <w:rsid w:val="0060057D"/>
    <w:rsid w:val="006005B9"/>
    <w:rsid w:val="006005E1"/>
    <w:rsid w:val="006005E7"/>
    <w:rsid w:val="00600660"/>
    <w:rsid w:val="006006DB"/>
    <w:rsid w:val="006006EA"/>
    <w:rsid w:val="006008AD"/>
    <w:rsid w:val="00600927"/>
    <w:rsid w:val="006009A2"/>
    <w:rsid w:val="00600A23"/>
    <w:rsid w:val="00600A75"/>
    <w:rsid w:val="00600AD9"/>
    <w:rsid w:val="00600B41"/>
    <w:rsid w:val="00600BBB"/>
    <w:rsid w:val="00600BF6"/>
    <w:rsid w:val="00600CE1"/>
    <w:rsid w:val="00600E0B"/>
    <w:rsid w:val="00600E17"/>
    <w:rsid w:val="00600E1E"/>
    <w:rsid w:val="00600F0C"/>
    <w:rsid w:val="00600F1B"/>
    <w:rsid w:val="00601168"/>
    <w:rsid w:val="0060116D"/>
    <w:rsid w:val="00601184"/>
    <w:rsid w:val="00601190"/>
    <w:rsid w:val="00601202"/>
    <w:rsid w:val="00601282"/>
    <w:rsid w:val="0060130B"/>
    <w:rsid w:val="006013B1"/>
    <w:rsid w:val="006014A8"/>
    <w:rsid w:val="006014DB"/>
    <w:rsid w:val="00601664"/>
    <w:rsid w:val="006016A4"/>
    <w:rsid w:val="006016B8"/>
    <w:rsid w:val="006016DB"/>
    <w:rsid w:val="00601762"/>
    <w:rsid w:val="00601888"/>
    <w:rsid w:val="006018A1"/>
    <w:rsid w:val="006018B9"/>
    <w:rsid w:val="006018FE"/>
    <w:rsid w:val="00601919"/>
    <w:rsid w:val="00601935"/>
    <w:rsid w:val="0060199E"/>
    <w:rsid w:val="00601A45"/>
    <w:rsid w:val="00601A62"/>
    <w:rsid w:val="00601A83"/>
    <w:rsid w:val="00601A9C"/>
    <w:rsid w:val="00601AA8"/>
    <w:rsid w:val="00601ACF"/>
    <w:rsid w:val="00601AFC"/>
    <w:rsid w:val="00601B2B"/>
    <w:rsid w:val="00601B5F"/>
    <w:rsid w:val="00601B66"/>
    <w:rsid w:val="00601B91"/>
    <w:rsid w:val="00601BA7"/>
    <w:rsid w:val="00601C00"/>
    <w:rsid w:val="00601D1C"/>
    <w:rsid w:val="00601D32"/>
    <w:rsid w:val="00601DA6"/>
    <w:rsid w:val="00601DBE"/>
    <w:rsid w:val="00601EEE"/>
    <w:rsid w:val="00601FA8"/>
    <w:rsid w:val="006020B3"/>
    <w:rsid w:val="006020B6"/>
    <w:rsid w:val="006020E3"/>
    <w:rsid w:val="006020FA"/>
    <w:rsid w:val="0060217A"/>
    <w:rsid w:val="00602245"/>
    <w:rsid w:val="0060225F"/>
    <w:rsid w:val="0060229F"/>
    <w:rsid w:val="006022F8"/>
    <w:rsid w:val="0060232C"/>
    <w:rsid w:val="00602445"/>
    <w:rsid w:val="00602456"/>
    <w:rsid w:val="006024A0"/>
    <w:rsid w:val="006024E4"/>
    <w:rsid w:val="00602557"/>
    <w:rsid w:val="00602570"/>
    <w:rsid w:val="00602620"/>
    <w:rsid w:val="00602787"/>
    <w:rsid w:val="00602788"/>
    <w:rsid w:val="006027C6"/>
    <w:rsid w:val="00602885"/>
    <w:rsid w:val="006028AC"/>
    <w:rsid w:val="00602931"/>
    <w:rsid w:val="006029FB"/>
    <w:rsid w:val="00602A98"/>
    <w:rsid w:val="00602AA1"/>
    <w:rsid w:val="00602B1F"/>
    <w:rsid w:val="00602BD0"/>
    <w:rsid w:val="00602BE0"/>
    <w:rsid w:val="00602F4A"/>
    <w:rsid w:val="00602FD3"/>
    <w:rsid w:val="00603006"/>
    <w:rsid w:val="00603012"/>
    <w:rsid w:val="0060301E"/>
    <w:rsid w:val="0060311D"/>
    <w:rsid w:val="006031B2"/>
    <w:rsid w:val="006033BE"/>
    <w:rsid w:val="006033D5"/>
    <w:rsid w:val="00603478"/>
    <w:rsid w:val="00603502"/>
    <w:rsid w:val="006035DC"/>
    <w:rsid w:val="00603633"/>
    <w:rsid w:val="006036D8"/>
    <w:rsid w:val="0060372A"/>
    <w:rsid w:val="0060376C"/>
    <w:rsid w:val="006037FC"/>
    <w:rsid w:val="006038BE"/>
    <w:rsid w:val="00603983"/>
    <w:rsid w:val="00603B08"/>
    <w:rsid w:val="00603B65"/>
    <w:rsid w:val="00603CD9"/>
    <w:rsid w:val="00603DA1"/>
    <w:rsid w:val="00603EB0"/>
    <w:rsid w:val="00603F70"/>
    <w:rsid w:val="00603F9F"/>
    <w:rsid w:val="00603FE6"/>
    <w:rsid w:val="00603FFB"/>
    <w:rsid w:val="0060403B"/>
    <w:rsid w:val="00604068"/>
    <w:rsid w:val="00604101"/>
    <w:rsid w:val="006041FE"/>
    <w:rsid w:val="006042B5"/>
    <w:rsid w:val="00604355"/>
    <w:rsid w:val="0060440F"/>
    <w:rsid w:val="006044B6"/>
    <w:rsid w:val="006045F7"/>
    <w:rsid w:val="00604704"/>
    <w:rsid w:val="00604741"/>
    <w:rsid w:val="0060474A"/>
    <w:rsid w:val="00604836"/>
    <w:rsid w:val="0060484F"/>
    <w:rsid w:val="00604897"/>
    <w:rsid w:val="00604942"/>
    <w:rsid w:val="00604966"/>
    <w:rsid w:val="00604A2C"/>
    <w:rsid w:val="00604AEC"/>
    <w:rsid w:val="00604B65"/>
    <w:rsid w:val="00604CC5"/>
    <w:rsid w:val="00604D4A"/>
    <w:rsid w:val="00604D5E"/>
    <w:rsid w:val="00604DE7"/>
    <w:rsid w:val="00604E0A"/>
    <w:rsid w:val="00604EBD"/>
    <w:rsid w:val="00605037"/>
    <w:rsid w:val="00605190"/>
    <w:rsid w:val="006051D6"/>
    <w:rsid w:val="00605276"/>
    <w:rsid w:val="00605286"/>
    <w:rsid w:val="00605296"/>
    <w:rsid w:val="006053F4"/>
    <w:rsid w:val="00605437"/>
    <w:rsid w:val="006054A2"/>
    <w:rsid w:val="006054CD"/>
    <w:rsid w:val="0060570B"/>
    <w:rsid w:val="00605763"/>
    <w:rsid w:val="00605805"/>
    <w:rsid w:val="0060582D"/>
    <w:rsid w:val="0060586C"/>
    <w:rsid w:val="00605886"/>
    <w:rsid w:val="00605922"/>
    <w:rsid w:val="0060595A"/>
    <w:rsid w:val="00605970"/>
    <w:rsid w:val="00605989"/>
    <w:rsid w:val="00605B37"/>
    <w:rsid w:val="00605B6B"/>
    <w:rsid w:val="00605D6C"/>
    <w:rsid w:val="00605E04"/>
    <w:rsid w:val="00605E27"/>
    <w:rsid w:val="00605E3C"/>
    <w:rsid w:val="00605EA2"/>
    <w:rsid w:val="00605ECB"/>
    <w:rsid w:val="00605F66"/>
    <w:rsid w:val="00605FD5"/>
    <w:rsid w:val="00606016"/>
    <w:rsid w:val="0060601B"/>
    <w:rsid w:val="00606081"/>
    <w:rsid w:val="006061A4"/>
    <w:rsid w:val="00606278"/>
    <w:rsid w:val="006062E3"/>
    <w:rsid w:val="0060636E"/>
    <w:rsid w:val="006064B8"/>
    <w:rsid w:val="006064D1"/>
    <w:rsid w:val="00606759"/>
    <w:rsid w:val="00606785"/>
    <w:rsid w:val="006067C4"/>
    <w:rsid w:val="00606817"/>
    <w:rsid w:val="00606868"/>
    <w:rsid w:val="006068C9"/>
    <w:rsid w:val="0060690D"/>
    <w:rsid w:val="00606950"/>
    <w:rsid w:val="00606988"/>
    <w:rsid w:val="0060698A"/>
    <w:rsid w:val="006069C5"/>
    <w:rsid w:val="00606AD2"/>
    <w:rsid w:val="00606AE0"/>
    <w:rsid w:val="00606BCE"/>
    <w:rsid w:val="00606BFD"/>
    <w:rsid w:val="00606C48"/>
    <w:rsid w:val="00606C6A"/>
    <w:rsid w:val="00606D2A"/>
    <w:rsid w:val="00606D53"/>
    <w:rsid w:val="00606D62"/>
    <w:rsid w:val="00606DB6"/>
    <w:rsid w:val="00606E22"/>
    <w:rsid w:val="00606E63"/>
    <w:rsid w:val="00606E70"/>
    <w:rsid w:val="00606F1B"/>
    <w:rsid w:val="00606F9F"/>
    <w:rsid w:val="00606FF0"/>
    <w:rsid w:val="00607132"/>
    <w:rsid w:val="0060719B"/>
    <w:rsid w:val="006071B8"/>
    <w:rsid w:val="006071FB"/>
    <w:rsid w:val="00607316"/>
    <w:rsid w:val="006073FC"/>
    <w:rsid w:val="00607430"/>
    <w:rsid w:val="00607446"/>
    <w:rsid w:val="0060746F"/>
    <w:rsid w:val="006075F8"/>
    <w:rsid w:val="006076AB"/>
    <w:rsid w:val="006076EE"/>
    <w:rsid w:val="00607751"/>
    <w:rsid w:val="0060775C"/>
    <w:rsid w:val="006077C1"/>
    <w:rsid w:val="006077EB"/>
    <w:rsid w:val="006077EC"/>
    <w:rsid w:val="0060795E"/>
    <w:rsid w:val="00607967"/>
    <w:rsid w:val="00607A6B"/>
    <w:rsid w:val="00607AA1"/>
    <w:rsid w:val="00607C53"/>
    <w:rsid w:val="00607C69"/>
    <w:rsid w:val="00607D37"/>
    <w:rsid w:val="00607D44"/>
    <w:rsid w:val="00607D8B"/>
    <w:rsid w:val="00607EDB"/>
    <w:rsid w:val="00607FED"/>
    <w:rsid w:val="0061000C"/>
    <w:rsid w:val="00610043"/>
    <w:rsid w:val="0061014A"/>
    <w:rsid w:val="006101E0"/>
    <w:rsid w:val="006101EE"/>
    <w:rsid w:val="0061026F"/>
    <w:rsid w:val="006102BF"/>
    <w:rsid w:val="00610404"/>
    <w:rsid w:val="00610444"/>
    <w:rsid w:val="0061044E"/>
    <w:rsid w:val="0061048F"/>
    <w:rsid w:val="0061055A"/>
    <w:rsid w:val="006105A7"/>
    <w:rsid w:val="00610657"/>
    <w:rsid w:val="0061069F"/>
    <w:rsid w:val="006106B4"/>
    <w:rsid w:val="00610731"/>
    <w:rsid w:val="0061085C"/>
    <w:rsid w:val="0061086B"/>
    <w:rsid w:val="0061093F"/>
    <w:rsid w:val="006109F1"/>
    <w:rsid w:val="00610AB5"/>
    <w:rsid w:val="00610AE5"/>
    <w:rsid w:val="00610D0E"/>
    <w:rsid w:val="00610D65"/>
    <w:rsid w:val="00610DD8"/>
    <w:rsid w:val="00610DE1"/>
    <w:rsid w:val="00610DFA"/>
    <w:rsid w:val="00610E1D"/>
    <w:rsid w:val="00610E25"/>
    <w:rsid w:val="00610E26"/>
    <w:rsid w:val="00610F58"/>
    <w:rsid w:val="00610FC3"/>
    <w:rsid w:val="00610FCC"/>
    <w:rsid w:val="00610FED"/>
    <w:rsid w:val="006110B2"/>
    <w:rsid w:val="006110DF"/>
    <w:rsid w:val="006110F9"/>
    <w:rsid w:val="00611160"/>
    <w:rsid w:val="006111B4"/>
    <w:rsid w:val="006111CB"/>
    <w:rsid w:val="0061124C"/>
    <w:rsid w:val="0061128F"/>
    <w:rsid w:val="006112ED"/>
    <w:rsid w:val="00611418"/>
    <w:rsid w:val="0061145E"/>
    <w:rsid w:val="006115A3"/>
    <w:rsid w:val="00611623"/>
    <w:rsid w:val="00611625"/>
    <w:rsid w:val="00611638"/>
    <w:rsid w:val="00611732"/>
    <w:rsid w:val="00611A5C"/>
    <w:rsid w:val="00611AFB"/>
    <w:rsid w:val="00611B1A"/>
    <w:rsid w:val="00611B53"/>
    <w:rsid w:val="00611C74"/>
    <w:rsid w:val="00611CB7"/>
    <w:rsid w:val="00611D4C"/>
    <w:rsid w:val="00611D92"/>
    <w:rsid w:val="00611D93"/>
    <w:rsid w:val="00611DB4"/>
    <w:rsid w:val="00611F1B"/>
    <w:rsid w:val="00611F6B"/>
    <w:rsid w:val="00611F6C"/>
    <w:rsid w:val="00611F9C"/>
    <w:rsid w:val="00611FFC"/>
    <w:rsid w:val="0061202C"/>
    <w:rsid w:val="00612063"/>
    <w:rsid w:val="00612085"/>
    <w:rsid w:val="006120B4"/>
    <w:rsid w:val="006121D4"/>
    <w:rsid w:val="00612248"/>
    <w:rsid w:val="006122F1"/>
    <w:rsid w:val="0061234F"/>
    <w:rsid w:val="006123C3"/>
    <w:rsid w:val="006123C9"/>
    <w:rsid w:val="00612492"/>
    <w:rsid w:val="006125EE"/>
    <w:rsid w:val="00612664"/>
    <w:rsid w:val="00612765"/>
    <w:rsid w:val="006127A3"/>
    <w:rsid w:val="0061285D"/>
    <w:rsid w:val="00612873"/>
    <w:rsid w:val="0061293E"/>
    <w:rsid w:val="0061297B"/>
    <w:rsid w:val="006129E6"/>
    <w:rsid w:val="00612A0D"/>
    <w:rsid w:val="00612ABF"/>
    <w:rsid w:val="00612CEF"/>
    <w:rsid w:val="00612CFE"/>
    <w:rsid w:val="00612D9B"/>
    <w:rsid w:val="00612EEA"/>
    <w:rsid w:val="00612F47"/>
    <w:rsid w:val="00612FA7"/>
    <w:rsid w:val="00612FAA"/>
    <w:rsid w:val="00612FEA"/>
    <w:rsid w:val="00613016"/>
    <w:rsid w:val="006131F9"/>
    <w:rsid w:val="00613239"/>
    <w:rsid w:val="00613278"/>
    <w:rsid w:val="006132E2"/>
    <w:rsid w:val="00613300"/>
    <w:rsid w:val="00613439"/>
    <w:rsid w:val="00613445"/>
    <w:rsid w:val="006134C0"/>
    <w:rsid w:val="0061354E"/>
    <w:rsid w:val="006135DA"/>
    <w:rsid w:val="00613610"/>
    <w:rsid w:val="0061365F"/>
    <w:rsid w:val="0061371A"/>
    <w:rsid w:val="00613752"/>
    <w:rsid w:val="00613788"/>
    <w:rsid w:val="006137DC"/>
    <w:rsid w:val="00613829"/>
    <w:rsid w:val="00613831"/>
    <w:rsid w:val="00613864"/>
    <w:rsid w:val="00613893"/>
    <w:rsid w:val="00613966"/>
    <w:rsid w:val="0061399B"/>
    <w:rsid w:val="006139BD"/>
    <w:rsid w:val="006139FC"/>
    <w:rsid w:val="00613A6F"/>
    <w:rsid w:val="00613BA2"/>
    <w:rsid w:val="00613C58"/>
    <w:rsid w:val="00613CD9"/>
    <w:rsid w:val="00613D6D"/>
    <w:rsid w:val="00613D95"/>
    <w:rsid w:val="00613E64"/>
    <w:rsid w:val="00613F00"/>
    <w:rsid w:val="0061406E"/>
    <w:rsid w:val="00614088"/>
    <w:rsid w:val="006140C2"/>
    <w:rsid w:val="00614119"/>
    <w:rsid w:val="00614270"/>
    <w:rsid w:val="00614283"/>
    <w:rsid w:val="00614328"/>
    <w:rsid w:val="00614358"/>
    <w:rsid w:val="0061436F"/>
    <w:rsid w:val="00614396"/>
    <w:rsid w:val="0061448D"/>
    <w:rsid w:val="006144B1"/>
    <w:rsid w:val="00614528"/>
    <w:rsid w:val="006145F0"/>
    <w:rsid w:val="0061461C"/>
    <w:rsid w:val="006146C5"/>
    <w:rsid w:val="006147F4"/>
    <w:rsid w:val="00614831"/>
    <w:rsid w:val="00614870"/>
    <w:rsid w:val="006148A2"/>
    <w:rsid w:val="00614962"/>
    <w:rsid w:val="006149BB"/>
    <w:rsid w:val="006149E2"/>
    <w:rsid w:val="006149E7"/>
    <w:rsid w:val="00614A19"/>
    <w:rsid w:val="00614A9D"/>
    <w:rsid w:val="00614B4D"/>
    <w:rsid w:val="00614B99"/>
    <w:rsid w:val="00614BD0"/>
    <w:rsid w:val="00614C5B"/>
    <w:rsid w:val="00614C68"/>
    <w:rsid w:val="00614CC4"/>
    <w:rsid w:val="00614D39"/>
    <w:rsid w:val="00614D7D"/>
    <w:rsid w:val="00614DF0"/>
    <w:rsid w:val="00614E0E"/>
    <w:rsid w:val="00614E66"/>
    <w:rsid w:val="00614E6A"/>
    <w:rsid w:val="00614F9D"/>
    <w:rsid w:val="00614FC2"/>
    <w:rsid w:val="006150D4"/>
    <w:rsid w:val="006152B2"/>
    <w:rsid w:val="006153BC"/>
    <w:rsid w:val="006153E8"/>
    <w:rsid w:val="006153FF"/>
    <w:rsid w:val="00615417"/>
    <w:rsid w:val="0061550E"/>
    <w:rsid w:val="00615589"/>
    <w:rsid w:val="0061560B"/>
    <w:rsid w:val="006156BF"/>
    <w:rsid w:val="006156E1"/>
    <w:rsid w:val="006157AA"/>
    <w:rsid w:val="006157CF"/>
    <w:rsid w:val="00615868"/>
    <w:rsid w:val="006158A6"/>
    <w:rsid w:val="0061598B"/>
    <w:rsid w:val="00615A59"/>
    <w:rsid w:val="00615AEF"/>
    <w:rsid w:val="00615B62"/>
    <w:rsid w:val="00615B6F"/>
    <w:rsid w:val="00615B75"/>
    <w:rsid w:val="00615BA8"/>
    <w:rsid w:val="00615C59"/>
    <w:rsid w:val="00615CB5"/>
    <w:rsid w:val="00615D63"/>
    <w:rsid w:val="00615DA4"/>
    <w:rsid w:val="00615E65"/>
    <w:rsid w:val="00615E9E"/>
    <w:rsid w:val="00615F98"/>
    <w:rsid w:val="0061607E"/>
    <w:rsid w:val="0061618D"/>
    <w:rsid w:val="006161AB"/>
    <w:rsid w:val="006162B1"/>
    <w:rsid w:val="00616303"/>
    <w:rsid w:val="00616331"/>
    <w:rsid w:val="00616343"/>
    <w:rsid w:val="006163AF"/>
    <w:rsid w:val="006163E6"/>
    <w:rsid w:val="00616493"/>
    <w:rsid w:val="006164DD"/>
    <w:rsid w:val="0061657D"/>
    <w:rsid w:val="006165D1"/>
    <w:rsid w:val="00616616"/>
    <w:rsid w:val="0061668B"/>
    <w:rsid w:val="006166B2"/>
    <w:rsid w:val="00616702"/>
    <w:rsid w:val="0061671F"/>
    <w:rsid w:val="00616744"/>
    <w:rsid w:val="0061676C"/>
    <w:rsid w:val="006167D2"/>
    <w:rsid w:val="006167DE"/>
    <w:rsid w:val="00616884"/>
    <w:rsid w:val="0061689A"/>
    <w:rsid w:val="006168A4"/>
    <w:rsid w:val="006168AF"/>
    <w:rsid w:val="00616974"/>
    <w:rsid w:val="00616985"/>
    <w:rsid w:val="00616AF4"/>
    <w:rsid w:val="00616BD5"/>
    <w:rsid w:val="00616CC4"/>
    <w:rsid w:val="00616E28"/>
    <w:rsid w:val="00616E2F"/>
    <w:rsid w:val="00616EAE"/>
    <w:rsid w:val="0061701E"/>
    <w:rsid w:val="00617062"/>
    <w:rsid w:val="006172BD"/>
    <w:rsid w:val="006172FB"/>
    <w:rsid w:val="006173BE"/>
    <w:rsid w:val="006173E8"/>
    <w:rsid w:val="00617418"/>
    <w:rsid w:val="00617462"/>
    <w:rsid w:val="006174E9"/>
    <w:rsid w:val="00617626"/>
    <w:rsid w:val="0061763F"/>
    <w:rsid w:val="0061770F"/>
    <w:rsid w:val="006177CB"/>
    <w:rsid w:val="006177F2"/>
    <w:rsid w:val="00617809"/>
    <w:rsid w:val="00617824"/>
    <w:rsid w:val="0061787C"/>
    <w:rsid w:val="0061794B"/>
    <w:rsid w:val="00617A13"/>
    <w:rsid w:val="00617A1B"/>
    <w:rsid w:val="00617B56"/>
    <w:rsid w:val="00617B8C"/>
    <w:rsid w:val="00617BD9"/>
    <w:rsid w:val="00617BE6"/>
    <w:rsid w:val="00617CC0"/>
    <w:rsid w:val="00617CCD"/>
    <w:rsid w:val="00617D56"/>
    <w:rsid w:val="00617E41"/>
    <w:rsid w:val="00617EAA"/>
    <w:rsid w:val="00617EB3"/>
    <w:rsid w:val="00617F72"/>
    <w:rsid w:val="00617FCF"/>
    <w:rsid w:val="00620070"/>
    <w:rsid w:val="00620104"/>
    <w:rsid w:val="00620125"/>
    <w:rsid w:val="006201A8"/>
    <w:rsid w:val="006201D1"/>
    <w:rsid w:val="006201F4"/>
    <w:rsid w:val="00620252"/>
    <w:rsid w:val="006202C1"/>
    <w:rsid w:val="006202C2"/>
    <w:rsid w:val="00620304"/>
    <w:rsid w:val="006203B3"/>
    <w:rsid w:val="00620498"/>
    <w:rsid w:val="006204D8"/>
    <w:rsid w:val="0062054D"/>
    <w:rsid w:val="0062055D"/>
    <w:rsid w:val="006205D0"/>
    <w:rsid w:val="006205F3"/>
    <w:rsid w:val="0062060E"/>
    <w:rsid w:val="006207F4"/>
    <w:rsid w:val="00620819"/>
    <w:rsid w:val="0062081D"/>
    <w:rsid w:val="0062083A"/>
    <w:rsid w:val="00620871"/>
    <w:rsid w:val="00620876"/>
    <w:rsid w:val="0062087D"/>
    <w:rsid w:val="006208D1"/>
    <w:rsid w:val="006208D2"/>
    <w:rsid w:val="00620937"/>
    <w:rsid w:val="006209C1"/>
    <w:rsid w:val="006209D2"/>
    <w:rsid w:val="00620A3F"/>
    <w:rsid w:val="00620AA7"/>
    <w:rsid w:val="00620B49"/>
    <w:rsid w:val="00620B76"/>
    <w:rsid w:val="00620BC4"/>
    <w:rsid w:val="00620C4B"/>
    <w:rsid w:val="00620C5D"/>
    <w:rsid w:val="00620CDB"/>
    <w:rsid w:val="00620D34"/>
    <w:rsid w:val="00620D6A"/>
    <w:rsid w:val="00620D9A"/>
    <w:rsid w:val="00620EB9"/>
    <w:rsid w:val="00620F4E"/>
    <w:rsid w:val="00620F52"/>
    <w:rsid w:val="00620FC5"/>
    <w:rsid w:val="0062117C"/>
    <w:rsid w:val="0062123B"/>
    <w:rsid w:val="0062128B"/>
    <w:rsid w:val="006212DB"/>
    <w:rsid w:val="00621310"/>
    <w:rsid w:val="00621338"/>
    <w:rsid w:val="006213D0"/>
    <w:rsid w:val="00621400"/>
    <w:rsid w:val="0062154D"/>
    <w:rsid w:val="006215A4"/>
    <w:rsid w:val="00621653"/>
    <w:rsid w:val="00621669"/>
    <w:rsid w:val="0062166F"/>
    <w:rsid w:val="0062174C"/>
    <w:rsid w:val="00621787"/>
    <w:rsid w:val="00621854"/>
    <w:rsid w:val="006218B0"/>
    <w:rsid w:val="00621938"/>
    <w:rsid w:val="006219C8"/>
    <w:rsid w:val="006219CD"/>
    <w:rsid w:val="00621A0A"/>
    <w:rsid w:val="00621A49"/>
    <w:rsid w:val="00621AB6"/>
    <w:rsid w:val="00621B07"/>
    <w:rsid w:val="00621B11"/>
    <w:rsid w:val="00621B5F"/>
    <w:rsid w:val="00621B6D"/>
    <w:rsid w:val="00621B76"/>
    <w:rsid w:val="00621C26"/>
    <w:rsid w:val="00621C99"/>
    <w:rsid w:val="00621DC6"/>
    <w:rsid w:val="00621F2A"/>
    <w:rsid w:val="00621F3B"/>
    <w:rsid w:val="00621FB2"/>
    <w:rsid w:val="0062207A"/>
    <w:rsid w:val="006220F5"/>
    <w:rsid w:val="0062217B"/>
    <w:rsid w:val="0062220B"/>
    <w:rsid w:val="006222ED"/>
    <w:rsid w:val="00622323"/>
    <w:rsid w:val="00622331"/>
    <w:rsid w:val="00622365"/>
    <w:rsid w:val="006223CD"/>
    <w:rsid w:val="006223F9"/>
    <w:rsid w:val="00622478"/>
    <w:rsid w:val="00622485"/>
    <w:rsid w:val="006224C1"/>
    <w:rsid w:val="00622593"/>
    <w:rsid w:val="0062262C"/>
    <w:rsid w:val="0062265C"/>
    <w:rsid w:val="00622684"/>
    <w:rsid w:val="006226AD"/>
    <w:rsid w:val="00622727"/>
    <w:rsid w:val="006227A2"/>
    <w:rsid w:val="006227FF"/>
    <w:rsid w:val="00622811"/>
    <w:rsid w:val="00622828"/>
    <w:rsid w:val="0062284C"/>
    <w:rsid w:val="006228A0"/>
    <w:rsid w:val="00622AAA"/>
    <w:rsid w:val="00622AED"/>
    <w:rsid w:val="00622AFF"/>
    <w:rsid w:val="00622CCB"/>
    <w:rsid w:val="00622CDF"/>
    <w:rsid w:val="00622D18"/>
    <w:rsid w:val="00622EDF"/>
    <w:rsid w:val="00622FCA"/>
    <w:rsid w:val="00623043"/>
    <w:rsid w:val="0062317D"/>
    <w:rsid w:val="006232E7"/>
    <w:rsid w:val="006232F2"/>
    <w:rsid w:val="006233F6"/>
    <w:rsid w:val="006234AB"/>
    <w:rsid w:val="006234B1"/>
    <w:rsid w:val="00623558"/>
    <w:rsid w:val="006235A7"/>
    <w:rsid w:val="006235DF"/>
    <w:rsid w:val="00623663"/>
    <w:rsid w:val="006236AF"/>
    <w:rsid w:val="006236E5"/>
    <w:rsid w:val="00623751"/>
    <w:rsid w:val="00623753"/>
    <w:rsid w:val="00623773"/>
    <w:rsid w:val="0062377D"/>
    <w:rsid w:val="006237B0"/>
    <w:rsid w:val="006237C2"/>
    <w:rsid w:val="0062380B"/>
    <w:rsid w:val="0062389A"/>
    <w:rsid w:val="006238E3"/>
    <w:rsid w:val="00623981"/>
    <w:rsid w:val="00623994"/>
    <w:rsid w:val="006239FD"/>
    <w:rsid w:val="00623A84"/>
    <w:rsid w:val="00623AB3"/>
    <w:rsid w:val="00623C6B"/>
    <w:rsid w:val="00623C78"/>
    <w:rsid w:val="00623CFD"/>
    <w:rsid w:val="00623D4E"/>
    <w:rsid w:val="00623D52"/>
    <w:rsid w:val="00623D5A"/>
    <w:rsid w:val="00623D6D"/>
    <w:rsid w:val="00623E3C"/>
    <w:rsid w:val="00623E3E"/>
    <w:rsid w:val="00623E49"/>
    <w:rsid w:val="00623E68"/>
    <w:rsid w:val="00623FCE"/>
    <w:rsid w:val="00623FE3"/>
    <w:rsid w:val="00624105"/>
    <w:rsid w:val="00624126"/>
    <w:rsid w:val="0062417A"/>
    <w:rsid w:val="006241AA"/>
    <w:rsid w:val="00624240"/>
    <w:rsid w:val="00624259"/>
    <w:rsid w:val="006242D5"/>
    <w:rsid w:val="006242DA"/>
    <w:rsid w:val="0062435F"/>
    <w:rsid w:val="0062436B"/>
    <w:rsid w:val="006246B0"/>
    <w:rsid w:val="006246FB"/>
    <w:rsid w:val="00624752"/>
    <w:rsid w:val="00624771"/>
    <w:rsid w:val="00624845"/>
    <w:rsid w:val="00624933"/>
    <w:rsid w:val="0062496A"/>
    <w:rsid w:val="006249C9"/>
    <w:rsid w:val="00624A3D"/>
    <w:rsid w:val="00624AFA"/>
    <w:rsid w:val="00624B7A"/>
    <w:rsid w:val="00624C15"/>
    <w:rsid w:val="00624C54"/>
    <w:rsid w:val="00624DF6"/>
    <w:rsid w:val="00624E14"/>
    <w:rsid w:val="00624E19"/>
    <w:rsid w:val="00624E2A"/>
    <w:rsid w:val="00624F43"/>
    <w:rsid w:val="00624F72"/>
    <w:rsid w:val="00624F95"/>
    <w:rsid w:val="00624FBC"/>
    <w:rsid w:val="00624FFF"/>
    <w:rsid w:val="00625020"/>
    <w:rsid w:val="00625040"/>
    <w:rsid w:val="006250E5"/>
    <w:rsid w:val="006251E8"/>
    <w:rsid w:val="0062528D"/>
    <w:rsid w:val="006252F9"/>
    <w:rsid w:val="00625337"/>
    <w:rsid w:val="00625383"/>
    <w:rsid w:val="00625392"/>
    <w:rsid w:val="006253B3"/>
    <w:rsid w:val="006253D1"/>
    <w:rsid w:val="00625406"/>
    <w:rsid w:val="0062544A"/>
    <w:rsid w:val="006254AE"/>
    <w:rsid w:val="006255B4"/>
    <w:rsid w:val="0062561F"/>
    <w:rsid w:val="0062565C"/>
    <w:rsid w:val="00625752"/>
    <w:rsid w:val="006257CE"/>
    <w:rsid w:val="006257F0"/>
    <w:rsid w:val="00625827"/>
    <w:rsid w:val="00625880"/>
    <w:rsid w:val="00625958"/>
    <w:rsid w:val="00625978"/>
    <w:rsid w:val="006259AC"/>
    <w:rsid w:val="006259B7"/>
    <w:rsid w:val="006259F8"/>
    <w:rsid w:val="00625A23"/>
    <w:rsid w:val="00625A53"/>
    <w:rsid w:val="00625AA8"/>
    <w:rsid w:val="00625AEE"/>
    <w:rsid w:val="00625B0D"/>
    <w:rsid w:val="00625C43"/>
    <w:rsid w:val="00625D03"/>
    <w:rsid w:val="00625D6E"/>
    <w:rsid w:val="00625E38"/>
    <w:rsid w:val="00625E89"/>
    <w:rsid w:val="00625EAC"/>
    <w:rsid w:val="00625EFF"/>
    <w:rsid w:val="00625F4B"/>
    <w:rsid w:val="00625FB1"/>
    <w:rsid w:val="00625FF5"/>
    <w:rsid w:val="006260CE"/>
    <w:rsid w:val="00626176"/>
    <w:rsid w:val="006262A3"/>
    <w:rsid w:val="00626331"/>
    <w:rsid w:val="0062633E"/>
    <w:rsid w:val="00626379"/>
    <w:rsid w:val="00626518"/>
    <w:rsid w:val="00626568"/>
    <w:rsid w:val="0062659C"/>
    <w:rsid w:val="00626602"/>
    <w:rsid w:val="006266C2"/>
    <w:rsid w:val="006266F9"/>
    <w:rsid w:val="00626749"/>
    <w:rsid w:val="006267E1"/>
    <w:rsid w:val="00626899"/>
    <w:rsid w:val="00626966"/>
    <w:rsid w:val="006269B5"/>
    <w:rsid w:val="00626A3E"/>
    <w:rsid w:val="00626A5C"/>
    <w:rsid w:val="00626A77"/>
    <w:rsid w:val="00626A7B"/>
    <w:rsid w:val="00626C29"/>
    <w:rsid w:val="00626C77"/>
    <w:rsid w:val="00626DA1"/>
    <w:rsid w:val="00626EE0"/>
    <w:rsid w:val="00626F86"/>
    <w:rsid w:val="0062709F"/>
    <w:rsid w:val="006270D7"/>
    <w:rsid w:val="00627149"/>
    <w:rsid w:val="006271C9"/>
    <w:rsid w:val="006271D6"/>
    <w:rsid w:val="006271DF"/>
    <w:rsid w:val="00627281"/>
    <w:rsid w:val="006272F4"/>
    <w:rsid w:val="00627302"/>
    <w:rsid w:val="0062730F"/>
    <w:rsid w:val="006273C4"/>
    <w:rsid w:val="006274D2"/>
    <w:rsid w:val="00627578"/>
    <w:rsid w:val="0062757D"/>
    <w:rsid w:val="0062762A"/>
    <w:rsid w:val="0062763B"/>
    <w:rsid w:val="00627748"/>
    <w:rsid w:val="0062774A"/>
    <w:rsid w:val="00627756"/>
    <w:rsid w:val="006277AB"/>
    <w:rsid w:val="006277C8"/>
    <w:rsid w:val="0062782D"/>
    <w:rsid w:val="006278F8"/>
    <w:rsid w:val="00627906"/>
    <w:rsid w:val="00627912"/>
    <w:rsid w:val="006279A7"/>
    <w:rsid w:val="00627A4B"/>
    <w:rsid w:val="00627A89"/>
    <w:rsid w:val="00627ABB"/>
    <w:rsid w:val="00627AD6"/>
    <w:rsid w:val="00627B6C"/>
    <w:rsid w:val="00627B6D"/>
    <w:rsid w:val="00627B78"/>
    <w:rsid w:val="00627BA0"/>
    <w:rsid w:val="00627C05"/>
    <w:rsid w:val="00627D55"/>
    <w:rsid w:val="00627E94"/>
    <w:rsid w:val="00627EB7"/>
    <w:rsid w:val="00627F62"/>
    <w:rsid w:val="00630093"/>
    <w:rsid w:val="006300F2"/>
    <w:rsid w:val="00630147"/>
    <w:rsid w:val="0063015C"/>
    <w:rsid w:val="006301F1"/>
    <w:rsid w:val="006302A5"/>
    <w:rsid w:val="006302B8"/>
    <w:rsid w:val="00630312"/>
    <w:rsid w:val="0063038C"/>
    <w:rsid w:val="006303A3"/>
    <w:rsid w:val="006303D3"/>
    <w:rsid w:val="00630552"/>
    <w:rsid w:val="006305AE"/>
    <w:rsid w:val="0063062E"/>
    <w:rsid w:val="00630651"/>
    <w:rsid w:val="00630668"/>
    <w:rsid w:val="00630763"/>
    <w:rsid w:val="006307B0"/>
    <w:rsid w:val="0063097F"/>
    <w:rsid w:val="00630A5C"/>
    <w:rsid w:val="00630B1B"/>
    <w:rsid w:val="00630B29"/>
    <w:rsid w:val="00630B94"/>
    <w:rsid w:val="00630BF0"/>
    <w:rsid w:val="00630C4C"/>
    <w:rsid w:val="00630D01"/>
    <w:rsid w:val="00630D02"/>
    <w:rsid w:val="00630D27"/>
    <w:rsid w:val="00630DB9"/>
    <w:rsid w:val="00630E53"/>
    <w:rsid w:val="00630EA5"/>
    <w:rsid w:val="00630F5D"/>
    <w:rsid w:val="00630F9A"/>
    <w:rsid w:val="006310B0"/>
    <w:rsid w:val="006310F8"/>
    <w:rsid w:val="006310F9"/>
    <w:rsid w:val="006311FB"/>
    <w:rsid w:val="00631201"/>
    <w:rsid w:val="0063120D"/>
    <w:rsid w:val="0063129C"/>
    <w:rsid w:val="0063129D"/>
    <w:rsid w:val="00631305"/>
    <w:rsid w:val="00631393"/>
    <w:rsid w:val="00631561"/>
    <w:rsid w:val="00631574"/>
    <w:rsid w:val="006315F3"/>
    <w:rsid w:val="00631684"/>
    <w:rsid w:val="00631692"/>
    <w:rsid w:val="006316D4"/>
    <w:rsid w:val="006316F4"/>
    <w:rsid w:val="00631733"/>
    <w:rsid w:val="00631735"/>
    <w:rsid w:val="00631765"/>
    <w:rsid w:val="0063178D"/>
    <w:rsid w:val="00631809"/>
    <w:rsid w:val="0063192B"/>
    <w:rsid w:val="0063193C"/>
    <w:rsid w:val="00631A61"/>
    <w:rsid w:val="00631B98"/>
    <w:rsid w:val="00631C0A"/>
    <w:rsid w:val="00631C51"/>
    <w:rsid w:val="00631C8D"/>
    <w:rsid w:val="00631CF2"/>
    <w:rsid w:val="00631CFA"/>
    <w:rsid w:val="00631D3E"/>
    <w:rsid w:val="00632040"/>
    <w:rsid w:val="0063204A"/>
    <w:rsid w:val="0063213B"/>
    <w:rsid w:val="00632267"/>
    <w:rsid w:val="00632304"/>
    <w:rsid w:val="0063237B"/>
    <w:rsid w:val="00632381"/>
    <w:rsid w:val="006324AC"/>
    <w:rsid w:val="006324F3"/>
    <w:rsid w:val="00632591"/>
    <w:rsid w:val="00632607"/>
    <w:rsid w:val="00632683"/>
    <w:rsid w:val="006326CA"/>
    <w:rsid w:val="00632766"/>
    <w:rsid w:val="006327FE"/>
    <w:rsid w:val="00632940"/>
    <w:rsid w:val="006329EB"/>
    <w:rsid w:val="006329FC"/>
    <w:rsid w:val="00632A12"/>
    <w:rsid w:val="00632B07"/>
    <w:rsid w:val="00632B3A"/>
    <w:rsid w:val="00632B4A"/>
    <w:rsid w:val="00632C45"/>
    <w:rsid w:val="00632D73"/>
    <w:rsid w:val="00632E11"/>
    <w:rsid w:val="00632E99"/>
    <w:rsid w:val="00632F25"/>
    <w:rsid w:val="00633012"/>
    <w:rsid w:val="00633036"/>
    <w:rsid w:val="0063308D"/>
    <w:rsid w:val="00633229"/>
    <w:rsid w:val="00633238"/>
    <w:rsid w:val="0063324B"/>
    <w:rsid w:val="006333ED"/>
    <w:rsid w:val="006333F2"/>
    <w:rsid w:val="00633403"/>
    <w:rsid w:val="00633415"/>
    <w:rsid w:val="00633429"/>
    <w:rsid w:val="0063349B"/>
    <w:rsid w:val="0063349C"/>
    <w:rsid w:val="00633517"/>
    <w:rsid w:val="0063353B"/>
    <w:rsid w:val="0063355A"/>
    <w:rsid w:val="0063357C"/>
    <w:rsid w:val="00633722"/>
    <w:rsid w:val="0063373C"/>
    <w:rsid w:val="00633749"/>
    <w:rsid w:val="00633AC1"/>
    <w:rsid w:val="00633AF6"/>
    <w:rsid w:val="00633B2D"/>
    <w:rsid w:val="00633B33"/>
    <w:rsid w:val="00633B9A"/>
    <w:rsid w:val="00633BEC"/>
    <w:rsid w:val="00633C0D"/>
    <w:rsid w:val="00633CD0"/>
    <w:rsid w:val="00633D12"/>
    <w:rsid w:val="00633D88"/>
    <w:rsid w:val="00633DB1"/>
    <w:rsid w:val="00633E50"/>
    <w:rsid w:val="00633E56"/>
    <w:rsid w:val="00633EC4"/>
    <w:rsid w:val="00633ED1"/>
    <w:rsid w:val="00633F09"/>
    <w:rsid w:val="00633FAE"/>
    <w:rsid w:val="006340BC"/>
    <w:rsid w:val="00634277"/>
    <w:rsid w:val="006342FD"/>
    <w:rsid w:val="0063431E"/>
    <w:rsid w:val="0063451B"/>
    <w:rsid w:val="00634676"/>
    <w:rsid w:val="0063469B"/>
    <w:rsid w:val="006346C8"/>
    <w:rsid w:val="00634803"/>
    <w:rsid w:val="00634860"/>
    <w:rsid w:val="0063492E"/>
    <w:rsid w:val="00634A12"/>
    <w:rsid w:val="00634A6B"/>
    <w:rsid w:val="00634AD2"/>
    <w:rsid w:val="00634C0B"/>
    <w:rsid w:val="00634CB4"/>
    <w:rsid w:val="00634CE9"/>
    <w:rsid w:val="00634DAE"/>
    <w:rsid w:val="00634E09"/>
    <w:rsid w:val="00634E9A"/>
    <w:rsid w:val="00634E9B"/>
    <w:rsid w:val="00634F1D"/>
    <w:rsid w:val="0063505C"/>
    <w:rsid w:val="006350A6"/>
    <w:rsid w:val="006350C4"/>
    <w:rsid w:val="006350D3"/>
    <w:rsid w:val="00635182"/>
    <w:rsid w:val="006351B2"/>
    <w:rsid w:val="006351E5"/>
    <w:rsid w:val="00635248"/>
    <w:rsid w:val="0063538D"/>
    <w:rsid w:val="006353B0"/>
    <w:rsid w:val="006353F6"/>
    <w:rsid w:val="0063552E"/>
    <w:rsid w:val="00635593"/>
    <w:rsid w:val="00635688"/>
    <w:rsid w:val="006356DD"/>
    <w:rsid w:val="00635732"/>
    <w:rsid w:val="00635852"/>
    <w:rsid w:val="00635A73"/>
    <w:rsid w:val="00635A97"/>
    <w:rsid w:val="00635AB6"/>
    <w:rsid w:val="00635ADD"/>
    <w:rsid w:val="00635B09"/>
    <w:rsid w:val="00635B6B"/>
    <w:rsid w:val="00635D53"/>
    <w:rsid w:val="00635DD3"/>
    <w:rsid w:val="00635DD6"/>
    <w:rsid w:val="00635DE9"/>
    <w:rsid w:val="00635F41"/>
    <w:rsid w:val="00635F81"/>
    <w:rsid w:val="0063600C"/>
    <w:rsid w:val="00636219"/>
    <w:rsid w:val="006362D5"/>
    <w:rsid w:val="006362DB"/>
    <w:rsid w:val="006362FC"/>
    <w:rsid w:val="00636400"/>
    <w:rsid w:val="0063642D"/>
    <w:rsid w:val="0063647D"/>
    <w:rsid w:val="0063649B"/>
    <w:rsid w:val="006364C2"/>
    <w:rsid w:val="00636587"/>
    <w:rsid w:val="006365BB"/>
    <w:rsid w:val="00636617"/>
    <w:rsid w:val="00636707"/>
    <w:rsid w:val="00636736"/>
    <w:rsid w:val="00636766"/>
    <w:rsid w:val="0063684C"/>
    <w:rsid w:val="0063684E"/>
    <w:rsid w:val="00636862"/>
    <w:rsid w:val="006368A2"/>
    <w:rsid w:val="006368CC"/>
    <w:rsid w:val="006368EE"/>
    <w:rsid w:val="00636975"/>
    <w:rsid w:val="00636AFC"/>
    <w:rsid w:val="00636B52"/>
    <w:rsid w:val="00636D47"/>
    <w:rsid w:val="00636DAC"/>
    <w:rsid w:val="00636E5E"/>
    <w:rsid w:val="00636E91"/>
    <w:rsid w:val="00636EFB"/>
    <w:rsid w:val="00636F23"/>
    <w:rsid w:val="00636F3A"/>
    <w:rsid w:val="00637015"/>
    <w:rsid w:val="00637028"/>
    <w:rsid w:val="00637089"/>
    <w:rsid w:val="006371ED"/>
    <w:rsid w:val="0063724F"/>
    <w:rsid w:val="00637365"/>
    <w:rsid w:val="006373FB"/>
    <w:rsid w:val="00637445"/>
    <w:rsid w:val="0063751E"/>
    <w:rsid w:val="00637575"/>
    <w:rsid w:val="006375D4"/>
    <w:rsid w:val="00637645"/>
    <w:rsid w:val="0063764D"/>
    <w:rsid w:val="00637788"/>
    <w:rsid w:val="00637791"/>
    <w:rsid w:val="006377BD"/>
    <w:rsid w:val="0063782B"/>
    <w:rsid w:val="00637881"/>
    <w:rsid w:val="00637910"/>
    <w:rsid w:val="00637992"/>
    <w:rsid w:val="006379CD"/>
    <w:rsid w:val="006379D0"/>
    <w:rsid w:val="00637B13"/>
    <w:rsid w:val="00637B91"/>
    <w:rsid w:val="00637CEC"/>
    <w:rsid w:val="00637D32"/>
    <w:rsid w:val="00637E55"/>
    <w:rsid w:val="00637E6A"/>
    <w:rsid w:val="00637F5D"/>
    <w:rsid w:val="00637F60"/>
    <w:rsid w:val="00637F64"/>
    <w:rsid w:val="00640022"/>
    <w:rsid w:val="00640059"/>
    <w:rsid w:val="00640080"/>
    <w:rsid w:val="0064010A"/>
    <w:rsid w:val="00640122"/>
    <w:rsid w:val="006402E9"/>
    <w:rsid w:val="00640385"/>
    <w:rsid w:val="006403E7"/>
    <w:rsid w:val="00640477"/>
    <w:rsid w:val="00640530"/>
    <w:rsid w:val="00640551"/>
    <w:rsid w:val="0064059E"/>
    <w:rsid w:val="006405DF"/>
    <w:rsid w:val="00640628"/>
    <w:rsid w:val="006406DA"/>
    <w:rsid w:val="006406E2"/>
    <w:rsid w:val="0064078E"/>
    <w:rsid w:val="006408DC"/>
    <w:rsid w:val="00640A2A"/>
    <w:rsid w:val="00640A5E"/>
    <w:rsid w:val="00640A7A"/>
    <w:rsid w:val="00640CAE"/>
    <w:rsid w:val="00640CB3"/>
    <w:rsid w:val="00640CCC"/>
    <w:rsid w:val="00640D32"/>
    <w:rsid w:val="00640D39"/>
    <w:rsid w:val="00640D9B"/>
    <w:rsid w:val="00640E21"/>
    <w:rsid w:val="00640E69"/>
    <w:rsid w:val="00640EA7"/>
    <w:rsid w:val="00640EAC"/>
    <w:rsid w:val="00640EB1"/>
    <w:rsid w:val="00640EF6"/>
    <w:rsid w:val="00640F54"/>
    <w:rsid w:val="00641026"/>
    <w:rsid w:val="00641058"/>
    <w:rsid w:val="00641076"/>
    <w:rsid w:val="006410C4"/>
    <w:rsid w:val="00641161"/>
    <w:rsid w:val="00641177"/>
    <w:rsid w:val="00641198"/>
    <w:rsid w:val="006412A7"/>
    <w:rsid w:val="006412F1"/>
    <w:rsid w:val="0064139D"/>
    <w:rsid w:val="0064142F"/>
    <w:rsid w:val="00641477"/>
    <w:rsid w:val="006414CA"/>
    <w:rsid w:val="0064154F"/>
    <w:rsid w:val="00641591"/>
    <w:rsid w:val="006416D3"/>
    <w:rsid w:val="006418A4"/>
    <w:rsid w:val="00641935"/>
    <w:rsid w:val="00641938"/>
    <w:rsid w:val="006419A7"/>
    <w:rsid w:val="00641A2B"/>
    <w:rsid w:val="00641AA5"/>
    <w:rsid w:val="00641AB3"/>
    <w:rsid w:val="00641AD5"/>
    <w:rsid w:val="00641B95"/>
    <w:rsid w:val="00641BA3"/>
    <w:rsid w:val="00641C2C"/>
    <w:rsid w:val="00641DA0"/>
    <w:rsid w:val="00641DD8"/>
    <w:rsid w:val="00641E4C"/>
    <w:rsid w:val="00641E68"/>
    <w:rsid w:val="00641F5B"/>
    <w:rsid w:val="00642085"/>
    <w:rsid w:val="006420C7"/>
    <w:rsid w:val="00642114"/>
    <w:rsid w:val="00642194"/>
    <w:rsid w:val="006422A9"/>
    <w:rsid w:val="006422D7"/>
    <w:rsid w:val="006422FE"/>
    <w:rsid w:val="0064236A"/>
    <w:rsid w:val="006423CE"/>
    <w:rsid w:val="006423DA"/>
    <w:rsid w:val="006423EE"/>
    <w:rsid w:val="0064245C"/>
    <w:rsid w:val="006424CC"/>
    <w:rsid w:val="006424F4"/>
    <w:rsid w:val="00642541"/>
    <w:rsid w:val="00642557"/>
    <w:rsid w:val="006425BD"/>
    <w:rsid w:val="006425DF"/>
    <w:rsid w:val="00642799"/>
    <w:rsid w:val="0064284E"/>
    <w:rsid w:val="006428E5"/>
    <w:rsid w:val="006428F2"/>
    <w:rsid w:val="006428FB"/>
    <w:rsid w:val="00642BC0"/>
    <w:rsid w:val="00642C3C"/>
    <w:rsid w:val="00642C77"/>
    <w:rsid w:val="00642CE3"/>
    <w:rsid w:val="00642D04"/>
    <w:rsid w:val="00642D49"/>
    <w:rsid w:val="00642DDE"/>
    <w:rsid w:val="00642E9D"/>
    <w:rsid w:val="00642F82"/>
    <w:rsid w:val="00642F99"/>
    <w:rsid w:val="0064301E"/>
    <w:rsid w:val="006431B9"/>
    <w:rsid w:val="006432E1"/>
    <w:rsid w:val="006433BC"/>
    <w:rsid w:val="006433E8"/>
    <w:rsid w:val="0064340D"/>
    <w:rsid w:val="00643416"/>
    <w:rsid w:val="00643473"/>
    <w:rsid w:val="00643483"/>
    <w:rsid w:val="006434E4"/>
    <w:rsid w:val="00643649"/>
    <w:rsid w:val="00643702"/>
    <w:rsid w:val="0064378E"/>
    <w:rsid w:val="006437C8"/>
    <w:rsid w:val="00643838"/>
    <w:rsid w:val="0064386C"/>
    <w:rsid w:val="006438FA"/>
    <w:rsid w:val="00643947"/>
    <w:rsid w:val="006439DA"/>
    <w:rsid w:val="00643A28"/>
    <w:rsid w:val="00643B4A"/>
    <w:rsid w:val="00643B65"/>
    <w:rsid w:val="00643B84"/>
    <w:rsid w:val="00643BCA"/>
    <w:rsid w:val="00643D23"/>
    <w:rsid w:val="00643DB9"/>
    <w:rsid w:val="00643E61"/>
    <w:rsid w:val="00643EE0"/>
    <w:rsid w:val="00643F1E"/>
    <w:rsid w:val="00643F60"/>
    <w:rsid w:val="00644062"/>
    <w:rsid w:val="00644077"/>
    <w:rsid w:val="006440E7"/>
    <w:rsid w:val="00644104"/>
    <w:rsid w:val="0064419A"/>
    <w:rsid w:val="006441A1"/>
    <w:rsid w:val="00644207"/>
    <w:rsid w:val="00644243"/>
    <w:rsid w:val="0064425E"/>
    <w:rsid w:val="00644482"/>
    <w:rsid w:val="006444DC"/>
    <w:rsid w:val="00644543"/>
    <w:rsid w:val="006445BB"/>
    <w:rsid w:val="006445EF"/>
    <w:rsid w:val="00644653"/>
    <w:rsid w:val="006446ED"/>
    <w:rsid w:val="00644A9C"/>
    <w:rsid w:val="00644B71"/>
    <w:rsid w:val="00644BD8"/>
    <w:rsid w:val="00644FF4"/>
    <w:rsid w:val="0064502B"/>
    <w:rsid w:val="00645074"/>
    <w:rsid w:val="00645173"/>
    <w:rsid w:val="00645187"/>
    <w:rsid w:val="0064518D"/>
    <w:rsid w:val="006451E0"/>
    <w:rsid w:val="00645220"/>
    <w:rsid w:val="00645234"/>
    <w:rsid w:val="00645253"/>
    <w:rsid w:val="00645334"/>
    <w:rsid w:val="0064533A"/>
    <w:rsid w:val="00645371"/>
    <w:rsid w:val="006454AE"/>
    <w:rsid w:val="0064559E"/>
    <w:rsid w:val="00645691"/>
    <w:rsid w:val="00645797"/>
    <w:rsid w:val="00645854"/>
    <w:rsid w:val="006458E0"/>
    <w:rsid w:val="00645911"/>
    <w:rsid w:val="00645935"/>
    <w:rsid w:val="006459CD"/>
    <w:rsid w:val="00645BA4"/>
    <w:rsid w:val="00645D25"/>
    <w:rsid w:val="00645DA6"/>
    <w:rsid w:val="00645DC4"/>
    <w:rsid w:val="00645E0E"/>
    <w:rsid w:val="00645F1A"/>
    <w:rsid w:val="00645F50"/>
    <w:rsid w:val="00645FC6"/>
    <w:rsid w:val="006460EB"/>
    <w:rsid w:val="0064613B"/>
    <w:rsid w:val="0064615C"/>
    <w:rsid w:val="0064617E"/>
    <w:rsid w:val="00646279"/>
    <w:rsid w:val="00646282"/>
    <w:rsid w:val="00646302"/>
    <w:rsid w:val="0064631F"/>
    <w:rsid w:val="0064635D"/>
    <w:rsid w:val="0064636C"/>
    <w:rsid w:val="006463B1"/>
    <w:rsid w:val="006463D5"/>
    <w:rsid w:val="00646422"/>
    <w:rsid w:val="006464F6"/>
    <w:rsid w:val="00646586"/>
    <w:rsid w:val="006465AE"/>
    <w:rsid w:val="006465C1"/>
    <w:rsid w:val="006465C4"/>
    <w:rsid w:val="00646628"/>
    <w:rsid w:val="006466EE"/>
    <w:rsid w:val="006466F3"/>
    <w:rsid w:val="00646705"/>
    <w:rsid w:val="00646763"/>
    <w:rsid w:val="0064680A"/>
    <w:rsid w:val="0064683C"/>
    <w:rsid w:val="0064689B"/>
    <w:rsid w:val="006468F5"/>
    <w:rsid w:val="00646985"/>
    <w:rsid w:val="006469B5"/>
    <w:rsid w:val="006469B7"/>
    <w:rsid w:val="00646A54"/>
    <w:rsid w:val="00646B12"/>
    <w:rsid w:val="00646B5C"/>
    <w:rsid w:val="00646CE4"/>
    <w:rsid w:val="00646D08"/>
    <w:rsid w:val="00646D1F"/>
    <w:rsid w:val="00646D48"/>
    <w:rsid w:val="00646E0B"/>
    <w:rsid w:val="00646E0C"/>
    <w:rsid w:val="00646E35"/>
    <w:rsid w:val="00646E39"/>
    <w:rsid w:val="00646E62"/>
    <w:rsid w:val="00646F84"/>
    <w:rsid w:val="00647042"/>
    <w:rsid w:val="0064705E"/>
    <w:rsid w:val="006470C9"/>
    <w:rsid w:val="006470E2"/>
    <w:rsid w:val="006470F6"/>
    <w:rsid w:val="0064719A"/>
    <w:rsid w:val="006471FD"/>
    <w:rsid w:val="00647247"/>
    <w:rsid w:val="0064725A"/>
    <w:rsid w:val="00647292"/>
    <w:rsid w:val="006472DF"/>
    <w:rsid w:val="00647307"/>
    <w:rsid w:val="00647387"/>
    <w:rsid w:val="0064742F"/>
    <w:rsid w:val="0064747D"/>
    <w:rsid w:val="006474B2"/>
    <w:rsid w:val="00647527"/>
    <w:rsid w:val="00647540"/>
    <w:rsid w:val="006475FB"/>
    <w:rsid w:val="00647607"/>
    <w:rsid w:val="006476D9"/>
    <w:rsid w:val="00647730"/>
    <w:rsid w:val="0064775F"/>
    <w:rsid w:val="00647766"/>
    <w:rsid w:val="00647781"/>
    <w:rsid w:val="006477A0"/>
    <w:rsid w:val="006477B3"/>
    <w:rsid w:val="0064780C"/>
    <w:rsid w:val="0064780F"/>
    <w:rsid w:val="0064784A"/>
    <w:rsid w:val="006478D9"/>
    <w:rsid w:val="00647913"/>
    <w:rsid w:val="00647972"/>
    <w:rsid w:val="00647977"/>
    <w:rsid w:val="00647992"/>
    <w:rsid w:val="006479CA"/>
    <w:rsid w:val="00647A22"/>
    <w:rsid w:val="00647A72"/>
    <w:rsid w:val="00647AF6"/>
    <w:rsid w:val="00647B79"/>
    <w:rsid w:val="00647C19"/>
    <w:rsid w:val="00647C5E"/>
    <w:rsid w:val="00647CA6"/>
    <w:rsid w:val="00647CD4"/>
    <w:rsid w:val="00647CFC"/>
    <w:rsid w:val="00647DAE"/>
    <w:rsid w:val="00647DFB"/>
    <w:rsid w:val="00647F04"/>
    <w:rsid w:val="00647FED"/>
    <w:rsid w:val="006500F7"/>
    <w:rsid w:val="0065012E"/>
    <w:rsid w:val="00650135"/>
    <w:rsid w:val="0065017B"/>
    <w:rsid w:val="00650232"/>
    <w:rsid w:val="00650242"/>
    <w:rsid w:val="00650263"/>
    <w:rsid w:val="00650277"/>
    <w:rsid w:val="006502B9"/>
    <w:rsid w:val="00650309"/>
    <w:rsid w:val="00650322"/>
    <w:rsid w:val="006504AA"/>
    <w:rsid w:val="006504D0"/>
    <w:rsid w:val="006504E2"/>
    <w:rsid w:val="00650575"/>
    <w:rsid w:val="006505AA"/>
    <w:rsid w:val="006507FA"/>
    <w:rsid w:val="006508D0"/>
    <w:rsid w:val="00650969"/>
    <w:rsid w:val="00650A84"/>
    <w:rsid w:val="00650A9B"/>
    <w:rsid w:val="00650ABC"/>
    <w:rsid w:val="00650AE7"/>
    <w:rsid w:val="00650BA7"/>
    <w:rsid w:val="00650D8D"/>
    <w:rsid w:val="00650E30"/>
    <w:rsid w:val="00650E92"/>
    <w:rsid w:val="00651039"/>
    <w:rsid w:val="006510F0"/>
    <w:rsid w:val="006511C8"/>
    <w:rsid w:val="0065123A"/>
    <w:rsid w:val="0065123F"/>
    <w:rsid w:val="00651270"/>
    <w:rsid w:val="00651276"/>
    <w:rsid w:val="0065133A"/>
    <w:rsid w:val="0065138D"/>
    <w:rsid w:val="00651392"/>
    <w:rsid w:val="006513C3"/>
    <w:rsid w:val="006513D3"/>
    <w:rsid w:val="006513E8"/>
    <w:rsid w:val="006513E9"/>
    <w:rsid w:val="00651401"/>
    <w:rsid w:val="006514D3"/>
    <w:rsid w:val="00651548"/>
    <w:rsid w:val="0065159E"/>
    <w:rsid w:val="00651618"/>
    <w:rsid w:val="006516A2"/>
    <w:rsid w:val="00651700"/>
    <w:rsid w:val="00651707"/>
    <w:rsid w:val="00651791"/>
    <w:rsid w:val="006517F3"/>
    <w:rsid w:val="00651822"/>
    <w:rsid w:val="00651823"/>
    <w:rsid w:val="0065187C"/>
    <w:rsid w:val="0065188E"/>
    <w:rsid w:val="006518BC"/>
    <w:rsid w:val="006518C3"/>
    <w:rsid w:val="006519A6"/>
    <w:rsid w:val="00651A5A"/>
    <w:rsid w:val="00651A68"/>
    <w:rsid w:val="00651A88"/>
    <w:rsid w:val="00651AC9"/>
    <w:rsid w:val="00651B34"/>
    <w:rsid w:val="00651B6F"/>
    <w:rsid w:val="00651B80"/>
    <w:rsid w:val="00651C5F"/>
    <w:rsid w:val="00651E9D"/>
    <w:rsid w:val="00651F9C"/>
    <w:rsid w:val="00652059"/>
    <w:rsid w:val="006521A5"/>
    <w:rsid w:val="006522A4"/>
    <w:rsid w:val="00652328"/>
    <w:rsid w:val="00652399"/>
    <w:rsid w:val="006523C9"/>
    <w:rsid w:val="006523F6"/>
    <w:rsid w:val="0065245F"/>
    <w:rsid w:val="00652485"/>
    <w:rsid w:val="006524A9"/>
    <w:rsid w:val="006524C0"/>
    <w:rsid w:val="0065250F"/>
    <w:rsid w:val="006525AD"/>
    <w:rsid w:val="0065262F"/>
    <w:rsid w:val="0065264C"/>
    <w:rsid w:val="0065275A"/>
    <w:rsid w:val="006527E7"/>
    <w:rsid w:val="006527FF"/>
    <w:rsid w:val="0065286A"/>
    <w:rsid w:val="006528AD"/>
    <w:rsid w:val="00652996"/>
    <w:rsid w:val="006529CB"/>
    <w:rsid w:val="00652B5B"/>
    <w:rsid w:val="00652B77"/>
    <w:rsid w:val="00652B81"/>
    <w:rsid w:val="00652B83"/>
    <w:rsid w:val="00652CB3"/>
    <w:rsid w:val="00652CE5"/>
    <w:rsid w:val="00652CF0"/>
    <w:rsid w:val="00652E18"/>
    <w:rsid w:val="00652ECF"/>
    <w:rsid w:val="00652F7E"/>
    <w:rsid w:val="00652FA2"/>
    <w:rsid w:val="00653027"/>
    <w:rsid w:val="0065302E"/>
    <w:rsid w:val="00653040"/>
    <w:rsid w:val="006530A5"/>
    <w:rsid w:val="006531CE"/>
    <w:rsid w:val="0065330E"/>
    <w:rsid w:val="006533FD"/>
    <w:rsid w:val="0065342D"/>
    <w:rsid w:val="00653453"/>
    <w:rsid w:val="0065347C"/>
    <w:rsid w:val="00653494"/>
    <w:rsid w:val="0065358E"/>
    <w:rsid w:val="0065373B"/>
    <w:rsid w:val="00653894"/>
    <w:rsid w:val="00653895"/>
    <w:rsid w:val="006538AA"/>
    <w:rsid w:val="00653975"/>
    <w:rsid w:val="00653A2A"/>
    <w:rsid w:val="00653A88"/>
    <w:rsid w:val="00653B5A"/>
    <w:rsid w:val="00653BD4"/>
    <w:rsid w:val="00653C15"/>
    <w:rsid w:val="00653C25"/>
    <w:rsid w:val="00653D2E"/>
    <w:rsid w:val="00653DF5"/>
    <w:rsid w:val="00653E2F"/>
    <w:rsid w:val="00653EA9"/>
    <w:rsid w:val="00653F3D"/>
    <w:rsid w:val="00653F5B"/>
    <w:rsid w:val="00653F62"/>
    <w:rsid w:val="00653F6F"/>
    <w:rsid w:val="00653F8C"/>
    <w:rsid w:val="00653FD4"/>
    <w:rsid w:val="00654017"/>
    <w:rsid w:val="00654029"/>
    <w:rsid w:val="00654054"/>
    <w:rsid w:val="00654061"/>
    <w:rsid w:val="0065406F"/>
    <w:rsid w:val="0065407D"/>
    <w:rsid w:val="0065410C"/>
    <w:rsid w:val="00654114"/>
    <w:rsid w:val="0065411B"/>
    <w:rsid w:val="00654134"/>
    <w:rsid w:val="00654169"/>
    <w:rsid w:val="006542EF"/>
    <w:rsid w:val="006542FB"/>
    <w:rsid w:val="00654372"/>
    <w:rsid w:val="00654683"/>
    <w:rsid w:val="006546CC"/>
    <w:rsid w:val="006547DB"/>
    <w:rsid w:val="00654832"/>
    <w:rsid w:val="0065489B"/>
    <w:rsid w:val="006549C4"/>
    <w:rsid w:val="006549CF"/>
    <w:rsid w:val="006549E4"/>
    <w:rsid w:val="00654A3D"/>
    <w:rsid w:val="00654B25"/>
    <w:rsid w:val="00654B2A"/>
    <w:rsid w:val="00654B40"/>
    <w:rsid w:val="00654C4E"/>
    <w:rsid w:val="00654C66"/>
    <w:rsid w:val="00654C69"/>
    <w:rsid w:val="00654D10"/>
    <w:rsid w:val="00654D58"/>
    <w:rsid w:val="00654D87"/>
    <w:rsid w:val="00654DD5"/>
    <w:rsid w:val="00654DE0"/>
    <w:rsid w:val="00654E17"/>
    <w:rsid w:val="00654ECD"/>
    <w:rsid w:val="00654F88"/>
    <w:rsid w:val="00654FE4"/>
    <w:rsid w:val="00655053"/>
    <w:rsid w:val="006550A8"/>
    <w:rsid w:val="006550B6"/>
    <w:rsid w:val="006550DC"/>
    <w:rsid w:val="006550EF"/>
    <w:rsid w:val="00655117"/>
    <w:rsid w:val="006551B6"/>
    <w:rsid w:val="006551D2"/>
    <w:rsid w:val="0065522F"/>
    <w:rsid w:val="00655248"/>
    <w:rsid w:val="006553CD"/>
    <w:rsid w:val="006555CF"/>
    <w:rsid w:val="00655715"/>
    <w:rsid w:val="00655771"/>
    <w:rsid w:val="0065580B"/>
    <w:rsid w:val="00655815"/>
    <w:rsid w:val="00655913"/>
    <w:rsid w:val="00655A12"/>
    <w:rsid w:val="00655ACA"/>
    <w:rsid w:val="00655B11"/>
    <w:rsid w:val="00655BB5"/>
    <w:rsid w:val="00655C88"/>
    <w:rsid w:val="00655D6C"/>
    <w:rsid w:val="00655E27"/>
    <w:rsid w:val="00655ECD"/>
    <w:rsid w:val="00655ECF"/>
    <w:rsid w:val="00655F3F"/>
    <w:rsid w:val="00655F96"/>
    <w:rsid w:val="00655FE3"/>
    <w:rsid w:val="006560DB"/>
    <w:rsid w:val="00656126"/>
    <w:rsid w:val="00656182"/>
    <w:rsid w:val="0065618F"/>
    <w:rsid w:val="0065630D"/>
    <w:rsid w:val="006563FC"/>
    <w:rsid w:val="0065643E"/>
    <w:rsid w:val="006564DD"/>
    <w:rsid w:val="00656614"/>
    <w:rsid w:val="00656629"/>
    <w:rsid w:val="00656702"/>
    <w:rsid w:val="00656744"/>
    <w:rsid w:val="0065679A"/>
    <w:rsid w:val="0065686B"/>
    <w:rsid w:val="006569BF"/>
    <w:rsid w:val="006569CA"/>
    <w:rsid w:val="006569F5"/>
    <w:rsid w:val="00656A4F"/>
    <w:rsid w:val="00656A94"/>
    <w:rsid w:val="00656AA6"/>
    <w:rsid w:val="00656ABF"/>
    <w:rsid w:val="00656BB9"/>
    <w:rsid w:val="00656C15"/>
    <w:rsid w:val="00656C70"/>
    <w:rsid w:val="00656D05"/>
    <w:rsid w:val="00656D27"/>
    <w:rsid w:val="00656F51"/>
    <w:rsid w:val="00656F5D"/>
    <w:rsid w:val="00656F68"/>
    <w:rsid w:val="00656F85"/>
    <w:rsid w:val="00656F8C"/>
    <w:rsid w:val="00657042"/>
    <w:rsid w:val="00657146"/>
    <w:rsid w:val="006571D4"/>
    <w:rsid w:val="0065730E"/>
    <w:rsid w:val="006573A6"/>
    <w:rsid w:val="006574B8"/>
    <w:rsid w:val="00657532"/>
    <w:rsid w:val="006575AE"/>
    <w:rsid w:val="00657669"/>
    <w:rsid w:val="00657705"/>
    <w:rsid w:val="00657712"/>
    <w:rsid w:val="0065773E"/>
    <w:rsid w:val="00657751"/>
    <w:rsid w:val="006577D2"/>
    <w:rsid w:val="00657811"/>
    <w:rsid w:val="00657862"/>
    <w:rsid w:val="00657926"/>
    <w:rsid w:val="0065792E"/>
    <w:rsid w:val="00657944"/>
    <w:rsid w:val="00657953"/>
    <w:rsid w:val="006579B8"/>
    <w:rsid w:val="006579EF"/>
    <w:rsid w:val="00657A4B"/>
    <w:rsid w:val="00657B60"/>
    <w:rsid w:val="00657CB0"/>
    <w:rsid w:val="00657D02"/>
    <w:rsid w:val="00657D3C"/>
    <w:rsid w:val="00657E28"/>
    <w:rsid w:val="00657E62"/>
    <w:rsid w:val="00657EFF"/>
    <w:rsid w:val="00657F06"/>
    <w:rsid w:val="00657F4F"/>
    <w:rsid w:val="00657FC7"/>
    <w:rsid w:val="00660084"/>
    <w:rsid w:val="00660089"/>
    <w:rsid w:val="006600E5"/>
    <w:rsid w:val="00660250"/>
    <w:rsid w:val="00660256"/>
    <w:rsid w:val="006602C3"/>
    <w:rsid w:val="00660322"/>
    <w:rsid w:val="00660350"/>
    <w:rsid w:val="00660380"/>
    <w:rsid w:val="0066038E"/>
    <w:rsid w:val="00660392"/>
    <w:rsid w:val="00660424"/>
    <w:rsid w:val="00660439"/>
    <w:rsid w:val="00660458"/>
    <w:rsid w:val="00660459"/>
    <w:rsid w:val="006604FB"/>
    <w:rsid w:val="0066058B"/>
    <w:rsid w:val="006605E9"/>
    <w:rsid w:val="006605ED"/>
    <w:rsid w:val="0066061D"/>
    <w:rsid w:val="0066065E"/>
    <w:rsid w:val="0066075F"/>
    <w:rsid w:val="006607B7"/>
    <w:rsid w:val="00660848"/>
    <w:rsid w:val="0066091C"/>
    <w:rsid w:val="006609F6"/>
    <w:rsid w:val="006609F8"/>
    <w:rsid w:val="00660A1A"/>
    <w:rsid w:val="00660A96"/>
    <w:rsid w:val="00660A9A"/>
    <w:rsid w:val="00660B09"/>
    <w:rsid w:val="00660B36"/>
    <w:rsid w:val="00660B8E"/>
    <w:rsid w:val="00660D4F"/>
    <w:rsid w:val="00660D6B"/>
    <w:rsid w:val="00660E7E"/>
    <w:rsid w:val="00660F26"/>
    <w:rsid w:val="00660F2A"/>
    <w:rsid w:val="00660F5E"/>
    <w:rsid w:val="00660F60"/>
    <w:rsid w:val="00661039"/>
    <w:rsid w:val="0066108A"/>
    <w:rsid w:val="006610A6"/>
    <w:rsid w:val="00661157"/>
    <w:rsid w:val="00661159"/>
    <w:rsid w:val="0066118E"/>
    <w:rsid w:val="00661265"/>
    <w:rsid w:val="006612AD"/>
    <w:rsid w:val="006612B2"/>
    <w:rsid w:val="006612D6"/>
    <w:rsid w:val="0066135B"/>
    <w:rsid w:val="006613BC"/>
    <w:rsid w:val="006614AC"/>
    <w:rsid w:val="0066150A"/>
    <w:rsid w:val="0066151E"/>
    <w:rsid w:val="0066151F"/>
    <w:rsid w:val="006615E5"/>
    <w:rsid w:val="00661683"/>
    <w:rsid w:val="006616A8"/>
    <w:rsid w:val="006616EB"/>
    <w:rsid w:val="00661703"/>
    <w:rsid w:val="0066170C"/>
    <w:rsid w:val="0066176F"/>
    <w:rsid w:val="006617D0"/>
    <w:rsid w:val="006617DF"/>
    <w:rsid w:val="00661943"/>
    <w:rsid w:val="006619E4"/>
    <w:rsid w:val="00661A31"/>
    <w:rsid w:val="00661AF6"/>
    <w:rsid w:val="00661B5C"/>
    <w:rsid w:val="00661BA9"/>
    <w:rsid w:val="00661BE9"/>
    <w:rsid w:val="00661C17"/>
    <w:rsid w:val="00661C21"/>
    <w:rsid w:val="00661D8A"/>
    <w:rsid w:val="00661E10"/>
    <w:rsid w:val="00661E7F"/>
    <w:rsid w:val="00661E98"/>
    <w:rsid w:val="00661EE6"/>
    <w:rsid w:val="00661FDD"/>
    <w:rsid w:val="00662000"/>
    <w:rsid w:val="0066223C"/>
    <w:rsid w:val="00662287"/>
    <w:rsid w:val="006622B6"/>
    <w:rsid w:val="006623D2"/>
    <w:rsid w:val="0066242B"/>
    <w:rsid w:val="0066244A"/>
    <w:rsid w:val="00662538"/>
    <w:rsid w:val="00662550"/>
    <w:rsid w:val="00662613"/>
    <w:rsid w:val="00662685"/>
    <w:rsid w:val="0066274F"/>
    <w:rsid w:val="006627A6"/>
    <w:rsid w:val="006628C3"/>
    <w:rsid w:val="0066291A"/>
    <w:rsid w:val="0066291D"/>
    <w:rsid w:val="0066293F"/>
    <w:rsid w:val="00662980"/>
    <w:rsid w:val="00662B6F"/>
    <w:rsid w:val="00662C31"/>
    <w:rsid w:val="00662CB5"/>
    <w:rsid w:val="00662DF0"/>
    <w:rsid w:val="00662E16"/>
    <w:rsid w:val="00662E64"/>
    <w:rsid w:val="00662EA2"/>
    <w:rsid w:val="00662F1A"/>
    <w:rsid w:val="00662F2D"/>
    <w:rsid w:val="00662F4A"/>
    <w:rsid w:val="00662FE1"/>
    <w:rsid w:val="00663008"/>
    <w:rsid w:val="0066304D"/>
    <w:rsid w:val="006631C4"/>
    <w:rsid w:val="006632B8"/>
    <w:rsid w:val="00663326"/>
    <w:rsid w:val="006633C8"/>
    <w:rsid w:val="00663441"/>
    <w:rsid w:val="0066344E"/>
    <w:rsid w:val="006634A0"/>
    <w:rsid w:val="006634C3"/>
    <w:rsid w:val="006635A2"/>
    <w:rsid w:val="006635CE"/>
    <w:rsid w:val="006635D1"/>
    <w:rsid w:val="006635E7"/>
    <w:rsid w:val="006635FD"/>
    <w:rsid w:val="00663669"/>
    <w:rsid w:val="006636AD"/>
    <w:rsid w:val="00663742"/>
    <w:rsid w:val="00663837"/>
    <w:rsid w:val="006638E7"/>
    <w:rsid w:val="00663AE1"/>
    <w:rsid w:val="00663AEA"/>
    <w:rsid w:val="00663C29"/>
    <w:rsid w:val="00663C75"/>
    <w:rsid w:val="00663CBA"/>
    <w:rsid w:val="00663D5A"/>
    <w:rsid w:val="00663D75"/>
    <w:rsid w:val="00663DBA"/>
    <w:rsid w:val="00663DE0"/>
    <w:rsid w:val="00663ED0"/>
    <w:rsid w:val="00663EFA"/>
    <w:rsid w:val="0066404D"/>
    <w:rsid w:val="006640C8"/>
    <w:rsid w:val="006641BF"/>
    <w:rsid w:val="006643BD"/>
    <w:rsid w:val="0066447E"/>
    <w:rsid w:val="00664482"/>
    <w:rsid w:val="006644BE"/>
    <w:rsid w:val="00664598"/>
    <w:rsid w:val="006645B9"/>
    <w:rsid w:val="00664653"/>
    <w:rsid w:val="006647D7"/>
    <w:rsid w:val="00664802"/>
    <w:rsid w:val="006648FC"/>
    <w:rsid w:val="00664963"/>
    <w:rsid w:val="00664A8B"/>
    <w:rsid w:val="00664AF1"/>
    <w:rsid w:val="00664AF3"/>
    <w:rsid w:val="00664B17"/>
    <w:rsid w:val="00664BE2"/>
    <w:rsid w:val="00664DE0"/>
    <w:rsid w:val="00664E41"/>
    <w:rsid w:val="00664EA3"/>
    <w:rsid w:val="00664EFB"/>
    <w:rsid w:val="00664F0E"/>
    <w:rsid w:val="00665118"/>
    <w:rsid w:val="0066511F"/>
    <w:rsid w:val="0066515B"/>
    <w:rsid w:val="0066516F"/>
    <w:rsid w:val="006651F2"/>
    <w:rsid w:val="0066530F"/>
    <w:rsid w:val="00665382"/>
    <w:rsid w:val="00665416"/>
    <w:rsid w:val="0066545C"/>
    <w:rsid w:val="006654C5"/>
    <w:rsid w:val="006654D8"/>
    <w:rsid w:val="00665512"/>
    <w:rsid w:val="00665585"/>
    <w:rsid w:val="006655B5"/>
    <w:rsid w:val="006655F0"/>
    <w:rsid w:val="00665616"/>
    <w:rsid w:val="0066563F"/>
    <w:rsid w:val="00665656"/>
    <w:rsid w:val="0066565E"/>
    <w:rsid w:val="00665776"/>
    <w:rsid w:val="006657A7"/>
    <w:rsid w:val="006657EA"/>
    <w:rsid w:val="006658B8"/>
    <w:rsid w:val="0066598C"/>
    <w:rsid w:val="00665A57"/>
    <w:rsid w:val="00665BDA"/>
    <w:rsid w:val="00665C83"/>
    <w:rsid w:val="00665D34"/>
    <w:rsid w:val="00665F38"/>
    <w:rsid w:val="00665F4C"/>
    <w:rsid w:val="00665F6A"/>
    <w:rsid w:val="00665F9B"/>
    <w:rsid w:val="00665FEC"/>
    <w:rsid w:val="0066606D"/>
    <w:rsid w:val="006660CD"/>
    <w:rsid w:val="006660D8"/>
    <w:rsid w:val="00666256"/>
    <w:rsid w:val="00666299"/>
    <w:rsid w:val="0066647A"/>
    <w:rsid w:val="006664A0"/>
    <w:rsid w:val="006664B7"/>
    <w:rsid w:val="00666548"/>
    <w:rsid w:val="006665C2"/>
    <w:rsid w:val="006665D3"/>
    <w:rsid w:val="0066672B"/>
    <w:rsid w:val="00666765"/>
    <w:rsid w:val="006667B1"/>
    <w:rsid w:val="006667DB"/>
    <w:rsid w:val="006667DC"/>
    <w:rsid w:val="006667DD"/>
    <w:rsid w:val="00666816"/>
    <w:rsid w:val="00666927"/>
    <w:rsid w:val="006669F2"/>
    <w:rsid w:val="00666AEA"/>
    <w:rsid w:val="00666C18"/>
    <w:rsid w:val="00666C35"/>
    <w:rsid w:val="00666DD0"/>
    <w:rsid w:val="00666E19"/>
    <w:rsid w:val="00666E90"/>
    <w:rsid w:val="00666F4E"/>
    <w:rsid w:val="00666FFA"/>
    <w:rsid w:val="0066700B"/>
    <w:rsid w:val="00667025"/>
    <w:rsid w:val="00667067"/>
    <w:rsid w:val="0066720C"/>
    <w:rsid w:val="0066733E"/>
    <w:rsid w:val="00667396"/>
    <w:rsid w:val="00667397"/>
    <w:rsid w:val="0066740F"/>
    <w:rsid w:val="006674C7"/>
    <w:rsid w:val="00667597"/>
    <w:rsid w:val="006675DA"/>
    <w:rsid w:val="00667665"/>
    <w:rsid w:val="006676BA"/>
    <w:rsid w:val="0066774D"/>
    <w:rsid w:val="00667780"/>
    <w:rsid w:val="00667825"/>
    <w:rsid w:val="00667831"/>
    <w:rsid w:val="006678C8"/>
    <w:rsid w:val="006678D9"/>
    <w:rsid w:val="006679BD"/>
    <w:rsid w:val="00667AC7"/>
    <w:rsid w:val="00667C21"/>
    <w:rsid w:val="00667CE6"/>
    <w:rsid w:val="00667D08"/>
    <w:rsid w:val="00667D6D"/>
    <w:rsid w:val="00667D91"/>
    <w:rsid w:val="00667DF4"/>
    <w:rsid w:val="00667E04"/>
    <w:rsid w:val="00667E33"/>
    <w:rsid w:val="00667E46"/>
    <w:rsid w:val="00667E71"/>
    <w:rsid w:val="00667EDF"/>
    <w:rsid w:val="00667F60"/>
    <w:rsid w:val="00667F8F"/>
    <w:rsid w:val="0067005B"/>
    <w:rsid w:val="0067009B"/>
    <w:rsid w:val="006700D2"/>
    <w:rsid w:val="006700E4"/>
    <w:rsid w:val="006700F6"/>
    <w:rsid w:val="006701BF"/>
    <w:rsid w:val="006701CF"/>
    <w:rsid w:val="00670201"/>
    <w:rsid w:val="0067034F"/>
    <w:rsid w:val="006703EC"/>
    <w:rsid w:val="006703F6"/>
    <w:rsid w:val="0067042A"/>
    <w:rsid w:val="0067049E"/>
    <w:rsid w:val="006704E4"/>
    <w:rsid w:val="00670503"/>
    <w:rsid w:val="00670631"/>
    <w:rsid w:val="00670637"/>
    <w:rsid w:val="00670670"/>
    <w:rsid w:val="00670790"/>
    <w:rsid w:val="0067094F"/>
    <w:rsid w:val="00670967"/>
    <w:rsid w:val="006709AA"/>
    <w:rsid w:val="00670A13"/>
    <w:rsid w:val="00670B31"/>
    <w:rsid w:val="00670B9C"/>
    <w:rsid w:val="00670B9D"/>
    <w:rsid w:val="00670BE1"/>
    <w:rsid w:val="00670C7B"/>
    <w:rsid w:val="00670CE7"/>
    <w:rsid w:val="00670E72"/>
    <w:rsid w:val="00670ED3"/>
    <w:rsid w:val="00670F19"/>
    <w:rsid w:val="00670F57"/>
    <w:rsid w:val="00670F99"/>
    <w:rsid w:val="00671052"/>
    <w:rsid w:val="0067107C"/>
    <w:rsid w:val="00671099"/>
    <w:rsid w:val="006710C3"/>
    <w:rsid w:val="00671147"/>
    <w:rsid w:val="006712A3"/>
    <w:rsid w:val="006712E9"/>
    <w:rsid w:val="00671329"/>
    <w:rsid w:val="006713BF"/>
    <w:rsid w:val="006713CB"/>
    <w:rsid w:val="006713D9"/>
    <w:rsid w:val="00671452"/>
    <w:rsid w:val="00671502"/>
    <w:rsid w:val="00671561"/>
    <w:rsid w:val="0067158E"/>
    <w:rsid w:val="006716AD"/>
    <w:rsid w:val="006716F3"/>
    <w:rsid w:val="00671732"/>
    <w:rsid w:val="0067175C"/>
    <w:rsid w:val="00671789"/>
    <w:rsid w:val="006717D5"/>
    <w:rsid w:val="006717ED"/>
    <w:rsid w:val="0067182B"/>
    <w:rsid w:val="00671874"/>
    <w:rsid w:val="006718A5"/>
    <w:rsid w:val="006718C4"/>
    <w:rsid w:val="006718FA"/>
    <w:rsid w:val="00671950"/>
    <w:rsid w:val="0067196B"/>
    <w:rsid w:val="0067199C"/>
    <w:rsid w:val="006719C0"/>
    <w:rsid w:val="006719E0"/>
    <w:rsid w:val="00671A4E"/>
    <w:rsid w:val="00671B60"/>
    <w:rsid w:val="00671BA8"/>
    <w:rsid w:val="00671C72"/>
    <w:rsid w:val="00671D53"/>
    <w:rsid w:val="00671E8F"/>
    <w:rsid w:val="00671ED8"/>
    <w:rsid w:val="00671F05"/>
    <w:rsid w:val="006721A7"/>
    <w:rsid w:val="006721AA"/>
    <w:rsid w:val="00672291"/>
    <w:rsid w:val="006722AA"/>
    <w:rsid w:val="00672311"/>
    <w:rsid w:val="00672368"/>
    <w:rsid w:val="006723B4"/>
    <w:rsid w:val="00672495"/>
    <w:rsid w:val="00672553"/>
    <w:rsid w:val="006725CD"/>
    <w:rsid w:val="006725DA"/>
    <w:rsid w:val="00672603"/>
    <w:rsid w:val="00672606"/>
    <w:rsid w:val="006726B8"/>
    <w:rsid w:val="0067271B"/>
    <w:rsid w:val="0067277C"/>
    <w:rsid w:val="00672786"/>
    <w:rsid w:val="0067289A"/>
    <w:rsid w:val="0067293B"/>
    <w:rsid w:val="00672A44"/>
    <w:rsid w:val="00672B22"/>
    <w:rsid w:val="00672B45"/>
    <w:rsid w:val="00672B57"/>
    <w:rsid w:val="00672CAE"/>
    <w:rsid w:val="00672DB9"/>
    <w:rsid w:val="00672E1C"/>
    <w:rsid w:val="00672E52"/>
    <w:rsid w:val="00672E86"/>
    <w:rsid w:val="00672F55"/>
    <w:rsid w:val="00672F92"/>
    <w:rsid w:val="00672FE5"/>
    <w:rsid w:val="006730AD"/>
    <w:rsid w:val="0067312C"/>
    <w:rsid w:val="00673188"/>
    <w:rsid w:val="0067333C"/>
    <w:rsid w:val="00673351"/>
    <w:rsid w:val="006733AB"/>
    <w:rsid w:val="006734A0"/>
    <w:rsid w:val="006734D4"/>
    <w:rsid w:val="006735B8"/>
    <w:rsid w:val="00673622"/>
    <w:rsid w:val="0067367A"/>
    <w:rsid w:val="006737C8"/>
    <w:rsid w:val="006737E1"/>
    <w:rsid w:val="006737ED"/>
    <w:rsid w:val="0067382A"/>
    <w:rsid w:val="0067382B"/>
    <w:rsid w:val="0067388F"/>
    <w:rsid w:val="00673912"/>
    <w:rsid w:val="00673A17"/>
    <w:rsid w:val="00673A2F"/>
    <w:rsid w:val="00673BD9"/>
    <w:rsid w:val="00673C11"/>
    <w:rsid w:val="00673C1A"/>
    <w:rsid w:val="00673C82"/>
    <w:rsid w:val="00673CC2"/>
    <w:rsid w:val="00673DB6"/>
    <w:rsid w:val="00673E96"/>
    <w:rsid w:val="00673EFF"/>
    <w:rsid w:val="00673F16"/>
    <w:rsid w:val="00673FAA"/>
    <w:rsid w:val="00673FBE"/>
    <w:rsid w:val="00673FC4"/>
    <w:rsid w:val="00673FFA"/>
    <w:rsid w:val="0067401D"/>
    <w:rsid w:val="006740B6"/>
    <w:rsid w:val="0067410B"/>
    <w:rsid w:val="00674205"/>
    <w:rsid w:val="0067423E"/>
    <w:rsid w:val="0067435B"/>
    <w:rsid w:val="006743B8"/>
    <w:rsid w:val="006743C3"/>
    <w:rsid w:val="00674437"/>
    <w:rsid w:val="00674447"/>
    <w:rsid w:val="006745A3"/>
    <w:rsid w:val="0067461C"/>
    <w:rsid w:val="00674653"/>
    <w:rsid w:val="00674748"/>
    <w:rsid w:val="00674754"/>
    <w:rsid w:val="00674792"/>
    <w:rsid w:val="0067479C"/>
    <w:rsid w:val="006747C3"/>
    <w:rsid w:val="00674800"/>
    <w:rsid w:val="006748E3"/>
    <w:rsid w:val="00674938"/>
    <w:rsid w:val="00674B8D"/>
    <w:rsid w:val="00674BB0"/>
    <w:rsid w:val="00674C2A"/>
    <w:rsid w:val="00674C56"/>
    <w:rsid w:val="00674D18"/>
    <w:rsid w:val="00674DFC"/>
    <w:rsid w:val="00674EE6"/>
    <w:rsid w:val="00674FE8"/>
    <w:rsid w:val="0067506C"/>
    <w:rsid w:val="00675074"/>
    <w:rsid w:val="006750E1"/>
    <w:rsid w:val="00675153"/>
    <w:rsid w:val="006751C3"/>
    <w:rsid w:val="006751F4"/>
    <w:rsid w:val="00675267"/>
    <w:rsid w:val="00675362"/>
    <w:rsid w:val="006753AC"/>
    <w:rsid w:val="00675417"/>
    <w:rsid w:val="0067543D"/>
    <w:rsid w:val="0067550C"/>
    <w:rsid w:val="00675584"/>
    <w:rsid w:val="00675807"/>
    <w:rsid w:val="00675874"/>
    <w:rsid w:val="0067588E"/>
    <w:rsid w:val="00675902"/>
    <w:rsid w:val="0067593D"/>
    <w:rsid w:val="0067597B"/>
    <w:rsid w:val="006759D6"/>
    <w:rsid w:val="00675A06"/>
    <w:rsid w:val="00675A97"/>
    <w:rsid w:val="00675ABA"/>
    <w:rsid w:val="00675ACF"/>
    <w:rsid w:val="00675BF6"/>
    <w:rsid w:val="00675C1F"/>
    <w:rsid w:val="00675CCB"/>
    <w:rsid w:val="00675D52"/>
    <w:rsid w:val="00675E9F"/>
    <w:rsid w:val="00675F17"/>
    <w:rsid w:val="00675F21"/>
    <w:rsid w:val="00675FEB"/>
    <w:rsid w:val="0067600D"/>
    <w:rsid w:val="0067602A"/>
    <w:rsid w:val="00676039"/>
    <w:rsid w:val="0067605F"/>
    <w:rsid w:val="0067606E"/>
    <w:rsid w:val="00676077"/>
    <w:rsid w:val="0067608A"/>
    <w:rsid w:val="0067621A"/>
    <w:rsid w:val="006762C2"/>
    <w:rsid w:val="006762F7"/>
    <w:rsid w:val="0067637A"/>
    <w:rsid w:val="006763CF"/>
    <w:rsid w:val="006763FD"/>
    <w:rsid w:val="00676400"/>
    <w:rsid w:val="006764E9"/>
    <w:rsid w:val="0067653F"/>
    <w:rsid w:val="006765E5"/>
    <w:rsid w:val="006766B0"/>
    <w:rsid w:val="006766F1"/>
    <w:rsid w:val="0067682A"/>
    <w:rsid w:val="0067688F"/>
    <w:rsid w:val="00676892"/>
    <w:rsid w:val="00676895"/>
    <w:rsid w:val="006768F8"/>
    <w:rsid w:val="00676981"/>
    <w:rsid w:val="00676A3A"/>
    <w:rsid w:val="00676AE0"/>
    <w:rsid w:val="00676B3A"/>
    <w:rsid w:val="00676B5D"/>
    <w:rsid w:val="00676B9F"/>
    <w:rsid w:val="00676C2D"/>
    <w:rsid w:val="00676C78"/>
    <w:rsid w:val="00676C83"/>
    <w:rsid w:val="00676DAA"/>
    <w:rsid w:val="00676DED"/>
    <w:rsid w:val="00676DF9"/>
    <w:rsid w:val="00676E7A"/>
    <w:rsid w:val="00676F57"/>
    <w:rsid w:val="00676F99"/>
    <w:rsid w:val="006771A1"/>
    <w:rsid w:val="006773F7"/>
    <w:rsid w:val="00677410"/>
    <w:rsid w:val="0067747B"/>
    <w:rsid w:val="006774CD"/>
    <w:rsid w:val="006774D2"/>
    <w:rsid w:val="006775AE"/>
    <w:rsid w:val="00677663"/>
    <w:rsid w:val="00677689"/>
    <w:rsid w:val="0067768B"/>
    <w:rsid w:val="0067769C"/>
    <w:rsid w:val="006776AA"/>
    <w:rsid w:val="00677799"/>
    <w:rsid w:val="006777CD"/>
    <w:rsid w:val="006777D4"/>
    <w:rsid w:val="00677838"/>
    <w:rsid w:val="0067788F"/>
    <w:rsid w:val="00677895"/>
    <w:rsid w:val="0067792B"/>
    <w:rsid w:val="0067798A"/>
    <w:rsid w:val="006779CB"/>
    <w:rsid w:val="00677AB5"/>
    <w:rsid w:val="00677AC4"/>
    <w:rsid w:val="00677B41"/>
    <w:rsid w:val="00677C0B"/>
    <w:rsid w:val="00677C28"/>
    <w:rsid w:val="00677C7A"/>
    <w:rsid w:val="00677DA9"/>
    <w:rsid w:val="00677F03"/>
    <w:rsid w:val="00677F0B"/>
    <w:rsid w:val="00677F5F"/>
    <w:rsid w:val="00677F62"/>
    <w:rsid w:val="00677FD9"/>
    <w:rsid w:val="00680013"/>
    <w:rsid w:val="00680063"/>
    <w:rsid w:val="00680071"/>
    <w:rsid w:val="006800A4"/>
    <w:rsid w:val="00680190"/>
    <w:rsid w:val="006801EF"/>
    <w:rsid w:val="00680216"/>
    <w:rsid w:val="00680256"/>
    <w:rsid w:val="0068035C"/>
    <w:rsid w:val="0068047E"/>
    <w:rsid w:val="00680549"/>
    <w:rsid w:val="0068056E"/>
    <w:rsid w:val="00680585"/>
    <w:rsid w:val="0068062C"/>
    <w:rsid w:val="00680649"/>
    <w:rsid w:val="006807B4"/>
    <w:rsid w:val="00680831"/>
    <w:rsid w:val="00680A64"/>
    <w:rsid w:val="00680AEA"/>
    <w:rsid w:val="00680B8A"/>
    <w:rsid w:val="00680C78"/>
    <w:rsid w:val="00680CCA"/>
    <w:rsid w:val="00680DC8"/>
    <w:rsid w:val="00680DED"/>
    <w:rsid w:val="00680E16"/>
    <w:rsid w:val="00680E45"/>
    <w:rsid w:val="00680E53"/>
    <w:rsid w:val="00680E60"/>
    <w:rsid w:val="00680E7E"/>
    <w:rsid w:val="00680EC8"/>
    <w:rsid w:val="00680ECD"/>
    <w:rsid w:val="00680ED0"/>
    <w:rsid w:val="00680ED9"/>
    <w:rsid w:val="00680F37"/>
    <w:rsid w:val="00680F73"/>
    <w:rsid w:val="00680F8A"/>
    <w:rsid w:val="00681046"/>
    <w:rsid w:val="00681082"/>
    <w:rsid w:val="00681113"/>
    <w:rsid w:val="0068118B"/>
    <w:rsid w:val="00681289"/>
    <w:rsid w:val="0068130C"/>
    <w:rsid w:val="00681390"/>
    <w:rsid w:val="006814D3"/>
    <w:rsid w:val="0068153A"/>
    <w:rsid w:val="006815B9"/>
    <w:rsid w:val="006816D3"/>
    <w:rsid w:val="00681789"/>
    <w:rsid w:val="00681791"/>
    <w:rsid w:val="006817AE"/>
    <w:rsid w:val="006817B3"/>
    <w:rsid w:val="006817D7"/>
    <w:rsid w:val="006818DC"/>
    <w:rsid w:val="0068194F"/>
    <w:rsid w:val="0068198B"/>
    <w:rsid w:val="006819F2"/>
    <w:rsid w:val="00681AE6"/>
    <w:rsid w:val="00681B05"/>
    <w:rsid w:val="00681B6E"/>
    <w:rsid w:val="00681B7F"/>
    <w:rsid w:val="00681C77"/>
    <w:rsid w:val="00681CD0"/>
    <w:rsid w:val="00681CE8"/>
    <w:rsid w:val="00681E71"/>
    <w:rsid w:val="00681EA4"/>
    <w:rsid w:val="00682048"/>
    <w:rsid w:val="00682077"/>
    <w:rsid w:val="006820D6"/>
    <w:rsid w:val="0068211F"/>
    <w:rsid w:val="006821E6"/>
    <w:rsid w:val="006822FD"/>
    <w:rsid w:val="006823C7"/>
    <w:rsid w:val="006823D5"/>
    <w:rsid w:val="006824BE"/>
    <w:rsid w:val="0068259B"/>
    <w:rsid w:val="006826D2"/>
    <w:rsid w:val="006826F7"/>
    <w:rsid w:val="00682713"/>
    <w:rsid w:val="006827E4"/>
    <w:rsid w:val="00682913"/>
    <w:rsid w:val="00682977"/>
    <w:rsid w:val="00682984"/>
    <w:rsid w:val="006829A2"/>
    <w:rsid w:val="006829FE"/>
    <w:rsid w:val="00682A2D"/>
    <w:rsid w:val="00682A5D"/>
    <w:rsid w:val="00682A6B"/>
    <w:rsid w:val="00682A92"/>
    <w:rsid w:val="00682AD0"/>
    <w:rsid w:val="00682D04"/>
    <w:rsid w:val="00682D83"/>
    <w:rsid w:val="00682DD3"/>
    <w:rsid w:val="00682F15"/>
    <w:rsid w:val="00682F92"/>
    <w:rsid w:val="00682FA9"/>
    <w:rsid w:val="00683016"/>
    <w:rsid w:val="0068301F"/>
    <w:rsid w:val="0068306E"/>
    <w:rsid w:val="00683071"/>
    <w:rsid w:val="006830F0"/>
    <w:rsid w:val="00683142"/>
    <w:rsid w:val="0068314A"/>
    <w:rsid w:val="006832D0"/>
    <w:rsid w:val="00683319"/>
    <w:rsid w:val="006833A7"/>
    <w:rsid w:val="006833B9"/>
    <w:rsid w:val="00683458"/>
    <w:rsid w:val="00683494"/>
    <w:rsid w:val="0068349A"/>
    <w:rsid w:val="0068349C"/>
    <w:rsid w:val="006834C7"/>
    <w:rsid w:val="006834CA"/>
    <w:rsid w:val="006834DD"/>
    <w:rsid w:val="006835F0"/>
    <w:rsid w:val="006836EE"/>
    <w:rsid w:val="0068381D"/>
    <w:rsid w:val="0068384D"/>
    <w:rsid w:val="006838AC"/>
    <w:rsid w:val="006838C3"/>
    <w:rsid w:val="00683941"/>
    <w:rsid w:val="006839B1"/>
    <w:rsid w:val="006839F7"/>
    <w:rsid w:val="00683A16"/>
    <w:rsid w:val="00683B59"/>
    <w:rsid w:val="00683B7E"/>
    <w:rsid w:val="00683BC0"/>
    <w:rsid w:val="00683C0C"/>
    <w:rsid w:val="00683C93"/>
    <w:rsid w:val="00683C9D"/>
    <w:rsid w:val="00683D6F"/>
    <w:rsid w:val="00683E2F"/>
    <w:rsid w:val="00683F61"/>
    <w:rsid w:val="00683F76"/>
    <w:rsid w:val="00683FCE"/>
    <w:rsid w:val="0068401B"/>
    <w:rsid w:val="0068405E"/>
    <w:rsid w:val="006840A5"/>
    <w:rsid w:val="006840EC"/>
    <w:rsid w:val="006841ED"/>
    <w:rsid w:val="00684265"/>
    <w:rsid w:val="00684269"/>
    <w:rsid w:val="006842B0"/>
    <w:rsid w:val="0068433F"/>
    <w:rsid w:val="00684352"/>
    <w:rsid w:val="0068435E"/>
    <w:rsid w:val="0068436E"/>
    <w:rsid w:val="00684377"/>
    <w:rsid w:val="006843C2"/>
    <w:rsid w:val="006843CB"/>
    <w:rsid w:val="00684422"/>
    <w:rsid w:val="00684524"/>
    <w:rsid w:val="006845C3"/>
    <w:rsid w:val="006845E1"/>
    <w:rsid w:val="006845F5"/>
    <w:rsid w:val="006845FC"/>
    <w:rsid w:val="00684602"/>
    <w:rsid w:val="00684641"/>
    <w:rsid w:val="00684644"/>
    <w:rsid w:val="0068465D"/>
    <w:rsid w:val="00684660"/>
    <w:rsid w:val="006846D3"/>
    <w:rsid w:val="006846EA"/>
    <w:rsid w:val="0068472D"/>
    <w:rsid w:val="006847BC"/>
    <w:rsid w:val="006847E8"/>
    <w:rsid w:val="006847ED"/>
    <w:rsid w:val="006848B0"/>
    <w:rsid w:val="0068493B"/>
    <w:rsid w:val="00684A3C"/>
    <w:rsid w:val="00684AE9"/>
    <w:rsid w:val="00684AF8"/>
    <w:rsid w:val="00684B06"/>
    <w:rsid w:val="00684BAE"/>
    <w:rsid w:val="00684C61"/>
    <w:rsid w:val="00684D08"/>
    <w:rsid w:val="00684D1E"/>
    <w:rsid w:val="00684D4D"/>
    <w:rsid w:val="00684D6C"/>
    <w:rsid w:val="00684DF9"/>
    <w:rsid w:val="00684E07"/>
    <w:rsid w:val="006850DE"/>
    <w:rsid w:val="006850E5"/>
    <w:rsid w:val="006850FC"/>
    <w:rsid w:val="006851B6"/>
    <w:rsid w:val="006851CA"/>
    <w:rsid w:val="00685221"/>
    <w:rsid w:val="006852BF"/>
    <w:rsid w:val="00685336"/>
    <w:rsid w:val="006853BB"/>
    <w:rsid w:val="0068545C"/>
    <w:rsid w:val="00685688"/>
    <w:rsid w:val="006856B1"/>
    <w:rsid w:val="00685702"/>
    <w:rsid w:val="006857EA"/>
    <w:rsid w:val="00685894"/>
    <w:rsid w:val="006858D6"/>
    <w:rsid w:val="006859D1"/>
    <w:rsid w:val="00685A07"/>
    <w:rsid w:val="00685A75"/>
    <w:rsid w:val="00685A8D"/>
    <w:rsid w:val="00685ACF"/>
    <w:rsid w:val="00685ADE"/>
    <w:rsid w:val="00685B97"/>
    <w:rsid w:val="00685C2A"/>
    <w:rsid w:val="00685CE3"/>
    <w:rsid w:val="00685D41"/>
    <w:rsid w:val="00685D5D"/>
    <w:rsid w:val="00685DCF"/>
    <w:rsid w:val="00685DD9"/>
    <w:rsid w:val="00685DF0"/>
    <w:rsid w:val="00685E2A"/>
    <w:rsid w:val="00685F59"/>
    <w:rsid w:val="00685F91"/>
    <w:rsid w:val="00685F9E"/>
    <w:rsid w:val="00685FBF"/>
    <w:rsid w:val="00685FC8"/>
    <w:rsid w:val="006860DC"/>
    <w:rsid w:val="006860DD"/>
    <w:rsid w:val="0068618D"/>
    <w:rsid w:val="006861A6"/>
    <w:rsid w:val="006861AA"/>
    <w:rsid w:val="0068622E"/>
    <w:rsid w:val="006862A0"/>
    <w:rsid w:val="0068635E"/>
    <w:rsid w:val="00686412"/>
    <w:rsid w:val="006864AB"/>
    <w:rsid w:val="006864D1"/>
    <w:rsid w:val="006864FB"/>
    <w:rsid w:val="006865A2"/>
    <w:rsid w:val="006865DE"/>
    <w:rsid w:val="006865F7"/>
    <w:rsid w:val="00686635"/>
    <w:rsid w:val="00686640"/>
    <w:rsid w:val="0068667B"/>
    <w:rsid w:val="00686687"/>
    <w:rsid w:val="006866A8"/>
    <w:rsid w:val="006866CC"/>
    <w:rsid w:val="00686835"/>
    <w:rsid w:val="00686891"/>
    <w:rsid w:val="0068690A"/>
    <w:rsid w:val="00686939"/>
    <w:rsid w:val="00686A54"/>
    <w:rsid w:val="00686A67"/>
    <w:rsid w:val="00686A89"/>
    <w:rsid w:val="00686B72"/>
    <w:rsid w:val="00686B7C"/>
    <w:rsid w:val="00686C07"/>
    <w:rsid w:val="00686C96"/>
    <w:rsid w:val="00686CB2"/>
    <w:rsid w:val="00686D3F"/>
    <w:rsid w:val="00686EC5"/>
    <w:rsid w:val="00686EFF"/>
    <w:rsid w:val="00686F06"/>
    <w:rsid w:val="00686F0A"/>
    <w:rsid w:val="00686FF2"/>
    <w:rsid w:val="006870A4"/>
    <w:rsid w:val="006871EA"/>
    <w:rsid w:val="00687275"/>
    <w:rsid w:val="00687398"/>
    <w:rsid w:val="006873C9"/>
    <w:rsid w:val="006874F9"/>
    <w:rsid w:val="00687531"/>
    <w:rsid w:val="0068765C"/>
    <w:rsid w:val="0068771C"/>
    <w:rsid w:val="00687770"/>
    <w:rsid w:val="006877DC"/>
    <w:rsid w:val="0068784B"/>
    <w:rsid w:val="006878C5"/>
    <w:rsid w:val="0068798E"/>
    <w:rsid w:val="00687996"/>
    <w:rsid w:val="006879EF"/>
    <w:rsid w:val="00687AB5"/>
    <w:rsid w:val="00687B65"/>
    <w:rsid w:val="00687B77"/>
    <w:rsid w:val="00687BFC"/>
    <w:rsid w:val="00687C24"/>
    <w:rsid w:val="00687C89"/>
    <w:rsid w:val="00687D04"/>
    <w:rsid w:val="00687F10"/>
    <w:rsid w:val="00687F5E"/>
    <w:rsid w:val="00687FBE"/>
    <w:rsid w:val="00690006"/>
    <w:rsid w:val="00690012"/>
    <w:rsid w:val="006900CD"/>
    <w:rsid w:val="006904AB"/>
    <w:rsid w:val="006904DA"/>
    <w:rsid w:val="00690512"/>
    <w:rsid w:val="0069053F"/>
    <w:rsid w:val="006905CB"/>
    <w:rsid w:val="00690660"/>
    <w:rsid w:val="006907F2"/>
    <w:rsid w:val="006908C9"/>
    <w:rsid w:val="0069098D"/>
    <w:rsid w:val="00690A66"/>
    <w:rsid w:val="00690AA3"/>
    <w:rsid w:val="00690B08"/>
    <w:rsid w:val="00690C1A"/>
    <w:rsid w:val="00690C75"/>
    <w:rsid w:val="00690CDD"/>
    <w:rsid w:val="00690CE6"/>
    <w:rsid w:val="00690DC8"/>
    <w:rsid w:val="00690DEF"/>
    <w:rsid w:val="00690E4B"/>
    <w:rsid w:val="00690EB6"/>
    <w:rsid w:val="00690FE3"/>
    <w:rsid w:val="00690FF7"/>
    <w:rsid w:val="0069107A"/>
    <w:rsid w:val="00691080"/>
    <w:rsid w:val="006910BA"/>
    <w:rsid w:val="0069118D"/>
    <w:rsid w:val="00691218"/>
    <w:rsid w:val="006912FE"/>
    <w:rsid w:val="00691355"/>
    <w:rsid w:val="006913AC"/>
    <w:rsid w:val="006913B6"/>
    <w:rsid w:val="0069145B"/>
    <w:rsid w:val="00691485"/>
    <w:rsid w:val="006914A3"/>
    <w:rsid w:val="006914D5"/>
    <w:rsid w:val="006914F0"/>
    <w:rsid w:val="00691599"/>
    <w:rsid w:val="0069162C"/>
    <w:rsid w:val="00691640"/>
    <w:rsid w:val="0069165C"/>
    <w:rsid w:val="00691748"/>
    <w:rsid w:val="00691795"/>
    <w:rsid w:val="006917D6"/>
    <w:rsid w:val="006917E9"/>
    <w:rsid w:val="0069187B"/>
    <w:rsid w:val="00691892"/>
    <w:rsid w:val="006918E9"/>
    <w:rsid w:val="0069193D"/>
    <w:rsid w:val="00691984"/>
    <w:rsid w:val="00691A97"/>
    <w:rsid w:val="00691AB8"/>
    <w:rsid w:val="00691AEF"/>
    <w:rsid w:val="00691BB0"/>
    <w:rsid w:val="00691CFF"/>
    <w:rsid w:val="00691E0C"/>
    <w:rsid w:val="00691E15"/>
    <w:rsid w:val="00691E3D"/>
    <w:rsid w:val="00691E9B"/>
    <w:rsid w:val="00691F13"/>
    <w:rsid w:val="00691F5E"/>
    <w:rsid w:val="00691FF1"/>
    <w:rsid w:val="00692060"/>
    <w:rsid w:val="0069208B"/>
    <w:rsid w:val="006920E6"/>
    <w:rsid w:val="006920F4"/>
    <w:rsid w:val="00692168"/>
    <w:rsid w:val="0069229F"/>
    <w:rsid w:val="00692371"/>
    <w:rsid w:val="00692458"/>
    <w:rsid w:val="00692468"/>
    <w:rsid w:val="006924A9"/>
    <w:rsid w:val="006925F1"/>
    <w:rsid w:val="0069268C"/>
    <w:rsid w:val="00692751"/>
    <w:rsid w:val="00692790"/>
    <w:rsid w:val="006928C7"/>
    <w:rsid w:val="0069298D"/>
    <w:rsid w:val="006929C4"/>
    <w:rsid w:val="006929CA"/>
    <w:rsid w:val="006929D9"/>
    <w:rsid w:val="00692AF4"/>
    <w:rsid w:val="00692AFD"/>
    <w:rsid w:val="00692B41"/>
    <w:rsid w:val="00692D70"/>
    <w:rsid w:val="00692E1A"/>
    <w:rsid w:val="00692E32"/>
    <w:rsid w:val="00692EA3"/>
    <w:rsid w:val="00692F1C"/>
    <w:rsid w:val="00692F8F"/>
    <w:rsid w:val="0069319C"/>
    <w:rsid w:val="006931A9"/>
    <w:rsid w:val="006932A4"/>
    <w:rsid w:val="006932D8"/>
    <w:rsid w:val="006932FF"/>
    <w:rsid w:val="00693338"/>
    <w:rsid w:val="00693387"/>
    <w:rsid w:val="006933D0"/>
    <w:rsid w:val="00693414"/>
    <w:rsid w:val="00693457"/>
    <w:rsid w:val="006935DA"/>
    <w:rsid w:val="006936FC"/>
    <w:rsid w:val="006937FA"/>
    <w:rsid w:val="00693869"/>
    <w:rsid w:val="006938F4"/>
    <w:rsid w:val="006938F9"/>
    <w:rsid w:val="00693901"/>
    <w:rsid w:val="00693993"/>
    <w:rsid w:val="00693C42"/>
    <w:rsid w:val="00693E6E"/>
    <w:rsid w:val="00693ECA"/>
    <w:rsid w:val="00693EF7"/>
    <w:rsid w:val="00693F1E"/>
    <w:rsid w:val="00693F96"/>
    <w:rsid w:val="00694004"/>
    <w:rsid w:val="00694059"/>
    <w:rsid w:val="0069406D"/>
    <w:rsid w:val="00694289"/>
    <w:rsid w:val="006942A2"/>
    <w:rsid w:val="006943AE"/>
    <w:rsid w:val="006943DC"/>
    <w:rsid w:val="006943F2"/>
    <w:rsid w:val="0069443B"/>
    <w:rsid w:val="0069449D"/>
    <w:rsid w:val="006944D9"/>
    <w:rsid w:val="006946A6"/>
    <w:rsid w:val="00694751"/>
    <w:rsid w:val="00694882"/>
    <w:rsid w:val="006948DE"/>
    <w:rsid w:val="00694903"/>
    <w:rsid w:val="0069490B"/>
    <w:rsid w:val="00694A62"/>
    <w:rsid w:val="00694A95"/>
    <w:rsid w:val="00694ABA"/>
    <w:rsid w:val="00694ACC"/>
    <w:rsid w:val="00694B24"/>
    <w:rsid w:val="00694B45"/>
    <w:rsid w:val="00694B81"/>
    <w:rsid w:val="00694B84"/>
    <w:rsid w:val="00694BC3"/>
    <w:rsid w:val="00694BD4"/>
    <w:rsid w:val="00694CF5"/>
    <w:rsid w:val="00694D97"/>
    <w:rsid w:val="00694DD7"/>
    <w:rsid w:val="00694EEC"/>
    <w:rsid w:val="00694F49"/>
    <w:rsid w:val="00694F53"/>
    <w:rsid w:val="00694F6A"/>
    <w:rsid w:val="00695078"/>
    <w:rsid w:val="0069515B"/>
    <w:rsid w:val="0069529A"/>
    <w:rsid w:val="006953D3"/>
    <w:rsid w:val="00695401"/>
    <w:rsid w:val="00695405"/>
    <w:rsid w:val="006954C1"/>
    <w:rsid w:val="00695527"/>
    <w:rsid w:val="006956A9"/>
    <w:rsid w:val="006956B1"/>
    <w:rsid w:val="00695757"/>
    <w:rsid w:val="0069576F"/>
    <w:rsid w:val="006957B6"/>
    <w:rsid w:val="006957CE"/>
    <w:rsid w:val="006957F2"/>
    <w:rsid w:val="00695840"/>
    <w:rsid w:val="0069586A"/>
    <w:rsid w:val="00695918"/>
    <w:rsid w:val="00695934"/>
    <w:rsid w:val="00695AAA"/>
    <w:rsid w:val="00695B04"/>
    <w:rsid w:val="00695C29"/>
    <w:rsid w:val="00695C92"/>
    <w:rsid w:val="00695C9C"/>
    <w:rsid w:val="00695CD7"/>
    <w:rsid w:val="00695D31"/>
    <w:rsid w:val="00695D32"/>
    <w:rsid w:val="00695D33"/>
    <w:rsid w:val="00695D62"/>
    <w:rsid w:val="00695E02"/>
    <w:rsid w:val="00695E20"/>
    <w:rsid w:val="00695E6E"/>
    <w:rsid w:val="00695EF8"/>
    <w:rsid w:val="00695FF1"/>
    <w:rsid w:val="00696006"/>
    <w:rsid w:val="006960C2"/>
    <w:rsid w:val="006960CC"/>
    <w:rsid w:val="0069610B"/>
    <w:rsid w:val="0069625D"/>
    <w:rsid w:val="006962F0"/>
    <w:rsid w:val="0069634F"/>
    <w:rsid w:val="00696405"/>
    <w:rsid w:val="0069649F"/>
    <w:rsid w:val="006964E0"/>
    <w:rsid w:val="0069650D"/>
    <w:rsid w:val="00696584"/>
    <w:rsid w:val="0069659F"/>
    <w:rsid w:val="006965D1"/>
    <w:rsid w:val="006965F0"/>
    <w:rsid w:val="0069660D"/>
    <w:rsid w:val="006966CA"/>
    <w:rsid w:val="00696791"/>
    <w:rsid w:val="00696796"/>
    <w:rsid w:val="00696818"/>
    <w:rsid w:val="00696819"/>
    <w:rsid w:val="0069689A"/>
    <w:rsid w:val="0069689E"/>
    <w:rsid w:val="0069691E"/>
    <w:rsid w:val="0069692F"/>
    <w:rsid w:val="0069694D"/>
    <w:rsid w:val="0069694E"/>
    <w:rsid w:val="00696A3C"/>
    <w:rsid w:val="00696AB6"/>
    <w:rsid w:val="00696B65"/>
    <w:rsid w:val="00696B89"/>
    <w:rsid w:val="00696C36"/>
    <w:rsid w:val="00696CA4"/>
    <w:rsid w:val="00696D38"/>
    <w:rsid w:val="00696DE3"/>
    <w:rsid w:val="00696E41"/>
    <w:rsid w:val="00696E69"/>
    <w:rsid w:val="00696F2B"/>
    <w:rsid w:val="00696F81"/>
    <w:rsid w:val="00696FB1"/>
    <w:rsid w:val="006970CD"/>
    <w:rsid w:val="006971BD"/>
    <w:rsid w:val="00697249"/>
    <w:rsid w:val="0069727A"/>
    <w:rsid w:val="00697327"/>
    <w:rsid w:val="006973DA"/>
    <w:rsid w:val="00697404"/>
    <w:rsid w:val="0069741D"/>
    <w:rsid w:val="006974D1"/>
    <w:rsid w:val="006974DF"/>
    <w:rsid w:val="00697543"/>
    <w:rsid w:val="00697560"/>
    <w:rsid w:val="0069756B"/>
    <w:rsid w:val="00697581"/>
    <w:rsid w:val="006975DF"/>
    <w:rsid w:val="0069762D"/>
    <w:rsid w:val="0069774E"/>
    <w:rsid w:val="0069775F"/>
    <w:rsid w:val="006977CD"/>
    <w:rsid w:val="00697853"/>
    <w:rsid w:val="00697968"/>
    <w:rsid w:val="00697A18"/>
    <w:rsid w:val="00697A71"/>
    <w:rsid w:val="00697AC6"/>
    <w:rsid w:val="00697AE1"/>
    <w:rsid w:val="00697C2C"/>
    <w:rsid w:val="00697C84"/>
    <w:rsid w:val="00697C87"/>
    <w:rsid w:val="00697CF4"/>
    <w:rsid w:val="00697D1C"/>
    <w:rsid w:val="00697DF1"/>
    <w:rsid w:val="00697E17"/>
    <w:rsid w:val="00697E60"/>
    <w:rsid w:val="00697F47"/>
    <w:rsid w:val="006A00E5"/>
    <w:rsid w:val="006A01CA"/>
    <w:rsid w:val="006A02AA"/>
    <w:rsid w:val="006A02C2"/>
    <w:rsid w:val="006A0358"/>
    <w:rsid w:val="006A03DA"/>
    <w:rsid w:val="006A0442"/>
    <w:rsid w:val="006A048F"/>
    <w:rsid w:val="006A04B2"/>
    <w:rsid w:val="006A051A"/>
    <w:rsid w:val="006A07BD"/>
    <w:rsid w:val="006A0813"/>
    <w:rsid w:val="006A0814"/>
    <w:rsid w:val="006A08A9"/>
    <w:rsid w:val="006A0906"/>
    <w:rsid w:val="006A092E"/>
    <w:rsid w:val="006A0988"/>
    <w:rsid w:val="006A09A0"/>
    <w:rsid w:val="006A0A00"/>
    <w:rsid w:val="006A0A08"/>
    <w:rsid w:val="006A0B5D"/>
    <w:rsid w:val="006A0BCC"/>
    <w:rsid w:val="006A0C71"/>
    <w:rsid w:val="006A0D13"/>
    <w:rsid w:val="006A0DF2"/>
    <w:rsid w:val="006A0E7A"/>
    <w:rsid w:val="006A105C"/>
    <w:rsid w:val="006A10C0"/>
    <w:rsid w:val="006A11E4"/>
    <w:rsid w:val="006A11E9"/>
    <w:rsid w:val="006A1229"/>
    <w:rsid w:val="006A1259"/>
    <w:rsid w:val="006A126D"/>
    <w:rsid w:val="006A1285"/>
    <w:rsid w:val="006A132F"/>
    <w:rsid w:val="006A1365"/>
    <w:rsid w:val="006A13B2"/>
    <w:rsid w:val="006A13C6"/>
    <w:rsid w:val="006A148E"/>
    <w:rsid w:val="006A14A3"/>
    <w:rsid w:val="006A15CB"/>
    <w:rsid w:val="006A16B5"/>
    <w:rsid w:val="006A16CA"/>
    <w:rsid w:val="006A1718"/>
    <w:rsid w:val="006A1742"/>
    <w:rsid w:val="006A1746"/>
    <w:rsid w:val="006A1893"/>
    <w:rsid w:val="006A18DD"/>
    <w:rsid w:val="006A19F7"/>
    <w:rsid w:val="006A1AEB"/>
    <w:rsid w:val="006A1B84"/>
    <w:rsid w:val="006A1B8A"/>
    <w:rsid w:val="006A1B91"/>
    <w:rsid w:val="006A1C8B"/>
    <w:rsid w:val="006A1CA9"/>
    <w:rsid w:val="006A1DBF"/>
    <w:rsid w:val="006A1E56"/>
    <w:rsid w:val="006A1EB4"/>
    <w:rsid w:val="006A1EBA"/>
    <w:rsid w:val="006A1F78"/>
    <w:rsid w:val="006A1F82"/>
    <w:rsid w:val="006A1F9D"/>
    <w:rsid w:val="006A1FA7"/>
    <w:rsid w:val="006A20A6"/>
    <w:rsid w:val="006A21CE"/>
    <w:rsid w:val="006A21EA"/>
    <w:rsid w:val="006A2245"/>
    <w:rsid w:val="006A2265"/>
    <w:rsid w:val="006A22CC"/>
    <w:rsid w:val="006A22FF"/>
    <w:rsid w:val="006A230D"/>
    <w:rsid w:val="006A23C4"/>
    <w:rsid w:val="006A2528"/>
    <w:rsid w:val="006A25B3"/>
    <w:rsid w:val="006A25BC"/>
    <w:rsid w:val="006A25D2"/>
    <w:rsid w:val="006A2614"/>
    <w:rsid w:val="006A2650"/>
    <w:rsid w:val="006A265D"/>
    <w:rsid w:val="006A268F"/>
    <w:rsid w:val="006A26AB"/>
    <w:rsid w:val="006A2732"/>
    <w:rsid w:val="006A274B"/>
    <w:rsid w:val="006A28D7"/>
    <w:rsid w:val="006A2909"/>
    <w:rsid w:val="006A2AEB"/>
    <w:rsid w:val="006A2B46"/>
    <w:rsid w:val="006A2BEA"/>
    <w:rsid w:val="006A2C94"/>
    <w:rsid w:val="006A2C9D"/>
    <w:rsid w:val="006A2CBE"/>
    <w:rsid w:val="006A2D36"/>
    <w:rsid w:val="006A2D93"/>
    <w:rsid w:val="006A2DEF"/>
    <w:rsid w:val="006A2EBB"/>
    <w:rsid w:val="006A2FAE"/>
    <w:rsid w:val="006A3061"/>
    <w:rsid w:val="006A3074"/>
    <w:rsid w:val="006A3096"/>
    <w:rsid w:val="006A30FC"/>
    <w:rsid w:val="006A3118"/>
    <w:rsid w:val="006A313C"/>
    <w:rsid w:val="006A315C"/>
    <w:rsid w:val="006A31AE"/>
    <w:rsid w:val="006A31F9"/>
    <w:rsid w:val="006A3200"/>
    <w:rsid w:val="006A3266"/>
    <w:rsid w:val="006A34B7"/>
    <w:rsid w:val="006A3581"/>
    <w:rsid w:val="006A35D2"/>
    <w:rsid w:val="006A35F9"/>
    <w:rsid w:val="006A3634"/>
    <w:rsid w:val="006A3727"/>
    <w:rsid w:val="006A3733"/>
    <w:rsid w:val="006A37C5"/>
    <w:rsid w:val="006A38EF"/>
    <w:rsid w:val="006A393C"/>
    <w:rsid w:val="006A3998"/>
    <w:rsid w:val="006A3A0E"/>
    <w:rsid w:val="006A3A3F"/>
    <w:rsid w:val="006A3B08"/>
    <w:rsid w:val="006A3B0C"/>
    <w:rsid w:val="006A3B1C"/>
    <w:rsid w:val="006A3B37"/>
    <w:rsid w:val="006A3BB4"/>
    <w:rsid w:val="006A3BFB"/>
    <w:rsid w:val="006A3C22"/>
    <w:rsid w:val="006A3C5E"/>
    <w:rsid w:val="006A3C9E"/>
    <w:rsid w:val="006A3F75"/>
    <w:rsid w:val="006A403E"/>
    <w:rsid w:val="006A413D"/>
    <w:rsid w:val="006A4204"/>
    <w:rsid w:val="006A4298"/>
    <w:rsid w:val="006A42B4"/>
    <w:rsid w:val="006A4428"/>
    <w:rsid w:val="006A4530"/>
    <w:rsid w:val="006A4561"/>
    <w:rsid w:val="006A45CE"/>
    <w:rsid w:val="006A4662"/>
    <w:rsid w:val="006A4686"/>
    <w:rsid w:val="006A475C"/>
    <w:rsid w:val="006A47A2"/>
    <w:rsid w:val="006A47CE"/>
    <w:rsid w:val="006A48E0"/>
    <w:rsid w:val="006A4A37"/>
    <w:rsid w:val="006A4A57"/>
    <w:rsid w:val="006A4AC6"/>
    <w:rsid w:val="006A4ACC"/>
    <w:rsid w:val="006A4B48"/>
    <w:rsid w:val="006A4B57"/>
    <w:rsid w:val="006A4B64"/>
    <w:rsid w:val="006A4C1E"/>
    <w:rsid w:val="006A4C5C"/>
    <w:rsid w:val="006A4C62"/>
    <w:rsid w:val="006A4C91"/>
    <w:rsid w:val="006A4DC2"/>
    <w:rsid w:val="006A4E28"/>
    <w:rsid w:val="006A4E51"/>
    <w:rsid w:val="006A4F5D"/>
    <w:rsid w:val="006A5006"/>
    <w:rsid w:val="006A5031"/>
    <w:rsid w:val="006A504B"/>
    <w:rsid w:val="006A508E"/>
    <w:rsid w:val="006A50E0"/>
    <w:rsid w:val="006A5300"/>
    <w:rsid w:val="006A534A"/>
    <w:rsid w:val="006A5377"/>
    <w:rsid w:val="006A5475"/>
    <w:rsid w:val="006A549C"/>
    <w:rsid w:val="006A54C1"/>
    <w:rsid w:val="006A5587"/>
    <w:rsid w:val="006A55C7"/>
    <w:rsid w:val="006A5636"/>
    <w:rsid w:val="006A5657"/>
    <w:rsid w:val="006A5694"/>
    <w:rsid w:val="006A56DE"/>
    <w:rsid w:val="006A5717"/>
    <w:rsid w:val="006A5748"/>
    <w:rsid w:val="006A57D0"/>
    <w:rsid w:val="006A5858"/>
    <w:rsid w:val="006A592A"/>
    <w:rsid w:val="006A5936"/>
    <w:rsid w:val="006A59C3"/>
    <w:rsid w:val="006A5A65"/>
    <w:rsid w:val="006A5AC0"/>
    <w:rsid w:val="006A5C45"/>
    <w:rsid w:val="006A5CAC"/>
    <w:rsid w:val="006A5DCC"/>
    <w:rsid w:val="006A5DF9"/>
    <w:rsid w:val="006A5E31"/>
    <w:rsid w:val="006A5EDC"/>
    <w:rsid w:val="006A5F05"/>
    <w:rsid w:val="006A5F77"/>
    <w:rsid w:val="006A5F79"/>
    <w:rsid w:val="006A5F82"/>
    <w:rsid w:val="006A6026"/>
    <w:rsid w:val="006A60A7"/>
    <w:rsid w:val="006A6125"/>
    <w:rsid w:val="006A6196"/>
    <w:rsid w:val="006A6210"/>
    <w:rsid w:val="006A6265"/>
    <w:rsid w:val="006A62E5"/>
    <w:rsid w:val="006A62EE"/>
    <w:rsid w:val="006A644F"/>
    <w:rsid w:val="006A660D"/>
    <w:rsid w:val="006A666C"/>
    <w:rsid w:val="006A6674"/>
    <w:rsid w:val="006A669B"/>
    <w:rsid w:val="006A6744"/>
    <w:rsid w:val="006A67B7"/>
    <w:rsid w:val="006A67C2"/>
    <w:rsid w:val="006A682A"/>
    <w:rsid w:val="006A68AB"/>
    <w:rsid w:val="006A68AD"/>
    <w:rsid w:val="006A68C7"/>
    <w:rsid w:val="006A6910"/>
    <w:rsid w:val="006A69A1"/>
    <w:rsid w:val="006A69E6"/>
    <w:rsid w:val="006A69FF"/>
    <w:rsid w:val="006A6A24"/>
    <w:rsid w:val="006A6AB5"/>
    <w:rsid w:val="006A6AFE"/>
    <w:rsid w:val="006A6B0D"/>
    <w:rsid w:val="006A6B10"/>
    <w:rsid w:val="006A6BFA"/>
    <w:rsid w:val="006A6C80"/>
    <w:rsid w:val="006A6CB4"/>
    <w:rsid w:val="006A6CCB"/>
    <w:rsid w:val="006A6D42"/>
    <w:rsid w:val="006A6E38"/>
    <w:rsid w:val="006A6E54"/>
    <w:rsid w:val="006A6EA9"/>
    <w:rsid w:val="006A710A"/>
    <w:rsid w:val="006A724D"/>
    <w:rsid w:val="006A72C9"/>
    <w:rsid w:val="006A7402"/>
    <w:rsid w:val="006A74AC"/>
    <w:rsid w:val="006A74F6"/>
    <w:rsid w:val="006A750F"/>
    <w:rsid w:val="006A7536"/>
    <w:rsid w:val="006A757A"/>
    <w:rsid w:val="006A75E9"/>
    <w:rsid w:val="006A76A2"/>
    <w:rsid w:val="006A76DF"/>
    <w:rsid w:val="006A7734"/>
    <w:rsid w:val="006A7895"/>
    <w:rsid w:val="006A78B1"/>
    <w:rsid w:val="006A7998"/>
    <w:rsid w:val="006A79A4"/>
    <w:rsid w:val="006A7A3B"/>
    <w:rsid w:val="006A7ACD"/>
    <w:rsid w:val="006A7AD7"/>
    <w:rsid w:val="006A7AFA"/>
    <w:rsid w:val="006A7BCD"/>
    <w:rsid w:val="006A7C2C"/>
    <w:rsid w:val="006A7C8E"/>
    <w:rsid w:val="006A7CA1"/>
    <w:rsid w:val="006A7CB6"/>
    <w:rsid w:val="006A7D03"/>
    <w:rsid w:val="006A7E18"/>
    <w:rsid w:val="006A7E23"/>
    <w:rsid w:val="006A7EDA"/>
    <w:rsid w:val="006A7F1A"/>
    <w:rsid w:val="006A7F6E"/>
    <w:rsid w:val="006A7F75"/>
    <w:rsid w:val="006B00E4"/>
    <w:rsid w:val="006B014B"/>
    <w:rsid w:val="006B0195"/>
    <w:rsid w:val="006B0293"/>
    <w:rsid w:val="006B02F1"/>
    <w:rsid w:val="006B0311"/>
    <w:rsid w:val="006B0394"/>
    <w:rsid w:val="006B046D"/>
    <w:rsid w:val="006B047D"/>
    <w:rsid w:val="006B04B4"/>
    <w:rsid w:val="006B055E"/>
    <w:rsid w:val="006B056A"/>
    <w:rsid w:val="006B0574"/>
    <w:rsid w:val="006B05BA"/>
    <w:rsid w:val="006B0609"/>
    <w:rsid w:val="006B069E"/>
    <w:rsid w:val="006B06D8"/>
    <w:rsid w:val="006B07F8"/>
    <w:rsid w:val="006B0854"/>
    <w:rsid w:val="006B09C2"/>
    <w:rsid w:val="006B09FD"/>
    <w:rsid w:val="006B0A01"/>
    <w:rsid w:val="006B0B3A"/>
    <w:rsid w:val="006B0B64"/>
    <w:rsid w:val="006B0B82"/>
    <w:rsid w:val="006B0BF7"/>
    <w:rsid w:val="006B0C03"/>
    <w:rsid w:val="006B0CFC"/>
    <w:rsid w:val="006B0E6B"/>
    <w:rsid w:val="006B109B"/>
    <w:rsid w:val="006B1147"/>
    <w:rsid w:val="006B114D"/>
    <w:rsid w:val="006B11B3"/>
    <w:rsid w:val="006B1211"/>
    <w:rsid w:val="006B122D"/>
    <w:rsid w:val="006B143B"/>
    <w:rsid w:val="006B14D4"/>
    <w:rsid w:val="006B1541"/>
    <w:rsid w:val="006B1565"/>
    <w:rsid w:val="006B1579"/>
    <w:rsid w:val="006B1593"/>
    <w:rsid w:val="006B159E"/>
    <w:rsid w:val="006B15D2"/>
    <w:rsid w:val="006B1771"/>
    <w:rsid w:val="006B18D9"/>
    <w:rsid w:val="006B1950"/>
    <w:rsid w:val="006B1A26"/>
    <w:rsid w:val="006B1A2D"/>
    <w:rsid w:val="006B1A70"/>
    <w:rsid w:val="006B1AA1"/>
    <w:rsid w:val="006B1B2B"/>
    <w:rsid w:val="006B1B4C"/>
    <w:rsid w:val="006B1B91"/>
    <w:rsid w:val="006B1BA0"/>
    <w:rsid w:val="006B1BBF"/>
    <w:rsid w:val="006B1C2C"/>
    <w:rsid w:val="006B1C55"/>
    <w:rsid w:val="006B1CDA"/>
    <w:rsid w:val="006B1D02"/>
    <w:rsid w:val="006B1D2A"/>
    <w:rsid w:val="006B1D39"/>
    <w:rsid w:val="006B1D8B"/>
    <w:rsid w:val="006B1E4F"/>
    <w:rsid w:val="006B1ED6"/>
    <w:rsid w:val="006B1F68"/>
    <w:rsid w:val="006B20BD"/>
    <w:rsid w:val="006B20D9"/>
    <w:rsid w:val="006B20F2"/>
    <w:rsid w:val="006B2118"/>
    <w:rsid w:val="006B21AD"/>
    <w:rsid w:val="006B2226"/>
    <w:rsid w:val="006B2297"/>
    <w:rsid w:val="006B22B7"/>
    <w:rsid w:val="006B22CC"/>
    <w:rsid w:val="006B23E0"/>
    <w:rsid w:val="006B240A"/>
    <w:rsid w:val="006B246F"/>
    <w:rsid w:val="006B259D"/>
    <w:rsid w:val="006B2669"/>
    <w:rsid w:val="006B2673"/>
    <w:rsid w:val="006B276C"/>
    <w:rsid w:val="006B2806"/>
    <w:rsid w:val="006B281C"/>
    <w:rsid w:val="006B2878"/>
    <w:rsid w:val="006B28B7"/>
    <w:rsid w:val="006B29FB"/>
    <w:rsid w:val="006B2A40"/>
    <w:rsid w:val="006B2A42"/>
    <w:rsid w:val="006B2A60"/>
    <w:rsid w:val="006B2B18"/>
    <w:rsid w:val="006B2B90"/>
    <w:rsid w:val="006B2B9F"/>
    <w:rsid w:val="006B2BCB"/>
    <w:rsid w:val="006B2BF7"/>
    <w:rsid w:val="006B2C01"/>
    <w:rsid w:val="006B2D55"/>
    <w:rsid w:val="006B2D73"/>
    <w:rsid w:val="006B2E32"/>
    <w:rsid w:val="006B2E6E"/>
    <w:rsid w:val="006B2F1C"/>
    <w:rsid w:val="006B328F"/>
    <w:rsid w:val="006B32B5"/>
    <w:rsid w:val="006B32B7"/>
    <w:rsid w:val="006B32CD"/>
    <w:rsid w:val="006B3314"/>
    <w:rsid w:val="006B3331"/>
    <w:rsid w:val="006B3399"/>
    <w:rsid w:val="006B3419"/>
    <w:rsid w:val="006B3467"/>
    <w:rsid w:val="006B3622"/>
    <w:rsid w:val="006B364F"/>
    <w:rsid w:val="006B368E"/>
    <w:rsid w:val="006B36DF"/>
    <w:rsid w:val="006B3965"/>
    <w:rsid w:val="006B397F"/>
    <w:rsid w:val="006B3AFC"/>
    <w:rsid w:val="006B3B10"/>
    <w:rsid w:val="006B3B18"/>
    <w:rsid w:val="006B3B6E"/>
    <w:rsid w:val="006B3C90"/>
    <w:rsid w:val="006B3D5B"/>
    <w:rsid w:val="006B3D5F"/>
    <w:rsid w:val="006B3D82"/>
    <w:rsid w:val="006B3E27"/>
    <w:rsid w:val="006B3E3C"/>
    <w:rsid w:val="006B3F56"/>
    <w:rsid w:val="006B3F5B"/>
    <w:rsid w:val="006B3F89"/>
    <w:rsid w:val="006B3FA8"/>
    <w:rsid w:val="006B3FAA"/>
    <w:rsid w:val="006B415E"/>
    <w:rsid w:val="006B4231"/>
    <w:rsid w:val="006B42BB"/>
    <w:rsid w:val="006B43F2"/>
    <w:rsid w:val="006B440D"/>
    <w:rsid w:val="006B4418"/>
    <w:rsid w:val="006B443A"/>
    <w:rsid w:val="006B4450"/>
    <w:rsid w:val="006B44C9"/>
    <w:rsid w:val="006B4640"/>
    <w:rsid w:val="006B464E"/>
    <w:rsid w:val="006B4680"/>
    <w:rsid w:val="006B4698"/>
    <w:rsid w:val="006B46DA"/>
    <w:rsid w:val="006B46DE"/>
    <w:rsid w:val="006B4707"/>
    <w:rsid w:val="006B482B"/>
    <w:rsid w:val="006B4876"/>
    <w:rsid w:val="006B4890"/>
    <w:rsid w:val="006B48EC"/>
    <w:rsid w:val="006B49A8"/>
    <w:rsid w:val="006B4A86"/>
    <w:rsid w:val="006B4A91"/>
    <w:rsid w:val="006B4B2B"/>
    <w:rsid w:val="006B4B69"/>
    <w:rsid w:val="006B4B77"/>
    <w:rsid w:val="006B4B8E"/>
    <w:rsid w:val="006B4CB3"/>
    <w:rsid w:val="006B4CCC"/>
    <w:rsid w:val="006B4CF3"/>
    <w:rsid w:val="006B4D19"/>
    <w:rsid w:val="006B4D44"/>
    <w:rsid w:val="006B4DFA"/>
    <w:rsid w:val="006B4E71"/>
    <w:rsid w:val="006B4E86"/>
    <w:rsid w:val="006B4EC2"/>
    <w:rsid w:val="006B504D"/>
    <w:rsid w:val="006B50F6"/>
    <w:rsid w:val="006B5133"/>
    <w:rsid w:val="006B52C2"/>
    <w:rsid w:val="006B5353"/>
    <w:rsid w:val="006B541B"/>
    <w:rsid w:val="006B54F1"/>
    <w:rsid w:val="006B5561"/>
    <w:rsid w:val="006B55FA"/>
    <w:rsid w:val="006B5676"/>
    <w:rsid w:val="006B56DE"/>
    <w:rsid w:val="006B5761"/>
    <w:rsid w:val="006B588D"/>
    <w:rsid w:val="006B5923"/>
    <w:rsid w:val="006B592B"/>
    <w:rsid w:val="006B594A"/>
    <w:rsid w:val="006B594F"/>
    <w:rsid w:val="006B5B68"/>
    <w:rsid w:val="006B5BA4"/>
    <w:rsid w:val="006B5C23"/>
    <w:rsid w:val="006B5C36"/>
    <w:rsid w:val="006B5C43"/>
    <w:rsid w:val="006B5C4A"/>
    <w:rsid w:val="006B5CB8"/>
    <w:rsid w:val="006B5D1D"/>
    <w:rsid w:val="006B5D32"/>
    <w:rsid w:val="006B5D58"/>
    <w:rsid w:val="006B5D7F"/>
    <w:rsid w:val="006B5D8F"/>
    <w:rsid w:val="006B5DF4"/>
    <w:rsid w:val="006B5E52"/>
    <w:rsid w:val="006B5ED5"/>
    <w:rsid w:val="006B5F42"/>
    <w:rsid w:val="006B5F4E"/>
    <w:rsid w:val="006B60F6"/>
    <w:rsid w:val="006B6124"/>
    <w:rsid w:val="006B6161"/>
    <w:rsid w:val="006B6182"/>
    <w:rsid w:val="006B6189"/>
    <w:rsid w:val="006B61B3"/>
    <w:rsid w:val="006B62E1"/>
    <w:rsid w:val="006B6388"/>
    <w:rsid w:val="006B63CC"/>
    <w:rsid w:val="006B6401"/>
    <w:rsid w:val="006B645D"/>
    <w:rsid w:val="006B64A1"/>
    <w:rsid w:val="006B64B5"/>
    <w:rsid w:val="006B653D"/>
    <w:rsid w:val="006B6588"/>
    <w:rsid w:val="006B65D9"/>
    <w:rsid w:val="006B65E8"/>
    <w:rsid w:val="006B6701"/>
    <w:rsid w:val="006B6748"/>
    <w:rsid w:val="006B675C"/>
    <w:rsid w:val="006B680A"/>
    <w:rsid w:val="006B6837"/>
    <w:rsid w:val="006B6898"/>
    <w:rsid w:val="006B68A6"/>
    <w:rsid w:val="006B68B1"/>
    <w:rsid w:val="006B68C3"/>
    <w:rsid w:val="006B6948"/>
    <w:rsid w:val="006B697A"/>
    <w:rsid w:val="006B6BB4"/>
    <w:rsid w:val="006B6BB8"/>
    <w:rsid w:val="006B6BD0"/>
    <w:rsid w:val="006B6C0D"/>
    <w:rsid w:val="006B6C5F"/>
    <w:rsid w:val="006B6C69"/>
    <w:rsid w:val="006B6C7A"/>
    <w:rsid w:val="006B6CBE"/>
    <w:rsid w:val="006B6CC3"/>
    <w:rsid w:val="006B6DCC"/>
    <w:rsid w:val="006B6E66"/>
    <w:rsid w:val="006B701A"/>
    <w:rsid w:val="006B7075"/>
    <w:rsid w:val="006B70E9"/>
    <w:rsid w:val="006B715F"/>
    <w:rsid w:val="006B71B3"/>
    <w:rsid w:val="006B71E6"/>
    <w:rsid w:val="006B7357"/>
    <w:rsid w:val="006B73F2"/>
    <w:rsid w:val="006B740A"/>
    <w:rsid w:val="006B749C"/>
    <w:rsid w:val="006B74AD"/>
    <w:rsid w:val="006B753D"/>
    <w:rsid w:val="006B757E"/>
    <w:rsid w:val="006B75FF"/>
    <w:rsid w:val="006B7602"/>
    <w:rsid w:val="006B770B"/>
    <w:rsid w:val="006B7751"/>
    <w:rsid w:val="006B77C5"/>
    <w:rsid w:val="006B7861"/>
    <w:rsid w:val="006B78F6"/>
    <w:rsid w:val="006B797A"/>
    <w:rsid w:val="006B79BA"/>
    <w:rsid w:val="006B79DE"/>
    <w:rsid w:val="006B79E2"/>
    <w:rsid w:val="006B7ACA"/>
    <w:rsid w:val="006B7C21"/>
    <w:rsid w:val="006B7D2F"/>
    <w:rsid w:val="006B7E3E"/>
    <w:rsid w:val="006B7EC7"/>
    <w:rsid w:val="006B7F42"/>
    <w:rsid w:val="006B7F71"/>
    <w:rsid w:val="006B7F79"/>
    <w:rsid w:val="006C0061"/>
    <w:rsid w:val="006C00E8"/>
    <w:rsid w:val="006C016E"/>
    <w:rsid w:val="006C024A"/>
    <w:rsid w:val="006C02B9"/>
    <w:rsid w:val="006C0479"/>
    <w:rsid w:val="006C04B5"/>
    <w:rsid w:val="006C04D4"/>
    <w:rsid w:val="006C04FE"/>
    <w:rsid w:val="006C0549"/>
    <w:rsid w:val="006C0563"/>
    <w:rsid w:val="006C056F"/>
    <w:rsid w:val="006C0583"/>
    <w:rsid w:val="006C0595"/>
    <w:rsid w:val="006C05BD"/>
    <w:rsid w:val="006C05E1"/>
    <w:rsid w:val="006C06FB"/>
    <w:rsid w:val="006C0712"/>
    <w:rsid w:val="006C074E"/>
    <w:rsid w:val="006C074F"/>
    <w:rsid w:val="006C0783"/>
    <w:rsid w:val="006C08BF"/>
    <w:rsid w:val="006C08CE"/>
    <w:rsid w:val="006C0958"/>
    <w:rsid w:val="006C09A3"/>
    <w:rsid w:val="006C09A8"/>
    <w:rsid w:val="006C09F3"/>
    <w:rsid w:val="006C09F4"/>
    <w:rsid w:val="006C0A2D"/>
    <w:rsid w:val="006C0A7D"/>
    <w:rsid w:val="006C0AB7"/>
    <w:rsid w:val="006C0AC5"/>
    <w:rsid w:val="006C0AD2"/>
    <w:rsid w:val="006C0C02"/>
    <w:rsid w:val="006C0CF7"/>
    <w:rsid w:val="006C0D18"/>
    <w:rsid w:val="006C0D85"/>
    <w:rsid w:val="006C0D8F"/>
    <w:rsid w:val="006C0E50"/>
    <w:rsid w:val="006C0E75"/>
    <w:rsid w:val="006C0E94"/>
    <w:rsid w:val="006C0EBB"/>
    <w:rsid w:val="006C0EC2"/>
    <w:rsid w:val="006C0EC4"/>
    <w:rsid w:val="006C0FEA"/>
    <w:rsid w:val="006C1026"/>
    <w:rsid w:val="006C1033"/>
    <w:rsid w:val="006C10B0"/>
    <w:rsid w:val="006C111F"/>
    <w:rsid w:val="006C11B2"/>
    <w:rsid w:val="006C11FB"/>
    <w:rsid w:val="006C1226"/>
    <w:rsid w:val="006C129A"/>
    <w:rsid w:val="006C13B1"/>
    <w:rsid w:val="006C158B"/>
    <w:rsid w:val="006C1645"/>
    <w:rsid w:val="006C16DC"/>
    <w:rsid w:val="006C1881"/>
    <w:rsid w:val="006C18A9"/>
    <w:rsid w:val="006C18AE"/>
    <w:rsid w:val="006C192F"/>
    <w:rsid w:val="006C1A0E"/>
    <w:rsid w:val="006C1A42"/>
    <w:rsid w:val="006C1A4D"/>
    <w:rsid w:val="006C1ABB"/>
    <w:rsid w:val="006C1ACB"/>
    <w:rsid w:val="006C1B57"/>
    <w:rsid w:val="006C1C05"/>
    <w:rsid w:val="006C1C86"/>
    <w:rsid w:val="006C1E67"/>
    <w:rsid w:val="006C1F96"/>
    <w:rsid w:val="006C1FA5"/>
    <w:rsid w:val="006C2049"/>
    <w:rsid w:val="006C2108"/>
    <w:rsid w:val="006C2131"/>
    <w:rsid w:val="006C2135"/>
    <w:rsid w:val="006C218B"/>
    <w:rsid w:val="006C21DF"/>
    <w:rsid w:val="006C2231"/>
    <w:rsid w:val="006C2322"/>
    <w:rsid w:val="006C241A"/>
    <w:rsid w:val="006C2472"/>
    <w:rsid w:val="006C248B"/>
    <w:rsid w:val="006C253E"/>
    <w:rsid w:val="006C2592"/>
    <w:rsid w:val="006C26E0"/>
    <w:rsid w:val="006C26EF"/>
    <w:rsid w:val="006C2729"/>
    <w:rsid w:val="006C2760"/>
    <w:rsid w:val="006C27B8"/>
    <w:rsid w:val="006C2921"/>
    <w:rsid w:val="006C29DB"/>
    <w:rsid w:val="006C2A82"/>
    <w:rsid w:val="006C2AA1"/>
    <w:rsid w:val="006C2B34"/>
    <w:rsid w:val="006C2B71"/>
    <w:rsid w:val="006C2BAB"/>
    <w:rsid w:val="006C2C98"/>
    <w:rsid w:val="006C2CC0"/>
    <w:rsid w:val="006C2D57"/>
    <w:rsid w:val="006C2DA2"/>
    <w:rsid w:val="006C2DFC"/>
    <w:rsid w:val="006C2ECF"/>
    <w:rsid w:val="006C2F55"/>
    <w:rsid w:val="006C2FD1"/>
    <w:rsid w:val="006C3011"/>
    <w:rsid w:val="006C3199"/>
    <w:rsid w:val="006C32B0"/>
    <w:rsid w:val="006C32EF"/>
    <w:rsid w:val="006C336E"/>
    <w:rsid w:val="006C341A"/>
    <w:rsid w:val="006C351C"/>
    <w:rsid w:val="006C35BA"/>
    <w:rsid w:val="006C35C6"/>
    <w:rsid w:val="006C35ED"/>
    <w:rsid w:val="006C3691"/>
    <w:rsid w:val="006C36A4"/>
    <w:rsid w:val="006C3754"/>
    <w:rsid w:val="006C3799"/>
    <w:rsid w:val="006C37ED"/>
    <w:rsid w:val="006C384B"/>
    <w:rsid w:val="006C38C7"/>
    <w:rsid w:val="006C3AF2"/>
    <w:rsid w:val="006C3AF7"/>
    <w:rsid w:val="006C3B6F"/>
    <w:rsid w:val="006C3BC0"/>
    <w:rsid w:val="006C3CB6"/>
    <w:rsid w:val="006C3CEE"/>
    <w:rsid w:val="006C3D44"/>
    <w:rsid w:val="006C3E33"/>
    <w:rsid w:val="006C3F84"/>
    <w:rsid w:val="006C3FEA"/>
    <w:rsid w:val="006C3FEF"/>
    <w:rsid w:val="006C40FE"/>
    <w:rsid w:val="006C4175"/>
    <w:rsid w:val="006C41AC"/>
    <w:rsid w:val="006C4203"/>
    <w:rsid w:val="006C4213"/>
    <w:rsid w:val="006C4284"/>
    <w:rsid w:val="006C42BC"/>
    <w:rsid w:val="006C42DE"/>
    <w:rsid w:val="006C42E4"/>
    <w:rsid w:val="006C42E6"/>
    <w:rsid w:val="006C431A"/>
    <w:rsid w:val="006C43FA"/>
    <w:rsid w:val="006C4425"/>
    <w:rsid w:val="006C450A"/>
    <w:rsid w:val="006C456F"/>
    <w:rsid w:val="006C4571"/>
    <w:rsid w:val="006C45A2"/>
    <w:rsid w:val="006C469C"/>
    <w:rsid w:val="006C4708"/>
    <w:rsid w:val="006C47BE"/>
    <w:rsid w:val="006C4834"/>
    <w:rsid w:val="006C4847"/>
    <w:rsid w:val="006C48E9"/>
    <w:rsid w:val="006C492A"/>
    <w:rsid w:val="006C492C"/>
    <w:rsid w:val="006C4979"/>
    <w:rsid w:val="006C4A3A"/>
    <w:rsid w:val="006C4BE9"/>
    <w:rsid w:val="006C4C1B"/>
    <w:rsid w:val="006C4CF0"/>
    <w:rsid w:val="006C4D53"/>
    <w:rsid w:val="006C4D7E"/>
    <w:rsid w:val="006C4D9E"/>
    <w:rsid w:val="006C4E36"/>
    <w:rsid w:val="006C4E3F"/>
    <w:rsid w:val="006C4E46"/>
    <w:rsid w:val="006C4EDE"/>
    <w:rsid w:val="006C4F4D"/>
    <w:rsid w:val="006C4F83"/>
    <w:rsid w:val="006C501E"/>
    <w:rsid w:val="006C5043"/>
    <w:rsid w:val="006C509F"/>
    <w:rsid w:val="006C50A6"/>
    <w:rsid w:val="006C51A2"/>
    <w:rsid w:val="006C523C"/>
    <w:rsid w:val="006C525A"/>
    <w:rsid w:val="006C5313"/>
    <w:rsid w:val="006C53AE"/>
    <w:rsid w:val="006C53C5"/>
    <w:rsid w:val="006C53CA"/>
    <w:rsid w:val="006C5438"/>
    <w:rsid w:val="006C54B3"/>
    <w:rsid w:val="006C55C5"/>
    <w:rsid w:val="006C579F"/>
    <w:rsid w:val="006C5873"/>
    <w:rsid w:val="006C58BE"/>
    <w:rsid w:val="006C5920"/>
    <w:rsid w:val="006C5AAF"/>
    <w:rsid w:val="006C5AC6"/>
    <w:rsid w:val="006C5C3E"/>
    <w:rsid w:val="006C5C51"/>
    <w:rsid w:val="006C5C9F"/>
    <w:rsid w:val="006C5CA9"/>
    <w:rsid w:val="006C5D12"/>
    <w:rsid w:val="006C5D5A"/>
    <w:rsid w:val="006C5DB1"/>
    <w:rsid w:val="006C5E35"/>
    <w:rsid w:val="006C5EBB"/>
    <w:rsid w:val="006C5F31"/>
    <w:rsid w:val="006C5F3A"/>
    <w:rsid w:val="006C60B7"/>
    <w:rsid w:val="006C6140"/>
    <w:rsid w:val="006C621A"/>
    <w:rsid w:val="006C623E"/>
    <w:rsid w:val="006C6268"/>
    <w:rsid w:val="006C6283"/>
    <w:rsid w:val="006C629C"/>
    <w:rsid w:val="006C6404"/>
    <w:rsid w:val="006C64AE"/>
    <w:rsid w:val="006C64B3"/>
    <w:rsid w:val="006C6500"/>
    <w:rsid w:val="006C65AC"/>
    <w:rsid w:val="006C65DD"/>
    <w:rsid w:val="006C661A"/>
    <w:rsid w:val="006C6682"/>
    <w:rsid w:val="006C66A9"/>
    <w:rsid w:val="006C67F3"/>
    <w:rsid w:val="006C6870"/>
    <w:rsid w:val="006C6895"/>
    <w:rsid w:val="006C68B2"/>
    <w:rsid w:val="006C68BF"/>
    <w:rsid w:val="006C68F8"/>
    <w:rsid w:val="006C6908"/>
    <w:rsid w:val="006C6979"/>
    <w:rsid w:val="006C69C4"/>
    <w:rsid w:val="006C6A88"/>
    <w:rsid w:val="006C6B25"/>
    <w:rsid w:val="006C6B6E"/>
    <w:rsid w:val="006C6B72"/>
    <w:rsid w:val="006C6C32"/>
    <w:rsid w:val="006C6C3A"/>
    <w:rsid w:val="006C6C4F"/>
    <w:rsid w:val="006C6CB2"/>
    <w:rsid w:val="006C6D08"/>
    <w:rsid w:val="006C6DC2"/>
    <w:rsid w:val="006C6E56"/>
    <w:rsid w:val="006C6EBB"/>
    <w:rsid w:val="006C6F68"/>
    <w:rsid w:val="006C6FC3"/>
    <w:rsid w:val="006C6FEE"/>
    <w:rsid w:val="006C7045"/>
    <w:rsid w:val="006C70AB"/>
    <w:rsid w:val="006C715A"/>
    <w:rsid w:val="006C7179"/>
    <w:rsid w:val="006C71E8"/>
    <w:rsid w:val="006C7205"/>
    <w:rsid w:val="006C7298"/>
    <w:rsid w:val="006C72A6"/>
    <w:rsid w:val="006C72DC"/>
    <w:rsid w:val="006C73E3"/>
    <w:rsid w:val="006C73F0"/>
    <w:rsid w:val="006C740D"/>
    <w:rsid w:val="006C751E"/>
    <w:rsid w:val="006C7532"/>
    <w:rsid w:val="006C75CD"/>
    <w:rsid w:val="006C7650"/>
    <w:rsid w:val="006C765F"/>
    <w:rsid w:val="006C77C8"/>
    <w:rsid w:val="006C77F0"/>
    <w:rsid w:val="006C78E0"/>
    <w:rsid w:val="006C79B6"/>
    <w:rsid w:val="006C7A3F"/>
    <w:rsid w:val="006C7A4B"/>
    <w:rsid w:val="006C7A50"/>
    <w:rsid w:val="006C7A53"/>
    <w:rsid w:val="006C7AF7"/>
    <w:rsid w:val="006C7E76"/>
    <w:rsid w:val="006C7EC8"/>
    <w:rsid w:val="006C7FCB"/>
    <w:rsid w:val="006D0032"/>
    <w:rsid w:val="006D0051"/>
    <w:rsid w:val="006D007E"/>
    <w:rsid w:val="006D0088"/>
    <w:rsid w:val="006D00AB"/>
    <w:rsid w:val="006D013F"/>
    <w:rsid w:val="006D015E"/>
    <w:rsid w:val="006D0191"/>
    <w:rsid w:val="006D01EF"/>
    <w:rsid w:val="006D0283"/>
    <w:rsid w:val="006D0334"/>
    <w:rsid w:val="006D0384"/>
    <w:rsid w:val="006D04C8"/>
    <w:rsid w:val="006D04D2"/>
    <w:rsid w:val="006D0550"/>
    <w:rsid w:val="006D0682"/>
    <w:rsid w:val="006D0706"/>
    <w:rsid w:val="006D077C"/>
    <w:rsid w:val="006D07B5"/>
    <w:rsid w:val="006D081E"/>
    <w:rsid w:val="006D0909"/>
    <w:rsid w:val="006D09A7"/>
    <w:rsid w:val="006D09D0"/>
    <w:rsid w:val="006D0A22"/>
    <w:rsid w:val="006D0B1D"/>
    <w:rsid w:val="006D0B48"/>
    <w:rsid w:val="006D0B6C"/>
    <w:rsid w:val="006D0BD5"/>
    <w:rsid w:val="006D0BF4"/>
    <w:rsid w:val="006D0C67"/>
    <w:rsid w:val="006D0D57"/>
    <w:rsid w:val="006D0D89"/>
    <w:rsid w:val="006D0D8B"/>
    <w:rsid w:val="006D0D90"/>
    <w:rsid w:val="006D0E02"/>
    <w:rsid w:val="006D0E05"/>
    <w:rsid w:val="006D0E3B"/>
    <w:rsid w:val="006D0E5D"/>
    <w:rsid w:val="006D0E8B"/>
    <w:rsid w:val="006D0EB7"/>
    <w:rsid w:val="006D0EF3"/>
    <w:rsid w:val="006D0F2E"/>
    <w:rsid w:val="006D1010"/>
    <w:rsid w:val="006D107E"/>
    <w:rsid w:val="006D1134"/>
    <w:rsid w:val="006D1229"/>
    <w:rsid w:val="006D124C"/>
    <w:rsid w:val="006D129F"/>
    <w:rsid w:val="006D12AF"/>
    <w:rsid w:val="006D12C9"/>
    <w:rsid w:val="006D1301"/>
    <w:rsid w:val="006D1368"/>
    <w:rsid w:val="006D1392"/>
    <w:rsid w:val="006D1448"/>
    <w:rsid w:val="006D14F9"/>
    <w:rsid w:val="006D161C"/>
    <w:rsid w:val="006D1630"/>
    <w:rsid w:val="006D16F7"/>
    <w:rsid w:val="006D1740"/>
    <w:rsid w:val="006D1761"/>
    <w:rsid w:val="006D1791"/>
    <w:rsid w:val="006D1803"/>
    <w:rsid w:val="006D1966"/>
    <w:rsid w:val="006D1A85"/>
    <w:rsid w:val="006D1B36"/>
    <w:rsid w:val="006D1B61"/>
    <w:rsid w:val="006D1B84"/>
    <w:rsid w:val="006D1D13"/>
    <w:rsid w:val="006D1DBF"/>
    <w:rsid w:val="006D2015"/>
    <w:rsid w:val="006D2058"/>
    <w:rsid w:val="006D21BA"/>
    <w:rsid w:val="006D2236"/>
    <w:rsid w:val="006D22DF"/>
    <w:rsid w:val="006D2337"/>
    <w:rsid w:val="006D239C"/>
    <w:rsid w:val="006D2507"/>
    <w:rsid w:val="006D2509"/>
    <w:rsid w:val="006D2573"/>
    <w:rsid w:val="006D25BA"/>
    <w:rsid w:val="006D26B6"/>
    <w:rsid w:val="006D2743"/>
    <w:rsid w:val="006D2842"/>
    <w:rsid w:val="006D2907"/>
    <w:rsid w:val="006D2B74"/>
    <w:rsid w:val="006D2BCC"/>
    <w:rsid w:val="006D2C15"/>
    <w:rsid w:val="006D2CFD"/>
    <w:rsid w:val="006D2D2D"/>
    <w:rsid w:val="006D2D43"/>
    <w:rsid w:val="006D2DD9"/>
    <w:rsid w:val="006D2DEE"/>
    <w:rsid w:val="006D2E95"/>
    <w:rsid w:val="006D2F10"/>
    <w:rsid w:val="006D302E"/>
    <w:rsid w:val="006D3066"/>
    <w:rsid w:val="006D30A5"/>
    <w:rsid w:val="006D312C"/>
    <w:rsid w:val="006D3142"/>
    <w:rsid w:val="006D31A7"/>
    <w:rsid w:val="006D31C9"/>
    <w:rsid w:val="006D32B5"/>
    <w:rsid w:val="006D33AB"/>
    <w:rsid w:val="006D33E8"/>
    <w:rsid w:val="006D34B2"/>
    <w:rsid w:val="006D3546"/>
    <w:rsid w:val="006D3552"/>
    <w:rsid w:val="006D35D4"/>
    <w:rsid w:val="006D35FE"/>
    <w:rsid w:val="006D361A"/>
    <w:rsid w:val="006D361B"/>
    <w:rsid w:val="006D36AA"/>
    <w:rsid w:val="006D3710"/>
    <w:rsid w:val="006D3720"/>
    <w:rsid w:val="006D37A6"/>
    <w:rsid w:val="006D3818"/>
    <w:rsid w:val="006D3858"/>
    <w:rsid w:val="006D387E"/>
    <w:rsid w:val="006D3896"/>
    <w:rsid w:val="006D389B"/>
    <w:rsid w:val="006D38DB"/>
    <w:rsid w:val="006D393F"/>
    <w:rsid w:val="006D3A0D"/>
    <w:rsid w:val="006D3B23"/>
    <w:rsid w:val="006D3B8F"/>
    <w:rsid w:val="006D3CA5"/>
    <w:rsid w:val="006D3CAD"/>
    <w:rsid w:val="006D3D46"/>
    <w:rsid w:val="006D3E8C"/>
    <w:rsid w:val="006D3F6B"/>
    <w:rsid w:val="006D3FA2"/>
    <w:rsid w:val="006D4000"/>
    <w:rsid w:val="006D4012"/>
    <w:rsid w:val="006D4076"/>
    <w:rsid w:val="006D40E7"/>
    <w:rsid w:val="006D4101"/>
    <w:rsid w:val="006D413E"/>
    <w:rsid w:val="006D4141"/>
    <w:rsid w:val="006D429C"/>
    <w:rsid w:val="006D42A3"/>
    <w:rsid w:val="006D42C4"/>
    <w:rsid w:val="006D4322"/>
    <w:rsid w:val="006D4341"/>
    <w:rsid w:val="006D43D2"/>
    <w:rsid w:val="006D43FC"/>
    <w:rsid w:val="006D44CD"/>
    <w:rsid w:val="006D4669"/>
    <w:rsid w:val="006D46B0"/>
    <w:rsid w:val="006D46D2"/>
    <w:rsid w:val="006D46D9"/>
    <w:rsid w:val="006D4796"/>
    <w:rsid w:val="006D47A0"/>
    <w:rsid w:val="006D47D6"/>
    <w:rsid w:val="006D4882"/>
    <w:rsid w:val="006D48BA"/>
    <w:rsid w:val="006D4973"/>
    <w:rsid w:val="006D499E"/>
    <w:rsid w:val="006D4A3A"/>
    <w:rsid w:val="006D4A7C"/>
    <w:rsid w:val="006D4AD4"/>
    <w:rsid w:val="006D4ADA"/>
    <w:rsid w:val="006D4B2A"/>
    <w:rsid w:val="006D4BD8"/>
    <w:rsid w:val="006D4C85"/>
    <w:rsid w:val="006D4E0E"/>
    <w:rsid w:val="006D4E18"/>
    <w:rsid w:val="006D4EE8"/>
    <w:rsid w:val="006D4F20"/>
    <w:rsid w:val="006D4F47"/>
    <w:rsid w:val="006D4F83"/>
    <w:rsid w:val="006D4FA6"/>
    <w:rsid w:val="006D501E"/>
    <w:rsid w:val="006D510B"/>
    <w:rsid w:val="006D512B"/>
    <w:rsid w:val="006D5144"/>
    <w:rsid w:val="006D516A"/>
    <w:rsid w:val="006D5186"/>
    <w:rsid w:val="006D5202"/>
    <w:rsid w:val="006D52D5"/>
    <w:rsid w:val="006D5359"/>
    <w:rsid w:val="006D5443"/>
    <w:rsid w:val="006D5473"/>
    <w:rsid w:val="006D552A"/>
    <w:rsid w:val="006D577C"/>
    <w:rsid w:val="006D59FA"/>
    <w:rsid w:val="006D5A82"/>
    <w:rsid w:val="006D5AF9"/>
    <w:rsid w:val="006D5B04"/>
    <w:rsid w:val="006D5B6A"/>
    <w:rsid w:val="006D5BC5"/>
    <w:rsid w:val="006D5BDF"/>
    <w:rsid w:val="006D5CC4"/>
    <w:rsid w:val="006D5D0C"/>
    <w:rsid w:val="006D5E9F"/>
    <w:rsid w:val="006D5EB6"/>
    <w:rsid w:val="006D5EDD"/>
    <w:rsid w:val="006D5F11"/>
    <w:rsid w:val="006D5F30"/>
    <w:rsid w:val="006D5FC6"/>
    <w:rsid w:val="006D60FF"/>
    <w:rsid w:val="006D610B"/>
    <w:rsid w:val="006D6198"/>
    <w:rsid w:val="006D6225"/>
    <w:rsid w:val="006D63C0"/>
    <w:rsid w:val="006D6424"/>
    <w:rsid w:val="006D6468"/>
    <w:rsid w:val="006D6512"/>
    <w:rsid w:val="006D6528"/>
    <w:rsid w:val="006D659F"/>
    <w:rsid w:val="006D65E1"/>
    <w:rsid w:val="006D66A3"/>
    <w:rsid w:val="006D66A9"/>
    <w:rsid w:val="006D66C1"/>
    <w:rsid w:val="006D66E6"/>
    <w:rsid w:val="006D6803"/>
    <w:rsid w:val="006D6865"/>
    <w:rsid w:val="006D6911"/>
    <w:rsid w:val="006D692A"/>
    <w:rsid w:val="006D6973"/>
    <w:rsid w:val="006D6AC5"/>
    <w:rsid w:val="006D6B61"/>
    <w:rsid w:val="006D6B9C"/>
    <w:rsid w:val="006D6C00"/>
    <w:rsid w:val="006D6E01"/>
    <w:rsid w:val="006D6F10"/>
    <w:rsid w:val="006D6F5A"/>
    <w:rsid w:val="006D7012"/>
    <w:rsid w:val="006D7068"/>
    <w:rsid w:val="006D70E9"/>
    <w:rsid w:val="006D70F3"/>
    <w:rsid w:val="006D7153"/>
    <w:rsid w:val="006D71AB"/>
    <w:rsid w:val="006D722A"/>
    <w:rsid w:val="006D7256"/>
    <w:rsid w:val="006D7279"/>
    <w:rsid w:val="006D72C8"/>
    <w:rsid w:val="006D72D3"/>
    <w:rsid w:val="006D7300"/>
    <w:rsid w:val="006D734C"/>
    <w:rsid w:val="006D7553"/>
    <w:rsid w:val="006D7566"/>
    <w:rsid w:val="006D75B1"/>
    <w:rsid w:val="006D7655"/>
    <w:rsid w:val="006D765D"/>
    <w:rsid w:val="006D767A"/>
    <w:rsid w:val="006D7794"/>
    <w:rsid w:val="006D77D0"/>
    <w:rsid w:val="006D77F2"/>
    <w:rsid w:val="006D780C"/>
    <w:rsid w:val="006D7A9D"/>
    <w:rsid w:val="006D7AAE"/>
    <w:rsid w:val="006D7BC9"/>
    <w:rsid w:val="006D7CDD"/>
    <w:rsid w:val="006D7DDE"/>
    <w:rsid w:val="006D7E44"/>
    <w:rsid w:val="006D7EFD"/>
    <w:rsid w:val="006E005D"/>
    <w:rsid w:val="006E018E"/>
    <w:rsid w:val="006E020A"/>
    <w:rsid w:val="006E0228"/>
    <w:rsid w:val="006E0256"/>
    <w:rsid w:val="006E0257"/>
    <w:rsid w:val="006E02A8"/>
    <w:rsid w:val="006E0319"/>
    <w:rsid w:val="006E0385"/>
    <w:rsid w:val="006E03CB"/>
    <w:rsid w:val="006E0413"/>
    <w:rsid w:val="006E0531"/>
    <w:rsid w:val="006E05E2"/>
    <w:rsid w:val="006E061E"/>
    <w:rsid w:val="006E0621"/>
    <w:rsid w:val="006E0624"/>
    <w:rsid w:val="006E0722"/>
    <w:rsid w:val="006E0755"/>
    <w:rsid w:val="006E08C9"/>
    <w:rsid w:val="006E0942"/>
    <w:rsid w:val="006E09A1"/>
    <w:rsid w:val="006E09E0"/>
    <w:rsid w:val="006E0A33"/>
    <w:rsid w:val="006E0AA1"/>
    <w:rsid w:val="006E0AC3"/>
    <w:rsid w:val="006E0AEC"/>
    <w:rsid w:val="006E0B4F"/>
    <w:rsid w:val="006E0BAE"/>
    <w:rsid w:val="006E0BB7"/>
    <w:rsid w:val="006E0C79"/>
    <w:rsid w:val="006E0DA0"/>
    <w:rsid w:val="006E0ED9"/>
    <w:rsid w:val="006E0F09"/>
    <w:rsid w:val="006E0F54"/>
    <w:rsid w:val="006E0F57"/>
    <w:rsid w:val="006E0F6A"/>
    <w:rsid w:val="006E103D"/>
    <w:rsid w:val="006E114A"/>
    <w:rsid w:val="006E116D"/>
    <w:rsid w:val="006E1192"/>
    <w:rsid w:val="006E1198"/>
    <w:rsid w:val="006E11B6"/>
    <w:rsid w:val="006E126F"/>
    <w:rsid w:val="006E12CE"/>
    <w:rsid w:val="006E1387"/>
    <w:rsid w:val="006E1493"/>
    <w:rsid w:val="006E1592"/>
    <w:rsid w:val="006E16F7"/>
    <w:rsid w:val="006E1703"/>
    <w:rsid w:val="006E171F"/>
    <w:rsid w:val="006E1806"/>
    <w:rsid w:val="006E1951"/>
    <w:rsid w:val="006E199D"/>
    <w:rsid w:val="006E19E6"/>
    <w:rsid w:val="006E19EE"/>
    <w:rsid w:val="006E19FE"/>
    <w:rsid w:val="006E1B51"/>
    <w:rsid w:val="006E1BBA"/>
    <w:rsid w:val="006E1C1A"/>
    <w:rsid w:val="006E1C2E"/>
    <w:rsid w:val="006E1CB8"/>
    <w:rsid w:val="006E1D0A"/>
    <w:rsid w:val="006E1E0F"/>
    <w:rsid w:val="006E1EF4"/>
    <w:rsid w:val="006E1F1B"/>
    <w:rsid w:val="006E1F22"/>
    <w:rsid w:val="006E1F91"/>
    <w:rsid w:val="006E210F"/>
    <w:rsid w:val="006E212C"/>
    <w:rsid w:val="006E2290"/>
    <w:rsid w:val="006E23E8"/>
    <w:rsid w:val="006E23EB"/>
    <w:rsid w:val="006E2445"/>
    <w:rsid w:val="006E24C1"/>
    <w:rsid w:val="006E24C3"/>
    <w:rsid w:val="006E26C8"/>
    <w:rsid w:val="006E26DE"/>
    <w:rsid w:val="006E2726"/>
    <w:rsid w:val="006E2819"/>
    <w:rsid w:val="006E29AF"/>
    <w:rsid w:val="006E2C71"/>
    <w:rsid w:val="006E2C73"/>
    <w:rsid w:val="006E2D47"/>
    <w:rsid w:val="006E2ED4"/>
    <w:rsid w:val="006E2F39"/>
    <w:rsid w:val="006E2F7C"/>
    <w:rsid w:val="006E2FCC"/>
    <w:rsid w:val="006E2FEE"/>
    <w:rsid w:val="006E2FF3"/>
    <w:rsid w:val="006E311E"/>
    <w:rsid w:val="006E3269"/>
    <w:rsid w:val="006E3290"/>
    <w:rsid w:val="006E32C2"/>
    <w:rsid w:val="006E330C"/>
    <w:rsid w:val="006E338C"/>
    <w:rsid w:val="006E3402"/>
    <w:rsid w:val="006E3409"/>
    <w:rsid w:val="006E34AA"/>
    <w:rsid w:val="006E34BA"/>
    <w:rsid w:val="006E3531"/>
    <w:rsid w:val="006E35B9"/>
    <w:rsid w:val="006E3614"/>
    <w:rsid w:val="006E361A"/>
    <w:rsid w:val="006E364E"/>
    <w:rsid w:val="006E3659"/>
    <w:rsid w:val="006E3844"/>
    <w:rsid w:val="006E390D"/>
    <w:rsid w:val="006E393A"/>
    <w:rsid w:val="006E3A3E"/>
    <w:rsid w:val="006E3A84"/>
    <w:rsid w:val="006E3B3C"/>
    <w:rsid w:val="006E3C21"/>
    <w:rsid w:val="006E3C2E"/>
    <w:rsid w:val="006E3C5B"/>
    <w:rsid w:val="006E3C78"/>
    <w:rsid w:val="006E3DCA"/>
    <w:rsid w:val="006E3DE8"/>
    <w:rsid w:val="006E3E4C"/>
    <w:rsid w:val="006E3F05"/>
    <w:rsid w:val="006E3F16"/>
    <w:rsid w:val="006E3F1C"/>
    <w:rsid w:val="006E3F9E"/>
    <w:rsid w:val="006E3FED"/>
    <w:rsid w:val="006E406D"/>
    <w:rsid w:val="006E40D7"/>
    <w:rsid w:val="006E4114"/>
    <w:rsid w:val="006E415A"/>
    <w:rsid w:val="006E4186"/>
    <w:rsid w:val="006E419B"/>
    <w:rsid w:val="006E41A8"/>
    <w:rsid w:val="006E4221"/>
    <w:rsid w:val="006E4252"/>
    <w:rsid w:val="006E4310"/>
    <w:rsid w:val="006E43E3"/>
    <w:rsid w:val="006E4405"/>
    <w:rsid w:val="006E440B"/>
    <w:rsid w:val="006E442C"/>
    <w:rsid w:val="006E4490"/>
    <w:rsid w:val="006E44B6"/>
    <w:rsid w:val="006E455C"/>
    <w:rsid w:val="006E4580"/>
    <w:rsid w:val="006E471E"/>
    <w:rsid w:val="006E47C0"/>
    <w:rsid w:val="006E47F1"/>
    <w:rsid w:val="006E485F"/>
    <w:rsid w:val="006E4897"/>
    <w:rsid w:val="006E48E2"/>
    <w:rsid w:val="006E48E5"/>
    <w:rsid w:val="006E48E6"/>
    <w:rsid w:val="006E4A9B"/>
    <w:rsid w:val="006E4B5A"/>
    <w:rsid w:val="006E4C08"/>
    <w:rsid w:val="006E4C59"/>
    <w:rsid w:val="006E4C67"/>
    <w:rsid w:val="006E4C91"/>
    <w:rsid w:val="006E4CED"/>
    <w:rsid w:val="006E4DB2"/>
    <w:rsid w:val="006E4DED"/>
    <w:rsid w:val="006E4E66"/>
    <w:rsid w:val="006E4E79"/>
    <w:rsid w:val="006E4E88"/>
    <w:rsid w:val="006E4E9F"/>
    <w:rsid w:val="006E4ED9"/>
    <w:rsid w:val="006E4FA7"/>
    <w:rsid w:val="006E4FAC"/>
    <w:rsid w:val="006E4FE3"/>
    <w:rsid w:val="006E5020"/>
    <w:rsid w:val="006E5091"/>
    <w:rsid w:val="006E5099"/>
    <w:rsid w:val="006E5101"/>
    <w:rsid w:val="006E515A"/>
    <w:rsid w:val="006E51A8"/>
    <w:rsid w:val="006E523A"/>
    <w:rsid w:val="006E530A"/>
    <w:rsid w:val="006E531F"/>
    <w:rsid w:val="006E5329"/>
    <w:rsid w:val="006E538A"/>
    <w:rsid w:val="006E543F"/>
    <w:rsid w:val="006E545E"/>
    <w:rsid w:val="006E54DA"/>
    <w:rsid w:val="006E54F6"/>
    <w:rsid w:val="006E550B"/>
    <w:rsid w:val="006E557D"/>
    <w:rsid w:val="006E56FC"/>
    <w:rsid w:val="006E57B6"/>
    <w:rsid w:val="006E57CC"/>
    <w:rsid w:val="006E57E7"/>
    <w:rsid w:val="006E5881"/>
    <w:rsid w:val="006E58D0"/>
    <w:rsid w:val="006E599E"/>
    <w:rsid w:val="006E5A1B"/>
    <w:rsid w:val="006E5A7A"/>
    <w:rsid w:val="006E5ABD"/>
    <w:rsid w:val="006E5B64"/>
    <w:rsid w:val="006E5B97"/>
    <w:rsid w:val="006E5BBD"/>
    <w:rsid w:val="006E5CC1"/>
    <w:rsid w:val="006E5D25"/>
    <w:rsid w:val="006E5E50"/>
    <w:rsid w:val="006E5F21"/>
    <w:rsid w:val="006E6045"/>
    <w:rsid w:val="006E60E6"/>
    <w:rsid w:val="006E6112"/>
    <w:rsid w:val="006E6188"/>
    <w:rsid w:val="006E623D"/>
    <w:rsid w:val="006E628E"/>
    <w:rsid w:val="006E62BC"/>
    <w:rsid w:val="006E638B"/>
    <w:rsid w:val="006E6402"/>
    <w:rsid w:val="006E643D"/>
    <w:rsid w:val="006E651A"/>
    <w:rsid w:val="006E6546"/>
    <w:rsid w:val="006E65D0"/>
    <w:rsid w:val="006E6641"/>
    <w:rsid w:val="006E6739"/>
    <w:rsid w:val="006E6769"/>
    <w:rsid w:val="006E67CD"/>
    <w:rsid w:val="006E67E6"/>
    <w:rsid w:val="006E6877"/>
    <w:rsid w:val="006E6893"/>
    <w:rsid w:val="006E68B9"/>
    <w:rsid w:val="006E6963"/>
    <w:rsid w:val="006E6978"/>
    <w:rsid w:val="006E6A03"/>
    <w:rsid w:val="006E6A2A"/>
    <w:rsid w:val="006E6B11"/>
    <w:rsid w:val="006E6C4D"/>
    <w:rsid w:val="006E6C6B"/>
    <w:rsid w:val="006E6CBC"/>
    <w:rsid w:val="006E6D54"/>
    <w:rsid w:val="006E6DC4"/>
    <w:rsid w:val="006E7082"/>
    <w:rsid w:val="006E7096"/>
    <w:rsid w:val="006E70A5"/>
    <w:rsid w:val="006E70A7"/>
    <w:rsid w:val="006E70E8"/>
    <w:rsid w:val="006E7138"/>
    <w:rsid w:val="006E7203"/>
    <w:rsid w:val="006E7560"/>
    <w:rsid w:val="006E7610"/>
    <w:rsid w:val="006E766A"/>
    <w:rsid w:val="006E7689"/>
    <w:rsid w:val="006E774E"/>
    <w:rsid w:val="006E7758"/>
    <w:rsid w:val="006E77E8"/>
    <w:rsid w:val="006E787B"/>
    <w:rsid w:val="006E78AC"/>
    <w:rsid w:val="006E79AA"/>
    <w:rsid w:val="006E7A3F"/>
    <w:rsid w:val="006E7AA0"/>
    <w:rsid w:val="006E7AB6"/>
    <w:rsid w:val="006E7B91"/>
    <w:rsid w:val="006E7B97"/>
    <w:rsid w:val="006E7B99"/>
    <w:rsid w:val="006E7C88"/>
    <w:rsid w:val="006E7DF8"/>
    <w:rsid w:val="006E7E14"/>
    <w:rsid w:val="006E7E2E"/>
    <w:rsid w:val="006E7EA2"/>
    <w:rsid w:val="006E7F15"/>
    <w:rsid w:val="006E7FE6"/>
    <w:rsid w:val="006F0005"/>
    <w:rsid w:val="006F020B"/>
    <w:rsid w:val="006F0288"/>
    <w:rsid w:val="006F02E1"/>
    <w:rsid w:val="006F0343"/>
    <w:rsid w:val="006F0378"/>
    <w:rsid w:val="006F03CD"/>
    <w:rsid w:val="006F04A4"/>
    <w:rsid w:val="006F04B8"/>
    <w:rsid w:val="006F04D3"/>
    <w:rsid w:val="006F04F0"/>
    <w:rsid w:val="006F0520"/>
    <w:rsid w:val="006F05A4"/>
    <w:rsid w:val="006F05C9"/>
    <w:rsid w:val="006F05CB"/>
    <w:rsid w:val="006F0661"/>
    <w:rsid w:val="006F068A"/>
    <w:rsid w:val="006F06FB"/>
    <w:rsid w:val="006F075C"/>
    <w:rsid w:val="006F077F"/>
    <w:rsid w:val="006F0797"/>
    <w:rsid w:val="006F07B5"/>
    <w:rsid w:val="006F07E4"/>
    <w:rsid w:val="006F0871"/>
    <w:rsid w:val="006F0A2E"/>
    <w:rsid w:val="006F0ABD"/>
    <w:rsid w:val="006F0AD1"/>
    <w:rsid w:val="006F0B2D"/>
    <w:rsid w:val="006F0B6D"/>
    <w:rsid w:val="006F0B80"/>
    <w:rsid w:val="006F0BD1"/>
    <w:rsid w:val="006F0BE8"/>
    <w:rsid w:val="006F0C12"/>
    <w:rsid w:val="006F0C68"/>
    <w:rsid w:val="006F0D3B"/>
    <w:rsid w:val="006F0D4B"/>
    <w:rsid w:val="006F0DBC"/>
    <w:rsid w:val="006F0EB2"/>
    <w:rsid w:val="006F0F73"/>
    <w:rsid w:val="006F0FE8"/>
    <w:rsid w:val="006F0FF0"/>
    <w:rsid w:val="006F12F0"/>
    <w:rsid w:val="006F1319"/>
    <w:rsid w:val="006F145A"/>
    <w:rsid w:val="006F1578"/>
    <w:rsid w:val="006F15C8"/>
    <w:rsid w:val="006F1678"/>
    <w:rsid w:val="006F1684"/>
    <w:rsid w:val="006F168C"/>
    <w:rsid w:val="006F1699"/>
    <w:rsid w:val="006F1709"/>
    <w:rsid w:val="006F17CF"/>
    <w:rsid w:val="006F1816"/>
    <w:rsid w:val="006F1819"/>
    <w:rsid w:val="006F183A"/>
    <w:rsid w:val="006F186E"/>
    <w:rsid w:val="006F18D5"/>
    <w:rsid w:val="006F1927"/>
    <w:rsid w:val="006F1A58"/>
    <w:rsid w:val="006F1ADE"/>
    <w:rsid w:val="006F1B2E"/>
    <w:rsid w:val="006F1BA2"/>
    <w:rsid w:val="006F1BCD"/>
    <w:rsid w:val="006F1D17"/>
    <w:rsid w:val="006F1D1E"/>
    <w:rsid w:val="006F1D3F"/>
    <w:rsid w:val="006F1D5C"/>
    <w:rsid w:val="006F1E5B"/>
    <w:rsid w:val="006F1ECB"/>
    <w:rsid w:val="006F1F42"/>
    <w:rsid w:val="006F2028"/>
    <w:rsid w:val="006F20AB"/>
    <w:rsid w:val="006F20EE"/>
    <w:rsid w:val="006F2136"/>
    <w:rsid w:val="006F2183"/>
    <w:rsid w:val="006F21BE"/>
    <w:rsid w:val="006F2250"/>
    <w:rsid w:val="006F2284"/>
    <w:rsid w:val="006F22AD"/>
    <w:rsid w:val="006F22C1"/>
    <w:rsid w:val="006F2432"/>
    <w:rsid w:val="006F2487"/>
    <w:rsid w:val="006F248A"/>
    <w:rsid w:val="006F24F4"/>
    <w:rsid w:val="006F2538"/>
    <w:rsid w:val="006F25D1"/>
    <w:rsid w:val="006F2660"/>
    <w:rsid w:val="006F2662"/>
    <w:rsid w:val="006F2723"/>
    <w:rsid w:val="006F2846"/>
    <w:rsid w:val="006F2922"/>
    <w:rsid w:val="006F295D"/>
    <w:rsid w:val="006F2B19"/>
    <w:rsid w:val="006F2B9F"/>
    <w:rsid w:val="006F2BA8"/>
    <w:rsid w:val="006F2BC6"/>
    <w:rsid w:val="006F2C18"/>
    <w:rsid w:val="006F2C8B"/>
    <w:rsid w:val="006F2CC6"/>
    <w:rsid w:val="006F2D4C"/>
    <w:rsid w:val="006F2E22"/>
    <w:rsid w:val="006F2E5A"/>
    <w:rsid w:val="006F2EDD"/>
    <w:rsid w:val="006F2F96"/>
    <w:rsid w:val="006F2FBD"/>
    <w:rsid w:val="006F30E1"/>
    <w:rsid w:val="006F3176"/>
    <w:rsid w:val="006F3270"/>
    <w:rsid w:val="006F3310"/>
    <w:rsid w:val="006F3423"/>
    <w:rsid w:val="006F345D"/>
    <w:rsid w:val="006F3478"/>
    <w:rsid w:val="006F348A"/>
    <w:rsid w:val="006F34A0"/>
    <w:rsid w:val="006F34C3"/>
    <w:rsid w:val="006F3525"/>
    <w:rsid w:val="006F3597"/>
    <w:rsid w:val="006F35CE"/>
    <w:rsid w:val="006F363A"/>
    <w:rsid w:val="006F3653"/>
    <w:rsid w:val="006F36E1"/>
    <w:rsid w:val="006F3726"/>
    <w:rsid w:val="006F37E1"/>
    <w:rsid w:val="006F37FA"/>
    <w:rsid w:val="006F3815"/>
    <w:rsid w:val="006F3836"/>
    <w:rsid w:val="006F3911"/>
    <w:rsid w:val="006F3951"/>
    <w:rsid w:val="006F3AEC"/>
    <w:rsid w:val="006F3B0F"/>
    <w:rsid w:val="006F3C3A"/>
    <w:rsid w:val="006F3CD1"/>
    <w:rsid w:val="006F3E1B"/>
    <w:rsid w:val="006F3E80"/>
    <w:rsid w:val="006F3E96"/>
    <w:rsid w:val="006F3F09"/>
    <w:rsid w:val="006F3F6D"/>
    <w:rsid w:val="006F3FA0"/>
    <w:rsid w:val="006F3FB0"/>
    <w:rsid w:val="006F41A9"/>
    <w:rsid w:val="006F41E8"/>
    <w:rsid w:val="006F41F5"/>
    <w:rsid w:val="006F42A1"/>
    <w:rsid w:val="006F42D1"/>
    <w:rsid w:val="006F4312"/>
    <w:rsid w:val="006F4336"/>
    <w:rsid w:val="006F4361"/>
    <w:rsid w:val="006F4439"/>
    <w:rsid w:val="006F4469"/>
    <w:rsid w:val="006F4527"/>
    <w:rsid w:val="006F4542"/>
    <w:rsid w:val="006F45A5"/>
    <w:rsid w:val="006F4641"/>
    <w:rsid w:val="006F4647"/>
    <w:rsid w:val="006F4691"/>
    <w:rsid w:val="006F471A"/>
    <w:rsid w:val="006F4774"/>
    <w:rsid w:val="006F47B2"/>
    <w:rsid w:val="006F47F5"/>
    <w:rsid w:val="006F48BF"/>
    <w:rsid w:val="006F4992"/>
    <w:rsid w:val="006F49A0"/>
    <w:rsid w:val="006F4A05"/>
    <w:rsid w:val="006F4A13"/>
    <w:rsid w:val="006F4A20"/>
    <w:rsid w:val="006F4A47"/>
    <w:rsid w:val="006F4C39"/>
    <w:rsid w:val="006F4C3F"/>
    <w:rsid w:val="006F4C67"/>
    <w:rsid w:val="006F4D60"/>
    <w:rsid w:val="006F4D75"/>
    <w:rsid w:val="006F4D91"/>
    <w:rsid w:val="006F4DC8"/>
    <w:rsid w:val="006F4DF8"/>
    <w:rsid w:val="006F4E15"/>
    <w:rsid w:val="006F4E23"/>
    <w:rsid w:val="006F508C"/>
    <w:rsid w:val="006F5095"/>
    <w:rsid w:val="006F50FB"/>
    <w:rsid w:val="006F51F3"/>
    <w:rsid w:val="006F548D"/>
    <w:rsid w:val="006F5533"/>
    <w:rsid w:val="006F5561"/>
    <w:rsid w:val="006F55AB"/>
    <w:rsid w:val="006F5607"/>
    <w:rsid w:val="006F56B1"/>
    <w:rsid w:val="006F5798"/>
    <w:rsid w:val="006F5896"/>
    <w:rsid w:val="006F58EC"/>
    <w:rsid w:val="006F5913"/>
    <w:rsid w:val="006F5A38"/>
    <w:rsid w:val="006F5B3A"/>
    <w:rsid w:val="006F5B61"/>
    <w:rsid w:val="006F5C18"/>
    <w:rsid w:val="006F5CE5"/>
    <w:rsid w:val="006F5D0B"/>
    <w:rsid w:val="006F5D35"/>
    <w:rsid w:val="006F5E58"/>
    <w:rsid w:val="006F5E5D"/>
    <w:rsid w:val="006F5EA5"/>
    <w:rsid w:val="006F5ECB"/>
    <w:rsid w:val="006F5F5A"/>
    <w:rsid w:val="006F5FA3"/>
    <w:rsid w:val="006F5FFA"/>
    <w:rsid w:val="006F6042"/>
    <w:rsid w:val="006F60EE"/>
    <w:rsid w:val="006F6176"/>
    <w:rsid w:val="006F6194"/>
    <w:rsid w:val="006F61C9"/>
    <w:rsid w:val="006F61E8"/>
    <w:rsid w:val="006F623C"/>
    <w:rsid w:val="006F634A"/>
    <w:rsid w:val="006F653C"/>
    <w:rsid w:val="006F668E"/>
    <w:rsid w:val="006F66A2"/>
    <w:rsid w:val="006F67CC"/>
    <w:rsid w:val="006F67F7"/>
    <w:rsid w:val="006F682E"/>
    <w:rsid w:val="006F6912"/>
    <w:rsid w:val="006F6968"/>
    <w:rsid w:val="006F69EC"/>
    <w:rsid w:val="006F6A37"/>
    <w:rsid w:val="006F6A82"/>
    <w:rsid w:val="006F6AEC"/>
    <w:rsid w:val="006F6B57"/>
    <w:rsid w:val="006F6C03"/>
    <w:rsid w:val="006F6D1B"/>
    <w:rsid w:val="006F6D52"/>
    <w:rsid w:val="006F6DAB"/>
    <w:rsid w:val="006F6DD9"/>
    <w:rsid w:val="006F6EA9"/>
    <w:rsid w:val="006F6F35"/>
    <w:rsid w:val="006F70AC"/>
    <w:rsid w:val="006F7175"/>
    <w:rsid w:val="006F71A0"/>
    <w:rsid w:val="006F71A6"/>
    <w:rsid w:val="006F720C"/>
    <w:rsid w:val="006F728E"/>
    <w:rsid w:val="006F733D"/>
    <w:rsid w:val="006F7345"/>
    <w:rsid w:val="006F735B"/>
    <w:rsid w:val="006F73B0"/>
    <w:rsid w:val="006F7401"/>
    <w:rsid w:val="006F747D"/>
    <w:rsid w:val="006F762D"/>
    <w:rsid w:val="006F7793"/>
    <w:rsid w:val="006F77DF"/>
    <w:rsid w:val="006F7863"/>
    <w:rsid w:val="006F78AD"/>
    <w:rsid w:val="006F78AE"/>
    <w:rsid w:val="006F7922"/>
    <w:rsid w:val="006F7A3E"/>
    <w:rsid w:val="006F7A85"/>
    <w:rsid w:val="006F7AB5"/>
    <w:rsid w:val="006F7B48"/>
    <w:rsid w:val="006F7BB6"/>
    <w:rsid w:val="006F7BC6"/>
    <w:rsid w:val="006F7C39"/>
    <w:rsid w:val="006F7C7F"/>
    <w:rsid w:val="006F7E55"/>
    <w:rsid w:val="006F7E89"/>
    <w:rsid w:val="006F7EE0"/>
    <w:rsid w:val="006F7F36"/>
    <w:rsid w:val="006F7F55"/>
    <w:rsid w:val="006F7F60"/>
    <w:rsid w:val="006F7FC3"/>
    <w:rsid w:val="006F7FCC"/>
    <w:rsid w:val="00700033"/>
    <w:rsid w:val="00700039"/>
    <w:rsid w:val="007000D3"/>
    <w:rsid w:val="00700151"/>
    <w:rsid w:val="00700176"/>
    <w:rsid w:val="0070018B"/>
    <w:rsid w:val="007001DC"/>
    <w:rsid w:val="00700291"/>
    <w:rsid w:val="007002B5"/>
    <w:rsid w:val="0070032E"/>
    <w:rsid w:val="007003F9"/>
    <w:rsid w:val="0070058C"/>
    <w:rsid w:val="007005BD"/>
    <w:rsid w:val="00700643"/>
    <w:rsid w:val="0070079D"/>
    <w:rsid w:val="007007D0"/>
    <w:rsid w:val="0070081A"/>
    <w:rsid w:val="0070081B"/>
    <w:rsid w:val="00700827"/>
    <w:rsid w:val="00700977"/>
    <w:rsid w:val="00700982"/>
    <w:rsid w:val="007009EA"/>
    <w:rsid w:val="007009EE"/>
    <w:rsid w:val="00700A4B"/>
    <w:rsid w:val="00700B24"/>
    <w:rsid w:val="00700BE1"/>
    <w:rsid w:val="00700D25"/>
    <w:rsid w:val="00700D2A"/>
    <w:rsid w:val="00700DAD"/>
    <w:rsid w:val="00700DCB"/>
    <w:rsid w:val="00700ECB"/>
    <w:rsid w:val="00700F01"/>
    <w:rsid w:val="00700FC9"/>
    <w:rsid w:val="00700FEC"/>
    <w:rsid w:val="007010D8"/>
    <w:rsid w:val="007010DC"/>
    <w:rsid w:val="00701179"/>
    <w:rsid w:val="007011B9"/>
    <w:rsid w:val="00701213"/>
    <w:rsid w:val="0070128F"/>
    <w:rsid w:val="00701375"/>
    <w:rsid w:val="0070149B"/>
    <w:rsid w:val="00701729"/>
    <w:rsid w:val="00701749"/>
    <w:rsid w:val="00701799"/>
    <w:rsid w:val="00701947"/>
    <w:rsid w:val="00701A02"/>
    <w:rsid w:val="00701ACE"/>
    <w:rsid w:val="00701B65"/>
    <w:rsid w:val="00701BB4"/>
    <w:rsid w:val="00701CC6"/>
    <w:rsid w:val="00701D9E"/>
    <w:rsid w:val="00701E4F"/>
    <w:rsid w:val="00701E6D"/>
    <w:rsid w:val="00701F0C"/>
    <w:rsid w:val="00701F85"/>
    <w:rsid w:val="00701FD2"/>
    <w:rsid w:val="00702128"/>
    <w:rsid w:val="0070215E"/>
    <w:rsid w:val="00702177"/>
    <w:rsid w:val="00702283"/>
    <w:rsid w:val="00702295"/>
    <w:rsid w:val="00702359"/>
    <w:rsid w:val="00702369"/>
    <w:rsid w:val="0070236A"/>
    <w:rsid w:val="0070240B"/>
    <w:rsid w:val="00702466"/>
    <w:rsid w:val="007024D4"/>
    <w:rsid w:val="00702538"/>
    <w:rsid w:val="007025D6"/>
    <w:rsid w:val="00702602"/>
    <w:rsid w:val="00702689"/>
    <w:rsid w:val="007026AE"/>
    <w:rsid w:val="00702766"/>
    <w:rsid w:val="007027CA"/>
    <w:rsid w:val="007027D5"/>
    <w:rsid w:val="00702811"/>
    <w:rsid w:val="00702838"/>
    <w:rsid w:val="00702900"/>
    <w:rsid w:val="0070294E"/>
    <w:rsid w:val="007029F0"/>
    <w:rsid w:val="00702A49"/>
    <w:rsid w:val="00702B05"/>
    <w:rsid w:val="00702BB4"/>
    <w:rsid w:val="00702D21"/>
    <w:rsid w:val="00702D96"/>
    <w:rsid w:val="00702D99"/>
    <w:rsid w:val="00702E17"/>
    <w:rsid w:val="00702E40"/>
    <w:rsid w:val="00702E73"/>
    <w:rsid w:val="007030B1"/>
    <w:rsid w:val="007030E5"/>
    <w:rsid w:val="00703112"/>
    <w:rsid w:val="007031FF"/>
    <w:rsid w:val="0070328A"/>
    <w:rsid w:val="007032BA"/>
    <w:rsid w:val="0070332D"/>
    <w:rsid w:val="00703333"/>
    <w:rsid w:val="007033DC"/>
    <w:rsid w:val="007033F8"/>
    <w:rsid w:val="0070341A"/>
    <w:rsid w:val="00703476"/>
    <w:rsid w:val="007034A0"/>
    <w:rsid w:val="007034C1"/>
    <w:rsid w:val="007034CF"/>
    <w:rsid w:val="007035DB"/>
    <w:rsid w:val="0070367D"/>
    <w:rsid w:val="00703734"/>
    <w:rsid w:val="0070375C"/>
    <w:rsid w:val="0070394C"/>
    <w:rsid w:val="00703A2A"/>
    <w:rsid w:val="00703A7C"/>
    <w:rsid w:val="00703AE3"/>
    <w:rsid w:val="00703B68"/>
    <w:rsid w:val="00703B91"/>
    <w:rsid w:val="00703E96"/>
    <w:rsid w:val="00703EA5"/>
    <w:rsid w:val="00703EB0"/>
    <w:rsid w:val="00703FCC"/>
    <w:rsid w:val="00704029"/>
    <w:rsid w:val="007040C1"/>
    <w:rsid w:val="007040D0"/>
    <w:rsid w:val="00704112"/>
    <w:rsid w:val="007041C7"/>
    <w:rsid w:val="00704206"/>
    <w:rsid w:val="007042E3"/>
    <w:rsid w:val="0070430F"/>
    <w:rsid w:val="007043D5"/>
    <w:rsid w:val="0070442D"/>
    <w:rsid w:val="0070443A"/>
    <w:rsid w:val="0070445D"/>
    <w:rsid w:val="00704521"/>
    <w:rsid w:val="007045D1"/>
    <w:rsid w:val="00704742"/>
    <w:rsid w:val="007047D0"/>
    <w:rsid w:val="007048B3"/>
    <w:rsid w:val="0070497F"/>
    <w:rsid w:val="007049B9"/>
    <w:rsid w:val="00704AF2"/>
    <w:rsid w:val="00704B83"/>
    <w:rsid w:val="00704BFE"/>
    <w:rsid w:val="00704C00"/>
    <w:rsid w:val="00704C1C"/>
    <w:rsid w:val="00704D1B"/>
    <w:rsid w:val="00704D40"/>
    <w:rsid w:val="00704E0E"/>
    <w:rsid w:val="00704E96"/>
    <w:rsid w:val="0070503A"/>
    <w:rsid w:val="0070511E"/>
    <w:rsid w:val="00705125"/>
    <w:rsid w:val="007051A1"/>
    <w:rsid w:val="007051AD"/>
    <w:rsid w:val="007051E8"/>
    <w:rsid w:val="007051EF"/>
    <w:rsid w:val="00705264"/>
    <w:rsid w:val="007052D0"/>
    <w:rsid w:val="00705301"/>
    <w:rsid w:val="00705372"/>
    <w:rsid w:val="0070546D"/>
    <w:rsid w:val="007054C9"/>
    <w:rsid w:val="00705516"/>
    <w:rsid w:val="00705555"/>
    <w:rsid w:val="0070555B"/>
    <w:rsid w:val="0070555E"/>
    <w:rsid w:val="007055AE"/>
    <w:rsid w:val="00705611"/>
    <w:rsid w:val="00705637"/>
    <w:rsid w:val="00705697"/>
    <w:rsid w:val="0070577A"/>
    <w:rsid w:val="00705868"/>
    <w:rsid w:val="007058EF"/>
    <w:rsid w:val="00705985"/>
    <w:rsid w:val="007059E5"/>
    <w:rsid w:val="00705A81"/>
    <w:rsid w:val="00705AD8"/>
    <w:rsid w:val="00705AFC"/>
    <w:rsid w:val="00705DB8"/>
    <w:rsid w:val="00705DD1"/>
    <w:rsid w:val="00705DDD"/>
    <w:rsid w:val="00705E35"/>
    <w:rsid w:val="00705F60"/>
    <w:rsid w:val="00705FAA"/>
    <w:rsid w:val="00705FB2"/>
    <w:rsid w:val="00705FFA"/>
    <w:rsid w:val="00706009"/>
    <w:rsid w:val="00706012"/>
    <w:rsid w:val="0070608F"/>
    <w:rsid w:val="007060DC"/>
    <w:rsid w:val="0070618E"/>
    <w:rsid w:val="007061E3"/>
    <w:rsid w:val="00706226"/>
    <w:rsid w:val="007062B3"/>
    <w:rsid w:val="00706351"/>
    <w:rsid w:val="00706429"/>
    <w:rsid w:val="00706434"/>
    <w:rsid w:val="0070644A"/>
    <w:rsid w:val="007064AE"/>
    <w:rsid w:val="0070651D"/>
    <w:rsid w:val="00706534"/>
    <w:rsid w:val="00706538"/>
    <w:rsid w:val="00706562"/>
    <w:rsid w:val="007065C2"/>
    <w:rsid w:val="007065C3"/>
    <w:rsid w:val="0070663E"/>
    <w:rsid w:val="00706677"/>
    <w:rsid w:val="0070667B"/>
    <w:rsid w:val="007066F2"/>
    <w:rsid w:val="007067E8"/>
    <w:rsid w:val="00706801"/>
    <w:rsid w:val="0070687D"/>
    <w:rsid w:val="007068B1"/>
    <w:rsid w:val="00706C8D"/>
    <w:rsid w:val="00706C99"/>
    <w:rsid w:val="00706C9D"/>
    <w:rsid w:val="00706CA8"/>
    <w:rsid w:val="00706CCC"/>
    <w:rsid w:val="00706D50"/>
    <w:rsid w:val="00706E16"/>
    <w:rsid w:val="00706E43"/>
    <w:rsid w:val="00706E59"/>
    <w:rsid w:val="00706E96"/>
    <w:rsid w:val="00706EB0"/>
    <w:rsid w:val="00706F15"/>
    <w:rsid w:val="00706F30"/>
    <w:rsid w:val="00706F3F"/>
    <w:rsid w:val="00706F75"/>
    <w:rsid w:val="00706FC0"/>
    <w:rsid w:val="00706FC5"/>
    <w:rsid w:val="00706FD6"/>
    <w:rsid w:val="00707024"/>
    <w:rsid w:val="00707025"/>
    <w:rsid w:val="007070B6"/>
    <w:rsid w:val="007070B8"/>
    <w:rsid w:val="007070E5"/>
    <w:rsid w:val="00707139"/>
    <w:rsid w:val="00707146"/>
    <w:rsid w:val="0070721F"/>
    <w:rsid w:val="0070723E"/>
    <w:rsid w:val="0070723F"/>
    <w:rsid w:val="0070730E"/>
    <w:rsid w:val="0070731C"/>
    <w:rsid w:val="007073BD"/>
    <w:rsid w:val="0070741F"/>
    <w:rsid w:val="00707435"/>
    <w:rsid w:val="0070744D"/>
    <w:rsid w:val="00707458"/>
    <w:rsid w:val="00707518"/>
    <w:rsid w:val="0070759E"/>
    <w:rsid w:val="007075B1"/>
    <w:rsid w:val="007075EB"/>
    <w:rsid w:val="007076B3"/>
    <w:rsid w:val="0070775D"/>
    <w:rsid w:val="0070777F"/>
    <w:rsid w:val="00707950"/>
    <w:rsid w:val="00707985"/>
    <w:rsid w:val="00707A02"/>
    <w:rsid w:val="00707A04"/>
    <w:rsid w:val="00707B2D"/>
    <w:rsid w:val="00707B48"/>
    <w:rsid w:val="00707B81"/>
    <w:rsid w:val="00707C87"/>
    <w:rsid w:val="00707D10"/>
    <w:rsid w:val="00707D15"/>
    <w:rsid w:val="00707D7C"/>
    <w:rsid w:val="00707E13"/>
    <w:rsid w:val="00707E7C"/>
    <w:rsid w:val="00707F02"/>
    <w:rsid w:val="00707F18"/>
    <w:rsid w:val="00707F3C"/>
    <w:rsid w:val="00707F81"/>
    <w:rsid w:val="0071002A"/>
    <w:rsid w:val="0071007A"/>
    <w:rsid w:val="0071007D"/>
    <w:rsid w:val="0071015B"/>
    <w:rsid w:val="007101F4"/>
    <w:rsid w:val="00710321"/>
    <w:rsid w:val="00710323"/>
    <w:rsid w:val="007103F9"/>
    <w:rsid w:val="0071042D"/>
    <w:rsid w:val="00710448"/>
    <w:rsid w:val="007104B0"/>
    <w:rsid w:val="007106FA"/>
    <w:rsid w:val="0071076E"/>
    <w:rsid w:val="007107DA"/>
    <w:rsid w:val="00710813"/>
    <w:rsid w:val="00710872"/>
    <w:rsid w:val="007108E3"/>
    <w:rsid w:val="00710938"/>
    <w:rsid w:val="007109CA"/>
    <w:rsid w:val="007109D8"/>
    <w:rsid w:val="00710A93"/>
    <w:rsid w:val="00710AA7"/>
    <w:rsid w:val="00710B05"/>
    <w:rsid w:val="00710B90"/>
    <w:rsid w:val="00710C0D"/>
    <w:rsid w:val="00710CB0"/>
    <w:rsid w:val="00710DBD"/>
    <w:rsid w:val="00710EB6"/>
    <w:rsid w:val="00710F03"/>
    <w:rsid w:val="00710F5F"/>
    <w:rsid w:val="00710F65"/>
    <w:rsid w:val="00710FF7"/>
    <w:rsid w:val="00711082"/>
    <w:rsid w:val="007110CC"/>
    <w:rsid w:val="0071117D"/>
    <w:rsid w:val="0071117E"/>
    <w:rsid w:val="00711203"/>
    <w:rsid w:val="007112D3"/>
    <w:rsid w:val="007112DF"/>
    <w:rsid w:val="0071132F"/>
    <w:rsid w:val="0071133F"/>
    <w:rsid w:val="00711406"/>
    <w:rsid w:val="0071157E"/>
    <w:rsid w:val="00711582"/>
    <w:rsid w:val="00711670"/>
    <w:rsid w:val="0071168B"/>
    <w:rsid w:val="007116D7"/>
    <w:rsid w:val="00711749"/>
    <w:rsid w:val="00711878"/>
    <w:rsid w:val="007118EE"/>
    <w:rsid w:val="00711907"/>
    <w:rsid w:val="00711920"/>
    <w:rsid w:val="00711984"/>
    <w:rsid w:val="007119DF"/>
    <w:rsid w:val="00711A0E"/>
    <w:rsid w:val="00711A5A"/>
    <w:rsid w:val="00711A5B"/>
    <w:rsid w:val="00711A89"/>
    <w:rsid w:val="00711B50"/>
    <w:rsid w:val="00711B86"/>
    <w:rsid w:val="00711BC2"/>
    <w:rsid w:val="00711C77"/>
    <w:rsid w:val="00711C7B"/>
    <w:rsid w:val="00711CF1"/>
    <w:rsid w:val="00711E18"/>
    <w:rsid w:val="00711F32"/>
    <w:rsid w:val="00711FC2"/>
    <w:rsid w:val="00712031"/>
    <w:rsid w:val="007120BD"/>
    <w:rsid w:val="00712179"/>
    <w:rsid w:val="00712194"/>
    <w:rsid w:val="00712271"/>
    <w:rsid w:val="00712277"/>
    <w:rsid w:val="0071235B"/>
    <w:rsid w:val="0071236A"/>
    <w:rsid w:val="00712471"/>
    <w:rsid w:val="007124B6"/>
    <w:rsid w:val="007124BB"/>
    <w:rsid w:val="007124C1"/>
    <w:rsid w:val="007124D9"/>
    <w:rsid w:val="007124DB"/>
    <w:rsid w:val="00712524"/>
    <w:rsid w:val="00712579"/>
    <w:rsid w:val="007126A3"/>
    <w:rsid w:val="007127E3"/>
    <w:rsid w:val="00712856"/>
    <w:rsid w:val="00712865"/>
    <w:rsid w:val="00712919"/>
    <w:rsid w:val="00712947"/>
    <w:rsid w:val="00712970"/>
    <w:rsid w:val="00712971"/>
    <w:rsid w:val="00712A56"/>
    <w:rsid w:val="00712A65"/>
    <w:rsid w:val="00712B03"/>
    <w:rsid w:val="00712C63"/>
    <w:rsid w:val="00712D6B"/>
    <w:rsid w:val="00712D6E"/>
    <w:rsid w:val="00712DA5"/>
    <w:rsid w:val="00712EBC"/>
    <w:rsid w:val="00712F6C"/>
    <w:rsid w:val="0071309F"/>
    <w:rsid w:val="007130D6"/>
    <w:rsid w:val="00713114"/>
    <w:rsid w:val="007131AD"/>
    <w:rsid w:val="00713208"/>
    <w:rsid w:val="00713240"/>
    <w:rsid w:val="0071324B"/>
    <w:rsid w:val="0071326B"/>
    <w:rsid w:val="007132E8"/>
    <w:rsid w:val="007132EC"/>
    <w:rsid w:val="0071332C"/>
    <w:rsid w:val="00713460"/>
    <w:rsid w:val="0071346D"/>
    <w:rsid w:val="007134E1"/>
    <w:rsid w:val="007134F4"/>
    <w:rsid w:val="00713525"/>
    <w:rsid w:val="007135FE"/>
    <w:rsid w:val="007136AE"/>
    <w:rsid w:val="00713764"/>
    <w:rsid w:val="0071377A"/>
    <w:rsid w:val="0071389C"/>
    <w:rsid w:val="007138A5"/>
    <w:rsid w:val="0071393C"/>
    <w:rsid w:val="00713999"/>
    <w:rsid w:val="0071399B"/>
    <w:rsid w:val="00713A51"/>
    <w:rsid w:val="00713A71"/>
    <w:rsid w:val="00713BE6"/>
    <w:rsid w:val="00713C3E"/>
    <w:rsid w:val="00713C83"/>
    <w:rsid w:val="00713D60"/>
    <w:rsid w:val="00713D74"/>
    <w:rsid w:val="00713E54"/>
    <w:rsid w:val="00713F97"/>
    <w:rsid w:val="007141D8"/>
    <w:rsid w:val="0071422A"/>
    <w:rsid w:val="007142F5"/>
    <w:rsid w:val="0071430A"/>
    <w:rsid w:val="00714326"/>
    <w:rsid w:val="0071435D"/>
    <w:rsid w:val="00714422"/>
    <w:rsid w:val="0071449C"/>
    <w:rsid w:val="007144DA"/>
    <w:rsid w:val="0071451A"/>
    <w:rsid w:val="00714625"/>
    <w:rsid w:val="00714696"/>
    <w:rsid w:val="0071471E"/>
    <w:rsid w:val="007147CB"/>
    <w:rsid w:val="007148A8"/>
    <w:rsid w:val="00714971"/>
    <w:rsid w:val="00714A06"/>
    <w:rsid w:val="00714AAE"/>
    <w:rsid w:val="00714ADE"/>
    <w:rsid w:val="00714B1A"/>
    <w:rsid w:val="00714C8A"/>
    <w:rsid w:val="00714CA8"/>
    <w:rsid w:val="00714CE4"/>
    <w:rsid w:val="00714CF1"/>
    <w:rsid w:val="00714D10"/>
    <w:rsid w:val="00714E71"/>
    <w:rsid w:val="00714F26"/>
    <w:rsid w:val="0071502F"/>
    <w:rsid w:val="007150A0"/>
    <w:rsid w:val="00715195"/>
    <w:rsid w:val="0071519A"/>
    <w:rsid w:val="007151BE"/>
    <w:rsid w:val="007152DC"/>
    <w:rsid w:val="0071539C"/>
    <w:rsid w:val="00715405"/>
    <w:rsid w:val="00715461"/>
    <w:rsid w:val="007154BE"/>
    <w:rsid w:val="007154D4"/>
    <w:rsid w:val="00715514"/>
    <w:rsid w:val="00715595"/>
    <w:rsid w:val="007155C2"/>
    <w:rsid w:val="007155E3"/>
    <w:rsid w:val="007156FD"/>
    <w:rsid w:val="007157FE"/>
    <w:rsid w:val="00715883"/>
    <w:rsid w:val="007158B5"/>
    <w:rsid w:val="007159CC"/>
    <w:rsid w:val="007159D5"/>
    <w:rsid w:val="00715A1E"/>
    <w:rsid w:val="00715A6F"/>
    <w:rsid w:val="00715AF4"/>
    <w:rsid w:val="00715B17"/>
    <w:rsid w:val="00715BA6"/>
    <w:rsid w:val="00715D03"/>
    <w:rsid w:val="00715D7D"/>
    <w:rsid w:val="00715D86"/>
    <w:rsid w:val="00715DE1"/>
    <w:rsid w:val="00715ED9"/>
    <w:rsid w:val="00715EDF"/>
    <w:rsid w:val="00715FBF"/>
    <w:rsid w:val="00715FD8"/>
    <w:rsid w:val="00716068"/>
    <w:rsid w:val="0071608A"/>
    <w:rsid w:val="0071612B"/>
    <w:rsid w:val="00716182"/>
    <w:rsid w:val="007161B6"/>
    <w:rsid w:val="007162A0"/>
    <w:rsid w:val="007162F4"/>
    <w:rsid w:val="007163A7"/>
    <w:rsid w:val="007163B3"/>
    <w:rsid w:val="007163DA"/>
    <w:rsid w:val="007165A0"/>
    <w:rsid w:val="007165B1"/>
    <w:rsid w:val="007165D0"/>
    <w:rsid w:val="007165D9"/>
    <w:rsid w:val="00716680"/>
    <w:rsid w:val="007166D0"/>
    <w:rsid w:val="0071677A"/>
    <w:rsid w:val="00716828"/>
    <w:rsid w:val="00716933"/>
    <w:rsid w:val="0071699C"/>
    <w:rsid w:val="00716A55"/>
    <w:rsid w:val="00716A57"/>
    <w:rsid w:val="00716ACB"/>
    <w:rsid w:val="00716AF9"/>
    <w:rsid w:val="00716C32"/>
    <w:rsid w:val="00716C62"/>
    <w:rsid w:val="00716D02"/>
    <w:rsid w:val="00716D0A"/>
    <w:rsid w:val="00716DFA"/>
    <w:rsid w:val="00716EC8"/>
    <w:rsid w:val="00716F1F"/>
    <w:rsid w:val="00716FAD"/>
    <w:rsid w:val="00717101"/>
    <w:rsid w:val="0071716D"/>
    <w:rsid w:val="007171C4"/>
    <w:rsid w:val="00717276"/>
    <w:rsid w:val="007172E1"/>
    <w:rsid w:val="00717307"/>
    <w:rsid w:val="00717399"/>
    <w:rsid w:val="007173BD"/>
    <w:rsid w:val="0071743C"/>
    <w:rsid w:val="00717472"/>
    <w:rsid w:val="007174CB"/>
    <w:rsid w:val="0071753B"/>
    <w:rsid w:val="00717582"/>
    <w:rsid w:val="0071765A"/>
    <w:rsid w:val="00717695"/>
    <w:rsid w:val="00717720"/>
    <w:rsid w:val="0071777C"/>
    <w:rsid w:val="007177A2"/>
    <w:rsid w:val="007177EB"/>
    <w:rsid w:val="00717863"/>
    <w:rsid w:val="00717888"/>
    <w:rsid w:val="00717933"/>
    <w:rsid w:val="0071794E"/>
    <w:rsid w:val="00717980"/>
    <w:rsid w:val="00717AC3"/>
    <w:rsid w:val="00717ADD"/>
    <w:rsid w:val="00717B50"/>
    <w:rsid w:val="00717BD9"/>
    <w:rsid w:val="00717C79"/>
    <w:rsid w:val="00717CCC"/>
    <w:rsid w:val="00717DE0"/>
    <w:rsid w:val="00717EFA"/>
    <w:rsid w:val="00717F2C"/>
    <w:rsid w:val="00717FB4"/>
    <w:rsid w:val="00717FF2"/>
    <w:rsid w:val="00720068"/>
    <w:rsid w:val="0072015C"/>
    <w:rsid w:val="00720240"/>
    <w:rsid w:val="0072032F"/>
    <w:rsid w:val="0072043A"/>
    <w:rsid w:val="00720514"/>
    <w:rsid w:val="0072051C"/>
    <w:rsid w:val="007205E2"/>
    <w:rsid w:val="00720621"/>
    <w:rsid w:val="00720672"/>
    <w:rsid w:val="00720678"/>
    <w:rsid w:val="0072073D"/>
    <w:rsid w:val="00720799"/>
    <w:rsid w:val="00720882"/>
    <w:rsid w:val="0072093C"/>
    <w:rsid w:val="00720946"/>
    <w:rsid w:val="00720A0F"/>
    <w:rsid w:val="00720ACB"/>
    <w:rsid w:val="00720B25"/>
    <w:rsid w:val="00720B5C"/>
    <w:rsid w:val="00720B91"/>
    <w:rsid w:val="00720BE8"/>
    <w:rsid w:val="00720BF5"/>
    <w:rsid w:val="00720CB0"/>
    <w:rsid w:val="00720CDD"/>
    <w:rsid w:val="00720D0E"/>
    <w:rsid w:val="00720D74"/>
    <w:rsid w:val="00720E55"/>
    <w:rsid w:val="00720E79"/>
    <w:rsid w:val="00720EF4"/>
    <w:rsid w:val="00720F73"/>
    <w:rsid w:val="00720F91"/>
    <w:rsid w:val="00721072"/>
    <w:rsid w:val="0072107A"/>
    <w:rsid w:val="0072112F"/>
    <w:rsid w:val="00721139"/>
    <w:rsid w:val="007211D9"/>
    <w:rsid w:val="007211E1"/>
    <w:rsid w:val="007212A6"/>
    <w:rsid w:val="007212C4"/>
    <w:rsid w:val="0072133B"/>
    <w:rsid w:val="0072138E"/>
    <w:rsid w:val="00721456"/>
    <w:rsid w:val="007215C5"/>
    <w:rsid w:val="007215C6"/>
    <w:rsid w:val="00721643"/>
    <w:rsid w:val="00721807"/>
    <w:rsid w:val="00721862"/>
    <w:rsid w:val="007218AC"/>
    <w:rsid w:val="00721988"/>
    <w:rsid w:val="00721A79"/>
    <w:rsid w:val="00721AC7"/>
    <w:rsid w:val="00721ADA"/>
    <w:rsid w:val="00721AE3"/>
    <w:rsid w:val="00721B1E"/>
    <w:rsid w:val="00721B4E"/>
    <w:rsid w:val="00721C76"/>
    <w:rsid w:val="00721CB9"/>
    <w:rsid w:val="00721D3C"/>
    <w:rsid w:val="00721D5E"/>
    <w:rsid w:val="00721DA1"/>
    <w:rsid w:val="00721E89"/>
    <w:rsid w:val="007220F3"/>
    <w:rsid w:val="0072211F"/>
    <w:rsid w:val="0072214F"/>
    <w:rsid w:val="0072218C"/>
    <w:rsid w:val="0072219B"/>
    <w:rsid w:val="007222B1"/>
    <w:rsid w:val="00722326"/>
    <w:rsid w:val="00722342"/>
    <w:rsid w:val="007223AE"/>
    <w:rsid w:val="007223E6"/>
    <w:rsid w:val="007223ED"/>
    <w:rsid w:val="00722418"/>
    <w:rsid w:val="00722438"/>
    <w:rsid w:val="0072248E"/>
    <w:rsid w:val="0072264E"/>
    <w:rsid w:val="00722652"/>
    <w:rsid w:val="007226B8"/>
    <w:rsid w:val="007226DC"/>
    <w:rsid w:val="007226E5"/>
    <w:rsid w:val="00722715"/>
    <w:rsid w:val="007227A5"/>
    <w:rsid w:val="00722821"/>
    <w:rsid w:val="00722824"/>
    <w:rsid w:val="00722837"/>
    <w:rsid w:val="00722857"/>
    <w:rsid w:val="007229BB"/>
    <w:rsid w:val="00722A32"/>
    <w:rsid w:val="00722AF4"/>
    <w:rsid w:val="00722B62"/>
    <w:rsid w:val="00722C22"/>
    <w:rsid w:val="00722C59"/>
    <w:rsid w:val="00722C6D"/>
    <w:rsid w:val="00722C79"/>
    <w:rsid w:val="00722C7E"/>
    <w:rsid w:val="00722E65"/>
    <w:rsid w:val="00722EBB"/>
    <w:rsid w:val="00722F00"/>
    <w:rsid w:val="00722F20"/>
    <w:rsid w:val="00723031"/>
    <w:rsid w:val="00723057"/>
    <w:rsid w:val="007230A8"/>
    <w:rsid w:val="007230D2"/>
    <w:rsid w:val="007231E9"/>
    <w:rsid w:val="00723201"/>
    <w:rsid w:val="0072323C"/>
    <w:rsid w:val="00723257"/>
    <w:rsid w:val="00723265"/>
    <w:rsid w:val="007232D7"/>
    <w:rsid w:val="007232E2"/>
    <w:rsid w:val="0072335D"/>
    <w:rsid w:val="0072341F"/>
    <w:rsid w:val="0072342E"/>
    <w:rsid w:val="007234F7"/>
    <w:rsid w:val="0072354D"/>
    <w:rsid w:val="00723557"/>
    <w:rsid w:val="00723589"/>
    <w:rsid w:val="007235A9"/>
    <w:rsid w:val="007235CE"/>
    <w:rsid w:val="00723710"/>
    <w:rsid w:val="007237FF"/>
    <w:rsid w:val="00723850"/>
    <w:rsid w:val="007238C1"/>
    <w:rsid w:val="007238F1"/>
    <w:rsid w:val="0072391F"/>
    <w:rsid w:val="00723933"/>
    <w:rsid w:val="00723954"/>
    <w:rsid w:val="007239A2"/>
    <w:rsid w:val="00723AA1"/>
    <w:rsid w:val="00723AB6"/>
    <w:rsid w:val="00723AE1"/>
    <w:rsid w:val="00723AE2"/>
    <w:rsid w:val="00723B21"/>
    <w:rsid w:val="00723B93"/>
    <w:rsid w:val="00723BD1"/>
    <w:rsid w:val="00723C27"/>
    <w:rsid w:val="00723C3D"/>
    <w:rsid w:val="00723C50"/>
    <w:rsid w:val="00723C7D"/>
    <w:rsid w:val="00723ECE"/>
    <w:rsid w:val="00723F1B"/>
    <w:rsid w:val="00723F8F"/>
    <w:rsid w:val="00723FAA"/>
    <w:rsid w:val="0072408B"/>
    <w:rsid w:val="00724095"/>
    <w:rsid w:val="0072411E"/>
    <w:rsid w:val="00724147"/>
    <w:rsid w:val="0072418B"/>
    <w:rsid w:val="007241D6"/>
    <w:rsid w:val="007241FA"/>
    <w:rsid w:val="00724299"/>
    <w:rsid w:val="00724462"/>
    <w:rsid w:val="007244CA"/>
    <w:rsid w:val="00724548"/>
    <w:rsid w:val="00724559"/>
    <w:rsid w:val="00724563"/>
    <w:rsid w:val="00724585"/>
    <w:rsid w:val="0072464B"/>
    <w:rsid w:val="007246C2"/>
    <w:rsid w:val="00724712"/>
    <w:rsid w:val="00724749"/>
    <w:rsid w:val="0072474B"/>
    <w:rsid w:val="0072482F"/>
    <w:rsid w:val="007248AE"/>
    <w:rsid w:val="007248CA"/>
    <w:rsid w:val="007248D4"/>
    <w:rsid w:val="007248F8"/>
    <w:rsid w:val="007248F9"/>
    <w:rsid w:val="00724A12"/>
    <w:rsid w:val="00724A47"/>
    <w:rsid w:val="00724A75"/>
    <w:rsid w:val="00724A83"/>
    <w:rsid w:val="00724AFB"/>
    <w:rsid w:val="00724C80"/>
    <w:rsid w:val="00724C94"/>
    <w:rsid w:val="00724D77"/>
    <w:rsid w:val="00724DF9"/>
    <w:rsid w:val="00724E04"/>
    <w:rsid w:val="0072507F"/>
    <w:rsid w:val="00725108"/>
    <w:rsid w:val="00725109"/>
    <w:rsid w:val="0072514D"/>
    <w:rsid w:val="0072520A"/>
    <w:rsid w:val="007252E2"/>
    <w:rsid w:val="00725391"/>
    <w:rsid w:val="007253B2"/>
    <w:rsid w:val="00725534"/>
    <w:rsid w:val="00725648"/>
    <w:rsid w:val="00725649"/>
    <w:rsid w:val="00725695"/>
    <w:rsid w:val="007256E4"/>
    <w:rsid w:val="00725725"/>
    <w:rsid w:val="0072577B"/>
    <w:rsid w:val="00725838"/>
    <w:rsid w:val="0072595F"/>
    <w:rsid w:val="0072596E"/>
    <w:rsid w:val="007259EF"/>
    <w:rsid w:val="00725A82"/>
    <w:rsid w:val="00725B52"/>
    <w:rsid w:val="00725B77"/>
    <w:rsid w:val="00725CA4"/>
    <w:rsid w:val="00725DF2"/>
    <w:rsid w:val="00725ED4"/>
    <w:rsid w:val="00725EE0"/>
    <w:rsid w:val="00726106"/>
    <w:rsid w:val="0072616C"/>
    <w:rsid w:val="00726216"/>
    <w:rsid w:val="00726217"/>
    <w:rsid w:val="0072626E"/>
    <w:rsid w:val="0072629B"/>
    <w:rsid w:val="0072631F"/>
    <w:rsid w:val="0072633B"/>
    <w:rsid w:val="007264D3"/>
    <w:rsid w:val="007264E6"/>
    <w:rsid w:val="0072655F"/>
    <w:rsid w:val="007265AA"/>
    <w:rsid w:val="007265CB"/>
    <w:rsid w:val="007266D4"/>
    <w:rsid w:val="007266EF"/>
    <w:rsid w:val="007266F7"/>
    <w:rsid w:val="00726721"/>
    <w:rsid w:val="00726804"/>
    <w:rsid w:val="00726812"/>
    <w:rsid w:val="00726873"/>
    <w:rsid w:val="00726888"/>
    <w:rsid w:val="00726A25"/>
    <w:rsid w:val="00726A67"/>
    <w:rsid w:val="00726A94"/>
    <w:rsid w:val="00726ADF"/>
    <w:rsid w:val="00726CB8"/>
    <w:rsid w:val="00726E8F"/>
    <w:rsid w:val="00726FE6"/>
    <w:rsid w:val="007270DC"/>
    <w:rsid w:val="007270DD"/>
    <w:rsid w:val="0072710C"/>
    <w:rsid w:val="00727131"/>
    <w:rsid w:val="0072715A"/>
    <w:rsid w:val="00727163"/>
    <w:rsid w:val="0072721A"/>
    <w:rsid w:val="00727242"/>
    <w:rsid w:val="00727275"/>
    <w:rsid w:val="0072733C"/>
    <w:rsid w:val="00727375"/>
    <w:rsid w:val="007273AF"/>
    <w:rsid w:val="007273F1"/>
    <w:rsid w:val="007274B9"/>
    <w:rsid w:val="00727571"/>
    <w:rsid w:val="007275A3"/>
    <w:rsid w:val="00727768"/>
    <w:rsid w:val="00727789"/>
    <w:rsid w:val="00727791"/>
    <w:rsid w:val="007277C1"/>
    <w:rsid w:val="00727829"/>
    <w:rsid w:val="0072787A"/>
    <w:rsid w:val="0072792C"/>
    <w:rsid w:val="0072795B"/>
    <w:rsid w:val="007279BD"/>
    <w:rsid w:val="00727A64"/>
    <w:rsid w:val="00727BF6"/>
    <w:rsid w:val="00727BF9"/>
    <w:rsid w:val="00727C28"/>
    <w:rsid w:val="00727C73"/>
    <w:rsid w:val="00727D28"/>
    <w:rsid w:val="00727E25"/>
    <w:rsid w:val="00727E37"/>
    <w:rsid w:val="00727E91"/>
    <w:rsid w:val="00727EC5"/>
    <w:rsid w:val="00727F05"/>
    <w:rsid w:val="00727F5D"/>
    <w:rsid w:val="00727F61"/>
    <w:rsid w:val="00727F8C"/>
    <w:rsid w:val="00727F8E"/>
    <w:rsid w:val="007301A0"/>
    <w:rsid w:val="0073027D"/>
    <w:rsid w:val="0073028C"/>
    <w:rsid w:val="007302CB"/>
    <w:rsid w:val="00730306"/>
    <w:rsid w:val="00730313"/>
    <w:rsid w:val="00730382"/>
    <w:rsid w:val="007303A7"/>
    <w:rsid w:val="0073048E"/>
    <w:rsid w:val="007304C8"/>
    <w:rsid w:val="0073050D"/>
    <w:rsid w:val="0073050F"/>
    <w:rsid w:val="0073055B"/>
    <w:rsid w:val="00730583"/>
    <w:rsid w:val="007305D2"/>
    <w:rsid w:val="0073066D"/>
    <w:rsid w:val="0073080C"/>
    <w:rsid w:val="007308BE"/>
    <w:rsid w:val="00730903"/>
    <w:rsid w:val="00730925"/>
    <w:rsid w:val="007309B1"/>
    <w:rsid w:val="00730AB8"/>
    <w:rsid w:val="00730B42"/>
    <w:rsid w:val="00730B98"/>
    <w:rsid w:val="00730BBB"/>
    <w:rsid w:val="00730BF5"/>
    <w:rsid w:val="00730D30"/>
    <w:rsid w:val="00730DE5"/>
    <w:rsid w:val="00730DF3"/>
    <w:rsid w:val="00730E7A"/>
    <w:rsid w:val="00730E9B"/>
    <w:rsid w:val="00730F27"/>
    <w:rsid w:val="00730F4B"/>
    <w:rsid w:val="00730FFB"/>
    <w:rsid w:val="00731064"/>
    <w:rsid w:val="00731192"/>
    <w:rsid w:val="007311DE"/>
    <w:rsid w:val="00731201"/>
    <w:rsid w:val="00731249"/>
    <w:rsid w:val="00731298"/>
    <w:rsid w:val="00731448"/>
    <w:rsid w:val="0073149E"/>
    <w:rsid w:val="00731544"/>
    <w:rsid w:val="0073158F"/>
    <w:rsid w:val="00731653"/>
    <w:rsid w:val="0073167B"/>
    <w:rsid w:val="00731695"/>
    <w:rsid w:val="007316C2"/>
    <w:rsid w:val="007316F7"/>
    <w:rsid w:val="00731734"/>
    <w:rsid w:val="00731777"/>
    <w:rsid w:val="007317F8"/>
    <w:rsid w:val="0073183B"/>
    <w:rsid w:val="007318AE"/>
    <w:rsid w:val="007318D0"/>
    <w:rsid w:val="00731935"/>
    <w:rsid w:val="0073194A"/>
    <w:rsid w:val="00731983"/>
    <w:rsid w:val="00731A6A"/>
    <w:rsid w:val="00731CB2"/>
    <w:rsid w:val="00731D3E"/>
    <w:rsid w:val="00731D92"/>
    <w:rsid w:val="00731DCF"/>
    <w:rsid w:val="00731DF4"/>
    <w:rsid w:val="00731EE3"/>
    <w:rsid w:val="00731FF0"/>
    <w:rsid w:val="00732003"/>
    <w:rsid w:val="00732038"/>
    <w:rsid w:val="00732066"/>
    <w:rsid w:val="007320CB"/>
    <w:rsid w:val="0073210D"/>
    <w:rsid w:val="0073211D"/>
    <w:rsid w:val="0073214A"/>
    <w:rsid w:val="00732286"/>
    <w:rsid w:val="007322BB"/>
    <w:rsid w:val="007322BE"/>
    <w:rsid w:val="00732329"/>
    <w:rsid w:val="007323E7"/>
    <w:rsid w:val="007323FD"/>
    <w:rsid w:val="00732558"/>
    <w:rsid w:val="0073258D"/>
    <w:rsid w:val="007325F6"/>
    <w:rsid w:val="00732621"/>
    <w:rsid w:val="00732687"/>
    <w:rsid w:val="00732736"/>
    <w:rsid w:val="00732796"/>
    <w:rsid w:val="0073281C"/>
    <w:rsid w:val="0073285E"/>
    <w:rsid w:val="007329AA"/>
    <w:rsid w:val="00732A2A"/>
    <w:rsid w:val="00732A4A"/>
    <w:rsid w:val="00732A74"/>
    <w:rsid w:val="00732BE2"/>
    <w:rsid w:val="00732BF0"/>
    <w:rsid w:val="00732C54"/>
    <w:rsid w:val="00732CEF"/>
    <w:rsid w:val="00732DEA"/>
    <w:rsid w:val="00732E9B"/>
    <w:rsid w:val="00732EE0"/>
    <w:rsid w:val="00732F87"/>
    <w:rsid w:val="0073308D"/>
    <w:rsid w:val="00733091"/>
    <w:rsid w:val="007330CA"/>
    <w:rsid w:val="007330CE"/>
    <w:rsid w:val="00733139"/>
    <w:rsid w:val="00733146"/>
    <w:rsid w:val="00733196"/>
    <w:rsid w:val="00733223"/>
    <w:rsid w:val="00733288"/>
    <w:rsid w:val="007332AF"/>
    <w:rsid w:val="00733438"/>
    <w:rsid w:val="00733464"/>
    <w:rsid w:val="00733674"/>
    <w:rsid w:val="007337CC"/>
    <w:rsid w:val="00733807"/>
    <w:rsid w:val="0073386A"/>
    <w:rsid w:val="00733873"/>
    <w:rsid w:val="0073387A"/>
    <w:rsid w:val="007338F9"/>
    <w:rsid w:val="00733974"/>
    <w:rsid w:val="00733982"/>
    <w:rsid w:val="00733A46"/>
    <w:rsid w:val="00733AA3"/>
    <w:rsid w:val="00733ACE"/>
    <w:rsid w:val="00733B5C"/>
    <w:rsid w:val="00733D4A"/>
    <w:rsid w:val="00733D89"/>
    <w:rsid w:val="00733DEC"/>
    <w:rsid w:val="00733EB8"/>
    <w:rsid w:val="00733F98"/>
    <w:rsid w:val="00733FE5"/>
    <w:rsid w:val="0073400B"/>
    <w:rsid w:val="007340DD"/>
    <w:rsid w:val="0073410E"/>
    <w:rsid w:val="00734129"/>
    <w:rsid w:val="0073418A"/>
    <w:rsid w:val="007341DE"/>
    <w:rsid w:val="007342F5"/>
    <w:rsid w:val="00734341"/>
    <w:rsid w:val="007343B6"/>
    <w:rsid w:val="007343FF"/>
    <w:rsid w:val="00734456"/>
    <w:rsid w:val="007345B6"/>
    <w:rsid w:val="007345D3"/>
    <w:rsid w:val="007345F4"/>
    <w:rsid w:val="0073469C"/>
    <w:rsid w:val="007346A0"/>
    <w:rsid w:val="00734786"/>
    <w:rsid w:val="0073478E"/>
    <w:rsid w:val="007347B1"/>
    <w:rsid w:val="00734821"/>
    <w:rsid w:val="007348A1"/>
    <w:rsid w:val="007348AB"/>
    <w:rsid w:val="007348B7"/>
    <w:rsid w:val="007348C8"/>
    <w:rsid w:val="0073494F"/>
    <w:rsid w:val="00734954"/>
    <w:rsid w:val="00734958"/>
    <w:rsid w:val="00734987"/>
    <w:rsid w:val="007349A1"/>
    <w:rsid w:val="00734A05"/>
    <w:rsid w:val="00734A37"/>
    <w:rsid w:val="00734AC1"/>
    <w:rsid w:val="00734B99"/>
    <w:rsid w:val="00734BF1"/>
    <w:rsid w:val="00734C99"/>
    <w:rsid w:val="00734CB7"/>
    <w:rsid w:val="00734D62"/>
    <w:rsid w:val="00734DA8"/>
    <w:rsid w:val="00734DD6"/>
    <w:rsid w:val="00734E17"/>
    <w:rsid w:val="00734F56"/>
    <w:rsid w:val="00735003"/>
    <w:rsid w:val="00735054"/>
    <w:rsid w:val="007350A3"/>
    <w:rsid w:val="007351D1"/>
    <w:rsid w:val="00735238"/>
    <w:rsid w:val="00735263"/>
    <w:rsid w:val="0073526B"/>
    <w:rsid w:val="007352E8"/>
    <w:rsid w:val="00735423"/>
    <w:rsid w:val="0073552D"/>
    <w:rsid w:val="007355E9"/>
    <w:rsid w:val="00735715"/>
    <w:rsid w:val="007357C2"/>
    <w:rsid w:val="00735863"/>
    <w:rsid w:val="00735884"/>
    <w:rsid w:val="007358F9"/>
    <w:rsid w:val="0073593C"/>
    <w:rsid w:val="007359D0"/>
    <w:rsid w:val="007359FE"/>
    <w:rsid w:val="00735A35"/>
    <w:rsid w:val="00735A7A"/>
    <w:rsid w:val="00735B4D"/>
    <w:rsid w:val="00735BCC"/>
    <w:rsid w:val="00735C03"/>
    <w:rsid w:val="00735C22"/>
    <w:rsid w:val="00735C28"/>
    <w:rsid w:val="00735C80"/>
    <w:rsid w:val="00735D90"/>
    <w:rsid w:val="00735DE7"/>
    <w:rsid w:val="00735F87"/>
    <w:rsid w:val="00735FC2"/>
    <w:rsid w:val="00736027"/>
    <w:rsid w:val="007360D4"/>
    <w:rsid w:val="00736106"/>
    <w:rsid w:val="00736168"/>
    <w:rsid w:val="007361E4"/>
    <w:rsid w:val="00736245"/>
    <w:rsid w:val="007362E7"/>
    <w:rsid w:val="007362ED"/>
    <w:rsid w:val="0073630F"/>
    <w:rsid w:val="00736474"/>
    <w:rsid w:val="00736505"/>
    <w:rsid w:val="0073650A"/>
    <w:rsid w:val="00736516"/>
    <w:rsid w:val="00736538"/>
    <w:rsid w:val="00736550"/>
    <w:rsid w:val="007365A4"/>
    <w:rsid w:val="007365A9"/>
    <w:rsid w:val="00736648"/>
    <w:rsid w:val="00736676"/>
    <w:rsid w:val="007366A9"/>
    <w:rsid w:val="007367EB"/>
    <w:rsid w:val="007368D2"/>
    <w:rsid w:val="007369E2"/>
    <w:rsid w:val="00736A32"/>
    <w:rsid w:val="00736AA7"/>
    <w:rsid w:val="00736AF1"/>
    <w:rsid w:val="00736D47"/>
    <w:rsid w:val="00736DC6"/>
    <w:rsid w:val="00736DD3"/>
    <w:rsid w:val="00736DF6"/>
    <w:rsid w:val="00736E07"/>
    <w:rsid w:val="00736ECB"/>
    <w:rsid w:val="00736F90"/>
    <w:rsid w:val="00736FDA"/>
    <w:rsid w:val="00736FF5"/>
    <w:rsid w:val="007370CE"/>
    <w:rsid w:val="007370D5"/>
    <w:rsid w:val="00737153"/>
    <w:rsid w:val="0073723E"/>
    <w:rsid w:val="00737270"/>
    <w:rsid w:val="0073733D"/>
    <w:rsid w:val="0073743F"/>
    <w:rsid w:val="0073745E"/>
    <w:rsid w:val="00737643"/>
    <w:rsid w:val="00737695"/>
    <w:rsid w:val="0073772F"/>
    <w:rsid w:val="00737744"/>
    <w:rsid w:val="00737874"/>
    <w:rsid w:val="0073790C"/>
    <w:rsid w:val="00737957"/>
    <w:rsid w:val="00737AA5"/>
    <w:rsid w:val="00737AAA"/>
    <w:rsid w:val="00737ABF"/>
    <w:rsid w:val="00737AF9"/>
    <w:rsid w:val="00737B8A"/>
    <w:rsid w:val="00737D09"/>
    <w:rsid w:val="00737D54"/>
    <w:rsid w:val="00737DC1"/>
    <w:rsid w:val="00737E27"/>
    <w:rsid w:val="00737E34"/>
    <w:rsid w:val="00737F04"/>
    <w:rsid w:val="00737F65"/>
    <w:rsid w:val="00737FAF"/>
    <w:rsid w:val="0073D5BB"/>
    <w:rsid w:val="00740195"/>
    <w:rsid w:val="007401AD"/>
    <w:rsid w:val="007401E4"/>
    <w:rsid w:val="0074023F"/>
    <w:rsid w:val="00740261"/>
    <w:rsid w:val="0074028E"/>
    <w:rsid w:val="007402B6"/>
    <w:rsid w:val="0074033D"/>
    <w:rsid w:val="00740454"/>
    <w:rsid w:val="00740461"/>
    <w:rsid w:val="0074047C"/>
    <w:rsid w:val="0074049E"/>
    <w:rsid w:val="0074058A"/>
    <w:rsid w:val="007405CF"/>
    <w:rsid w:val="007405EB"/>
    <w:rsid w:val="00740738"/>
    <w:rsid w:val="007409BD"/>
    <w:rsid w:val="007409DD"/>
    <w:rsid w:val="007409FB"/>
    <w:rsid w:val="00740A5F"/>
    <w:rsid w:val="00740A9A"/>
    <w:rsid w:val="00740B26"/>
    <w:rsid w:val="00740C65"/>
    <w:rsid w:val="00740C89"/>
    <w:rsid w:val="00740CB8"/>
    <w:rsid w:val="00740D9A"/>
    <w:rsid w:val="00740DB8"/>
    <w:rsid w:val="00740EEF"/>
    <w:rsid w:val="00740F2E"/>
    <w:rsid w:val="00740F50"/>
    <w:rsid w:val="00740F5A"/>
    <w:rsid w:val="00740F7F"/>
    <w:rsid w:val="00740F82"/>
    <w:rsid w:val="00740F89"/>
    <w:rsid w:val="00740F94"/>
    <w:rsid w:val="00741054"/>
    <w:rsid w:val="00741072"/>
    <w:rsid w:val="007410FA"/>
    <w:rsid w:val="007411FE"/>
    <w:rsid w:val="00741206"/>
    <w:rsid w:val="00741280"/>
    <w:rsid w:val="0074128D"/>
    <w:rsid w:val="00741450"/>
    <w:rsid w:val="00741586"/>
    <w:rsid w:val="00741683"/>
    <w:rsid w:val="00741684"/>
    <w:rsid w:val="007416D8"/>
    <w:rsid w:val="00741770"/>
    <w:rsid w:val="00741847"/>
    <w:rsid w:val="00741849"/>
    <w:rsid w:val="0074195B"/>
    <w:rsid w:val="007419E2"/>
    <w:rsid w:val="00741A4F"/>
    <w:rsid w:val="00741A6D"/>
    <w:rsid w:val="00741B06"/>
    <w:rsid w:val="00741B10"/>
    <w:rsid w:val="00741B95"/>
    <w:rsid w:val="00741BDA"/>
    <w:rsid w:val="00741CCA"/>
    <w:rsid w:val="00741E4F"/>
    <w:rsid w:val="00741E81"/>
    <w:rsid w:val="00742099"/>
    <w:rsid w:val="007420E3"/>
    <w:rsid w:val="0074211B"/>
    <w:rsid w:val="00742150"/>
    <w:rsid w:val="0074217F"/>
    <w:rsid w:val="00742223"/>
    <w:rsid w:val="00742260"/>
    <w:rsid w:val="007422EE"/>
    <w:rsid w:val="0074236C"/>
    <w:rsid w:val="007423AC"/>
    <w:rsid w:val="007423CB"/>
    <w:rsid w:val="00742411"/>
    <w:rsid w:val="007424B5"/>
    <w:rsid w:val="00742625"/>
    <w:rsid w:val="0074262A"/>
    <w:rsid w:val="0074269E"/>
    <w:rsid w:val="00742819"/>
    <w:rsid w:val="007428AE"/>
    <w:rsid w:val="007429D1"/>
    <w:rsid w:val="00742A78"/>
    <w:rsid w:val="00742C5B"/>
    <w:rsid w:val="00742D43"/>
    <w:rsid w:val="00742DC2"/>
    <w:rsid w:val="00742E37"/>
    <w:rsid w:val="00742E7F"/>
    <w:rsid w:val="00742F3F"/>
    <w:rsid w:val="00743047"/>
    <w:rsid w:val="0074306B"/>
    <w:rsid w:val="007430E6"/>
    <w:rsid w:val="00743372"/>
    <w:rsid w:val="007434ED"/>
    <w:rsid w:val="00743565"/>
    <w:rsid w:val="00743598"/>
    <w:rsid w:val="007435BB"/>
    <w:rsid w:val="007435C4"/>
    <w:rsid w:val="00743655"/>
    <w:rsid w:val="007436CB"/>
    <w:rsid w:val="00743702"/>
    <w:rsid w:val="00743977"/>
    <w:rsid w:val="00743A00"/>
    <w:rsid w:val="00743A96"/>
    <w:rsid w:val="00743B51"/>
    <w:rsid w:val="00743B93"/>
    <w:rsid w:val="00743BA9"/>
    <w:rsid w:val="00743BF0"/>
    <w:rsid w:val="00743C51"/>
    <w:rsid w:val="00743C5D"/>
    <w:rsid w:val="00743D46"/>
    <w:rsid w:val="00743E4B"/>
    <w:rsid w:val="00743EEB"/>
    <w:rsid w:val="00743EFE"/>
    <w:rsid w:val="00743F63"/>
    <w:rsid w:val="00743FA8"/>
    <w:rsid w:val="00744092"/>
    <w:rsid w:val="007440A3"/>
    <w:rsid w:val="007441A4"/>
    <w:rsid w:val="007441CE"/>
    <w:rsid w:val="00744240"/>
    <w:rsid w:val="0074432C"/>
    <w:rsid w:val="00744378"/>
    <w:rsid w:val="007443CB"/>
    <w:rsid w:val="00744502"/>
    <w:rsid w:val="0074452A"/>
    <w:rsid w:val="00744627"/>
    <w:rsid w:val="00744696"/>
    <w:rsid w:val="007447A0"/>
    <w:rsid w:val="0074481F"/>
    <w:rsid w:val="00744867"/>
    <w:rsid w:val="00744926"/>
    <w:rsid w:val="007449E4"/>
    <w:rsid w:val="00744A8D"/>
    <w:rsid w:val="00744A98"/>
    <w:rsid w:val="00744C15"/>
    <w:rsid w:val="00744C5E"/>
    <w:rsid w:val="00744C8F"/>
    <w:rsid w:val="00744E4B"/>
    <w:rsid w:val="00744EA8"/>
    <w:rsid w:val="00744EAF"/>
    <w:rsid w:val="00744F7E"/>
    <w:rsid w:val="00744FDD"/>
    <w:rsid w:val="00745029"/>
    <w:rsid w:val="0074503F"/>
    <w:rsid w:val="00745040"/>
    <w:rsid w:val="007450CC"/>
    <w:rsid w:val="00745157"/>
    <w:rsid w:val="00745164"/>
    <w:rsid w:val="0074516C"/>
    <w:rsid w:val="00745294"/>
    <w:rsid w:val="007452F1"/>
    <w:rsid w:val="007452F8"/>
    <w:rsid w:val="00745303"/>
    <w:rsid w:val="00745333"/>
    <w:rsid w:val="0074536A"/>
    <w:rsid w:val="00745387"/>
    <w:rsid w:val="00745456"/>
    <w:rsid w:val="0074545E"/>
    <w:rsid w:val="007454D1"/>
    <w:rsid w:val="00745511"/>
    <w:rsid w:val="00745579"/>
    <w:rsid w:val="0074571F"/>
    <w:rsid w:val="00745866"/>
    <w:rsid w:val="007458CD"/>
    <w:rsid w:val="007459A2"/>
    <w:rsid w:val="007459D1"/>
    <w:rsid w:val="00745A51"/>
    <w:rsid w:val="00745AEF"/>
    <w:rsid w:val="00745AF3"/>
    <w:rsid w:val="00745B77"/>
    <w:rsid w:val="00745BAB"/>
    <w:rsid w:val="00745BE8"/>
    <w:rsid w:val="00745DD9"/>
    <w:rsid w:val="00745DDA"/>
    <w:rsid w:val="00745E52"/>
    <w:rsid w:val="00745F37"/>
    <w:rsid w:val="00745F97"/>
    <w:rsid w:val="007460BF"/>
    <w:rsid w:val="00746105"/>
    <w:rsid w:val="0074612C"/>
    <w:rsid w:val="007461E6"/>
    <w:rsid w:val="00746298"/>
    <w:rsid w:val="00746304"/>
    <w:rsid w:val="00746316"/>
    <w:rsid w:val="00746355"/>
    <w:rsid w:val="0074638B"/>
    <w:rsid w:val="0074646E"/>
    <w:rsid w:val="00746472"/>
    <w:rsid w:val="00746535"/>
    <w:rsid w:val="007465C8"/>
    <w:rsid w:val="007465F4"/>
    <w:rsid w:val="00746793"/>
    <w:rsid w:val="007467CC"/>
    <w:rsid w:val="007467F6"/>
    <w:rsid w:val="00746882"/>
    <w:rsid w:val="007468C7"/>
    <w:rsid w:val="007468D3"/>
    <w:rsid w:val="0074693E"/>
    <w:rsid w:val="00746A31"/>
    <w:rsid w:val="00746A92"/>
    <w:rsid w:val="00746AEE"/>
    <w:rsid w:val="00746AF1"/>
    <w:rsid w:val="00746B05"/>
    <w:rsid w:val="00746B62"/>
    <w:rsid w:val="00746C8A"/>
    <w:rsid w:val="00746CF3"/>
    <w:rsid w:val="00746DB8"/>
    <w:rsid w:val="00746DBF"/>
    <w:rsid w:val="00746E2A"/>
    <w:rsid w:val="00746F2B"/>
    <w:rsid w:val="00746F80"/>
    <w:rsid w:val="00746FB6"/>
    <w:rsid w:val="00746FCB"/>
    <w:rsid w:val="00746FE8"/>
    <w:rsid w:val="00747056"/>
    <w:rsid w:val="007470E9"/>
    <w:rsid w:val="007470F8"/>
    <w:rsid w:val="00747127"/>
    <w:rsid w:val="007471BC"/>
    <w:rsid w:val="0074730D"/>
    <w:rsid w:val="00747390"/>
    <w:rsid w:val="007473AB"/>
    <w:rsid w:val="007473D0"/>
    <w:rsid w:val="00747415"/>
    <w:rsid w:val="0074749D"/>
    <w:rsid w:val="0074750D"/>
    <w:rsid w:val="00747521"/>
    <w:rsid w:val="00747527"/>
    <w:rsid w:val="00747571"/>
    <w:rsid w:val="00747598"/>
    <w:rsid w:val="007475F4"/>
    <w:rsid w:val="00747710"/>
    <w:rsid w:val="0074778C"/>
    <w:rsid w:val="00747842"/>
    <w:rsid w:val="00747865"/>
    <w:rsid w:val="0074787B"/>
    <w:rsid w:val="007478E9"/>
    <w:rsid w:val="00747AD5"/>
    <w:rsid w:val="00747ADB"/>
    <w:rsid w:val="00747B9B"/>
    <w:rsid w:val="00747BCE"/>
    <w:rsid w:val="00747C32"/>
    <w:rsid w:val="00747C9B"/>
    <w:rsid w:val="00747D17"/>
    <w:rsid w:val="00747D6B"/>
    <w:rsid w:val="00747E0C"/>
    <w:rsid w:val="00747E3C"/>
    <w:rsid w:val="00747E9A"/>
    <w:rsid w:val="00747F35"/>
    <w:rsid w:val="00747FD3"/>
    <w:rsid w:val="00750003"/>
    <w:rsid w:val="00750088"/>
    <w:rsid w:val="007500AF"/>
    <w:rsid w:val="00750120"/>
    <w:rsid w:val="007502BE"/>
    <w:rsid w:val="007503CB"/>
    <w:rsid w:val="00750474"/>
    <w:rsid w:val="007504FD"/>
    <w:rsid w:val="0075050D"/>
    <w:rsid w:val="00750684"/>
    <w:rsid w:val="007506F0"/>
    <w:rsid w:val="0075077A"/>
    <w:rsid w:val="00750870"/>
    <w:rsid w:val="007508E5"/>
    <w:rsid w:val="007508F6"/>
    <w:rsid w:val="0075098B"/>
    <w:rsid w:val="00750AAE"/>
    <w:rsid w:val="00750B08"/>
    <w:rsid w:val="00750B30"/>
    <w:rsid w:val="00750BAA"/>
    <w:rsid w:val="00750C75"/>
    <w:rsid w:val="00750CD0"/>
    <w:rsid w:val="00750CD8"/>
    <w:rsid w:val="00750D3B"/>
    <w:rsid w:val="00750E0E"/>
    <w:rsid w:val="00750E47"/>
    <w:rsid w:val="00750E50"/>
    <w:rsid w:val="00751077"/>
    <w:rsid w:val="00751155"/>
    <w:rsid w:val="0075120B"/>
    <w:rsid w:val="00751262"/>
    <w:rsid w:val="007512BB"/>
    <w:rsid w:val="0075139E"/>
    <w:rsid w:val="007513AA"/>
    <w:rsid w:val="00751481"/>
    <w:rsid w:val="0075163C"/>
    <w:rsid w:val="007516D2"/>
    <w:rsid w:val="0075172D"/>
    <w:rsid w:val="00751737"/>
    <w:rsid w:val="00751749"/>
    <w:rsid w:val="0075184C"/>
    <w:rsid w:val="00751872"/>
    <w:rsid w:val="0075189C"/>
    <w:rsid w:val="007519BB"/>
    <w:rsid w:val="00751A24"/>
    <w:rsid w:val="00751AE0"/>
    <w:rsid w:val="00751C4F"/>
    <w:rsid w:val="00751D17"/>
    <w:rsid w:val="00751E8D"/>
    <w:rsid w:val="00751F26"/>
    <w:rsid w:val="00751F94"/>
    <w:rsid w:val="00752035"/>
    <w:rsid w:val="0075206B"/>
    <w:rsid w:val="007521D6"/>
    <w:rsid w:val="00752362"/>
    <w:rsid w:val="007523D0"/>
    <w:rsid w:val="00752484"/>
    <w:rsid w:val="007524C4"/>
    <w:rsid w:val="007524D1"/>
    <w:rsid w:val="0075252B"/>
    <w:rsid w:val="00752538"/>
    <w:rsid w:val="0075253C"/>
    <w:rsid w:val="00752568"/>
    <w:rsid w:val="00752592"/>
    <w:rsid w:val="007525E9"/>
    <w:rsid w:val="0075266A"/>
    <w:rsid w:val="007526F3"/>
    <w:rsid w:val="00752708"/>
    <w:rsid w:val="00752784"/>
    <w:rsid w:val="007527CF"/>
    <w:rsid w:val="00752842"/>
    <w:rsid w:val="007528C4"/>
    <w:rsid w:val="00752904"/>
    <w:rsid w:val="00752995"/>
    <w:rsid w:val="007529A3"/>
    <w:rsid w:val="00752AC1"/>
    <w:rsid w:val="00752AC5"/>
    <w:rsid w:val="00752BD2"/>
    <w:rsid w:val="00752C5C"/>
    <w:rsid w:val="00752E00"/>
    <w:rsid w:val="00752E87"/>
    <w:rsid w:val="00752FEB"/>
    <w:rsid w:val="00753003"/>
    <w:rsid w:val="00753076"/>
    <w:rsid w:val="0075325D"/>
    <w:rsid w:val="00753300"/>
    <w:rsid w:val="00753315"/>
    <w:rsid w:val="0075341C"/>
    <w:rsid w:val="00753539"/>
    <w:rsid w:val="00753584"/>
    <w:rsid w:val="0075359D"/>
    <w:rsid w:val="007535AD"/>
    <w:rsid w:val="00753661"/>
    <w:rsid w:val="00753685"/>
    <w:rsid w:val="007536A8"/>
    <w:rsid w:val="007536B3"/>
    <w:rsid w:val="007536E9"/>
    <w:rsid w:val="00753720"/>
    <w:rsid w:val="007537F0"/>
    <w:rsid w:val="0075386A"/>
    <w:rsid w:val="0075391E"/>
    <w:rsid w:val="007539C0"/>
    <w:rsid w:val="007539DD"/>
    <w:rsid w:val="00753B02"/>
    <w:rsid w:val="00753B4F"/>
    <w:rsid w:val="00753C78"/>
    <w:rsid w:val="00753CE3"/>
    <w:rsid w:val="00753CF2"/>
    <w:rsid w:val="00753CF6"/>
    <w:rsid w:val="00753DD1"/>
    <w:rsid w:val="00753DFF"/>
    <w:rsid w:val="00753EE0"/>
    <w:rsid w:val="00753EF6"/>
    <w:rsid w:val="00753F5C"/>
    <w:rsid w:val="00754048"/>
    <w:rsid w:val="007540C4"/>
    <w:rsid w:val="00754112"/>
    <w:rsid w:val="0075414A"/>
    <w:rsid w:val="0075416E"/>
    <w:rsid w:val="007541DA"/>
    <w:rsid w:val="007544C2"/>
    <w:rsid w:val="0075456C"/>
    <w:rsid w:val="007545B8"/>
    <w:rsid w:val="00754699"/>
    <w:rsid w:val="007546B7"/>
    <w:rsid w:val="00754702"/>
    <w:rsid w:val="0075481C"/>
    <w:rsid w:val="007548A2"/>
    <w:rsid w:val="00754990"/>
    <w:rsid w:val="007549AC"/>
    <w:rsid w:val="007549E0"/>
    <w:rsid w:val="00754A22"/>
    <w:rsid w:val="00754A23"/>
    <w:rsid w:val="00754AC2"/>
    <w:rsid w:val="00754B4F"/>
    <w:rsid w:val="00754BFE"/>
    <w:rsid w:val="00754C6C"/>
    <w:rsid w:val="00754D2C"/>
    <w:rsid w:val="00754D61"/>
    <w:rsid w:val="00754E74"/>
    <w:rsid w:val="00754F46"/>
    <w:rsid w:val="007551E4"/>
    <w:rsid w:val="00755228"/>
    <w:rsid w:val="00755230"/>
    <w:rsid w:val="0075523E"/>
    <w:rsid w:val="007552AE"/>
    <w:rsid w:val="007552D2"/>
    <w:rsid w:val="007552F1"/>
    <w:rsid w:val="0075537F"/>
    <w:rsid w:val="00755414"/>
    <w:rsid w:val="007554E3"/>
    <w:rsid w:val="00755518"/>
    <w:rsid w:val="0075557D"/>
    <w:rsid w:val="0075564D"/>
    <w:rsid w:val="00755703"/>
    <w:rsid w:val="00755710"/>
    <w:rsid w:val="00755728"/>
    <w:rsid w:val="00755751"/>
    <w:rsid w:val="00755778"/>
    <w:rsid w:val="00755810"/>
    <w:rsid w:val="0075582D"/>
    <w:rsid w:val="00755840"/>
    <w:rsid w:val="00755873"/>
    <w:rsid w:val="00755901"/>
    <w:rsid w:val="0075595A"/>
    <w:rsid w:val="00755AB5"/>
    <w:rsid w:val="00755B54"/>
    <w:rsid w:val="00755C7A"/>
    <w:rsid w:val="00755D3A"/>
    <w:rsid w:val="0075613B"/>
    <w:rsid w:val="0075614E"/>
    <w:rsid w:val="00756152"/>
    <w:rsid w:val="0075623A"/>
    <w:rsid w:val="007563D6"/>
    <w:rsid w:val="00756426"/>
    <w:rsid w:val="0075643B"/>
    <w:rsid w:val="00756447"/>
    <w:rsid w:val="007564FE"/>
    <w:rsid w:val="0075651B"/>
    <w:rsid w:val="007565A5"/>
    <w:rsid w:val="0075664C"/>
    <w:rsid w:val="007566C6"/>
    <w:rsid w:val="00756724"/>
    <w:rsid w:val="007567A6"/>
    <w:rsid w:val="00756867"/>
    <w:rsid w:val="0075687A"/>
    <w:rsid w:val="007568A3"/>
    <w:rsid w:val="007568BF"/>
    <w:rsid w:val="00756AB8"/>
    <w:rsid w:val="00756C2D"/>
    <w:rsid w:val="00756C2F"/>
    <w:rsid w:val="00756C4D"/>
    <w:rsid w:val="00756C9E"/>
    <w:rsid w:val="00756D1C"/>
    <w:rsid w:val="00756DFE"/>
    <w:rsid w:val="00756F75"/>
    <w:rsid w:val="00756FBB"/>
    <w:rsid w:val="00757237"/>
    <w:rsid w:val="0075733F"/>
    <w:rsid w:val="00757348"/>
    <w:rsid w:val="0075735B"/>
    <w:rsid w:val="00757421"/>
    <w:rsid w:val="0075747F"/>
    <w:rsid w:val="00757483"/>
    <w:rsid w:val="007574B7"/>
    <w:rsid w:val="0075754B"/>
    <w:rsid w:val="007575C9"/>
    <w:rsid w:val="007575D4"/>
    <w:rsid w:val="00757655"/>
    <w:rsid w:val="00757664"/>
    <w:rsid w:val="00757783"/>
    <w:rsid w:val="00757828"/>
    <w:rsid w:val="0075786E"/>
    <w:rsid w:val="00757871"/>
    <w:rsid w:val="00757966"/>
    <w:rsid w:val="00757A08"/>
    <w:rsid w:val="00757BE3"/>
    <w:rsid w:val="00757BF7"/>
    <w:rsid w:val="00757D8D"/>
    <w:rsid w:val="00757D9F"/>
    <w:rsid w:val="00757DE6"/>
    <w:rsid w:val="00757E11"/>
    <w:rsid w:val="00757E24"/>
    <w:rsid w:val="00757E2A"/>
    <w:rsid w:val="00757F3D"/>
    <w:rsid w:val="007600B1"/>
    <w:rsid w:val="00760168"/>
    <w:rsid w:val="00760175"/>
    <w:rsid w:val="00760199"/>
    <w:rsid w:val="007601AD"/>
    <w:rsid w:val="0076024C"/>
    <w:rsid w:val="007602A1"/>
    <w:rsid w:val="007602A8"/>
    <w:rsid w:val="0076036B"/>
    <w:rsid w:val="007603AF"/>
    <w:rsid w:val="007603CC"/>
    <w:rsid w:val="00760517"/>
    <w:rsid w:val="00760628"/>
    <w:rsid w:val="007606D8"/>
    <w:rsid w:val="00760778"/>
    <w:rsid w:val="00760815"/>
    <w:rsid w:val="00760870"/>
    <w:rsid w:val="007608E2"/>
    <w:rsid w:val="007609A2"/>
    <w:rsid w:val="007609A3"/>
    <w:rsid w:val="007609F6"/>
    <w:rsid w:val="00760A10"/>
    <w:rsid w:val="00760A30"/>
    <w:rsid w:val="00760B26"/>
    <w:rsid w:val="00760B55"/>
    <w:rsid w:val="00760CDB"/>
    <w:rsid w:val="00760CEA"/>
    <w:rsid w:val="00760D3D"/>
    <w:rsid w:val="00760E1B"/>
    <w:rsid w:val="00760E3F"/>
    <w:rsid w:val="00760E51"/>
    <w:rsid w:val="00760E74"/>
    <w:rsid w:val="00760EB1"/>
    <w:rsid w:val="00760EDE"/>
    <w:rsid w:val="00760F49"/>
    <w:rsid w:val="00761053"/>
    <w:rsid w:val="007611F5"/>
    <w:rsid w:val="00761263"/>
    <w:rsid w:val="0076133B"/>
    <w:rsid w:val="007613CD"/>
    <w:rsid w:val="007614DC"/>
    <w:rsid w:val="007614E2"/>
    <w:rsid w:val="0076155D"/>
    <w:rsid w:val="0076162E"/>
    <w:rsid w:val="0076170C"/>
    <w:rsid w:val="00761770"/>
    <w:rsid w:val="00761786"/>
    <w:rsid w:val="007617B2"/>
    <w:rsid w:val="007617D0"/>
    <w:rsid w:val="007617FC"/>
    <w:rsid w:val="00761831"/>
    <w:rsid w:val="00761881"/>
    <w:rsid w:val="007618E6"/>
    <w:rsid w:val="00761910"/>
    <w:rsid w:val="0076197E"/>
    <w:rsid w:val="007619B1"/>
    <w:rsid w:val="00761A0C"/>
    <w:rsid w:val="00761A54"/>
    <w:rsid w:val="00761A80"/>
    <w:rsid w:val="00761AC5"/>
    <w:rsid w:val="00761B15"/>
    <w:rsid w:val="00761B4B"/>
    <w:rsid w:val="00761B94"/>
    <w:rsid w:val="00761BFE"/>
    <w:rsid w:val="00761CD9"/>
    <w:rsid w:val="00761CDB"/>
    <w:rsid w:val="00761DE3"/>
    <w:rsid w:val="00761DFE"/>
    <w:rsid w:val="00761F45"/>
    <w:rsid w:val="007620EB"/>
    <w:rsid w:val="007621DE"/>
    <w:rsid w:val="0076239A"/>
    <w:rsid w:val="007623EC"/>
    <w:rsid w:val="00762465"/>
    <w:rsid w:val="007624CA"/>
    <w:rsid w:val="007624CF"/>
    <w:rsid w:val="00762572"/>
    <w:rsid w:val="00762601"/>
    <w:rsid w:val="0076260B"/>
    <w:rsid w:val="00762682"/>
    <w:rsid w:val="007626F7"/>
    <w:rsid w:val="0076273A"/>
    <w:rsid w:val="00762781"/>
    <w:rsid w:val="00762789"/>
    <w:rsid w:val="00762810"/>
    <w:rsid w:val="00762816"/>
    <w:rsid w:val="00762840"/>
    <w:rsid w:val="00762873"/>
    <w:rsid w:val="00762A63"/>
    <w:rsid w:val="00762AE1"/>
    <w:rsid w:val="00762AFD"/>
    <w:rsid w:val="00762B11"/>
    <w:rsid w:val="00762B1E"/>
    <w:rsid w:val="00762BBE"/>
    <w:rsid w:val="00762BF4"/>
    <w:rsid w:val="00762D53"/>
    <w:rsid w:val="00762D5D"/>
    <w:rsid w:val="00762DA2"/>
    <w:rsid w:val="00762E78"/>
    <w:rsid w:val="00762EDA"/>
    <w:rsid w:val="00762EE5"/>
    <w:rsid w:val="00762F1A"/>
    <w:rsid w:val="00762F6E"/>
    <w:rsid w:val="00762FD3"/>
    <w:rsid w:val="0076300E"/>
    <w:rsid w:val="0076311A"/>
    <w:rsid w:val="0076337A"/>
    <w:rsid w:val="00763418"/>
    <w:rsid w:val="00763435"/>
    <w:rsid w:val="007634D9"/>
    <w:rsid w:val="007634DD"/>
    <w:rsid w:val="00763597"/>
    <w:rsid w:val="007635A4"/>
    <w:rsid w:val="00763607"/>
    <w:rsid w:val="0076363B"/>
    <w:rsid w:val="00763649"/>
    <w:rsid w:val="007636F6"/>
    <w:rsid w:val="0076371B"/>
    <w:rsid w:val="00763720"/>
    <w:rsid w:val="0076379C"/>
    <w:rsid w:val="0076382D"/>
    <w:rsid w:val="007638AE"/>
    <w:rsid w:val="0076391E"/>
    <w:rsid w:val="00763958"/>
    <w:rsid w:val="007639A7"/>
    <w:rsid w:val="00763A40"/>
    <w:rsid w:val="00763A42"/>
    <w:rsid w:val="00763A48"/>
    <w:rsid w:val="00763A9A"/>
    <w:rsid w:val="00763B01"/>
    <w:rsid w:val="00763B26"/>
    <w:rsid w:val="00763B70"/>
    <w:rsid w:val="00763BDB"/>
    <w:rsid w:val="00763C2D"/>
    <w:rsid w:val="00763C4E"/>
    <w:rsid w:val="00763C82"/>
    <w:rsid w:val="00763CAF"/>
    <w:rsid w:val="00763CB9"/>
    <w:rsid w:val="00763D52"/>
    <w:rsid w:val="00763DA5"/>
    <w:rsid w:val="00763E47"/>
    <w:rsid w:val="00764057"/>
    <w:rsid w:val="00764080"/>
    <w:rsid w:val="00764088"/>
    <w:rsid w:val="007640EF"/>
    <w:rsid w:val="00764154"/>
    <w:rsid w:val="007641AC"/>
    <w:rsid w:val="007641D3"/>
    <w:rsid w:val="007641D9"/>
    <w:rsid w:val="007641DD"/>
    <w:rsid w:val="00764258"/>
    <w:rsid w:val="007642EA"/>
    <w:rsid w:val="0076430E"/>
    <w:rsid w:val="0076433B"/>
    <w:rsid w:val="00764404"/>
    <w:rsid w:val="007644BC"/>
    <w:rsid w:val="00764630"/>
    <w:rsid w:val="0076463F"/>
    <w:rsid w:val="0076468C"/>
    <w:rsid w:val="00764956"/>
    <w:rsid w:val="00764AE8"/>
    <w:rsid w:val="00764B0D"/>
    <w:rsid w:val="00764B7D"/>
    <w:rsid w:val="00764B85"/>
    <w:rsid w:val="00764C6B"/>
    <w:rsid w:val="00764C7F"/>
    <w:rsid w:val="00764C9D"/>
    <w:rsid w:val="00764D3F"/>
    <w:rsid w:val="00764D5B"/>
    <w:rsid w:val="00764D5C"/>
    <w:rsid w:val="00764D7F"/>
    <w:rsid w:val="00764E9C"/>
    <w:rsid w:val="00764EE5"/>
    <w:rsid w:val="00764F81"/>
    <w:rsid w:val="0076501C"/>
    <w:rsid w:val="007650EA"/>
    <w:rsid w:val="0076518B"/>
    <w:rsid w:val="007651D8"/>
    <w:rsid w:val="0076537B"/>
    <w:rsid w:val="0076541F"/>
    <w:rsid w:val="00765427"/>
    <w:rsid w:val="00765430"/>
    <w:rsid w:val="0076543A"/>
    <w:rsid w:val="00765459"/>
    <w:rsid w:val="00765469"/>
    <w:rsid w:val="00765491"/>
    <w:rsid w:val="00765559"/>
    <w:rsid w:val="007655E7"/>
    <w:rsid w:val="0076560C"/>
    <w:rsid w:val="00765699"/>
    <w:rsid w:val="007656E2"/>
    <w:rsid w:val="00765708"/>
    <w:rsid w:val="00765740"/>
    <w:rsid w:val="0076574A"/>
    <w:rsid w:val="00765762"/>
    <w:rsid w:val="00765857"/>
    <w:rsid w:val="00765901"/>
    <w:rsid w:val="00765936"/>
    <w:rsid w:val="00765B3A"/>
    <w:rsid w:val="00765B81"/>
    <w:rsid w:val="00765C11"/>
    <w:rsid w:val="00765CBF"/>
    <w:rsid w:val="00765D70"/>
    <w:rsid w:val="00765D97"/>
    <w:rsid w:val="00765DC4"/>
    <w:rsid w:val="00765E88"/>
    <w:rsid w:val="00765E98"/>
    <w:rsid w:val="00765EBB"/>
    <w:rsid w:val="00765ED2"/>
    <w:rsid w:val="00765EE0"/>
    <w:rsid w:val="00765F67"/>
    <w:rsid w:val="00765F98"/>
    <w:rsid w:val="00766003"/>
    <w:rsid w:val="007660B6"/>
    <w:rsid w:val="00766110"/>
    <w:rsid w:val="00766187"/>
    <w:rsid w:val="00766199"/>
    <w:rsid w:val="00766277"/>
    <w:rsid w:val="00766278"/>
    <w:rsid w:val="007662D4"/>
    <w:rsid w:val="007663A5"/>
    <w:rsid w:val="007663B1"/>
    <w:rsid w:val="007663B2"/>
    <w:rsid w:val="00766438"/>
    <w:rsid w:val="00766541"/>
    <w:rsid w:val="00766568"/>
    <w:rsid w:val="0076659E"/>
    <w:rsid w:val="007665B7"/>
    <w:rsid w:val="00766696"/>
    <w:rsid w:val="00766697"/>
    <w:rsid w:val="007667F6"/>
    <w:rsid w:val="00766850"/>
    <w:rsid w:val="0076687E"/>
    <w:rsid w:val="0076689D"/>
    <w:rsid w:val="00766928"/>
    <w:rsid w:val="007669AF"/>
    <w:rsid w:val="00766A3D"/>
    <w:rsid w:val="00766B86"/>
    <w:rsid w:val="00766BDA"/>
    <w:rsid w:val="00766BE2"/>
    <w:rsid w:val="00766C0A"/>
    <w:rsid w:val="00766C4C"/>
    <w:rsid w:val="00766C8F"/>
    <w:rsid w:val="00766D02"/>
    <w:rsid w:val="00766D0B"/>
    <w:rsid w:val="00766D3C"/>
    <w:rsid w:val="00766E32"/>
    <w:rsid w:val="00766F74"/>
    <w:rsid w:val="00766FC8"/>
    <w:rsid w:val="00766FFB"/>
    <w:rsid w:val="00767019"/>
    <w:rsid w:val="0076704F"/>
    <w:rsid w:val="007670B9"/>
    <w:rsid w:val="00767186"/>
    <w:rsid w:val="00767198"/>
    <w:rsid w:val="007671A5"/>
    <w:rsid w:val="007671EF"/>
    <w:rsid w:val="00767368"/>
    <w:rsid w:val="00767389"/>
    <w:rsid w:val="007673D5"/>
    <w:rsid w:val="00767401"/>
    <w:rsid w:val="007674D0"/>
    <w:rsid w:val="007674E9"/>
    <w:rsid w:val="007675C0"/>
    <w:rsid w:val="00767632"/>
    <w:rsid w:val="00767636"/>
    <w:rsid w:val="00767652"/>
    <w:rsid w:val="0076769C"/>
    <w:rsid w:val="0076773B"/>
    <w:rsid w:val="00767742"/>
    <w:rsid w:val="0076779C"/>
    <w:rsid w:val="007677E5"/>
    <w:rsid w:val="0076782C"/>
    <w:rsid w:val="00767837"/>
    <w:rsid w:val="007678F7"/>
    <w:rsid w:val="00767971"/>
    <w:rsid w:val="007679CF"/>
    <w:rsid w:val="00767B3F"/>
    <w:rsid w:val="00767B8C"/>
    <w:rsid w:val="00767BA8"/>
    <w:rsid w:val="00767C16"/>
    <w:rsid w:val="00767C54"/>
    <w:rsid w:val="00767D37"/>
    <w:rsid w:val="00767D88"/>
    <w:rsid w:val="00767DB4"/>
    <w:rsid w:val="00770038"/>
    <w:rsid w:val="00770069"/>
    <w:rsid w:val="007700C5"/>
    <w:rsid w:val="00770118"/>
    <w:rsid w:val="00770185"/>
    <w:rsid w:val="007701FD"/>
    <w:rsid w:val="00770217"/>
    <w:rsid w:val="0077039E"/>
    <w:rsid w:val="007703B5"/>
    <w:rsid w:val="0077044C"/>
    <w:rsid w:val="0077051A"/>
    <w:rsid w:val="007705F4"/>
    <w:rsid w:val="00770614"/>
    <w:rsid w:val="00770788"/>
    <w:rsid w:val="007707A9"/>
    <w:rsid w:val="007708B8"/>
    <w:rsid w:val="0077099B"/>
    <w:rsid w:val="007709B0"/>
    <w:rsid w:val="007709D8"/>
    <w:rsid w:val="00770A37"/>
    <w:rsid w:val="00770A9C"/>
    <w:rsid w:val="00770AA3"/>
    <w:rsid w:val="00770ACF"/>
    <w:rsid w:val="00770AF5"/>
    <w:rsid w:val="00770B1E"/>
    <w:rsid w:val="00770B36"/>
    <w:rsid w:val="00770B4D"/>
    <w:rsid w:val="00770C0E"/>
    <w:rsid w:val="00770C71"/>
    <w:rsid w:val="00770CA1"/>
    <w:rsid w:val="00770DD2"/>
    <w:rsid w:val="00770DF2"/>
    <w:rsid w:val="00770EB7"/>
    <w:rsid w:val="00770F8B"/>
    <w:rsid w:val="00770FBF"/>
    <w:rsid w:val="00770FFB"/>
    <w:rsid w:val="0077105B"/>
    <w:rsid w:val="007710C3"/>
    <w:rsid w:val="007711D8"/>
    <w:rsid w:val="00771375"/>
    <w:rsid w:val="00771376"/>
    <w:rsid w:val="0077138B"/>
    <w:rsid w:val="0077139D"/>
    <w:rsid w:val="00771536"/>
    <w:rsid w:val="00771574"/>
    <w:rsid w:val="00771610"/>
    <w:rsid w:val="00771651"/>
    <w:rsid w:val="007716F6"/>
    <w:rsid w:val="0077175C"/>
    <w:rsid w:val="007717AE"/>
    <w:rsid w:val="007717B6"/>
    <w:rsid w:val="00771867"/>
    <w:rsid w:val="0077192F"/>
    <w:rsid w:val="00771948"/>
    <w:rsid w:val="00771A62"/>
    <w:rsid w:val="00771A68"/>
    <w:rsid w:val="00771BC2"/>
    <w:rsid w:val="00771C0D"/>
    <w:rsid w:val="00771D39"/>
    <w:rsid w:val="00771D3D"/>
    <w:rsid w:val="00771DF2"/>
    <w:rsid w:val="00771EE9"/>
    <w:rsid w:val="00771F7B"/>
    <w:rsid w:val="00771F96"/>
    <w:rsid w:val="00772048"/>
    <w:rsid w:val="00772096"/>
    <w:rsid w:val="007720B6"/>
    <w:rsid w:val="00772108"/>
    <w:rsid w:val="00772113"/>
    <w:rsid w:val="0077215B"/>
    <w:rsid w:val="00772163"/>
    <w:rsid w:val="007721F8"/>
    <w:rsid w:val="00772208"/>
    <w:rsid w:val="00772217"/>
    <w:rsid w:val="00772275"/>
    <w:rsid w:val="007722C7"/>
    <w:rsid w:val="007723F7"/>
    <w:rsid w:val="00772482"/>
    <w:rsid w:val="00772497"/>
    <w:rsid w:val="00772578"/>
    <w:rsid w:val="00772591"/>
    <w:rsid w:val="0077260A"/>
    <w:rsid w:val="0077260F"/>
    <w:rsid w:val="00772626"/>
    <w:rsid w:val="0077267A"/>
    <w:rsid w:val="007726AD"/>
    <w:rsid w:val="00772734"/>
    <w:rsid w:val="007727B9"/>
    <w:rsid w:val="007727C1"/>
    <w:rsid w:val="007727DF"/>
    <w:rsid w:val="00772801"/>
    <w:rsid w:val="00772895"/>
    <w:rsid w:val="00772902"/>
    <w:rsid w:val="0077290D"/>
    <w:rsid w:val="007729FF"/>
    <w:rsid w:val="00772A18"/>
    <w:rsid w:val="00772A2C"/>
    <w:rsid w:val="00772AA6"/>
    <w:rsid w:val="00772AB4"/>
    <w:rsid w:val="00772ACA"/>
    <w:rsid w:val="00772B85"/>
    <w:rsid w:val="00772BDB"/>
    <w:rsid w:val="00772C10"/>
    <w:rsid w:val="00772C2C"/>
    <w:rsid w:val="00772C38"/>
    <w:rsid w:val="00772D08"/>
    <w:rsid w:val="00772D55"/>
    <w:rsid w:val="00772D5D"/>
    <w:rsid w:val="00772D72"/>
    <w:rsid w:val="00772DBD"/>
    <w:rsid w:val="00772E64"/>
    <w:rsid w:val="00772E6D"/>
    <w:rsid w:val="00772EC5"/>
    <w:rsid w:val="00772ECB"/>
    <w:rsid w:val="00772F88"/>
    <w:rsid w:val="00772FD5"/>
    <w:rsid w:val="00772FDA"/>
    <w:rsid w:val="00773139"/>
    <w:rsid w:val="007731F8"/>
    <w:rsid w:val="00773216"/>
    <w:rsid w:val="00773226"/>
    <w:rsid w:val="00773255"/>
    <w:rsid w:val="00773277"/>
    <w:rsid w:val="00773355"/>
    <w:rsid w:val="0077341E"/>
    <w:rsid w:val="0077350C"/>
    <w:rsid w:val="007735C2"/>
    <w:rsid w:val="007735E2"/>
    <w:rsid w:val="0077364E"/>
    <w:rsid w:val="00773657"/>
    <w:rsid w:val="007736DA"/>
    <w:rsid w:val="007737AF"/>
    <w:rsid w:val="00773831"/>
    <w:rsid w:val="0077383C"/>
    <w:rsid w:val="00773871"/>
    <w:rsid w:val="007738CC"/>
    <w:rsid w:val="0077394C"/>
    <w:rsid w:val="0077397E"/>
    <w:rsid w:val="00773B3D"/>
    <w:rsid w:val="00773B78"/>
    <w:rsid w:val="00773C38"/>
    <w:rsid w:val="00773C9D"/>
    <w:rsid w:val="00773D74"/>
    <w:rsid w:val="00773DDF"/>
    <w:rsid w:val="00773E35"/>
    <w:rsid w:val="00773F2B"/>
    <w:rsid w:val="00773F69"/>
    <w:rsid w:val="00773FBC"/>
    <w:rsid w:val="0077402D"/>
    <w:rsid w:val="00774091"/>
    <w:rsid w:val="007740F0"/>
    <w:rsid w:val="00774106"/>
    <w:rsid w:val="00774143"/>
    <w:rsid w:val="00774212"/>
    <w:rsid w:val="007742A6"/>
    <w:rsid w:val="00774315"/>
    <w:rsid w:val="007743CA"/>
    <w:rsid w:val="00774400"/>
    <w:rsid w:val="007744A2"/>
    <w:rsid w:val="007744F1"/>
    <w:rsid w:val="007744F9"/>
    <w:rsid w:val="00774530"/>
    <w:rsid w:val="0077453B"/>
    <w:rsid w:val="00774547"/>
    <w:rsid w:val="007745B5"/>
    <w:rsid w:val="007746B7"/>
    <w:rsid w:val="007748A6"/>
    <w:rsid w:val="00774931"/>
    <w:rsid w:val="00774996"/>
    <w:rsid w:val="007749DD"/>
    <w:rsid w:val="00774A9F"/>
    <w:rsid w:val="00774AB0"/>
    <w:rsid w:val="00774ACD"/>
    <w:rsid w:val="00774AE8"/>
    <w:rsid w:val="00774B89"/>
    <w:rsid w:val="00774BD6"/>
    <w:rsid w:val="00774BF0"/>
    <w:rsid w:val="00774C91"/>
    <w:rsid w:val="00774D02"/>
    <w:rsid w:val="00774E10"/>
    <w:rsid w:val="0077503B"/>
    <w:rsid w:val="00775044"/>
    <w:rsid w:val="00775049"/>
    <w:rsid w:val="00775102"/>
    <w:rsid w:val="007751CA"/>
    <w:rsid w:val="00775272"/>
    <w:rsid w:val="007752BE"/>
    <w:rsid w:val="00775374"/>
    <w:rsid w:val="0077537A"/>
    <w:rsid w:val="0077541A"/>
    <w:rsid w:val="00775526"/>
    <w:rsid w:val="0077555B"/>
    <w:rsid w:val="007755CD"/>
    <w:rsid w:val="007755DA"/>
    <w:rsid w:val="00775623"/>
    <w:rsid w:val="00775648"/>
    <w:rsid w:val="00775661"/>
    <w:rsid w:val="00775666"/>
    <w:rsid w:val="0077574A"/>
    <w:rsid w:val="00775757"/>
    <w:rsid w:val="0077583B"/>
    <w:rsid w:val="0077587D"/>
    <w:rsid w:val="0077589D"/>
    <w:rsid w:val="00775989"/>
    <w:rsid w:val="007759E4"/>
    <w:rsid w:val="00775A95"/>
    <w:rsid w:val="00775AA5"/>
    <w:rsid w:val="00775AC0"/>
    <w:rsid w:val="00775BF5"/>
    <w:rsid w:val="00775C3D"/>
    <w:rsid w:val="00775D4F"/>
    <w:rsid w:val="00775DAA"/>
    <w:rsid w:val="00775DCB"/>
    <w:rsid w:val="00775DF5"/>
    <w:rsid w:val="00775E8D"/>
    <w:rsid w:val="00775EB9"/>
    <w:rsid w:val="00776007"/>
    <w:rsid w:val="007760CD"/>
    <w:rsid w:val="007761F5"/>
    <w:rsid w:val="0077624A"/>
    <w:rsid w:val="007762BE"/>
    <w:rsid w:val="007762FB"/>
    <w:rsid w:val="00776436"/>
    <w:rsid w:val="00776466"/>
    <w:rsid w:val="0077646E"/>
    <w:rsid w:val="0077656A"/>
    <w:rsid w:val="007765AD"/>
    <w:rsid w:val="007765C8"/>
    <w:rsid w:val="0077660D"/>
    <w:rsid w:val="00776655"/>
    <w:rsid w:val="00776721"/>
    <w:rsid w:val="00776781"/>
    <w:rsid w:val="0077679B"/>
    <w:rsid w:val="007768AA"/>
    <w:rsid w:val="007768FB"/>
    <w:rsid w:val="00776936"/>
    <w:rsid w:val="0077695B"/>
    <w:rsid w:val="0077696F"/>
    <w:rsid w:val="00776A06"/>
    <w:rsid w:val="00776A1A"/>
    <w:rsid w:val="00776A85"/>
    <w:rsid w:val="00776BE4"/>
    <w:rsid w:val="00776C54"/>
    <w:rsid w:val="00776CA1"/>
    <w:rsid w:val="00776DB7"/>
    <w:rsid w:val="00776DE8"/>
    <w:rsid w:val="00776DEA"/>
    <w:rsid w:val="00776E9B"/>
    <w:rsid w:val="00776EB3"/>
    <w:rsid w:val="00776EDA"/>
    <w:rsid w:val="00776F5A"/>
    <w:rsid w:val="00776FFA"/>
    <w:rsid w:val="00777039"/>
    <w:rsid w:val="007770E1"/>
    <w:rsid w:val="00777278"/>
    <w:rsid w:val="007772A2"/>
    <w:rsid w:val="007772F5"/>
    <w:rsid w:val="0077730C"/>
    <w:rsid w:val="00777346"/>
    <w:rsid w:val="00777372"/>
    <w:rsid w:val="007773A4"/>
    <w:rsid w:val="007773AD"/>
    <w:rsid w:val="00777498"/>
    <w:rsid w:val="00777515"/>
    <w:rsid w:val="00777619"/>
    <w:rsid w:val="0077764A"/>
    <w:rsid w:val="007776F7"/>
    <w:rsid w:val="00777710"/>
    <w:rsid w:val="00777736"/>
    <w:rsid w:val="00777751"/>
    <w:rsid w:val="0077776A"/>
    <w:rsid w:val="00777881"/>
    <w:rsid w:val="007778C0"/>
    <w:rsid w:val="007778C2"/>
    <w:rsid w:val="0077797E"/>
    <w:rsid w:val="007779DC"/>
    <w:rsid w:val="007779FE"/>
    <w:rsid w:val="00777B33"/>
    <w:rsid w:val="00777B3E"/>
    <w:rsid w:val="00777B54"/>
    <w:rsid w:val="00777BCE"/>
    <w:rsid w:val="00777C74"/>
    <w:rsid w:val="00777CDA"/>
    <w:rsid w:val="00777CF0"/>
    <w:rsid w:val="00777D0C"/>
    <w:rsid w:val="00777D0E"/>
    <w:rsid w:val="00777DDD"/>
    <w:rsid w:val="00777E89"/>
    <w:rsid w:val="00777E8B"/>
    <w:rsid w:val="00777EB0"/>
    <w:rsid w:val="00777ED9"/>
    <w:rsid w:val="00777F3C"/>
    <w:rsid w:val="0077FB24"/>
    <w:rsid w:val="0078002E"/>
    <w:rsid w:val="007800AD"/>
    <w:rsid w:val="007801A7"/>
    <w:rsid w:val="0078022D"/>
    <w:rsid w:val="0078028F"/>
    <w:rsid w:val="007802F8"/>
    <w:rsid w:val="0078031A"/>
    <w:rsid w:val="0078034B"/>
    <w:rsid w:val="00780399"/>
    <w:rsid w:val="007803B9"/>
    <w:rsid w:val="00780418"/>
    <w:rsid w:val="0078052A"/>
    <w:rsid w:val="00780551"/>
    <w:rsid w:val="00780622"/>
    <w:rsid w:val="00780786"/>
    <w:rsid w:val="00780809"/>
    <w:rsid w:val="00780878"/>
    <w:rsid w:val="00780888"/>
    <w:rsid w:val="0078088F"/>
    <w:rsid w:val="007808A4"/>
    <w:rsid w:val="00780947"/>
    <w:rsid w:val="00780A45"/>
    <w:rsid w:val="00780B45"/>
    <w:rsid w:val="00780BBB"/>
    <w:rsid w:val="00780C0D"/>
    <w:rsid w:val="00780CAE"/>
    <w:rsid w:val="00780CDD"/>
    <w:rsid w:val="00780D0E"/>
    <w:rsid w:val="00780D5F"/>
    <w:rsid w:val="00780DFC"/>
    <w:rsid w:val="00780E18"/>
    <w:rsid w:val="00780E39"/>
    <w:rsid w:val="00780EDF"/>
    <w:rsid w:val="00780F57"/>
    <w:rsid w:val="00781028"/>
    <w:rsid w:val="007810CF"/>
    <w:rsid w:val="007810F0"/>
    <w:rsid w:val="00781320"/>
    <w:rsid w:val="007813A7"/>
    <w:rsid w:val="007813AC"/>
    <w:rsid w:val="0078141F"/>
    <w:rsid w:val="0078144F"/>
    <w:rsid w:val="007814D1"/>
    <w:rsid w:val="0078158A"/>
    <w:rsid w:val="007815D5"/>
    <w:rsid w:val="007815F0"/>
    <w:rsid w:val="00781602"/>
    <w:rsid w:val="00781668"/>
    <w:rsid w:val="00781700"/>
    <w:rsid w:val="007817AF"/>
    <w:rsid w:val="00781868"/>
    <w:rsid w:val="00781880"/>
    <w:rsid w:val="007818BE"/>
    <w:rsid w:val="0078194E"/>
    <w:rsid w:val="0078197F"/>
    <w:rsid w:val="00781A3C"/>
    <w:rsid w:val="00781C69"/>
    <w:rsid w:val="00781C6B"/>
    <w:rsid w:val="00781CA4"/>
    <w:rsid w:val="00781D94"/>
    <w:rsid w:val="00781DBC"/>
    <w:rsid w:val="00781E9D"/>
    <w:rsid w:val="00781EC1"/>
    <w:rsid w:val="00781F22"/>
    <w:rsid w:val="00781F40"/>
    <w:rsid w:val="00781FC4"/>
    <w:rsid w:val="00782014"/>
    <w:rsid w:val="0078201C"/>
    <w:rsid w:val="007820D5"/>
    <w:rsid w:val="0078219E"/>
    <w:rsid w:val="007821C8"/>
    <w:rsid w:val="00782362"/>
    <w:rsid w:val="007823E0"/>
    <w:rsid w:val="0078252D"/>
    <w:rsid w:val="007825BA"/>
    <w:rsid w:val="007825CF"/>
    <w:rsid w:val="007825EB"/>
    <w:rsid w:val="0078261B"/>
    <w:rsid w:val="0078261E"/>
    <w:rsid w:val="0078266F"/>
    <w:rsid w:val="0078277D"/>
    <w:rsid w:val="007827A5"/>
    <w:rsid w:val="007828CF"/>
    <w:rsid w:val="0078295D"/>
    <w:rsid w:val="007829D0"/>
    <w:rsid w:val="00782A10"/>
    <w:rsid w:val="00782A44"/>
    <w:rsid w:val="00782A6E"/>
    <w:rsid w:val="00782ACD"/>
    <w:rsid w:val="00782B35"/>
    <w:rsid w:val="00782B48"/>
    <w:rsid w:val="00782B59"/>
    <w:rsid w:val="00782B88"/>
    <w:rsid w:val="00782C4C"/>
    <w:rsid w:val="00782C61"/>
    <w:rsid w:val="00782D11"/>
    <w:rsid w:val="00782D1D"/>
    <w:rsid w:val="00782D27"/>
    <w:rsid w:val="00782D41"/>
    <w:rsid w:val="00782DD8"/>
    <w:rsid w:val="00782DDC"/>
    <w:rsid w:val="00782E35"/>
    <w:rsid w:val="00782E7A"/>
    <w:rsid w:val="00782E9C"/>
    <w:rsid w:val="00782EA9"/>
    <w:rsid w:val="00782FAE"/>
    <w:rsid w:val="00783072"/>
    <w:rsid w:val="00783094"/>
    <w:rsid w:val="007831C6"/>
    <w:rsid w:val="007831EF"/>
    <w:rsid w:val="00783213"/>
    <w:rsid w:val="00783216"/>
    <w:rsid w:val="0078331A"/>
    <w:rsid w:val="00783350"/>
    <w:rsid w:val="007833ED"/>
    <w:rsid w:val="007833F8"/>
    <w:rsid w:val="0078342B"/>
    <w:rsid w:val="0078349A"/>
    <w:rsid w:val="007834DE"/>
    <w:rsid w:val="00783502"/>
    <w:rsid w:val="0078350D"/>
    <w:rsid w:val="00783623"/>
    <w:rsid w:val="00783646"/>
    <w:rsid w:val="0078366F"/>
    <w:rsid w:val="007836E7"/>
    <w:rsid w:val="007836EB"/>
    <w:rsid w:val="0078375C"/>
    <w:rsid w:val="0078376F"/>
    <w:rsid w:val="00783917"/>
    <w:rsid w:val="0078392F"/>
    <w:rsid w:val="007839E3"/>
    <w:rsid w:val="007839EE"/>
    <w:rsid w:val="00783A20"/>
    <w:rsid w:val="00783AF7"/>
    <w:rsid w:val="00783CB3"/>
    <w:rsid w:val="00783CFD"/>
    <w:rsid w:val="00783DB5"/>
    <w:rsid w:val="00783E2F"/>
    <w:rsid w:val="00783E43"/>
    <w:rsid w:val="00783E7C"/>
    <w:rsid w:val="00783ED8"/>
    <w:rsid w:val="00783F03"/>
    <w:rsid w:val="00783F10"/>
    <w:rsid w:val="00783F24"/>
    <w:rsid w:val="0078403F"/>
    <w:rsid w:val="0078409B"/>
    <w:rsid w:val="00784169"/>
    <w:rsid w:val="0078418D"/>
    <w:rsid w:val="007841CE"/>
    <w:rsid w:val="007841D4"/>
    <w:rsid w:val="00784203"/>
    <w:rsid w:val="0078429F"/>
    <w:rsid w:val="00784371"/>
    <w:rsid w:val="007843C6"/>
    <w:rsid w:val="0078444E"/>
    <w:rsid w:val="00784487"/>
    <w:rsid w:val="007844DE"/>
    <w:rsid w:val="00784545"/>
    <w:rsid w:val="007845CB"/>
    <w:rsid w:val="00784717"/>
    <w:rsid w:val="00784920"/>
    <w:rsid w:val="0078498E"/>
    <w:rsid w:val="00784A09"/>
    <w:rsid w:val="00784A53"/>
    <w:rsid w:val="00784AC8"/>
    <w:rsid w:val="00784BF9"/>
    <w:rsid w:val="00784C0A"/>
    <w:rsid w:val="00784C13"/>
    <w:rsid w:val="00784C7E"/>
    <w:rsid w:val="00784DE3"/>
    <w:rsid w:val="00784DE9"/>
    <w:rsid w:val="00784E35"/>
    <w:rsid w:val="00784FCA"/>
    <w:rsid w:val="00784FEC"/>
    <w:rsid w:val="0078502A"/>
    <w:rsid w:val="00785130"/>
    <w:rsid w:val="007851F9"/>
    <w:rsid w:val="007853C6"/>
    <w:rsid w:val="0078547B"/>
    <w:rsid w:val="007855A3"/>
    <w:rsid w:val="007855A5"/>
    <w:rsid w:val="007855F6"/>
    <w:rsid w:val="007857AA"/>
    <w:rsid w:val="007857D9"/>
    <w:rsid w:val="00785819"/>
    <w:rsid w:val="007859BD"/>
    <w:rsid w:val="007859DA"/>
    <w:rsid w:val="007859EE"/>
    <w:rsid w:val="00785A3A"/>
    <w:rsid w:val="00785A4B"/>
    <w:rsid w:val="00785A5F"/>
    <w:rsid w:val="00785B30"/>
    <w:rsid w:val="00785BED"/>
    <w:rsid w:val="00785C2B"/>
    <w:rsid w:val="00785C7E"/>
    <w:rsid w:val="00786031"/>
    <w:rsid w:val="0078604D"/>
    <w:rsid w:val="00786229"/>
    <w:rsid w:val="007863B6"/>
    <w:rsid w:val="007864EC"/>
    <w:rsid w:val="0078653C"/>
    <w:rsid w:val="0078666C"/>
    <w:rsid w:val="007866D1"/>
    <w:rsid w:val="007866FF"/>
    <w:rsid w:val="007867BD"/>
    <w:rsid w:val="00786852"/>
    <w:rsid w:val="0078685C"/>
    <w:rsid w:val="00786898"/>
    <w:rsid w:val="007868B1"/>
    <w:rsid w:val="007868C3"/>
    <w:rsid w:val="007869A6"/>
    <w:rsid w:val="007869E9"/>
    <w:rsid w:val="007869F3"/>
    <w:rsid w:val="00786A05"/>
    <w:rsid w:val="00786A3D"/>
    <w:rsid w:val="00786B37"/>
    <w:rsid w:val="00786BAA"/>
    <w:rsid w:val="00786C5C"/>
    <w:rsid w:val="00786C72"/>
    <w:rsid w:val="00786D7B"/>
    <w:rsid w:val="00786DC9"/>
    <w:rsid w:val="00786E0B"/>
    <w:rsid w:val="00786E2B"/>
    <w:rsid w:val="00786E32"/>
    <w:rsid w:val="00786E33"/>
    <w:rsid w:val="00786EA5"/>
    <w:rsid w:val="00786EBE"/>
    <w:rsid w:val="00786ED2"/>
    <w:rsid w:val="00786EE0"/>
    <w:rsid w:val="007871B8"/>
    <w:rsid w:val="00787204"/>
    <w:rsid w:val="007872AD"/>
    <w:rsid w:val="007872EF"/>
    <w:rsid w:val="00787323"/>
    <w:rsid w:val="0078734D"/>
    <w:rsid w:val="007873CE"/>
    <w:rsid w:val="007873F3"/>
    <w:rsid w:val="0078742A"/>
    <w:rsid w:val="0078748F"/>
    <w:rsid w:val="007874BF"/>
    <w:rsid w:val="007875EE"/>
    <w:rsid w:val="00787621"/>
    <w:rsid w:val="0078777D"/>
    <w:rsid w:val="007877C9"/>
    <w:rsid w:val="00787A30"/>
    <w:rsid w:val="00787AFE"/>
    <w:rsid w:val="00787B1C"/>
    <w:rsid w:val="00787B93"/>
    <w:rsid w:val="00787BDD"/>
    <w:rsid w:val="00787C54"/>
    <w:rsid w:val="00787C80"/>
    <w:rsid w:val="00787D48"/>
    <w:rsid w:val="00787D86"/>
    <w:rsid w:val="00787E31"/>
    <w:rsid w:val="00787E7E"/>
    <w:rsid w:val="00787E9C"/>
    <w:rsid w:val="00787F0E"/>
    <w:rsid w:val="00787F26"/>
    <w:rsid w:val="00787F6C"/>
    <w:rsid w:val="00790005"/>
    <w:rsid w:val="00790080"/>
    <w:rsid w:val="007900F9"/>
    <w:rsid w:val="00790110"/>
    <w:rsid w:val="00790128"/>
    <w:rsid w:val="0079023C"/>
    <w:rsid w:val="00790285"/>
    <w:rsid w:val="007902A4"/>
    <w:rsid w:val="00790329"/>
    <w:rsid w:val="00790338"/>
    <w:rsid w:val="0079033E"/>
    <w:rsid w:val="00790411"/>
    <w:rsid w:val="00790425"/>
    <w:rsid w:val="00790441"/>
    <w:rsid w:val="00790461"/>
    <w:rsid w:val="00790482"/>
    <w:rsid w:val="007904BB"/>
    <w:rsid w:val="007904C4"/>
    <w:rsid w:val="007904E9"/>
    <w:rsid w:val="00790519"/>
    <w:rsid w:val="00790527"/>
    <w:rsid w:val="00790579"/>
    <w:rsid w:val="007905AB"/>
    <w:rsid w:val="007906B4"/>
    <w:rsid w:val="007906C3"/>
    <w:rsid w:val="007906C5"/>
    <w:rsid w:val="007906F6"/>
    <w:rsid w:val="0079073E"/>
    <w:rsid w:val="00790802"/>
    <w:rsid w:val="0079093B"/>
    <w:rsid w:val="00790998"/>
    <w:rsid w:val="00790A0E"/>
    <w:rsid w:val="00790A19"/>
    <w:rsid w:val="00790A80"/>
    <w:rsid w:val="00790B02"/>
    <w:rsid w:val="00790B08"/>
    <w:rsid w:val="00790BD7"/>
    <w:rsid w:val="00790BF6"/>
    <w:rsid w:val="00790C2C"/>
    <w:rsid w:val="00790D28"/>
    <w:rsid w:val="00790DDC"/>
    <w:rsid w:val="00790DF9"/>
    <w:rsid w:val="00790E2F"/>
    <w:rsid w:val="007910B8"/>
    <w:rsid w:val="00791168"/>
    <w:rsid w:val="007911B0"/>
    <w:rsid w:val="00791230"/>
    <w:rsid w:val="007912A5"/>
    <w:rsid w:val="0079131A"/>
    <w:rsid w:val="007914E2"/>
    <w:rsid w:val="00791575"/>
    <w:rsid w:val="007915A4"/>
    <w:rsid w:val="00791622"/>
    <w:rsid w:val="0079170A"/>
    <w:rsid w:val="00791732"/>
    <w:rsid w:val="0079177A"/>
    <w:rsid w:val="007917B1"/>
    <w:rsid w:val="00791826"/>
    <w:rsid w:val="0079197C"/>
    <w:rsid w:val="007919C8"/>
    <w:rsid w:val="00791A77"/>
    <w:rsid w:val="00791AAE"/>
    <w:rsid w:val="00791AB9"/>
    <w:rsid w:val="00791B94"/>
    <w:rsid w:val="00791BCD"/>
    <w:rsid w:val="00791C1B"/>
    <w:rsid w:val="00791C80"/>
    <w:rsid w:val="00791CB7"/>
    <w:rsid w:val="00791D0A"/>
    <w:rsid w:val="00791D0D"/>
    <w:rsid w:val="00791D31"/>
    <w:rsid w:val="00791DBC"/>
    <w:rsid w:val="00791DCB"/>
    <w:rsid w:val="00791E68"/>
    <w:rsid w:val="00791EF7"/>
    <w:rsid w:val="00791F6F"/>
    <w:rsid w:val="00791F88"/>
    <w:rsid w:val="00792015"/>
    <w:rsid w:val="007920B6"/>
    <w:rsid w:val="00792111"/>
    <w:rsid w:val="00792115"/>
    <w:rsid w:val="0079211B"/>
    <w:rsid w:val="0079213D"/>
    <w:rsid w:val="00792166"/>
    <w:rsid w:val="0079218E"/>
    <w:rsid w:val="0079228E"/>
    <w:rsid w:val="00792293"/>
    <w:rsid w:val="007923B2"/>
    <w:rsid w:val="007923C0"/>
    <w:rsid w:val="0079242A"/>
    <w:rsid w:val="0079249F"/>
    <w:rsid w:val="007924BB"/>
    <w:rsid w:val="0079256F"/>
    <w:rsid w:val="007925A9"/>
    <w:rsid w:val="0079260C"/>
    <w:rsid w:val="007926AD"/>
    <w:rsid w:val="00792797"/>
    <w:rsid w:val="00792857"/>
    <w:rsid w:val="007928AB"/>
    <w:rsid w:val="007928E4"/>
    <w:rsid w:val="00792948"/>
    <w:rsid w:val="0079295C"/>
    <w:rsid w:val="00792AEA"/>
    <w:rsid w:val="00792B0B"/>
    <w:rsid w:val="00792B3D"/>
    <w:rsid w:val="00792B47"/>
    <w:rsid w:val="00792B4A"/>
    <w:rsid w:val="00792C34"/>
    <w:rsid w:val="00792D0F"/>
    <w:rsid w:val="00792EBF"/>
    <w:rsid w:val="00792F33"/>
    <w:rsid w:val="00792FD8"/>
    <w:rsid w:val="0079308D"/>
    <w:rsid w:val="007930A3"/>
    <w:rsid w:val="00793145"/>
    <w:rsid w:val="007931D4"/>
    <w:rsid w:val="007934CF"/>
    <w:rsid w:val="007935EB"/>
    <w:rsid w:val="00793686"/>
    <w:rsid w:val="00793789"/>
    <w:rsid w:val="007937AE"/>
    <w:rsid w:val="007938D1"/>
    <w:rsid w:val="007938DF"/>
    <w:rsid w:val="007938F4"/>
    <w:rsid w:val="00793977"/>
    <w:rsid w:val="007939AE"/>
    <w:rsid w:val="007939F9"/>
    <w:rsid w:val="00793AC6"/>
    <w:rsid w:val="00793AD9"/>
    <w:rsid w:val="00793B44"/>
    <w:rsid w:val="00793D07"/>
    <w:rsid w:val="00793D21"/>
    <w:rsid w:val="00793DA5"/>
    <w:rsid w:val="00793DED"/>
    <w:rsid w:val="00793E45"/>
    <w:rsid w:val="00793E83"/>
    <w:rsid w:val="00793F35"/>
    <w:rsid w:val="00793F88"/>
    <w:rsid w:val="0079409F"/>
    <w:rsid w:val="007940C7"/>
    <w:rsid w:val="007940EC"/>
    <w:rsid w:val="00794148"/>
    <w:rsid w:val="007941D9"/>
    <w:rsid w:val="00794223"/>
    <w:rsid w:val="0079424A"/>
    <w:rsid w:val="00794276"/>
    <w:rsid w:val="0079433E"/>
    <w:rsid w:val="0079438D"/>
    <w:rsid w:val="007943B2"/>
    <w:rsid w:val="007943DD"/>
    <w:rsid w:val="00794454"/>
    <w:rsid w:val="00794461"/>
    <w:rsid w:val="007944D9"/>
    <w:rsid w:val="00794631"/>
    <w:rsid w:val="0079466E"/>
    <w:rsid w:val="0079468A"/>
    <w:rsid w:val="00794719"/>
    <w:rsid w:val="007947A3"/>
    <w:rsid w:val="007947C4"/>
    <w:rsid w:val="007947F0"/>
    <w:rsid w:val="007948E9"/>
    <w:rsid w:val="00794923"/>
    <w:rsid w:val="007949C7"/>
    <w:rsid w:val="007949EC"/>
    <w:rsid w:val="00794A07"/>
    <w:rsid w:val="00794A08"/>
    <w:rsid w:val="00794A22"/>
    <w:rsid w:val="00794A4F"/>
    <w:rsid w:val="00794A7F"/>
    <w:rsid w:val="00794A93"/>
    <w:rsid w:val="00794AF5"/>
    <w:rsid w:val="00794B36"/>
    <w:rsid w:val="00794B62"/>
    <w:rsid w:val="00794C2A"/>
    <w:rsid w:val="00794D13"/>
    <w:rsid w:val="00794EB2"/>
    <w:rsid w:val="00794F01"/>
    <w:rsid w:val="00794F35"/>
    <w:rsid w:val="00794FB8"/>
    <w:rsid w:val="00794FDD"/>
    <w:rsid w:val="007951D4"/>
    <w:rsid w:val="007951EB"/>
    <w:rsid w:val="0079527D"/>
    <w:rsid w:val="007952E7"/>
    <w:rsid w:val="00795314"/>
    <w:rsid w:val="0079535A"/>
    <w:rsid w:val="007954A6"/>
    <w:rsid w:val="007954B5"/>
    <w:rsid w:val="00795596"/>
    <w:rsid w:val="00795692"/>
    <w:rsid w:val="0079577A"/>
    <w:rsid w:val="007957CB"/>
    <w:rsid w:val="0079593D"/>
    <w:rsid w:val="00795945"/>
    <w:rsid w:val="007959BA"/>
    <w:rsid w:val="00795A42"/>
    <w:rsid w:val="00795A7E"/>
    <w:rsid w:val="00795B08"/>
    <w:rsid w:val="00795B53"/>
    <w:rsid w:val="00795BD2"/>
    <w:rsid w:val="00795BDD"/>
    <w:rsid w:val="00795BE0"/>
    <w:rsid w:val="00795C41"/>
    <w:rsid w:val="00795C8D"/>
    <w:rsid w:val="00795D79"/>
    <w:rsid w:val="00795D81"/>
    <w:rsid w:val="00795E17"/>
    <w:rsid w:val="00795E64"/>
    <w:rsid w:val="00795F29"/>
    <w:rsid w:val="00795F61"/>
    <w:rsid w:val="00795FAB"/>
    <w:rsid w:val="00795FD9"/>
    <w:rsid w:val="00796160"/>
    <w:rsid w:val="007961F6"/>
    <w:rsid w:val="0079623C"/>
    <w:rsid w:val="007962BC"/>
    <w:rsid w:val="0079638F"/>
    <w:rsid w:val="007963A8"/>
    <w:rsid w:val="00796439"/>
    <w:rsid w:val="0079648F"/>
    <w:rsid w:val="007964B5"/>
    <w:rsid w:val="00796549"/>
    <w:rsid w:val="00796576"/>
    <w:rsid w:val="007965A4"/>
    <w:rsid w:val="0079673C"/>
    <w:rsid w:val="007967A1"/>
    <w:rsid w:val="00796806"/>
    <w:rsid w:val="00796810"/>
    <w:rsid w:val="00796838"/>
    <w:rsid w:val="0079683B"/>
    <w:rsid w:val="00796843"/>
    <w:rsid w:val="00796A33"/>
    <w:rsid w:val="00796A44"/>
    <w:rsid w:val="00796A89"/>
    <w:rsid w:val="00796A99"/>
    <w:rsid w:val="00796ABD"/>
    <w:rsid w:val="00796C17"/>
    <w:rsid w:val="00796C69"/>
    <w:rsid w:val="00796CF0"/>
    <w:rsid w:val="00796D54"/>
    <w:rsid w:val="00796D86"/>
    <w:rsid w:val="00796ECA"/>
    <w:rsid w:val="00796F9B"/>
    <w:rsid w:val="0079700F"/>
    <w:rsid w:val="0079704B"/>
    <w:rsid w:val="0079704C"/>
    <w:rsid w:val="00797095"/>
    <w:rsid w:val="007970A9"/>
    <w:rsid w:val="007970EE"/>
    <w:rsid w:val="00797450"/>
    <w:rsid w:val="0079764C"/>
    <w:rsid w:val="00797669"/>
    <w:rsid w:val="0079766B"/>
    <w:rsid w:val="00797683"/>
    <w:rsid w:val="0079777B"/>
    <w:rsid w:val="007977AE"/>
    <w:rsid w:val="0079784D"/>
    <w:rsid w:val="007978E4"/>
    <w:rsid w:val="0079797D"/>
    <w:rsid w:val="00797AC4"/>
    <w:rsid w:val="00797B2E"/>
    <w:rsid w:val="00797B3D"/>
    <w:rsid w:val="00797B3F"/>
    <w:rsid w:val="00797BBF"/>
    <w:rsid w:val="00797C1E"/>
    <w:rsid w:val="00797C4C"/>
    <w:rsid w:val="00797D29"/>
    <w:rsid w:val="00797E4E"/>
    <w:rsid w:val="00797EA6"/>
    <w:rsid w:val="00797F41"/>
    <w:rsid w:val="00797FE0"/>
    <w:rsid w:val="007A014E"/>
    <w:rsid w:val="007A01C0"/>
    <w:rsid w:val="007A01CA"/>
    <w:rsid w:val="007A0276"/>
    <w:rsid w:val="007A02CF"/>
    <w:rsid w:val="007A031A"/>
    <w:rsid w:val="007A0439"/>
    <w:rsid w:val="007A0599"/>
    <w:rsid w:val="007A0764"/>
    <w:rsid w:val="007A0773"/>
    <w:rsid w:val="007A08DD"/>
    <w:rsid w:val="007A08E3"/>
    <w:rsid w:val="007A091C"/>
    <w:rsid w:val="007A09B7"/>
    <w:rsid w:val="007A0A10"/>
    <w:rsid w:val="007A0A90"/>
    <w:rsid w:val="007A0AE1"/>
    <w:rsid w:val="007A0B2B"/>
    <w:rsid w:val="007A0B71"/>
    <w:rsid w:val="007A0B9F"/>
    <w:rsid w:val="007A0C1C"/>
    <w:rsid w:val="007A0C29"/>
    <w:rsid w:val="007A0C69"/>
    <w:rsid w:val="007A0D07"/>
    <w:rsid w:val="007A0DCC"/>
    <w:rsid w:val="007A0DDA"/>
    <w:rsid w:val="007A0DE9"/>
    <w:rsid w:val="007A105F"/>
    <w:rsid w:val="007A107D"/>
    <w:rsid w:val="007A10C1"/>
    <w:rsid w:val="007A1152"/>
    <w:rsid w:val="007A115C"/>
    <w:rsid w:val="007A1162"/>
    <w:rsid w:val="007A1191"/>
    <w:rsid w:val="007A119E"/>
    <w:rsid w:val="007A11FB"/>
    <w:rsid w:val="007A120C"/>
    <w:rsid w:val="007A1239"/>
    <w:rsid w:val="007A1290"/>
    <w:rsid w:val="007A12B5"/>
    <w:rsid w:val="007A12F1"/>
    <w:rsid w:val="007A131A"/>
    <w:rsid w:val="007A13BB"/>
    <w:rsid w:val="007A13DA"/>
    <w:rsid w:val="007A1521"/>
    <w:rsid w:val="007A1598"/>
    <w:rsid w:val="007A1611"/>
    <w:rsid w:val="007A1616"/>
    <w:rsid w:val="007A165C"/>
    <w:rsid w:val="007A16E1"/>
    <w:rsid w:val="007A16F4"/>
    <w:rsid w:val="007A173A"/>
    <w:rsid w:val="007A1795"/>
    <w:rsid w:val="007A17A2"/>
    <w:rsid w:val="007A17AD"/>
    <w:rsid w:val="007A17F6"/>
    <w:rsid w:val="007A18DF"/>
    <w:rsid w:val="007A193D"/>
    <w:rsid w:val="007A198D"/>
    <w:rsid w:val="007A1990"/>
    <w:rsid w:val="007A19B1"/>
    <w:rsid w:val="007A19EC"/>
    <w:rsid w:val="007A1AEB"/>
    <w:rsid w:val="007A1B03"/>
    <w:rsid w:val="007A1B59"/>
    <w:rsid w:val="007A1BD0"/>
    <w:rsid w:val="007A1C2E"/>
    <w:rsid w:val="007A1C68"/>
    <w:rsid w:val="007A1C97"/>
    <w:rsid w:val="007A1CE9"/>
    <w:rsid w:val="007A1D66"/>
    <w:rsid w:val="007A1FA7"/>
    <w:rsid w:val="007A2002"/>
    <w:rsid w:val="007A20B3"/>
    <w:rsid w:val="007A2185"/>
    <w:rsid w:val="007A2203"/>
    <w:rsid w:val="007A22B7"/>
    <w:rsid w:val="007A23A1"/>
    <w:rsid w:val="007A23D5"/>
    <w:rsid w:val="007A2446"/>
    <w:rsid w:val="007A24FB"/>
    <w:rsid w:val="007A263D"/>
    <w:rsid w:val="007A273F"/>
    <w:rsid w:val="007A27EE"/>
    <w:rsid w:val="007A283E"/>
    <w:rsid w:val="007A28F1"/>
    <w:rsid w:val="007A2913"/>
    <w:rsid w:val="007A2C3D"/>
    <w:rsid w:val="007A2C9F"/>
    <w:rsid w:val="007A2CA8"/>
    <w:rsid w:val="007A2CAC"/>
    <w:rsid w:val="007A2DAE"/>
    <w:rsid w:val="007A2E1D"/>
    <w:rsid w:val="007A2E7A"/>
    <w:rsid w:val="007A2F3E"/>
    <w:rsid w:val="007A3076"/>
    <w:rsid w:val="007A30F8"/>
    <w:rsid w:val="007A3178"/>
    <w:rsid w:val="007A338C"/>
    <w:rsid w:val="007A33A2"/>
    <w:rsid w:val="007A33FE"/>
    <w:rsid w:val="007A3414"/>
    <w:rsid w:val="007A3433"/>
    <w:rsid w:val="007A3436"/>
    <w:rsid w:val="007A3475"/>
    <w:rsid w:val="007A34A6"/>
    <w:rsid w:val="007A3530"/>
    <w:rsid w:val="007A35BA"/>
    <w:rsid w:val="007A3682"/>
    <w:rsid w:val="007A3720"/>
    <w:rsid w:val="007A373A"/>
    <w:rsid w:val="007A37F3"/>
    <w:rsid w:val="007A3810"/>
    <w:rsid w:val="007A387A"/>
    <w:rsid w:val="007A387D"/>
    <w:rsid w:val="007A38A9"/>
    <w:rsid w:val="007A38AC"/>
    <w:rsid w:val="007A39FC"/>
    <w:rsid w:val="007A3A00"/>
    <w:rsid w:val="007A3A33"/>
    <w:rsid w:val="007A3B47"/>
    <w:rsid w:val="007A3BA5"/>
    <w:rsid w:val="007A3BA6"/>
    <w:rsid w:val="007A3BC4"/>
    <w:rsid w:val="007A3C04"/>
    <w:rsid w:val="007A3C22"/>
    <w:rsid w:val="007A3C2D"/>
    <w:rsid w:val="007A3C82"/>
    <w:rsid w:val="007A3D43"/>
    <w:rsid w:val="007A3D9A"/>
    <w:rsid w:val="007A3E5A"/>
    <w:rsid w:val="007A3EB2"/>
    <w:rsid w:val="007A3F92"/>
    <w:rsid w:val="007A3FD2"/>
    <w:rsid w:val="007A4064"/>
    <w:rsid w:val="007A40C2"/>
    <w:rsid w:val="007A410A"/>
    <w:rsid w:val="007A4157"/>
    <w:rsid w:val="007A4171"/>
    <w:rsid w:val="007A4196"/>
    <w:rsid w:val="007A41B0"/>
    <w:rsid w:val="007A41DE"/>
    <w:rsid w:val="007A41EF"/>
    <w:rsid w:val="007A41F2"/>
    <w:rsid w:val="007A4224"/>
    <w:rsid w:val="007A422D"/>
    <w:rsid w:val="007A42F5"/>
    <w:rsid w:val="007A4523"/>
    <w:rsid w:val="007A4598"/>
    <w:rsid w:val="007A45CC"/>
    <w:rsid w:val="007A46DF"/>
    <w:rsid w:val="007A47C8"/>
    <w:rsid w:val="007A47D4"/>
    <w:rsid w:val="007A4815"/>
    <w:rsid w:val="007A4931"/>
    <w:rsid w:val="007A4A0E"/>
    <w:rsid w:val="007A4A44"/>
    <w:rsid w:val="007A4A74"/>
    <w:rsid w:val="007A4B07"/>
    <w:rsid w:val="007A4BA5"/>
    <w:rsid w:val="007A4BAC"/>
    <w:rsid w:val="007A4DDB"/>
    <w:rsid w:val="007A4E46"/>
    <w:rsid w:val="007A4ECD"/>
    <w:rsid w:val="007A4F1E"/>
    <w:rsid w:val="007A4F8F"/>
    <w:rsid w:val="007A5006"/>
    <w:rsid w:val="007A509E"/>
    <w:rsid w:val="007A50C6"/>
    <w:rsid w:val="007A513D"/>
    <w:rsid w:val="007A5147"/>
    <w:rsid w:val="007A5175"/>
    <w:rsid w:val="007A5252"/>
    <w:rsid w:val="007A52F1"/>
    <w:rsid w:val="007A5322"/>
    <w:rsid w:val="007A5370"/>
    <w:rsid w:val="007A5484"/>
    <w:rsid w:val="007A5506"/>
    <w:rsid w:val="007A5616"/>
    <w:rsid w:val="007A5705"/>
    <w:rsid w:val="007A573A"/>
    <w:rsid w:val="007A5743"/>
    <w:rsid w:val="007A57F6"/>
    <w:rsid w:val="007A585B"/>
    <w:rsid w:val="007A5920"/>
    <w:rsid w:val="007A5943"/>
    <w:rsid w:val="007A5944"/>
    <w:rsid w:val="007A5A51"/>
    <w:rsid w:val="007A5A5B"/>
    <w:rsid w:val="007A5AEE"/>
    <w:rsid w:val="007A5B1A"/>
    <w:rsid w:val="007A5B3D"/>
    <w:rsid w:val="007A5BA1"/>
    <w:rsid w:val="007A5C44"/>
    <w:rsid w:val="007A5C88"/>
    <w:rsid w:val="007A5D05"/>
    <w:rsid w:val="007A5DBA"/>
    <w:rsid w:val="007A5DDF"/>
    <w:rsid w:val="007A5F5A"/>
    <w:rsid w:val="007A6062"/>
    <w:rsid w:val="007A6086"/>
    <w:rsid w:val="007A60D9"/>
    <w:rsid w:val="007A60FD"/>
    <w:rsid w:val="007A6100"/>
    <w:rsid w:val="007A61CE"/>
    <w:rsid w:val="007A61EC"/>
    <w:rsid w:val="007A62D0"/>
    <w:rsid w:val="007A6317"/>
    <w:rsid w:val="007A639D"/>
    <w:rsid w:val="007A63A5"/>
    <w:rsid w:val="007A6417"/>
    <w:rsid w:val="007A64A2"/>
    <w:rsid w:val="007A64D9"/>
    <w:rsid w:val="007A6542"/>
    <w:rsid w:val="007A667F"/>
    <w:rsid w:val="007A66A3"/>
    <w:rsid w:val="007A66ED"/>
    <w:rsid w:val="007A6822"/>
    <w:rsid w:val="007A68C5"/>
    <w:rsid w:val="007A68E4"/>
    <w:rsid w:val="007A69D7"/>
    <w:rsid w:val="007A6A5E"/>
    <w:rsid w:val="007A6B8C"/>
    <w:rsid w:val="007A6B9A"/>
    <w:rsid w:val="007A6BCD"/>
    <w:rsid w:val="007A6BDE"/>
    <w:rsid w:val="007A6C0A"/>
    <w:rsid w:val="007A6CFA"/>
    <w:rsid w:val="007A6D23"/>
    <w:rsid w:val="007A6E37"/>
    <w:rsid w:val="007A6E59"/>
    <w:rsid w:val="007A6E82"/>
    <w:rsid w:val="007A6F71"/>
    <w:rsid w:val="007A6F88"/>
    <w:rsid w:val="007A704F"/>
    <w:rsid w:val="007A7074"/>
    <w:rsid w:val="007A70E0"/>
    <w:rsid w:val="007A70E6"/>
    <w:rsid w:val="007A7149"/>
    <w:rsid w:val="007A71C1"/>
    <w:rsid w:val="007A7248"/>
    <w:rsid w:val="007A7340"/>
    <w:rsid w:val="007A7350"/>
    <w:rsid w:val="007A7372"/>
    <w:rsid w:val="007A737C"/>
    <w:rsid w:val="007A7380"/>
    <w:rsid w:val="007A73D0"/>
    <w:rsid w:val="007A7459"/>
    <w:rsid w:val="007A7479"/>
    <w:rsid w:val="007A7636"/>
    <w:rsid w:val="007A776F"/>
    <w:rsid w:val="007A77EE"/>
    <w:rsid w:val="007A78AC"/>
    <w:rsid w:val="007A792B"/>
    <w:rsid w:val="007A7942"/>
    <w:rsid w:val="007A79CA"/>
    <w:rsid w:val="007A7A3D"/>
    <w:rsid w:val="007A7AE6"/>
    <w:rsid w:val="007A7AEB"/>
    <w:rsid w:val="007A7C0C"/>
    <w:rsid w:val="007A7CD8"/>
    <w:rsid w:val="007A7D45"/>
    <w:rsid w:val="007A7F26"/>
    <w:rsid w:val="007A7F3A"/>
    <w:rsid w:val="007A7F9E"/>
    <w:rsid w:val="007A7FD4"/>
    <w:rsid w:val="007B0050"/>
    <w:rsid w:val="007B0089"/>
    <w:rsid w:val="007B0098"/>
    <w:rsid w:val="007B00BC"/>
    <w:rsid w:val="007B0118"/>
    <w:rsid w:val="007B018C"/>
    <w:rsid w:val="007B01CD"/>
    <w:rsid w:val="007B0307"/>
    <w:rsid w:val="007B036B"/>
    <w:rsid w:val="007B0453"/>
    <w:rsid w:val="007B0465"/>
    <w:rsid w:val="007B04EE"/>
    <w:rsid w:val="007B05B6"/>
    <w:rsid w:val="007B062E"/>
    <w:rsid w:val="007B06BB"/>
    <w:rsid w:val="007B0784"/>
    <w:rsid w:val="007B08A1"/>
    <w:rsid w:val="007B08D1"/>
    <w:rsid w:val="007B08D9"/>
    <w:rsid w:val="007B09B6"/>
    <w:rsid w:val="007B0A98"/>
    <w:rsid w:val="007B0B15"/>
    <w:rsid w:val="007B0B41"/>
    <w:rsid w:val="007B0B58"/>
    <w:rsid w:val="007B0C3B"/>
    <w:rsid w:val="007B0C41"/>
    <w:rsid w:val="007B0CFA"/>
    <w:rsid w:val="007B0DE2"/>
    <w:rsid w:val="007B0E2D"/>
    <w:rsid w:val="007B0E97"/>
    <w:rsid w:val="007B0EA2"/>
    <w:rsid w:val="007B0EDF"/>
    <w:rsid w:val="007B1057"/>
    <w:rsid w:val="007B10E2"/>
    <w:rsid w:val="007B1292"/>
    <w:rsid w:val="007B12E6"/>
    <w:rsid w:val="007B1396"/>
    <w:rsid w:val="007B13AB"/>
    <w:rsid w:val="007B13EE"/>
    <w:rsid w:val="007B150E"/>
    <w:rsid w:val="007B15FB"/>
    <w:rsid w:val="007B166A"/>
    <w:rsid w:val="007B172A"/>
    <w:rsid w:val="007B1752"/>
    <w:rsid w:val="007B1784"/>
    <w:rsid w:val="007B1811"/>
    <w:rsid w:val="007B182E"/>
    <w:rsid w:val="007B183C"/>
    <w:rsid w:val="007B18B0"/>
    <w:rsid w:val="007B18D4"/>
    <w:rsid w:val="007B199C"/>
    <w:rsid w:val="007B19A2"/>
    <w:rsid w:val="007B19D8"/>
    <w:rsid w:val="007B1A3B"/>
    <w:rsid w:val="007B1A42"/>
    <w:rsid w:val="007B1A5B"/>
    <w:rsid w:val="007B1AC3"/>
    <w:rsid w:val="007B1AFC"/>
    <w:rsid w:val="007B1B6E"/>
    <w:rsid w:val="007B1BC7"/>
    <w:rsid w:val="007B1C20"/>
    <w:rsid w:val="007B1C45"/>
    <w:rsid w:val="007B1C91"/>
    <w:rsid w:val="007B1DCD"/>
    <w:rsid w:val="007B1F33"/>
    <w:rsid w:val="007B1F39"/>
    <w:rsid w:val="007B1FD3"/>
    <w:rsid w:val="007B2026"/>
    <w:rsid w:val="007B2047"/>
    <w:rsid w:val="007B2056"/>
    <w:rsid w:val="007B209D"/>
    <w:rsid w:val="007B20BB"/>
    <w:rsid w:val="007B20FF"/>
    <w:rsid w:val="007B217F"/>
    <w:rsid w:val="007B221C"/>
    <w:rsid w:val="007B22DB"/>
    <w:rsid w:val="007B250D"/>
    <w:rsid w:val="007B250F"/>
    <w:rsid w:val="007B251E"/>
    <w:rsid w:val="007B2683"/>
    <w:rsid w:val="007B26AF"/>
    <w:rsid w:val="007B26E9"/>
    <w:rsid w:val="007B270C"/>
    <w:rsid w:val="007B276F"/>
    <w:rsid w:val="007B287C"/>
    <w:rsid w:val="007B2896"/>
    <w:rsid w:val="007B2914"/>
    <w:rsid w:val="007B2957"/>
    <w:rsid w:val="007B2963"/>
    <w:rsid w:val="007B2B18"/>
    <w:rsid w:val="007B2B61"/>
    <w:rsid w:val="007B2C04"/>
    <w:rsid w:val="007B2D89"/>
    <w:rsid w:val="007B2E24"/>
    <w:rsid w:val="007B2E33"/>
    <w:rsid w:val="007B2F8D"/>
    <w:rsid w:val="007B2FB4"/>
    <w:rsid w:val="007B2FF5"/>
    <w:rsid w:val="007B3241"/>
    <w:rsid w:val="007B328C"/>
    <w:rsid w:val="007B3290"/>
    <w:rsid w:val="007B32E0"/>
    <w:rsid w:val="007B32F9"/>
    <w:rsid w:val="007B3305"/>
    <w:rsid w:val="007B3323"/>
    <w:rsid w:val="007B3386"/>
    <w:rsid w:val="007B33B0"/>
    <w:rsid w:val="007B33D9"/>
    <w:rsid w:val="007B343D"/>
    <w:rsid w:val="007B349F"/>
    <w:rsid w:val="007B352A"/>
    <w:rsid w:val="007B3548"/>
    <w:rsid w:val="007B35A6"/>
    <w:rsid w:val="007B35E7"/>
    <w:rsid w:val="007B36BE"/>
    <w:rsid w:val="007B3832"/>
    <w:rsid w:val="007B388D"/>
    <w:rsid w:val="007B38A3"/>
    <w:rsid w:val="007B38C5"/>
    <w:rsid w:val="007B3911"/>
    <w:rsid w:val="007B3940"/>
    <w:rsid w:val="007B39B5"/>
    <w:rsid w:val="007B3AA8"/>
    <w:rsid w:val="007B3AC1"/>
    <w:rsid w:val="007B3B03"/>
    <w:rsid w:val="007B3B1D"/>
    <w:rsid w:val="007B3B60"/>
    <w:rsid w:val="007B3B8C"/>
    <w:rsid w:val="007B3E2E"/>
    <w:rsid w:val="007B402B"/>
    <w:rsid w:val="007B41A9"/>
    <w:rsid w:val="007B42CF"/>
    <w:rsid w:val="007B42FB"/>
    <w:rsid w:val="007B453E"/>
    <w:rsid w:val="007B45AD"/>
    <w:rsid w:val="007B4605"/>
    <w:rsid w:val="007B461C"/>
    <w:rsid w:val="007B46F7"/>
    <w:rsid w:val="007B476D"/>
    <w:rsid w:val="007B4770"/>
    <w:rsid w:val="007B4806"/>
    <w:rsid w:val="007B480D"/>
    <w:rsid w:val="007B481F"/>
    <w:rsid w:val="007B485B"/>
    <w:rsid w:val="007B488B"/>
    <w:rsid w:val="007B48D7"/>
    <w:rsid w:val="007B492B"/>
    <w:rsid w:val="007B4982"/>
    <w:rsid w:val="007B4A12"/>
    <w:rsid w:val="007B4A21"/>
    <w:rsid w:val="007B4AE3"/>
    <w:rsid w:val="007B4AE6"/>
    <w:rsid w:val="007B4BCD"/>
    <w:rsid w:val="007B4C85"/>
    <w:rsid w:val="007B4CBD"/>
    <w:rsid w:val="007B4CFB"/>
    <w:rsid w:val="007B4D19"/>
    <w:rsid w:val="007B4D86"/>
    <w:rsid w:val="007B4DDD"/>
    <w:rsid w:val="007B4EB6"/>
    <w:rsid w:val="007B4EC7"/>
    <w:rsid w:val="007B4EE9"/>
    <w:rsid w:val="007B4F30"/>
    <w:rsid w:val="007B4F5F"/>
    <w:rsid w:val="007B4F8A"/>
    <w:rsid w:val="007B4FE6"/>
    <w:rsid w:val="007B5059"/>
    <w:rsid w:val="007B507B"/>
    <w:rsid w:val="007B51B9"/>
    <w:rsid w:val="007B51E3"/>
    <w:rsid w:val="007B5236"/>
    <w:rsid w:val="007B524A"/>
    <w:rsid w:val="007B531E"/>
    <w:rsid w:val="007B5364"/>
    <w:rsid w:val="007B53AC"/>
    <w:rsid w:val="007B53B2"/>
    <w:rsid w:val="007B5449"/>
    <w:rsid w:val="007B5453"/>
    <w:rsid w:val="007B545C"/>
    <w:rsid w:val="007B5534"/>
    <w:rsid w:val="007B568A"/>
    <w:rsid w:val="007B5707"/>
    <w:rsid w:val="007B5737"/>
    <w:rsid w:val="007B57E0"/>
    <w:rsid w:val="007B5828"/>
    <w:rsid w:val="007B5863"/>
    <w:rsid w:val="007B58A9"/>
    <w:rsid w:val="007B58E3"/>
    <w:rsid w:val="007B5917"/>
    <w:rsid w:val="007B59ED"/>
    <w:rsid w:val="007B5A22"/>
    <w:rsid w:val="007B5A29"/>
    <w:rsid w:val="007B5A41"/>
    <w:rsid w:val="007B5AB4"/>
    <w:rsid w:val="007B5B15"/>
    <w:rsid w:val="007B5BC1"/>
    <w:rsid w:val="007B5BC4"/>
    <w:rsid w:val="007B5DFE"/>
    <w:rsid w:val="007B5EBA"/>
    <w:rsid w:val="007B5F6D"/>
    <w:rsid w:val="007B5FE7"/>
    <w:rsid w:val="007B60D7"/>
    <w:rsid w:val="007B6172"/>
    <w:rsid w:val="007B6175"/>
    <w:rsid w:val="007B617D"/>
    <w:rsid w:val="007B619E"/>
    <w:rsid w:val="007B61BF"/>
    <w:rsid w:val="007B6338"/>
    <w:rsid w:val="007B63D2"/>
    <w:rsid w:val="007B6411"/>
    <w:rsid w:val="007B6445"/>
    <w:rsid w:val="007B64D5"/>
    <w:rsid w:val="007B650F"/>
    <w:rsid w:val="007B653D"/>
    <w:rsid w:val="007B6547"/>
    <w:rsid w:val="007B6665"/>
    <w:rsid w:val="007B683C"/>
    <w:rsid w:val="007B6850"/>
    <w:rsid w:val="007B688F"/>
    <w:rsid w:val="007B69D7"/>
    <w:rsid w:val="007B6AAC"/>
    <w:rsid w:val="007B6AE1"/>
    <w:rsid w:val="007B6B37"/>
    <w:rsid w:val="007B6CF9"/>
    <w:rsid w:val="007B6D1D"/>
    <w:rsid w:val="007B6D4C"/>
    <w:rsid w:val="007B6DCE"/>
    <w:rsid w:val="007B6DDC"/>
    <w:rsid w:val="007B6F0D"/>
    <w:rsid w:val="007B7064"/>
    <w:rsid w:val="007B710C"/>
    <w:rsid w:val="007B71A0"/>
    <w:rsid w:val="007B7252"/>
    <w:rsid w:val="007B7261"/>
    <w:rsid w:val="007B729D"/>
    <w:rsid w:val="007B72B8"/>
    <w:rsid w:val="007B7589"/>
    <w:rsid w:val="007B7629"/>
    <w:rsid w:val="007B766D"/>
    <w:rsid w:val="007B76F5"/>
    <w:rsid w:val="007B773A"/>
    <w:rsid w:val="007B7848"/>
    <w:rsid w:val="007B7859"/>
    <w:rsid w:val="007B78E2"/>
    <w:rsid w:val="007B78F5"/>
    <w:rsid w:val="007B797C"/>
    <w:rsid w:val="007B79D8"/>
    <w:rsid w:val="007B7A6F"/>
    <w:rsid w:val="007B7ABD"/>
    <w:rsid w:val="007B7B7C"/>
    <w:rsid w:val="007B7C0A"/>
    <w:rsid w:val="007B7C3C"/>
    <w:rsid w:val="007B7D62"/>
    <w:rsid w:val="007B7D98"/>
    <w:rsid w:val="007B7E90"/>
    <w:rsid w:val="007B7EB6"/>
    <w:rsid w:val="007B7EE7"/>
    <w:rsid w:val="007B7F21"/>
    <w:rsid w:val="007B7F2B"/>
    <w:rsid w:val="007B7F6C"/>
    <w:rsid w:val="007C0041"/>
    <w:rsid w:val="007C007F"/>
    <w:rsid w:val="007C0111"/>
    <w:rsid w:val="007C01CD"/>
    <w:rsid w:val="007C0217"/>
    <w:rsid w:val="007C0249"/>
    <w:rsid w:val="007C025C"/>
    <w:rsid w:val="007C0373"/>
    <w:rsid w:val="007C0388"/>
    <w:rsid w:val="007C03F8"/>
    <w:rsid w:val="007C047D"/>
    <w:rsid w:val="007C04E1"/>
    <w:rsid w:val="007C0578"/>
    <w:rsid w:val="007C0643"/>
    <w:rsid w:val="007C0662"/>
    <w:rsid w:val="007C07C6"/>
    <w:rsid w:val="007C083B"/>
    <w:rsid w:val="007C086D"/>
    <w:rsid w:val="007C08A9"/>
    <w:rsid w:val="007C08BB"/>
    <w:rsid w:val="007C096A"/>
    <w:rsid w:val="007C0A08"/>
    <w:rsid w:val="007C0ADA"/>
    <w:rsid w:val="007C0AFA"/>
    <w:rsid w:val="007C0AFD"/>
    <w:rsid w:val="007C0B13"/>
    <w:rsid w:val="007C0C7C"/>
    <w:rsid w:val="007C0C89"/>
    <w:rsid w:val="007C0E72"/>
    <w:rsid w:val="007C0EA8"/>
    <w:rsid w:val="007C0EC8"/>
    <w:rsid w:val="007C0F05"/>
    <w:rsid w:val="007C0F18"/>
    <w:rsid w:val="007C0F7A"/>
    <w:rsid w:val="007C0FAD"/>
    <w:rsid w:val="007C0FAE"/>
    <w:rsid w:val="007C0FC9"/>
    <w:rsid w:val="007C0FD0"/>
    <w:rsid w:val="007C1028"/>
    <w:rsid w:val="007C1073"/>
    <w:rsid w:val="007C1079"/>
    <w:rsid w:val="007C10AA"/>
    <w:rsid w:val="007C10CF"/>
    <w:rsid w:val="007C1104"/>
    <w:rsid w:val="007C1176"/>
    <w:rsid w:val="007C12A9"/>
    <w:rsid w:val="007C12B0"/>
    <w:rsid w:val="007C12E0"/>
    <w:rsid w:val="007C12EC"/>
    <w:rsid w:val="007C1394"/>
    <w:rsid w:val="007C13EC"/>
    <w:rsid w:val="007C1436"/>
    <w:rsid w:val="007C1460"/>
    <w:rsid w:val="007C14A1"/>
    <w:rsid w:val="007C156E"/>
    <w:rsid w:val="007C15AF"/>
    <w:rsid w:val="007C1612"/>
    <w:rsid w:val="007C163F"/>
    <w:rsid w:val="007C1850"/>
    <w:rsid w:val="007C18CA"/>
    <w:rsid w:val="007C19EE"/>
    <w:rsid w:val="007C1A17"/>
    <w:rsid w:val="007C1ACD"/>
    <w:rsid w:val="007C1B5F"/>
    <w:rsid w:val="007C1B64"/>
    <w:rsid w:val="007C1B94"/>
    <w:rsid w:val="007C1BCD"/>
    <w:rsid w:val="007C1BD6"/>
    <w:rsid w:val="007C1CA8"/>
    <w:rsid w:val="007C1CBE"/>
    <w:rsid w:val="007C1D5D"/>
    <w:rsid w:val="007C1D63"/>
    <w:rsid w:val="007C1D7E"/>
    <w:rsid w:val="007C1DDE"/>
    <w:rsid w:val="007C1EBA"/>
    <w:rsid w:val="007C1F43"/>
    <w:rsid w:val="007C2009"/>
    <w:rsid w:val="007C2079"/>
    <w:rsid w:val="007C20D0"/>
    <w:rsid w:val="007C20F1"/>
    <w:rsid w:val="007C2150"/>
    <w:rsid w:val="007C21CD"/>
    <w:rsid w:val="007C21CE"/>
    <w:rsid w:val="007C2206"/>
    <w:rsid w:val="007C2215"/>
    <w:rsid w:val="007C2249"/>
    <w:rsid w:val="007C2318"/>
    <w:rsid w:val="007C23EE"/>
    <w:rsid w:val="007C2499"/>
    <w:rsid w:val="007C24AE"/>
    <w:rsid w:val="007C24DC"/>
    <w:rsid w:val="007C250E"/>
    <w:rsid w:val="007C2577"/>
    <w:rsid w:val="007C268E"/>
    <w:rsid w:val="007C27A1"/>
    <w:rsid w:val="007C27AE"/>
    <w:rsid w:val="007C27E2"/>
    <w:rsid w:val="007C2920"/>
    <w:rsid w:val="007C29A4"/>
    <w:rsid w:val="007C29A7"/>
    <w:rsid w:val="007C29D5"/>
    <w:rsid w:val="007C2A01"/>
    <w:rsid w:val="007C2A31"/>
    <w:rsid w:val="007C2A8B"/>
    <w:rsid w:val="007C2A97"/>
    <w:rsid w:val="007C2ACA"/>
    <w:rsid w:val="007C2BDB"/>
    <w:rsid w:val="007C2BE3"/>
    <w:rsid w:val="007C2D36"/>
    <w:rsid w:val="007C2DC7"/>
    <w:rsid w:val="007C2DDE"/>
    <w:rsid w:val="007C2E10"/>
    <w:rsid w:val="007C2E4C"/>
    <w:rsid w:val="007C2E75"/>
    <w:rsid w:val="007C2E8B"/>
    <w:rsid w:val="007C2EF8"/>
    <w:rsid w:val="007C3044"/>
    <w:rsid w:val="007C3064"/>
    <w:rsid w:val="007C30D6"/>
    <w:rsid w:val="007C30E9"/>
    <w:rsid w:val="007C31E1"/>
    <w:rsid w:val="007C31E4"/>
    <w:rsid w:val="007C320B"/>
    <w:rsid w:val="007C32FC"/>
    <w:rsid w:val="007C33AE"/>
    <w:rsid w:val="007C347C"/>
    <w:rsid w:val="007C3482"/>
    <w:rsid w:val="007C34BB"/>
    <w:rsid w:val="007C350A"/>
    <w:rsid w:val="007C3530"/>
    <w:rsid w:val="007C3551"/>
    <w:rsid w:val="007C35BB"/>
    <w:rsid w:val="007C364C"/>
    <w:rsid w:val="007C36E5"/>
    <w:rsid w:val="007C3753"/>
    <w:rsid w:val="007C3808"/>
    <w:rsid w:val="007C38E9"/>
    <w:rsid w:val="007C3913"/>
    <w:rsid w:val="007C3978"/>
    <w:rsid w:val="007C3B4D"/>
    <w:rsid w:val="007C3B5F"/>
    <w:rsid w:val="007C3B62"/>
    <w:rsid w:val="007C3CE3"/>
    <w:rsid w:val="007C3E9A"/>
    <w:rsid w:val="007C3EC8"/>
    <w:rsid w:val="007C3EF5"/>
    <w:rsid w:val="007C3F48"/>
    <w:rsid w:val="007C4003"/>
    <w:rsid w:val="007C4015"/>
    <w:rsid w:val="007C4038"/>
    <w:rsid w:val="007C4081"/>
    <w:rsid w:val="007C4172"/>
    <w:rsid w:val="007C4240"/>
    <w:rsid w:val="007C4274"/>
    <w:rsid w:val="007C43B9"/>
    <w:rsid w:val="007C4421"/>
    <w:rsid w:val="007C4450"/>
    <w:rsid w:val="007C4476"/>
    <w:rsid w:val="007C44AA"/>
    <w:rsid w:val="007C44C2"/>
    <w:rsid w:val="007C454F"/>
    <w:rsid w:val="007C4552"/>
    <w:rsid w:val="007C4569"/>
    <w:rsid w:val="007C45A4"/>
    <w:rsid w:val="007C45E1"/>
    <w:rsid w:val="007C4615"/>
    <w:rsid w:val="007C4680"/>
    <w:rsid w:val="007C4919"/>
    <w:rsid w:val="007C4973"/>
    <w:rsid w:val="007C49BC"/>
    <w:rsid w:val="007C4AAF"/>
    <w:rsid w:val="007C4C32"/>
    <w:rsid w:val="007C4C64"/>
    <w:rsid w:val="007C4CEE"/>
    <w:rsid w:val="007C4D21"/>
    <w:rsid w:val="007C4D72"/>
    <w:rsid w:val="007C4DE9"/>
    <w:rsid w:val="007C4E00"/>
    <w:rsid w:val="007C4E57"/>
    <w:rsid w:val="007C4FF1"/>
    <w:rsid w:val="007C4FF7"/>
    <w:rsid w:val="007C5165"/>
    <w:rsid w:val="007C5262"/>
    <w:rsid w:val="007C5319"/>
    <w:rsid w:val="007C5351"/>
    <w:rsid w:val="007C53DB"/>
    <w:rsid w:val="007C5517"/>
    <w:rsid w:val="007C5596"/>
    <w:rsid w:val="007C560B"/>
    <w:rsid w:val="007C56A7"/>
    <w:rsid w:val="007C56CB"/>
    <w:rsid w:val="007C576B"/>
    <w:rsid w:val="007C579D"/>
    <w:rsid w:val="007C582F"/>
    <w:rsid w:val="007C5894"/>
    <w:rsid w:val="007C58AE"/>
    <w:rsid w:val="007C5931"/>
    <w:rsid w:val="007C5955"/>
    <w:rsid w:val="007C59AD"/>
    <w:rsid w:val="007C59B1"/>
    <w:rsid w:val="007C5AEF"/>
    <w:rsid w:val="007C5B4C"/>
    <w:rsid w:val="007C5C59"/>
    <w:rsid w:val="007C5C7D"/>
    <w:rsid w:val="007C5CC0"/>
    <w:rsid w:val="007C5E31"/>
    <w:rsid w:val="007C5EB0"/>
    <w:rsid w:val="007C5ED0"/>
    <w:rsid w:val="007C5F36"/>
    <w:rsid w:val="007C5F3C"/>
    <w:rsid w:val="007C5F4F"/>
    <w:rsid w:val="007C5FBA"/>
    <w:rsid w:val="007C61C7"/>
    <w:rsid w:val="007C6242"/>
    <w:rsid w:val="007C6247"/>
    <w:rsid w:val="007C62B4"/>
    <w:rsid w:val="007C639E"/>
    <w:rsid w:val="007C63B3"/>
    <w:rsid w:val="007C63C4"/>
    <w:rsid w:val="007C640D"/>
    <w:rsid w:val="007C6426"/>
    <w:rsid w:val="007C6463"/>
    <w:rsid w:val="007C64AB"/>
    <w:rsid w:val="007C64B0"/>
    <w:rsid w:val="007C64E9"/>
    <w:rsid w:val="007C659B"/>
    <w:rsid w:val="007C6619"/>
    <w:rsid w:val="007C673A"/>
    <w:rsid w:val="007C67EE"/>
    <w:rsid w:val="007C6848"/>
    <w:rsid w:val="007C6849"/>
    <w:rsid w:val="007C68A1"/>
    <w:rsid w:val="007C68BB"/>
    <w:rsid w:val="007C6987"/>
    <w:rsid w:val="007C6A20"/>
    <w:rsid w:val="007C6A63"/>
    <w:rsid w:val="007C6A8E"/>
    <w:rsid w:val="007C6ACC"/>
    <w:rsid w:val="007C6B78"/>
    <w:rsid w:val="007C6C0F"/>
    <w:rsid w:val="007C6D5D"/>
    <w:rsid w:val="007C6D88"/>
    <w:rsid w:val="007C6DBA"/>
    <w:rsid w:val="007C6E21"/>
    <w:rsid w:val="007C6E38"/>
    <w:rsid w:val="007C6E41"/>
    <w:rsid w:val="007C6EAC"/>
    <w:rsid w:val="007C6ED7"/>
    <w:rsid w:val="007C6F15"/>
    <w:rsid w:val="007C6F19"/>
    <w:rsid w:val="007C6F52"/>
    <w:rsid w:val="007C6FC5"/>
    <w:rsid w:val="007C702F"/>
    <w:rsid w:val="007C70DB"/>
    <w:rsid w:val="007C71F9"/>
    <w:rsid w:val="007C7222"/>
    <w:rsid w:val="007C7269"/>
    <w:rsid w:val="007C72FF"/>
    <w:rsid w:val="007C7381"/>
    <w:rsid w:val="007C738A"/>
    <w:rsid w:val="007C7392"/>
    <w:rsid w:val="007C73F3"/>
    <w:rsid w:val="007C74CB"/>
    <w:rsid w:val="007C7541"/>
    <w:rsid w:val="007C759D"/>
    <w:rsid w:val="007C75AB"/>
    <w:rsid w:val="007C75F6"/>
    <w:rsid w:val="007C760B"/>
    <w:rsid w:val="007C7625"/>
    <w:rsid w:val="007C7638"/>
    <w:rsid w:val="007C7881"/>
    <w:rsid w:val="007C789F"/>
    <w:rsid w:val="007C793A"/>
    <w:rsid w:val="007C794B"/>
    <w:rsid w:val="007C7952"/>
    <w:rsid w:val="007C79DA"/>
    <w:rsid w:val="007C7B60"/>
    <w:rsid w:val="007C7BF1"/>
    <w:rsid w:val="007C7C29"/>
    <w:rsid w:val="007C7C35"/>
    <w:rsid w:val="007C7C5F"/>
    <w:rsid w:val="007C7C6B"/>
    <w:rsid w:val="007C7CDE"/>
    <w:rsid w:val="007C7CDF"/>
    <w:rsid w:val="007C7D34"/>
    <w:rsid w:val="007C7E8E"/>
    <w:rsid w:val="007C7F2F"/>
    <w:rsid w:val="007C7F81"/>
    <w:rsid w:val="007C7FF3"/>
    <w:rsid w:val="007D0003"/>
    <w:rsid w:val="007D003D"/>
    <w:rsid w:val="007D004E"/>
    <w:rsid w:val="007D009F"/>
    <w:rsid w:val="007D0155"/>
    <w:rsid w:val="007D01EE"/>
    <w:rsid w:val="007D027E"/>
    <w:rsid w:val="007D0342"/>
    <w:rsid w:val="007D0388"/>
    <w:rsid w:val="007D03DB"/>
    <w:rsid w:val="007D0418"/>
    <w:rsid w:val="007D043C"/>
    <w:rsid w:val="007D04C2"/>
    <w:rsid w:val="007D05A8"/>
    <w:rsid w:val="007D05B8"/>
    <w:rsid w:val="007D05FE"/>
    <w:rsid w:val="007D060E"/>
    <w:rsid w:val="007D062D"/>
    <w:rsid w:val="007D06A8"/>
    <w:rsid w:val="007D06F4"/>
    <w:rsid w:val="007D070F"/>
    <w:rsid w:val="007D0770"/>
    <w:rsid w:val="007D07F6"/>
    <w:rsid w:val="007D0853"/>
    <w:rsid w:val="007D08CC"/>
    <w:rsid w:val="007D09CF"/>
    <w:rsid w:val="007D09D5"/>
    <w:rsid w:val="007D09DE"/>
    <w:rsid w:val="007D09EA"/>
    <w:rsid w:val="007D0AE0"/>
    <w:rsid w:val="007D0BE2"/>
    <w:rsid w:val="007D0CAE"/>
    <w:rsid w:val="007D0D06"/>
    <w:rsid w:val="007D0D23"/>
    <w:rsid w:val="007D0EB0"/>
    <w:rsid w:val="007D0EFC"/>
    <w:rsid w:val="007D0F39"/>
    <w:rsid w:val="007D1156"/>
    <w:rsid w:val="007D1224"/>
    <w:rsid w:val="007D12FF"/>
    <w:rsid w:val="007D13E6"/>
    <w:rsid w:val="007D1406"/>
    <w:rsid w:val="007D1570"/>
    <w:rsid w:val="007D16B0"/>
    <w:rsid w:val="007D16D9"/>
    <w:rsid w:val="007D17AF"/>
    <w:rsid w:val="007D17B7"/>
    <w:rsid w:val="007D194F"/>
    <w:rsid w:val="007D1A7C"/>
    <w:rsid w:val="007D1AA6"/>
    <w:rsid w:val="007D1B38"/>
    <w:rsid w:val="007D1C2E"/>
    <w:rsid w:val="007D1D02"/>
    <w:rsid w:val="007D1D46"/>
    <w:rsid w:val="007D1D57"/>
    <w:rsid w:val="007D1F34"/>
    <w:rsid w:val="007D2005"/>
    <w:rsid w:val="007D2045"/>
    <w:rsid w:val="007D209D"/>
    <w:rsid w:val="007D20D2"/>
    <w:rsid w:val="007D20F7"/>
    <w:rsid w:val="007D215E"/>
    <w:rsid w:val="007D21C6"/>
    <w:rsid w:val="007D220D"/>
    <w:rsid w:val="007D221B"/>
    <w:rsid w:val="007D2230"/>
    <w:rsid w:val="007D231F"/>
    <w:rsid w:val="007D2342"/>
    <w:rsid w:val="007D2344"/>
    <w:rsid w:val="007D2617"/>
    <w:rsid w:val="007D263C"/>
    <w:rsid w:val="007D266C"/>
    <w:rsid w:val="007D272E"/>
    <w:rsid w:val="007D28CB"/>
    <w:rsid w:val="007D2922"/>
    <w:rsid w:val="007D2924"/>
    <w:rsid w:val="007D296B"/>
    <w:rsid w:val="007D2AFB"/>
    <w:rsid w:val="007D2B2A"/>
    <w:rsid w:val="007D2BE3"/>
    <w:rsid w:val="007D2C7C"/>
    <w:rsid w:val="007D2D2B"/>
    <w:rsid w:val="007D2DE9"/>
    <w:rsid w:val="007D2E9A"/>
    <w:rsid w:val="007D2EF3"/>
    <w:rsid w:val="007D324D"/>
    <w:rsid w:val="007D32BA"/>
    <w:rsid w:val="007D345E"/>
    <w:rsid w:val="007D3466"/>
    <w:rsid w:val="007D354F"/>
    <w:rsid w:val="007D355E"/>
    <w:rsid w:val="007D3561"/>
    <w:rsid w:val="007D3569"/>
    <w:rsid w:val="007D3584"/>
    <w:rsid w:val="007D359C"/>
    <w:rsid w:val="007D359D"/>
    <w:rsid w:val="007D368F"/>
    <w:rsid w:val="007D37C6"/>
    <w:rsid w:val="007D3857"/>
    <w:rsid w:val="007D3AC2"/>
    <w:rsid w:val="007D3B0E"/>
    <w:rsid w:val="007D3B60"/>
    <w:rsid w:val="007D3C02"/>
    <w:rsid w:val="007D3C6C"/>
    <w:rsid w:val="007D3C84"/>
    <w:rsid w:val="007D3C94"/>
    <w:rsid w:val="007D3CA1"/>
    <w:rsid w:val="007D3CDF"/>
    <w:rsid w:val="007D3CE4"/>
    <w:rsid w:val="007D3E53"/>
    <w:rsid w:val="007D3E70"/>
    <w:rsid w:val="007D3EB5"/>
    <w:rsid w:val="007D3F94"/>
    <w:rsid w:val="007D403C"/>
    <w:rsid w:val="007D40AC"/>
    <w:rsid w:val="007D40FE"/>
    <w:rsid w:val="007D41D5"/>
    <w:rsid w:val="007D4258"/>
    <w:rsid w:val="007D42E1"/>
    <w:rsid w:val="007D43E3"/>
    <w:rsid w:val="007D4435"/>
    <w:rsid w:val="007D44A6"/>
    <w:rsid w:val="007D4544"/>
    <w:rsid w:val="007D4664"/>
    <w:rsid w:val="007D46E9"/>
    <w:rsid w:val="007D477B"/>
    <w:rsid w:val="007D4798"/>
    <w:rsid w:val="007D47F0"/>
    <w:rsid w:val="007D48A6"/>
    <w:rsid w:val="007D48AC"/>
    <w:rsid w:val="007D493E"/>
    <w:rsid w:val="007D49C0"/>
    <w:rsid w:val="007D4A19"/>
    <w:rsid w:val="007D4AAC"/>
    <w:rsid w:val="007D4B6D"/>
    <w:rsid w:val="007D4C34"/>
    <w:rsid w:val="007D4C38"/>
    <w:rsid w:val="007D4C83"/>
    <w:rsid w:val="007D4EDB"/>
    <w:rsid w:val="007D4EE9"/>
    <w:rsid w:val="007D4FBA"/>
    <w:rsid w:val="007D4FD6"/>
    <w:rsid w:val="007D50D8"/>
    <w:rsid w:val="007D51F3"/>
    <w:rsid w:val="007D52CD"/>
    <w:rsid w:val="007D5328"/>
    <w:rsid w:val="007D533A"/>
    <w:rsid w:val="007D540B"/>
    <w:rsid w:val="007D5600"/>
    <w:rsid w:val="007D561C"/>
    <w:rsid w:val="007D56DF"/>
    <w:rsid w:val="007D5716"/>
    <w:rsid w:val="007D574D"/>
    <w:rsid w:val="007D581A"/>
    <w:rsid w:val="007D58D2"/>
    <w:rsid w:val="007D5909"/>
    <w:rsid w:val="007D5A53"/>
    <w:rsid w:val="007D5AF3"/>
    <w:rsid w:val="007D5B76"/>
    <w:rsid w:val="007D5BD3"/>
    <w:rsid w:val="007D5BEA"/>
    <w:rsid w:val="007D5BED"/>
    <w:rsid w:val="007D5CB9"/>
    <w:rsid w:val="007D5D6B"/>
    <w:rsid w:val="007D5D70"/>
    <w:rsid w:val="007D5E2A"/>
    <w:rsid w:val="007D5F0A"/>
    <w:rsid w:val="007D5FC9"/>
    <w:rsid w:val="007D60E1"/>
    <w:rsid w:val="007D6111"/>
    <w:rsid w:val="007D6201"/>
    <w:rsid w:val="007D6297"/>
    <w:rsid w:val="007D62A6"/>
    <w:rsid w:val="007D62F3"/>
    <w:rsid w:val="007D648C"/>
    <w:rsid w:val="007D64A7"/>
    <w:rsid w:val="007D650E"/>
    <w:rsid w:val="007D6518"/>
    <w:rsid w:val="007D6530"/>
    <w:rsid w:val="007D6565"/>
    <w:rsid w:val="007D65DD"/>
    <w:rsid w:val="007D65FC"/>
    <w:rsid w:val="007D65FF"/>
    <w:rsid w:val="007D6625"/>
    <w:rsid w:val="007D66B8"/>
    <w:rsid w:val="007D6742"/>
    <w:rsid w:val="007D677F"/>
    <w:rsid w:val="007D67C0"/>
    <w:rsid w:val="007D6808"/>
    <w:rsid w:val="007D6873"/>
    <w:rsid w:val="007D68B7"/>
    <w:rsid w:val="007D694D"/>
    <w:rsid w:val="007D69B3"/>
    <w:rsid w:val="007D6A1A"/>
    <w:rsid w:val="007D6A41"/>
    <w:rsid w:val="007D6A65"/>
    <w:rsid w:val="007D6B44"/>
    <w:rsid w:val="007D6BA7"/>
    <w:rsid w:val="007D6C44"/>
    <w:rsid w:val="007D6CDD"/>
    <w:rsid w:val="007D6D27"/>
    <w:rsid w:val="007D6E1A"/>
    <w:rsid w:val="007D6E5D"/>
    <w:rsid w:val="007D6EA7"/>
    <w:rsid w:val="007D6F71"/>
    <w:rsid w:val="007D6F72"/>
    <w:rsid w:val="007D7015"/>
    <w:rsid w:val="007D715D"/>
    <w:rsid w:val="007D71EB"/>
    <w:rsid w:val="007D7251"/>
    <w:rsid w:val="007D73F8"/>
    <w:rsid w:val="007D741E"/>
    <w:rsid w:val="007D74AA"/>
    <w:rsid w:val="007D74F2"/>
    <w:rsid w:val="007D76BC"/>
    <w:rsid w:val="007D76D6"/>
    <w:rsid w:val="007D7819"/>
    <w:rsid w:val="007D787C"/>
    <w:rsid w:val="007D78DA"/>
    <w:rsid w:val="007D7901"/>
    <w:rsid w:val="007D7A4B"/>
    <w:rsid w:val="007D7A6C"/>
    <w:rsid w:val="007D7A6E"/>
    <w:rsid w:val="007D7A99"/>
    <w:rsid w:val="007D7AD4"/>
    <w:rsid w:val="007D7C04"/>
    <w:rsid w:val="007D7D0D"/>
    <w:rsid w:val="007D7D59"/>
    <w:rsid w:val="007D7DD8"/>
    <w:rsid w:val="007D7E03"/>
    <w:rsid w:val="007D7E55"/>
    <w:rsid w:val="007D7EC2"/>
    <w:rsid w:val="007D7F76"/>
    <w:rsid w:val="007D7FB6"/>
    <w:rsid w:val="007E004E"/>
    <w:rsid w:val="007E00A7"/>
    <w:rsid w:val="007E00C9"/>
    <w:rsid w:val="007E00DB"/>
    <w:rsid w:val="007E0179"/>
    <w:rsid w:val="007E0189"/>
    <w:rsid w:val="007E022E"/>
    <w:rsid w:val="007E0233"/>
    <w:rsid w:val="007E0255"/>
    <w:rsid w:val="007E02C9"/>
    <w:rsid w:val="007E02CD"/>
    <w:rsid w:val="007E039B"/>
    <w:rsid w:val="007E03AD"/>
    <w:rsid w:val="007E0449"/>
    <w:rsid w:val="007E050A"/>
    <w:rsid w:val="007E050D"/>
    <w:rsid w:val="007E053B"/>
    <w:rsid w:val="007E0667"/>
    <w:rsid w:val="007E06B5"/>
    <w:rsid w:val="007E06E8"/>
    <w:rsid w:val="007E0776"/>
    <w:rsid w:val="007E0782"/>
    <w:rsid w:val="007E07AD"/>
    <w:rsid w:val="007E07D0"/>
    <w:rsid w:val="007E0949"/>
    <w:rsid w:val="007E09E6"/>
    <w:rsid w:val="007E0BF7"/>
    <w:rsid w:val="007E0BFF"/>
    <w:rsid w:val="007E0C3A"/>
    <w:rsid w:val="007E0C4A"/>
    <w:rsid w:val="007E0C72"/>
    <w:rsid w:val="007E0D11"/>
    <w:rsid w:val="007E0DF1"/>
    <w:rsid w:val="007E0E40"/>
    <w:rsid w:val="007E0EE3"/>
    <w:rsid w:val="007E0F14"/>
    <w:rsid w:val="007E0F18"/>
    <w:rsid w:val="007E0F19"/>
    <w:rsid w:val="007E0F23"/>
    <w:rsid w:val="007E0F27"/>
    <w:rsid w:val="007E0FCE"/>
    <w:rsid w:val="007E1074"/>
    <w:rsid w:val="007E1096"/>
    <w:rsid w:val="007E111A"/>
    <w:rsid w:val="007E11A5"/>
    <w:rsid w:val="007E1225"/>
    <w:rsid w:val="007E128C"/>
    <w:rsid w:val="007E12C3"/>
    <w:rsid w:val="007E133A"/>
    <w:rsid w:val="007E134D"/>
    <w:rsid w:val="007E14AB"/>
    <w:rsid w:val="007E1534"/>
    <w:rsid w:val="007E15C2"/>
    <w:rsid w:val="007E16BF"/>
    <w:rsid w:val="007E16C2"/>
    <w:rsid w:val="007E178E"/>
    <w:rsid w:val="007E17CF"/>
    <w:rsid w:val="007E1877"/>
    <w:rsid w:val="007E18BE"/>
    <w:rsid w:val="007E1988"/>
    <w:rsid w:val="007E19FC"/>
    <w:rsid w:val="007E1A1A"/>
    <w:rsid w:val="007E1A3D"/>
    <w:rsid w:val="007E1A96"/>
    <w:rsid w:val="007E1A98"/>
    <w:rsid w:val="007E1ABD"/>
    <w:rsid w:val="007E1B34"/>
    <w:rsid w:val="007E1B35"/>
    <w:rsid w:val="007E1C61"/>
    <w:rsid w:val="007E1CEB"/>
    <w:rsid w:val="007E1CFF"/>
    <w:rsid w:val="007E1D0B"/>
    <w:rsid w:val="007E1D5D"/>
    <w:rsid w:val="007E1D93"/>
    <w:rsid w:val="007E1E3B"/>
    <w:rsid w:val="007E1E73"/>
    <w:rsid w:val="007E1F77"/>
    <w:rsid w:val="007E1FE1"/>
    <w:rsid w:val="007E1FFE"/>
    <w:rsid w:val="007E20A8"/>
    <w:rsid w:val="007E20BD"/>
    <w:rsid w:val="007E218E"/>
    <w:rsid w:val="007E218F"/>
    <w:rsid w:val="007E21B5"/>
    <w:rsid w:val="007E22D6"/>
    <w:rsid w:val="007E230B"/>
    <w:rsid w:val="007E2359"/>
    <w:rsid w:val="007E2396"/>
    <w:rsid w:val="007E2420"/>
    <w:rsid w:val="007E24BA"/>
    <w:rsid w:val="007E24EA"/>
    <w:rsid w:val="007E2707"/>
    <w:rsid w:val="007E27A4"/>
    <w:rsid w:val="007E27CA"/>
    <w:rsid w:val="007E27E5"/>
    <w:rsid w:val="007E2861"/>
    <w:rsid w:val="007E2872"/>
    <w:rsid w:val="007E2951"/>
    <w:rsid w:val="007E2982"/>
    <w:rsid w:val="007E29E1"/>
    <w:rsid w:val="007E2B24"/>
    <w:rsid w:val="007E2B5C"/>
    <w:rsid w:val="007E2B68"/>
    <w:rsid w:val="007E2B89"/>
    <w:rsid w:val="007E2D0C"/>
    <w:rsid w:val="007E2DDA"/>
    <w:rsid w:val="007E2ECB"/>
    <w:rsid w:val="007E2EE2"/>
    <w:rsid w:val="007E2EFC"/>
    <w:rsid w:val="007E2F57"/>
    <w:rsid w:val="007E2F6E"/>
    <w:rsid w:val="007E2F91"/>
    <w:rsid w:val="007E2FC1"/>
    <w:rsid w:val="007E3041"/>
    <w:rsid w:val="007E31EC"/>
    <w:rsid w:val="007E32D8"/>
    <w:rsid w:val="007E33BB"/>
    <w:rsid w:val="007E33DB"/>
    <w:rsid w:val="007E3407"/>
    <w:rsid w:val="007E3415"/>
    <w:rsid w:val="007E343A"/>
    <w:rsid w:val="007E3499"/>
    <w:rsid w:val="007E34F8"/>
    <w:rsid w:val="007E361D"/>
    <w:rsid w:val="007E366B"/>
    <w:rsid w:val="007E36A8"/>
    <w:rsid w:val="007E3750"/>
    <w:rsid w:val="007E37B3"/>
    <w:rsid w:val="007E3888"/>
    <w:rsid w:val="007E389B"/>
    <w:rsid w:val="007E399A"/>
    <w:rsid w:val="007E39E4"/>
    <w:rsid w:val="007E3AF0"/>
    <w:rsid w:val="007E3B06"/>
    <w:rsid w:val="007E3B3C"/>
    <w:rsid w:val="007E3B61"/>
    <w:rsid w:val="007E3C29"/>
    <w:rsid w:val="007E3C5C"/>
    <w:rsid w:val="007E3D1C"/>
    <w:rsid w:val="007E3D36"/>
    <w:rsid w:val="007E3D82"/>
    <w:rsid w:val="007E3E2B"/>
    <w:rsid w:val="007E3EA9"/>
    <w:rsid w:val="007E3EBC"/>
    <w:rsid w:val="007E3F88"/>
    <w:rsid w:val="007E3FC7"/>
    <w:rsid w:val="007E4009"/>
    <w:rsid w:val="007E40B5"/>
    <w:rsid w:val="007E40D8"/>
    <w:rsid w:val="007E40DE"/>
    <w:rsid w:val="007E4152"/>
    <w:rsid w:val="007E418F"/>
    <w:rsid w:val="007E41C0"/>
    <w:rsid w:val="007E421F"/>
    <w:rsid w:val="007E427E"/>
    <w:rsid w:val="007E429E"/>
    <w:rsid w:val="007E42FE"/>
    <w:rsid w:val="007E4335"/>
    <w:rsid w:val="007E44AD"/>
    <w:rsid w:val="007E44C3"/>
    <w:rsid w:val="007E450C"/>
    <w:rsid w:val="007E4554"/>
    <w:rsid w:val="007E4742"/>
    <w:rsid w:val="007E476C"/>
    <w:rsid w:val="007E4841"/>
    <w:rsid w:val="007E485A"/>
    <w:rsid w:val="007E4872"/>
    <w:rsid w:val="007E4881"/>
    <w:rsid w:val="007E4A0B"/>
    <w:rsid w:val="007E4A26"/>
    <w:rsid w:val="007E4BF7"/>
    <w:rsid w:val="007E4C2A"/>
    <w:rsid w:val="007E4CBC"/>
    <w:rsid w:val="007E4E4C"/>
    <w:rsid w:val="007E4EA9"/>
    <w:rsid w:val="007E4F95"/>
    <w:rsid w:val="007E5143"/>
    <w:rsid w:val="007E51B9"/>
    <w:rsid w:val="007E52A9"/>
    <w:rsid w:val="007E53CA"/>
    <w:rsid w:val="007E5441"/>
    <w:rsid w:val="007E544F"/>
    <w:rsid w:val="007E5540"/>
    <w:rsid w:val="007E559E"/>
    <w:rsid w:val="007E55E1"/>
    <w:rsid w:val="007E5671"/>
    <w:rsid w:val="007E56A0"/>
    <w:rsid w:val="007E5712"/>
    <w:rsid w:val="007E5833"/>
    <w:rsid w:val="007E5863"/>
    <w:rsid w:val="007E5868"/>
    <w:rsid w:val="007E5955"/>
    <w:rsid w:val="007E596F"/>
    <w:rsid w:val="007E5992"/>
    <w:rsid w:val="007E5A83"/>
    <w:rsid w:val="007E5B15"/>
    <w:rsid w:val="007E5B91"/>
    <w:rsid w:val="007E5CC1"/>
    <w:rsid w:val="007E5CF6"/>
    <w:rsid w:val="007E5CF7"/>
    <w:rsid w:val="007E5D2B"/>
    <w:rsid w:val="007E5D2F"/>
    <w:rsid w:val="007E5D34"/>
    <w:rsid w:val="007E5D3F"/>
    <w:rsid w:val="007E5F15"/>
    <w:rsid w:val="007E5F48"/>
    <w:rsid w:val="007E5F8D"/>
    <w:rsid w:val="007E5FFA"/>
    <w:rsid w:val="007E60F8"/>
    <w:rsid w:val="007E6140"/>
    <w:rsid w:val="007E617B"/>
    <w:rsid w:val="007E61ED"/>
    <w:rsid w:val="007E6232"/>
    <w:rsid w:val="007E6234"/>
    <w:rsid w:val="007E631A"/>
    <w:rsid w:val="007E6343"/>
    <w:rsid w:val="007E636D"/>
    <w:rsid w:val="007E64C1"/>
    <w:rsid w:val="007E64FD"/>
    <w:rsid w:val="007E65BC"/>
    <w:rsid w:val="007E6631"/>
    <w:rsid w:val="007E6671"/>
    <w:rsid w:val="007E66FA"/>
    <w:rsid w:val="007E67F4"/>
    <w:rsid w:val="007E6842"/>
    <w:rsid w:val="007E688E"/>
    <w:rsid w:val="007E68A3"/>
    <w:rsid w:val="007E6940"/>
    <w:rsid w:val="007E696D"/>
    <w:rsid w:val="007E69A2"/>
    <w:rsid w:val="007E6A5E"/>
    <w:rsid w:val="007E6A86"/>
    <w:rsid w:val="007E6AEE"/>
    <w:rsid w:val="007E6B01"/>
    <w:rsid w:val="007E6B2D"/>
    <w:rsid w:val="007E6B62"/>
    <w:rsid w:val="007E6BDC"/>
    <w:rsid w:val="007E6C6E"/>
    <w:rsid w:val="007E6D64"/>
    <w:rsid w:val="007E6E2F"/>
    <w:rsid w:val="007E6E9E"/>
    <w:rsid w:val="007E6F3B"/>
    <w:rsid w:val="007E7095"/>
    <w:rsid w:val="007E7100"/>
    <w:rsid w:val="007E7128"/>
    <w:rsid w:val="007E712C"/>
    <w:rsid w:val="007E7176"/>
    <w:rsid w:val="007E724A"/>
    <w:rsid w:val="007E72EC"/>
    <w:rsid w:val="007E72ED"/>
    <w:rsid w:val="007E742F"/>
    <w:rsid w:val="007E750C"/>
    <w:rsid w:val="007E7514"/>
    <w:rsid w:val="007E751C"/>
    <w:rsid w:val="007E758C"/>
    <w:rsid w:val="007E75C5"/>
    <w:rsid w:val="007E7629"/>
    <w:rsid w:val="007E76BA"/>
    <w:rsid w:val="007E773F"/>
    <w:rsid w:val="007E785B"/>
    <w:rsid w:val="007E78F1"/>
    <w:rsid w:val="007E78FF"/>
    <w:rsid w:val="007E790F"/>
    <w:rsid w:val="007E792F"/>
    <w:rsid w:val="007E7A54"/>
    <w:rsid w:val="007E7B92"/>
    <w:rsid w:val="007E7BB9"/>
    <w:rsid w:val="007E7BDD"/>
    <w:rsid w:val="007E7CA3"/>
    <w:rsid w:val="007E7CB4"/>
    <w:rsid w:val="007E7CE9"/>
    <w:rsid w:val="007E7D51"/>
    <w:rsid w:val="007E7DD1"/>
    <w:rsid w:val="007E7DF1"/>
    <w:rsid w:val="007E7E25"/>
    <w:rsid w:val="007E7EB4"/>
    <w:rsid w:val="007E7EDD"/>
    <w:rsid w:val="007E7F04"/>
    <w:rsid w:val="007E7F05"/>
    <w:rsid w:val="007E7F12"/>
    <w:rsid w:val="007E7F29"/>
    <w:rsid w:val="007E7F5A"/>
    <w:rsid w:val="007F0003"/>
    <w:rsid w:val="007F0058"/>
    <w:rsid w:val="007F00C0"/>
    <w:rsid w:val="007F00CD"/>
    <w:rsid w:val="007F00DE"/>
    <w:rsid w:val="007F0144"/>
    <w:rsid w:val="007F024F"/>
    <w:rsid w:val="007F0271"/>
    <w:rsid w:val="007F0343"/>
    <w:rsid w:val="007F035B"/>
    <w:rsid w:val="007F0377"/>
    <w:rsid w:val="007F03CF"/>
    <w:rsid w:val="007F03E4"/>
    <w:rsid w:val="007F03F8"/>
    <w:rsid w:val="007F04D9"/>
    <w:rsid w:val="007F04E2"/>
    <w:rsid w:val="007F058E"/>
    <w:rsid w:val="007F05AB"/>
    <w:rsid w:val="007F0745"/>
    <w:rsid w:val="007F0787"/>
    <w:rsid w:val="007F08AC"/>
    <w:rsid w:val="007F0942"/>
    <w:rsid w:val="007F095B"/>
    <w:rsid w:val="007F096C"/>
    <w:rsid w:val="007F0985"/>
    <w:rsid w:val="007F09CF"/>
    <w:rsid w:val="007F0B3A"/>
    <w:rsid w:val="007F0BD8"/>
    <w:rsid w:val="007F0C23"/>
    <w:rsid w:val="007F0C32"/>
    <w:rsid w:val="007F0C6F"/>
    <w:rsid w:val="007F0CD4"/>
    <w:rsid w:val="007F0D08"/>
    <w:rsid w:val="007F0D6D"/>
    <w:rsid w:val="007F0DF3"/>
    <w:rsid w:val="007F0E11"/>
    <w:rsid w:val="007F0E47"/>
    <w:rsid w:val="007F0ED1"/>
    <w:rsid w:val="007F0F19"/>
    <w:rsid w:val="007F0F30"/>
    <w:rsid w:val="007F1022"/>
    <w:rsid w:val="007F1176"/>
    <w:rsid w:val="007F1251"/>
    <w:rsid w:val="007F1324"/>
    <w:rsid w:val="007F13C5"/>
    <w:rsid w:val="007F145E"/>
    <w:rsid w:val="007F149F"/>
    <w:rsid w:val="007F1515"/>
    <w:rsid w:val="007F15D4"/>
    <w:rsid w:val="007F15D5"/>
    <w:rsid w:val="007F1687"/>
    <w:rsid w:val="007F16F7"/>
    <w:rsid w:val="007F172C"/>
    <w:rsid w:val="007F1776"/>
    <w:rsid w:val="007F17D7"/>
    <w:rsid w:val="007F17DB"/>
    <w:rsid w:val="007F1824"/>
    <w:rsid w:val="007F18B5"/>
    <w:rsid w:val="007F1964"/>
    <w:rsid w:val="007F19EC"/>
    <w:rsid w:val="007F19FB"/>
    <w:rsid w:val="007F1A19"/>
    <w:rsid w:val="007F1A3D"/>
    <w:rsid w:val="007F1A45"/>
    <w:rsid w:val="007F1A76"/>
    <w:rsid w:val="007F1AD5"/>
    <w:rsid w:val="007F1B12"/>
    <w:rsid w:val="007F1B5B"/>
    <w:rsid w:val="007F1B96"/>
    <w:rsid w:val="007F1C6F"/>
    <w:rsid w:val="007F1C9A"/>
    <w:rsid w:val="007F1E71"/>
    <w:rsid w:val="007F1F6A"/>
    <w:rsid w:val="007F1FDD"/>
    <w:rsid w:val="007F20C6"/>
    <w:rsid w:val="007F2151"/>
    <w:rsid w:val="007F21B4"/>
    <w:rsid w:val="007F21D7"/>
    <w:rsid w:val="007F21F3"/>
    <w:rsid w:val="007F2284"/>
    <w:rsid w:val="007F22C4"/>
    <w:rsid w:val="007F2345"/>
    <w:rsid w:val="007F2369"/>
    <w:rsid w:val="007F23FA"/>
    <w:rsid w:val="007F2481"/>
    <w:rsid w:val="007F2557"/>
    <w:rsid w:val="007F255D"/>
    <w:rsid w:val="007F25D8"/>
    <w:rsid w:val="007F2632"/>
    <w:rsid w:val="007F283B"/>
    <w:rsid w:val="007F28A2"/>
    <w:rsid w:val="007F2901"/>
    <w:rsid w:val="007F294C"/>
    <w:rsid w:val="007F2A1D"/>
    <w:rsid w:val="007F2B0F"/>
    <w:rsid w:val="007F2C22"/>
    <w:rsid w:val="007F2C25"/>
    <w:rsid w:val="007F2C2B"/>
    <w:rsid w:val="007F2C30"/>
    <w:rsid w:val="007F2C84"/>
    <w:rsid w:val="007F2CBA"/>
    <w:rsid w:val="007F2CCF"/>
    <w:rsid w:val="007F2D6C"/>
    <w:rsid w:val="007F2EA6"/>
    <w:rsid w:val="007F2F34"/>
    <w:rsid w:val="007F2FD5"/>
    <w:rsid w:val="007F302E"/>
    <w:rsid w:val="007F3083"/>
    <w:rsid w:val="007F3185"/>
    <w:rsid w:val="007F32BE"/>
    <w:rsid w:val="007F32FB"/>
    <w:rsid w:val="007F3401"/>
    <w:rsid w:val="007F353C"/>
    <w:rsid w:val="007F3557"/>
    <w:rsid w:val="007F36A5"/>
    <w:rsid w:val="007F36D2"/>
    <w:rsid w:val="007F3877"/>
    <w:rsid w:val="007F395A"/>
    <w:rsid w:val="007F3ABA"/>
    <w:rsid w:val="007F3ABB"/>
    <w:rsid w:val="007F3AC2"/>
    <w:rsid w:val="007F3B4C"/>
    <w:rsid w:val="007F3D25"/>
    <w:rsid w:val="007F3D77"/>
    <w:rsid w:val="007F3DC1"/>
    <w:rsid w:val="007F3DCB"/>
    <w:rsid w:val="007F3E27"/>
    <w:rsid w:val="007F3EA2"/>
    <w:rsid w:val="007F405D"/>
    <w:rsid w:val="007F40A5"/>
    <w:rsid w:val="007F41AC"/>
    <w:rsid w:val="007F4203"/>
    <w:rsid w:val="007F4341"/>
    <w:rsid w:val="007F4342"/>
    <w:rsid w:val="007F434A"/>
    <w:rsid w:val="007F4363"/>
    <w:rsid w:val="007F440E"/>
    <w:rsid w:val="007F4529"/>
    <w:rsid w:val="007F4578"/>
    <w:rsid w:val="007F4590"/>
    <w:rsid w:val="007F4819"/>
    <w:rsid w:val="007F48B6"/>
    <w:rsid w:val="007F49BB"/>
    <w:rsid w:val="007F49EF"/>
    <w:rsid w:val="007F4A11"/>
    <w:rsid w:val="007F4A3E"/>
    <w:rsid w:val="007F4A7B"/>
    <w:rsid w:val="007F4ACF"/>
    <w:rsid w:val="007F4B65"/>
    <w:rsid w:val="007F4BD1"/>
    <w:rsid w:val="007F4C14"/>
    <w:rsid w:val="007F4CB5"/>
    <w:rsid w:val="007F4CFB"/>
    <w:rsid w:val="007F4DD0"/>
    <w:rsid w:val="007F4E0C"/>
    <w:rsid w:val="007F4E75"/>
    <w:rsid w:val="007F4F22"/>
    <w:rsid w:val="007F4F38"/>
    <w:rsid w:val="007F4F45"/>
    <w:rsid w:val="007F4F5C"/>
    <w:rsid w:val="007F5005"/>
    <w:rsid w:val="007F5129"/>
    <w:rsid w:val="007F5144"/>
    <w:rsid w:val="007F52C1"/>
    <w:rsid w:val="007F52D4"/>
    <w:rsid w:val="007F532C"/>
    <w:rsid w:val="007F53BF"/>
    <w:rsid w:val="007F53FE"/>
    <w:rsid w:val="007F540A"/>
    <w:rsid w:val="007F54C4"/>
    <w:rsid w:val="007F550A"/>
    <w:rsid w:val="007F5555"/>
    <w:rsid w:val="007F55A1"/>
    <w:rsid w:val="007F55CB"/>
    <w:rsid w:val="007F5618"/>
    <w:rsid w:val="007F5788"/>
    <w:rsid w:val="007F587E"/>
    <w:rsid w:val="007F58BD"/>
    <w:rsid w:val="007F59FB"/>
    <w:rsid w:val="007F5BD9"/>
    <w:rsid w:val="007F5BFC"/>
    <w:rsid w:val="007F5D39"/>
    <w:rsid w:val="007F5E39"/>
    <w:rsid w:val="007F5F6B"/>
    <w:rsid w:val="007F5FE3"/>
    <w:rsid w:val="007F6025"/>
    <w:rsid w:val="007F6084"/>
    <w:rsid w:val="007F6102"/>
    <w:rsid w:val="007F611F"/>
    <w:rsid w:val="007F6277"/>
    <w:rsid w:val="007F645E"/>
    <w:rsid w:val="007F64D0"/>
    <w:rsid w:val="007F6527"/>
    <w:rsid w:val="007F67AF"/>
    <w:rsid w:val="007F6881"/>
    <w:rsid w:val="007F6A3C"/>
    <w:rsid w:val="007F6ABF"/>
    <w:rsid w:val="007F6B2E"/>
    <w:rsid w:val="007F6C11"/>
    <w:rsid w:val="007F6C6D"/>
    <w:rsid w:val="007F6D28"/>
    <w:rsid w:val="007F6D67"/>
    <w:rsid w:val="007F6E46"/>
    <w:rsid w:val="007F6EF6"/>
    <w:rsid w:val="007F6F87"/>
    <w:rsid w:val="007F6F88"/>
    <w:rsid w:val="007F6FC9"/>
    <w:rsid w:val="007F704E"/>
    <w:rsid w:val="007F71BA"/>
    <w:rsid w:val="007F71E0"/>
    <w:rsid w:val="007F727A"/>
    <w:rsid w:val="007F72CD"/>
    <w:rsid w:val="007F73D5"/>
    <w:rsid w:val="007F744D"/>
    <w:rsid w:val="007F762E"/>
    <w:rsid w:val="007F76CC"/>
    <w:rsid w:val="007F77D3"/>
    <w:rsid w:val="007F77EF"/>
    <w:rsid w:val="007F78C0"/>
    <w:rsid w:val="007F78F7"/>
    <w:rsid w:val="007F7AE5"/>
    <w:rsid w:val="007F7B9A"/>
    <w:rsid w:val="007F7CDD"/>
    <w:rsid w:val="007F7D5D"/>
    <w:rsid w:val="007F7D7A"/>
    <w:rsid w:val="007F7D8F"/>
    <w:rsid w:val="007F7DA9"/>
    <w:rsid w:val="007F7DDC"/>
    <w:rsid w:val="007F7DE7"/>
    <w:rsid w:val="007F7E36"/>
    <w:rsid w:val="007F7FA3"/>
    <w:rsid w:val="007F7FE4"/>
    <w:rsid w:val="00800016"/>
    <w:rsid w:val="0080003F"/>
    <w:rsid w:val="008001C4"/>
    <w:rsid w:val="008002A5"/>
    <w:rsid w:val="00800309"/>
    <w:rsid w:val="0080035B"/>
    <w:rsid w:val="008003DF"/>
    <w:rsid w:val="008003FC"/>
    <w:rsid w:val="00800445"/>
    <w:rsid w:val="00800578"/>
    <w:rsid w:val="008005B2"/>
    <w:rsid w:val="008005B8"/>
    <w:rsid w:val="008005E6"/>
    <w:rsid w:val="0080072B"/>
    <w:rsid w:val="008008B5"/>
    <w:rsid w:val="008008C0"/>
    <w:rsid w:val="008009B1"/>
    <w:rsid w:val="00800A33"/>
    <w:rsid w:val="00800A5E"/>
    <w:rsid w:val="00800AAD"/>
    <w:rsid w:val="00800B02"/>
    <w:rsid w:val="00800B71"/>
    <w:rsid w:val="00800B79"/>
    <w:rsid w:val="00800BD3"/>
    <w:rsid w:val="00800CC1"/>
    <w:rsid w:val="00800D08"/>
    <w:rsid w:val="00800DB3"/>
    <w:rsid w:val="00800E28"/>
    <w:rsid w:val="00800E5E"/>
    <w:rsid w:val="00800F8E"/>
    <w:rsid w:val="00800FB8"/>
    <w:rsid w:val="008010A0"/>
    <w:rsid w:val="00801116"/>
    <w:rsid w:val="00801351"/>
    <w:rsid w:val="00801355"/>
    <w:rsid w:val="008013C7"/>
    <w:rsid w:val="0080140D"/>
    <w:rsid w:val="0080149A"/>
    <w:rsid w:val="00801536"/>
    <w:rsid w:val="00801699"/>
    <w:rsid w:val="008016CB"/>
    <w:rsid w:val="008016DB"/>
    <w:rsid w:val="00801703"/>
    <w:rsid w:val="008017CA"/>
    <w:rsid w:val="0080182E"/>
    <w:rsid w:val="008019A2"/>
    <w:rsid w:val="008019AE"/>
    <w:rsid w:val="008019BC"/>
    <w:rsid w:val="00801A06"/>
    <w:rsid w:val="00801AA7"/>
    <w:rsid w:val="00801B4C"/>
    <w:rsid w:val="00801B67"/>
    <w:rsid w:val="00801C9A"/>
    <w:rsid w:val="00801CA9"/>
    <w:rsid w:val="00801CB4"/>
    <w:rsid w:val="00801CE8"/>
    <w:rsid w:val="00801D32"/>
    <w:rsid w:val="00801E01"/>
    <w:rsid w:val="00801E4F"/>
    <w:rsid w:val="00801E8E"/>
    <w:rsid w:val="00801EE8"/>
    <w:rsid w:val="00801F22"/>
    <w:rsid w:val="00801F29"/>
    <w:rsid w:val="00801FC6"/>
    <w:rsid w:val="00801FDC"/>
    <w:rsid w:val="00802026"/>
    <w:rsid w:val="008020F9"/>
    <w:rsid w:val="00802101"/>
    <w:rsid w:val="0080212D"/>
    <w:rsid w:val="00802181"/>
    <w:rsid w:val="00802216"/>
    <w:rsid w:val="00802272"/>
    <w:rsid w:val="008022EF"/>
    <w:rsid w:val="0080230C"/>
    <w:rsid w:val="00802313"/>
    <w:rsid w:val="00802411"/>
    <w:rsid w:val="00802491"/>
    <w:rsid w:val="00802493"/>
    <w:rsid w:val="008024A5"/>
    <w:rsid w:val="0080265A"/>
    <w:rsid w:val="0080267F"/>
    <w:rsid w:val="0080270C"/>
    <w:rsid w:val="00802741"/>
    <w:rsid w:val="00802748"/>
    <w:rsid w:val="00802781"/>
    <w:rsid w:val="0080289F"/>
    <w:rsid w:val="00802996"/>
    <w:rsid w:val="00802AEB"/>
    <w:rsid w:val="00802CEA"/>
    <w:rsid w:val="00802D26"/>
    <w:rsid w:val="00802D48"/>
    <w:rsid w:val="00802F1C"/>
    <w:rsid w:val="00802F36"/>
    <w:rsid w:val="00802F82"/>
    <w:rsid w:val="00802FD1"/>
    <w:rsid w:val="00802FED"/>
    <w:rsid w:val="00803067"/>
    <w:rsid w:val="0080307A"/>
    <w:rsid w:val="008030AA"/>
    <w:rsid w:val="0080311F"/>
    <w:rsid w:val="00803145"/>
    <w:rsid w:val="0080316B"/>
    <w:rsid w:val="00803282"/>
    <w:rsid w:val="008032E4"/>
    <w:rsid w:val="00803366"/>
    <w:rsid w:val="008033A2"/>
    <w:rsid w:val="008033D8"/>
    <w:rsid w:val="008033F2"/>
    <w:rsid w:val="00803407"/>
    <w:rsid w:val="0080345C"/>
    <w:rsid w:val="0080346F"/>
    <w:rsid w:val="0080354F"/>
    <w:rsid w:val="0080357C"/>
    <w:rsid w:val="008035F9"/>
    <w:rsid w:val="008036A3"/>
    <w:rsid w:val="008036CD"/>
    <w:rsid w:val="0080377F"/>
    <w:rsid w:val="00803824"/>
    <w:rsid w:val="00803863"/>
    <w:rsid w:val="00803897"/>
    <w:rsid w:val="008038CF"/>
    <w:rsid w:val="008039F2"/>
    <w:rsid w:val="00803BBA"/>
    <w:rsid w:val="00803C26"/>
    <w:rsid w:val="00803D0C"/>
    <w:rsid w:val="00803D57"/>
    <w:rsid w:val="00803E0E"/>
    <w:rsid w:val="00803E30"/>
    <w:rsid w:val="00803F1D"/>
    <w:rsid w:val="00803F31"/>
    <w:rsid w:val="00803FE9"/>
    <w:rsid w:val="00804082"/>
    <w:rsid w:val="008041CD"/>
    <w:rsid w:val="0080423C"/>
    <w:rsid w:val="008042AC"/>
    <w:rsid w:val="00804377"/>
    <w:rsid w:val="0080439E"/>
    <w:rsid w:val="0080443A"/>
    <w:rsid w:val="008044C6"/>
    <w:rsid w:val="0080461F"/>
    <w:rsid w:val="00804663"/>
    <w:rsid w:val="00804675"/>
    <w:rsid w:val="008046D3"/>
    <w:rsid w:val="00804931"/>
    <w:rsid w:val="00804976"/>
    <w:rsid w:val="00804AFF"/>
    <w:rsid w:val="00804B00"/>
    <w:rsid w:val="00804BDA"/>
    <w:rsid w:val="00804BE4"/>
    <w:rsid w:val="00804BE8"/>
    <w:rsid w:val="00804C28"/>
    <w:rsid w:val="00804CD1"/>
    <w:rsid w:val="00804CFB"/>
    <w:rsid w:val="00804CFE"/>
    <w:rsid w:val="00804D9D"/>
    <w:rsid w:val="00804DC6"/>
    <w:rsid w:val="00804E6C"/>
    <w:rsid w:val="00804E9A"/>
    <w:rsid w:val="00804FB3"/>
    <w:rsid w:val="00805012"/>
    <w:rsid w:val="0080521F"/>
    <w:rsid w:val="0080523A"/>
    <w:rsid w:val="0080528C"/>
    <w:rsid w:val="008052DB"/>
    <w:rsid w:val="008053F0"/>
    <w:rsid w:val="008053F7"/>
    <w:rsid w:val="0080549E"/>
    <w:rsid w:val="00805517"/>
    <w:rsid w:val="0080554E"/>
    <w:rsid w:val="00805588"/>
    <w:rsid w:val="0080564B"/>
    <w:rsid w:val="00805736"/>
    <w:rsid w:val="00805740"/>
    <w:rsid w:val="00805751"/>
    <w:rsid w:val="00805752"/>
    <w:rsid w:val="0080575F"/>
    <w:rsid w:val="00805761"/>
    <w:rsid w:val="008057C3"/>
    <w:rsid w:val="008057DA"/>
    <w:rsid w:val="0080582D"/>
    <w:rsid w:val="0080587F"/>
    <w:rsid w:val="008058EC"/>
    <w:rsid w:val="00805967"/>
    <w:rsid w:val="008059D9"/>
    <w:rsid w:val="00805A31"/>
    <w:rsid w:val="00805AE4"/>
    <w:rsid w:val="00805B16"/>
    <w:rsid w:val="00805BD3"/>
    <w:rsid w:val="00805CE9"/>
    <w:rsid w:val="00805D19"/>
    <w:rsid w:val="00805D48"/>
    <w:rsid w:val="00805E67"/>
    <w:rsid w:val="00805EB0"/>
    <w:rsid w:val="00805EC3"/>
    <w:rsid w:val="00805FB4"/>
    <w:rsid w:val="0080616D"/>
    <w:rsid w:val="0080617D"/>
    <w:rsid w:val="00806230"/>
    <w:rsid w:val="0080630E"/>
    <w:rsid w:val="00806346"/>
    <w:rsid w:val="00806377"/>
    <w:rsid w:val="00806418"/>
    <w:rsid w:val="00806423"/>
    <w:rsid w:val="0080645F"/>
    <w:rsid w:val="008064A7"/>
    <w:rsid w:val="008064BF"/>
    <w:rsid w:val="0080651C"/>
    <w:rsid w:val="00806535"/>
    <w:rsid w:val="0080657F"/>
    <w:rsid w:val="008065BB"/>
    <w:rsid w:val="008066D4"/>
    <w:rsid w:val="0080674B"/>
    <w:rsid w:val="00806773"/>
    <w:rsid w:val="00806794"/>
    <w:rsid w:val="00806858"/>
    <w:rsid w:val="0080693C"/>
    <w:rsid w:val="00806A21"/>
    <w:rsid w:val="00806A33"/>
    <w:rsid w:val="00806A3B"/>
    <w:rsid w:val="00806ACF"/>
    <w:rsid w:val="00806B36"/>
    <w:rsid w:val="00806B8A"/>
    <w:rsid w:val="00806BC2"/>
    <w:rsid w:val="00806CDD"/>
    <w:rsid w:val="00806D81"/>
    <w:rsid w:val="00806DD7"/>
    <w:rsid w:val="00806E98"/>
    <w:rsid w:val="00806ED3"/>
    <w:rsid w:val="00806F20"/>
    <w:rsid w:val="00806F6C"/>
    <w:rsid w:val="00806F77"/>
    <w:rsid w:val="00807083"/>
    <w:rsid w:val="00807088"/>
    <w:rsid w:val="008070AF"/>
    <w:rsid w:val="0080710F"/>
    <w:rsid w:val="008072A9"/>
    <w:rsid w:val="0080743E"/>
    <w:rsid w:val="00807450"/>
    <w:rsid w:val="008074D5"/>
    <w:rsid w:val="00807500"/>
    <w:rsid w:val="00807535"/>
    <w:rsid w:val="008075EC"/>
    <w:rsid w:val="00807627"/>
    <w:rsid w:val="008077C3"/>
    <w:rsid w:val="00807820"/>
    <w:rsid w:val="008078FA"/>
    <w:rsid w:val="00807942"/>
    <w:rsid w:val="008079CE"/>
    <w:rsid w:val="00807A3F"/>
    <w:rsid w:val="00807A68"/>
    <w:rsid w:val="00807B0F"/>
    <w:rsid w:val="00807BC1"/>
    <w:rsid w:val="00807C53"/>
    <w:rsid w:val="00807CBE"/>
    <w:rsid w:val="00807CF6"/>
    <w:rsid w:val="00807E55"/>
    <w:rsid w:val="00807EB1"/>
    <w:rsid w:val="00807EDA"/>
    <w:rsid w:val="00807EE2"/>
    <w:rsid w:val="00807F73"/>
    <w:rsid w:val="00810023"/>
    <w:rsid w:val="0081002F"/>
    <w:rsid w:val="00810072"/>
    <w:rsid w:val="008100B4"/>
    <w:rsid w:val="00810160"/>
    <w:rsid w:val="00810172"/>
    <w:rsid w:val="00810233"/>
    <w:rsid w:val="00810275"/>
    <w:rsid w:val="008102AE"/>
    <w:rsid w:val="008102D9"/>
    <w:rsid w:val="008102F5"/>
    <w:rsid w:val="00810327"/>
    <w:rsid w:val="00810346"/>
    <w:rsid w:val="00810385"/>
    <w:rsid w:val="00810394"/>
    <w:rsid w:val="008104B6"/>
    <w:rsid w:val="00810584"/>
    <w:rsid w:val="0081076A"/>
    <w:rsid w:val="008107AD"/>
    <w:rsid w:val="00810873"/>
    <w:rsid w:val="00810915"/>
    <w:rsid w:val="0081094E"/>
    <w:rsid w:val="008109A2"/>
    <w:rsid w:val="008109DC"/>
    <w:rsid w:val="00810AAC"/>
    <w:rsid w:val="00810AAF"/>
    <w:rsid w:val="00810B19"/>
    <w:rsid w:val="00810B73"/>
    <w:rsid w:val="00810C55"/>
    <w:rsid w:val="00810D18"/>
    <w:rsid w:val="00810D1D"/>
    <w:rsid w:val="00810D3E"/>
    <w:rsid w:val="00810D9A"/>
    <w:rsid w:val="00810DA6"/>
    <w:rsid w:val="00810E14"/>
    <w:rsid w:val="00810E2A"/>
    <w:rsid w:val="00810E40"/>
    <w:rsid w:val="00810E52"/>
    <w:rsid w:val="00810E5D"/>
    <w:rsid w:val="00810F84"/>
    <w:rsid w:val="00810FA4"/>
    <w:rsid w:val="008110A4"/>
    <w:rsid w:val="00811119"/>
    <w:rsid w:val="00811145"/>
    <w:rsid w:val="00811190"/>
    <w:rsid w:val="00811193"/>
    <w:rsid w:val="008111CB"/>
    <w:rsid w:val="008112B1"/>
    <w:rsid w:val="00811398"/>
    <w:rsid w:val="008113B3"/>
    <w:rsid w:val="008113DF"/>
    <w:rsid w:val="008114D5"/>
    <w:rsid w:val="008115F6"/>
    <w:rsid w:val="00811606"/>
    <w:rsid w:val="00811656"/>
    <w:rsid w:val="00811741"/>
    <w:rsid w:val="008117FC"/>
    <w:rsid w:val="00811827"/>
    <w:rsid w:val="0081193A"/>
    <w:rsid w:val="0081198D"/>
    <w:rsid w:val="008119FB"/>
    <w:rsid w:val="00811A93"/>
    <w:rsid w:val="00811B2F"/>
    <w:rsid w:val="00811C02"/>
    <w:rsid w:val="00811C0D"/>
    <w:rsid w:val="00811C3C"/>
    <w:rsid w:val="00811C4A"/>
    <w:rsid w:val="00811CD9"/>
    <w:rsid w:val="00811D42"/>
    <w:rsid w:val="00811D7F"/>
    <w:rsid w:val="00811DFE"/>
    <w:rsid w:val="00811F2E"/>
    <w:rsid w:val="00811F85"/>
    <w:rsid w:val="00811FCA"/>
    <w:rsid w:val="00812044"/>
    <w:rsid w:val="008120A3"/>
    <w:rsid w:val="0081211E"/>
    <w:rsid w:val="008121F7"/>
    <w:rsid w:val="00812297"/>
    <w:rsid w:val="008122F3"/>
    <w:rsid w:val="00812303"/>
    <w:rsid w:val="00812316"/>
    <w:rsid w:val="00812339"/>
    <w:rsid w:val="008125D0"/>
    <w:rsid w:val="00812965"/>
    <w:rsid w:val="00812A7B"/>
    <w:rsid w:val="00812B1E"/>
    <w:rsid w:val="00812B3C"/>
    <w:rsid w:val="00812B68"/>
    <w:rsid w:val="00812BA2"/>
    <w:rsid w:val="00812C6B"/>
    <w:rsid w:val="00812D6C"/>
    <w:rsid w:val="00812D97"/>
    <w:rsid w:val="00812E15"/>
    <w:rsid w:val="00812E49"/>
    <w:rsid w:val="00812E56"/>
    <w:rsid w:val="00812F47"/>
    <w:rsid w:val="00812F4B"/>
    <w:rsid w:val="00812F4F"/>
    <w:rsid w:val="00812F69"/>
    <w:rsid w:val="00812F76"/>
    <w:rsid w:val="00813008"/>
    <w:rsid w:val="0081303D"/>
    <w:rsid w:val="0081303F"/>
    <w:rsid w:val="008131DC"/>
    <w:rsid w:val="0081327C"/>
    <w:rsid w:val="00813287"/>
    <w:rsid w:val="0081336D"/>
    <w:rsid w:val="00813390"/>
    <w:rsid w:val="00813498"/>
    <w:rsid w:val="008134B5"/>
    <w:rsid w:val="008134C7"/>
    <w:rsid w:val="008134D2"/>
    <w:rsid w:val="008135F0"/>
    <w:rsid w:val="00813715"/>
    <w:rsid w:val="008138DF"/>
    <w:rsid w:val="008138E5"/>
    <w:rsid w:val="008138FC"/>
    <w:rsid w:val="008139E1"/>
    <w:rsid w:val="00813A72"/>
    <w:rsid w:val="00813A93"/>
    <w:rsid w:val="00813AF9"/>
    <w:rsid w:val="00813B1B"/>
    <w:rsid w:val="00813BE3"/>
    <w:rsid w:val="00813CF0"/>
    <w:rsid w:val="00813D7D"/>
    <w:rsid w:val="00813DC3"/>
    <w:rsid w:val="00813E3C"/>
    <w:rsid w:val="00813ECE"/>
    <w:rsid w:val="00813F9A"/>
    <w:rsid w:val="00814050"/>
    <w:rsid w:val="00814077"/>
    <w:rsid w:val="0081411E"/>
    <w:rsid w:val="00814168"/>
    <w:rsid w:val="008141E3"/>
    <w:rsid w:val="00814208"/>
    <w:rsid w:val="0081437E"/>
    <w:rsid w:val="008143B1"/>
    <w:rsid w:val="008143C8"/>
    <w:rsid w:val="0081453E"/>
    <w:rsid w:val="008145CD"/>
    <w:rsid w:val="008145E1"/>
    <w:rsid w:val="008145E9"/>
    <w:rsid w:val="008145FB"/>
    <w:rsid w:val="00814638"/>
    <w:rsid w:val="00814698"/>
    <w:rsid w:val="00814776"/>
    <w:rsid w:val="00814894"/>
    <w:rsid w:val="008148D0"/>
    <w:rsid w:val="0081494A"/>
    <w:rsid w:val="0081496B"/>
    <w:rsid w:val="008149E2"/>
    <w:rsid w:val="00814A27"/>
    <w:rsid w:val="00814A4E"/>
    <w:rsid w:val="00814B34"/>
    <w:rsid w:val="00814B39"/>
    <w:rsid w:val="00814B5C"/>
    <w:rsid w:val="00814B8D"/>
    <w:rsid w:val="00814BC0"/>
    <w:rsid w:val="00814BD3"/>
    <w:rsid w:val="00814C68"/>
    <w:rsid w:val="00814C9C"/>
    <w:rsid w:val="00814D72"/>
    <w:rsid w:val="00814D8D"/>
    <w:rsid w:val="00814E8A"/>
    <w:rsid w:val="00814EE5"/>
    <w:rsid w:val="0081523E"/>
    <w:rsid w:val="0081534B"/>
    <w:rsid w:val="008153D8"/>
    <w:rsid w:val="0081554B"/>
    <w:rsid w:val="00815562"/>
    <w:rsid w:val="0081556C"/>
    <w:rsid w:val="008155FF"/>
    <w:rsid w:val="00815636"/>
    <w:rsid w:val="0081587B"/>
    <w:rsid w:val="00815899"/>
    <w:rsid w:val="00815938"/>
    <w:rsid w:val="0081598E"/>
    <w:rsid w:val="00815A2F"/>
    <w:rsid w:val="00815A47"/>
    <w:rsid w:val="00815A6F"/>
    <w:rsid w:val="00815AA6"/>
    <w:rsid w:val="00815B93"/>
    <w:rsid w:val="00815C9F"/>
    <w:rsid w:val="00815D00"/>
    <w:rsid w:val="00815E6F"/>
    <w:rsid w:val="00815EA7"/>
    <w:rsid w:val="00815F58"/>
    <w:rsid w:val="00815F5D"/>
    <w:rsid w:val="00816029"/>
    <w:rsid w:val="0081603C"/>
    <w:rsid w:val="0081607D"/>
    <w:rsid w:val="0081609F"/>
    <w:rsid w:val="008160E2"/>
    <w:rsid w:val="0081614A"/>
    <w:rsid w:val="00816157"/>
    <w:rsid w:val="0081620D"/>
    <w:rsid w:val="00816285"/>
    <w:rsid w:val="0081629D"/>
    <w:rsid w:val="00816309"/>
    <w:rsid w:val="008163AC"/>
    <w:rsid w:val="008163C2"/>
    <w:rsid w:val="008163FC"/>
    <w:rsid w:val="00816499"/>
    <w:rsid w:val="008164D0"/>
    <w:rsid w:val="008165A5"/>
    <w:rsid w:val="008165E7"/>
    <w:rsid w:val="008167F3"/>
    <w:rsid w:val="00816812"/>
    <w:rsid w:val="008168B1"/>
    <w:rsid w:val="008168D9"/>
    <w:rsid w:val="008168EA"/>
    <w:rsid w:val="00816960"/>
    <w:rsid w:val="00816B26"/>
    <w:rsid w:val="00816B2C"/>
    <w:rsid w:val="00816C05"/>
    <w:rsid w:val="00816C27"/>
    <w:rsid w:val="00816C3C"/>
    <w:rsid w:val="00816D12"/>
    <w:rsid w:val="00816D66"/>
    <w:rsid w:val="00816ECE"/>
    <w:rsid w:val="00816ED6"/>
    <w:rsid w:val="00816F37"/>
    <w:rsid w:val="00816F4E"/>
    <w:rsid w:val="00816FEF"/>
    <w:rsid w:val="0081704E"/>
    <w:rsid w:val="00817063"/>
    <w:rsid w:val="00817071"/>
    <w:rsid w:val="0081716A"/>
    <w:rsid w:val="00817209"/>
    <w:rsid w:val="00817238"/>
    <w:rsid w:val="00817258"/>
    <w:rsid w:val="00817282"/>
    <w:rsid w:val="0081731D"/>
    <w:rsid w:val="00817337"/>
    <w:rsid w:val="0081739A"/>
    <w:rsid w:val="008173B2"/>
    <w:rsid w:val="00817406"/>
    <w:rsid w:val="0081741F"/>
    <w:rsid w:val="00817454"/>
    <w:rsid w:val="008174C1"/>
    <w:rsid w:val="008174FC"/>
    <w:rsid w:val="00817582"/>
    <w:rsid w:val="00817596"/>
    <w:rsid w:val="00817669"/>
    <w:rsid w:val="008177C5"/>
    <w:rsid w:val="008177D8"/>
    <w:rsid w:val="00817836"/>
    <w:rsid w:val="008178A4"/>
    <w:rsid w:val="008178B8"/>
    <w:rsid w:val="008178CE"/>
    <w:rsid w:val="0081793A"/>
    <w:rsid w:val="0081798B"/>
    <w:rsid w:val="008179D1"/>
    <w:rsid w:val="008179F3"/>
    <w:rsid w:val="00817A08"/>
    <w:rsid w:val="00817A1B"/>
    <w:rsid w:val="00817A8A"/>
    <w:rsid w:val="00817B94"/>
    <w:rsid w:val="00817BE5"/>
    <w:rsid w:val="00817C3A"/>
    <w:rsid w:val="00817C85"/>
    <w:rsid w:val="00817C96"/>
    <w:rsid w:val="00817CDD"/>
    <w:rsid w:val="00817E42"/>
    <w:rsid w:val="00817E5A"/>
    <w:rsid w:val="00817E68"/>
    <w:rsid w:val="00817F16"/>
    <w:rsid w:val="008200A3"/>
    <w:rsid w:val="00820188"/>
    <w:rsid w:val="00820213"/>
    <w:rsid w:val="00820280"/>
    <w:rsid w:val="008202BD"/>
    <w:rsid w:val="008202F6"/>
    <w:rsid w:val="008203EA"/>
    <w:rsid w:val="00820444"/>
    <w:rsid w:val="00820464"/>
    <w:rsid w:val="008204BF"/>
    <w:rsid w:val="008204F0"/>
    <w:rsid w:val="00820545"/>
    <w:rsid w:val="0082059B"/>
    <w:rsid w:val="00820655"/>
    <w:rsid w:val="00820683"/>
    <w:rsid w:val="00820754"/>
    <w:rsid w:val="008208AE"/>
    <w:rsid w:val="008209D8"/>
    <w:rsid w:val="00820A1A"/>
    <w:rsid w:val="00820AE0"/>
    <w:rsid w:val="00820BAB"/>
    <w:rsid w:val="00820BD3"/>
    <w:rsid w:val="00820BFE"/>
    <w:rsid w:val="00820CF0"/>
    <w:rsid w:val="00820CFA"/>
    <w:rsid w:val="00820D0C"/>
    <w:rsid w:val="00820D38"/>
    <w:rsid w:val="00820D3D"/>
    <w:rsid w:val="00820ED6"/>
    <w:rsid w:val="00820F26"/>
    <w:rsid w:val="00820F7B"/>
    <w:rsid w:val="008211AD"/>
    <w:rsid w:val="008211CF"/>
    <w:rsid w:val="00821230"/>
    <w:rsid w:val="0082123A"/>
    <w:rsid w:val="00821240"/>
    <w:rsid w:val="008212B8"/>
    <w:rsid w:val="008212E8"/>
    <w:rsid w:val="00821461"/>
    <w:rsid w:val="008214BE"/>
    <w:rsid w:val="00821573"/>
    <w:rsid w:val="00821984"/>
    <w:rsid w:val="00821B89"/>
    <w:rsid w:val="00821BDC"/>
    <w:rsid w:val="00821C49"/>
    <w:rsid w:val="00821C53"/>
    <w:rsid w:val="00821CA7"/>
    <w:rsid w:val="00821DA2"/>
    <w:rsid w:val="00821DC6"/>
    <w:rsid w:val="00821F11"/>
    <w:rsid w:val="00821FAD"/>
    <w:rsid w:val="00821FFC"/>
    <w:rsid w:val="008220AC"/>
    <w:rsid w:val="008220B1"/>
    <w:rsid w:val="00822136"/>
    <w:rsid w:val="00822156"/>
    <w:rsid w:val="0082226E"/>
    <w:rsid w:val="0082230A"/>
    <w:rsid w:val="00822453"/>
    <w:rsid w:val="0082247E"/>
    <w:rsid w:val="00822521"/>
    <w:rsid w:val="008225B1"/>
    <w:rsid w:val="00822634"/>
    <w:rsid w:val="00822815"/>
    <w:rsid w:val="00822848"/>
    <w:rsid w:val="00822991"/>
    <w:rsid w:val="008229E1"/>
    <w:rsid w:val="00822A7F"/>
    <w:rsid w:val="00822AB9"/>
    <w:rsid w:val="00822B12"/>
    <w:rsid w:val="00822C19"/>
    <w:rsid w:val="00822CD2"/>
    <w:rsid w:val="00822CF9"/>
    <w:rsid w:val="00822E41"/>
    <w:rsid w:val="00822EA1"/>
    <w:rsid w:val="00822F0B"/>
    <w:rsid w:val="00822F2B"/>
    <w:rsid w:val="00822F30"/>
    <w:rsid w:val="00822FC1"/>
    <w:rsid w:val="00822FDC"/>
    <w:rsid w:val="008230D8"/>
    <w:rsid w:val="00823521"/>
    <w:rsid w:val="00823534"/>
    <w:rsid w:val="008235C4"/>
    <w:rsid w:val="00823609"/>
    <w:rsid w:val="0082375C"/>
    <w:rsid w:val="0082379D"/>
    <w:rsid w:val="008237FC"/>
    <w:rsid w:val="00823828"/>
    <w:rsid w:val="00823842"/>
    <w:rsid w:val="0082386A"/>
    <w:rsid w:val="00823935"/>
    <w:rsid w:val="0082395C"/>
    <w:rsid w:val="008239DC"/>
    <w:rsid w:val="00823A19"/>
    <w:rsid w:val="00823AC0"/>
    <w:rsid w:val="00823ADB"/>
    <w:rsid w:val="00823B2D"/>
    <w:rsid w:val="00823B41"/>
    <w:rsid w:val="00823BF5"/>
    <w:rsid w:val="00823C59"/>
    <w:rsid w:val="00823CA8"/>
    <w:rsid w:val="00823CB5"/>
    <w:rsid w:val="00823CF0"/>
    <w:rsid w:val="00823D5D"/>
    <w:rsid w:val="00823E99"/>
    <w:rsid w:val="00823F61"/>
    <w:rsid w:val="00824136"/>
    <w:rsid w:val="008241E4"/>
    <w:rsid w:val="00824245"/>
    <w:rsid w:val="008242A2"/>
    <w:rsid w:val="008242AF"/>
    <w:rsid w:val="008242C5"/>
    <w:rsid w:val="008243FE"/>
    <w:rsid w:val="00824440"/>
    <w:rsid w:val="0082445D"/>
    <w:rsid w:val="0082449E"/>
    <w:rsid w:val="00824517"/>
    <w:rsid w:val="0082471D"/>
    <w:rsid w:val="00824779"/>
    <w:rsid w:val="00824787"/>
    <w:rsid w:val="008247A4"/>
    <w:rsid w:val="0082483D"/>
    <w:rsid w:val="00824890"/>
    <w:rsid w:val="0082494C"/>
    <w:rsid w:val="008249F3"/>
    <w:rsid w:val="00824A88"/>
    <w:rsid w:val="00824B20"/>
    <w:rsid w:val="00824B23"/>
    <w:rsid w:val="00824B8D"/>
    <w:rsid w:val="00824C35"/>
    <w:rsid w:val="00824F04"/>
    <w:rsid w:val="00824F47"/>
    <w:rsid w:val="00824F5F"/>
    <w:rsid w:val="00824F9C"/>
    <w:rsid w:val="00824FAC"/>
    <w:rsid w:val="00824FDB"/>
    <w:rsid w:val="00825083"/>
    <w:rsid w:val="008250BE"/>
    <w:rsid w:val="0082510D"/>
    <w:rsid w:val="00825114"/>
    <w:rsid w:val="00825143"/>
    <w:rsid w:val="00825144"/>
    <w:rsid w:val="0082515F"/>
    <w:rsid w:val="008251EA"/>
    <w:rsid w:val="00825254"/>
    <w:rsid w:val="008252EB"/>
    <w:rsid w:val="008253E3"/>
    <w:rsid w:val="00825505"/>
    <w:rsid w:val="00825631"/>
    <w:rsid w:val="008256CA"/>
    <w:rsid w:val="008256EF"/>
    <w:rsid w:val="00825798"/>
    <w:rsid w:val="0082579B"/>
    <w:rsid w:val="00825809"/>
    <w:rsid w:val="008258F0"/>
    <w:rsid w:val="00825904"/>
    <w:rsid w:val="008259A7"/>
    <w:rsid w:val="00825A83"/>
    <w:rsid w:val="00825B27"/>
    <w:rsid w:val="00825B6A"/>
    <w:rsid w:val="00825DB3"/>
    <w:rsid w:val="00825DC2"/>
    <w:rsid w:val="00825E2D"/>
    <w:rsid w:val="00825E54"/>
    <w:rsid w:val="00825E8B"/>
    <w:rsid w:val="00825F3F"/>
    <w:rsid w:val="00825F92"/>
    <w:rsid w:val="00826013"/>
    <w:rsid w:val="00826120"/>
    <w:rsid w:val="008261B2"/>
    <w:rsid w:val="00826270"/>
    <w:rsid w:val="0082630A"/>
    <w:rsid w:val="00826334"/>
    <w:rsid w:val="008263C1"/>
    <w:rsid w:val="00826523"/>
    <w:rsid w:val="0082662B"/>
    <w:rsid w:val="00826656"/>
    <w:rsid w:val="008267B2"/>
    <w:rsid w:val="008267CE"/>
    <w:rsid w:val="008267DE"/>
    <w:rsid w:val="00826924"/>
    <w:rsid w:val="00826970"/>
    <w:rsid w:val="00826995"/>
    <w:rsid w:val="00826A98"/>
    <w:rsid w:val="00826B10"/>
    <w:rsid w:val="00826B4E"/>
    <w:rsid w:val="00826B9E"/>
    <w:rsid w:val="00826BCC"/>
    <w:rsid w:val="00826C3B"/>
    <w:rsid w:val="00826CB1"/>
    <w:rsid w:val="00826CFE"/>
    <w:rsid w:val="00826DA9"/>
    <w:rsid w:val="00826DBC"/>
    <w:rsid w:val="00826DC2"/>
    <w:rsid w:val="00826E38"/>
    <w:rsid w:val="00826F66"/>
    <w:rsid w:val="00826F9D"/>
    <w:rsid w:val="00826FBD"/>
    <w:rsid w:val="00827010"/>
    <w:rsid w:val="00827028"/>
    <w:rsid w:val="008271C4"/>
    <w:rsid w:val="008271CB"/>
    <w:rsid w:val="00827222"/>
    <w:rsid w:val="00827282"/>
    <w:rsid w:val="008273CE"/>
    <w:rsid w:val="0082741B"/>
    <w:rsid w:val="00827476"/>
    <w:rsid w:val="008274E8"/>
    <w:rsid w:val="00827535"/>
    <w:rsid w:val="00827552"/>
    <w:rsid w:val="0082755C"/>
    <w:rsid w:val="00827584"/>
    <w:rsid w:val="00827591"/>
    <w:rsid w:val="008275CF"/>
    <w:rsid w:val="008275F7"/>
    <w:rsid w:val="008276FA"/>
    <w:rsid w:val="00827792"/>
    <w:rsid w:val="008277C9"/>
    <w:rsid w:val="008277E8"/>
    <w:rsid w:val="00827806"/>
    <w:rsid w:val="00827833"/>
    <w:rsid w:val="0082783F"/>
    <w:rsid w:val="00827887"/>
    <w:rsid w:val="008278BF"/>
    <w:rsid w:val="008278D3"/>
    <w:rsid w:val="00827932"/>
    <w:rsid w:val="00827981"/>
    <w:rsid w:val="008279A6"/>
    <w:rsid w:val="008279F1"/>
    <w:rsid w:val="00827AB2"/>
    <w:rsid w:val="00827B08"/>
    <w:rsid w:val="00827B93"/>
    <w:rsid w:val="00827BC9"/>
    <w:rsid w:val="00827C6E"/>
    <w:rsid w:val="00827C88"/>
    <w:rsid w:val="00827CDB"/>
    <w:rsid w:val="00827D0E"/>
    <w:rsid w:val="00827D11"/>
    <w:rsid w:val="00827D4A"/>
    <w:rsid w:val="00827D98"/>
    <w:rsid w:val="00827E0F"/>
    <w:rsid w:val="00827E2E"/>
    <w:rsid w:val="00827E82"/>
    <w:rsid w:val="00827F19"/>
    <w:rsid w:val="00827FA6"/>
    <w:rsid w:val="008300C0"/>
    <w:rsid w:val="0083020D"/>
    <w:rsid w:val="00830250"/>
    <w:rsid w:val="008302B2"/>
    <w:rsid w:val="008302DE"/>
    <w:rsid w:val="0083034A"/>
    <w:rsid w:val="0083036A"/>
    <w:rsid w:val="00830528"/>
    <w:rsid w:val="00830634"/>
    <w:rsid w:val="00830659"/>
    <w:rsid w:val="0083068F"/>
    <w:rsid w:val="00830694"/>
    <w:rsid w:val="008306BC"/>
    <w:rsid w:val="00830703"/>
    <w:rsid w:val="0083085B"/>
    <w:rsid w:val="0083092B"/>
    <w:rsid w:val="00830939"/>
    <w:rsid w:val="008309AA"/>
    <w:rsid w:val="008309AF"/>
    <w:rsid w:val="00830A2B"/>
    <w:rsid w:val="00830AA7"/>
    <w:rsid w:val="00830AD3"/>
    <w:rsid w:val="00830AE7"/>
    <w:rsid w:val="00830B29"/>
    <w:rsid w:val="00830B75"/>
    <w:rsid w:val="00830B93"/>
    <w:rsid w:val="00830BDA"/>
    <w:rsid w:val="00830C8C"/>
    <w:rsid w:val="00830D51"/>
    <w:rsid w:val="00830D74"/>
    <w:rsid w:val="00830D8E"/>
    <w:rsid w:val="00830E06"/>
    <w:rsid w:val="00830E11"/>
    <w:rsid w:val="00830F63"/>
    <w:rsid w:val="00830FA7"/>
    <w:rsid w:val="00830FBF"/>
    <w:rsid w:val="00831003"/>
    <w:rsid w:val="00831052"/>
    <w:rsid w:val="00831154"/>
    <w:rsid w:val="008311BA"/>
    <w:rsid w:val="008312AE"/>
    <w:rsid w:val="0083132F"/>
    <w:rsid w:val="0083136A"/>
    <w:rsid w:val="008313B1"/>
    <w:rsid w:val="0083142E"/>
    <w:rsid w:val="0083169F"/>
    <w:rsid w:val="008316B0"/>
    <w:rsid w:val="008316CF"/>
    <w:rsid w:val="008316D2"/>
    <w:rsid w:val="008317FF"/>
    <w:rsid w:val="00831859"/>
    <w:rsid w:val="008319D9"/>
    <w:rsid w:val="008319FA"/>
    <w:rsid w:val="00831A92"/>
    <w:rsid w:val="00831B80"/>
    <w:rsid w:val="00831B83"/>
    <w:rsid w:val="00831B92"/>
    <w:rsid w:val="00831C23"/>
    <w:rsid w:val="00831D24"/>
    <w:rsid w:val="00831D5B"/>
    <w:rsid w:val="00831D86"/>
    <w:rsid w:val="00831DD5"/>
    <w:rsid w:val="00831DDB"/>
    <w:rsid w:val="00831E0C"/>
    <w:rsid w:val="00831E5F"/>
    <w:rsid w:val="00831F66"/>
    <w:rsid w:val="00831FB4"/>
    <w:rsid w:val="0083201C"/>
    <w:rsid w:val="00832022"/>
    <w:rsid w:val="0083203F"/>
    <w:rsid w:val="0083216E"/>
    <w:rsid w:val="0083221D"/>
    <w:rsid w:val="00832277"/>
    <w:rsid w:val="008322D7"/>
    <w:rsid w:val="0083231B"/>
    <w:rsid w:val="0083236C"/>
    <w:rsid w:val="00832382"/>
    <w:rsid w:val="008324D3"/>
    <w:rsid w:val="008325C2"/>
    <w:rsid w:val="0083268D"/>
    <w:rsid w:val="008326A4"/>
    <w:rsid w:val="008326D8"/>
    <w:rsid w:val="008327B0"/>
    <w:rsid w:val="0083282A"/>
    <w:rsid w:val="008328CE"/>
    <w:rsid w:val="008328E2"/>
    <w:rsid w:val="008328EF"/>
    <w:rsid w:val="00832931"/>
    <w:rsid w:val="0083293D"/>
    <w:rsid w:val="00832A69"/>
    <w:rsid w:val="00832ABF"/>
    <w:rsid w:val="00832AC1"/>
    <w:rsid w:val="00832AC9"/>
    <w:rsid w:val="00832AEE"/>
    <w:rsid w:val="00832AF2"/>
    <w:rsid w:val="00832B03"/>
    <w:rsid w:val="00832B34"/>
    <w:rsid w:val="00832BF0"/>
    <w:rsid w:val="00832CA0"/>
    <w:rsid w:val="00832D13"/>
    <w:rsid w:val="00832D54"/>
    <w:rsid w:val="00832FE8"/>
    <w:rsid w:val="0083315D"/>
    <w:rsid w:val="00833200"/>
    <w:rsid w:val="00833209"/>
    <w:rsid w:val="00833247"/>
    <w:rsid w:val="008332A5"/>
    <w:rsid w:val="0083332D"/>
    <w:rsid w:val="0083333F"/>
    <w:rsid w:val="0083336D"/>
    <w:rsid w:val="0083345B"/>
    <w:rsid w:val="008335BC"/>
    <w:rsid w:val="008335D8"/>
    <w:rsid w:val="00833681"/>
    <w:rsid w:val="008336C2"/>
    <w:rsid w:val="008336CA"/>
    <w:rsid w:val="0083373C"/>
    <w:rsid w:val="00833751"/>
    <w:rsid w:val="00833893"/>
    <w:rsid w:val="00833935"/>
    <w:rsid w:val="008339E2"/>
    <w:rsid w:val="008339FE"/>
    <w:rsid w:val="00833A03"/>
    <w:rsid w:val="00833A4E"/>
    <w:rsid w:val="00833A97"/>
    <w:rsid w:val="00833A9A"/>
    <w:rsid w:val="00833CEF"/>
    <w:rsid w:val="00833D45"/>
    <w:rsid w:val="00833E59"/>
    <w:rsid w:val="00833E5E"/>
    <w:rsid w:val="00833FD4"/>
    <w:rsid w:val="008340D7"/>
    <w:rsid w:val="008340DD"/>
    <w:rsid w:val="00834154"/>
    <w:rsid w:val="00834197"/>
    <w:rsid w:val="008341B7"/>
    <w:rsid w:val="0083428A"/>
    <w:rsid w:val="0083451B"/>
    <w:rsid w:val="00834560"/>
    <w:rsid w:val="00834584"/>
    <w:rsid w:val="008345BD"/>
    <w:rsid w:val="00834600"/>
    <w:rsid w:val="00834613"/>
    <w:rsid w:val="0083463A"/>
    <w:rsid w:val="00834689"/>
    <w:rsid w:val="008346CE"/>
    <w:rsid w:val="00834745"/>
    <w:rsid w:val="00834759"/>
    <w:rsid w:val="00834778"/>
    <w:rsid w:val="00834789"/>
    <w:rsid w:val="008347BD"/>
    <w:rsid w:val="008349A8"/>
    <w:rsid w:val="008349E7"/>
    <w:rsid w:val="00834ADC"/>
    <w:rsid w:val="00834B3A"/>
    <w:rsid w:val="00834B5C"/>
    <w:rsid w:val="00834BD8"/>
    <w:rsid w:val="00834BE2"/>
    <w:rsid w:val="00834C07"/>
    <w:rsid w:val="00834CC9"/>
    <w:rsid w:val="00834E22"/>
    <w:rsid w:val="00834E46"/>
    <w:rsid w:val="00834E4E"/>
    <w:rsid w:val="00834E59"/>
    <w:rsid w:val="00834F03"/>
    <w:rsid w:val="00834FB6"/>
    <w:rsid w:val="0083500F"/>
    <w:rsid w:val="00835035"/>
    <w:rsid w:val="008351B6"/>
    <w:rsid w:val="008351F9"/>
    <w:rsid w:val="00835252"/>
    <w:rsid w:val="008352DF"/>
    <w:rsid w:val="008352E5"/>
    <w:rsid w:val="00835309"/>
    <w:rsid w:val="00835334"/>
    <w:rsid w:val="008353DB"/>
    <w:rsid w:val="0083543B"/>
    <w:rsid w:val="0083547C"/>
    <w:rsid w:val="008354C1"/>
    <w:rsid w:val="008354C6"/>
    <w:rsid w:val="00835551"/>
    <w:rsid w:val="00835556"/>
    <w:rsid w:val="0083558B"/>
    <w:rsid w:val="00835647"/>
    <w:rsid w:val="00835669"/>
    <w:rsid w:val="008356FD"/>
    <w:rsid w:val="0083574F"/>
    <w:rsid w:val="0083587B"/>
    <w:rsid w:val="008358AE"/>
    <w:rsid w:val="008358CE"/>
    <w:rsid w:val="00835984"/>
    <w:rsid w:val="008359B7"/>
    <w:rsid w:val="00835A17"/>
    <w:rsid w:val="00835A8B"/>
    <w:rsid w:val="00835AAE"/>
    <w:rsid w:val="00835D19"/>
    <w:rsid w:val="00835D50"/>
    <w:rsid w:val="00835E07"/>
    <w:rsid w:val="00835EBB"/>
    <w:rsid w:val="00835F4E"/>
    <w:rsid w:val="00835FA7"/>
    <w:rsid w:val="00835FBD"/>
    <w:rsid w:val="00836072"/>
    <w:rsid w:val="00836086"/>
    <w:rsid w:val="00836112"/>
    <w:rsid w:val="00836180"/>
    <w:rsid w:val="00836187"/>
    <w:rsid w:val="00836281"/>
    <w:rsid w:val="0083635B"/>
    <w:rsid w:val="0083637B"/>
    <w:rsid w:val="00836402"/>
    <w:rsid w:val="008364E0"/>
    <w:rsid w:val="00836559"/>
    <w:rsid w:val="0083657D"/>
    <w:rsid w:val="008366B6"/>
    <w:rsid w:val="008366EC"/>
    <w:rsid w:val="00836703"/>
    <w:rsid w:val="00836728"/>
    <w:rsid w:val="0083672B"/>
    <w:rsid w:val="008367A7"/>
    <w:rsid w:val="00836803"/>
    <w:rsid w:val="00836853"/>
    <w:rsid w:val="0083692D"/>
    <w:rsid w:val="00836997"/>
    <w:rsid w:val="008369AA"/>
    <w:rsid w:val="008369B1"/>
    <w:rsid w:val="00836A9C"/>
    <w:rsid w:val="00836ADA"/>
    <w:rsid w:val="00836B03"/>
    <w:rsid w:val="00836B20"/>
    <w:rsid w:val="00836B61"/>
    <w:rsid w:val="00836C81"/>
    <w:rsid w:val="00836CE9"/>
    <w:rsid w:val="00836E17"/>
    <w:rsid w:val="00836F60"/>
    <w:rsid w:val="00836F68"/>
    <w:rsid w:val="008370D1"/>
    <w:rsid w:val="0083717F"/>
    <w:rsid w:val="00837323"/>
    <w:rsid w:val="0083740F"/>
    <w:rsid w:val="00837420"/>
    <w:rsid w:val="008374B1"/>
    <w:rsid w:val="0083759A"/>
    <w:rsid w:val="008376B3"/>
    <w:rsid w:val="008376DB"/>
    <w:rsid w:val="00837765"/>
    <w:rsid w:val="008377A3"/>
    <w:rsid w:val="00837835"/>
    <w:rsid w:val="0083784E"/>
    <w:rsid w:val="008379A3"/>
    <w:rsid w:val="008379E6"/>
    <w:rsid w:val="00837A12"/>
    <w:rsid w:val="00837A4F"/>
    <w:rsid w:val="00837ADF"/>
    <w:rsid w:val="00837B34"/>
    <w:rsid w:val="00837B54"/>
    <w:rsid w:val="00837BB8"/>
    <w:rsid w:val="00837CAE"/>
    <w:rsid w:val="00837CE3"/>
    <w:rsid w:val="00837CF0"/>
    <w:rsid w:val="00837D16"/>
    <w:rsid w:val="00837D9E"/>
    <w:rsid w:val="00837DAF"/>
    <w:rsid w:val="00837E1C"/>
    <w:rsid w:val="00840012"/>
    <w:rsid w:val="00840020"/>
    <w:rsid w:val="008400DD"/>
    <w:rsid w:val="0084016F"/>
    <w:rsid w:val="008401E5"/>
    <w:rsid w:val="00840217"/>
    <w:rsid w:val="00840222"/>
    <w:rsid w:val="00840266"/>
    <w:rsid w:val="00840378"/>
    <w:rsid w:val="008403E3"/>
    <w:rsid w:val="008403EF"/>
    <w:rsid w:val="0084046A"/>
    <w:rsid w:val="00840499"/>
    <w:rsid w:val="008404FD"/>
    <w:rsid w:val="0084051E"/>
    <w:rsid w:val="0084058F"/>
    <w:rsid w:val="008406B3"/>
    <w:rsid w:val="008406C1"/>
    <w:rsid w:val="00840722"/>
    <w:rsid w:val="00840772"/>
    <w:rsid w:val="00840781"/>
    <w:rsid w:val="008407AF"/>
    <w:rsid w:val="008407C9"/>
    <w:rsid w:val="0084097C"/>
    <w:rsid w:val="00840A08"/>
    <w:rsid w:val="00840A2F"/>
    <w:rsid w:val="00840A47"/>
    <w:rsid w:val="00840B04"/>
    <w:rsid w:val="00840B15"/>
    <w:rsid w:val="00840B81"/>
    <w:rsid w:val="00840BAC"/>
    <w:rsid w:val="00840BDB"/>
    <w:rsid w:val="00840C0C"/>
    <w:rsid w:val="00840CF6"/>
    <w:rsid w:val="00840DF4"/>
    <w:rsid w:val="00840F5F"/>
    <w:rsid w:val="00840F9B"/>
    <w:rsid w:val="00840FB5"/>
    <w:rsid w:val="00840FD9"/>
    <w:rsid w:val="00841123"/>
    <w:rsid w:val="00841125"/>
    <w:rsid w:val="00841167"/>
    <w:rsid w:val="0084119A"/>
    <w:rsid w:val="008411D5"/>
    <w:rsid w:val="00841368"/>
    <w:rsid w:val="0084138C"/>
    <w:rsid w:val="008413A4"/>
    <w:rsid w:val="0084146C"/>
    <w:rsid w:val="008414F5"/>
    <w:rsid w:val="008414F6"/>
    <w:rsid w:val="00841502"/>
    <w:rsid w:val="0084167D"/>
    <w:rsid w:val="008417FB"/>
    <w:rsid w:val="00841823"/>
    <w:rsid w:val="0084187A"/>
    <w:rsid w:val="00841999"/>
    <w:rsid w:val="008419D5"/>
    <w:rsid w:val="008419FB"/>
    <w:rsid w:val="00841A36"/>
    <w:rsid w:val="00841A9E"/>
    <w:rsid w:val="00841B25"/>
    <w:rsid w:val="00841BD4"/>
    <w:rsid w:val="00841BF5"/>
    <w:rsid w:val="00841DD0"/>
    <w:rsid w:val="00841E15"/>
    <w:rsid w:val="00841E32"/>
    <w:rsid w:val="00841E3D"/>
    <w:rsid w:val="00841FDA"/>
    <w:rsid w:val="0084215A"/>
    <w:rsid w:val="00842162"/>
    <w:rsid w:val="00842186"/>
    <w:rsid w:val="008421B4"/>
    <w:rsid w:val="0084223C"/>
    <w:rsid w:val="008422A4"/>
    <w:rsid w:val="008422C6"/>
    <w:rsid w:val="00842363"/>
    <w:rsid w:val="008423A5"/>
    <w:rsid w:val="008423F6"/>
    <w:rsid w:val="00842436"/>
    <w:rsid w:val="0084248A"/>
    <w:rsid w:val="00842490"/>
    <w:rsid w:val="008424AB"/>
    <w:rsid w:val="00842604"/>
    <w:rsid w:val="0084268D"/>
    <w:rsid w:val="0084275E"/>
    <w:rsid w:val="008427DE"/>
    <w:rsid w:val="0084293C"/>
    <w:rsid w:val="00842942"/>
    <w:rsid w:val="008429A1"/>
    <w:rsid w:val="008429C3"/>
    <w:rsid w:val="008429FE"/>
    <w:rsid w:val="00842A44"/>
    <w:rsid w:val="00842A91"/>
    <w:rsid w:val="00842AB9"/>
    <w:rsid w:val="00842DD6"/>
    <w:rsid w:val="00842E58"/>
    <w:rsid w:val="00842E94"/>
    <w:rsid w:val="00842F60"/>
    <w:rsid w:val="00842F6C"/>
    <w:rsid w:val="00843079"/>
    <w:rsid w:val="0084315A"/>
    <w:rsid w:val="00843189"/>
    <w:rsid w:val="0084318A"/>
    <w:rsid w:val="00843223"/>
    <w:rsid w:val="00843282"/>
    <w:rsid w:val="008432A0"/>
    <w:rsid w:val="008432B3"/>
    <w:rsid w:val="0084339C"/>
    <w:rsid w:val="00843409"/>
    <w:rsid w:val="00843482"/>
    <w:rsid w:val="008434DE"/>
    <w:rsid w:val="0084366A"/>
    <w:rsid w:val="00843741"/>
    <w:rsid w:val="00843753"/>
    <w:rsid w:val="00843840"/>
    <w:rsid w:val="00843875"/>
    <w:rsid w:val="0084399F"/>
    <w:rsid w:val="00843A57"/>
    <w:rsid w:val="00843A65"/>
    <w:rsid w:val="00843AC5"/>
    <w:rsid w:val="00843B4E"/>
    <w:rsid w:val="00843B52"/>
    <w:rsid w:val="00843B8D"/>
    <w:rsid w:val="00843BAD"/>
    <w:rsid w:val="00843BCD"/>
    <w:rsid w:val="00843C1B"/>
    <w:rsid w:val="00843C20"/>
    <w:rsid w:val="00843C74"/>
    <w:rsid w:val="00843D89"/>
    <w:rsid w:val="00843DA1"/>
    <w:rsid w:val="00843E19"/>
    <w:rsid w:val="00843E20"/>
    <w:rsid w:val="00843E23"/>
    <w:rsid w:val="00843E4A"/>
    <w:rsid w:val="0084410A"/>
    <w:rsid w:val="0084416B"/>
    <w:rsid w:val="00844184"/>
    <w:rsid w:val="0084425B"/>
    <w:rsid w:val="00844287"/>
    <w:rsid w:val="0084428E"/>
    <w:rsid w:val="00844310"/>
    <w:rsid w:val="00844341"/>
    <w:rsid w:val="00844379"/>
    <w:rsid w:val="008443AB"/>
    <w:rsid w:val="008443AF"/>
    <w:rsid w:val="008443E0"/>
    <w:rsid w:val="008443F3"/>
    <w:rsid w:val="0084451D"/>
    <w:rsid w:val="008445B4"/>
    <w:rsid w:val="008445EA"/>
    <w:rsid w:val="008445ED"/>
    <w:rsid w:val="0084463A"/>
    <w:rsid w:val="00844670"/>
    <w:rsid w:val="00844776"/>
    <w:rsid w:val="0084482E"/>
    <w:rsid w:val="00844852"/>
    <w:rsid w:val="00844A45"/>
    <w:rsid w:val="00844B04"/>
    <w:rsid w:val="00844B9B"/>
    <w:rsid w:val="00844C65"/>
    <w:rsid w:val="00844CF5"/>
    <w:rsid w:val="00844D8B"/>
    <w:rsid w:val="00844DA3"/>
    <w:rsid w:val="00844DCB"/>
    <w:rsid w:val="00844DE9"/>
    <w:rsid w:val="00844EB8"/>
    <w:rsid w:val="00844FF7"/>
    <w:rsid w:val="0084508A"/>
    <w:rsid w:val="008451A1"/>
    <w:rsid w:val="008451DA"/>
    <w:rsid w:val="008451FC"/>
    <w:rsid w:val="00845203"/>
    <w:rsid w:val="008452A2"/>
    <w:rsid w:val="0084533C"/>
    <w:rsid w:val="00845359"/>
    <w:rsid w:val="008453EF"/>
    <w:rsid w:val="00845433"/>
    <w:rsid w:val="008455A0"/>
    <w:rsid w:val="0084560B"/>
    <w:rsid w:val="0084568D"/>
    <w:rsid w:val="008456C0"/>
    <w:rsid w:val="008456F2"/>
    <w:rsid w:val="00845755"/>
    <w:rsid w:val="008458C3"/>
    <w:rsid w:val="008459AD"/>
    <w:rsid w:val="00845A63"/>
    <w:rsid w:val="00845B1E"/>
    <w:rsid w:val="00845B1F"/>
    <w:rsid w:val="00845B61"/>
    <w:rsid w:val="00845BDC"/>
    <w:rsid w:val="00845C2A"/>
    <w:rsid w:val="00845C60"/>
    <w:rsid w:val="00845D6F"/>
    <w:rsid w:val="00845D78"/>
    <w:rsid w:val="00845D98"/>
    <w:rsid w:val="00845FC0"/>
    <w:rsid w:val="00846136"/>
    <w:rsid w:val="008461B5"/>
    <w:rsid w:val="008461EE"/>
    <w:rsid w:val="0084620F"/>
    <w:rsid w:val="00846287"/>
    <w:rsid w:val="008462B9"/>
    <w:rsid w:val="008462D3"/>
    <w:rsid w:val="0084632F"/>
    <w:rsid w:val="008463E3"/>
    <w:rsid w:val="00846529"/>
    <w:rsid w:val="0084659D"/>
    <w:rsid w:val="00846616"/>
    <w:rsid w:val="00846645"/>
    <w:rsid w:val="0084664C"/>
    <w:rsid w:val="00846668"/>
    <w:rsid w:val="0084666B"/>
    <w:rsid w:val="008466C6"/>
    <w:rsid w:val="0084675C"/>
    <w:rsid w:val="0084675F"/>
    <w:rsid w:val="008467DF"/>
    <w:rsid w:val="0084681E"/>
    <w:rsid w:val="00846832"/>
    <w:rsid w:val="0084684E"/>
    <w:rsid w:val="00846925"/>
    <w:rsid w:val="0084694D"/>
    <w:rsid w:val="008469EA"/>
    <w:rsid w:val="008469F4"/>
    <w:rsid w:val="00846A12"/>
    <w:rsid w:val="00846CC5"/>
    <w:rsid w:val="00846F57"/>
    <w:rsid w:val="00846F5B"/>
    <w:rsid w:val="00846F7E"/>
    <w:rsid w:val="00846F97"/>
    <w:rsid w:val="00846FCC"/>
    <w:rsid w:val="00846FFA"/>
    <w:rsid w:val="0084714C"/>
    <w:rsid w:val="0084718C"/>
    <w:rsid w:val="0084732E"/>
    <w:rsid w:val="00847335"/>
    <w:rsid w:val="0084736A"/>
    <w:rsid w:val="008473B9"/>
    <w:rsid w:val="008473F3"/>
    <w:rsid w:val="00847438"/>
    <w:rsid w:val="00847516"/>
    <w:rsid w:val="0084756F"/>
    <w:rsid w:val="0084769D"/>
    <w:rsid w:val="00847728"/>
    <w:rsid w:val="00847737"/>
    <w:rsid w:val="0084788B"/>
    <w:rsid w:val="0084788D"/>
    <w:rsid w:val="008478B5"/>
    <w:rsid w:val="008478F3"/>
    <w:rsid w:val="0084792F"/>
    <w:rsid w:val="0084793D"/>
    <w:rsid w:val="00847A07"/>
    <w:rsid w:val="00847A31"/>
    <w:rsid w:val="00847A80"/>
    <w:rsid w:val="00847A9F"/>
    <w:rsid w:val="00847AB5"/>
    <w:rsid w:val="00847AD6"/>
    <w:rsid w:val="00847BA0"/>
    <w:rsid w:val="00847BAF"/>
    <w:rsid w:val="00847C33"/>
    <w:rsid w:val="00847CF0"/>
    <w:rsid w:val="00847DDA"/>
    <w:rsid w:val="00847E0C"/>
    <w:rsid w:val="00847E7B"/>
    <w:rsid w:val="00847E9A"/>
    <w:rsid w:val="00847EAE"/>
    <w:rsid w:val="00847EEE"/>
    <w:rsid w:val="00847F3F"/>
    <w:rsid w:val="00847FDD"/>
    <w:rsid w:val="00850029"/>
    <w:rsid w:val="00850084"/>
    <w:rsid w:val="00850133"/>
    <w:rsid w:val="0085014C"/>
    <w:rsid w:val="00850218"/>
    <w:rsid w:val="0085026E"/>
    <w:rsid w:val="008502FF"/>
    <w:rsid w:val="00850356"/>
    <w:rsid w:val="0085043E"/>
    <w:rsid w:val="00850494"/>
    <w:rsid w:val="00850519"/>
    <w:rsid w:val="0085055B"/>
    <w:rsid w:val="008505C6"/>
    <w:rsid w:val="008505DA"/>
    <w:rsid w:val="008505FA"/>
    <w:rsid w:val="008506C9"/>
    <w:rsid w:val="008506CA"/>
    <w:rsid w:val="008507B2"/>
    <w:rsid w:val="008507B7"/>
    <w:rsid w:val="0085080A"/>
    <w:rsid w:val="00850827"/>
    <w:rsid w:val="0085093E"/>
    <w:rsid w:val="0085099E"/>
    <w:rsid w:val="00850A2A"/>
    <w:rsid w:val="00850AB3"/>
    <w:rsid w:val="00850AE0"/>
    <w:rsid w:val="00850B3B"/>
    <w:rsid w:val="00850B73"/>
    <w:rsid w:val="00850BF4"/>
    <w:rsid w:val="00850C86"/>
    <w:rsid w:val="00850CD4"/>
    <w:rsid w:val="00850CEA"/>
    <w:rsid w:val="00850DAC"/>
    <w:rsid w:val="00850DF4"/>
    <w:rsid w:val="00850DFB"/>
    <w:rsid w:val="00850E25"/>
    <w:rsid w:val="00850E4C"/>
    <w:rsid w:val="00850EBF"/>
    <w:rsid w:val="00850F04"/>
    <w:rsid w:val="00850F0E"/>
    <w:rsid w:val="00850F63"/>
    <w:rsid w:val="0085100F"/>
    <w:rsid w:val="00851088"/>
    <w:rsid w:val="008510D4"/>
    <w:rsid w:val="0085115C"/>
    <w:rsid w:val="008512CB"/>
    <w:rsid w:val="00851331"/>
    <w:rsid w:val="00851381"/>
    <w:rsid w:val="00851392"/>
    <w:rsid w:val="00851396"/>
    <w:rsid w:val="008513E3"/>
    <w:rsid w:val="008513EA"/>
    <w:rsid w:val="008514BC"/>
    <w:rsid w:val="00851513"/>
    <w:rsid w:val="0085154C"/>
    <w:rsid w:val="00851648"/>
    <w:rsid w:val="00851651"/>
    <w:rsid w:val="008516A5"/>
    <w:rsid w:val="008516E1"/>
    <w:rsid w:val="00851748"/>
    <w:rsid w:val="008517C1"/>
    <w:rsid w:val="00851805"/>
    <w:rsid w:val="00851874"/>
    <w:rsid w:val="00851937"/>
    <w:rsid w:val="008519BD"/>
    <w:rsid w:val="008519C3"/>
    <w:rsid w:val="00851A28"/>
    <w:rsid w:val="00851ACA"/>
    <w:rsid w:val="00851BCA"/>
    <w:rsid w:val="00851C51"/>
    <w:rsid w:val="00851C71"/>
    <w:rsid w:val="00851CF0"/>
    <w:rsid w:val="00851CFD"/>
    <w:rsid w:val="00851D05"/>
    <w:rsid w:val="00851D30"/>
    <w:rsid w:val="00851D98"/>
    <w:rsid w:val="00851DBE"/>
    <w:rsid w:val="00851E68"/>
    <w:rsid w:val="00851EFA"/>
    <w:rsid w:val="00851F21"/>
    <w:rsid w:val="00852000"/>
    <w:rsid w:val="00852047"/>
    <w:rsid w:val="0085206D"/>
    <w:rsid w:val="00852073"/>
    <w:rsid w:val="008520E8"/>
    <w:rsid w:val="008521CB"/>
    <w:rsid w:val="00852230"/>
    <w:rsid w:val="00852272"/>
    <w:rsid w:val="00852277"/>
    <w:rsid w:val="0085238A"/>
    <w:rsid w:val="008523EC"/>
    <w:rsid w:val="00852427"/>
    <w:rsid w:val="0085248A"/>
    <w:rsid w:val="00852527"/>
    <w:rsid w:val="008525F8"/>
    <w:rsid w:val="008526C9"/>
    <w:rsid w:val="008526CC"/>
    <w:rsid w:val="008528B8"/>
    <w:rsid w:val="00852923"/>
    <w:rsid w:val="008529E7"/>
    <w:rsid w:val="00852A4F"/>
    <w:rsid w:val="00852B14"/>
    <w:rsid w:val="00852B30"/>
    <w:rsid w:val="00852BE3"/>
    <w:rsid w:val="00852BED"/>
    <w:rsid w:val="00852C9D"/>
    <w:rsid w:val="00852D6E"/>
    <w:rsid w:val="00852DFF"/>
    <w:rsid w:val="00852E28"/>
    <w:rsid w:val="00852F80"/>
    <w:rsid w:val="00852FD5"/>
    <w:rsid w:val="0085301B"/>
    <w:rsid w:val="00853055"/>
    <w:rsid w:val="00853152"/>
    <w:rsid w:val="0085325C"/>
    <w:rsid w:val="0085328F"/>
    <w:rsid w:val="008532AD"/>
    <w:rsid w:val="00853373"/>
    <w:rsid w:val="00853435"/>
    <w:rsid w:val="00853474"/>
    <w:rsid w:val="008537E8"/>
    <w:rsid w:val="00853935"/>
    <w:rsid w:val="0085398F"/>
    <w:rsid w:val="00853B22"/>
    <w:rsid w:val="00853B48"/>
    <w:rsid w:val="00853C60"/>
    <w:rsid w:val="00853CEF"/>
    <w:rsid w:val="00853CF6"/>
    <w:rsid w:val="00853D04"/>
    <w:rsid w:val="00853D21"/>
    <w:rsid w:val="00853D37"/>
    <w:rsid w:val="00853D96"/>
    <w:rsid w:val="00853DA2"/>
    <w:rsid w:val="00853E00"/>
    <w:rsid w:val="0085403C"/>
    <w:rsid w:val="00854054"/>
    <w:rsid w:val="00854059"/>
    <w:rsid w:val="00854067"/>
    <w:rsid w:val="00854082"/>
    <w:rsid w:val="008540F7"/>
    <w:rsid w:val="008540FA"/>
    <w:rsid w:val="00854139"/>
    <w:rsid w:val="0085419F"/>
    <w:rsid w:val="008541F5"/>
    <w:rsid w:val="00854218"/>
    <w:rsid w:val="0085427F"/>
    <w:rsid w:val="008542DA"/>
    <w:rsid w:val="00854310"/>
    <w:rsid w:val="008543E8"/>
    <w:rsid w:val="00854639"/>
    <w:rsid w:val="0085463F"/>
    <w:rsid w:val="00854697"/>
    <w:rsid w:val="00854729"/>
    <w:rsid w:val="0085476C"/>
    <w:rsid w:val="008548E0"/>
    <w:rsid w:val="00854950"/>
    <w:rsid w:val="0085495C"/>
    <w:rsid w:val="008549C2"/>
    <w:rsid w:val="00854A12"/>
    <w:rsid w:val="00854AFE"/>
    <w:rsid w:val="00854BAC"/>
    <w:rsid w:val="00854C06"/>
    <w:rsid w:val="00854CB0"/>
    <w:rsid w:val="00854DBC"/>
    <w:rsid w:val="00854E55"/>
    <w:rsid w:val="00854F2C"/>
    <w:rsid w:val="00855020"/>
    <w:rsid w:val="008550CB"/>
    <w:rsid w:val="00855113"/>
    <w:rsid w:val="00855201"/>
    <w:rsid w:val="0085520F"/>
    <w:rsid w:val="00855247"/>
    <w:rsid w:val="00855378"/>
    <w:rsid w:val="00855403"/>
    <w:rsid w:val="00855460"/>
    <w:rsid w:val="0085549C"/>
    <w:rsid w:val="008554DD"/>
    <w:rsid w:val="008555C3"/>
    <w:rsid w:val="00855601"/>
    <w:rsid w:val="00855602"/>
    <w:rsid w:val="008556BB"/>
    <w:rsid w:val="008556E9"/>
    <w:rsid w:val="008557A3"/>
    <w:rsid w:val="008557B3"/>
    <w:rsid w:val="008558BB"/>
    <w:rsid w:val="00855983"/>
    <w:rsid w:val="00855985"/>
    <w:rsid w:val="00855995"/>
    <w:rsid w:val="00855A00"/>
    <w:rsid w:val="00855AD7"/>
    <w:rsid w:val="00855B44"/>
    <w:rsid w:val="00855B87"/>
    <w:rsid w:val="00855C11"/>
    <w:rsid w:val="00855C78"/>
    <w:rsid w:val="00855CEF"/>
    <w:rsid w:val="00855E6D"/>
    <w:rsid w:val="00855EE7"/>
    <w:rsid w:val="00855F0B"/>
    <w:rsid w:val="00855F9F"/>
    <w:rsid w:val="0085601D"/>
    <w:rsid w:val="00856024"/>
    <w:rsid w:val="00856037"/>
    <w:rsid w:val="00856139"/>
    <w:rsid w:val="00856189"/>
    <w:rsid w:val="0085619A"/>
    <w:rsid w:val="008562C1"/>
    <w:rsid w:val="00856320"/>
    <w:rsid w:val="00856509"/>
    <w:rsid w:val="00856634"/>
    <w:rsid w:val="00856690"/>
    <w:rsid w:val="008567F9"/>
    <w:rsid w:val="0085685E"/>
    <w:rsid w:val="0085691D"/>
    <w:rsid w:val="00856935"/>
    <w:rsid w:val="00856973"/>
    <w:rsid w:val="008569D9"/>
    <w:rsid w:val="00856A09"/>
    <w:rsid w:val="00856A57"/>
    <w:rsid w:val="00856B4A"/>
    <w:rsid w:val="00856B87"/>
    <w:rsid w:val="00856BA8"/>
    <w:rsid w:val="00856BD4"/>
    <w:rsid w:val="00856BF2"/>
    <w:rsid w:val="00856BFF"/>
    <w:rsid w:val="00856C7A"/>
    <w:rsid w:val="00856DB9"/>
    <w:rsid w:val="00856EFD"/>
    <w:rsid w:val="00856F0C"/>
    <w:rsid w:val="00856F39"/>
    <w:rsid w:val="00856F8B"/>
    <w:rsid w:val="00856FC5"/>
    <w:rsid w:val="00856FE3"/>
    <w:rsid w:val="0085701D"/>
    <w:rsid w:val="0085708F"/>
    <w:rsid w:val="008570D2"/>
    <w:rsid w:val="00857137"/>
    <w:rsid w:val="0085713E"/>
    <w:rsid w:val="008571A5"/>
    <w:rsid w:val="00857201"/>
    <w:rsid w:val="00857226"/>
    <w:rsid w:val="00857354"/>
    <w:rsid w:val="0085738A"/>
    <w:rsid w:val="008573BE"/>
    <w:rsid w:val="008574AB"/>
    <w:rsid w:val="008575E9"/>
    <w:rsid w:val="0085767C"/>
    <w:rsid w:val="0085774E"/>
    <w:rsid w:val="00857791"/>
    <w:rsid w:val="00857800"/>
    <w:rsid w:val="00857803"/>
    <w:rsid w:val="0085788B"/>
    <w:rsid w:val="008578CC"/>
    <w:rsid w:val="008578F5"/>
    <w:rsid w:val="00857A2B"/>
    <w:rsid w:val="00857AAC"/>
    <w:rsid w:val="00857AFA"/>
    <w:rsid w:val="00857B59"/>
    <w:rsid w:val="00857B9A"/>
    <w:rsid w:val="00857C51"/>
    <w:rsid w:val="00857E8B"/>
    <w:rsid w:val="00857EA1"/>
    <w:rsid w:val="00857F0D"/>
    <w:rsid w:val="00857F14"/>
    <w:rsid w:val="00857F8D"/>
    <w:rsid w:val="0086006C"/>
    <w:rsid w:val="008600DA"/>
    <w:rsid w:val="008600EE"/>
    <w:rsid w:val="0086010A"/>
    <w:rsid w:val="00860153"/>
    <w:rsid w:val="0086017C"/>
    <w:rsid w:val="00860206"/>
    <w:rsid w:val="008602EC"/>
    <w:rsid w:val="00860340"/>
    <w:rsid w:val="00860418"/>
    <w:rsid w:val="00860450"/>
    <w:rsid w:val="008604A4"/>
    <w:rsid w:val="00860642"/>
    <w:rsid w:val="0086069B"/>
    <w:rsid w:val="008606AE"/>
    <w:rsid w:val="008606B0"/>
    <w:rsid w:val="0086078B"/>
    <w:rsid w:val="00860799"/>
    <w:rsid w:val="0086087F"/>
    <w:rsid w:val="0086090A"/>
    <w:rsid w:val="00860922"/>
    <w:rsid w:val="00860949"/>
    <w:rsid w:val="0086097C"/>
    <w:rsid w:val="0086098D"/>
    <w:rsid w:val="008609AF"/>
    <w:rsid w:val="008609B0"/>
    <w:rsid w:val="00860A20"/>
    <w:rsid w:val="00860CA2"/>
    <w:rsid w:val="00860CE1"/>
    <w:rsid w:val="00860CE2"/>
    <w:rsid w:val="00860CEC"/>
    <w:rsid w:val="00860DAD"/>
    <w:rsid w:val="00860E16"/>
    <w:rsid w:val="00860EB7"/>
    <w:rsid w:val="00860F00"/>
    <w:rsid w:val="00860F57"/>
    <w:rsid w:val="008611BE"/>
    <w:rsid w:val="00861271"/>
    <w:rsid w:val="008612D4"/>
    <w:rsid w:val="008612F2"/>
    <w:rsid w:val="00861383"/>
    <w:rsid w:val="008613EC"/>
    <w:rsid w:val="0086142A"/>
    <w:rsid w:val="0086146B"/>
    <w:rsid w:val="00861548"/>
    <w:rsid w:val="0086159A"/>
    <w:rsid w:val="008615BA"/>
    <w:rsid w:val="008615FE"/>
    <w:rsid w:val="0086161C"/>
    <w:rsid w:val="008616C7"/>
    <w:rsid w:val="0086172E"/>
    <w:rsid w:val="00861789"/>
    <w:rsid w:val="008617D2"/>
    <w:rsid w:val="00861853"/>
    <w:rsid w:val="008618F8"/>
    <w:rsid w:val="00861927"/>
    <w:rsid w:val="008619F5"/>
    <w:rsid w:val="00861A0B"/>
    <w:rsid w:val="00861A1A"/>
    <w:rsid w:val="00861A35"/>
    <w:rsid w:val="00861AA4"/>
    <w:rsid w:val="00861BA2"/>
    <w:rsid w:val="00861C3A"/>
    <w:rsid w:val="00861C61"/>
    <w:rsid w:val="00861C91"/>
    <w:rsid w:val="00861D53"/>
    <w:rsid w:val="00861E11"/>
    <w:rsid w:val="00861E37"/>
    <w:rsid w:val="00861E42"/>
    <w:rsid w:val="00861E7B"/>
    <w:rsid w:val="00861EA1"/>
    <w:rsid w:val="00861F50"/>
    <w:rsid w:val="008620DA"/>
    <w:rsid w:val="0086210B"/>
    <w:rsid w:val="0086212D"/>
    <w:rsid w:val="00862165"/>
    <w:rsid w:val="00862211"/>
    <w:rsid w:val="00862265"/>
    <w:rsid w:val="00862284"/>
    <w:rsid w:val="008622A9"/>
    <w:rsid w:val="008622C9"/>
    <w:rsid w:val="008623B2"/>
    <w:rsid w:val="008623EF"/>
    <w:rsid w:val="00862412"/>
    <w:rsid w:val="00862554"/>
    <w:rsid w:val="008625A2"/>
    <w:rsid w:val="00862623"/>
    <w:rsid w:val="008626B3"/>
    <w:rsid w:val="008627E5"/>
    <w:rsid w:val="0086282A"/>
    <w:rsid w:val="00862854"/>
    <w:rsid w:val="00862922"/>
    <w:rsid w:val="00862941"/>
    <w:rsid w:val="008629C9"/>
    <w:rsid w:val="00862A1A"/>
    <w:rsid w:val="00862A4C"/>
    <w:rsid w:val="00862A7C"/>
    <w:rsid w:val="00862B2C"/>
    <w:rsid w:val="00862B4B"/>
    <w:rsid w:val="00862B7C"/>
    <w:rsid w:val="00862BCB"/>
    <w:rsid w:val="00862C2B"/>
    <w:rsid w:val="00862C4E"/>
    <w:rsid w:val="00862CE0"/>
    <w:rsid w:val="00862CE9"/>
    <w:rsid w:val="00862D23"/>
    <w:rsid w:val="00862E44"/>
    <w:rsid w:val="00862E5C"/>
    <w:rsid w:val="00862FBF"/>
    <w:rsid w:val="00863034"/>
    <w:rsid w:val="00863076"/>
    <w:rsid w:val="00863136"/>
    <w:rsid w:val="0086313A"/>
    <w:rsid w:val="0086314D"/>
    <w:rsid w:val="008631CD"/>
    <w:rsid w:val="00863222"/>
    <w:rsid w:val="008632C4"/>
    <w:rsid w:val="008632F7"/>
    <w:rsid w:val="0086335F"/>
    <w:rsid w:val="00863368"/>
    <w:rsid w:val="008633E2"/>
    <w:rsid w:val="008633EA"/>
    <w:rsid w:val="0086343C"/>
    <w:rsid w:val="0086349E"/>
    <w:rsid w:val="008634BC"/>
    <w:rsid w:val="008634D0"/>
    <w:rsid w:val="0086350B"/>
    <w:rsid w:val="00863516"/>
    <w:rsid w:val="008635B2"/>
    <w:rsid w:val="008635B5"/>
    <w:rsid w:val="008635CA"/>
    <w:rsid w:val="008636C7"/>
    <w:rsid w:val="00863704"/>
    <w:rsid w:val="0086371D"/>
    <w:rsid w:val="00863791"/>
    <w:rsid w:val="0086385C"/>
    <w:rsid w:val="008638FA"/>
    <w:rsid w:val="008639B5"/>
    <w:rsid w:val="008639EC"/>
    <w:rsid w:val="00863A07"/>
    <w:rsid w:val="00863BBB"/>
    <w:rsid w:val="00863CD9"/>
    <w:rsid w:val="00863D0D"/>
    <w:rsid w:val="00863D27"/>
    <w:rsid w:val="00863D77"/>
    <w:rsid w:val="00863DDA"/>
    <w:rsid w:val="00863E50"/>
    <w:rsid w:val="00863E8D"/>
    <w:rsid w:val="00863EA2"/>
    <w:rsid w:val="00863F05"/>
    <w:rsid w:val="00863F37"/>
    <w:rsid w:val="00863F6A"/>
    <w:rsid w:val="00863FC9"/>
    <w:rsid w:val="00863FE9"/>
    <w:rsid w:val="00863FF0"/>
    <w:rsid w:val="008640EB"/>
    <w:rsid w:val="0086412C"/>
    <w:rsid w:val="0086416E"/>
    <w:rsid w:val="00864202"/>
    <w:rsid w:val="00864217"/>
    <w:rsid w:val="0086421C"/>
    <w:rsid w:val="00864281"/>
    <w:rsid w:val="008642CC"/>
    <w:rsid w:val="0086434E"/>
    <w:rsid w:val="008643BF"/>
    <w:rsid w:val="00864418"/>
    <w:rsid w:val="008644BD"/>
    <w:rsid w:val="008644DA"/>
    <w:rsid w:val="008644F4"/>
    <w:rsid w:val="00864503"/>
    <w:rsid w:val="00864548"/>
    <w:rsid w:val="008645D9"/>
    <w:rsid w:val="008645F4"/>
    <w:rsid w:val="0086461F"/>
    <w:rsid w:val="0086463B"/>
    <w:rsid w:val="008646E1"/>
    <w:rsid w:val="00864716"/>
    <w:rsid w:val="008647D5"/>
    <w:rsid w:val="00864844"/>
    <w:rsid w:val="008648E7"/>
    <w:rsid w:val="0086498A"/>
    <w:rsid w:val="008649B2"/>
    <w:rsid w:val="008649E9"/>
    <w:rsid w:val="00864A6D"/>
    <w:rsid w:val="00864AD3"/>
    <w:rsid w:val="00864B13"/>
    <w:rsid w:val="00864B73"/>
    <w:rsid w:val="00864B96"/>
    <w:rsid w:val="00864D0C"/>
    <w:rsid w:val="00864D7E"/>
    <w:rsid w:val="00864DE2"/>
    <w:rsid w:val="00864DE7"/>
    <w:rsid w:val="00864E16"/>
    <w:rsid w:val="00864E5F"/>
    <w:rsid w:val="00865021"/>
    <w:rsid w:val="00865132"/>
    <w:rsid w:val="0086515E"/>
    <w:rsid w:val="00865219"/>
    <w:rsid w:val="0086521B"/>
    <w:rsid w:val="00865272"/>
    <w:rsid w:val="0086532F"/>
    <w:rsid w:val="008653B6"/>
    <w:rsid w:val="008653C0"/>
    <w:rsid w:val="008653E0"/>
    <w:rsid w:val="0086549D"/>
    <w:rsid w:val="008654F4"/>
    <w:rsid w:val="008654FD"/>
    <w:rsid w:val="008655BB"/>
    <w:rsid w:val="008655E5"/>
    <w:rsid w:val="00865625"/>
    <w:rsid w:val="00865734"/>
    <w:rsid w:val="00865771"/>
    <w:rsid w:val="00865801"/>
    <w:rsid w:val="00865A1A"/>
    <w:rsid w:val="00865B44"/>
    <w:rsid w:val="00865B5C"/>
    <w:rsid w:val="00865BC7"/>
    <w:rsid w:val="00865C41"/>
    <w:rsid w:val="00865C89"/>
    <w:rsid w:val="00865C8A"/>
    <w:rsid w:val="00865CCC"/>
    <w:rsid w:val="00865DA8"/>
    <w:rsid w:val="00865DCE"/>
    <w:rsid w:val="00865E2C"/>
    <w:rsid w:val="00865F2A"/>
    <w:rsid w:val="00865F88"/>
    <w:rsid w:val="00865FD6"/>
    <w:rsid w:val="0086620C"/>
    <w:rsid w:val="00866248"/>
    <w:rsid w:val="008662AE"/>
    <w:rsid w:val="008662B0"/>
    <w:rsid w:val="008662BA"/>
    <w:rsid w:val="008662E1"/>
    <w:rsid w:val="0086633B"/>
    <w:rsid w:val="00866359"/>
    <w:rsid w:val="00866403"/>
    <w:rsid w:val="00866418"/>
    <w:rsid w:val="00866579"/>
    <w:rsid w:val="0086658B"/>
    <w:rsid w:val="008665BC"/>
    <w:rsid w:val="00866607"/>
    <w:rsid w:val="00866636"/>
    <w:rsid w:val="00866697"/>
    <w:rsid w:val="0086679D"/>
    <w:rsid w:val="008667B5"/>
    <w:rsid w:val="008667F8"/>
    <w:rsid w:val="008668E4"/>
    <w:rsid w:val="00866900"/>
    <w:rsid w:val="00866929"/>
    <w:rsid w:val="00866936"/>
    <w:rsid w:val="008669E9"/>
    <w:rsid w:val="00866A2F"/>
    <w:rsid w:val="00866A43"/>
    <w:rsid w:val="00866B1D"/>
    <w:rsid w:val="00866BCA"/>
    <w:rsid w:val="00866C1A"/>
    <w:rsid w:val="00866C28"/>
    <w:rsid w:val="00866C71"/>
    <w:rsid w:val="00866D74"/>
    <w:rsid w:val="00866D93"/>
    <w:rsid w:val="00866E13"/>
    <w:rsid w:val="00866E2D"/>
    <w:rsid w:val="00866F3A"/>
    <w:rsid w:val="008670C5"/>
    <w:rsid w:val="0086724F"/>
    <w:rsid w:val="0086727C"/>
    <w:rsid w:val="008672A0"/>
    <w:rsid w:val="008672D2"/>
    <w:rsid w:val="008673AA"/>
    <w:rsid w:val="008674D5"/>
    <w:rsid w:val="008674DB"/>
    <w:rsid w:val="00867570"/>
    <w:rsid w:val="008675CE"/>
    <w:rsid w:val="00867609"/>
    <w:rsid w:val="0086765A"/>
    <w:rsid w:val="00867667"/>
    <w:rsid w:val="008676F8"/>
    <w:rsid w:val="0086777B"/>
    <w:rsid w:val="008677CB"/>
    <w:rsid w:val="0086786C"/>
    <w:rsid w:val="008678F9"/>
    <w:rsid w:val="008678FE"/>
    <w:rsid w:val="008679EB"/>
    <w:rsid w:val="00867A37"/>
    <w:rsid w:val="00867A4B"/>
    <w:rsid w:val="00867AA7"/>
    <w:rsid w:val="00867B56"/>
    <w:rsid w:val="00867BA6"/>
    <w:rsid w:val="00867BA7"/>
    <w:rsid w:val="00867BE9"/>
    <w:rsid w:val="00867BEE"/>
    <w:rsid w:val="00867D85"/>
    <w:rsid w:val="00867F16"/>
    <w:rsid w:val="00867F43"/>
    <w:rsid w:val="00867F54"/>
    <w:rsid w:val="00867F78"/>
    <w:rsid w:val="00867FEB"/>
    <w:rsid w:val="00869930"/>
    <w:rsid w:val="00870090"/>
    <w:rsid w:val="00870095"/>
    <w:rsid w:val="00870152"/>
    <w:rsid w:val="008701C3"/>
    <w:rsid w:val="008701DC"/>
    <w:rsid w:val="00870272"/>
    <w:rsid w:val="00870286"/>
    <w:rsid w:val="008703D8"/>
    <w:rsid w:val="00870409"/>
    <w:rsid w:val="0087078C"/>
    <w:rsid w:val="008707DB"/>
    <w:rsid w:val="00870809"/>
    <w:rsid w:val="00870851"/>
    <w:rsid w:val="00870971"/>
    <w:rsid w:val="008709EE"/>
    <w:rsid w:val="00870A06"/>
    <w:rsid w:val="00870AF5"/>
    <w:rsid w:val="00870C2C"/>
    <w:rsid w:val="00870F0B"/>
    <w:rsid w:val="00870F9B"/>
    <w:rsid w:val="00870FB1"/>
    <w:rsid w:val="00871051"/>
    <w:rsid w:val="0087105A"/>
    <w:rsid w:val="00871063"/>
    <w:rsid w:val="008710F9"/>
    <w:rsid w:val="00871111"/>
    <w:rsid w:val="00871136"/>
    <w:rsid w:val="00871155"/>
    <w:rsid w:val="00871227"/>
    <w:rsid w:val="008712DC"/>
    <w:rsid w:val="00871307"/>
    <w:rsid w:val="008713B2"/>
    <w:rsid w:val="0087148F"/>
    <w:rsid w:val="00871505"/>
    <w:rsid w:val="0087159D"/>
    <w:rsid w:val="00871623"/>
    <w:rsid w:val="00871645"/>
    <w:rsid w:val="00871668"/>
    <w:rsid w:val="00871681"/>
    <w:rsid w:val="00871696"/>
    <w:rsid w:val="008716A5"/>
    <w:rsid w:val="008716DC"/>
    <w:rsid w:val="0087177E"/>
    <w:rsid w:val="008717C4"/>
    <w:rsid w:val="008717E4"/>
    <w:rsid w:val="00871839"/>
    <w:rsid w:val="00871854"/>
    <w:rsid w:val="0087191F"/>
    <w:rsid w:val="00871964"/>
    <w:rsid w:val="008719F7"/>
    <w:rsid w:val="00871B6B"/>
    <w:rsid w:val="00871BAE"/>
    <w:rsid w:val="00871DC9"/>
    <w:rsid w:val="00871F34"/>
    <w:rsid w:val="00872039"/>
    <w:rsid w:val="0087208D"/>
    <w:rsid w:val="00872148"/>
    <w:rsid w:val="008721F1"/>
    <w:rsid w:val="008721FE"/>
    <w:rsid w:val="00872232"/>
    <w:rsid w:val="00872263"/>
    <w:rsid w:val="0087239C"/>
    <w:rsid w:val="00872432"/>
    <w:rsid w:val="0087251D"/>
    <w:rsid w:val="00872597"/>
    <w:rsid w:val="0087259B"/>
    <w:rsid w:val="00872604"/>
    <w:rsid w:val="008726AE"/>
    <w:rsid w:val="008726E6"/>
    <w:rsid w:val="008726F1"/>
    <w:rsid w:val="0087278B"/>
    <w:rsid w:val="008727CD"/>
    <w:rsid w:val="008727DF"/>
    <w:rsid w:val="008727F0"/>
    <w:rsid w:val="0087282F"/>
    <w:rsid w:val="008728E6"/>
    <w:rsid w:val="00872957"/>
    <w:rsid w:val="00872976"/>
    <w:rsid w:val="008729B9"/>
    <w:rsid w:val="00872B20"/>
    <w:rsid w:val="00872B40"/>
    <w:rsid w:val="00872BB7"/>
    <w:rsid w:val="00872BFA"/>
    <w:rsid w:val="00872C1F"/>
    <w:rsid w:val="00872D0C"/>
    <w:rsid w:val="00872D6D"/>
    <w:rsid w:val="00872DB5"/>
    <w:rsid w:val="00872E36"/>
    <w:rsid w:val="00872F90"/>
    <w:rsid w:val="00872F92"/>
    <w:rsid w:val="00873105"/>
    <w:rsid w:val="00873132"/>
    <w:rsid w:val="00873155"/>
    <w:rsid w:val="0087335F"/>
    <w:rsid w:val="008733AE"/>
    <w:rsid w:val="008733F7"/>
    <w:rsid w:val="00873468"/>
    <w:rsid w:val="00873491"/>
    <w:rsid w:val="00873493"/>
    <w:rsid w:val="00873518"/>
    <w:rsid w:val="0087356F"/>
    <w:rsid w:val="00873627"/>
    <w:rsid w:val="0087366E"/>
    <w:rsid w:val="008736D9"/>
    <w:rsid w:val="008736FB"/>
    <w:rsid w:val="00873769"/>
    <w:rsid w:val="0087383F"/>
    <w:rsid w:val="008738AE"/>
    <w:rsid w:val="008738CE"/>
    <w:rsid w:val="00873928"/>
    <w:rsid w:val="0087392F"/>
    <w:rsid w:val="00873992"/>
    <w:rsid w:val="00873A28"/>
    <w:rsid w:val="00873A88"/>
    <w:rsid w:val="00873ADD"/>
    <w:rsid w:val="00873B16"/>
    <w:rsid w:val="00873B89"/>
    <w:rsid w:val="00873C44"/>
    <w:rsid w:val="00873D13"/>
    <w:rsid w:val="00873E45"/>
    <w:rsid w:val="00873F67"/>
    <w:rsid w:val="00873FE9"/>
    <w:rsid w:val="00874045"/>
    <w:rsid w:val="008740D3"/>
    <w:rsid w:val="008741C2"/>
    <w:rsid w:val="00874257"/>
    <w:rsid w:val="008742E9"/>
    <w:rsid w:val="00874315"/>
    <w:rsid w:val="0087435C"/>
    <w:rsid w:val="00874533"/>
    <w:rsid w:val="0087454A"/>
    <w:rsid w:val="00874552"/>
    <w:rsid w:val="008745A1"/>
    <w:rsid w:val="008745FA"/>
    <w:rsid w:val="00874628"/>
    <w:rsid w:val="0087466D"/>
    <w:rsid w:val="008746B2"/>
    <w:rsid w:val="00874726"/>
    <w:rsid w:val="00874760"/>
    <w:rsid w:val="008747CF"/>
    <w:rsid w:val="00874805"/>
    <w:rsid w:val="0087480D"/>
    <w:rsid w:val="00874814"/>
    <w:rsid w:val="0087483C"/>
    <w:rsid w:val="008748AE"/>
    <w:rsid w:val="008748CA"/>
    <w:rsid w:val="00874A93"/>
    <w:rsid w:val="00874AA7"/>
    <w:rsid w:val="00874C63"/>
    <w:rsid w:val="00874C66"/>
    <w:rsid w:val="00874C85"/>
    <w:rsid w:val="00874C98"/>
    <w:rsid w:val="00874CFE"/>
    <w:rsid w:val="00874D0B"/>
    <w:rsid w:val="00874D5A"/>
    <w:rsid w:val="00874D85"/>
    <w:rsid w:val="00874E25"/>
    <w:rsid w:val="00874EF1"/>
    <w:rsid w:val="00874F4F"/>
    <w:rsid w:val="00875011"/>
    <w:rsid w:val="0087510A"/>
    <w:rsid w:val="0087516E"/>
    <w:rsid w:val="008751E8"/>
    <w:rsid w:val="008751E9"/>
    <w:rsid w:val="008751F5"/>
    <w:rsid w:val="0087522D"/>
    <w:rsid w:val="008752D8"/>
    <w:rsid w:val="0087535F"/>
    <w:rsid w:val="0087546C"/>
    <w:rsid w:val="0087548F"/>
    <w:rsid w:val="008754AD"/>
    <w:rsid w:val="0087567E"/>
    <w:rsid w:val="0087567F"/>
    <w:rsid w:val="00875697"/>
    <w:rsid w:val="008756A1"/>
    <w:rsid w:val="008756AE"/>
    <w:rsid w:val="00875757"/>
    <w:rsid w:val="00875824"/>
    <w:rsid w:val="00875836"/>
    <w:rsid w:val="008758C3"/>
    <w:rsid w:val="0087591C"/>
    <w:rsid w:val="00875951"/>
    <w:rsid w:val="00875B0F"/>
    <w:rsid w:val="00875BAD"/>
    <w:rsid w:val="00875C6E"/>
    <w:rsid w:val="00875CB7"/>
    <w:rsid w:val="00875D01"/>
    <w:rsid w:val="00875D2F"/>
    <w:rsid w:val="00875D72"/>
    <w:rsid w:val="00875D8E"/>
    <w:rsid w:val="00875E57"/>
    <w:rsid w:val="00875EB6"/>
    <w:rsid w:val="00875EC5"/>
    <w:rsid w:val="00875ECC"/>
    <w:rsid w:val="00875F1C"/>
    <w:rsid w:val="00875F3D"/>
    <w:rsid w:val="00875F7B"/>
    <w:rsid w:val="00875FE3"/>
    <w:rsid w:val="00876318"/>
    <w:rsid w:val="0087637D"/>
    <w:rsid w:val="008763AB"/>
    <w:rsid w:val="008763AC"/>
    <w:rsid w:val="008763DC"/>
    <w:rsid w:val="008764AB"/>
    <w:rsid w:val="008764DF"/>
    <w:rsid w:val="008764FD"/>
    <w:rsid w:val="0087650B"/>
    <w:rsid w:val="00876522"/>
    <w:rsid w:val="008765B6"/>
    <w:rsid w:val="00876657"/>
    <w:rsid w:val="00876691"/>
    <w:rsid w:val="00876698"/>
    <w:rsid w:val="0087687D"/>
    <w:rsid w:val="008768E8"/>
    <w:rsid w:val="008769C9"/>
    <w:rsid w:val="00876A21"/>
    <w:rsid w:val="00876A63"/>
    <w:rsid w:val="00876A81"/>
    <w:rsid w:val="00876B16"/>
    <w:rsid w:val="00876B1A"/>
    <w:rsid w:val="00876BA3"/>
    <w:rsid w:val="00876BB0"/>
    <w:rsid w:val="00876C87"/>
    <w:rsid w:val="00876D2C"/>
    <w:rsid w:val="00876D60"/>
    <w:rsid w:val="00876DA2"/>
    <w:rsid w:val="00876DB7"/>
    <w:rsid w:val="00876DF7"/>
    <w:rsid w:val="00876E09"/>
    <w:rsid w:val="00877014"/>
    <w:rsid w:val="008770ED"/>
    <w:rsid w:val="0087711A"/>
    <w:rsid w:val="008771CA"/>
    <w:rsid w:val="008772B4"/>
    <w:rsid w:val="008772DE"/>
    <w:rsid w:val="00877335"/>
    <w:rsid w:val="00877355"/>
    <w:rsid w:val="008773A3"/>
    <w:rsid w:val="008773BD"/>
    <w:rsid w:val="008773F5"/>
    <w:rsid w:val="0087740D"/>
    <w:rsid w:val="0087741D"/>
    <w:rsid w:val="00877473"/>
    <w:rsid w:val="00877475"/>
    <w:rsid w:val="008775A9"/>
    <w:rsid w:val="0087764F"/>
    <w:rsid w:val="008777E7"/>
    <w:rsid w:val="008778E6"/>
    <w:rsid w:val="008779C5"/>
    <w:rsid w:val="00877AB8"/>
    <w:rsid w:val="00877ACA"/>
    <w:rsid w:val="00877B3F"/>
    <w:rsid w:val="00877BBE"/>
    <w:rsid w:val="00877C38"/>
    <w:rsid w:val="00877CC3"/>
    <w:rsid w:val="00877CCE"/>
    <w:rsid w:val="00877CF2"/>
    <w:rsid w:val="00877E64"/>
    <w:rsid w:val="00877EBC"/>
    <w:rsid w:val="00880068"/>
    <w:rsid w:val="008800D8"/>
    <w:rsid w:val="00880152"/>
    <w:rsid w:val="008801FA"/>
    <w:rsid w:val="0088022C"/>
    <w:rsid w:val="00880332"/>
    <w:rsid w:val="00880434"/>
    <w:rsid w:val="00880657"/>
    <w:rsid w:val="00880661"/>
    <w:rsid w:val="008806D6"/>
    <w:rsid w:val="008806E1"/>
    <w:rsid w:val="0088079D"/>
    <w:rsid w:val="008807F3"/>
    <w:rsid w:val="0088080E"/>
    <w:rsid w:val="0088082E"/>
    <w:rsid w:val="00880875"/>
    <w:rsid w:val="008808A3"/>
    <w:rsid w:val="0088092B"/>
    <w:rsid w:val="00880B1D"/>
    <w:rsid w:val="00880BC8"/>
    <w:rsid w:val="00880C08"/>
    <w:rsid w:val="00880CAA"/>
    <w:rsid w:val="00880CE9"/>
    <w:rsid w:val="00880D8B"/>
    <w:rsid w:val="00880DFC"/>
    <w:rsid w:val="00880E0C"/>
    <w:rsid w:val="00880EA4"/>
    <w:rsid w:val="00880F20"/>
    <w:rsid w:val="0088104C"/>
    <w:rsid w:val="0088109C"/>
    <w:rsid w:val="008810C2"/>
    <w:rsid w:val="008811E6"/>
    <w:rsid w:val="0088128B"/>
    <w:rsid w:val="008812BD"/>
    <w:rsid w:val="00881363"/>
    <w:rsid w:val="00881391"/>
    <w:rsid w:val="008813C6"/>
    <w:rsid w:val="0088143B"/>
    <w:rsid w:val="00881470"/>
    <w:rsid w:val="008814B7"/>
    <w:rsid w:val="008814F1"/>
    <w:rsid w:val="00881504"/>
    <w:rsid w:val="008815C8"/>
    <w:rsid w:val="00881671"/>
    <w:rsid w:val="00881769"/>
    <w:rsid w:val="008817AE"/>
    <w:rsid w:val="008817D4"/>
    <w:rsid w:val="008817FD"/>
    <w:rsid w:val="0088185A"/>
    <w:rsid w:val="0088188C"/>
    <w:rsid w:val="008818B6"/>
    <w:rsid w:val="008818C1"/>
    <w:rsid w:val="0088195A"/>
    <w:rsid w:val="008819BA"/>
    <w:rsid w:val="008819E2"/>
    <w:rsid w:val="00881A8D"/>
    <w:rsid w:val="00881A97"/>
    <w:rsid w:val="00881AB6"/>
    <w:rsid w:val="00881B74"/>
    <w:rsid w:val="00881B84"/>
    <w:rsid w:val="00881C2A"/>
    <w:rsid w:val="00881C31"/>
    <w:rsid w:val="00881E06"/>
    <w:rsid w:val="00881E6C"/>
    <w:rsid w:val="00881F46"/>
    <w:rsid w:val="00881F65"/>
    <w:rsid w:val="00882075"/>
    <w:rsid w:val="00882127"/>
    <w:rsid w:val="008821D4"/>
    <w:rsid w:val="0088221E"/>
    <w:rsid w:val="00882242"/>
    <w:rsid w:val="008822F7"/>
    <w:rsid w:val="0088230C"/>
    <w:rsid w:val="0088238B"/>
    <w:rsid w:val="008823EB"/>
    <w:rsid w:val="008824F7"/>
    <w:rsid w:val="00882539"/>
    <w:rsid w:val="008825A8"/>
    <w:rsid w:val="0088268D"/>
    <w:rsid w:val="008826E1"/>
    <w:rsid w:val="00882707"/>
    <w:rsid w:val="0088272F"/>
    <w:rsid w:val="00882775"/>
    <w:rsid w:val="00882795"/>
    <w:rsid w:val="00882909"/>
    <w:rsid w:val="0088294A"/>
    <w:rsid w:val="008829F6"/>
    <w:rsid w:val="00882AD5"/>
    <w:rsid w:val="00882B41"/>
    <w:rsid w:val="00882B87"/>
    <w:rsid w:val="00882C15"/>
    <w:rsid w:val="00882D9A"/>
    <w:rsid w:val="00882E42"/>
    <w:rsid w:val="00882E7B"/>
    <w:rsid w:val="00882F4C"/>
    <w:rsid w:val="00882F83"/>
    <w:rsid w:val="00883026"/>
    <w:rsid w:val="0088303A"/>
    <w:rsid w:val="00883268"/>
    <w:rsid w:val="008833A1"/>
    <w:rsid w:val="008834AE"/>
    <w:rsid w:val="008834AF"/>
    <w:rsid w:val="0088354E"/>
    <w:rsid w:val="00883625"/>
    <w:rsid w:val="008836FB"/>
    <w:rsid w:val="0088370F"/>
    <w:rsid w:val="00883750"/>
    <w:rsid w:val="008837B0"/>
    <w:rsid w:val="008837F1"/>
    <w:rsid w:val="00883806"/>
    <w:rsid w:val="00883954"/>
    <w:rsid w:val="00883964"/>
    <w:rsid w:val="00883A31"/>
    <w:rsid w:val="00883AA5"/>
    <w:rsid w:val="00883B08"/>
    <w:rsid w:val="00883B0B"/>
    <w:rsid w:val="00883BB7"/>
    <w:rsid w:val="00883C0C"/>
    <w:rsid w:val="00883C1D"/>
    <w:rsid w:val="00883C2D"/>
    <w:rsid w:val="00883CD4"/>
    <w:rsid w:val="00883D78"/>
    <w:rsid w:val="00883E82"/>
    <w:rsid w:val="0088406E"/>
    <w:rsid w:val="0088409E"/>
    <w:rsid w:val="008840AF"/>
    <w:rsid w:val="008841FF"/>
    <w:rsid w:val="008842B5"/>
    <w:rsid w:val="00884305"/>
    <w:rsid w:val="008843A0"/>
    <w:rsid w:val="008843C4"/>
    <w:rsid w:val="008843F5"/>
    <w:rsid w:val="0088443D"/>
    <w:rsid w:val="0088447B"/>
    <w:rsid w:val="00884539"/>
    <w:rsid w:val="008845AF"/>
    <w:rsid w:val="00884673"/>
    <w:rsid w:val="008846A2"/>
    <w:rsid w:val="008846D3"/>
    <w:rsid w:val="00884776"/>
    <w:rsid w:val="008847AF"/>
    <w:rsid w:val="008847CA"/>
    <w:rsid w:val="008848BA"/>
    <w:rsid w:val="008848E0"/>
    <w:rsid w:val="0088493E"/>
    <w:rsid w:val="0088499C"/>
    <w:rsid w:val="008849CE"/>
    <w:rsid w:val="00884A13"/>
    <w:rsid w:val="00884A24"/>
    <w:rsid w:val="00884AF5"/>
    <w:rsid w:val="00884D12"/>
    <w:rsid w:val="00884D5F"/>
    <w:rsid w:val="00884DA7"/>
    <w:rsid w:val="00884E2B"/>
    <w:rsid w:val="00884E65"/>
    <w:rsid w:val="00884F57"/>
    <w:rsid w:val="00884F9B"/>
    <w:rsid w:val="00885050"/>
    <w:rsid w:val="00885068"/>
    <w:rsid w:val="0088513B"/>
    <w:rsid w:val="0088514E"/>
    <w:rsid w:val="008851EE"/>
    <w:rsid w:val="00885226"/>
    <w:rsid w:val="00885291"/>
    <w:rsid w:val="0088529D"/>
    <w:rsid w:val="0088531F"/>
    <w:rsid w:val="00885345"/>
    <w:rsid w:val="00885421"/>
    <w:rsid w:val="00885448"/>
    <w:rsid w:val="008854B9"/>
    <w:rsid w:val="008854BC"/>
    <w:rsid w:val="008855F3"/>
    <w:rsid w:val="0088568C"/>
    <w:rsid w:val="008856DC"/>
    <w:rsid w:val="008856F2"/>
    <w:rsid w:val="0088584F"/>
    <w:rsid w:val="00885857"/>
    <w:rsid w:val="00885A1B"/>
    <w:rsid w:val="00885B71"/>
    <w:rsid w:val="00885C71"/>
    <w:rsid w:val="00885D64"/>
    <w:rsid w:val="00885D95"/>
    <w:rsid w:val="00885DB8"/>
    <w:rsid w:val="00885E56"/>
    <w:rsid w:val="00885E7C"/>
    <w:rsid w:val="00885EEC"/>
    <w:rsid w:val="00885F48"/>
    <w:rsid w:val="00885F49"/>
    <w:rsid w:val="00885F7F"/>
    <w:rsid w:val="00885F80"/>
    <w:rsid w:val="00885F9A"/>
    <w:rsid w:val="00885FEF"/>
    <w:rsid w:val="00886089"/>
    <w:rsid w:val="0088620A"/>
    <w:rsid w:val="00886268"/>
    <w:rsid w:val="008862A5"/>
    <w:rsid w:val="008862B1"/>
    <w:rsid w:val="008862C4"/>
    <w:rsid w:val="008862CB"/>
    <w:rsid w:val="00886328"/>
    <w:rsid w:val="00886354"/>
    <w:rsid w:val="00886453"/>
    <w:rsid w:val="00886644"/>
    <w:rsid w:val="00886656"/>
    <w:rsid w:val="00886691"/>
    <w:rsid w:val="0088678D"/>
    <w:rsid w:val="008867A6"/>
    <w:rsid w:val="00886872"/>
    <w:rsid w:val="00886888"/>
    <w:rsid w:val="008868A1"/>
    <w:rsid w:val="008868AF"/>
    <w:rsid w:val="008868D0"/>
    <w:rsid w:val="008868F3"/>
    <w:rsid w:val="00886943"/>
    <w:rsid w:val="00886954"/>
    <w:rsid w:val="008869D1"/>
    <w:rsid w:val="008869E9"/>
    <w:rsid w:val="00886AB4"/>
    <w:rsid w:val="00886C02"/>
    <w:rsid w:val="00886C88"/>
    <w:rsid w:val="00886CEF"/>
    <w:rsid w:val="00886D7E"/>
    <w:rsid w:val="00886DAC"/>
    <w:rsid w:val="00886EE8"/>
    <w:rsid w:val="00886F71"/>
    <w:rsid w:val="00886F84"/>
    <w:rsid w:val="008870B7"/>
    <w:rsid w:val="008870FA"/>
    <w:rsid w:val="00887171"/>
    <w:rsid w:val="008871DE"/>
    <w:rsid w:val="008871FF"/>
    <w:rsid w:val="0088720B"/>
    <w:rsid w:val="00887236"/>
    <w:rsid w:val="0088725F"/>
    <w:rsid w:val="00887279"/>
    <w:rsid w:val="008873BC"/>
    <w:rsid w:val="008873F9"/>
    <w:rsid w:val="00887419"/>
    <w:rsid w:val="00887479"/>
    <w:rsid w:val="008874B6"/>
    <w:rsid w:val="008874E3"/>
    <w:rsid w:val="00887549"/>
    <w:rsid w:val="00887573"/>
    <w:rsid w:val="0088760F"/>
    <w:rsid w:val="008876C1"/>
    <w:rsid w:val="00887743"/>
    <w:rsid w:val="0088781E"/>
    <w:rsid w:val="00887857"/>
    <w:rsid w:val="008878DA"/>
    <w:rsid w:val="008879D8"/>
    <w:rsid w:val="00887A74"/>
    <w:rsid w:val="00887AA8"/>
    <w:rsid w:val="00887B11"/>
    <w:rsid w:val="00887B9A"/>
    <w:rsid w:val="00887BDE"/>
    <w:rsid w:val="00887BE9"/>
    <w:rsid w:val="00887BEF"/>
    <w:rsid w:val="00887C90"/>
    <w:rsid w:val="00887CAE"/>
    <w:rsid w:val="00887D6B"/>
    <w:rsid w:val="00887DCB"/>
    <w:rsid w:val="00887DE6"/>
    <w:rsid w:val="00887FE6"/>
    <w:rsid w:val="0089009A"/>
    <w:rsid w:val="0089009B"/>
    <w:rsid w:val="008900E4"/>
    <w:rsid w:val="00890148"/>
    <w:rsid w:val="008901BC"/>
    <w:rsid w:val="008901F1"/>
    <w:rsid w:val="00890218"/>
    <w:rsid w:val="0089021C"/>
    <w:rsid w:val="00890239"/>
    <w:rsid w:val="0089024B"/>
    <w:rsid w:val="008902E8"/>
    <w:rsid w:val="008902F1"/>
    <w:rsid w:val="00890365"/>
    <w:rsid w:val="008903AE"/>
    <w:rsid w:val="008903D3"/>
    <w:rsid w:val="008903FE"/>
    <w:rsid w:val="008904FF"/>
    <w:rsid w:val="00890588"/>
    <w:rsid w:val="00890697"/>
    <w:rsid w:val="008906F5"/>
    <w:rsid w:val="008908A9"/>
    <w:rsid w:val="00890928"/>
    <w:rsid w:val="0089092B"/>
    <w:rsid w:val="008909BD"/>
    <w:rsid w:val="00890A8B"/>
    <w:rsid w:val="00890AD3"/>
    <w:rsid w:val="00890B3F"/>
    <w:rsid w:val="00890B58"/>
    <w:rsid w:val="00890BDB"/>
    <w:rsid w:val="00890C12"/>
    <w:rsid w:val="00890C57"/>
    <w:rsid w:val="00890CFA"/>
    <w:rsid w:val="00890CFB"/>
    <w:rsid w:val="00890D7F"/>
    <w:rsid w:val="00890DE7"/>
    <w:rsid w:val="00890E11"/>
    <w:rsid w:val="00890FDA"/>
    <w:rsid w:val="0089107C"/>
    <w:rsid w:val="00891099"/>
    <w:rsid w:val="0089112C"/>
    <w:rsid w:val="008912C9"/>
    <w:rsid w:val="008913AF"/>
    <w:rsid w:val="008913B2"/>
    <w:rsid w:val="008913E9"/>
    <w:rsid w:val="00891591"/>
    <w:rsid w:val="008915C2"/>
    <w:rsid w:val="00891606"/>
    <w:rsid w:val="00891613"/>
    <w:rsid w:val="0089161D"/>
    <w:rsid w:val="00891631"/>
    <w:rsid w:val="008916BD"/>
    <w:rsid w:val="008916D0"/>
    <w:rsid w:val="008916D6"/>
    <w:rsid w:val="00891725"/>
    <w:rsid w:val="00891727"/>
    <w:rsid w:val="00891735"/>
    <w:rsid w:val="00891794"/>
    <w:rsid w:val="008917C1"/>
    <w:rsid w:val="00891A24"/>
    <w:rsid w:val="00891ABB"/>
    <w:rsid w:val="00891B1E"/>
    <w:rsid w:val="00891B37"/>
    <w:rsid w:val="00891B49"/>
    <w:rsid w:val="00891B7D"/>
    <w:rsid w:val="00891BB0"/>
    <w:rsid w:val="00891C01"/>
    <w:rsid w:val="00891C05"/>
    <w:rsid w:val="00891C46"/>
    <w:rsid w:val="00891C79"/>
    <w:rsid w:val="00891D15"/>
    <w:rsid w:val="00891D18"/>
    <w:rsid w:val="00891E0A"/>
    <w:rsid w:val="00891E52"/>
    <w:rsid w:val="00891EE9"/>
    <w:rsid w:val="00891EFB"/>
    <w:rsid w:val="00891F31"/>
    <w:rsid w:val="00891F48"/>
    <w:rsid w:val="00891F93"/>
    <w:rsid w:val="00891FA3"/>
    <w:rsid w:val="008921BA"/>
    <w:rsid w:val="008921E9"/>
    <w:rsid w:val="00892268"/>
    <w:rsid w:val="0089236E"/>
    <w:rsid w:val="00892370"/>
    <w:rsid w:val="0089248C"/>
    <w:rsid w:val="00892492"/>
    <w:rsid w:val="008924FF"/>
    <w:rsid w:val="00892570"/>
    <w:rsid w:val="008925E0"/>
    <w:rsid w:val="0089277E"/>
    <w:rsid w:val="008927A1"/>
    <w:rsid w:val="008927C2"/>
    <w:rsid w:val="008927DD"/>
    <w:rsid w:val="008927E5"/>
    <w:rsid w:val="008927E9"/>
    <w:rsid w:val="0089289B"/>
    <w:rsid w:val="0089289D"/>
    <w:rsid w:val="008928F0"/>
    <w:rsid w:val="008929F3"/>
    <w:rsid w:val="00892AEB"/>
    <w:rsid w:val="00892B1E"/>
    <w:rsid w:val="00892B27"/>
    <w:rsid w:val="00892BC2"/>
    <w:rsid w:val="00892BF9"/>
    <w:rsid w:val="00892C45"/>
    <w:rsid w:val="00892C4B"/>
    <w:rsid w:val="00892D08"/>
    <w:rsid w:val="00892D25"/>
    <w:rsid w:val="00892D49"/>
    <w:rsid w:val="00892E62"/>
    <w:rsid w:val="00892EA8"/>
    <w:rsid w:val="00892F17"/>
    <w:rsid w:val="00892F4A"/>
    <w:rsid w:val="00893010"/>
    <w:rsid w:val="00893064"/>
    <w:rsid w:val="008930C6"/>
    <w:rsid w:val="0089311A"/>
    <w:rsid w:val="008931A3"/>
    <w:rsid w:val="008931A4"/>
    <w:rsid w:val="008931DC"/>
    <w:rsid w:val="0089323F"/>
    <w:rsid w:val="008932E0"/>
    <w:rsid w:val="0089334D"/>
    <w:rsid w:val="00893362"/>
    <w:rsid w:val="0089341E"/>
    <w:rsid w:val="00893471"/>
    <w:rsid w:val="008934DE"/>
    <w:rsid w:val="0089367A"/>
    <w:rsid w:val="008936F1"/>
    <w:rsid w:val="0089378E"/>
    <w:rsid w:val="0089379C"/>
    <w:rsid w:val="008937E8"/>
    <w:rsid w:val="00893886"/>
    <w:rsid w:val="00893995"/>
    <w:rsid w:val="008939AF"/>
    <w:rsid w:val="008939C4"/>
    <w:rsid w:val="00893A83"/>
    <w:rsid w:val="00893A85"/>
    <w:rsid w:val="00893A9B"/>
    <w:rsid w:val="00893A9F"/>
    <w:rsid w:val="00893ACC"/>
    <w:rsid w:val="00893ACE"/>
    <w:rsid w:val="00893B1F"/>
    <w:rsid w:val="00893B5A"/>
    <w:rsid w:val="00893CAC"/>
    <w:rsid w:val="00893D65"/>
    <w:rsid w:val="00893DB9"/>
    <w:rsid w:val="00893E61"/>
    <w:rsid w:val="00893E7F"/>
    <w:rsid w:val="00893E86"/>
    <w:rsid w:val="00893EB9"/>
    <w:rsid w:val="00893EC8"/>
    <w:rsid w:val="00893F73"/>
    <w:rsid w:val="00893FB5"/>
    <w:rsid w:val="00893FB7"/>
    <w:rsid w:val="00893FC7"/>
    <w:rsid w:val="00894096"/>
    <w:rsid w:val="0089409C"/>
    <w:rsid w:val="008940C8"/>
    <w:rsid w:val="00894197"/>
    <w:rsid w:val="008941A4"/>
    <w:rsid w:val="008941F1"/>
    <w:rsid w:val="0089421A"/>
    <w:rsid w:val="00894239"/>
    <w:rsid w:val="00894303"/>
    <w:rsid w:val="00894348"/>
    <w:rsid w:val="0089434F"/>
    <w:rsid w:val="00894351"/>
    <w:rsid w:val="00894364"/>
    <w:rsid w:val="0089445C"/>
    <w:rsid w:val="008944A4"/>
    <w:rsid w:val="008944C8"/>
    <w:rsid w:val="00894533"/>
    <w:rsid w:val="00894551"/>
    <w:rsid w:val="00894570"/>
    <w:rsid w:val="008945B3"/>
    <w:rsid w:val="008946E1"/>
    <w:rsid w:val="0089474A"/>
    <w:rsid w:val="00894806"/>
    <w:rsid w:val="00894878"/>
    <w:rsid w:val="008948FF"/>
    <w:rsid w:val="0089495A"/>
    <w:rsid w:val="008949C3"/>
    <w:rsid w:val="008949CC"/>
    <w:rsid w:val="008949E7"/>
    <w:rsid w:val="00894A7A"/>
    <w:rsid w:val="00894AA9"/>
    <w:rsid w:val="00894AEA"/>
    <w:rsid w:val="00894B24"/>
    <w:rsid w:val="00894B40"/>
    <w:rsid w:val="00894C74"/>
    <w:rsid w:val="00894C95"/>
    <w:rsid w:val="00894E08"/>
    <w:rsid w:val="00894E1B"/>
    <w:rsid w:val="00894E29"/>
    <w:rsid w:val="00894E63"/>
    <w:rsid w:val="00894EE2"/>
    <w:rsid w:val="00894FC2"/>
    <w:rsid w:val="0089508E"/>
    <w:rsid w:val="00895092"/>
    <w:rsid w:val="00895130"/>
    <w:rsid w:val="00895155"/>
    <w:rsid w:val="00895160"/>
    <w:rsid w:val="008952E0"/>
    <w:rsid w:val="008953BB"/>
    <w:rsid w:val="0089540F"/>
    <w:rsid w:val="00895413"/>
    <w:rsid w:val="008954CD"/>
    <w:rsid w:val="0089553F"/>
    <w:rsid w:val="008955BB"/>
    <w:rsid w:val="008955CE"/>
    <w:rsid w:val="00895663"/>
    <w:rsid w:val="008956C4"/>
    <w:rsid w:val="008957C8"/>
    <w:rsid w:val="00895886"/>
    <w:rsid w:val="00895928"/>
    <w:rsid w:val="00895974"/>
    <w:rsid w:val="00895A72"/>
    <w:rsid w:val="00895B36"/>
    <w:rsid w:val="00895C61"/>
    <w:rsid w:val="00895CA3"/>
    <w:rsid w:val="00895CFD"/>
    <w:rsid w:val="00895D63"/>
    <w:rsid w:val="00895D7C"/>
    <w:rsid w:val="00895DCD"/>
    <w:rsid w:val="00895E57"/>
    <w:rsid w:val="00895E74"/>
    <w:rsid w:val="00895E84"/>
    <w:rsid w:val="00895F48"/>
    <w:rsid w:val="008960DE"/>
    <w:rsid w:val="00896239"/>
    <w:rsid w:val="0089628E"/>
    <w:rsid w:val="008963D7"/>
    <w:rsid w:val="008963E4"/>
    <w:rsid w:val="008963F4"/>
    <w:rsid w:val="008964EC"/>
    <w:rsid w:val="00896565"/>
    <w:rsid w:val="00896614"/>
    <w:rsid w:val="0089662F"/>
    <w:rsid w:val="008967AD"/>
    <w:rsid w:val="008967C5"/>
    <w:rsid w:val="008967EB"/>
    <w:rsid w:val="008969FD"/>
    <w:rsid w:val="00896A08"/>
    <w:rsid w:val="00896A17"/>
    <w:rsid w:val="00896C85"/>
    <w:rsid w:val="00896E1E"/>
    <w:rsid w:val="00896E9A"/>
    <w:rsid w:val="00896F34"/>
    <w:rsid w:val="00896FA7"/>
    <w:rsid w:val="00896FEA"/>
    <w:rsid w:val="0089702C"/>
    <w:rsid w:val="0089733D"/>
    <w:rsid w:val="00897457"/>
    <w:rsid w:val="0089748B"/>
    <w:rsid w:val="008974C4"/>
    <w:rsid w:val="008975BC"/>
    <w:rsid w:val="008975ED"/>
    <w:rsid w:val="00897A58"/>
    <w:rsid w:val="00897A8C"/>
    <w:rsid w:val="00897B3E"/>
    <w:rsid w:val="00897B51"/>
    <w:rsid w:val="00897BCA"/>
    <w:rsid w:val="00897C1E"/>
    <w:rsid w:val="00897C7E"/>
    <w:rsid w:val="00897CD9"/>
    <w:rsid w:val="00897E10"/>
    <w:rsid w:val="00897E4D"/>
    <w:rsid w:val="00897E76"/>
    <w:rsid w:val="00897EB3"/>
    <w:rsid w:val="00897EB7"/>
    <w:rsid w:val="00897ECA"/>
    <w:rsid w:val="00897F06"/>
    <w:rsid w:val="00897FC6"/>
    <w:rsid w:val="00897FCE"/>
    <w:rsid w:val="008A0053"/>
    <w:rsid w:val="008A017F"/>
    <w:rsid w:val="008A01D3"/>
    <w:rsid w:val="008A026A"/>
    <w:rsid w:val="008A02E5"/>
    <w:rsid w:val="008A0331"/>
    <w:rsid w:val="008A03C0"/>
    <w:rsid w:val="008A040F"/>
    <w:rsid w:val="008A0491"/>
    <w:rsid w:val="008A0497"/>
    <w:rsid w:val="008A04C9"/>
    <w:rsid w:val="008A0577"/>
    <w:rsid w:val="008A05DB"/>
    <w:rsid w:val="008A0660"/>
    <w:rsid w:val="008A0691"/>
    <w:rsid w:val="008A06F0"/>
    <w:rsid w:val="008A0707"/>
    <w:rsid w:val="008A076A"/>
    <w:rsid w:val="008A07CD"/>
    <w:rsid w:val="008A084D"/>
    <w:rsid w:val="008A087E"/>
    <w:rsid w:val="008A08BF"/>
    <w:rsid w:val="008A0984"/>
    <w:rsid w:val="008A09D7"/>
    <w:rsid w:val="008A09EB"/>
    <w:rsid w:val="008A0A51"/>
    <w:rsid w:val="008A0A89"/>
    <w:rsid w:val="008A0AB4"/>
    <w:rsid w:val="008A0AEA"/>
    <w:rsid w:val="008A0B4B"/>
    <w:rsid w:val="008A0B61"/>
    <w:rsid w:val="008A0E69"/>
    <w:rsid w:val="008A0EDD"/>
    <w:rsid w:val="008A0F55"/>
    <w:rsid w:val="008A0F7C"/>
    <w:rsid w:val="008A0FA7"/>
    <w:rsid w:val="008A0FB0"/>
    <w:rsid w:val="008A1093"/>
    <w:rsid w:val="008A1181"/>
    <w:rsid w:val="008A11F6"/>
    <w:rsid w:val="008A1206"/>
    <w:rsid w:val="008A1228"/>
    <w:rsid w:val="008A1251"/>
    <w:rsid w:val="008A1264"/>
    <w:rsid w:val="008A12B3"/>
    <w:rsid w:val="008A12CD"/>
    <w:rsid w:val="008A12EF"/>
    <w:rsid w:val="008A130B"/>
    <w:rsid w:val="008A13DB"/>
    <w:rsid w:val="008A14F3"/>
    <w:rsid w:val="008A1589"/>
    <w:rsid w:val="008A15AA"/>
    <w:rsid w:val="008A17E7"/>
    <w:rsid w:val="008A17F9"/>
    <w:rsid w:val="008A1806"/>
    <w:rsid w:val="008A1808"/>
    <w:rsid w:val="008A1809"/>
    <w:rsid w:val="008A18D0"/>
    <w:rsid w:val="008A1900"/>
    <w:rsid w:val="008A1912"/>
    <w:rsid w:val="008A1965"/>
    <w:rsid w:val="008A1A52"/>
    <w:rsid w:val="008A1B07"/>
    <w:rsid w:val="008A1B7B"/>
    <w:rsid w:val="008A1C20"/>
    <w:rsid w:val="008A1C3B"/>
    <w:rsid w:val="008A1C9C"/>
    <w:rsid w:val="008A1CD7"/>
    <w:rsid w:val="008A1CF8"/>
    <w:rsid w:val="008A1D1C"/>
    <w:rsid w:val="008A1D54"/>
    <w:rsid w:val="008A1DAF"/>
    <w:rsid w:val="008A1DDD"/>
    <w:rsid w:val="008A1ECC"/>
    <w:rsid w:val="008A1FE3"/>
    <w:rsid w:val="008A2019"/>
    <w:rsid w:val="008A205C"/>
    <w:rsid w:val="008A2085"/>
    <w:rsid w:val="008A20E2"/>
    <w:rsid w:val="008A2114"/>
    <w:rsid w:val="008A2169"/>
    <w:rsid w:val="008A217B"/>
    <w:rsid w:val="008A21AA"/>
    <w:rsid w:val="008A237C"/>
    <w:rsid w:val="008A2394"/>
    <w:rsid w:val="008A23C0"/>
    <w:rsid w:val="008A244D"/>
    <w:rsid w:val="008A24BC"/>
    <w:rsid w:val="008A24D8"/>
    <w:rsid w:val="008A2531"/>
    <w:rsid w:val="008A25A7"/>
    <w:rsid w:val="008A2696"/>
    <w:rsid w:val="008A273A"/>
    <w:rsid w:val="008A27B0"/>
    <w:rsid w:val="008A28F0"/>
    <w:rsid w:val="008A292D"/>
    <w:rsid w:val="008A2948"/>
    <w:rsid w:val="008A2995"/>
    <w:rsid w:val="008A2998"/>
    <w:rsid w:val="008A2A0D"/>
    <w:rsid w:val="008A2A23"/>
    <w:rsid w:val="008A2A6D"/>
    <w:rsid w:val="008A2A76"/>
    <w:rsid w:val="008A2B5D"/>
    <w:rsid w:val="008A2B60"/>
    <w:rsid w:val="008A2B9E"/>
    <w:rsid w:val="008A2C0D"/>
    <w:rsid w:val="008A2D05"/>
    <w:rsid w:val="008A2D58"/>
    <w:rsid w:val="008A2D8D"/>
    <w:rsid w:val="008A2DE6"/>
    <w:rsid w:val="008A2E20"/>
    <w:rsid w:val="008A2E73"/>
    <w:rsid w:val="008A2EE5"/>
    <w:rsid w:val="008A2EFB"/>
    <w:rsid w:val="008A2F94"/>
    <w:rsid w:val="008A2FC0"/>
    <w:rsid w:val="008A3051"/>
    <w:rsid w:val="008A3118"/>
    <w:rsid w:val="008A316A"/>
    <w:rsid w:val="008A3229"/>
    <w:rsid w:val="008A327B"/>
    <w:rsid w:val="008A332F"/>
    <w:rsid w:val="008A343E"/>
    <w:rsid w:val="008A35C5"/>
    <w:rsid w:val="008A35F6"/>
    <w:rsid w:val="008A360F"/>
    <w:rsid w:val="008A3617"/>
    <w:rsid w:val="008A3625"/>
    <w:rsid w:val="008A3751"/>
    <w:rsid w:val="008A37E7"/>
    <w:rsid w:val="008A380B"/>
    <w:rsid w:val="008A3951"/>
    <w:rsid w:val="008A39FC"/>
    <w:rsid w:val="008A3A0B"/>
    <w:rsid w:val="008A3A62"/>
    <w:rsid w:val="008A3AFA"/>
    <w:rsid w:val="008A3C2C"/>
    <w:rsid w:val="008A3D31"/>
    <w:rsid w:val="008A3D35"/>
    <w:rsid w:val="008A3D3B"/>
    <w:rsid w:val="008A3E56"/>
    <w:rsid w:val="008A3E72"/>
    <w:rsid w:val="008A3EDC"/>
    <w:rsid w:val="008A3F1C"/>
    <w:rsid w:val="008A4065"/>
    <w:rsid w:val="008A4110"/>
    <w:rsid w:val="008A4365"/>
    <w:rsid w:val="008A4440"/>
    <w:rsid w:val="008A4457"/>
    <w:rsid w:val="008A446A"/>
    <w:rsid w:val="008A447C"/>
    <w:rsid w:val="008A44CB"/>
    <w:rsid w:val="008A460B"/>
    <w:rsid w:val="008A463A"/>
    <w:rsid w:val="008A47CD"/>
    <w:rsid w:val="008A47F2"/>
    <w:rsid w:val="008A481A"/>
    <w:rsid w:val="008A4830"/>
    <w:rsid w:val="008A483D"/>
    <w:rsid w:val="008A4867"/>
    <w:rsid w:val="008A48F7"/>
    <w:rsid w:val="008A4902"/>
    <w:rsid w:val="008A49AE"/>
    <w:rsid w:val="008A49C8"/>
    <w:rsid w:val="008A4A26"/>
    <w:rsid w:val="008A4AD9"/>
    <w:rsid w:val="008A4AF3"/>
    <w:rsid w:val="008A4B22"/>
    <w:rsid w:val="008A4BB7"/>
    <w:rsid w:val="008A4BD1"/>
    <w:rsid w:val="008A4BE1"/>
    <w:rsid w:val="008A4D76"/>
    <w:rsid w:val="008A4DD1"/>
    <w:rsid w:val="008A4E55"/>
    <w:rsid w:val="008A4EDE"/>
    <w:rsid w:val="008A4F81"/>
    <w:rsid w:val="008A4FD2"/>
    <w:rsid w:val="008A502E"/>
    <w:rsid w:val="008A5055"/>
    <w:rsid w:val="008A5068"/>
    <w:rsid w:val="008A50C1"/>
    <w:rsid w:val="008A50D7"/>
    <w:rsid w:val="008A514D"/>
    <w:rsid w:val="008A5151"/>
    <w:rsid w:val="008A51DD"/>
    <w:rsid w:val="008A5271"/>
    <w:rsid w:val="008A528E"/>
    <w:rsid w:val="008A52A3"/>
    <w:rsid w:val="008A5362"/>
    <w:rsid w:val="008A537E"/>
    <w:rsid w:val="008A5424"/>
    <w:rsid w:val="008A55CC"/>
    <w:rsid w:val="008A55FF"/>
    <w:rsid w:val="008A5608"/>
    <w:rsid w:val="008A56D9"/>
    <w:rsid w:val="008A5720"/>
    <w:rsid w:val="008A58F6"/>
    <w:rsid w:val="008A5962"/>
    <w:rsid w:val="008A59B7"/>
    <w:rsid w:val="008A59E5"/>
    <w:rsid w:val="008A5A59"/>
    <w:rsid w:val="008A5AF3"/>
    <w:rsid w:val="008A5B35"/>
    <w:rsid w:val="008A5BFA"/>
    <w:rsid w:val="008A5CC6"/>
    <w:rsid w:val="008A5D0F"/>
    <w:rsid w:val="008A5D7D"/>
    <w:rsid w:val="008A5EB5"/>
    <w:rsid w:val="008A5FB6"/>
    <w:rsid w:val="008A60EE"/>
    <w:rsid w:val="008A6159"/>
    <w:rsid w:val="008A61FF"/>
    <w:rsid w:val="008A625A"/>
    <w:rsid w:val="008A6299"/>
    <w:rsid w:val="008A62BC"/>
    <w:rsid w:val="008A6350"/>
    <w:rsid w:val="008A6352"/>
    <w:rsid w:val="008A6363"/>
    <w:rsid w:val="008A63E7"/>
    <w:rsid w:val="008A640E"/>
    <w:rsid w:val="008A647A"/>
    <w:rsid w:val="008A663C"/>
    <w:rsid w:val="008A663D"/>
    <w:rsid w:val="008A667E"/>
    <w:rsid w:val="008A66A1"/>
    <w:rsid w:val="008A6715"/>
    <w:rsid w:val="008A679F"/>
    <w:rsid w:val="008A67C0"/>
    <w:rsid w:val="008A6857"/>
    <w:rsid w:val="008A69E2"/>
    <w:rsid w:val="008A69F1"/>
    <w:rsid w:val="008A6A97"/>
    <w:rsid w:val="008A6C31"/>
    <w:rsid w:val="008A6C38"/>
    <w:rsid w:val="008A6CCC"/>
    <w:rsid w:val="008A6D30"/>
    <w:rsid w:val="008A6DAE"/>
    <w:rsid w:val="008A6DBA"/>
    <w:rsid w:val="008A6EB1"/>
    <w:rsid w:val="008A6F99"/>
    <w:rsid w:val="008A6FF6"/>
    <w:rsid w:val="008A70D5"/>
    <w:rsid w:val="008A722F"/>
    <w:rsid w:val="008A72CD"/>
    <w:rsid w:val="008A73D5"/>
    <w:rsid w:val="008A750E"/>
    <w:rsid w:val="008A752B"/>
    <w:rsid w:val="008A75D0"/>
    <w:rsid w:val="008A7663"/>
    <w:rsid w:val="008A772C"/>
    <w:rsid w:val="008A783A"/>
    <w:rsid w:val="008A795B"/>
    <w:rsid w:val="008A79AC"/>
    <w:rsid w:val="008A79E5"/>
    <w:rsid w:val="008A7B22"/>
    <w:rsid w:val="008A7C17"/>
    <w:rsid w:val="008A7C97"/>
    <w:rsid w:val="008A7CB3"/>
    <w:rsid w:val="008A7CC7"/>
    <w:rsid w:val="008A7E89"/>
    <w:rsid w:val="008A7EC1"/>
    <w:rsid w:val="008B011C"/>
    <w:rsid w:val="008B0131"/>
    <w:rsid w:val="008B02BD"/>
    <w:rsid w:val="008B034B"/>
    <w:rsid w:val="008B035A"/>
    <w:rsid w:val="008B0452"/>
    <w:rsid w:val="008B047E"/>
    <w:rsid w:val="008B048D"/>
    <w:rsid w:val="008B048F"/>
    <w:rsid w:val="008B04D3"/>
    <w:rsid w:val="008B066D"/>
    <w:rsid w:val="008B06A9"/>
    <w:rsid w:val="008B074C"/>
    <w:rsid w:val="008B074D"/>
    <w:rsid w:val="008B082F"/>
    <w:rsid w:val="008B0836"/>
    <w:rsid w:val="008B0885"/>
    <w:rsid w:val="008B0912"/>
    <w:rsid w:val="008B0AA3"/>
    <w:rsid w:val="008B0B46"/>
    <w:rsid w:val="008B0B57"/>
    <w:rsid w:val="008B0B66"/>
    <w:rsid w:val="008B0BDD"/>
    <w:rsid w:val="008B0C40"/>
    <w:rsid w:val="008B0CB1"/>
    <w:rsid w:val="008B0D26"/>
    <w:rsid w:val="008B0E31"/>
    <w:rsid w:val="008B0E6E"/>
    <w:rsid w:val="008B0F40"/>
    <w:rsid w:val="008B0FAE"/>
    <w:rsid w:val="008B1159"/>
    <w:rsid w:val="008B11A0"/>
    <w:rsid w:val="008B1203"/>
    <w:rsid w:val="008B12A7"/>
    <w:rsid w:val="008B12C7"/>
    <w:rsid w:val="008B12EA"/>
    <w:rsid w:val="008B1344"/>
    <w:rsid w:val="008B1350"/>
    <w:rsid w:val="008B13B7"/>
    <w:rsid w:val="008B141E"/>
    <w:rsid w:val="008B1559"/>
    <w:rsid w:val="008B1628"/>
    <w:rsid w:val="008B1642"/>
    <w:rsid w:val="008B175E"/>
    <w:rsid w:val="008B1793"/>
    <w:rsid w:val="008B1848"/>
    <w:rsid w:val="008B1944"/>
    <w:rsid w:val="008B19D6"/>
    <w:rsid w:val="008B19D8"/>
    <w:rsid w:val="008B1A7C"/>
    <w:rsid w:val="008B1AC6"/>
    <w:rsid w:val="008B1AD3"/>
    <w:rsid w:val="008B1ADB"/>
    <w:rsid w:val="008B1BFE"/>
    <w:rsid w:val="008B1CFF"/>
    <w:rsid w:val="008B1D0C"/>
    <w:rsid w:val="008B1D36"/>
    <w:rsid w:val="008B1D4C"/>
    <w:rsid w:val="008B1D8F"/>
    <w:rsid w:val="008B1E02"/>
    <w:rsid w:val="008B1EE6"/>
    <w:rsid w:val="008B1FB9"/>
    <w:rsid w:val="008B20A5"/>
    <w:rsid w:val="008B20B9"/>
    <w:rsid w:val="008B21A7"/>
    <w:rsid w:val="008B21F3"/>
    <w:rsid w:val="008B21F5"/>
    <w:rsid w:val="008B225C"/>
    <w:rsid w:val="008B22EA"/>
    <w:rsid w:val="008B2395"/>
    <w:rsid w:val="008B239F"/>
    <w:rsid w:val="008B23DF"/>
    <w:rsid w:val="008B26F7"/>
    <w:rsid w:val="008B284F"/>
    <w:rsid w:val="008B28A3"/>
    <w:rsid w:val="008B2957"/>
    <w:rsid w:val="008B2974"/>
    <w:rsid w:val="008B297A"/>
    <w:rsid w:val="008B2980"/>
    <w:rsid w:val="008B2989"/>
    <w:rsid w:val="008B2AFD"/>
    <w:rsid w:val="008B2C24"/>
    <w:rsid w:val="008B2C69"/>
    <w:rsid w:val="008B2C7A"/>
    <w:rsid w:val="008B2D80"/>
    <w:rsid w:val="008B2E88"/>
    <w:rsid w:val="008B2EFA"/>
    <w:rsid w:val="008B2F40"/>
    <w:rsid w:val="008B2FC6"/>
    <w:rsid w:val="008B3004"/>
    <w:rsid w:val="008B3013"/>
    <w:rsid w:val="008B3041"/>
    <w:rsid w:val="008B3045"/>
    <w:rsid w:val="008B3082"/>
    <w:rsid w:val="008B3087"/>
    <w:rsid w:val="008B30F9"/>
    <w:rsid w:val="008B314D"/>
    <w:rsid w:val="008B31AE"/>
    <w:rsid w:val="008B31B2"/>
    <w:rsid w:val="008B31E0"/>
    <w:rsid w:val="008B3234"/>
    <w:rsid w:val="008B324D"/>
    <w:rsid w:val="008B3255"/>
    <w:rsid w:val="008B3339"/>
    <w:rsid w:val="008B335D"/>
    <w:rsid w:val="008B33A3"/>
    <w:rsid w:val="008B34C3"/>
    <w:rsid w:val="008B3526"/>
    <w:rsid w:val="008B35B3"/>
    <w:rsid w:val="008B36B7"/>
    <w:rsid w:val="008B36C8"/>
    <w:rsid w:val="008B370C"/>
    <w:rsid w:val="008B374A"/>
    <w:rsid w:val="008B375A"/>
    <w:rsid w:val="008B3760"/>
    <w:rsid w:val="008B3768"/>
    <w:rsid w:val="008B3933"/>
    <w:rsid w:val="008B393D"/>
    <w:rsid w:val="008B39F3"/>
    <w:rsid w:val="008B3A32"/>
    <w:rsid w:val="008B3AEE"/>
    <w:rsid w:val="008B3AF8"/>
    <w:rsid w:val="008B3B34"/>
    <w:rsid w:val="008B3B90"/>
    <w:rsid w:val="008B3BCF"/>
    <w:rsid w:val="008B3BE6"/>
    <w:rsid w:val="008B3BEB"/>
    <w:rsid w:val="008B3C10"/>
    <w:rsid w:val="008B3C31"/>
    <w:rsid w:val="008B3C47"/>
    <w:rsid w:val="008B3C4B"/>
    <w:rsid w:val="008B3C4C"/>
    <w:rsid w:val="008B3C67"/>
    <w:rsid w:val="008B3D01"/>
    <w:rsid w:val="008B3D18"/>
    <w:rsid w:val="008B3DD0"/>
    <w:rsid w:val="008B3E20"/>
    <w:rsid w:val="008B3FB2"/>
    <w:rsid w:val="008B3FF2"/>
    <w:rsid w:val="008B40B1"/>
    <w:rsid w:val="008B40D4"/>
    <w:rsid w:val="008B4207"/>
    <w:rsid w:val="008B4365"/>
    <w:rsid w:val="008B439C"/>
    <w:rsid w:val="008B4403"/>
    <w:rsid w:val="008B4417"/>
    <w:rsid w:val="008B4484"/>
    <w:rsid w:val="008B44F7"/>
    <w:rsid w:val="008B459A"/>
    <w:rsid w:val="008B45AE"/>
    <w:rsid w:val="008B47B8"/>
    <w:rsid w:val="008B48D4"/>
    <w:rsid w:val="008B48D6"/>
    <w:rsid w:val="008B49B6"/>
    <w:rsid w:val="008B49D3"/>
    <w:rsid w:val="008B49F9"/>
    <w:rsid w:val="008B4ABA"/>
    <w:rsid w:val="008B4B0C"/>
    <w:rsid w:val="008B4B44"/>
    <w:rsid w:val="008B4B67"/>
    <w:rsid w:val="008B4BB2"/>
    <w:rsid w:val="008B4C5B"/>
    <w:rsid w:val="008B4C6C"/>
    <w:rsid w:val="008B4C73"/>
    <w:rsid w:val="008B4C7E"/>
    <w:rsid w:val="008B4D10"/>
    <w:rsid w:val="008B4D24"/>
    <w:rsid w:val="008B4DB3"/>
    <w:rsid w:val="008B5037"/>
    <w:rsid w:val="008B50B8"/>
    <w:rsid w:val="008B5130"/>
    <w:rsid w:val="008B51E0"/>
    <w:rsid w:val="008B5254"/>
    <w:rsid w:val="008B528B"/>
    <w:rsid w:val="008B52A2"/>
    <w:rsid w:val="008B5330"/>
    <w:rsid w:val="008B545D"/>
    <w:rsid w:val="008B5468"/>
    <w:rsid w:val="008B54BD"/>
    <w:rsid w:val="008B54D6"/>
    <w:rsid w:val="008B54E0"/>
    <w:rsid w:val="008B5509"/>
    <w:rsid w:val="008B5535"/>
    <w:rsid w:val="008B55A8"/>
    <w:rsid w:val="008B55CD"/>
    <w:rsid w:val="008B5704"/>
    <w:rsid w:val="008B5734"/>
    <w:rsid w:val="008B5744"/>
    <w:rsid w:val="008B57D2"/>
    <w:rsid w:val="008B587C"/>
    <w:rsid w:val="008B58A0"/>
    <w:rsid w:val="008B58F7"/>
    <w:rsid w:val="008B5A7F"/>
    <w:rsid w:val="008B5BCC"/>
    <w:rsid w:val="008B5C08"/>
    <w:rsid w:val="008B5C1B"/>
    <w:rsid w:val="008B5C2A"/>
    <w:rsid w:val="008B5C85"/>
    <w:rsid w:val="008B5CB6"/>
    <w:rsid w:val="008B5CC0"/>
    <w:rsid w:val="008B5CC8"/>
    <w:rsid w:val="008B5D2A"/>
    <w:rsid w:val="008B5D3A"/>
    <w:rsid w:val="008B5D69"/>
    <w:rsid w:val="008B5E05"/>
    <w:rsid w:val="008B5E45"/>
    <w:rsid w:val="008B5F24"/>
    <w:rsid w:val="008B5F4C"/>
    <w:rsid w:val="008B5FBA"/>
    <w:rsid w:val="008B626A"/>
    <w:rsid w:val="008B6272"/>
    <w:rsid w:val="008B627A"/>
    <w:rsid w:val="008B62BD"/>
    <w:rsid w:val="008B6332"/>
    <w:rsid w:val="008B63CE"/>
    <w:rsid w:val="008B63E7"/>
    <w:rsid w:val="008B6446"/>
    <w:rsid w:val="008B6475"/>
    <w:rsid w:val="008B65A8"/>
    <w:rsid w:val="008B65EC"/>
    <w:rsid w:val="008B65F0"/>
    <w:rsid w:val="008B6675"/>
    <w:rsid w:val="008B66BC"/>
    <w:rsid w:val="008B66E9"/>
    <w:rsid w:val="008B66F6"/>
    <w:rsid w:val="008B67D8"/>
    <w:rsid w:val="008B67DB"/>
    <w:rsid w:val="008B67EF"/>
    <w:rsid w:val="008B682D"/>
    <w:rsid w:val="008B6858"/>
    <w:rsid w:val="008B6920"/>
    <w:rsid w:val="008B6922"/>
    <w:rsid w:val="008B6941"/>
    <w:rsid w:val="008B6A4D"/>
    <w:rsid w:val="008B6A94"/>
    <w:rsid w:val="008B6A9C"/>
    <w:rsid w:val="008B6B2E"/>
    <w:rsid w:val="008B6BD9"/>
    <w:rsid w:val="008B6C2A"/>
    <w:rsid w:val="008B6C30"/>
    <w:rsid w:val="008B6CE7"/>
    <w:rsid w:val="008B6CF7"/>
    <w:rsid w:val="008B6D25"/>
    <w:rsid w:val="008B6D98"/>
    <w:rsid w:val="008B6DA7"/>
    <w:rsid w:val="008B6E36"/>
    <w:rsid w:val="008B6E3C"/>
    <w:rsid w:val="008B6ED1"/>
    <w:rsid w:val="008B6F77"/>
    <w:rsid w:val="008B7057"/>
    <w:rsid w:val="008B70C8"/>
    <w:rsid w:val="008B718E"/>
    <w:rsid w:val="008B7209"/>
    <w:rsid w:val="008B7288"/>
    <w:rsid w:val="008B7369"/>
    <w:rsid w:val="008B7384"/>
    <w:rsid w:val="008B7461"/>
    <w:rsid w:val="008B74D8"/>
    <w:rsid w:val="008B7545"/>
    <w:rsid w:val="008B75BF"/>
    <w:rsid w:val="008B763A"/>
    <w:rsid w:val="008B7644"/>
    <w:rsid w:val="008B7698"/>
    <w:rsid w:val="008B76F9"/>
    <w:rsid w:val="008B781B"/>
    <w:rsid w:val="008B7872"/>
    <w:rsid w:val="008B796F"/>
    <w:rsid w:val="008B7971"/>
    <w:rsid w:val="008B79B2"/>
    <w:rsid w:val="008B79C3"/>
    <w:rsid w:val="008B7AD3"/>
    <w:rsid w:val="008B7AEE"/>
    <w:rsid w:val="008B7B64"/>
    <w:rsid w:val="008B7B76"/>
    <w:rsid w:val="008B7C82"/>
    <w:rsid w:val="008B7C99"/>
    <w:rsid w:val="008B7D63"/>
    <w:rsid w:val="008B7ED0"/>
    <w:rsid w:val="008B7F23"/>
    <w:rsid w:val="008B7F27"/>
    <w:rsid w:val="008B7F9B"/>
    <w:rsid w:val="008C00C2"/>
    <w:rsid w:val="008C0110"/>
    <w:rsid w:val="008C01B5"/>
    <w:rsid w:val="008C021B"/>
    <w:rsid w:val="008C02AA"/>
    <w:rsid w:val="008C0303"/>
    <w:rsid w:val="008C039B"/>
    <w:rsid w:val="008C03D8"/>
    <w:rsid w:val="008C03E5"/>
    <w:rsid w:val="008C0482"/>
    <w:rsid w:val="008C0585"/>
    <w:rsid w:val="008C0616"/>
    <w:rsid w:val="008C0699"/>
    <w:rsid w:val="008C06CC"/>
    <w:rsid w:val="008C0712"/>
    <w:rsid w:val="008C072E"/>
    <w:rsid w:val="008C0814"/>
    <w:rsid w:val="008C0909"/>
    <w:rsid w:val="008C0933"/>
    <w:rsid w:val="008C0955"/>
    <w:rsid w:val="008C09A0"/>
    <w:rsid w:val="008C09EC"/>
    <w:rsid w:val="008C0A02"/>
    <w:rsid w:val="008C0A48"/>
    <w:rsid w:val="008C0A6E"/>
    <w:rsid w:val="008C0A99"/>
    <w:rsid w:val="008C0AB8"/>
    <w:rsid w:val="008C0B0A"/>
    <w:rsid w:val="008C0B16"/>
    <w:rsid w:val="008C0B19"/>
    <w:rsid w:val="008C0B64"/>
    <w:rsid w:val="008C0BE8"/>
    <w:rsid w:val="008C0C69"/>
    <w:rsid w:val="008C0CEE"/>
    <w:rsid w:val="008C0D97"/>
    <w:rsid w:val="008C0E03"/>
    <w:rsid w:val="008C0EAD"/>
    <w:rsid w:val="008C0F80"/>
    <w:rsid w:val="008C1028"/>
    <w:rsid w:val="008C1079"/>
    <w:rsid w:val="008C1097"/>
    <w:rsid w:val="008C10CD"/>
    <w:rsid w:val="008C111F"/>
    <w:rsid w:val="008C1128"/>
    <w:rsid w:val="008C1174"/>
    <w:rsid w:val="008C118A"/>
    <w:rsid w:val="008C1242"/>
    <w:rsid w:val="008C1244"/>
    <w:rsid w:val="008C134E"/>
    <w:rsid w:val="008C1370"/>
    <w:rsid w:val="008C13C8"/>
    <w:rsid w:val="008C13E8"/>
    <w:rsid w:val="008C143F"/>
    <w:rsid w:val="008C144A"/>
    <w:rsid w:val="008C14BE"/>
    <w:rsid w:val="008C14D3"/>
    <w:rsid w:val="008C14D7"/>
    <w:rsid w:val="008C17AE"/>
    <w:rsid w:val="008C188A"/>
    <w:rsid w:val="008C1946"/>
    <w:rsid w:val="008C1967"/>
    <w:rsid w:val="008C19E7"/>
    <w:rsid w:val="008C1A7E"/>
    <w:rsid w:val="008C1A95"/>
    <w:rsid w:val="008C1AAF"/>
    <w:rsid w:val="008C1AE5"/>
    <w:rsid w:val="008C1D00"/>
    <w:rsid w:val="008C1D6F"/>
    <w:rsid w:val="008C1E6C"/>
    <w:rsid w:val="008C1E83"/>
    <w:rsid w:val="008C1EF7"/>
    <w:rsid w:val="008C1F7B"/>
    <w:rsid w:val="008C1FA5"/>
    <w:rsid w:val="008C2064"/>
    <w:rsid w:val="008C2149"/>
    <w:rsid w:val="008C223A"/>
    <w:rsid w:val="008C22B5"/>
    <w:rsid w:val="008C2395"/>
    <w:rsid w:val="008C247A"/>
    <w:rsid w:val="008C248B"/>
    <w:rsid w:val="008C2589"/>
    <w:rsid w:val="008C25B2"/>
    <w:rsid w:val="008C25CC"/>
    <w:rsid w:val="008C2634"/>
    <w:rsid w:val="008C271B"/>
    <w:rsid w:val="008C2B45"/>
    <w:rsid w:val="008C2BA0"/>
    <w:rsid w:val="008C2BA2"/>
    <w:rsid w:val="008C2BBE"/>
    <w:rsid w:val="008C2BDF"/>
    <w:rsid w:val="008C2CDE"/>
    <w:rsid w:val="008C2D8A"/>
    <w:rsid w:val="008C2D98"/>
    <w:rsid w:val="008C2DFA"/>
    <w:rsid w:val="008C2E89"/>
    <w:rsid w:val="008C2EF1"/>
    <w:rsid w:val="008C2F20"/>
    <w:rsid w:val="008C2F2B"/>
    <w:rsid w:val="008C2F4B"/>
    <w:rsid w:val="008C2FAF"/>
    <w:rsid w:val="008C3004"/>
    <w:rsid w:val="008C306F"/>
    <w:rsid w:val="008C3071"/>
    <w:rsid w:val="008C309C"/>
    <w:rsid w:val="008C30A2"/>
    <w:rsid w:val="008C31D1"/>
    <w:rsid w:val="008C320C"/>
    <w:rsid w:val="008C3263"/>
    <w:rsid w:val="008C3266"/>
    <w:rsid w:val="008C32DC"/>
    <w:rsid w:val="008C333B"/>
    <w:rsid w:val="008C34A2"/>
    <w:rsid w:val="008C34A4"/>
    <w:rsid w:val="008C34E8"/>
    <w:rsid w:val="008C34F3"/>
    <w:rsid w:val="008C3503"/>
    <w:rsid w:val="008C3508"/>
    <w:rsid w:val="008C35A6"/>
    <w:rsid w:val="008C35ED"/>
    <w:rsid w:val="008C3684"/>
    <w:rsid w:val="008C3840"/>
    <w:rsid w:val="008C38A1"/>
    <w:rsid w:val="008C38AC"/>
    <w:rsid w:val="008C3946"/>
    <w:rsid w:val="008C3AB8"/>
    <w:rsid w:val="008C3AC7"/>
    <w:rsid w:val="008C3B4E"/>
    <w:rsid w:val="008C3B57"/>
    <w:rsid w:val="008C3B69"/>
    <w:rsid w:val="008C3B6A"/>
    <w:rsid w:val="008C3C36"/>
    <w:rsid w:val="008C3C89"/>
    <w:rsid w:val="008C3CC9"/>
    <w:rsid w:val="008C3E81"/>
    <w:rsid w:val="008C3E8F"/>
    <w:rsid w:val="008C3EE9"/>
    <w:rsid w:val="008C3F5D"/>
    <w:rsid w:val="008C4049"/>
    <w:rsid w:val="008C4053"/>
    <w:rsid w:val="008C41D7"/>
    <w:rsid w:val="008C42A2"/>
    <w:rsid w:val="008C4307"/>
    <w:rsid w:val="008C4322"/>
    <w:rsid w:val="008C43AC"/>
    <w:rsid w:val="008C4526"/>
    <w:rsid w:val="008C459E"/>
    <w:rsid w:val="008C45D3"/>
    <w:rsid w:val="008C45E7"/>
    <w:rsid w:val="008C46D1"/>
    <w:rsid w:val="008C46DF"/>
    <w:rsid w:val="008C47AA"/>
    <w:rsid w:val="008C4811"/>
    <w:rsid w:val="008C4889"/>
    <w:rsid w:val="008C4936"/>
    <w:rsid w:val="008C4AB2"/>
    <w:rsid w:val="008C4ACA"/>
    <w:rsid w:val="008C4BA7"/>
    <w:rsid w:val="008C4C3B"/>
    <w:rsid w:val="008C4C44"/>
    <w:rsid w:val="008C4CA2"/>
    <w:rsid w:val="008C4DD2"/>
    <w:rsid w:val="008C4E62"/>
    <w:rsid w:val="008C4EFD"/>
    <w:rsid w:val="008C4FD7"/>
    <w:rsid w:val="008C4FE2"/>
    <w:rsid w:val="008C508B"/>
    <w:rsid w:val="008C50ED"/>
    <w:rsid w:val="008C5129"/>
    <w:rsid w:val="008C5211"/>
    <w:rsid w:val="008C5310"/>
    <w:rsid w:val="008C534D"/>
    <w:rsid w:val="008C53C6"/>
    <w:rsid w:val="008C555F"/>
    <w:rsid w:val="008C55B3"/>
    <w:rsid w:val="008C55C5"/>
    <w:rsid w:val="008C5647"/>
    <w:rsid w:val="008C565F"/>
    <w:rsid w:val="008C567E"/>
    <w:rsid w:val="008C56B0"/>
    <w:rsid w:val="008C576B"/>
    <w:rsid w:val="008C57D7"/>
    <w:rsid w:val="008C585D"/>
    <w:rsid w:val="008C5991"/>
    <w:rsid w:val="008C5A20"/>
    <w:rsid w:val="008C5AAF"/>
    <w:rsid w:val="008C5B53"/>
    <w:rsid w:val="008C5CF4"/>
    <w:rsid w:val="008C5D06"/>
    <w:rsid w:val="008C5D77"/>
    <w:rsid w:val="008C5E8A"/>
    <w:rsid w:val="008C5EBD"/>
    <w:rsid w:val="008C5F0D"/>
    <w:rsid w:val="008C5F97"/>
    <w:rsid w:val="008C5FD3"/>
    <w:rsid w:val="008C5FEE"/>
    <w:rsid w:val="008C6014"/>
    <w:rsid w:val="008C60AE"/>
    <w:rsid w:val="008C6192"/>
    <w:rsid w:val="008C622B"/>
    <w:rsid w:val="008C625A"/>
    <w:rsid w:val="008C62AF"/>
    <w:rsid w:val="008C62B6"/>
    <w:rsid w:val="008C62BC"/>
    <w:rsid w:val="008C641A"/>
    <w:rsid w:val="008C6440"/>
    <w:rsid w:val="008C648A"/>
    <w:rsid w:val="008C64C5"/>
    <w:rsid w:val="008C6556"/>
    <w:rsid w:val="008C65A7"/>
    <w:rsid w:val="008C65DD"/>
    <w:rsid w:val="008C6618"/>
    <w:rsid w:val="008C6645"/>
    <w:rsid w:val="008C6681"/>
    <w:rsid w:val="008C66D2"/>
    <w:rsid w:val="008C682A"/>
    <w:rsid w:val="008C68DF"/>
    <w:rsid w:val="008C68F5"/>
    <w:rsid w:val="008C6928"/>
    <w:rsid w:val="008C697C"/>
    <w:rsid w:val="008C6994"/>
    <w:rsid w:val="008C6A4A"/>
    <w:rsid w:val="008C6A6C"/>
    <w:rsid w:val="008C6A8D"/>
    <w:rsid w:val="008C6B5D"/>
    <w:rsid w:val="008C6BAE"/>
    <w:rsid w:val="008C6C8D"/>
    <w:rsid w:val="008C6D0E"/>
    <w:rsid w:val="008C6D93"/>
    <w:rsid w:val="008C6D9E"/>
    <w:rsid w:val="008C6E20"/>
    <w:rsid w:val="008C6E59"/>
    <w:rsid w:val="008C6E80"/>
    <w:rsid w:val="008C704F"/>
    <w:rsid w:val="008C707A"/>
    <w:rsid w:val="008C70A5"/>
    <w:rsid w:val="008C7124"/>
    <w:rsid w:val="008C71FE"/>
    <w:rsid w:val="008C7248"/>
    <w:rsid w:val="008C729D"/>
    <w:rsid w:val="008C731E"/>
    <w:rsid w:val="008C736C"/>
    <w:rsid w:val="008C73C9"/>
    <w:rsid w:val="008C741F"/>
    <w:rsid w:val="008C7590"/>
    <w:rsid w:val="008C75C1"/>
    <w:rsid w:val="008C7608"/>
    <w:rsid w:val="008C7609"/>
    <w:rsid w:val="008C7749"/>
    <w:rsid w:val="008C77D1"/>
    <w:rsid w:val="008C780B"/>
    <w:rsid w:val="008C7841"/>
    <w:rsid w:val="008C78BC"/>
    <w:rsid w:val="008C7917"/>
    <w:rsid w:val="008C7A14"/>
    <w:rsid w:val="008C7A16"/>
    <w:rsid w:val="008C7A54"/>
    <w:rsid w:val="008C7ABD"/>
    <w:rsid w:val="008C7B19"/>
    <w:rsid w:val="008C7B23"/>
    <w:rsid w:val="008C7D71"/>
    <w:rsid w:val="008C7D85"/>
    <w:rsid w:val="008C7DCC"/>
    <w:rsid w:val="008C7E35"/>
    <w:rsid w:val="008C7E46"/>
    <w:rsid w:val="008C7E65"/>
    <w:rsid w:val="008C7E82"/>
    <w:rsid w:val="008C7E8A"/>
    <w:rsid w:val="008C7E9E"/>
    <w:rsid w:val="008C7F0E"/>
    <w:rsid w:val="008C7F44"/>
    <w:rsid w:val="008C7F56"/>
    <w:rsid w:val="008C7F82"/>
    <w:rsid w:val="008C7FCE"/>
    <w:rsid w:val="008D000B"/>
    <w:rsid w:val="008D000D"/>
    <w:rsid w:val="008D0151"/>
    <w:rsid w:val="008D0199"/>
    <w:rsid w:val="008D0294"/>
    <w:rsid w:val="008D03AE"/>
    <w:rsid w:val="008D0406"/>
    <w:rsid w:val="008D049D"/>
    <w:rsid w:val="008D059F"/>
    <w:rsid w:val="008D05A4"/>
    <w:rsid w:val="008D05CA"/>
    <w:rsid w:val="008D05EF"/>
    <w:rsid w:val="008D062A"/>
    <w:rsid w:val="008D06A5"/>
    <w:rsid w:val="008D06BB"/>
    <w:rsid w:val="008D06FD"/>
    <w:rsid w:val="008D07B2"/>
    <w:rsid w:val="008D07E5"/>
    <w:rsid w:val="008D08C5"/>
    <w:rsid w:val="008D0906"/>
    <w:rsid w:val="008D0929"/>
    <w:rsid w:val="008D09F6"/>
    <w:rsid w:val="008D0AB7"/>
    <w:rsid w:val="008D0B74"/>
    <w:rsid w:val="008D0BC0"/>
    <w:rsid w:val="008D0BFF"/>
    <w:rsid w:val="008D0C76"/>
    <w:rsid w:val="008D0C7B"/>
    <w:rsid w:val="008D0CB4"/>
    <w:rsid w:val="008D0CDE"/>
    <w:rsid w:val="008D0D0D"/>
    <w:rsid w:val="008D0D89"/>
    <w:rsid w:val="008D0D95"/>
    <w:rsid w:val="008D0DA3"/>
    <w:rsid w:val="008D0DC3"/>
    <w:rsid w:val="008D0E5A"/>
    <w:rsid w:val="008D0EC1"/>
    <w:rsid w:val="008D0EC2"/>
    <w:rsid w:val="008D1076"/>
    <w:rsid w:val="008D10E1"/>
    <w:rsid w:val="008D1134"/>
    <w:rsid w:val="008D1193"/>
    <w:rsid w:val="008D11E6"/>
    <w:rsid w:val="008D11E9"/>
    <w:rsid w:val="008D1242"/>
    <w:rsid w:val="008D1244"/>
    <w:rsid w:val="008D12F5"/>
    <w:rsid w:val="008D1347"/>
    <w:rsid w:val="008D13A3"/>
    <w:rsid w:val="008D13B3"/>
    <w:rsid w:val="008D140B"/>
    <w:rsid w:val="008D149B"/>
    <w:rsid w:val="008D1517"/>
    <w:rsid w:val="008D15A5"/>
    <w:rsid w:val="008D15FB"/>
    <w:rsid w:val="008D1635"/>
    <w:rsid w:val="008D1759"/>
    <w:rsid w:val="008D185C"/>
    <w:rsid w:val="008D1C20"/>
    <w:rsid w:val="008D1CD0"/>
    <w:rsid w:val="008D1D14"/>
    <w:rsid w:val="008D1D4F"/>
    <w:rsid w:val="008D1D6D"/>
    <w:rsid w:val="008D1DB6"/>
    <w:rsid w:val="008D1DE6"/>
    <w:rsid w:val="008D1E56"/>
    <w:rsid w:val="008D1EB2"/>
    <w:rsid w:val="008D1EFC"/>
    <w:rsid w:val="008D1FD0"/>
    <w:rsid w:val="008D205C"/>
    <w:rsid w:val="008D20C4"/>
    <w:rsid w:val="008D2136"/>
    <w:rsid w:val="008D215C"/>
    <w:rsid w:val="008D22FF"/>
    <w:rsid w:val="008D256D"/>
    <w:rsid w:val="008D2653"/>
    <w:rsid w:val="008D2668"/>
    <w:rsid w:val="008D296B"/>
    <w:rsid w:val="008D2B9C"/>
    <w:rsid w:val="008D2C1C"/>
    <w:rsid w:val="008D2CA1"/>
    <w:rsid w:val="008D2CCA"/>
    <w:rsid w:val="008D2CDB"/>
    <w:rsid w:val="008D2D9C"/>
    <w:rsid w:val="008D2E10"/>
    <w:rsid w:val="008D2E5A"/>
    <w:rsid w:val="008D30DE"/>
    <w:rsid w:val="008D3167"/>
    <w:rsid w:val="008D31DC"/>
    <w:rsid w:val="008D321A"/>
    <w:rsid w:val="008D3273"/>
    <w:rsid w:val="008D327C"/>
    <w:rsid w:val="008D32CC"/>
    <w:rsid w:val="008D3361"/>
    <w:rsid w:val="008D337D"/>
    <w:rsid w:val="008D33DE"/>
    <w:rsid w:val="008D3412"/>
    <w:rsid w:val="008D35F4"/>
    <w:rsid w:val="008D360B"/>
    <w:rsid w:val="008D3676"/>
    <w:rsid w:val="008D36C1"/>
    <w:rsid w:val="008D3705"/>
    <w:rsid w:val="008D3766"/>
    <w:rsid w:val="008D37AB"/>
    <w:rsid w:val="008D37FD"/>
    <w:rsid w:val="008D3ABB"/>
    <w:rsid w:val="008D3BF0"/>
    <w:rsid w:val="008D3C5D"/>
    <w:rsid w:val="008D3C75"/>
    <w:rsid w:val="008D3CB4"/>
    <w:rsid w:val="008D3CE2"/>
    <w:rsid w:val="008D3D0C"/>
    <w:rsid w:val="008D3E18"/>
    <w:rsid w:val="008D3E4A"/>
    <w:rsid w:val="008D3E60"/>
    <w:rsid w:val="008D3E6E"/>
    <w:rsid w:val="008D3E7E"/>
    <w:rsid w:val="008D3E82"/>
    <w:rsid w:val="008D3F67"/>
    <w:rsid w:val="008D3F82"/>
    <w:rsid w:val="008D3FDF"/>
    <w:rsid w:val="008D40CB"/>
    <w:rsid w:val="008D41D1"/>
    <w:rsid w:val="008D41E1"/>
    <w:rsid w:val="008D432A"/>
    <w:rsid w:val="008D433B"/>
    <w:rsid w:val="008D435B"/>
    <w:rsid w:val="008D43A4"/>
    <w:rsid w:val="008D43D5"/>
    <w:rsid w:val="008D4472"/>
    <w:rsid w:val="008D44B8"/>
    <w:rsid w:val="008D44D8"/>
    <w:rsid w:val="008D44E2"/>
    <w:rsid w:val="008D4512"/>
    <w:rsid w:val="008D4588"/>
    <w:rsid w:val="008D46C8"/>
    <w:rsid w:val="008D4761"/>
    <w:rsid w:val="008D4762"/>
    <w:rsid w:val="008D4869"/>
    <w:rsid w:val="008D4956"/>
    <w:rsid w:val="008D496C"/>
    <w:rsid w:val="008D4A77"/>
    <w:rsid w:val="008D4A9A"/>
    <w:rsid w:val="008D4C12"/>
    <w:rsid w:val="008D4CF9"/>
    <w:rsid w:val="008D4D35"/>
    <w:rsid w:val="008D4F63"/>
    <w:rsid w:val="008D4FC5"/>
    <w:rsid w:val="008D50A5"/>
    <w:rsid w:val="008D50B7"/>
    <w:rsid w:val="008D50FD"/>
    <w:rsid w:val="008D5152"/>
    <w:rsid w:val="008D51AA"/>
    <w:rsid w:val="008D528B"/>
    <w:rsid w:val="008D5302"/>
    <w:rsid w:val="008D5385"/>
    <w:rsid w:val="008D538D"/>
    <w:rsid w:val="008D53F9"/>
    <w:rsid w:val="008D546D"/>
    <w:rsid w:val="008D54BE"/>
    <w:rsid w:val="008D554C"/>
    <w:rsid w:val="008D5676"/>
    <w:rsid w:val="008D5719"/>
    <w:rsid w:val="008D5731"/>
    <w:rsid w:val="008D57AB"/>
    <w:rsid w:val="008D587E"/>
    <w:rsid w:val="008D58E2"/>
    <w:rsid w:val="008D59AF"/>
    <w:rsid w:val="008D59BD"/>
    <w:rsid w:val="008D59BF"/>
    <w:rsid w:val="008D59E3"/>
    <w:rsid w:val="008D5AED"/>
    <w:rsid w:val="008D5B46"/>
    <w:rsid w:val="008D5B7B"/>
    <w:rsid w:val="008D5BA9"/>
    <w:rsid w:val="008D5BB2"/>
    <w:rsid w:val="008D5BBA"/>
    <w:rsid w:val="008D5C09"/>
    <w:rsid w:val="008D5C2B"/>
    <w:rsid w:val="008D5C2C"/>
    <w:rsid w:val="008D5C43"/>
    <w:rsid w:val="008D5C67"/>
    <w:rsid w:val="008D5D08"/>
    <w:rsid w:val="008D5D23"/>
    <w:rsid w:val="008D5D79"/>
    <w:rsid w:val="008D5DD7"/>
    <w:rsid w:val="008D5E1F"/>
    <w:rsid w:val="008D5E24"/>
    <w:rsid w:val="008D5E73"/>
    <w:rsid w:val="008D5EB3"/>
    <w:rsid w:val="008D5F48"/>
    <w:rsid w:val="008D5F51"/>
    <w:rsid w:val="008D5F6B"/>
    <w:rsid w:val="008D5FCF"/>
    <w:rsid w:val="008D6037"/>
    <w:rsid w:val="008D60EC"/>
    <w:rsid w:val="008D623A"/>
    <w:rsid w:val="008D6247"/>
    <w:rsid w:val="008D639B"/>
    <w:rsid w:val="008D63B5"/>
    <w:rsid w:val="008D660D"/>
    <w:rsid w:val="008D661B"/>
    <w:rsid w:val="008D6667"/>
    <w:rsid w:val="008D666D"/>
    <w:rsid w:val="008D6691"/>
    <w:rsid w:val="008D677E"/>
    <w:rsid w:val="008D685E"/>
    <w:rsid w:val="008D692E"/>
    <w:rsid w:val="008D69EF"/>
    <w:rsid w:val="008D6A0C"/>
    <w:rsid w:val="008D6B5B"/>
    <w:rsid w:val="008D6C5D"/>
    <w:rsid w:val="008D6DA5"/>
    <w:rsid w:val="008D6DC0"/>
    <w:rsid w:val="008D6F20"/>
    <w:rsid w:val="008D6F82"/>
    <w:rsid w:val="008D7066"/>
    <w:rsid w:val="008D7100"/>
    <w:rsid w:val="008D7121"/>
    <w:rsid w:val="008D715B"/>
    <w:rsid w:val="008D7160"/>
    <w:rsid w:val="008D720C"/>
    <w:rsid w:val="008D726D"/>
    <w:rsid w:val="008D72A9"/>
    <w:rsid w:val="008D72F0"/>
    <w:rsid w:val="008D7342"/>
    <w:rsid w:val="008D73C1"/>
    <w:rsid w:val="008D73CA"/>
    <w:rsid w:val="008D744B"/>
    <w:rsid w:val="008D74B4"/>
    <w:rsid w:val="008D74EC"/>
    <w:rsid w:val="008D756D"/>
    <w:rsid w:val="008D75A4"/>
    <w:rsid w:val="008D75B3"/>
    <w:rsid w:val="008D7628"/>
    <w:rsid w:val="008D7629"/>
    <w:rsid w:val="008D77CE"/>
    <w:rsid w:val="008D79D2"/>
    <w:rsid w:val="008D7A1B"/>
    <w:rsid w:val="008D7A30"/>
    <w:rsid w:val="008D7A6E"/>
    <w:rsid w:val="008D7B0E"/>
    <w:rsid w:val="008D7B3E"/>
    <w:rsid w:val="008D7BE3"/>
    <w:rsid w:val="008D7CA0"/>
    <w:rsid w:val="008D7CFA"/>
    <w:rsid w:val="008D7D56"/>
    <w:rsid w:val="008D7DAB"/>
    <w:rsid w:val="008D7DB4"/>
    <w:rsid w:val="008D7E08"/>
    <w:rsid w:val="008D7E34"/>
    <w:rsid w:val="008D7E3C"/>
    <w:rsid w:val="008D7EEC"/>
    <w:rsid w:val="008D7EED"/>
    <w:rsid w:val="008D7F5D"/>
    <w:rsid w:val="008D7F96"/>
    <w:rsid w:val="008D7FAF"/>
    <w:rsid w:val="008D7FC5"/>
    <w:rsid w:val="008E001D"/>
    <w:rsid w:val="008E00BD"/>
    <w:rsid w:val="008E00C0"/>
    <w:rsid w:val="008E01CC"/>
    <w:rsid w:val="008E0286"/>
    <w:rsid w:val="008E0306"/>
    <w:rsid w:val="008E0418"/>
    <w:rsid w:val="008E04B8"/>
    <w:rsid w:val="008E05A7"/>
    <w:rsid w:val="008E060E"/>
    <w:rsid w:val="008E063A"/>
    <w:rsid w:val="008E066F"/>
    <w:rsid w:val="008E0690"/>
    <w:rsid w:val="008E07B8"/>
    <w:rsid w:val="008E088D"/>
    <w:rsid w:val="008E0997"/>
    <w:rsid w:val="008E0A90"/>
    <w:rsid w:val="008E0B36"/>
    <w:rsid w:val="008E0BA8"/>
    <w:rsid w:val="008E0C55"/>
    <w:rsid w:val="008E0C88"/>
    <w:rsid w:val="008E0C9D"/>
    <w:rsid w:val="008E0CDA"/>
    <w:rsid w:val="008E0D9D"/>
    <w:rsid w:val="008E0DA2"/>
    <w:rsid w:val="008E0DF4"/>
    <w:rsid w:val="008E0DF7"/>
    <w:rsid w:val="008E1083"/>
    <w:rsid w:val="008E1086"/>
    <w:rsid w:val="008E1120"/>
    <w:rsid w:val="008E1133"/>
    <w:rsid w:val="008E119C"/>
    <w:rsid w:val="008E124E"/>
    <w:rsid w:val="008E1307"/>
    <w:rsid w:val="008E159E"/>
    <w:rsid w:val="008E16EB"/>
    <w:rsid w:val="008E1725"/>
    <w:rsid w:val="008E17E6"/>
    <w:rsid w:val="008E1802"/>
    <w:rsid w:val="008E1823"/>
    <w:rsid w:val="008E1862"/>
    <w:rsid w:val="008E1891"/>
    <w:rsid w:val="008E18A2"/>
    <w:rsid w:val="008E1941"/>
    <w:rsid w:val="008E1A2F"/>
    <w:rsid w:val="008E1A4A"/>
    <w:rsid w:val="008E1B1A"/>
    <w:rsid w:val="008E1B5E"/>
    <w:rsid w:val="008E1BDD"/>
    <w:rsid w:val="008E1C41"/>
    <w:rsid w:val="008E1C49"/>
    <w:rsid w:val="008E1E0F"/>
    <w:rsid w:val="008E1E90"/>
    <w:rsid w:val="008E1EAD"/>
    <w:rsid w:val="008E206D"/>
    <w:rsid w:val="008E208B"/>
    <w:rsid w:val="008E22AD"/>
    <w:rsid w:val="008E241D"/>
    <w:rsid w:val="008E242B"/>
    <w:rsid w:val="008E2623"/>
    <w:rsid w:val="008E263C"/>
    <w:rsid w:val="008E267F"/>
    <w:rsid w:val="008E270A"/>
    <w:rsid w:val="008E2727"/>
    <w:rsid w:val="008E272F"/>
    <w:rsid w:val="008E277D"/>
    <w:rsid w:val="008E2783"/>
    <w:rsid w:val="008E2930"/>
    <w:rsid w:val="008E295A"/>
    <w:rsid w:val="008E29D5"/>
    <w:rsid w:val="008E2E74"/>
    <w:rsid w:val="008E2E96"/>
    <w:rsid w:val="008E2EF5"/>
    <w:rsid w:val="008E2F48"/>
    <w:rsid w:val="008E2FB8"/>
    <w:rsid w:val="008E2FDD"/>
    <w:rsid w:val="008E3102"/>
    <w:rsid w:val="008E31A3"/>
    <w:rsid w:val="008E31F8"/>
    <w:rsid w:val="008E324F"/>
    <w:rsid w:val="008E328F"/>
    <w:rsid w:val="008E32D9"/>
    <w:rsid w:val="008E3314"/>
    <w:rsid w:val="008E3324"/>
    <w:rsid w:val="008E336E"/>
    <w:rsid w:val="008E337E"/>
    <w:rsid w:val="008E3418"/>
    <w:rsid w:val="008E351B"/>
    <w:rsid w:val="008E35BD"/>
    <w:rsid w:val="008E361D"/>
    <w:rsid w:val="008E367F"/>
    <w:rsid w:val="008E36B3"/>
    <w:rsid w:val="008E3741"/>
    <w:rsid w:val="008E384C"/>
    <w:rsid w:val="008E39B0"/>
    <w:rsid w:val="008E3A29"/>
    <w:rsid w:val="008E3AB1"/>
    <w:rsid w:val="008E3B6B"/>
    <w:rsid w:val="008E3B88"/>
    <w:rsid w:val="008E3C9E"/>
    <w:rsid w:val="008E3CB5"/>
    <w:rsid w:val="008E3D0D"/>
    <w:rsid w:val="008E3D13"/>
    <w:rsid w:val="008E3D4F"/>
    <w:rsid w:val="008E3D56"/>
    <w:rsid w:val="008E3D93"/>
    <w:rsid w:val="008E3E5A"/>
    <w:rsid w:val="008E3F58"/>
    <w:rsid w:val="008E40D7"/>
    <w:rsid w:val="008E417A"/>
    <w:rsid w:val="008E4214"/>
    <w:rsid w:val="008E42AC"/>
    <w:rsid w:val="008E4328"/>
    <w:rsid w:val="008E4362"/>
    <w:rsid w:val="008E4468"/>
    <w:rsid w:val="008E44BB"/>
    <w:rsid w:val="008E44C9"/>
    <w:rsid w:val="008E44D0"/>
    <w:rsid w:val="008E45D7"/>
    <w:rsid w:val="008E46A9"/>
    <w:rsid w:val="008E46DF"/>
    <w:rsid w:val="008E47C6"/>
    <w:rsid w:val="008E4815"/>
    <w:rsid w:val="008E481D"/>
    <w:rsid w:val="008E484D"/>
    <w:rsid w:val="008E48B4"/>
    <w:rsid w:val="008E4943"/>
    <w:rsid w:val="008E49C0"/>
    <w:rsid w:val="008E4AA2"/>
    <w:rsid w:val="008E4ACA"/>
    <w:rsid w:val="008E4BA9"/>
    <w:rsid w:val="008E4BB0"/>
    <w:rsid w:val="008E4BDB"/>
    <w:rsid w:val="008E4C0C"/>
    <w:rsid w:val="008E4CE8"/>
    <w:rsid w:val="008E4D99"/>
    <w:rsid w:val="008E4DFB"/>
    <w:rsid w:val="008E4E0F"/>
    <w:rsid w:val="008E4EAA"/>
    <w:rsid w:val="008E4F1C"/>
    <w:rsid w:val="008E4F90"/>
    <w:rsid w:val="008E4FF0"/>
    <w:rsid w:val="008E5376"/>
    <w:rsid w:val="008E54A9"/>
    <w:rsid w:val="008E552D"/>
    <w:rsid w:val="008E55A6"/>
    <w:rsid w:val="008E55CE"/>
    <w:rsid w:val="008E5667"/>
    <w:rsid w:val="008E56C4"/>
    <w:rsid w:val="008E56CA"/>
    <w:rsid w:val="008E5768"/>
    <w:rsid w:val="008E5781"/>
    <w:rsid w:val="008E57A2"/>
    <w:rsid w:val="008E590B"/>
    <w:rsid w:val="008E5916"/>
    <w:rsid w:val="008E5917"/>
    <w:rsid w:val="008E592F"/>
    <w:rsid w:val="008E5998"/>
    <w:rsid w:val="008E59F9"/>
    <w:rsid w:val="008E5A0F"/>
    <w:rsid w:val="008E5A92"/>
    <w:rsid w:val="008E5B0C"/>
    <w:rsid w:val="008E5B6F"/>
    <w:rsid w:val="008E5B74"/>
    <w:rsid w:val="008E5BF9"/>
    <w:rsid w:val="008E5C1A"/>
    <w:rsid w:val="008E5C43"/>
    <w:rsid w:val="008E5DA0"/>
    <w:rsid w:val="008E5E24"/>
    <w:rsid w:val="008E5E36"/>
    <w:rsid w:val="008E60A8"/>
    <w:rsid w:val="008E60AA"/>
    <w:rsid w:val="008E60B9"/>
    <w:rsid w:val="008E6107"/>
    <w:rsid w:val="008E613D"/>
    <w:rsid w:val="008E6148"/>
    <w:rsid w:val="008E624E"/>
    <w:rsid w:val="008E62C3"/>
    <w:rsid w:val="008E63E4"/>
    <w:rsid w:val="008E6467"/>
    <w:rsid w:val="008E64A9"/>
    <w:rsid w:val="008E64AA"/>
    <w:rsid w:val="008E64D8"/>
    <w:rsid w:val="008E6557"/>
    <w:rsid w:val="008E6644"/>
    <w:rsid w:val="008E667D"/>
    <w:rsid w:val="008E6684"/>
    <w:rsid w:val="008E66A0"/>
    <w:rsid w:val="008E66A8"/>
    <w:rsid w:val="008E66AD"/>
    <w:rsid w:val="008E66CE"/>
    <w:rsid w:val="008E672C"/>
    <w:rsid w:val="008E6848"/>
    <w:rsid w:val="008E690F"/>
    <w:rsid w:val="008E697D"/>
    <w:rsid w:val="008E69E6"/>
    <w:rsid w:val="008E6C11"/>
    <w:rsid w:val="008E6C34"/>
    <w:rsid w:val="008E6C5A"/>
    <w:rsid w:val="008E6D14"/>
    <w:rsid w:val="008E6D1A"/>
    <w:rsid w:val="008E6DF4"/>
    <w:rsid w:val="008E6DFD"/>
    <w:rsid w:val="008E6F08"/>
    <w:rsid w:val="008E6F95"/>
    <w:rsid w:val="008E6F9A"/>
    <w:rsid w:val="008E7036"/>
    <w:rsid w:val="008E7074"/>
    <w:rsid w:val="008E709D"/>
    <w:rsid w:val="008E70AD"/>
    <w:rsid w:val="008E7101"/>
    <w:rsid w:val="008E71CD"/>
    <w:rsid w:val="008E731A"/>
    <w:rsid w:val="008E744B"/>
    <w:rsid w:val="008E7484"/>
    <w:rsid w:val="008E7493"/>
    <w:rsid w:val="008E75BF"/>
    <w:rsid w:val="008E75D0"/>
    <w:rsid w:val="008E764A"/>
    <w:rsid w:val="008E7681"/>
    <w:rsid w:val="008E7858"/>
    <w:rsid w:val="008E7884"/>
    <w:rsid w:val="008E78FA"/>
    <w:rsid w:val="008E7A43"/>
    <w:rsid w:val="008E7AD1"/>
    <w:rsid w:val="008E7BB0"/>
    <w:rsid w:val="008E7C74"/>
    <w:rsid w:val="008E7D54"/>
    <w:rsid w:val="008E7D63"/>
    <w:rsid w:val="008E7D94"/>
    <w:rsid w:val="008E7E4F"/>
    <w:rsid w:val="008E7F35"/>
    <w:rsid w:val="008E7F85"/>
    <w:rsid w:val="008E7F9C"/>
    <w:rsid w:val="008F01A8"/>
    <w:rsid w:val="008F01B4"/>
    <w:rsid w:val="008F01F7"/>
    <w:rsid w:val="008F02FE"/>
    <w:rsid w:val="008F032D"/>
    <w:rsid w:val="008F042A"/>
    <w:rsid w:val="008F0455"/>
    <w:rsid w:val="008F04B3"/>
    <w:rsid w:val="008F051E"/>
    <w:rsid w:val="008F0548"/>
    <w:rsid w:val="008F05E3"/>
    <w:rsid w:val="008F0602"/>
    <w:rsid w:val="008F0647"/>
    <w:rsid w:val="008F06D2"/>
    <w:rsid w:val="008F06F2"/>
    <w:rsid w:val="008F07D1"/>
    <w:rsid w:val="008F0896"/>
    <w:rsid w:val="008F090C"/>
    <w:rsid w:val="008F0975"/>
    <w:rsid w:val="008F0A85"/>
    <w:rsid w:val="008F0ABA"/>
    <w:rsid w:val="008F0C4C"/>
    <w:rsid w:val="008F0CBA"/>
    <w:rsid w:val="008F0D70"/>
    <w:rsid w:val="008F0FB5"/>
    <w:rsid w:val="008F100B"/>
    <w:rsid w:val="008F107C"/>
    <w:rsid w:val="008F1119"/>
    <w:rsid w:val="008F119D"/>
    <w:rsid w:val="008F11AC"/>
    <w:rsid w:val="008F1267"/>
    <w:rsid w:val="008F12A3"/>
    <w:rsid w:val="008F146F"/>
    <w:rsid w:val="008F14BD"/>
    <w:rsid w:val="008F14DB"/>
    <w:rsid w:val="008F1501"/>
    <w:rsid w:val="008F15D1"/>
    <w:rsid w:val="008F15F6"/>
    <w:rsid w:val="008F160D"/>
    <w:rsid w:val="008F17CB"/>
    <w:rsid w:val="008F1814"/>
    <w:rsid w:val="008F18BC"/>
    <w:rsid w:val="008F192D"/>
    <w:rsid w:val="008F1A11"/>
    <w:rsid w:val="008F1B1A"/>
    <w:rsid w:val="008F1BB0"/>
    <w:rsid w:val="008F1BC7"/>
    <w:rsid w:val="008F1BD8"/>
    <w:rsid w:val="008F1CBB"/>
    <w:rsid w:val="008F1D43"/>
    <w:rsid w:val="008F1D5D"/>
    <w:rsid w:val="008F1DB9"/>
    <w:rsid w:val="008F1DFD"/>
    <w:rsid w:val="008F1E0C"/>
    <w:rsid w:val="008F1E36"/>
    <w:rsid w:val="008F1E7E"/>
    <w:rsid w:val="008F1EAF"/>
    <w:rsid w:val="008F1ED2"/>
    <w:rsid w:val="008F1FA4"/>
    <w:rsid w:val="008F2013"/>
    <w:rsid w:val="008F2061"/>
    <w:rsid w:val="008F2086"/>
    <w:rsid w:val="008F2087"/>
    <w:rsid w:val="008F2095"/>
    <w:rsid w:val="008F20F9"/>
    <w:rsid w:val="008F2111"/>
    <w:rsid w:val="008F21CA"/>
    <w:rsid w:val="008F2262"/>
    <w:rsid w:val="008F2304"/>
    <w:rsid w:val="008F248D"/>
    <w:rsid w:val="008F249D"/>
    <w:rsid w:val="008F24BC"/>
    <w:rsid w:val="008F24C5"/>
    <w:rsid w:val="008F24D7"/>
    <w:rsid w:val="008F24F3"/>
    <w:rsid w:val="008F251A"/>
    <w:rsid w:val="008F252D"/>
    <w:rsid w:val="008F2569"/>
    <w:rsid w:val="008F2592"/>
    <w:rsid w:val="008F25E5"/>
    <w:rsid w:val="008F26E6"/>
    <w:rsid w:val="008F27DD"/>
    <w:rsid w:val="008F27F5"/>
    <w:rsid w:val="008F27F8"/>
    <w:rsid w:val="008F285D"/>
    <w:rsid w:val="008F287C"/>
    <w:rsid w:val="008F28CD"/>
    <w:rsid w:val="008F2968"/>
    <w:rsid w:val="008F2980"/>
    <w:rsid w:val="008F2ABD"/>
    <w:rsid w:val="008F2AEE"/>
    <w:rsid w:val="008F2AFA"/>
    <w:rsid w:val="008F2BA9"/>
    <w:rsid w:val="008F2C91"/>
    <w:rsid w:val="008F2CA7"/>
    <w:rsid w:val="008F2CAD"/>
    <w:rsid w:val="008F2E4A"/>
    <w:rsid w:val="008F2E65"/>
    <w:rsid w:val="008F2EBB"/>
    <w:rsid w:val="008F2FDE"/>
    <w:rsid w:val="008F2FE4"/>
    <w:rsid w:val="008F305C"/>
    <w:rsid w:val="008F30D7"/>
    <w:rsid w:val="008F3134"/>
    <w:rsid w:val="008F3236"/>
    <w:rsid w:val="008F34DC"/>
    <w:rsid w:val="008F35CD"/>
    <w:rsid w:val="008F35DF"/>
    <w:rsid w:val="008F361A"/>
    <w:rsid w:val="008F366B"/>
    <w:rsid w:val="008F366F"/>
    <w:rsid w:val="008F3698"/>
    <w:rsid w:val="008F36F6"/>
    <w:rsid w:val="008F37BE"/>
    <w:rsid w:val="008F3829"/>
    <w:rsid w:val="008F38AD"/>
    <w:rsid w:val="008F3913"/>
    <w:rsid w:val="008F397D"/>
    <w:rsid w:val="008F39D5"/>
    <w:rsid w:val="008F3AFE"/>
    <w:rsid w:val="008F3B8A"/>
    <w:rsid w:val="008F3C62"/>
    <w:rsid w:val="008F3C6E"/>
    <w:rsid w:val="008F3CED"/>
    <w:rsid w:val="008F3DC3"/>
    <w:rsid w:val="008F3E01"/>
    <w:rsid w:val="008F3EA0"/>
    <w:rsid w:val="008F3EC3"/>
    <w:rsid w:val="008F3F61"/>
    <w:rsid w:val="008F3F69"/>
    <w:rsid w:val="008F3F88"/>
    <w:rsid w:val="008F408F"/>
    <w:rsid w:val="008F4092"/>
    <w:rsid w:val="008F40A9"/>
    <w:rsid w:val="008F40CC"/>
    <w:rsid w:val="008F4118"/>
    <w:rsid w:val="008F414E"/>
    <w:rsid w:val="008F4192"/>
    <w:rsid w:val="008F41A1"/>
    <w:rsid w:val="008F424B"/>
    <w:rsid w:val="008F42B7"/>
    <w:rsid w:val="008F4339"/>
    <w:rsid w:val="008F4347"/>
    <w:rsid w:val="008F435F"/>
    <w:rsid w:val="008F4402"/>
    <w:rsid w:val="008F444E"/>
    <w:rsid w:val="008F4545"/>
    <w:rsid w:val="008F45E5"/>
    <w:rsid w:val="008F4654"/>
    <w:rsid w:val="008F471D"/>
    <w:rsid w:val="008F4768"/>
    <w:rsid w:val="008F47A2"/>
    <w:rsid w:val="008F4816"/>
    <w:rsid w:val="008F49DC"/>
    <w:rsid w:val="008F49FD"/>
    <w:rsid w:val="008F4A1A"/>
    <w:rsid w:val="008F4AE2"/>
    <w:rsid w:val="008F4AF6"/>
    <w:rsid w:val="008F4AF7"/>
    <w:rsid w:val="008F4B75"/>
    <w:rsid w:val="008F4BC1"/>
    <w:rsid w:val="008F4DBA"/>
    <w:rsid w:val="008F4EA3"/>
    <w:rsid w:val="008F4FB1"/>
    <w:rsid w:val="008F4FB3"/>
    <w:rsid w:val="008F500C"/>
    <w:rsid w:val="008F5201"/>
    <w:rsid w:val="008F52CB"/>
    <w:rsid w:val="008F52F6"/>
    <w:rsid w:val="008F52FC"/>
    <w:rsid w:val="008F5325"/>
    <w:rsid w:val="008F5359"/>
    <w:rsid w:val="008F538D"/>
    <w:rsid w:val="008F53B7"/>
    <w:rsid w:val="008F542E"/>
    <w:rsid w:val="008F5458"/>
    <w:rsid w:val="008F55B4"/>
    <w:rsid w:val="008F55DB"/>
    <w:rsid w:val="008F563A"/>
    <w:rsid w:val="008F5691"/>
    <w:rsid w:val="008F56C9"/>
    <w:rsid w:val="008F58BD"/>
    <w:rsid w:val="008F58F1"/>
    <w:rsid w:val="008F59BB"/>
    <w:rsid w:val="008F5BE3"/>
    <w:rsid w:val="008F5C13"/>
    <w:rsid w:val="008F5C25"/>
    <w:rsid w:val="008F5CF8"/>
    <w:rsid w:val="008F5D31"/>
    <w:rsid w:val="008F5DEF"/>
    <w:rsid w:val="008F5E09"/>
    <w:rsid w:val="008F5E59"/>
    <w:rsid w:val="008F5EDD"/>
    <w:rsid w:val="008F5EF1"/>
    <w:rsid w:val="008F5FC6"/>
    <w:rsid w:val="008F60B7"/>
    <w:rsid w:val="008F60FA"/>
    <w:rsid w:val="008F617B"/>
    <w:rsid w:val="008F626D"/>
    <w:rsid w:val="008F62A6"/>
    <w:rsid w:val="008F633E"/>
    <w:rsid w:val="008F6449"/>
    <w:rsid w:val="008F6458"/>
    <w:rsid w:val="008F64CE"/>
    <w:rsid w:val="008F64ED"/>
    <w:rsid w:val="008F6546"/>
    <w:rsid w:val="008F65B7"/>
    <w:rsid w:val="008F65DA"/>
    <w:rsid w:val="008F6608"/>
    <w:rsid w:val="008F66BC"/>
    <w:rsid w:val="008F67F6"/>
    <w:rsid w:val="008F685D"/>
    <w:rsid w:val="008F68C0"/>
    <w:rsid w:val="008F6900"/>
    <w:rsid w:val="008F6903"/>
    <w:rsid w:val="008F6919"/>
    <w:rsid w:val="008F6966"/>
    <w:rsid w:val="008F6A33"/>
    <w:rsid w:val="008F6A40"/>
    <w:rsid w:val="008F6A84"/>
    <w:rsid w:val="008F6BA5"/>
    <w:rsid w:val="008F6C1D"/>
    <w:rsid w:val="008F6D0C"/>
    <w:rsid w:val="008F6DEC"/>
    <w:rsid w:val="008F6DF2"/>
    <w:rsid w:val="008F6DFC"/>
    <w:rsid w:val="008F6EBB"/>
    <w:rsid w:val="008F6F80"/>
    <w:rsid w:val="008F721F"/>
    <w:rsid w:val="008F7221"/>
    <w:rsid w:val="008F723E"/>
    <w:rsid w:val="008F7253"/>
    <w:rsid w:val="008F7379"/>
    <w:rsid w:val="008F73C4"/>
    <w:rsid w:val="008F73CC"/>
    <w:rsid w:val="008F73EB"/>
    <w:rsid w:val="008F7471"/>
    <w:rsid w:val="008F74EF"/>
    <w:rsid w:val="008F7618"/>
    <w:rsid w:val="008F7678"/>
    <w:rsid w:val="008F7717"/>
    <w:rsid w:val="008F7720"/>
    <w:rsid w:val="008F775B"/>
    <w:rsid w:val="008F7861"/>
    <w:rsid w:val="008F7942"/>
    <w:rsid w:val="008F7975"/>
    <w:rsid w:val="008F79AC"/>
    <w:rsid w:val="008F79E3"/>
    <w:rsid w:val="008F7A61"/>
    <w:rsid w:val="008F7A7A"/>
    <w:rsid w:val="008F7AEF"/>
    <w:rsid w:val="008F7AF9"/>
    <w:rsid w:val="008F7BDA"/>
    <w:rsid w:val="008F7C16"/>
    <w:rsid w:val="008F7C3D"/>
    <w:rsid w:val="008F7CA5"/>
    <w:rsid w:val="008F7DA8"/>
    <w:rsid w:val="008F7DC0"/>
    <w:rsid w:val="008F7EAA"/>
    <w:rsid w:val="008F7ECB"/>
    <w:rsid w:val="008F7EFB"/>
    <w:rsid w:val="008F7F2D"/>
    <w:rsid w:val="008F7F50"/>
    <w:rsid w:val="0090001F"/>
    <w:rsid w:val="0090005E"/>
    <w:rsid w:val="00900160"/>
    <w:rsid w:val="0090025D"/>
    <w:rsid w:val="009002C2"/>
    <w:rsid w:val="009002E2"/>
    <w:rsid w:val="00900373"/>
    <w:rsid w:val="0090039E"/>
    <w:rsid w:val="009003BD"/>
    <w:rsid w:val="0090048D"/>
    <w:rsid w:val="00900538"/>
    <w:rsid w:val="0090065A"/>
    <w:rsid w:val="00900673"/>
    <w:rsid w:val="00900754"/>
    <w:rsid w:val="00900854"/>
    <w:rsid w:val="009009C6"/>
    <w:rsid w:val="009009E1"/>
    <w:rsid w:val="00900A51"/>
    <w:rsid w:val="00900A77"/>
    <w:rsid w:val="00900A93"/>
    <w:rsid w:val="00900AE6"/>
    <w:rsid w:val="00900B02"/>
    <w:rsid w:val="00900B11"/>
    <w:rsid w:val="00900B65"/>
    <w:rsid w:val="00900D0E"/>
    <w:rsid w:val="00900D49"/>
    <w:rsid w:val="00900D9D"/>
    <w:rsid w:val="00900E2A"/>
    <w:rsid w:val="00900F50"/>
    <w:rsid w:val="00901004"/>
    <w:rsid w:val="00901065"/>
    <w:rsid w:val="00901162"/>
    <w:rsid w:val="00901170"/>
    <w:rsid w:val="0090122D"/>
    <w:rsid w:val="00901306"/>
    <w:rsid w:val="00901372"/>
    <w:rsid w:val="00901393"/>
    <w:rsid w:val="009013B3"/>
    <w:rsid w:val="0090140D"/>
    <w:rsid w:val="0090147C"/>
    <w:rsid w:val="0090160E"/>
    <w:rsid w:val="009016BF"/>
    <w:rsid w:val="00901722"/>
    <w:rsid w:val="00901788"/>
    <w:rsid w:val="00901829"/>
    <w:rsid w:val="00901890"/>
    <w:rsid w:val="009018BC"/>
    <w:rsid w:val="0090191F"/>
    <w:rsid w:val="0090192F"/>
    <w:rsid w:val="00901A80"/>
    <w:rsid w:val="00901B7D"/>
    <w:rsid w:val="00901B9F"/>
    <w:rsid w:val="00901BB6"/>
    <w:rsid w:val="00901BF0"/>
    <w:rsid w:val="00901CEA"/>
    <w:rsid w:val="00901D3C"/>
    <w:rsid w:val="00901DEB"/>
    <w:rsid w:val="00901E0E"/>
    <w:rsid w:val="00901E7F"/>
    <w:rsid w:val="00901F5D"/>
    <w:rsid w:val="00901FB3"/>
    <w:rsid w:val="0090200F"/>
    <w:rsid w:val="0090203D"/>
    <w:rsid w:val="00902063"/>
    <w:rsid w:val="00902069"/>
    <w:rsid w:val="0090213C"/>
    <w:rsid w:val="0090228D"/>
    <w:rsid w:val="0090228F"/>
    <w:rsid w:val="00902352"/>
    <w:rsid w:val="0090238B"/>
    <w:rsid w:val="00902547"/>
    <w:rsid w:val="0090255F"/>
    <w:rsid w:val="00902591"/>
    <w:rsid w:val="009025A7"/>
    <w:rsid w:val="009025D0"/>
    <w:rsid w:val="009025ED"/>
    <w:rsid w:val="00902601"/>
    <w:rsid w:val="009027CB"/>
    <w:rsid w:val="009027D3"/>
    <w:rsid w:val="009028A6"/>
    <w:rsid w:val="009028F4"/>
    <w:rsid w:val="0090297C"/>
    <w:rsid w:val="00902A10"/>
    <w:rsid w:val="00902A4A"/>
    <w:rsid w:val="00902A65"/>
    <w:rsid w:val="00902AA9"/>
    <w:rsid w:val="00902B39"/>
    <w:rsid w:val="00902BCE"/>
    <w:rsid w:val="00902C08"/>
    <w:rsid w:val="00902C65"/>
    <w:rsid w:val="00902CBE"/>
    <w:rsid w:val="00902CDF"/>
    <w:rsid w:val="00902E41"/>
    <w:rsid w:val="00902E46"/>
    <w:rsid w:val="00902E82"/>
    <w:rsid w:val="00902EF0"/>
    <w:rsid w:val="00902F1A"/>
    <w:rsid w:val="00902FEB"/>
    <w:rsid w:val="00903005"/>
    <w:rsid w:val="00903077"/>
    <w:rsid w:val="0090314B"/>
    <w:rsid w:val="009032D0"/>
    <w:rsid w:val="009032F8"/>
    <w:rsid w:val="0090333B"/>
    <w:rsid w:val="0090346A"/>
    <w:rsid w:val="0090348B"/>
    <w:rsid w:val="00903511"/>
    <w:rsid w:val="0090359B"/>
    <w:rsid w:val="0090361D"/>
    <w:rsid w:val="00903681"/>
    <w:rsid w:val="00903790"/>
    <w:rsid w:val="00903803"/>
    <w:rsid w:val="00903867"/>
    <w:rsid w:val="00903973"/>
    <w:rsid w:val="009039ED"/>
    <w:rsid w:val="00903A08"/>
    <w:rsid w:val="00903A31"/>
    <w:rsid w:val="00903B5E"/>
    <w:rsid w:val="00903BC7"/>
    <w:rsid w:val="00903BD3"/>
    <w:rsid w:val="00903C14"/>
    <w:rsid w:val="00903C4F"/>
    <w:rsid w:val="00903CC3"/>
    <w:rsid w:val="00903DB3"/>
    <w:rsid w:val="00903DCC"/>
    <w:rsid w:val="00903EDE"/>
    <w:rsid w:val="00903FBE"/>
    <w:rsid w:val="009040D6"/>
    <w:rsid w:val="00904151"/>
    <w:rsid w:val="0090416C"/>
    <w:rsid w:val="009042A7"/>
    <w:rsid w:val="009042F4"/>
    <w:rsid w:val="00904350"/>
    <w:rsid w:val="00904374"/>
    <w:rsid w:val="00904424"/>
    <w:rsid w:val="00904464"/>
    <w:rsid w:val="00904535"/>
    <w:rsid w:val="009045B7"/>
    <w:rsid w:val="009047E2"/>
    <w:rsid w:val="00904818"/>
    <w:rsid w:val="009049A5"/>
    <w:rsid w:val="009049C7"/>
    <w:rsid w:val="009049F6"/>
    <w:rsid w:val="00904A3F"/>
    <w:rsid w:val="00904A65"/>
    <w:rsid w:val="00904C1A"/>
    <w:rsid w:val="00904D4F"/>
    <w:rsid w:val="00904DF5"/>
    <w:rsid w:val="00904DFD"/>
    <w:rsid w:val="00904EAF"/>
    <w:rsid w:val="00904F4E"/>
    <w:rsid w:val="0090511D"/>
    <w:rsid w:val="00905163"/>
    <w:rsid w:val="009051CB"/>
    <w:rsid w:val="00905210"/>
    <w:rsid w:val="0090527B"/>
    <w:rsid w:val="0090532D"/>
    <w:rsid w:val="0090534D"/>
    <w:rsid w:val="00905497"/>
    <w:rsid w:val="009055A8"/>
    <w:rsid w:val="009055AF"/>
    <w:rsid w:val="009055F3"/>
    <w:rsid w:val="009056EE"/>
    <w:rsid w:val="0090584F"/>
    <w:rsid w:val="00905862"/>
    <w:rsid w:val="00905892"/>
    <w:rsid w:val="00905915"/>
    <w:rsid w:val="0090593E"/>
    <w:rsid w:val="0090595E"/>
    <w:rsid w:val="00905A05"/>
    <w:rsid w:val="00905A6C"/>
    <w:rsid w:val="00905AC8"/>
    <w:rsid w:val="00905BB0"/>
    <w:rsid w:val="00905BC4"/>
    <w:rsid w:val="00905D06"/>
    <w:rsid w:val="00905D3A"/>
    <w:rsid w:val="00905DA6"/>
    <w:rsid w:val="00905E6B"/>
    <w:rsid w:val="00905EEF"/>
    <w:rsid w:val="00905F93"/>
    <w:rsid w:val="00906010"/>
    <w:rsid w:val="00906075"/>
    <w:rsid w:val="0090618A"/>
    <w:rsid w:val="009061C9"/>
    <w:rsid w:val="0090628B"/>
    <w:rsid w:val="00906299"/>
    <w:rsid w:val="00906351"/>
    <w:rsid w:val="00906353"/>
    <w:rsid w:val="009063AD"/>
    <w:rsid w:val="009063C8"/>
    <w:rsid w:val="00906413"/>
    <w:rsid w:val="00906448"/>
    <w:rsid w:val="009065DC"/>
    <w:rsid w:val="00906681"/>
    <w:rsid w:val="0090672C"/>
    <w:rsid w:val="0090680D"/>
    <w:rsid w:val="00906892"/>
    <w:rsid w:val="0090689E"/>
    <w:rsid w:val="009068C2"/>
    <w:rsid w:val="009068CA"/>
    <w:rsid w:val="009068E9"/>
    <w:rsid w:val="00906A6F"/>
    <w:rsid w:val="00906AED"/>
    <w:rsid w:val="00906B8A"/>
    <w:rsid w:val="00906BC8"/>
    <w:rsid w:val="00906CB5"/>
    <w:rsid w:val="00906DE9"/>
    <w:rsid w:val="00906E6C"/>
    <w:rsid w:val="00906E73"/>
    <w:rsid w:val="00906E9B"/>
    <w:rsid w:val="00906F35"/>
    <w:rsid w:val="00906F3A"/>
    <w:rsid w:val="009070A9"/>
    <w:rsid w:val="009070F3"/>
    <w:rsid w:val="00907282"/>
    <w:rsid w:val="00907389"/>
    <w:rsid w:val="00907446"/>
    <w:rsid w:val="009076E0"/>
    <w:rsid w:val="009076E6"/>
    <w:rsid w:val="009076FD"/>
    <w:rsid w:val="009077DC"/>
    <w:rsid w:val="00907800"/>
    <w:rsid w:val="00907839"/>
    <w:rsid w:val="00907922"/>
    <w:rsid w:val="00907929"/>
    <w:rsid w:val="0090793A"/>
    <w:rsid w:val="009079FC"/>
    <w:rsid w:val="00907A1C"/>
    <w:rsid w:val="00907A6B"/>
    <w:rsid w:val="00907A83"/>
    <w:rsid w:val="00907B4F"/>
    <w:rsid w:val="00907BFA"/>
    <w:rsid w:val="00907C22"/>
    <w:rsid w:val="00907C2D"/>
    <w:rsid w:val="00907C88"/>
    <w:rsid w:val="00907CDF"/>
    <w:rsid w:val="00907D27"/>
    <w:rsid w:val="00907E65"/>
    <w:rsid w:val="00907F22"/>
    <w:rsid w:val="00907F6E"/>
    <w:rsid w:val="0091002A"/>
    <w:rsid w:val="009100C7"/>
    <w:rsid w:val="009101C1"/>
    <w:rsid w:val="00910215"/>
    <w:rsid w:val="00910285"/>
    <w:rsid w:val="009102B0"/>
    <w:rsid w:val="00910388"/>
    <w:rsid w:val="009103A3"/>
    <w:rsid w:val="009103B5"/>
    <w:rsid w:val="009103F7"/>
    <w:rsid w:val="00910418"/>
    <w:rsid w:val="00910469"/>
    <w:rsid w:val="0091048D"/>
    <w:rsid w:val="009105B2"/>
    <w:rsid w:val="00910671"/>
    <w:rsid w:val="009106A1"/>
    <w:rsid w:val="00910764"/>
    <w:rsid w:val="00910876"/>
    <w:rsid w:val="009108A7"/>
    <w:rsid w:val="009108E8"/>
    <w:rsid w:val="00910965"/>
    <w:rsid w:val="00910A18"/>
    <w:rsid w:val="00910B80"/>
    <w:rsid w:val="00910C19"/>
    <w:rsid w:val="00910C75"/>
    <w:rsid w:val="00910D17"/>
    <w:rsid w:val="00910DC3"/>
    <w:rsid w:val="00910EC1"/>
    <w:rsid w:val="00910ED5"/>
    <w:rsid w:val="00910F10"/>
    <w:rsid w:val="00910FCE"/>
    <w:rsid w:val="00911018"/>
    <w:rsid w:val="00911044"/>
    <w:rsid w:val="009110D2"/>
    <w:rsid w:val="009110E2"/>
    <w:rsid w:val="009111B0"/>
    <w:rsid w:val="009111CF"/>
    <w:rsid w:val="009112A5"/>
    <w:rsid w:val="00911346"/>
    <w:rsid w:val="00911380"/>
    <w:rsid w:val="009113A5"/>
    <w:rsid w:val="009113C7"/>
    <w:rsid w:val="009113F7"/>
    <w:rsid w:val="00911453"/>
    <w:rsid w:val="0091146F"/>
    <w:rsid w:val="009114D5"/>
    <w:rsid w:val="00911512"/>
    <w:rsid w:val="0091159B"/>
    <w:rsid w:val="0091165E"/>
    <w:rsid w:val="0091169A"/>
    <w:rsid w:val="009117BA"/>
    <w:rsid w:val="009117F7"/>
    <w:rsid w:val="0091182C"/>
    <w:rsid w:val="00911839"/>
    <w:rsid w:val="0091188F"/>
    <w:rsid w:val="0091190B"/>
    <w:rsid w:val="00911988"/>
    <w:rsid w:val="009119E5"/>
    <w:rsid w:val="009119F1"/>
    <w:rsid w:val="00911A0E"/>
    <w:rsid w:val="00911AD3"/>
    <w:rsid w:val="00911B98"/>
    <w:rsid w:val="00911CF3"/>
    <w:rsid w:val="00911D7D"/>
    <w:rsid w:val="00911ED0"/>
    <w:rsid w:val="00911F28"/>
    <w:rsid w:val="00911FF9"/>
    <w:rsid w:val="0091202C"/>
    <w:rsid w:val="0091206F"/>
    <w:rsid w:val="009120D0"/>
    <w:rsid w:val="00912104"/>
    <w:rsid w:val="00912179"/>
    <w:rsid w:val="009121E7"/>
    <w:rsid w:val="0091221C"/>
    <w:rsid w:val="0091222E"/>
    <w:rsid w:val="00912248"/>
    <w:rsid w:val="00912296"/>
    <w:rsid w:val="0091238C"/>
    <w:rsid w:val="009123BB"/>
    <w:rsid w:val="0091241E"/>
    <w:rsid w:val="0091247F"/>
    <w:rsid w:val="00912656"/>
    <w:rsid w:val="00912679"/>
    <w:rsid w:val="0091268C"/>
    <w:rsid w:val="00912730"/>
    <w:rsid w:val="009127FA"/>
    <w:rsid w:val="00912820"/>
    <w:rsid w:val="00912827"/>
    <w:rsid w:val="00912948"/>
    <w:rsid w:val="0091294D"/>
    <w:rsid w:val="0091297C"/>
    <w:rsid w:val="009129FA"/>
    <w:rsid w:val="00912A39"/>
    <w:rsid w:val="00912AEC"/>
    <w:rsid w:val="00912BD6"/>
    <w:rsid w:val="00912C57"/>
    <w:rsid w:val="00912D18"/>
    <w:rsid w:val="00912DC1"/>
    <w:rsid w:val="00912EE9"/>
    <w:rsid w:val="00912F51"/>
    <w:rsid w:val="00912F55"/>
    <w:rsid w:val="009130C4"/>
    <w:rsid w:val="00913108"/>
    <w:rsid w:val="009134AD"/>
    <w:rsid w:val="00913504"/>
    <w:rsid w:val="0091355F"/>
    <w:rsid w:val="009136AB"/>
    <w:rsid w:val="009136C3"/>
    <w:rsid w:val="0091371C"/>
    <w:rsid w:val="00913871"/>
    <w:rsid w:val="009139AD"/>
    <w:rsid w:val="00913A0D"/>
    <w:rsid w:val="00913B72"/>
    <w:rsid w:val="00913C5F"/>
    <w:rsid w:val="00913CDF"/>
    <w:rsid w:val="00913D50"/>
    <w:rsid w:val="00913E07"/>
    <w:rsid w:val="00913E84"/>
    <w:rsid w:val="00913F20"/>
    <w:rsid w:val="0091400F"/>
    <w:rsid w:val="0091404D"/>
    <w:rsid w:val="00914076"/>
    <w:rsid w:val="009140FF"/>
    <w:rsid w:val="00914152"/>
    <w:rsid w:val="009141FE"/>
    <w:rsid w:val="00914213"/>
    <w:rsid w:val="00914322"/>
    <w:rsid w:val="00914384"/>
    <w:rsid w:val="00914388"/>
    <w:rsid w:val="00914421"/>
    <w:rsid w:val="0091447A"/>
    <w:rsid w:val="009144D4"/>
    <w:rsid w:val="009144EC"/>
    <w:rsid w:val="009144F4"/>
    <w:rsid w:val="00914582"/>
    <w:rsid w:val="009145A6"/>
    <w:rsid w:val="00914641"/>
    <w:rsid w:val="00914660"/>
    <w:rsid w:val="009146A0"/>
    <w:rsid w:val="009146C7"/>
    <w:rsid w:val="009146D4"/>
    <w:rsid w:val="0091478E"/>
    <w:rsid w:val="009147AD"/>
    <w:rsid w:val="009147AE"/>
    <w:rsid w:val="009147D8"/>
    <w:rsid w:val="009148AC"/>
    <w:rsid w:val="00914930"/>
    <w:rsid w:val="00914934"/>
    <w:rsid w:val="0091494A"/>
    <w:rsid w:val="0091495E"/>
    <w:rsid w:val="00914972"/>
    <w:rsid w:val="00914992"/>
    <w:rsid w:val="00914B3E"/>
    <w:rsid w:val="00914B84"/>
    <w:rsid w:val="00914BF9"/>
    <w:rsid w:val="00914C24"/>
    <w:rsid w:val="00914CB2"/>
    <w:rsid w:val="00914DA0"/>
    <w:rsid w:val="00914E27"/>
    <w:rsid w:val="00914EB5"/>
    <w:rsid w:val="00914F1E"/>
    <w:rsid w:val="00914F82"/>
    <w:rsid w:val="0091501E"/>
    <w:rsid w:val="0091502E"/>
    <w:rsid w:val="0091505B"/>
    <w:rsid w:val="00915074"/>
    <w:rsid w:val="009150B7"/>
    <w:rsid w:val="009150C3"/>
    <w:rsid w:val="009150CB"/>
    <w:rsid w:val="00915289"/>
    <w:rsid w:val="0091538E"/>
    <w:rsid w:val="009154A4"/>
    <w:rsid w:val="00915585"/>
    <w:rsid w:val="009155E1"/>
    <w:rsid w:val="0091569A"/>
    <w:rsid w:val="009156AE"/>
    <w:rsid w:val="00915734"/>
    <w:rsid w:val="00915787"/>
    <w:rsid w:val="009158E2"/>
    <w:rsid w:val="00915915"/>
    <w:rsid w:val="00915A68"/>
    <w:rsid w:val="00915CC2"/>
    <w:rsid w:val="00915DE6"/>
    <w:rsid w:val="00915E68"/>
    <w:rsid w:val="00915F71"/>
    <w:rsid w:val="009160AE"/>
    <w:rsid w:val="009160BE"/>
    <w:rsid w:val="009161C9"/>
    <w:rsid w:val="009162D0"/>
    <w:rsid w:val="00916370"/>
    <w:rsid w:val="0091646D"/>
    <w:rsid w:val="00916499"/>
    <w:rsid w:val="00916500"/>
    <w:rsid w:val="00916504"/>
    <w:rsid w:val="00916623"/>
    <w:rsid w:val="0091669D"/>
    <w:rsid w:val="009166A5"/>
    <w:rsid w:val="009166C9"/>
    <w:rsid w:val="009166EF"/>
    <w:rsid w:val="00916729"/>
    <w:rsid w:val="0091679B"/>
    <w:rsid w:val="0091680A"/>
    <w:rsid w:val="00916834"/>
    <w:rsid w:val="00916988"/>
    <w:rsid w:val="009169A7"/>
    <w:rsid w:val="009169E3"/>
    <w:rsid w:val="009169FA"/>
    <w:rsid w:val="00916B69"/>
    <w:rsid w:val="00916B9C"/>
    <w:rsid w:val="00916C23"/>
    <w:rsid w:val="00916C33"/>
    <w:rsid w:val="00916C40"/>
    <w:rsid w:val="00916C5A"/>
    <w:rsid w:val="00916C89"/>
    <w:rsid w:val="00916DD6"/>
    <w:rsid w:val="00916E15"/>
    <w:rsid w:val="00916F91"/>
    <w:rsid w:val="00917011"/>
    <w:rsid w:val="0091717C"/>
    <w:rsid w:val="00917182"/>
    <w:rsid w:val="00917299"/>
    <w:rsid w:val="0091731E"/>
    <w:rsid w:val="0091734B"/>
    <w:rsid w:val="009173AF"/>
    <w:rsid w:val="009173BD"/>
    <w:rsid w:val="00917454"/>
    <w:rsid w:val="00917488"/>
    <w:rsid w:val="009174F7"/>
    <w:rsid w:val="0091758C"/>
    <w:rsid w:val="00917742"/>
    <w:rsid w:val="009177DF"/>
    <w:rsid w:val="00917833"/>
    <w:rsid w:val="009179FD"/>
    <w:rsid w:val="00917A5E"/>
    <w:rsid w:val="00917A68"/>
    <w:rsid w:val="00917AAD"/>
    <w:rsid w:val="00917AE2"/>
    <w:rsid w:val="00917B85"/>
    <w:rsid w:val="00917C30"/>
    <w:rsid w:val="00917C36"/>
    <w:rsid w:val="00917C8F"/>
    <w:rsid w:val="00917C9B"/>
    <w:rsid w:val="00917CBB"/>
    <w:rsid w:val="00917D0E"/>
    <w:rsid w:val="00917D58"/>
    <w:rsid w:val="00917D73"/>
    <w:rsid w:val="00917E46"/>
    <w:rsid w:val="00917F21"/>
    <w:rsid w:val="00917F52"/>
    <w:rsid w:val="00917FF7"/>
    <w:rsid w:val="00920049"/>
    <w:rsid w:val="009200EE"/>
    <w:rsid w:val="0092014C"/>
    <w:rsid w:val="0092020C"/>
    <w:rsid w:val="009202DF"/>
    <w:rsid w:val="009202EA"/>
    <w:rsid w:val="009202FA"/>
    <w:rsid w:val="0092035B"/>
    <w:rsid w:val="009203BB"/>
    <w:rsid w:val="00920475"/>
    <w:rsid w:val="0092049A"/>
    <w:rsid w:val="009204B0"/>
    <w:rsid w:val="00920509"/>
    <w:rsid w:val="00920579"/>
    <w:rsid w:val="009205F5"/>
    <w:rsid w:val="0092063E"/>
    <w:rsid w:val="00920676"/>
    <w:rsid w:val="0092071D"/>
    <w:rsid w:val="0092079A"/>
    <w:rsid w:val="00920833"/>
    <w:rsid w:val="00920937"/>
    <w:rsid w:val="0092094B"/>
    <w:rsid w:val="00920AEB"/>
    <w:rsid w:val="00920B16"/>
    <w:rsid w:val="00920B4D"/>
    <w:rsid w:val="00920BF3"/>
    <w:rsid w:val="00920D83"/>
    <w:rsid w:val="00920D9B"/>
    <w:rsid w:val="00920DA0"/>
    <w:rsid w:val="00920E3A"/>
    <w:rsid w:val="00920E9E"/>
    <w:rsid w:val="00920F6F"/>
    <w:rsid w:val="00920FB4"/>
    <w:rsid w:val="009210E6"/>
    <w:rsid w:val="009213E8"/>
    <w:rsid w:val="009213EF"/>
    <w:rsid w:val="00921469"/>
    <w:rsid w:val="0092147A"/>
    <w:rsid w:val="00921493"/>
    <w:rsid w:val="009214F6"/>
    <w:rsid w:val="009215A7"/>
    <w:rsid w:val="00921766"/>
    <w:rsid w:val="0092179E"/>
    <w:rsid w:val="009217FD"/>
    <w:rsid w:val="00921858"/>
    <w:rsid w:val="00921948"/>
    <w:rsid w:val="009219A9"/>
    <w:rsid w:val="00921A7C"/>
    <w:rsid w:val="00921AA7"/>
    <w:rsid w:val="00921B0D"/>
    <w:rsid w:val="00921BDD"/>
    <w:rsid w:val="00921BF4"/>
    <w:rsid w:val="00921C26"/>
    <w:rsid w:val="00921C44"/>
    <w:rsid w:val="00921D0F"/>
    <w:rsid w:val="00921D13"/>
    <w:rsid w:val="00921DDF"/>
    <w:rsid w:val="00921F39"/>
    <w:rsid w:val="00921F89"/>
    <w:rsid w:val="00921FE0"/>
    <w:rsid w:val="00922032"/>
    <w:rsid w:val="00922068"/>
    <w:rsid w:val="009220C8"/>
    <w:rsid w:val="0092224C"/>
    <w:rsid w:val="00922282"/>
    <w:rsid w:val="00922300"/>
    <w:rsid w:val="0092234C"/>
    <w:rsid w:val="009223F9"/>
    <w:rsid w:val="0092244C"/>
    <w:rsid w:val="0092255F"/>
    <w:rsid w:val="0092258C"/>
    <w:rsid w:val="009225D9"/>
    <w:rsid w:val="00922718"/>
    <w:rsid w:val="0092272D"/>
    <w:rsid w:val="009228A6"/>
    <w:rsid w:val="00922982"/>
    <w:rsid w:val="009229C3"/>
    <w:rsid w:val="00922A90"/>
    <w:rsid w:val="00922ADB"/>
    <w:rsid w:val="00922B83"/>
    <w:rsid w:val="00922C76"/>
    <w:rsid w:val="00922C84"/>
    <w:rsid w:val="00922CD9"/>
    <w:rsid w:val="00922CE3"/>
    <w:rsid w:val="00922D5E"/>
    <w:rsid w:val="00922D7F"/>
    <w:rsid w:val="00922DB5"/>
    <w:rsid w:val="00922E26"/>
    <w:rsid w:val="00922E4A"/>
    <w:rsid w:val="00922E5E"/>
    <w:rsid w:val="00922EC0"/>
    <w:rsid w:val="00922F46"/>
    <w:rsid w:val="00923045"/>
    <w:rsid w:val="00923090"/>
    <w:rsid w:val="009230AF"/>
    <w:rsid w:val="00923379"/>
    <w:rsid w:val="00923426"/>
    <w:rsid w:val="00923551"/>
    <w:rsid w:val="00923601"/>
    <w:rsid w:val="0092366C"/>
    <w:rsid w:val="00923720"/>
    <w:rsid w:val="0092372A"/>
    <w:rsid w:val="00923738"/>
    <w:rsid w:val="00923861"/>
    <w:rsid w:val="009238F0"/>
    <w:rsid w:val="009238F8"/>
    <w:rsid w:val="0092398A"/>
    <w:rsid w:val="00923A32"/>
    <w:rsid w:val="00923B1E"/>
    <w:rsid w:val="00923BB2"/>
    <w:rsid w:val="00923CCB"/>
    <w:rsid w:val="00923CCE"/>
    <w:rsid w:val="00923E4D"/>
    <w:rsid w:val="00923E71"/>
    <w:rsid w:val="00923E8C"/>
    <w:rsid w:val="00923EB5"/>
    <w:rsid w:val="00923ECB"/>
    <w:rsid w:val="00923F2F"/>
    <w:rsid w:val="00924078"/>
    <w:rsid w:val="0092409E"/>
    <w:rsid w:val="0092411E"/>
    <w:rsid w:val="00924144"/>
    <w:rsid w:val="009241B2"/>
    <w:rsid w:val="009241B9"/>
    <w:rsid w:val="00924228"/>
    <w:rsid w:val="009242B8"/>
    <w:rsid w:val="00924399"/>
    <w:rsid w:val="009244E0"/>
    <w:rsid w:val="00924506"/>
    <w:rsid w:val="0092451C"/>
    <w:rsid w:val="00924585"/>
    <w:rsid w:val="009245CB"/>
    <w:rsid w:val="00924637"/>
    <w:rsid w:val="00924665"/>
    <w:rsid w:val="0092474E"/>
    <w:rsid w:val="00924762"/>
    <w:rsid w:val="00924767"/>
    <w:rsid w:val="0092490E"/>
    <w:rsid w:val="0092495F"/>
    <w:rsid w:val="00924AE6"/>
    <w:rsid w:val="00924B05"/>
    <w:rsid w:val="00924B2D"/>
    <w:rsid w:val="00924B6B"/>
    <w:rsid w:val="00924C16"/>
    <w:rsid w:val="00924CBB"/>
    <w:rsid w:val="00924D73"/>
    <w:rsid w:val="00924E90"/>
    <w:rsid w:val="00924F33"/>
    <w:rsid w:val="00924F65"/>
    <w:rsid w:val="0092503D"/>
    <w:rsid w:val="00925098"/>
    <w:rsid w:val="009250AC"/>
    <w:rsid w:val="00925149"/>
    <w:rsid w:val="009252CF"/>
    <w:rsid w:val="00925346"/>
    <w:rsid w:val="0092561D"/>
    <w:rsid w:val="009256B0"/>
    <w:rsid w:val="009257AF"/>
    <w:rsid w:val="009257CE"/>
    <w:rsid w:val="00925806"/>
    <w:rsid w:val="00925879"/>
    <w:rsid w:val="0092594E"/>
    <w:rsid w:val="00925995"/>
    <w:rsid w:val="009259AB"/>
    <w:rsid w:val="00925ADB"/>
    <w:rsid w:val="00925B04"/>
    <w:rsid w:val="00925B17"/>
    <w:rsid w:val="00925D84"/>
    <w:rsid w:val="00925DE6"/>
    <w:rsid w:val="00925E40"/>
    <w:rsid w:val="00925EAF"/>
    <w:rsid w:val="00925EB0"/>
    <w:rsid w:val="00925EC0"/>
    <w:rsid w:val="00925ED3"/>
    <w:rsid w:val="00926016"/>
    <w:rsid w:val="00926091"/>
    <w:rsid w:val="009260B3"/>
    <w:rsid w:val="009260DF"/>
    <w:rsid w:val="0092618D"/>
    <w:rsid w:val="009261C9"/>
    <w:rsid w:val="00926286"/>
    <w:rsid w:val="009262AD"/>
    <w:rsid w:val="0092631A"/>
    <w:rsid w:val="00926374"/>
    <w:rsid w:val="009263C4"/>
    <w:rsid w:val="009263DB"/>
    <w:rsid w:val="0092643A"/>
    <w:rsid w:val="009264F8"/>
    <w:rsid w:val="009264F9"/>
    <w:rsid w:val="00926535"/>
    <w:rsid w:val="0092653C"/>
    <w:rsid w:val="0092657A"/>
    <w:rsid w:val="009265B2"/>
    <w:rsid w:val="00926639"/>
    <w:rsid w:val="0092695E"/>
    <w:rsid w:val="00926965"/>
    <w:rsid w:val="00926972"/>
    <w:rsid w:val="00926A00"/>
    <w:rsid w:val="00926AAE"/>
    <w:rsid w:val="00926BAD"/>
    <w:rsid w:val="00926C16"/>
    <w:rsid w:val="00926C3A"/>
    <w:rsid w:val="00926C93"/>
    <w:rsid w:val="00926C9F"/>
    <w:rsid w:val="00926D40"/>
    <w:rsid w:val="00926E05"/>
    <w:rsid w:val="00926E16"/>
    <w:rsid w:val="00926ECA"/>
    <w:rsid w:val="00926EE7"/>
    <w:rsid w:val="00926FA7"/>
    <w:rsid w:val="009270D5"/>
    <w:rsid w:val="00927114"/>
    <w:rsid w:val="009271D9"/>
    <w:rsid w:val="009271E2"/>
    <w:rsid w:val="009271EA"/>
    <w:rsid w:val="00927235"/>
    <w:rsid w:val="00927343"/>
    <w:rsid w:val="0092735B"/>
    <w:rsid w:val="00927371"/>
    <w:rsid w:val="0092740F"/>
    <w:rsid w:val="0092741B"/>
    <w:rsid w:val="0092741F"/>
    <w:rsid w:val="009274EC"/>
    <w:rsid w:val="0092752D"/>
    <w:rsid w:val="00927556"/>
    <w:rsid w:val="00927650"/>
    <w:rsid w:val="00927679"/>
    <w:rsid w:val="009276AF"/>
    <w:rsid w:val="009276EB"/>
    <w:rsid w:val="00927845"/>
    <w:rsid w:val="00927853"/>
    <w:rsid w:val="00927857"/>
    <w:rsid w:val="00927859"/>
    <w:rsid w:val="009278D3"/>
    <w:rsid w:val="009278FB"/>
    <w:rsid w:val="00927A5C"/>
    <w:rsid w:val="00927A6F"/>
    <w:rsid w:val="00927AA8"/>
    <w:rsid w:val="00927B83"/>
    <w:rsid w:val="00927BA3"/>
    <w:rsid w:val="00927C02"/>
    <w:rsid w:val="00927C6D"/>
    <w:rsid w:val="00927C8C"/>
    <w:rsid w:val="00927CAB"/>
    <w:rsid w:val="00927F49"/>
    <w:rsid w:val="00927F4F"/>
    <w:rsid w:val="00927F64"/>
    <w:rsid w:val="00927F67"/>
    <w:rsid w:val="00927F9D"/>
    <w:rsid w:val="00927FC2"/>
    <w:rsid w:val="00927FDA"/>
    <w:rsid w:val="009300A9"/>
    <w:rsid w:val="009300EF"/>
    <w:rsid w:val="00930147"/>
    <w:rsid w:val="009302FB"/>
    <w:rsid w:val="0093033E"/>
    <w:rsid w:val="00930371"/>
    <w:rsid w:val="009303CD"/>
    <w:rsid w:val="009304AA"/>
    <w:rsid w:val="00930662"/>
    <w:rsid w:val="00930680"/>
    <w:rsid w:val="00930687"/>
    <w:rsid w:val="00930693"/>
    <w:rsid w:val="009306EA"/>
    <w:rsid w:val="00930703"/>
    <w:rsid w:val="00930795"/>
    <w:rsid w:val="0093079F"/>
    <w:rsid w:val="009307AB"/>
    <w:rsid w:val="00930820"/>
    <w:rsid w:val="00930821"/>
    <w:rsid w:val="00930892"/>
    <w:rsid w:val="0093094F"/>
    <w:rsid w:val="00930955"/>
    <w:rsid w:val="0093097A"/>
    <w:rsid w:val="00930A2E"/>
    <w:rsid w:val="00930B0E"/>
    <w:rsid w:val="00930B20"/>
    <w:rsid w:val="00930B59"/>
    <w:rsid w:val="00930B97"/>
    <w:rsid w:val="00930B9F"/>
    <w:rsid w:val="00930C19"/>
    <w:rsid w:val="00930C84"/>
    <w:rsid w:val="00930CA7"/>
    <w:rsid w:val="00930DB6"/>
    <w:rsid w:val="00930E55"/>
    <w:rsid w:val="00930E6B"/>
    <w:rsid w:val="00930EA2"/>
    <w:rsid w:val="00930EDD"/>
    <w:rsid w:val="00930F71"/>
    <w:rsid w:val="00930FBD"/>
    <w:rsid w:val="00930FC0"/>
    <w:rsid w:val="00930FC1"/>
    <w:rsid w:val="009310D6"/>
    <w:rsid w:val="009310DD"/>
    <w:rsid w:val="009310DF"/>
    <w:rsid w:val="0093110F"/>
    <w:rsid w:val="0093113F"/>
    <w:rsid w:val="009311A3"/>
    <w:rsid w:val="0093121E"/>
    <w:rsid w:val="0093124A"/>
    <w:rsid w:val="0093133C"/>
    <w:rsid w:val="00931380"/>
    <w:rsid w:val="009313DE"/>
    <w:rsid w:val="00931550"/>
    <w:rsid w:val="0093156A"/>
    <w:rsid w:val="0093156D"/>
    <w:rsid w:val="00931636"/>
    <w:rsid w:val="00931798"/>
    <w:rsid w:val="009317EE"/>
    <w:rsid w:val="00931838"/>
    <w:rsid w:val="009318DF"/>
    <w:rsid w:val="00931A02"/>
    <w:rsid w:val="00931A41"/>
    <w:rsid w:val="00931A56"/>
    <w:rsid w:val="00931AA1"/>
    <w:rsid w:val="00931AF7"/>
    <w:rsid w:val="00931D0F"/>
    <w:rsid w:val="00931DCD"/>
    <w:rsid w:val="00931DE9"/>
    <w:rsid w:val="00931E29"/>
    <w:rsid w:val="00931E3D"/>
    <w:rsid w:val="00931E43"/>
    <w:rsid w:val="00931E57"/>
    <w:rsid w:val="00931E6B"/>
    <w:rsid w:val="00931ED0"/>
    <w:rsid w:val="00931FDD"/>
    <w:rsid w:val="00932048"/>
    <w:rsid w:val="00932069"/>
    <w:rsid w:val="00932088"/>
    <w:rsid w:val="00932173"/>
    <w:rsid w:val="009321C6"/>
    <w:rsid w:val="00932287"/>
    <w:rsid w:val="009322E1"/>
    <w:rsid w:val="0093254E"/>
    <w:rsid w:val="0093254F"/>
    <w:rsid w:val="0093263B"/>
    <w:rsid w:val="0093284B"/>
    <w:rsid w:val="009328BB"/>
    <w:rsid w:val="009329C0"/>
    <w:rsid w:val="00932A8E"/>
    <w:rsid w:val="00932C15"/>
    <w:rsid w:val="00932C6A"/>
    <w:rsid w:val="00932C8F"/>
    <w:rsid w:val="00932CA3"/>
    <w:rsid w:val="00932CAF"/>
    <w:rsid w:val="00932CB2"/>
    <w:rsid w:val="00932CD8"/>
    <w:rsid w:val="00932D02"/>
    <w:rsid w:val="00932DEC"/>
    <w:rsid w:val="00932E17"/>
    <w:rsid w:val="00932E21"/>
    <w:rsid w:val="00932E92"/>
    <w:rsid w:val="00932ECA"/>
    <w:rsid w:val="00933033"/>
    <w:rsid w:val="009330D3"/>
    <w:rsid w:val="009331E8"/>
    <w:rsid w:val="0093337B"/>
    <w:rsid w:val="009334A7"/>
    <w:rsid w:val="009335A9"/>
    <w:rsid w:val="009335E9"/>
    <w:rsid w:val="0093364E"/>
    <w:rsid w:val="0093378B"/>
    <w:rsid w:val="009337E5"/>
    <w:rsid w:val="00933888"/>
    <w:rsid w:val="0093393B"/>
    <w:rsid w:val="00933981"/>
    <w:rsid w:val="00933986"/>
    <w:rsid w:val="009339D4"/>
    <w:rsid w:val="00933A6B"/>
    <w:rsid w:val="00933ACE"/>
    <w:rsid w:val="00933B32"/>
    <w:rsid w:val="00933B64"/>
    <w:rsid w:val="00933BDC"/>
    <w:rsid w:val="00933BF7"/>
    <w:rsid w:val="00933C10"/>
    <w:rsid w:val="00933C9D"/>
    <w:rsid w:val="00933CA5"/>
    <w:rsid w:val="00933CF0"/>
    <w:rsid w:val="00933D14"/>
    <w:rsid w:val="00933D35"/>
    <w:rsid w:val="00933D8C"/>
    <w:rsid w:val="00933EC9"/>
    <w:rsid w:val="00933FC2"/>
    <w:rsid w:val="009340B3"/>
    <w:rsid w:val="0093417E"/>
    <w:rsid w:val="009341A3"/>
    <w:rsid w:val="0093427E"/>
    <w:rsid w:val="0093437D"/>
    <w:rsid w:val="00934389"/>
    <w:rsid w:val="009343AC"/>
    <w:rsid w:val="00934447"/>
    <w:rsid w:val="00934454"/>
    <w:rsid w:val="00934463"/>
    <w:rsid w:val="00934515"/>
    <w:rsid w:val="009346A5"/>
    <w:rsid w:val="00934721"/>
    <w:rsid w:val="0093473C"/>
    <w:rsid w:val="009347C7"/>
    <w:rsid w:val="009347DE"/>
    <w:rsid w:val="0093491E"/>
    <w:rsid w:val="009349DE"/>
    <w:rsid w:val="009349FE"/>
    <w:rsid w:val="00934B10"/>
    <w:rsid w:val="00934B25"/>
    <w:rsid w:val="00934BB9"/>
    <w:rsid w:val="00934BC1"/>
    <w:rsid w:val="00934C32"/>
    <w:rsid w:val="00934CCE"/>
    <w:rsid w:val="00934D95"/>
    <w:rsid w:val="00934DE3"/>
    <w:rsid w:val="00934E67"/>
    <w:rsid w:val="00934F1C"/>
    <w:rsid w:val="00934F3D"/>
    <w:rsid w:val="00934F81"/>
    <w:rsid w:val="00934FD3"/>
    <w:rsid w:val="0093507C"/>
    <w:rsid w:val="00935098"/>
    <w:rsid w:val="00935113"/>
    <w:rsid w:val="009351CE"/>
    <w:rsid w:val="0093520C"/>
    <w:rsid w:val="0093522C"/>
    <w:rsid w:val="009352A9"/>
    <w:rsid w:val="009352BB"/>
    <w:rsid w:val="009352CA"/>
    <w:rsid w:val="009352E6"/>
    <w:rsid w:val="009353D7"/>
    <w:rsid w:val="00935419"/>
    <w:rsid w:val="0093541B"/>
    <w:rsid w:val="0093541E"/>
    <w:rsid w:val="009354D8"/>
    <w:rsid w:val="009354F4"/>
    <w:rsid w:val="00935501"/>
    <w:rsid w:val="00935557"/>
    <w:rsid w:val="00935653"/>
    <w:rsid w:val="009356DB"/>
    <w:rsid w:val="009356ED"/>
    <w:rsid w:val="0093578F"/>
    <w:rsid w:val="009358D5"/>
    <w:rsid w:val="00935954"/>
    <w:rsid w:val="00935971"/>
    <w:rsid w:val="0093598E"/>
    <w:rsid w:val="0093598F"/>
    <w:rsid w:val="009359FD"/>
    <w:rsid w:val="00935AC2"/>
    <w:rsid w:val="00935AC3"/>
    <w:rsid w:val="00935B42"/>
    <w:rsid w:val="00935B4A"/>
    <w:rsid w:val="00935B64"/>
    <w:rsid w:val="00935B8D"/>
    <w:rsid w:val="00935BDC"/>
    <w:rsid w:val="00935BDE"/>
    <w:rsid w:val="00935C0F"/>
    <w:rsid w:val="00935D08"/>
    <w:rsid w:val="00935D79"/>
    <w:rsid w:val="00935E0E"/>
    <w:rsid w:val="00935F91"/>
    <w:rsid w:val="00935FE5"/>
    <w:rsid w:val="0093601B"/>
    <w:rsid w:val="009360EB"/>
    <w:rsid w:val="00936111"/>
    <w:rsid w:val="00936254"/>
    <w:rsid w:val="00936309"/>
    <w:rsid w:val="00936377"/>
    <w:rsid w:val="00936638"/>
    <w:rsid w:val="009366D5"/>
    <w:rsid w:val="009366E2"/>
    <w:rsid w:val="009367C6"/>
    <w:rsid w:val="009368E8"/>
    <w:rsid w:val="00936925"/>
    <w:rsid w:val="00936967"/>
    <w:rsid w:val="00936A3A"/>
    <w:rsid w:val="00936A62"/>
    <w:rsid w:val="00936ACE"/>
    <w:rsid w:val="00936AF5"/>
    <w:rsid w:val="00936B66"/>
    <w:rsid w:val="00936B68"/>
    <w:rsid w:val="00936B8E"/>
    <w:rsid w:val="00936BFB"/>
    <w:rsid w:val="00936C0C"/>
    <w:rsid w:val="00936C25"/>
    <w:rsid w:val="00936C4B"/>
    <w:rsid w:val="00936D4F"/>
    <w:rsid w:val="00936D8D"/>
    <w:rsid w:val="00936D91"/>
    <w:rsid w:val="00936E00"/>
    <w:rsid w:val="00936E1A"/>
    <w:rsid w:val="00936EB6"/>
    <w:rsid w:val="00936F34"/>
    <w:rsid w:val="00937044"/>
    <w:rsid w:val="00937124"/>
    <w:rsid w:val="0093715E"/>
    <w:rsid w:val="009371A2"/>
    <w:rsid w:val="009371BB"/>
    <w:rsid w:val="009371ED"/>
    <w:rsid w:val="00937269"/>
    <w:rsid w:val="00937519"/>
    <w:rsid w:val="00937548"/>
    <w:rsid w:val="009375EE"/>
    <w:rsid w:val="00937674"/>
    <w:rsid w:val="00937680"/>
    <w:rsid w:val="00937728"/>
    <w:rsid w:val="009377B5"/>
    <w:rsid w:val="00937823"/>
    <w:rsid w:val="00937832"/>
    <w:rsid w:val="00937896"/>
    <w:rsid w:val="00937942"/>
    <w:rsid w:val="009379C5"/>
    <w:rsid w:val="009379EB"/>
    <w:rsid w:val="00937B8A"/>
    <w:rsid w:val="00937BDD"/>
    <w:rsid w:val="00937C19"/>
    <w:rsid w:val="00937CB2"/>
    <w:rsid w:val="00937DE5"/>
    <w:rsid w:val="00937E00"/>
    <w:rsid w:val="00937E0A"/>
    <w:rsid w:val="00937E7E"/>
    <w:rsid w:val="00940008"/>
    <w:rsid w:val="0094001D"/>
    <w:rsid w:val="00940033"/>
    <w:rsid w:val="00940071"/>
    <w:rsid w:val="009401A5"/>
    <w:rsid w:val="00940236"/>
    <w:rsid w:val="00940272"/>
    <w:rsid w:val="00940405"/>
    <w:rsid w:val="0094044B"/>
    <w:rsid w:val="00940521"/>
    <w:rsid w:val="0094068F"/>
    <w:rsid w:val="009406B5"/>
    <w:rsid w:val="00940701"/>
    <w:rsid w:val="00940716"/>
    <w:rsid w:val="0094075E"/>
    <w:rsid w:val="00940761"/>
    <w:rsid w:val="009409B4"/>
    <w:rsid w:val="009409C3"/>
    <w:rsid w:val="00940A0D"/>
    <w:rsid w:val="00940A78"/>
    <w:rsid w:val="00940CB3"/>
    <w:rsid w:val="00940D26"/>
    <w:rsid w:val="00940D66"/>
    <w:rsid w:val="00940D76"/>
    <w:rsid w:val="00940EF3"/>
    <w:rsid w:val="009410DD"/>
    <w:rsid w:val="00941137"/>
    <w:rsid w:val="00941175"/>
    <w:rsid w:val="009411DC"/>
    <w:rsid w:val="0094125F"/>
    <w:rsid w:val="009412C4"/>
    <w:rsid w:val="009412D8"/>
    <w:rsid w:val="009412E2"/>
    <w:rsid w:val="0094139D"/>
    <w:rsid w:val="009413C9"/>
    <w:rsid w:val="0094144C"/>
    <w:rsid w:val="0094146D"/>
    <w:rsid w:val="00941475"/>
    <w:rsid w:val="009414DF"/>
    <w:rsid w:val="00941518"/>
    <w:rsid w:val="009415BD"/>
    <w:rsid w:val="009415ED"/>
    <w:rsid w:val="0094161C"/>
    <w:rsid w:val="00941656"/>
    <w:rsid w:val="00941794"/>
    <w:rsid w:val="009417BC"/>
    <w:rsid w:val="00941812"/>
    <w:rsid w:val="00941850"/>
    <w:rsid w:val="009418CE"/>
    <w:rsid w:val="00941954"/>
    <w:rsid w:val="009419E0"/>
    <w:rsid w:val="00941AC9"/>
    <w:rsid w:val="00941B49"/>
    <w:rsid w:val="00941B59"/>
    <w:rsid w:val="00941B7D"/>
    <w:rsid w:val="00941BF8"/>
    <w:rsid w:val="00941C46"/>
    <w:rsid w:val="00941D05"/>
    <w:rsid w:val="00941D1D"/>
    <w:rsid w:val="00941D78"/>
    <w:rsid w:val="00941DB6"/>
    <w:rsid w:val="00941EB7"/>
    <w:rsid w:val="00941EBF"/>
    <w:rsid w:val="00941ECA"/>
    <w:rsid w:val="00941F0F"/>
    <w:rsid w:val="00941FD9"/>
    <w:rsid w:val="00941FE3"/>
    <w:rsid w:val="00942030"/>
    <w:rsid w:val="0094203B"/>
    <w:rsid w:val="00942055"/>
    <w:rsid w:val="00942057"/>
    <w:rsid w:val="00942105"/>
    <w:rsid w:val="0094212A"/>
    <w:rsid w:val="009421D7"/>
    <w:rsid w:val="009422A3"/>
    <w:rsid w:val="00942316"/>
    <w:rsid w:val="009423BC"/>
    <w:rsid w:val="00942437"/>
    <w:rsid w:val="00942444"/>
    <w:rsid w:val="00942455"/>
    <w:rsid w:val="00942493"/>
    <w:rsid w:val="009424A3"/>
    <w:rsid w:val="009424F8"/>
    <w:rsid w:val="0094251D"/>
    <w:rsid w:val="009425BF"/>
    <w:rsid w:val="009425D6"/>
    <w:rsid w:val="009425F5"/>
    <w:rsid w:val="0094263E"/>
    <w:rsid w:val="0094265A"/>
    <w:rsid w:val="009426E1"/>
    <w:rsid w:val="009426EA"/>
    <w:rsid w:val="009426F0"/>
    <w:rsid w:val="0094271B"/>
    <w:rsid w:val="009427DC"/>
    <w:rsid w:val="00942821"/>
    <w:rsid w:val="009429A4"/>
    <w:rsid w:val="009429F0"/>
    <w:rsid w:val="00942A1C"/>
    <w:rsid w:val="00942A68"/>
    <w:rsid w:val="00942AEA"/>
    <w:rsid w:val="00942B68"/>
    <w:rsid w:val="00942B70"/>
    <w:rsid w:val="00942C33"/>
    <w:rsid w:val="00942C5A"/>
    <w:rsid w:val="00942C88"/>
    <w:rsid w:val="00942CC3"/>
    <w:rsid w:val="00942D01"/>
    <w:rsid w:val="00942D13"/>
    <w:rsid w:val="00942DE9"/>
    <w:rsid w:val="00942E74"/>
    <w:rsid w:val="00942E90"/>
    <w:rsid w:val="00942EA0"/>
    <w:rsid w:val="00942F17"/>
    <w:rsid w:val="00942F64"/>
    <w:rsid w:val="009430B4"/>
    <w:rsid w:val="009430D4"/>
    <w:rsid w:val="009430E0"/>
    <w:rsid w:val="0094310B"/>
    <w:rsid w:val="00943170"/>
    <w:rsid w:val="0094324D"/>
    <w:rsid w:val="00943377"/>
    <w:rsid w:val="0094339D"/>
    <w:rsid w:val="00943466"/>
    <w:rsid w:val="00943481"/>
    <w:rsid w:val="009434C9"/>
    <w:rsid w:val="009434D0"/>
    <w:rsid w:val="009435B8"/>
    <w:rsid w:val="009437A0"/>
    <w:rsid w:val="009438FF"/>
    <w:rsid w:val="00943929"/>
    <w:rsid w:val="00943A64"/>
    <w:rsid w:val="00943E5E"/>
    <w:rsid w:val="00943EC4"/>
    <w:rsid w:val="00943F09"/>
    <w:rsid w:val="00943F55"/>
    <w:rsid w:val="00943F68"/>
    <w:rsid w:val="00943FE7"/>
    <w:rsid w:val="00943FF2"/>
    <w:rsid w:val="009440F7"/>
    <w:rsid w:val="00944120"/>
    <w:rsid w:val="00944171"/>
    <w:rsid w:val="00944202"/>
    <w:rsid w:val="0094431A"/>
    <w:rsid w:val="0094436E"/>
    <w:rsid w:val="00944397"/>
    <w:rsid w:val="009443BE"/>
    <w:rsid w:val="00944405"/>
    <w:rsid w:val="00944408"/>
    <w:rsid w:val="0094441E"/>
    <w:rsid w:val="00944442"/>
    <w:rsid w:val="00944538"/>
    <w:rsid w:val="009445B4"/>
    <w:rsid w:val="009445DE"/>
    <w:rsid w:val="00944680"/>
    <w:rsid w:val="009446A2"/>
    <w:rsid w:val="009446A6"/>
    <w:rsid w:val="009446BC"/>
    <w:rsid w:val="009447FE"/>
    <w:rsid w:val="00944857"/>
    <w:rsid w:val="00944871"/>
    <w:rsid w:val="009448B9"/>
    <w:rsid w:val="009448C1"/>
    <w:rsid w:val="00944930"/>
    <w:rsid w:val="009449BF"/>
    <w:rsid w:val="009449FD"/>
    <w:rsid w:val="00944A42"/>
    <w:rsid w:val="00944AE8"/>
    <w:rsid w:val="00944B86"/>
    <w:rsid w:val="00944C01"/>
    <w:rsid w:val="00944C14"/>
    <w:rsid w:val="00944C4C"/>
    <w:rsid w:val="00944CF4"/>
    <w:rsid w:val="00944DA6"/>
    <w:rsid w:val="00944DE7"/>
    <w:rsid w:val="00944E45"/>
    <w:rsid w:val="00944E78"/>
    <w:rsid w:val="00944E79"/>
    <w:rsid w:val="00944ED2"/>
    <w:rsid w:val="00944FD9"/>
    <w:rsid w:val="00944FE5"/>
    <w:rsid w:val="009452C5"/>
    <w:rsid w:val="0094531C"/>
    <w:rsid w:val="00945322"/>
    <w:rsid w:val="00945383"/>
    <w:rsid w:val="009454AD"/>
    <w:rsid w:val="00945510"/>
    <w:rsid w:val="0094554F"/>
    <w:rsid w:val="0094558F"/>
    <w:rsid w:val="0094561C"/>
    <w:rsid w:val="00945665"/>
    <w:rsid w:val="009456AB"/>
    <w:rsid w:val="009456E6"/>
    <w:rsid w:val="009457A7"/>
    <w:rsid w:val="00945859"/>
    <w:rsid w:val="0094586B"/>
    <w:rsid w:val="009458FE"/>
    <w:rsid w:val="0094597E"/>
    <w:rsid w:val="009459CB"/>
    <w:rsid w:val="009459DF"/>
    <w:rsid w:val="009459EB"/>
    <w:rsid w:val="00945A79"/>
    <w:rsid w:val="00945AE5"/>
    <w:rsid w:val="00945B2A"/>
    <w:rsid w:val="00945BC3"/>
    <w:rsid w:val="00945C4F"/>
    <w:rsid w:val="00945F75"/>
    <w:rsid w:val="00945F9B"/>
    <w:rsid w:val="00946045"/>
    <w:rsid w:val="0094608A"/>
    <w:rsid w:val="0094609A"/>
    <w:rsid w:val="009460B0"/>
    <w:rsid w:val="00946187"/>
    <w:rsid w:val="00946246"/>
    <w:rsid w:val="00946281"/>
    <w:rsid w:val="0094638A"/>
    <w:rsid w:val="00946391"/>
    <w:rsid w:val="009463CD"/>
    <w:rsid w:val="009463DB"/>
    <w:rsid w:val="0094640F"/>
    <w:rsid w:val="00946468"/>
    <w:rsid w:val="00946471"/>
    <w:rsid w:val="009464E8"/>
    <w:rsid w:val="00946515"/>
    <w:rsid w:val="00946519"/>
    <w:rsid w:val="009465EA"/>
    <w:rsid w:val="00946603"/>
    <w:rsid w:val="00946691"/>
    <w:rsid w:val="00946736"/>
    <w:rsid w:val="0094678D"/>
    <w:rsid w:val="009467DA"/>
    <w:rsid w:val="009467ED"/>
    <w:rsid w:val="0094699B"/>
    <w:rsid w:val="009469C8"/>
    <w:rsid w:val="00946A1A"/>
    <w:rsid w:val="00946AB7"/>
    <w:rsid w:val="00946ACA"/>
    <w:rsid w:val="00946B20"/>
    <w:rsid w:val="00946B8B"/>
    <w:rsid w:val="00946C9A"/>
    <w:rsid w:val="00946EED"/>
    <w:rsid w:val="00946EF3"/>
    <w:rsid w:val="00947006"/>
    <w:rsid w:val="0094712F"/>
    <w:rsid w:val="00947180"/>
    <w:rsid w:val="00947228"/>
    <w:rsid w:val="0094722F"/>
    <w:rsid w:val="00947240"/>
    <w:rsid w:val="00947301"/>
    <w:rsid w:val="0094731A"/>
    <w:rsid w:val="00947333"/>
    <w:rsid w:val="00947495"/>
    <w:rsid w:val="00947634"/>
    <w:rsid w:val="0094766C"/>
    <w:rsid w:val="0094774F"/>
    <w:rsid w:val="00947752"/>
    <w:rsid w:val="009477EE"/>
    <w:rsid w:val="00947817"/>
    <w:rsid w:val="0094789E"/>
    <w:rsid w:val="009478CD"/>
    <w:rsid w:val="009478E5"/>
    <w:rsid w:val="00947910"/>
    <w:rsid w:val="0094794E"/>
    <w:rsid w:val="00947A43"/>
    <w:rsid w:val="00947A4B"/>
    <w:rsid w:val="00947A99"/>
    <w:rsid w:val="00947AA3"/>
    <w:rsid w:val="00947BCE"/>
    <w:rsid w:val="00947C04"/>
    <w:rsid w:val="00947C3E"/>
    <w:rsid w:val="00947C8A"/>
    <w:rsid w:val="00947C9B"/>
    <w:rsid w:val="00947CC8"/>
    <w:rsid w:val="00947CCA"/>
    <w:rsid w:val="00947CE2"/>
    <w:rsid w:val="00947D4D"/>
    <w:rsid w:val="00947D5C"/>
    <w:rsid w:val="00947DBB"/>
    <w:rsid w:val="00947E2E"/>
    <w:rsid w:val="00947F14"/>
    <w:rsid w:val="00947F30"/>
    <w:rsid w:val="00947F33"/>
    <w:rsid w:val="00950025"/>
    <w:rsid w:val="009502B9"/>
    <w:rsid w:val="009503A0"/>
    <w:rsid w:val="0095040E"/>
    <w:rsid w:val="0095043A"/>
    <w:rsid w:val="0095043F"/>
    <w:rsid w:val="0095044C"/>
    <w:rsid w:val="009504F3"/>
    <w:rsid w:val="0095051A"/>
    <w:rsid w:val="009506A7"/>
    <w:rsid w:val="009506D3"/>
    <w:rsid w:val="0095078A"/>
    <w:rsid w:val="009507FB"/>
    <w:rsid w:val="00950869"/>
    <w:rsid w:val="00950877"/>
    <w:rsid w:val="009508C7"/>
    <w:rsid w:val="00950A63"/>
    <w:rsid w:val="00950B32"/>
    <w:rsid w:val="00950C0F"/>
    <w:rsid w:val="00950C3B"/>
    <w:rsid w:val="00950C90"/>
    <w:rsid w:val="00950CC1"/>
    <w:rsid w:val="00950DE3"/>
    <w:rsid w:val="00950E14"/>
    <w:rsid w:val="00950EBD"/>
    <w:rsid w:val="00951016"/>
    <w:rsid w:val="009510E0"/>
    <w:rsid w:val="0095114A"/>
    <w:rsid w:val="009511D6"/>
    <w:rsid w:val="009512FE"/>
    <w:rsid w:val="00951397"/>
    <w:rsid w:val="00951419"/>
    <w:rsid w:val="009514C8"/>
    <w:rsid w:val="009514E3"/>
    <w:rsid w:val="00951585"/>
    <w:rsid w:val="009515A2"/>
    <w:rsid w:val="009515C1"/>
    <w:rsid w:val="009515CF"/>
    <w:rsid w:val="009515F6"/>
    <w:rsid w:val="0095165F"/>
    <w:rsid w:val="0095173B"/>
    <w:rsid w:val="009517AA"/>
    <w:rsid w:val="009517F2"/>
    <w:rsid w:val="00951838"/>
    <w:rsid w:val="00951852"/>
    <w:rsid w:val="00951A33"/>
    <w:rsid w:val="00951AEA"/>
    <w:rsid w:val="00951AFF"/>
    <w:rsid w:val="00951BD9"/>
    <w:rsid w:val="00951BE0"/>
    <w:rsid w:val="00951CB0"/>
    <w:rsid w:val="00951D3D"/>
    <w:rsid w:val="00951D54"/>
    <w:rsid w:val="00951D9C"/>
    <w:rsid w:val="00951DA3"/>
    <w:rsid w:val="00951E3F"/>
    <w:rsid w:val="00951E55"/>
    <w:rsid w:val="00951E97"/>
    <w:rsid w:val="00951EB5"/>
    <w:rsid w:val="00951FB3"/>
    <w:rsid w:val="00951FC4"/>
    <w:rsid w:val="0095209A"/>
    <w:rsid w:val="00952189"/>
    <w:rsid w:val="009521CC"/>
    <w:rsid w:val="0095222A"/>
    <w:rsid w:val="00952272"/>
    <w:rsid w:val="0095227F"/>
    <w:rsid w:val="009522AB"/>
    <w:rsid w:val="0095232D"/>
    <w:rsid w:val="009523FF"/>
    <w:rsid w:val="0095256C"/>
    <w:rsid w:val="0095258F"/>
    <w:rsid w:val="0095259B"/>
    <w:rsid w:val="009526F9"/>
    <w:rsid w:val="00952767"/>
    <w:rsid w:val="00952822"/>
    <w:rsid w:val="00952927"/>
    <w:rsid w:val="00952962"/>
    <w:rsid w:val="00952A33"/>
    <w:rsid w:val="00952ADC"/>
    <w:rsid w:val="00952B7F"/>
    <w:rsid w:val="00952B98"/>
    <w:rsid w:val="00952BAC"/>
    <w:rsid w:val="00952C6F"/>
    <w:rsid w:val="00952C79"/>
    <w:rsid w:val="00952CD8"/>
    <w:rsid w:val="00952D56"/>
    <w:rsid w:val="00952DE1"/>
    <w:rsid w:val="00952E12"/>
    <w:rsid w:val="00952E7F"/>
    <w:rsid w:val="00952F32"/>
    <w:rsid w:val="00952FCC"/>
    <w:rsid w:val="00953003"/>
    <w:rsid w:val="0095310D"/>
    <w:rsid w:val="009531CE"/>
    <w:rsid w:val="00953204"/>
    <w:rsid w:val="009532A6"/>
    <w:rsid w:val="009532DC"/>
    <w:rsid w:val="009533DE"/>
    <w:rsid w:val="00953496"/>
    <w:rsid w:val="009536B9"/>
    <w:rsid w:val="0095372D"/>
    <w:rsid w:val="00953757"/>
    <w:rsid w:val="009537D7"/>
    <w:rsid w:val="009538D8"/>
    <w:rsid w:val="00953927"/>
    <w:rsid w:val="00953932"/>
    <w:rsid w:val="00953954"/>
    <w:rsid w:val="00953A2E"/>
    <w:rsid w:val="00953A7A"/>
    <w:rsid w:val="00953A80"/>
    <w:rsid w:val="00953A8A"/>
    <w:rsid w:val="00953B09"/>
    <w:rsid w:val="00953B27"/>
    <w:rsid w:val="00953B92"/>
    <w:rsid w:val="00953E09"/>
    <w:rsid w:val="00953E1D"/>
    <w:rsid w:val="00953E20"/>
    <w:rsid w:val="00953F39"/>
    <w:rsid w:val="00953F93"/>
    <w:rsid w:val="00953FDB"/>
    <w:rsid w:val="00953FFE"/>
    <w:rsid w:val="00954025"/>
    <w:rsid w:val="0095402E"/>
    <w:rsid w:val="0095408A"/>
    <w:rsid w:val="00954157"/>
    <w:rsid w:val="0095428A"/>
    <w:rsid w:val="009544B6"/>
    <w:rsid w:val="009544C9"/>
    <w:rsid w:val="009544E9"/>
    <w:rsid w:val="00954517"/>
    <w:rsid w:val="0095455D"/>
    <w:rsid w:val="009545B1"/>
    <w:rsid w:val="009545D8"/>
    <w:rsid w:val="00954619"/>
    <w:rsid w:val="0095462A"/>
    <w:rsid w:val="00954691"/>
    <w:rsid w:val="009546DE"/>
    <w:rsid w:val="009546F2"/>
    <w:rsid w:val="00954784"/>
    <w:rsid w:val="009547DF"/>
    <w:rsid w:val="00954813"/>
    <w:rsid w:val="00954891"/>
    <w:rsid w:val="009548CD"/>
    <w:rsid w:val="0095496D"/>
    <w:rsid w:val="00954974"/>
    <w:rsid w:val="00954A82"/>
    <w:rsid w:val="00954A84"/>
    <w:rsid w:val="00954B78"/>
    <w:rsid w:val="00954B8F"/>
    <w:rsid w:val="00954BB0"/>
    <w:rsid w:val="00954BC4"/>
    <w:rsid w:val="00954C6A"/>
    <w:rsid w:val="00954D0D"/>
    <w:rsid w:val="00954DA4"/>
    <w:rsid w:val="00954E41"/>
    <w:rsid w:val="00954E74"/>
    <w:rsid w:val="00954EDF"/>
    <w:rsid w:val="00954FA9"/>
    <w:rsid w:val="00954FC9"/>
    <w:rsid w:val="00955011"/>
    <w:rsid w:val="00955039"/>
    <w:rsid w:val="00955056"/>
    <w:rsid w:val="0095506E"/>
    <w:rsid w:val="00955088"/>
    <w:rsid w:val="009550CD"/>
    <w:rsid w:val="009550E8"/>
    <w:rsid w:val="0095515F"/>
    <w:rsid w:val="009553D3"/>
    <w:rsid w:val="009553DF"/>
    <w:rsid w:val="0095545C"/>
    <w:rsid w:val="009554F9"/>
    <w:rsid w:val="009555A2"/>
    <w:rsid w:val="00955609"/>
    <w:rsid w:val="00955647"/>
    <w:rsid w:val="009556A5"/>
    <w:rsid w:val="009556DD"/>
    <w:rsid w:val="00955935"/>
    <w:rsid w:val="009559E8"/>
    <w:rsid w:val="00955ABC"/>
    <w:rsid w:val="00955B10"/>
    <w:rsid w:val="00955B5D"/>
    <w:rsid w:val="00955B74"/>
    <w:rsid w:val="00955BD9"/>
    <w:rsid w:val="00955D1E"/>
    <w:rsid w:val="00955F93"/>
    <w:rsid w:val="0095605A"/>
    <w:rsid w:val="00956060"/>
    <w:rsid w:val="00956067"/>
    <w:rsid w:val="00956166"/>
    <w:rsid w:val="009561FE"/>
    <w:rsid w:val="0095623B"/>
    <w:rsid w:val="0095626A"/>
    <w:rsid w:val="009562BA"/>
    <w:rsid w:val="00956308"/>
    <w:rsid w:val="00956337"/>
    <w:rsid w:val="0095634B"/>
    <w:rsid w:val="0095637F"/>
    <w:rsid w:val="009563F4"/>
    <w:rsid w:val="0095644F"/>
    <w:rsid w:val="0095652E"/>
    <w:rsid w:val="009565DD"/>
    <w:rsid w:val="009565F3"/>
    <w:rsid w:val="009565FD"/>
    <w:rsid w:val="009566D4"/>
    <w:rsid w:val="009567E7"/>
    <w:rsid w:val="00956819"/>
    <w:rsid w:val="00956936"/>
    <w:rsid w:val="00956951"/>
    <w:rsid w:val="00956A17"/>
    <w:rsid w:val="00956CE7"/>
    <w:rsid w:val="00956D6D"/>
    <w:rsid w:val="00956D92"/>
    <w:rsid w:val="00956DA9"/>
    <w:rsid w:val="00956DF7"/>
    <w:rsid w:val="00956F7B"/>
    <w:rsid w:val="00957015"/>
    <w:rsid w:val="00957143"/>
    <w:rsid w:val="00957173"/>
    <w:rsid w:val="0095720B"/>
    <w:rsid w:val="00957281"/>
    <w:rsid w:val="009572E3"/>
    <w:rsid w:val="009573F4"/>
    <w:rsid w:val="009573FC"/>
    <w:rsid w:val="009574D5"/>
    <w:rsid w:val="009574DE"/>
    <w:rsid w:val="009574ED"/>
    <w:rsid w:val="009574F9"/>
    <w:rsid w:val="009574FB"/>
    <w:rsid w:val="009575AD"/>
    <w:rsid w:val="009576A0"/>
    <w:rsid w:val="0095773B"/>
    <w:rsid w:val="00957758"/>
    <w:rsid w:val="0095776D"/>
    <w:rsid w:val="00957787"/>
    <w:rsid w:val="009577CD"/>
    <w:rsid w:val="009578D5"/>
    <w:rsid w:val="009578F9"/>
    <w:rsid w:val="009578FC"/>
    <w:rsid w:val="0095794E"/>
    <w:rsid w:val="0095797F"/>
    <w:rsid w:val="009579A1"/>
    <w:rsid w:val="009579D9"/>
    <w:rsid w:val="00957AE2"/>
    <w:rsid w:val="00957B5D"/>
    <w:rsid w:val="00957B64"/>
    <w:rsid w:val="00957BBF"/>
    <w:rsid w:val="00957C90"/>
    <w:rsid w:val="00957C9C"/>
    <w:rsid w:val="00957CA7"/>
    <w:rsid w:val="00957D9B"/>
    <w:rsid w:val="00957EAE"/>
    <w:rsid w:val="00957F83"/>
    <w:rsid w:val="00957FA8"/>
    <w:rsid w:val="00957FE6"/>
    <w:rsid w:val="0096003C"/>
    <w:rsid w:val="00960061"/>
    <w:rsid w:val="00960075"/>
    <w:rsid w:val="009600BA"/>
    <w:rsid w:val="009601CF"/>
    <w:rsid w:val="009601EA"/>
    <w:rsid w:val="00960266"/>
    <w:rsid w:val="009602D4"/>
    <w:rsid w:val="009602DD"/>
    <w:rsid w:val="00960305"/>
    <w:rsid w:val="0096036C"/>
    <w:rsid w:val="00960398"/>
    <w:rsid w:val="009603F4"/>
    <w:rsid w:val="009604FC"/>
    <w:rsid w:val="009605A5"/>
    <w:rsid w:val="00960621"/>
    <w:rsid w:val="009606D4"/>
    <w:rsid w:val="009607F0"/>
    <w:rsid w:val="0096091A"/>
    <w:rsid w:val="0096093E"/>
    <w:rsid w:val="00960A22"/>
    <w:rsid w:val="00960A35"/>
    <w:rsid w:val="00960A7D"/>
    <w:rsid w:val="00960C2C"/>
    <w:rsid w:val="00960C61"/>
    <w:rsid w:val="00960E40"/>
    <w:rsid w:val="00960E7E"/>
    <w:rsid w:val="00960FAC"/>
    <w:rsid w:val="00960FC6"/>
    <w:rsid w:val="009610CA"/>
    <w:rsid w:val="0096127D"/>
    <w:rsid w:val="0096130B"/>
    <w:rsid w:val="0096138E"/>
    <w:rsid w:val="009613D8"/>
    <w:rsid w:val="00961400"/>
    <w:rsid w:val="009614E8"/>
    <w:rsid w:val="009614EB"/>
    <w:rsid w:val="0096158A"/>
    <w:rsid w:val="0096160D"/>
    <w:rsid w:val="00961699"/>
    <w:rsid w:val="009616E0"/>
    <w:rsid w:val="0096170B"/>
    <w:rsid w:val="00961739"/>
    <w:rsid w:val="009617ED"/>
    <w:rsid w:val="0096181A"/>
    <w:rsid w:val="0096187C"/>
    <w:rsid w:val="009618C7"/>
    <w:rsid w:val="009618FA"/>
    <w:rsid w:val="00961997"/>
    <w:rsid w:val="009619D1"/>
    <w:rsid w:val="00961AE6"/>
    <w:rsid w:val="00961BB3"/>
    <w:rsid w:val="00961C1C"/>
    <w:rsid w:val="00961D41"/>
    <w:rsid w:val="00961D44"/>
    <w:rsid w:val="00961D57"/>
    <w:rsid w:val="00961DBD"/>
    <w:rsid w:val="00961DC2"/>
    <w:rsid w:val="00961DE8"/>
    <w:rsid w:val="00961E76"/>
    <w:rsid w:val="00961E89"/>
    <w:rsid w:val="00961F5F"/>
    <w:rsid w:val="00961FE5"/>
    <w:rsid w:val="00962017"/>
    <w:rsid w:val="009620A4"/>
    <w:rsid w:val="0096213F"/>
    <w:rsid w:val="009621FC"/>
    <w:rsid w:val="00962321"/>
    <w:rsid w:val="0096237C"/>
    <w:rsid w:val="009623CB"/>
    <w:rsid w:val="00962431"/>
    <w:rsid w:val="00962484"/>
    <w:rsid w:val="0096263E"/>
    <w:rsid w:val="0096266D"/>
    <w:rsid w:val="00962777"/>
    <w:rsid w:val="009628D8"/>
    <w:rsid w:val="00962A4C"/>
    <w:rsid w:val="00962AE0"/>
    <w:rsid w:val="00962B0B"/>
    <w:rsid w:val="00962BA1"/>
    <w:rsid w:val="00962CA7"/>
    <w:rsid w:val="00962CB8"/>
    <w:rsid w:val="00962E83"/>
    <w:rsid w:val="00962EFF"/>
    <w:rsid w:val="00962F0E"/>
    <w:rsid w:val="00962FFF"/>
    <w:rsid w:val="0096304A"/>
    <w:rsid w:val="009630C1"/>
    <w:rsid w:val="0096310E"/>
    <w:rsid w:val="00963177"/>
    <w:rsid w:val="0096319D"/>
    <w:rsid w:val="009631E4"/>
    <w:rsid w:val="00963238"/>
    <w:rsid w:val="00963296"/>
    <w:rsid w:val="0096334B"/>
    <w:rsid w:val="0096339D"/>
    <w:rsid w:val="009633D0"/>
    <w:rsid w:val="009633F4"/>
    <w:rsid w:val="00963512"/>
    <w:rsid w:val="00963561"/>
    <w:rsid w:val="0096365E"/>
    <w:rsid w:val="009636D5"/>
    <w:rsid w:val="00963755"/>
    <w:rsid w:val="00963774"/>
    <w:rsid w:val="00963797"/>
    <w:rsid w:val="009637BE"/>
    <w:rsid w:val="00963879"/>
    <w:rsid w:val="0096394B"/>
    <w:rsid w:val="009639C6"/>
    <w:rsid w:val="00963AB1"/>
    <w:rsid w:val="00963AE5"/>
    <w:rsid w:val="00963B6D"/>
    <w:rsid w:val="00963BA3"/>
    <w:rsid w:val="00963BB0"/>
    <w:rsid w:val="00963BC8"/>
    <w:rsid w:val="00963BE5"/>
    <w:rsid w:val="00963C2A"/>
    <w:rsid w:val="00963C42"/>
    <w:rsid w:val="00963C90"/>
    <w:rsid w:val="00963CA2"/>
    <w:rsid w:val="00963DC8"/>
    <w:rsid w:val="00963E43"/>
    <w:rsid w:val="00963E98"/>
    <w:rsid w:val="00963EE2"/>
    <w:rsid w:val="00963F01"/>
    <w:rsid w:val="00963FAA"/>
    <w:rsid w:val="00964073"/>
    <w:rsid w:val="009641DA"/>
    <w:rsid w:val="00964221"/>
    <w:rsid w:val="00964259"/>
    <w:rsid w:val="00964277"/>
    <w:rsid w:val="00964433"/>
    <w:rsid w:val="009645CF"/>
    <w:rsid w:val="0096466A"/>
    <w:rsid w:val="009646A7"/>
    <w:rsid w:val="009646F9"/>
    <w:rsid w:val="00964719"/>
    <w:rsid w:val="00964766"/>
    <w:rsid w:val="009647CE"/>
    <w:rsid w:val="00964807"/>
    <w:rsid w:val="00964861"/>
    <w:rsid w:val="0096488D"/>
    <w:rsid w:val="00964895"/>
    <w:rsid w:val="009648A6"/>
    <w:rsid w:val="00964923"/>
    <w:rsid w:val="00964947"/>
    <w:rsid w:val="00964952"/>
    <w:rsid w:val="00964962"/>
    <w:rsid w:val="0096496B"/>
    <w:rsid w:val="00964974"/>
    <w:rsid w:val="00964A28"/>
    <w:rsid w:val="00964B34"/>
    <w:rsid w:val="00964BDB"/>
    <w:rsid w:val="00964C78"/>
    <w:rsid w:val="00964C88"/>
    <w:rsid w:val="00964C93"/>
    <w:rsid w:val="00964CE8"/>
    <w:rsid w:val="00964DE3"/>
    <w:rsid w:val="00964E2A"/>
    <w:rsid w:val="00964EB6"/>
    <w:rsid w:val="00964F6C"/>
    <w:rsid w:val="00964F93"/>
    <w:rsid w:val="00964FF5"/>
    <w:rsid w:val="00964FFE"/>
    <w:rsid w:val="0096504B"/>
    <w:rsid w:val="00965053"/>
    <w:rsid w:val="0096505A"/>
    <w:rsid w:val="0096509E"/>
    <w:rsid w:val="009650AA"/>
    <w:rsid w:val="009650C2"/>
    <w:rsid w:val="009650E5"/>
    <w:rsid w:val="00965180"/>
    <w:rsid w:val="0096518B"/>
    <w:rsid w:val="00965275"/>
    <w:rsid w:val="0096533F"/>
    <w:rsid w:val="00965374"/>
    <w:rsid w:val="009653A9"/>
    <w:rsid w:val="009653BB"/>
    <w:rsid w:val="009653C2"/>
    <w:rsid w:val="0096546B"/>
    <w:rsid w:val="00965490"/>
    <w:rsid w:val="009654C9"/>
    <w:rsid w:val="00965575"/>
    <w:rsid w:val="00965612"/>
    <w:rsid w:val="0096565B"/>
    <w:rsid w:val="00965730"/>
    <w:rsid w:val="0096575D"/>
    <w:rsid w:val="009657A4"/>
    <w:rsid w:val="009657BE"/>
    <w:rsid w:val="009657E4"/>
    <w:rsid w:val="00965836"/>
    <w:rsid w:val="00965862"/>
    <w:rsid w:val="009659FE"/>
    <w:rsid w:val="00965A59"/>
    <w:rsid w:val="00965AAC"/>
    <w:rsid w:val="00965ADF"/>
    <w:rsid w:val="00965B5A"/>
    <w:rsid w:val="00965B74"/>
    <w:rsid w:val="00965BCA"/>
    <w:rsid w:val="00965C03"/>
    <w:rsid w:val="00965D63"/>
    <w:rsid w:val="00965DAA"/>
    <w:rsid w:val="00965DAC"/>
    <w:rsid w:val="00965EA5"/>
    <w:rsid w:val="00965F7B"/>
    <w:rsid w:val="00965FCB"/>
    <w:rsid w:val="009661B3"/>
    <w:rsid w:val="009662C0"/>
    <w:rsid w:val="009662CA"/>
    <w:rsid w:val="0096634F"/>
    <w:rsid w:val="00966431"/>
    <w:rsid w:val="00966543"/>
    <w:rsid w:val="00966555"/>
    <w:rsid w:val="009665BB"/>
    <w:rsid w:val="00966609"/>
    <w:rsid w:val="009667F3"/>
    <w:rsid w:val="00966812"/>
    <w:rsid w:val="00966852"/>
    <w:rsid w:val="009668C7"/>
    <w:rsid w:val="0096695E"/>
    <w:rsid w:val="00966A23"/>
    <w:rsid w:val="00966A84"/>
    <w:rsid w:val="00966C08"/>
    <w:rsid w:val="00966CA4"/>
    <w:rsid w:val="00966CB8"/>
    <w:rsid w:val="00966CE0"/>
    <w:rsid w:val="00966CF7"/>
    <w:rsid w:val="00966DCA"/>
    <w:rsid w:val="00966DF9"/>
    <w:rsid w:val="00966E04"/>
    <w:rsid w:val="00966E18"/>
    <w:rsid w:val="00966E89"/>
    <w:rsid w:val="00966EF5"/>
    <w:rsid w:val="0096703F"/>
    <w:rsid w:val="0096707F"/>
    <w:rsid w:val="00967182"/>
    <w:rsid w:val="009671B0"/>
    <w:rsid w:val="009671F5"/>
    <w:rsid w:val="0096721C"/>
    <w:rsid w:val="00967299"/>
    <w:rsid w:val="0096736D"/>
    <w:rsid w:val="009673DF"/>
    <w:rsid w:val="009673EA"/>
    <w:rsid w:val="00967492"/>
    <w:rsid w:val="00967609"/>
    <w:rsid w:val="0096762C"/>
    <w:rsid w:val="00967703"/>
    <w:rsid w:val="00967715"/>
    <w:rsid w:val="00967755"/>
    <w:rsid w:val="00967775"/>
    <w:rsid w:val="009677C9"/>
    <w:rsid w:val="00967840"/>
    <w:rsid w:val="0096785F"/>
    <w:rsid w:val="009678AA"/>
    <w:rsid w:val="009679A7"/>
    <w:rsid w:val="009679BF"/>
    <w:rsid w:val="00967A04"/>
    <w:rsid w:val="00967AA6"/>
    <w:rsid w:val="00967B05"/>
    <w:rsid w:val="00967B6D"/>
    <w:rsid w:val="00967CE3"/>
    <w:rsid w:val="00967D24"/>
    <w:rsid w:val="00967D64"/>
    <w:rsid w:val="00967D67"/>
    <w:rsid w:val="00967D95"/>
    <w:rsid w:val="00967F1F"/>
    <w:rsid w:val="00967FBC"/>
    <w:rsid w:val="00970003"/>
    <w:rsid w:val="00970008"/>
    <w:rsid w:val="00970041"/>
    <w:rsid w:val="00970094"/>
    <w:rsid w:val="00970172"/>
    <w:rsid w:val="009701A0"/>
    <w:rsid w:val="009701BE"/>
    <w:rsid w:val="009701D3"/>
    <w:rsid w:val="0097020E"/>
    <w:rsid w:val="0097028F"/>
    <w:rsid w:val="0097030C"/>
    <w:rsid w:val="0097042A"/>
    <w:rsid w:val="009704C3"/>
    <w:rsid w:val="0097056E"/>
    <w:rsid w:val="009705C6"/>
    <w:rsid w:val="00970676"/>
    <w:rsid w:val="00970717"/>
    <w:rsid w:val="00970757"/>
    <w:rsid w:val="00970820"/>
    <w:rsid w:val="00970874"/>
    <w:rsid w:val="00970891"/>
    <w:rsid w:val="00970899"/>
    <w:rsid w:val="009708DA"/>
    <w:rsid w:val="009708F4"/>
    <w:rsid w:val="0097097A"/>
    <w:rsid w:val="009709A8"/>
    <w:rsid w:val="00970A14"/>
    <w:rsid w:val="00970A25"/>
    <w:rsid w:val="00970A3B"/>
    <w:rsid w:val="00970A4C"/>
    <w:rsid w:val="00970A99"/>
    <w:rsid w:val="00970AED"/>
    <w:rsid w:val="00970B30"/>
    <w:rsid w:val="00970B6B"/>
    <w:rsid w:val="00970BB9"/>
    <w:rsid w:val="00970C27"/>
    <w:rsid w:val="00970D84"/>
    <w:rsid w:val="00970E0A"/>
    <w:rsid w:val="00970EB0"/>
    <w:rsid w:val="00970EEB"/>
    <w:rsid w:val="00970FB8"/>
    <w:rsid w:val="00971127"/>
    <w:rsid w:val="00971275"/>
    <w:rsid w:val="0097129D"/>
    <w:rsid w:val="009712ED"/>
    <w:rsid w:val="009713B4"/>
    <w:rsid w:val="009713EE"/>
    <w:rsid w:val="00971443"/>
    <w:rsid w:val="00971463"/>
    <w:rsid w:val="009714A1"/>
    <w:rsid w:val="009714E8"/>
    <w:rsid w:val="0097150C"/>
    <w:rsid w:val="0097150D"/>
    <w:rsid w:val="00971522"/>
    <w:rsid w:val="00971591"/>
    <w:rsid w:val="009715E0"/>
    <w:rsid w:val="00971681"/>
    <w:rsid w:val="009716A0"/>
    <w:rsid w:val="009716EF"/>
    <w:rsid w:val="00971826"/>
    <w:rsid w:val="009718A3"/>
    <w:rsid w:val="009718E5"/>
    <w:rsid w:val="0097193A"/>
    <w:rsid w:val="00971A30"/>
    <w:rsid w:val="00971B2B"/>
    <w:rsid w:val="00971B5E"/>
    <w:rsid w:val="00971BE0"/>
    <w:rsid w:val="00971BE7"/>
    <w:rsid w:val="00971C26"/>
    <w:rsid w:val="00971C81"/>
    <w:rsid w:val="00971CB0"/>
    <w:rsid w:val="00971D62"/>
    <w:rsid w:val="00971DC2"/>
    <w:rsid w:val="00971E17"/>
    <w:rsid w:val="00971E3D"/>
    <w:rsid w:val="00971E9A"/>
    <w:rsid w:val="00971EB5"/>
    <w:rsid w:val="00971ED6"/>
    <w:rsid w:val="00971F46"/>
    <w:rsid w:val="00971F86"/>
    <w:rsid w:val="00971F88"/>
    <w:rsid w:val="009720D1"/>
    <w:rsid w:val="009720D7"/>
    <w:rsid w:val="009720E6"/>
    <w:rsid w:val="00972110"/>
    <w:rsid w:val="0097212F"/>
    <w:rsid w:val="0097223B"/>
    <w:rsid w:val="009722D1"/>
    <w:rsid w:val="009722D3"/>
    <w:rsid w:val="009723C4"/>
    <w:rsid w:val="00972476"/>
    <w:rsid w:val="009724EF"/>
    <w:rsid w:val="00972611"/>
    <w:rsid w:val="009726AD"/>
    <w:rsid w:val="0097276C"/>
    <w:rsid w:val="0097286E"/>
    <w:rsid w:val="009728B6"/>
    <w:rsid w:val="00972AA1"/>
    <w:rsid w:val="00972B73"/>
    <w:rsid w:val="00972D59"/>
    <w:rsid w:val="00972D97"/>
    <w:rsid w:val="00972DA7"/>
    <w:rsid w:val="00972DFA"/>
    <w:rsid w:val="00972E07"/>
    <w:rsid w:val="00972E0F"/>
    <w:rsid w:val="00972E26"/>
    <w:rsid w:val="00972EEF"/>
    <w:rsid w:val="00972F77"/>
    <w:rsid w:val="00973023"/>
    <w:rsid w:val="00973043"/>
    <w:rsid w:val="0097305E"/>
    <w:rsid w:val="009731BF"/>
    <w:rsid w:val="009731D7"/>
    <w:rsid w:val="0097325C"/>
    <w:rsid w:val="00973324"/>
    <w:rsid w:val="00973365"/>
    <w:rsid w:val="00973481"/>
    <w:rsid w:val="0097348F"/>
    <w:rsid w:val="009734EA"/>
    <w:rsid w:val="00973502"/>
    <w:rsid w:val="00973596"/>
    <w:rsid w:val="009735B5"/>
    <w:rsid w:val="009735F4"/>
    <w:rsid w:val="00973620"/>
    <w:rsid w:val="009736D0"/>
    <w:rsid w:val="009737AA"/>
    <w:rsid w:val="00973820"/>
    <w:rsid w:val="0097382B"/>
    <w:rsid w:val="009738FA"/>
    <w:rsid w:val="0097392E"/>
    <w:rsid w:val="0097396D"/>
    <w:rsid w:val="00973AC1"/>
    <w:rsid w:val="00973BBF"/>
    <w:rsid w:val="00973BC8"/>
    <w:rsid w:val="00973BCF"/>
    <w:rsid w:val="00973BE4"/>
    <w:rsid w:val="00973D48"/>
    <w:rsid w:val="00973DAA"/>
    <w:rsid w:val="00973DB7"/>
    <w:rsid w:val="00973DB8"/>
    <w:rsid w:val="00973E81"/>
    <w:rsid w:val="00973F50"/>
    <w:rsid w:val="0097404E"/>
    <w:rsid w:val="009740BC"/>
    <w:rsid w:val="009741F6"/>
    <w:rsid w:val="009742E4"/>
    <w:rsid w:val="00974322"/>
    <w:rsid w:val="00974401"/>
    <w:rsid w:val="0097447B"/>
    <w:rsid w:val="009744AE"/>
    <w:rsid w:val="0097451D"/>
    <w:rsid w:val="00974556"/>
    <w:rsid w:val="0097464F"/>
    <w:rsid w:val="00974764"/>
    <w:rsid w:val="00974767"/>
    <w:rsid w:val="009747DA"/>
    <w:rsid w:val="00974803"/>
    <w:rsid w:val="00974847"/>
    <w:rsid w:val="00974863"/>
    <w:rsid w:val="00974955"/>
    <w:rsid w:val="00974A1C"/>
    <w:rsid w:val="00974A66"/>
    <w:rsid w:val="00974B38"/>
    <w:rsid w:val="00974B7D"/>
    <w:rsid w:val="00974BFC"/>
    <w:rsid w:val="00974C81"/>
    <w:rsid w:val="00974CCF"/>
    <w:rsid w:val="00974D42"/>
    <w:rsid w:val="00974D77"/>
    <w:rsid w:val="00974E12"/>
    <w:rsid w:val="00974E1D"/>
    <w:rsid w:val="00974E4A"/>
    <w:rsid w:val="00974E7D"/>
    <w:rsid w:val="00974FEF"/>
    <w:rsid w:val="00974FF9"/>
    <w:rsid w:val="009750D1"/>
    <w:rsid w:val="009751EC"/>
    <w:rsid w:val="00975225"/>
    <w:rsid w:val="0097526F"/>
    <w:rsid w:val="009752D1"/>
    <w:rsid w:val="00975389"/>
    <w:rsid w:val="009753F9"/>
    <w:rsid w:val="009754BB"/>
    <w:rsid w:val="00975549"/>
    <w:rsid w:val="009755AB"/>
    <w:rsid w:val="009755B5"/>
    <w:rsid w:val="009755F4"/>
    <w:rsid w:val="00975603"/>
    <w:rsid w:val="00975687"/>
    <w:rsid w:val="009756A6"/>
    <w:rsid w:val="0097570F"/>
    <w:rsid w:val="00975726"/>
    <w:rsid w:val="0097575D"/>
    <w:rsid w:val="00975772"/>
    <w:rsid w:val="00975869"/>
    <w:rsid w:val="00975935"/>
    <w:rsid w:val="009759DC"/>
    <w:rsid w:val="009759DF"/>
    <w:rsid w:val="00975A19"/>
    <w:rsid w:val="00975AA7"/>
    <w:rsid w:val="00975BDE"/>
    <w:rsid w:val="00975C4E"/>
    <w:rsid w:val="00975C52"/>
    <w:rsid w:val="00975C58"/>
    <w:rsid w:val="00975C94"/>
    <w:rsid w:val="00975CDE"/>
    <w:rsid w:val="00975D2C"/>
    <w:rsid w:val="00975D81"/>
    <w:rsid w:val="00975DA7"/>
    <w:rsid w:val="00975DAD"/>
    <w:rsid w:val="00975DBC"/>
    <w:rsid w:val="00975E2A"/>
    <w:rsid w:val="00975EFA"/>
    <w:rsid w:val="00975F22"/>
    <w:rsid w:val="00975F39"/>
    <w:rsid w:val="00976092"/>
    <w:rsid w:val="00976093"/>
    <w:rsid w:val="009760BF"/>
    <w:rsid w:val="009760C2"/>
    <w:rsid w:val="009760F1"/>
    <w:rsid w:val="00976111"/>
    <w:rsid w:val="00976234"/>
    <w:rsid w:val="00976246"/>
    <w:rsid w:val="00976293"/>
    <w:rsid w:val="009762CE"/>
    <w:rsid w:val="009763CD"/>
    <w:rsid w:val="0097652F"/>
    <w:rsid w:val="009765AA"/>
    <w:rsid w:val="0097668E"/>
    <w:rsid w:val="009766DE"/>
    <w:rsid w:val="009766F9"/>
    <w:rsid w:val="00976710"/>
    <w:rsid w:val="00976817"/>
    <w:rsid w:val="0097682C"/>
    <w:rsid w:val="00976881"/>
    <w:rsid w:val="009768C0"/>
    <w:rsid w:val="009768E1"/>
    <w:rsid w:val="00976A82"/>
    <w:rsid w:val="00976B8F"/>
    <w:rsid w:val="00976BAE"/>
    <w:rsid w:val="00976D13"/>
    <w:rsid w:val="00976D1A"/>
    <w:rsid w:val="00976D6D"/>
    <w:rsid w:val="00976DA6"/>
    <w:rsid w:val="00976EAC"/>
    <w:rsid w:val="00976EFB"/>
    <w:rsid w:val="00976FB9"/>
    <w:rsid w:val="0097701C"/>
    <w:rsid w:val="0097705D"/>
    <w:rsid w:val="00977128"/>
    <w:rsid w:val="009773F9"/>
    <w:rsid w:val="00977477"/>
    <w:rsid w:val="0097758E"/>
    <w:rsid w:val="0097766A"/>
    <w:rsid w:val="009776B3"/>
    <w:rsid w:val="009776CB"/>
    <w:rsid w:val="009776D7"/>
    <w:rsid w:val="009776E7"/>
    <w:rsid w:val="009776F8"/>
    <w:rsid w:val="00977839"/>
    <w:rsid w:val="0097787D"/>
    <w:rsid w:val="009778A9"/>
    <w:rsid w:val="009779F8"/>
    <w:rsid w:val="009779FB"/>
    <w:rsid w:val="00977A08"/>
    <w:rsid w:val="00977CAB"/>
    <w:rsid w:val="00977DBA"/>
    <w:rsid w:val="00977E9B"/>
    <w:rsid w:val="00977EA9"/>
    <w:rsid w:val="00977EAA"/>
    <w:rsid w:val="00977F17"/>
    <w:rsid w:val="00977F2D"/>
    <w:rsid w:val="00977F43"/>
    <w:rsid w:val="00980069"/>
    <w:rsid w:val="009800E0"/>
    <w:rsid w:val="0098012E"/>
    <w:rsid w:val="00980180"/>
    <w:rsid w:val="009801C7"/>
    <w:rsid w:val="00980317"/>
    <w:rsid w:val="00980340"/>
    <w:rsid w:val="00980351"/>
    <w:rsid w:val="0098051E"/>
    <w:rsid w:val="009805B9"/>
    <w:rsid w:val="009805FE"/>
    <w:rsid w:val="00980614"/>
    <w:rsid w:val="0098064A"/>
    <w:rsid w:val="00980668"/>
    <w:rsid w:val="009806CC"/>
    <w:rsid w:val="009806D0"/>
    <w:rsid w:val="009806F4"/>
    <w:rsid w:val="009806FB"/>
    <w:rsid w:val="009807A1"/>
    <w:rsid w:val="00980856"/>
    <w:rsid w:val="009808AF"/>
    <w:rsid w:val="009808E4"/>
    <w:rsid w:val="009808EC"/>
    <w:rsid w:val="00980929"/>
    <w:rsid w:val="00980975"/>
    <w:rsid w:val="00980A0F"/>
    <w:rsid w:val="00980B24"/>
    <w:rsid w:val="00980B33"/>
    <w:rsid w:val="00980BE7"/>
    <w:rsid w:val="00980C94"/>
    <w:rsid w:val="00980C9A"/>
    <w:rsid w:val="00980D77"/>
    <w:rsid w:val="00980EEA"/>
    <w:rsid w:val="00980F0B"/>
    <w:rsid w:val="00980F55"/>
    <w:rsid w:val="00980FA7"/>
    <w:rsid w:val="00980FAB"/>
    <w:rsid w:val="00981039"/>
    <w:rsid w:val="009810CC"/>
    <w:rsid w:val="0098112E"/>
    <w:rsid w:val="00981130"/>
    <w:rsid w:val="0098113F"/>
    <w:rsid w:val="009811BD"/>
    <w:rsid w:val="0098121F"/>
    <w:rsid w:val="0098124A"/>
    <w:rsid w:val="00981256"/>
    <w:rsid w:val="00981309"/>
    <w:rsid w:val="0098130E"/>
    <w:rsid w:val="00981326"/>
    <w:rsid w:val="0098137E"/>
    <w:rsid w:val="009813CB"/>
    <w:rsid w:val="0098161F"/>
    <w:rsid w:val="00981635"/>
    <w:rsid w:val="0098175D"/>
    <w:rsid w:val="0098176A"/>
    <w:rsid w:val="0098179C"/>
    <w:rsid w:val="009817A6"/>
    <w:rsid w:val="009818FA"/>
    <w:rsid w:val="0098190B"/>
    <w:rsid w:val="00981A80"/>
    <w:rsid w:val="00981AB5"/>
    <w:rsid w:val="00981B15"/>
    <w:rsid w:val="00981B5F"/>
    <w:rsid w:val="00981BD2"/>
    <w:rsid w:val="00981CF7"/>
    <w:rsid w:val="00981D5C"/>
    <w:rsid w:val="00981D7D"/>
    <w:rsid w:val="00981D8D"/>
    <w:rsid w:val="00981DDB"/>
    <w:rsid w:val="00981E4A"/>
    <w:rsid w:val="00981ED7"/>
    <w:rsid w:val="00981F34"/>
    <w:rsid w:val="00981F7B"/>
    <w:rsid w:val="009820CF"/>
    <w:rsid w:val="009821AD"/>
    <w:rsid w:val="009822BA"/>
    <w:rsid w:val="00982332"/>
    <w:rsid w:val="009823B4"/>
    <w:rsid w:val="009823DA"/>
    <w:rsid w:val="0098246B"/>
    <w:rsid w:val="00982471"/>
    <w:rsid w:val="009824A0"/>
    <w:rsid w:val="00982590"/>
    <w:rsid w:val="009825BC"/>
    <w:rsid w:val="009825BD"/>
    <w:rsid w:val="009825F9"/>
    <w:rsid w:val="0098262A"/>
    <w:rsid w:val="00982701"/>
    <w:rsid w:val="0098285C"/>
    <w:rsid w:val="0098287D"/>
    <w:rsid w:val="0098292C"/>
    <w:rsid w:val="00982956"/>
    <w:rsid w:val="00982A3A"/>
    <w:rsid w:val="00982A7A"/>
    <w:rsid w:val="00982AA2"/>
    <w:rsid w:val="00982B0F"/>
    <w:rsid w:val="00982CAC"/>
    <w:rsid w:val="00982CF2"/>
    <w:rsid w:val="00982D47"/>
    <w:rsid w:val="00982D93"/>
    <w:rsid w:val="00982E36"/>
    <w:rsid w:val="00982E69"/>
    <w:rsid w:val="00982E8E"/>
    <w:rsid w:val="00982EBC"/>
    <w:rsid w:val="00982FA7"/>
    <w:rsid w:val="00983151"/>
    <w:rsid w:val="00983189"/>
    <w:rsid w:val="00983259"/>
    <w:rsid w:val="009833AA"/>
    <w:rsid w:val="0098340A"/>
    <w:rsid w:val="0098340C"/>
    <w:rsid w:val="00983543"/>
    <w:rsid w:val="00983598"/>
    <w:rsid w:val="009835AA"/>
    <w:rsid w:val="009835BE"/>
    <w:rsid w:val="009836F9"/>
    <w:rsid w:val="0098373B"/>
    <w:rsid w:val="009837FB"/>
    <w:rsid w:val="0098386C"/>
    <w:rsid w:val="00983870"/>
    <w:rsid w:val="0098394D"/>
    <w:rsid w:val="00983A0B"/>
    <w:rsid w:val="00983AAA"/>
    <w:rsid w:val="00983AE1"/>
    <w:rsid w:val="00983B1C"/>
    <w:rsid w:val="00983B35"/>
    <w:rsid w:val="00983C41"/>
    <w:rsid w:val="00983CBD"/>
    <w:rsid w:val="00983D3E"/>
    <w:rsid w:val="00983D5C"/>
    <w:rsid w:val="00983DB3"/>
    <w:rsid w:val="00983DE4"/>
    <w:rsid w:val="00983E11"/>
    <w:rsid w:val="00983E3C"/>
    <w:rsid w:val="00983E9B"/>
    <w:rsid w:val="00983EA8"/>
    <w:rsid w:val="00983FDF"/>
    <w:rsid w:val="00983FEE"/>
    <w:rsid w:val="00984030"/>
    <w:rsid w:val="0098405C"/>
    <w:rsid w:val="00984130"/>
    <w:rsid w:val="0098414F"/>
    <w:rsid w:val="00984208"/>
    <w:rsid w:val="00984235"/>
    <w:rsid w:val="009842ED"/>
    <w:rsid w:val="00984382"/>
    <w:rsid w:val="009843E0"/>
    <w:rsid w:val="0098454A"/>
    <w:rsid w:val="00984570"/>
    <w:rsid w:val="0098458C"/>
    <w:rsid w:val="009845C4"/>
    <w:rsid w:val="009845D7"/>
    <w:rsid w:val="0098466B"/>
    <w:rsid w:val="0098466F"/>
    <w:rsid w:val="009846E1"/>
    <w:rsid w:val="00984750"/>
    <w:rsid w:val="00984863"/>
    <w:rsid w:val="00984873"/>
    <w:rsid w:val="00984879"/>
    <w:rsid w:val="00984AA2"/>
    <w:rsid w:val="00984AAF"/>
    <w:rsid w:val="00984B0A"/>
    <w:rsid w:val="00984B37"/>
    <w:rsid w:val="00984B45"/>
    <w:rsid w:val="00984B4C"/>
    <w:rsid w:val="00984DEA"/>
    <w:rsid w:val="00984EA8"/>
    <w:rsid w:val="00984F12"/>
    <w:rsid w:val="00984F54"/>
    <w:rsid w:val="00984F64"/>
    <w:rsid w:val="00984FA1"/>
    <w:rsid w:val="0098505B"/>
    <w:rsid w:val="0098509C"/>
    <w:rsid w:val="009850CC"/>
    <w:rsid w:val="009850F6"/>
    <w:rsid w:val="0098511A"/>
    <w:rsid w:val="0098511B"/>
    <w:rsid w:val="0098517C"/>
    <w:rsid w:val="009852E4"/>
    <w:rsid w:val="0098544B"/>
    <w:rsid w:val="009854EC"/>
    <w:rsid w:val="009855B8"/>
    <w:rsid w:val="00985833"/>
    <w:rsid w:val="00985853"/>
    <w:rsid w:val="00985891"/>
    <w:rsid w:val="0098591B"/>
    <w:rsid w:val="0098594E"/>
    <w:rsid w:val="00985968"/>
    <w:rsid w:val="009859BE"/>
    <w:rsid w:val="009859E1"/>
    <w:rsid w:val="00985AD9"/>
    <w:rsid w:val="00985B55"/>
    <w:rsid w:val="00985B58"/>
    <w:rsid w:val="00985B5E"/>
    <w:rsid w:val="00985B65"/>
    <w:rsid w:val="00985B6A"/>
    <w:rsid w:val="00985B99"/>
    <w:rsid w:val="00985B9A"/>
    <w:rsid w:val="00985C62"/>
    <w:rsid w:val="00985C9F"/>
    <w:rsid w:val="00985CFC"/>
    <w:rsid w:val="00985D1E"/>
    <w:rsid w:val="00985DFF"/>
    <w:rsid w:val="00985E04"/>
    <w:rsid w:val="00985E53"/>
    <w:rsid w:val="00985F28"/>
    <w:rsid w:val="00985FB4"/>
    <w:rsid w:val="00985FB7"/>
    <w:rsid w:val="00985FCE"/>
    <w:rsid w:val="00986005"/>
    <w:rsid w:val="009861A4"/>
    <w:rsid w:val="009861E6"/>
    <w:rsid w:val="0098624B"/>
    <w:rsid w:val="009863A3"/>
    <w:rsid w:val="0098643F"/>
    <w:rsid w:val="00986491"/>
    <w:rsid w:val="009864CB"/>
    <w:rsid w:val="0098650F"/>
    <w:rsid w:val="00986569"/>
    <w:rsid w:val="009867DF"/>
    <w:rsid w:val="00986848"/>
    <w:rsid w:val="009868E0"/>
    <w:rsid w:val="009868F2"/>
    <w:rsid w:val="009868F9"/>
    <w:rsid w:val="0098697E"/>
    <w:rsid w:val="00986A0C"/>
    <w:rsid w:val="00986ABA"/>
    <w:rsid w:val="00986B3C"/>
    <w:rsid w:val="00986B4F"/>
    <w:rsid w:val="00986B71"/>
    <w:rsid w:val="00986C7E"/>
    <w:rsid w:val="00986C91"/>
    <w:rsid w:val="00986CEF"/>
    <w:rsid w:val="00986D2D"/>
    <w:rsid w:val="00986D4E"/>
    <w:rsid w:val="00986E28"/>
    <w:rsid w:val="00986E7C"/>
    <w:rsid w:val="00986F40"/>
    <w:rsid w:val="00986F46"/>
    <w:rsid w:val="00986FD9"/>
    <w:rsid w:val="00986FF0"/>
    <w:rsid w:val="0098705D"/>
    <w:rsid w:val="0098706F"/>
    <w:rsid w:val="00987070"/>
    <w:rsid w:val="0098723D"/>
    <w:rsid w:val="0098725C"/>
    <w:rsid w:val="009872A7"/>
    <w:rsid w:val="009873C5"/>
    <w:rsid w:val="009873EE"/>
    <w:rsid w:val="00987516"/>
    <w:rsid w:val="00987587"/>
    <w:rsid w:val="009875CC"/>
    <w:rsid w:val="009875E3"/>
    <w:rsid w:val="009875FE"/>
    <w:rsid w:val="00987605"/>
    <w:rsid w:val="0098768D"/>
    <w:rsid w:val="00987745"/>
    <w:rsid w:val="00987892"/>
    <w:rsid w:val="00987899"/>
    <w:rsid w:val="009878D4"/>
    <w:rsid w:val="00987921"/>
    <w:rsid w:val="009879A3"/>
    <w:rsid w:val="00987A32"/>
    <w:rsid w:val="00987A87"/>
    <w:rsid w:val="00987BBE"/>
    <w:rsid w:val="00987D10"/>
    <w:rsid w:val="00987D12"/>
    <w:rsid w:val="00987D13"/>
    <w:rsid w:val="00987D78"/>
    <w:rsid w:val="00987DA4"/>
    <w:rsid w:val="00987E0F"/>
    <w:rsid w:val="00987EEC"/>
    <w:rsid w:val="00987F12"/>
    <w:rsid w:val="00990116"/>
    <w:rsid w:val="00990124"/>
    <w:rsid w:val="009901A1"/>
    <w:rsid w:val="00990215"/>
    <w:rsid w:val="009902C7"/>
    <w:rsid w:val="009902D0"/>
    <w:rsid w:val="009903CF"/>
    <w:rsid w:val="00990436"/>
    <w:rsid w:val="00990554"/>
    <w:rsid w:val="00990578"/>
    <w:rsid w:val="009905CC"/>
    <w:rsid w:val="0099062D"/>
    <w:rsid w:val="00990643"/>
    <w:rsid w:val="0099073D"/>
    <w:rsid w:val="00990745"/>
    <w:rsid w:val="0099079F"/>
    <w:rsid w:val="009907A5"/>
    <w:rsid w:val="0099082C"/>
    <w:rsid w:val="0099082F"/>
    <w:rsid w:val="0099083B"/>
    <w:rsid w:val="00990899"/>
    <w:rsid w:val="009908A1"/>
    <w:rsid w:val="009908A6"/>
    <w:rsid w:val="0099090A"/>
    <w:rsid w:val="0099095B"/>
    <w:rsid w:val="009909A4"/>
    <w:rsid w:val="00990AE3"/>
    <w:rsid w:val="00990B32"/>
    <w:rsid w:val="00990B8B"/>
    <w:rsid w:val="00990BFC"/>
    <w:rsid w:val="00990C47"/>
    <w:rsid w:val="00990C49"/>
    <w:rsid w:val="00990C6E"/>
    <w:rsid w:val="00990CCD"/>
    <w:rsid w:val="00990DDB"/>
    <w:rsid w:val="00990EA5"/>
    <w:rsid w:val="00990F64"/>
    <w:rsid w:val="00990FC6"/>
    <w:rsid w:val="009910D0"/>
    <w:rsid w:val="0099123D"/>
    <w:rsid w:val="00991271"/>
    <w:rsid w:val="0099127C"/>
    <w:rsid w:val="009912BA"/>
    <w:rsid w:val="0099138E"/>
    <w:rsid w:val="009913D9"/>
    <w:rsid w:val="0099140E"/>
    <w:rsid w:val="00991476"/>
    <w:rsid w:val="00991482"/>
    <w:rsid w:val="009914BA"/>
    <w:rsid w:val="009914F0"/>
    <w:rsid w:val="00991591"/>
    <w:rsid w:val="009915B9"/>
    <w:rsid w:val="00991600"/>
    <w:rsid w:val="0099163D"/>
    <w:rsid w:val="00991672"/>
    <w:rsid w:val="009916C7"/>
    <w:rsid w:val="00991939"/>
    <w:rsid w:val="00991A9A"/>
    <w:rsid w:val="00991B84"/>
    <w:rsid w:val="00991BF1"/>
    <w:rsid w:val="00991CAC"/>
    <w:rsid w:val="00991D47"/>
    <w:rsid w:val="00991D4C"/>
    <w:rsid w:val="00991DA0"/>
    <w:rsid w:val="00991DAF"/>
    <w:rsid w:val="00991DCE"/>
    <w:rsid w:val="00991DDD"/>
    <w:rsid w:val="00991E02"/>
    <w:rsid w:val="00991E2D"/>
    <w:rsid w:val="00991E4E"/>
    <w:rsid w:val="00991E83"/>
    <w:rsid w:val="00991EE2"/>
    <w:rsid w:val="00991F9C"/>
    <w:rsid w:val="00992143"/>
    <w:rsid w:val="00992156"/>
    <w:rsid w:val="0099217D"/>
    <w:rsid w:val="00992237"/>
    <w:rsid w:val="00992250"/>
    <w:rsid w:val="0099228C"/>
    <w:rsid w:val="009922BD"/>
    <w:rsid w:val="009923BC"/>
    <w:rsid w:val="009923C0"/>
    <w:rsid w:val="00992403"/>
    <w:rsid w:val="00992464"/>
    <w:rsid w:val="00992475"/>
    <w:rsid w:val="009924BC"/>
    <w:rsid w:val="00992583"/>
    <w:rsid w:val="0099263C"/>
    <w:rsid w:val="00992678"/>
    <w:rsid w:val="009926A9"/>
    <w:rsid w:val="00992740"/>
    <w:rsid w:val="009927EE"/>
    <w:rsid w:val="00992869"/>
    <w:rsid w:val="00992881"/>
    <w:rsid w:val="009928C4"/>
    <w:rsid w:val="009928D4"/>
    <w:rsid w:val="009929A6"/>
    <w:rsid w:val="00992A24"/>
    <w:rsid w:val="00992AA4"/>
    <w:rsid w:val="00992AE7"/>
    <w:rsid w:val="00992B8E"/>
    <w:rsid w:val="00992C9E"/>
    <w:rsid w:val="00992CE3"/>
    <w:rsid w:val="00992D16"/>
    <w:rsid w:val="00992D41"/>
    <w:rsid w:val="00992FBE"/>
    <w:rsid w:val="00992FC7"/>
    <w:rsid w:val="00992FE2"/>
    <w:rsid w:val="00993008"/>
    <w:rsid w:val="009930E3"/>
    <w:rsid w:val="00993204"/>
    <w:rsid w:val="00993237"/>
    <w:rsid w:val="009933F2"/>
    <w:rsid w:val="00993441"/>
    <w:rsid w:val="00993584"/>
    <w:rsid w:val="009935D3"/>
    <w:rsid w:val="0099360C"/>
    <w:rsid w:val="0099366A"/>
    <w:rsid w:val="009936F2"/>
    <w:rsid w:val="00993750"/>
    <w:rsid w:val="009939A5"/>
    <w:rsid w:val="00993A15"/>
    <w:rsid w:val="00993A21"/>
    <w:rsid w:val="00993B25"/>
    <w:rsid w:val="00993B4D"/>
    <w:rsid w:val="00993B8A"/>
    <w:rsid w:val="00993B91"/>
    <w:rsid w:val="00993C2D"/>
    <w:rsid w:val="00993C3F"/>
    <w:rsid w:val="00993D32"/>
    <w:rsid w:val="00993D50"/>
    <w:rsid w:val="00993E12"/>
    <w:rsid w:val="00993E18"/>
    <w:rsid w:val="00993E44"/>
    <w:rsid w:val="00993F41"/>
    <w:rsid w:val="00993F8F"/>
    <w:rsid w:val="00994128"/>
    <w:rsid w:val="0099413B"/>
    <w:rsid w:val="009941E7"/>
    <w:rsid w:val="00994206"/>
    <w:rsid w:val="00994261"/>
    <w:rsid w:val="0099431E"/>
    <w:rsid w:val="00994348"/>
    <w:rsid w:val="00994395"/>
    <w:rsid w:val="00994408"/>
    <w:rsid w:val="009944A5"/>
    <w:rsid w:val="00994596"/>
    <w:rsid w:val="009945C1"/>
    <w:rsid w:val="00994644"/>
    <w:rsid w:val="00994761"/>
    <w:rsid w:val="009947D0"/>
    <w:rsid w:val="00994845"/>
    <w:rsid w:val="009948B5"/>
    <w:rsid w:val="0099496C"/>
    <w:rsid w:val="009949B3"/>
    <w:rsid w:val="009949CE"/>
    <w:rsid w:val="00994A41"/>
    <w:rsid w:val="00994B48"/>
    <w:rsid w:val="00994B64"/>
    <w:rsid w:val="00994C26"/>
    <w:rsid w:val="00994C8B"/>
    <w:rsid w:val="00994CFD"/>
    <w:rsid w:val="00994E45"/>
    <w:rsid w:val="00994EDA"/>
    <w:rsid w:val="00994F68"/>
    <w:rsid w:val="00994F72"/>
    <w:rsid w:val="00994F7E"/>
    <w:rsid w:val="00994F94"/>
    <w:rsid w:val="00994FC0"/>
    <w:rsid w:val="00995033"/>
    <w:rsid w:val="00995091"/>
    <w:rsid w:val="00995132"/>
    <w:rsid w:val="00995179"/>
    <w:rsid w:val="009951B8"/>
    <w:rsid w:val="009951D8"/>
    <w:rsid w:val="009951E2"/>
    <w:rsid w:val="009951FF"/>
    <w:rsid w:val="00995322"/>
    <w:rsid w:val="00995395"/>
    <w:rsid w:val="00995428"/>
    <w:rsid w:val="009954FA"/>
    <w:rsid w:val="00995537"/>
    <w:rsid w:val="00995585"/>
    <w:rsid w:val="009955FE"/>
    <w:rsid w:val="00995683"/>
    <w:rsid w:val="00995802"/>
    <w:rsid w:val="0099584B"/>
    <w:rsid w:val="00995856"/>
    <w:rsid w:val="00995884"/>
    <w:rsid w:val="00995894"/>
    <w:rsid w:val="009958A0"/>
    <w:rsid w:val="0099594B"/>
    <w:rsid w:val="00995967"/>
    <w:rsid w:val="0099596E"/>
    <w:rsid w:val="00995A2B"/>
    <w:rsid w:val="00995C45"/>
    <w:rsid w:val="00995C7C"/>
    <w:rsid w:val="00995C8A"/>
    <w:rsid w:val="00995E00"/>
    <w:rsid w:val="00995E46"/>
    <w:rsid w:val="00995EA9"/>
    <w:rsid w:val="00995EC8"/>
    <w:rsid w:val="00995ED7"/>
    <w:rsid w:val="00995F58"/>
    <w:rsid w:val="00996058"/>
    <w:rsid w:val="009960C3"/>
    <w:rsid w:val="00996131"/>
    <w:rsid w:val="0099613F"/>
    <w:rsid w:val="00996155"/>
    <w:rsid w:val="00996157"/>
    <w:rsid w:val="0099616F"/>
    <w:rsid w:val="0099619B"/>
    <w:rsid w:val="0099622F"/>
    <w:rsid w:val="009962DF"/>
    <w:rsid w:val="009962FF"/>
    <w:rsid w:val="0099631A"/>
    <w:rsid w:val="0099638A"/>
    <w:rsid w:val="009963A8"/>
    <w:rsid w:val="00996473"/>
    <w:rsid w:val="009964B3"/>
    <w:rsid w:val="00996616"/>
    <w:rsid w:val="0099673A"/>
    <w:rsid w:val="00996809"/>
    <w:rsid w:val="0099684D"/>
    <w:rsid w:val="0099687C"/>
    <w:rsid w:val="0099688E"/>
    <w:rsid w:val="009968AE"/>
    <w:rsid w:val="009968C8"/>
    <w:rsid w:val="009968DC"/>
    <w:rsid w:val="00996916"/>
    <w:rsid w:val="00996963"/>
    <w:rsid w:val="00996980"/>
    <w:rsid w:val="0099699A"/>
    <w:rsid w:val="009969E7"/>
    <w:rsid w:val="00996A06"/>
    <w:rsid w:val="00996A55"/>
    <w:rsid w:val="00996B81"/>
    <w:rsid w:val="00996BCB"/>
    <w:rsid w:val="00996BF9"/>
    <w:rsid w:val="00996C58"/>
    <w:rsid w:val="00996CA4"/>
    <w:rsid w:val="00996CA5"/>
    <w:rsid w:val="00996D15"/>
    <w:rsid w:val="00996DE7"/>
    <w:rsid w:val="00996DF9"/>
    <w:rsid w:val="00996E64"/>
    <w:rsid w:val="00996F48"/>
    <w:rsid w:val="00996F94"/>
    <w:rsid w:val="00996FC9"/>
    <w:rsid w:val="00997063"/>
    <w:rsid w:val="0099708D"/>
    <w:rsid w:val="0099712F"/>
    <w:rsid w:val="009972A8"/>
    <w:rsid w:val="00997448"/>
    <w:rsid w:val="0099745D"/>
    <w:rsid w:val="00997475"/>
    <w:rsid w:val="009974F0"/>
    <w:rsid w:val="009975B0"/>
    <w:rsid w:val="009975BE"/>
    <w:rsid w:val="009975C6"/>
    <w:rsid w:val="009975DE"/>
    <w:rsid w:val="00997668"/>
    <w:rsid w:val="009976C4"/>
    <w:rsid w:val="00997736"/>
    <w:rsid w:val="009977B2"/>
    <w:rsid w:val="0099784A"/>
    <w:rsid w:val="00997869"/>
    <w:rsid w:val="00997A27"/>
    <w:rsid w:val="00997AB8"/>
    <w:rsid w:val="00997B22"/>
    <w:rsid w:val="00997B89"/>
    <w:rsid w:val="00997BB2"/>
    <w:rsid w:val="00997C76"/>
    <w:rsid w:val="00997C7A"/>
    <w:rsid w:val="00997D22"/>
    <w:rsid w:val="00997DDD"/>
    <w:rsid w:val="00997DF4"/>
    <w:rsid w:val="00997DFD"/>
    <w:rsid w:val="00997E2B"/>
    <w:rsid w:val="00997E58"/>
    <w:rsid w:val="00997E6A"/>
    <w:rsid w:val="00997E6B"/>
    <w:rsid w:val="00997E9C"/>
    <w:rsid w:val="00997EBC"/>
    <w:rsid w:val="00997EC1"/>
    <w:rsid w:val="00997F1C"/>
    <w:rsid w:val="00997F40"/>
    <w:rsid w:val="00997F48"/>
    <w:rsid w:val="009A01E7"/>
    <w:rsid w:val="009A02D5"/>
    <w:rsid w:val="009A0337"/>
    <w:rsid w:val="009A03BE"/>
    <w:rsid w:val="009A0416"/>
    <w:rsid w:val="009A0428"/>
    <w:rsid w:val="009A042D"/>
    <w:rsid w:val="009A04E2"/>
    <w:rsid w:val="009A0516"/>
    <w:rsid w:val="009A06A6"/>
    <w:rsid w:val="009A0721"/>
    <w:rsid w:val="009A08C7"/>
    <w:rsid w:val="009A08E7"/>
    <w:rsid w:val="009A0926"/>
    <w:rsid w:val="009A0931"/>
    <w:rsid w:val="009A0A2D"/>
    <w:rsid w:val="009A0AD3"/>
    <w:rsid w:val="009A0ADE"/>
    <w:rsid w:val="009A0B3E"/>
    <w:rsid w:val="009A0C11"/>
    <w:rsid w:val="009A0C6A"/>
    <w:rsid w:val="009A0CC0"/>
    <w:rsid w:val="009A0CF5"/>
    <w:rsid w:val="009A0D12"/>
    <w:rsid w:val="009A0D1A"/>
    <w:rsid w:val="009A0DAC"/>
    <w:rsid w:val="009A0E00"/>
    <w:rsid w:val="009A0EEC"/>
    <w:rsid w:val="009A0F58"/>
    <w:rsid w:val="009A0F61"/>
    <w:rsid w:val="009A0F87"/>
    <w:rsid w:val="009A0FAC"/>
    <w:rsid w:val="009A0FE3"/>
    <w:rsid w:val="009A0FEA"/>
    <w:rsid w:val="009A106E"/>
    <w:rsid w:val="009A1083"/>
    <w:rsid w:val="009A111C"/>
    <w:rsid w:val="009A1167"/>
    <w:rsid w:val="009A1194"/>
    <w:rsid w:val="009A1196"/>
    <w:rsid w:val="009A11C2"/>
    <w:rsid w:val="009A1269"/>
    <w:rsid w:val="009A1306"/>
    <w:rsid w:val="009A144B"/>
    <w:rsid w:val="009A1461"/>
    <w:rsid w:val="009A14A3"/>
    <w:rsid w:val="009A155D"/>
    <w:rsid w:val="009A1562"/>
    <w:rsid w:val="009A15A0"/>
    <w:rsid w:val="009A15E4"/>
    <w:rsid w:val="009A15FC"/>
    <w:rsid w:val="009A1650"/>
    <w:rsid w:val="009A169E"/>
    <w:rsid w:val="009A177A"/>
    <w:rsid w:val="009A1A30"/>
    <w:rsid w:val="009A1B7E"/>
    <w:rsid w:val="009A1B96"/>
    <w:rsid w:val="009A1CE2"/>
    <w:rsid w:val="009A1D36"/>
    <w:rsid w:val="009A1DA9"/>
    <w:rsid w:val="009A1DDE"/>
    <w:rsid w:val="009A1EBA"/>
    <w:rsid w:val="009A1EC5"/>
    <w:rsid w:val="009A20A3"/>
    <w:rsid w:val="009A2131"/>
    <w:rsid w:val="009A2158"/>
    <w:rsid w:val="009A21DF"/>
    <w:rsid w:val="009A2233"/>
    <w:rsid w:val="009A2249"/>
    <w:rsid w:val="009A22E4"/>
    <w:rsid w:val="009A2382"/>
    <w:rsid w:val="009A2447"/>
    <w:rsid w:val="009A24B8"/>
    <w:rsid w:val="009A2539"/>
    <w:rsid w:val="009A25AE"/>
    <w:rsid w:val="009A25FF"/>
    <w:rsid w:val="009A2644"/>
    <w:rsid w:val="009A2680"/>
    <w:rsid w:val="009A26D2"/>
    <w:rsid w:val="009A274C"/>
    <w:rsid w:val="009A2781"/>
    <w:rsid w:val="009A27F3"/>
    <w:rsid w:val="009A27FF"/>
    <w:rsid w:val="009A2869"/>
    <w:rsid w:val="009A28E6"/>
    <w:rsid w:val="009A29E2"/>
    <w:rsid w:val="009A2A01"/>
    <w:rsid w:val="009A2A0F"/>
    <w:rsid w:val="009A2A63"/>
    <w:rsid w:val="009A2CBA"/>
    <w:rsid w:val="009A2CE8"/>
    <w:rsid w:val="009A2D08"/>
    <w:rsid w:val="009A2D86"/>
    <w:rsid w:val="009A2DEE"/>
    <w:rsid w:val="009A2EFC"/>
    <w:rsid w:val="009A3029"/>
    <w:rsid w:val="009A31BD"/>
    <w:rsid w:val="009A31F1"/>
    <w:rsid w:val="009A32ED"/>
    <w:rsid w:val="009A33B0"/>
    <w:rsid w:val="009A33ED"/>
    <w:rsid w:val="009A347D"/>
    <w:rsid w:val="009A350A"/>
    <w:rsid w:val="009A3640"/>
    <w:rsid w:val="009A3655"/>
    <w:rsid w:val="009A36A0"/>
    <w:rsid w:val="009A37F7"/>
    <w:rsid w:val="009A38E9"/>
    <w:rsid w:val="009A3A3B"/>
    <w:rsid w:val="009A3A44"/>
    <w:rsid w:val="009A3B1B"/>
    <w:rsid w:val="009A3B8D"/>
    <w:rsid w:val="009A3C6B"/>
    <w:rsid w:val="009A3E69"/>
    <w:rsid w:val="009A3E9B"/>
    <w:rsid w:val="009A3EA5"/>
    <w:rsid w:val="009A4008"/>
    <w:rsid w:val="009A4050"/>
    <w:rsid w:val="009A406B"/>
    <w:rsid w:val="009A40DF"/>
    <w:rsid w:val="009A416E"/>
    <w:rsid w:val="009A41F7"/>
    <w:rsid w:val="009A4212"/>
    <w:rsid w:val="009A424B"/>
    <w:rsid w:val="009A424F"/>
    <w:rsid w:val="009A42C2"/>
    <w:rsid w:val="009A42EE"/>
    <w:rsid w:val="009A4350"/>
    <w:rsid w:val="009A437C"/>
    <w:rsid w:val="009A443A"/>
    <w:rsid w:val="009A4558"/>
    <w:rsid w:val="009A456E"/>
    <w:rsid w:val="009A45D5"/>
    <w:rsid w:val="009A4649"/>
    <w:rsid w:val="009A468D"/>
    <w:rsid w:val="009A46AC"/>
    <w:rsid w:val="009A46B3"/>
    <w:rsid w:val="009A47B2"/>
    <w:rsid w:val="009A47B7"/>
    <w:rsid w:val="009A4882"/>
    <w:rsid w:val="009A4887"/>
    <w:rsid w:val="009A48B9"/>
    <w:rsid w:val="009A48BC"/>
    <w:rsid w:val="009A48E3"/>
    <w:rsid w:val="009A48EC"/>
    <w:rsid w:val="009A491E"/>
    <w:rsid w:val="009A4948"/>
    <w:rsid w:val="009A4A5C"/>
    <w:rsid w:val="009A4AF4"/>
    <w:rsid w:val="009A4B21"/>
    <w:rsid w:val="009A4BFB"/>
    <w:rsid w:val="009A4C07"/>
    <w:rsid w:val="009A4C2F"/>
    <w:rsid w:val="009A4CA6"/>
    <w:rsid w:val="009A4D05"/>
    <w:rsid w:val="009A4E84"/>
    <w:rsid w:val="009A504B"/>
    <w:rsid w:val="009A506E"/>
    <w:rsid w:val="009A510D"/>
    <w:rsid w:val="009A5173"/>
    <w:rsid w:val="009A5191"/>
    <w:rsid w:val="009A53C3"/>
    <w:rsid w:val="009A540F"/>
    <w:rsid w:val="009A54E7"/>
    <w:rsid w:val="009A552D"/>
    <w:rsid w:val="009A5536"/>
    <w:rsid w:val="009A5561"/>
    <w:rsid w:val="009A55BF"/>
    <w:rsid w:val="009A560F"/>
    <w:rsid w:val="009A561B"/>
    <w:rsid w:val="009A56C3"/>
    <w:rsid w:val="009A574A"/>
    <w:rsid w:val="009A575B"/>
    <w:rsid w:val="009A5762"/>
    <w:rsid w:val="009A57F5"/>
    <w:rsid w:val="009A5820"/>
    <w:rsid w:val="009A583D"/>
    <w:rsid w:val="009A586C"/>
    <w:rsid w:val="009A5912"/>
    <w:rsid w:val="009A59F9"/>
    <w:rsid w:val="009A5AFC"/>
    <w:rsid w:val="009A5BAB"/>
    <w:rsid w:val="009A5C77"/>
    <w:rsid w:val="009A5D4D"/>
    <w:rsid w:val="009A5E02"/>
    <w:rsid w:val="009A5E22"/>
    <w:rsid w:val="009A5E9B"/>
    <w:rsid w:val="009A5E9E"/>
    <w:rsid w:val="009A5ECE"/>
    <w:rsid w:val="009A5EEC"/>
    <w:rsid w:val="009A5FFB"/>
    <w:rsid w:val="009A6101"/>
    <w:rsid w:val="009A6121"/>
    <w:rsid w:val="009A61C7"/>
    <w:rsid w:val="009A620C"/>
    <w:rsid w:val="009A626F"/>
    <w:rsid w:val="009A62A1"/>
    <w:rsid w:val="009A62A9"/>
    <w:rsid w:val="009A646D"/>
    <w:rsid w:val="009A64DA"/>
    <w:rsid w:val="009A64F5"/>
    <w:rsid w:val="009A6511"/>
    <w:rsid w:val="009A6516"/>
    <w:rsid w:val="009A652E"/>
    <w:rsid w:val="009A665C"/>
    <w:rsid w:val="009A671F"/>
    <w:rsid w:val="009A676C"/>
    <w:rsid w:val="009A67B8"/>
    <w:rsid w:val="009A67F6"/>
    <w:rsid w:val="009A6888"/>
    <w:rsid w:val="009A689D"/>
    <w:rsid w:val="009A68A1"/>
    <w:rsid w:val="009A68A7"/>
    <w:rsid w:val="009A68F6"/>
    <w:rsid w:val="009A6926"/>
    <w:rsid w:val="009A6A5D"/>
    <w:rsid w:val="009A6AA7"/>
    <w:rsid w:val="009A6AAB"/>
    <w:rsid w:val="009A6B96"/>
    <w:rsid w:val="009A6BE1"/>
    <w:rsid w:val="009A6C28"/>
    <w:rsid w:val="009A6C5C"/>
    <w:rsid w:val="009A6CD9"/>
    <w:rsid w:val="009A6E28"/>
    <w:rsid w:val="009A6E3A"/>
    <w:rsid w:val="009A6EC4"/>
    <w:rsid w:val="009A6F5F"/>
    <w:rsid w:val="009A6F80"/>
    <w:rsid w:val="009A7059"/>
    <w:rsid w:val="009A7068"/>
    <w:rsid w:val="009A70B0"/>
    <w:rsid w:val="009A72AF"/>
    <w:rsid w:val="009A730B"/>
    <w:rsid w:val="009A7319"/>
    <w:rsid w:val="009A7362"/>
    <w:rsid w:val="009A73E7"/>
    <w:rsid w:val="009A7451"/>
    <w:rsid w:val="009A74FD"/>
    <w:rsid w:val="009A7509"/>
    <w:rsid w:val="009A75FC"/>
    <w:rsid w:val="009A76B1"/>
    <w:rsid w:val="009A76C9"/>
    <w:rsid w:val="009A7802"/>
    <w:rsid w:val="009A7854"/>
    <w:rsid w:val="009A7879"/>
    <w:rsid w:val="009A7B4A"/>
    <w:rsid w:val="009A7BCC"/>
    <w:rsid w:val="009A7C24"/>
    <w:rsid w:val="009A7D01"/>
    <w:rsid w:val="009A7D9D"/>
    <w:rsid w:val="009A7DEF"/>
    <w:rsid w:val="009A7E0C"/>
    <w:rsid w:val="009A7E7C"/>
    <w:rsid w:val="009A7ECC"/>
    <w:rsid w:val="009A7EDE"/>
    <w:rsid w:val="009A7F03"/>
    <w:rsid w:val="009A7F0D"/>
    <w:rsid w:val="009A7FF2"/>
    <w:rsid w:val="009B008C"/>
    <w:rsid w:val="009B00DF"/>
    <w:rsid w:val="009B0102"/>
    <w:rsid w:val="009B0114"/>
    <w:rsid w:val="009B0165"/>
    <w:rsid w:val="009B01F3"/>
    <w:rsid w:val="009B0303"/>
    <w:rsid w:val="009B0320"/>
    <w:rsid w:val="009B0351"/>
    <w:rsid w:val="009B0409"/>
    <w:rsid w:val="009B045B"/>
    <w:rsid w:val="009B047F"/>
    <w:rsid w:val="009B04A2"/>
    <w:rsid w:val="009B04CA"/>
    <w:rsid w:val="009B0520"/>
    <w:rsid w:val="009B0551"/>
    <w:rsid w:val="009B06A7"/>
    <w:rsid w:val="009B06FC"/>
    <w:rsid w:val="009B07F6"/>
    <w:rsid w:val="009B084C"/>
    <w:rsid w:val="009B0911"/>
    <w:rsid w:val="009B0953"/>
    <w:rsid w:val="009B095E"/>
    <w:rsid w:val="009B09A7"/>
    <w:rsid w:val="009B09EB"/>
    <w:rsid w:val="009B0C02"/>
    <w:rsid w:val="009B0C1C"/>
    <w:rsid w:val="009B0C67"/>
    <w:rsid w:val="009B0C7C"/>
    <w:rsid w:val="009B0D6E"/>
    <w:rsid w:val="009B0F9B"/>
    <w:rsid w:val="009B100C"/>
    <w:rsid w:val="009B102C"/>
    <w:rsid w:val="009B10C7"/>
    <w:rsid w:val="009B113F"/>
    <w:rsid w:val="009B11AF"/>
    <w:rsid w:val="009B11F8"/>
    <w:rsid w:val="009B122B"/>
    <w:rsid w:val="009B1267"/>
    <w:rsid w:val="009B1388"/>
    <w:rsid w:val="009B13AF"/>
    <w:rsid w:val="009B1461"/>
    <w:rsid w:val="009B14BB"/>
    <w:rsid w:val="009B152F"/>
    <w:rsid w:val="009B164C"/>
    <w:rsid w:val="009B16DA"/>
    <w:rsid w:val="009B16FF"/>
    <w:rsid w:val="009B1741"/>
    <w:rsid w:val="009B1785"/>
    <w:rsid w:val="009B19AD"/>
    <w:rsid w:val="009B19F3"/>
    <w:rsid w:val="009B1A25"/>
    <w:rsid w:val="009B1A4D"/>
    <w:rsid w:val="009B1B3B"/>
    <w:rsid w:val="009B1B66"/>
    <w:rsid w:val="009B1B69"/>
    <w:rsid w:val="009B1C32"/>
    <w:rsid w:val="009B1C63"/>
    <w:rsid w:val="009B1CAF"/>
    <w:rsid w:val="009B1CB3"/>
    <w:rsid w:val="009B1D69"/>
    <w:rsid w:val="009B1D8D"/>
    <w:rsid w:val="009B1DBF"/>
    <w:rsid w:val="009B1E43"/>
    <w:rsid w:val="009B1EE6"/>
    <w:rsid w:val="009B1EF1"/>
    <w:rsid w:val="009B1EFA"/>
    <w:rsid w:val="009B1FAD"/>
    <w:rsid w:val="009B1FF1"/>
    <w:rsid w:val="009B2062"/>
    <w:rsid w:val="009B20CA"/>
    <w:rsid w:val="009B20D2"/>
    <w:rsid w:val="009B20EC"/>
    <w:rsid w:val="009B211C"/>
    <w:rsid w:val="009B2132"/>
    <w:rsid w:val="009B2182"/>
    <w:rsid w:val="009B21EC"/>
    <w:rsid w:val="009B21EF"/>
    <w:rsid w:val="009B220A"/>
    <w:rsid w:val="009B2270"/>
    <w:rsid w:val="009B22AE"/>
    <w:rsid w:val="009B22C2"/>
    <w:rsid w:val="009B22E7"/>
    <w:rsid w:val="009B2348"/>
    <w:rsid w:val="009B237D"/>
    <w:rsid w:val="009B24B1"/>
    <w:rsid w:val="009B2527"/>
    <w:rsid w:val="009B252B"/>
    <w:rsid w:val="009B25C1"/>
    <w:rsid w:val="009B26C9"/>
    <w:rsid w:val="009B26F5"/>
    <w:rsid w:val="009B2773"/>
    <w:rsid w:val="009B27BA"/>
    <w:rsid w:val="009B2808"/>
    <w:rsid w:val="009B284D"/>
    <w:rsid w:val="009B285B"/>
    <w:rsid w:val="009B285C"/>
    <w:rsid w:val="009B28EA"/>
    <w:rsid w:val="009B2ABF"/>
    <w:rsid w:val="009B2AD7"/>
    <w:rsid w:val="009B2B35"/>
    <w:rsid w:val="009B2C24"/>
    <w:rsid w:val="009B2CDF"/>
    <w:rsid w:val="009B2D9A"/>
    <w:rsid w:val="009B2E79"/>
    <w:rsid w:val="009B2F2B"/>
    <w:rsid w:val="009B3128"/>
    <w:rsid w:val="009B31B2"/>
    <w:rsid w:val="009B31EB"/>
    <w:rsid w:val="009B31F8"/>
    <w:rsid w:val="009B31FB"/>
    <w:rsid w:val="009B31FE"/>
    <w:rsid w:val="009B32EC"/>
    <w:rsid w:val="009B3320"/>
    <w:rsid w:val="009B33CE"/>
    <w:rsid w:val="009B3660"/>
    <w:rsid w:val="009B36D9"/>
    <w:rsid w:val="009B370F"/>
    <w:rsid w:val="009B386C"/>
    <w:rsid w:val="009B3938"/>
    <w:rsid w:val="009B39E7"/>
    <w:rsid w:val="009B3A5D"/>
    <w:rsid w:val="009B3AEB"/>
    <w:rsid w:val="009B3B5A"/>
    <w:rsid w:val="009B3B93"/>
    <w:rsid w:val="009B3BCB"/>
    <w:rsid w:val="009B3BFD"/>
    <w:rsid w:val="009B3C00"/>
    <w:rsid w:val="009B3C54"/>
    <w:rsid w:val="009B3CBA"/>
    <w:rsid w:val="009B3CCB"/>
    <w:rsid w:val="009B3D2B"/>
    <w:rsid w:val="009B3E34"/>
    <w:rsid w:val="009B3EE2"/>
    <w:rsid w:val="009B3F30"/>
    <w:rsid w:val="009B3F65"/>
    <w:rsid w:val="009B3F6D"/>
    <w:rsid w:val="009B3FB4"/>
    <w:rsid w:val="009B4072"/>
    <w:rsid w:val="009B40A1"/>
    <w:rsid w:val="009B4115"/>
    <w:rsid w:val="009B41FF"/>
    <w:rsid w:val="009B426F"/>
    <w:rsid w:val="009B42DE"/>
    <w:rsid w:val="009B4380"/>
    <w:rsid w:val="009B43FF"/>
    <w:rsid w:val="009B4573"/>
    <w:rsid w:val="009B457B"/>
    <w:rsid w:val="009B4624"/>
    <w:rsid w:val="009B4803"/>
    <w:rsid w:val="009B4849"/>
    <w:rsid w:val="009B4882"/>
    <w:rsid w:val="009B4916"/>
    <w:rsid w:val="009B4966"/>
    <w:rsid w:val="009B49A3"/>
    <w:rsid w:val="009B4A55"/>
    <w:rsid w:val="009B4A5E"/>
    <w:rsid w:val="009B4AC8"/>
    <w:rsid w:val="009B4ACD"/>
    <w:rsid w:val="009B4BD6"/>
    <w:rsid w:val="009B4CBF"/>
    <w:rsid w:val="009B4D63"/>
    <w:rsid w:val="009B4D7A"/>
    <w:rsid w:val="009B4E82"/>
    <w:rsid w:val="009B4E95"/>
    <w:rsid w:val="009B4E97"/>
    <w:rsid w:val="009B4F27"/>
    <w:rsid w:val="009B4F37"/>
    <w:rsid w:val="009B4F3A"/>
    <w:rsid w:val="009B4F45"/>
    <w:rsid w:val="009B4FF7"/>
    <w:rsid w:val="009B5111"/>
    <w:rsid w:val="009B5135"/>
    <w:rsid w:val="009B5187"/>
    <w:rsid w:val="009B5249"/>
    <w:rsid w:val="009B53E9"/>
    <w:rsid w:val="009B54F9"/>
    <w:rsid w:val="009B553F"/>
    <w:rsid w:val="009B5585"/>
    <w:rsid w:val="009B55D2"/>
    <w:rsid w:val="009B563B"/>
    <w:rsid w:val="009B56EC"/>
    <w:rsid w:val="009B5766"/>
    <w:rsid w:val="009B5768"/>
    <w:rsid w:val="009B57DB"/>
    <w:rsid w:val="009B57EC"/>
    <w:rsid w:val="009B5800"/>
    <w:rsid w:val="009B5854"/>
    <w:rsid w:val="009B5877"/>
    <w:rsid w:val="009B5911"/>
    <w:rsid w:val="009B5989"/>
    <w:rsid w:val="009B59CC"/>
    <w:rsid w:val="009B59E7"/>
    <w:rsid w:val="009B5AB1"/>
    <w:rsid w:val="009B5B24"/>
    <w:rsid w:val="009B5B67"/>
    <w:rsid w:val="009B5CF5"/>
    <w:rsid w:val="009B5DFA"/>
    <w:rsid w:val="009B5E10"/>
    <w:rsid w:val="009B5E65"/>
    <w:rsid w:val="009B5ED9"/>
    <w:rsid w:val="009B5EFA"/>
    <w:rsid w:val="009B5FB0"/>
    <w:rsid w:val="009B5FC6"/>
    <w:rsid w:val="009B60FB"/>
    <w:rsid w:val="009B6144"/>
    <w:rsid w:val="009B615B"/>
    <w:rsid w:val="009B61AC"/>
    <w:rsid w:val="009B631D"/>
    <w:rsid w:val="009B634E"/>
    <w:rsid w:val="009B63AD"/>
    <w:rsid w:val="009B63E0"/>
    <w:rsid w:val="009B6616"/>
    <w:rsid w:val="009B663F"/>
    <w:rsid w:val="009B6730"/>
    <w:rsid w:val="009B675E"/>
    <w:rsid w:val="009B6771"/>
    <w:rsid w:val="009B6829"/>
    <w:rsid w:val="009B695D"/>
    <w:rsid w:val="009B6973"/>
    <w:rsid w:val="009B69A2"/>
    <w:rsid w:val="009B69BA"/>
    <w:rsid w:val="009B69CA"/>
    <w:rsid w:val="009B69D9"/>
    <w:rsid w:val="009B69F0"/>
    <w:rsid w:val="009B6A30"/>
    <w:rsid w:val="009B6A31"/>
    <w:rsid w:val="009B6AF3"/>
    <w:rsid w:val="009B6BB5"/>
    <w:rsid w:val="009B6C0B"/>
    <w:rsid w:val="009B6C87"/>
    <w:rsid w:val="009B6CB4"/>
    <w:rsid w:val="009B6CBD"/>
    <w:rsid w:val="009B6DDB"/>
    <w:rsid w:val="009B6F31"/>
    <w:rsid w:val="009B6F9A"/>
    <w:rsid w:val="009B6FA4"/>
    <w:rsid w:val="009B6FBA"/>
    <w:rsid w:val="009B700E"/>
    <w:rsid w:val="009B7050"/>
    <w:rsid w:val="009B7051"/>
    <w:rsid w:val="009B7219"/>
    <w:rsid w:val="009B728F"/>
    <w:rsid w:val="009B72EA"/>
    <w:rsid w:val="009B7358"/>
    <w:rsid w:val="009B7372"/>
    <w:rsid w:val="009B7396"/>
    <w:rsid w:val="009B7480"/>
    <w:rsid w:val="009B74CA"/>
    <w:rsid w:val="009B7508"/>
    <w:rsid w:val="009B7538"/>
    <w:rsid w:val="009B75B0"/>
    <w:rsid w:val="009B7636"/>
    <w:rsid w:val="009B7798"/>
    <w:rsid w:val="009B7806"/>
    <w:rsid w:val="009B780B"/>
    <w:rsid w:val="009B782D"/>
    <w:rsid w:val="009B78BE"/>
    <w:rsid w:val="009B7905"/>
    <w:rsid w:val="009B794A"/>
    <w:rsid w:val="009B7975"/>
    <w:rsid w:val="009B7A2E"/>
    <w:rsid w:val="009B7A7D"/>
    <w:rsid w:val="009B7AC1"/>
    <w:rsid w:val="009B7B1B"/>
    <w:rsid w:val="009B7CC6"/>
    <w:rsid w:val="009B7DD5"/>
    <w:rsid w:val="009B7E15"/>
    <w:rsid w:val="009B7ED9"/>
    <w:rsid w:val="009B7F18"/>
    <w:rsid w:val="009C01B7"/>
    <w:rsid w:val="009C01FC"/>
    <w:rsid w:val="009C0257"/>
    <w:rsid w:val="009C0309"/>
    <w:rsid w:val="009C0387"/>
    <w:rsid w:val="009C03AD"/>
    <w:rsid w:val="009C03E4"/>
    <w:rsid w:val="009C042C"/>
    <w:rsid w:val="009C0651"/>
    <w:rsid w:val="009C06D0"/>
    <w:rsid w:val="009C073B"/>
    <w:rsid w:val="009C0798"/>
    <w:rsid w:val="009C08A0"/>
    <w:rsid w:val="009C08F8"/>
    <w:rsid w:val="009C090F"/>
    <w:rsid w:val="009C0919"/>
    <w:rsid w:val="009C0923"/>
    <w:rsid w:val="009C0AD2"/>
    <w:rsid w:val="009C0C22"/>
    <w:rsid w:val="009C0CA8"/>
    <w:rsid w:val="009C0D3F"/>
    <w:rsid w:val="009C0DAC"/>
    <w:rsid w:val="009C0DC3"/>
    <w:rsid w:val="009C0E6C"/>
    <w:rsid w:val="009C0F6A"/>
    <w:rsid w:val="009C0FBA"/>
    <w:rsid w:val="009C0FE0"/>
    <w:rsid w:val="009C1218"/>
    <w:rsid w:val="009C124E"/>
    <w:rsid w:val="009C124F"/>
    <w:rsid w:val="009C1262"/>
    <w:rsid w:val="009C130D"/>
    <w:rsid w:val="009C13B4"/>
    <w:rsid w:val="009C13F9"/>
    <w:rsid w:val="009C1462"/>
    <w:rsid w:val="009C14C9"/>
    <w:rsid w:val="009C1542"/>
    <w:rsid w:val="009C15C0"/>
    <w:rsid w:val="009C1692"/>
    <w:rsid w:val="009C16C1"/>
    <w:rsid w:val="009C1720"/>
    <w:rsid w:val="009C173B"/>
    <w:rsid w:val="009C174D"/>
    <w:rsid w:val="009C1831"/>
    <w:rsid w:val="009C183E"/>
    <w:rsid w:val="009C189F"/>
    <w:rsid w:val="009C18C8"/>
    <w:rsid w:val="009C18DD"/>
    <w:rsid w:val="009C18E1"/>
    <w:rsid w:val="009C1905"/>
    <w:rsid w:val="009C1978"/>
    <w:rsid w:val="009C19C3"/>
    <w:rsid w:val="009C1B87"/>
    <w:rsid w:val="009C1CC1"/>
    <w:rsid w:val="009C1D06"/>
    <w:rsid w:val="009C1D44"/>
    <w:rsid w:val="009C1E20"/>
    <w:rsid w:val="009C1EF6"/>
    <w:rsid w:val="009C1FFA"/>
    <w:rsid w:val="009C20B2"/>
    <w:rsid w:val="009C20B3"/>
    <w:rsid w:val="009C210B"/>
    <w:rsid w:val="009C2111"/>
    <w:rsid w:val="009C2120"/>
    <w:rsid w:val="009C2164"/>
    <w:rsid w:val="009C21B5"/>
    <w:rsid w:val="009C21D8"/>
    <w:rsid w:val="009C21DD"/>
    <w:rsid w:val="009C2291"/>
    <w:rsid w:val="009C2367"/>
    <w:rsid w:val="009C236C"/>
    <w:rsid w:val="009C23E8"/>
    <w:rsid w:val="009C23F4"/>
    <w:rsid w:val="009C246A"/>
    <w:rsid w:val="009C24D3"/>
    <w:rsid w:val="009C24D6"/>
    <w:rsid w:val="009C2515"/>
    <w:rsid w:val="009C253B"/>
    <w:rsid w:val="009C285D"/>
    <w:rsid w:val="009C2920"/>
    <w:rsid w:val="009C2A86"/>
    <w:rsid w:val="009C2ABC"/>
    <w:rsid w:val="009C2AD3"/>
    <w:rsid w:val="009C2AD6"/>
    <w:rsid w:val="009C2B2F"/>
    <w:rsid w:val="009C2B73"/>
    <w:rsid w:val="009C2BDD"/>
    <w:rsid w:val="009C2C0F"/>
    <w:rsid w:val="009C2CC8"/>
    <w:rsid w:val="009C2D2D"/>
    <w:rsid w:val="009C2D58"/>
    <w:rsid w:val="009C2DB9"/>
    <w:rsid w:val="009C2DE3"/>
    <w:rsid w:val="009C2E02"/>
    <w:rsid w:val="009C2E6C"/>
    <w:rsid w:val="009C2F3F"/>
    <w:rsid w:val="009C2F69"/>
    <w:rsid w:val="009C3027"/>
    <w:rsid w:val="009C318C"/>
    <w:rsid w:val="009C320C"/>
    <w:rsid w:val="009C32E4"/>
    <w:rsid w:val="009C343F"/>
    <w:rsid w:val="009C348A"/>
    <w:rsid w:val="009C34D4"/>
    <w:rsid w:val="009C35F9"/>
    <w:rsid w:val="009C3796"/>
    <w:rsid w:val="009C37AD"/>
    <w:rsid w:val="009C3887"/>
    <w:rsid w:val="009C388D"/>
    <w:rsid w:val="009C3905"/>
    <w:rsid w:val="009C3914"/>
    <w:rsid w:val="009C392F"/>
    <w:rsid w:val="009C3934"/>
    <w:rsid w:val="009C39C3"/>
    <w:rsid w:val="009C39D8"/>
    <w:rsid w:val="009C3AFD"/>
    <w:rsid w:val="009C3B23"/>
    <w:rsid w:val="009C3BDA"/>
    <w:rsid w:val="009C3C01"/>
    <w:rsid w:val="009C3C1A"/>
    <w:rsid w:val="009C3C73"/>
    <w:rsid w:val="009C3CB4"/>
    <w:rsid w:val="009C3CE3"/>
    <w:rsid w:val="009C3D90"/>
    <w:rsid w:val="009C3D96"/>
    <w:rsid w:val="009C3DE7"/>
    <w:rsid w:val="009C3EB0"/>
    <w:rsid w:val="009C40B7"/>
    <w:rsid w:val="009C4213"/>
    <w:rsid w:val="009C426A"/>
    <w:rsid w:val="009C42A2"/>
    <w:rsid w:val="009C4302"/>
    <w:rsid w:val="009C436C"/>
    <w:rsid w:val="009C43C6"/>
    <w:rsid w:val="009C4434"/>
    <w:rsid w:val="009C44AD"/>
    <w:rsid w:val="009C45C7"/>
    <w:rsid w:val="009C4674"/>
    <w:rsid w:val="009C4689"/>
    <w:rsid w:val="009C46CF"/>
    <w:rsid w:val="009C46D0"/>
    <w:rsid w:val="009C47AB"/>
    <w:rsid w:val="009C47F5"/>
    <w:rsid w:val="009C4822"/>
    <w:rsid w:val="009C489A"/>
    <w:rsid w:val="009C48DC"/>
    <w:rsid w:val="009C495D"/>
    <w:rsid w:val="009C49AE"/>
    <w:rsid w:val="009C4AE9"/>
    <w:rsid w:val="009C4AEC"/>
    <w:rsid w:val="009C4B8D"/>
    <w:rsid w:val="009C4B8E"/>
    <w:rsid w:val="009C4BFA"/>
    <w:rsid w:val="009C4C3E"/>
    <w:rsid w:val="009C4E4C"/>
    <w:rsid w:val="009C4FD8"/>
    <w:rsid w:val="009C5058"/>
    <w:rsid w:val="009C5135"/>
    <w:rsid w:val="009C514C"/>
    <w:rsid w:val="009C5200"/>
    <w:rsid w:val="009C5204"/>
    <w:rsid w:val="009C5314"/>
    <w:rsid w:val="009C5398"/>
    <w:rsid w:val="009C53CF"/>
    <w:rsid w:val="009C5434"/>
    <w:rsid w:val="009C5446"/>
    <w:rsid w:val="009C55B2"/>
    <w:rsid w:val="009C5606"/>
    <w:rsid w:val="009C5727"/>
    <w:rsid w:val="009C5799"/>
    <w:rsid w:val="009C57D6"/>
    <w:rsid w:val="009C57F2"/>
    <w:rsid w:val="009C58BC"/>
    <w:rsid w:val="009C58C7"/>
    <w:rsid w:val="009C58D0"/>
    <w:rsid w:val="009C58EB"/>
    <w:rsid w:val="009C5932"/>
    <w:rsid w:val="009C5A05"/>
    <w:rsid w:val="009C5A5D"/>
    <w:rsid w:val="009C5AA9"/>
    <w:rsid w:val="009C5B3D"/>
    <w:rsid w:val="009C5D71"/>
    <w:rsid w:val="009C5EE9"/>
    <w:rsid w:val="009C5F7A"/>
    <w:rsid w:val="009C5FC9"/>
    <w:rsid w:val="009C601A"/>
    <w:rsid w:val="009C60EE"/>
    <w:rsid w:val="009C6101"/>
    <w:rsid w:val="009C6151"/>
    <w:rsid w:val="009C6157"/>
    <w:rsid w:val="009C6160"/>
    <w:rsid w:val="009C62B2"/>
    <w:rsid w:val="009C62D1"/>
    <w:rsid w:val="009C6342"/>
    <w:rsid w:val="009C635F"/>
    <w:rsid w:val="009C63BD"/>
    <w:rsid w:val="009C6409"/>
    <w:rsid w:val="009C647A"/>
    <w:rsid w:val="009C64FE"/>
    <w:rsid w:val="009C666A"/>
    <w:rsid w:val="009C6676"/>
    <w:rsid w:val="009C6790"/>
    <w:rsid w:val="009C67DC"/>
    <w:rsid w:val="009C681F"/>
    <w:rsid w:val="009C6834"/>
    <w:rsid w:val="009C68A6"/>
    <w:rsid w:val="009C6922"/>
    <w:rsid w:val="009C694F"/>
    <w:rsid w:val="009C6A7C"/>
    <w:rsid w:val="009C6BE1"/>
    <w:rsid w:val="009C6C58"/>
    <w:rsid w:val="009C6D8B"/>
    <w:rsid w:val="009C6EE5"/>
    <w:rsid w:val="009C6F47"/>
    <w:rsid w:val="009C7008"/>
    <w:rsid w:val="009C70A1"/>
    <w:rsid w:val="009C70B6"/>
    <w:rsid w:val="009C70BE"/>
    <w:rsid w:val="009C7251"/>
    <w:rsid w:val="009C72BE"/>
    <w:rsid w:val="009C7334"/>
    <w:rsid w:val="009C737C"/>
    <w:rsid w:val="009C73C4"/>
    <w:rsid w:val="009C7405"/>
    <w:rsid w:val="009C7431"/>
    <w:rsid w:val="009C74C9"/>
    <w:rsid w:val="009C74F6"/>
    <w:rsid w:val="009C7526"/>
    <w:rsid w:val="009C753B"/>
    <w:rsid w:val="009C7622"/>
    <w:rsid w:val="009C76C0"/>
    <w:rsid w:val="009C76F2"/>
    <w:rsid w:val="009C777E"/>
    <w:rsid w:val="009C7792"/>
    <w:rsid w:val="009C77DA"/>
    <w:rsid w:val="009C77E5"/>
    <w:rsid w:val="009C780A"/>
    <w:rsid w:val="009C7828"/>
    <w:rsid w:val="009C7862"/>
    <w:rsid w:val="009C78A0"/>
    <w:rsid w:val="009C790C"/>
    <w:rsid w:val="009C7922"/>
    <w:rsid w:val="009C7955"/>
    <w:rsid w:val="009C7A99"/>
    <w:rsid w:val="009C7B24"/>
    <w:rsid w:val="009C7BEF"/>
    <w:rsid w:val="009C7C2B"/>
    <w:rsid w:val="009C7C85"/>
    <w:rsid w:val="009C7CC9"/>
    <w:rsid w:val="009C7E77"/>
    <w:rsid w:val="009C7E8D"/>
    <w:rsid w:val="009C7EF3"/>
    <w:rsid w:val="009C7F1B"/>
    <w:rsid w:val="009C7F3A"/>
    <w:rsid w:val="009C7F9B"/>
    <w:rsid w:val="009D000B"/>
    <w:rsid w:val="009D00B1"/>
    <w:rsid w:val="009D00C2"/>
    <w:rsid w:val="009D0126"/>
    <w:rsid w:val="009D018F"/>
    <w:rsid w:val="009D0194"/>
    <w:rsid w:val="009D01CC"/>
    <w:rsid w:val="009D01F7"/>
    <w:rsid w:val="009D023F"/>
    <w:rsid w:val="009D026E"/>
    <w:rsid w:val="009D02CC"/>
    <w:rsid w:val="009D02F2"/>
    <w:rsid w:val="009D0332"/>
    <w:rsid w:val="009D0341"/>
    <w:rsid w:val="009D03F5"/>
    <w:rsid w:val="009D0448"/>
    <w:rsid w:val="009D0481"/>
    <w:rsid w:val="009D04ED"/>
    <w:rsid w:val="009D0556"/>
    <w:rsid w:val="009D058A"/>
    <w:rsid w:val="009D06BF"/>
    <w:rsid w:val="009D06C6"/>
    <w:rsid w:val="009D07CA"/>
    <w:rsid w:val="009D07FC"/>
    <w:rsid w:val="009D08A1"/>
    <w:rsid w:val="009D0962"/>
    <w:rsid w:val="009D09AA"/>
    <w:rsid w:val="009D09ED"/>
    <w:rsid w:val="009D0C03"/>
    <w:rsid w:val="009D0C4B"/>
    <w:rsid w:val="009D0D5B"/>
    <w:rsid w:val="009D0D71"/>
    <w:rsid w:val="009D0DB1"/>
    <w:rsid w:val="009D0DF7"/>
    <w:rsid w:val="009D0E58"/>
    <w:rsid w:val="009D0EA6"/>
    <w:rsid w:val="009D0F67"/>
    <w:rsid w:val="009D10DF"/>
    <w:rsid w:val="009D114F"/>
    <w:rsid w:val="009D117C"/>
    <w:rsid w:val="009D11B7"/>
    <w:rsid w:val="009D1286"/>
    <w:rsid w:val="009D131A"/>
    <w:rsid w:val="009D139A"/>
    <w:rsid w:val="009D1416"/>
    <w:rsid w:val="009D143E"/>
    <w:rsid w:val="009D1468"/>
    <w:rsid w:val="009D15CA"/>
    <w:rsid w:val="009D15CC"/>
    <w:rsid w:val="009D1622"/>
    <w:rsid w:val="009D162E"/>
    <w:rsid w:val="009D16B4"/>
    <w:rsid w:val="009D1704"/>
    <w:rsid w:val="009D1745"/>
    <w:rsid w:val="009D17B7"/>
    <w:rsid w:val="009D180E"/>
    <w:rsid w:val="009D1830"/>
    <w:rsid w:val="009D196E"/>
    <w:rsid w:val="009D1972"/>
    <w:rsid w:val="009D1A0F"/>
    <w:rsid w:val="009D1A43"/>
    <w:rsid w:val="009D1A9C"/>
    <w:rsid w:val="009D1B25"/>
    <w:rsid w:val="009D1B7D"/>
    <w:rsid w:val="009D1BE0"/>
    <w:rsid w:val="009D1C15"/>
    <w:rsid w:val="009D1C33"/>
    <w:rsid w:val="009D1CB4"/>
    <w:rsid w:val="009D1CC2"/>
    <w:rsid w:val="009D1CE4"/>
    <w:rsid w:val="009D1E43"/>
    <w:rsid w:val="009D1EDC"/>
    <w:rsid w:val="009D1F32"/>
    <w:rsid w:val="009D1F38"/>
    <w:rsid w:val="009D1F43"/>
    <w:rsid w:val="009D20C3"/>
    <w:rsid w:val="009D224A"/>
    <w:rsid w:val="009D224D"/>
    <w:rsid w:val="009D22F3"/>
    <w:rsid w:val="009D2325"/>
    <w:rsid w:val="009D2351"/>
    <w:rsid w:val="009D2359"/>
    <w:rsid w:val="009D23C8"/>
    <w:rsid w:val="009D2403"/>
    <w:rsid w:val="009D2410"/>
    <w:rsid w:val="009D247F"/>
    <w:rsid w:val="009D2491"/>
    <w:rsid w:val="009D251F"/>
    <w:rsid w:val="009D2547"/>
    <w:rsid w:val="009D254E"/>
    <w:rsid w:val="009D2575"/>
    <w:rsid w:val="009D2661"/>
    <w:rsid w:val="009D2669"/>
    <w:rsid w:val="009D267A"/>
    <w:rsid w:val="009D26BF"/>
    <w:rsid w:val="009D29A3"/>
    <w:rsid w:val="009D2A47"/>
    <w:rsid w:val="009D2A50"/>
    <w:rsid w:val="009D2AE2"/>
    <w:rsid w:val="009D2B07"/>
    <w:rsid w:val="009D2B51"/>
    <w:rsid w:val="009D2D19"/>
    <w:rsid w:val="009D2D4F"/>
    <w:rsid w:val="009D2D63"/>
    <w:rsid w:val="009D2D6E"/>
    <w:rsid w:val="009D2E20"/>
    <w:rsid w:val="009D2E82"/>
    <w:rsid w:val="009D2ECA"/>
    <w:rsid w:val="009D2EE5"/>
    <w:rsid w:val="009D2F2A"/>
    <w:rsid w:val="009D2F6E"/>
    <w:rsid w:val="009D3099"/>
    <w:rsid w:val="009D30D7"/>
    <w:rsid w:val="009D316B"/>
    <w:rsid w:val="009D31C1"/>
    <w:rsid w:val="009D3256"/>
    <w:rsid w:val="009D3376"/>
    <w:rsid w:val="009D33AF"/>
    <w:rsid w:val="009D3449"/>
    <w:rsid w:val="009D3532"/>
    <w:rsid w:val="009D358A"/>
    <w:rsid w:val="009D3599"/>
    <w:rsid w:val="009D363D"/>
    <w:rsid w:val="009D36B8"/>
    <w:rsid w:val="009D373D"/>
    <w:rsid w:val="009D3747"/>
    <w:rsid w:val="009D379B"/>
    <w:rsid w:val="009D37C3"/>
    <w:rsid w:val="009D389E"/>
    <w:rsid w:val="009D38D0"/>
    <w:rsid w:val="009D391B"/>
    <w:rsid w:val="009D39A3"/>
    <w:rsid w:val="009D39CA"/>
    <w:rsid w:val="009D39CC"/>
    <w:rsid w:val="009D3A09"/>
    <w:rsid w:val="009D3ADB"/>
    <w:rsid w:val="009D3AEE"/>
    <w:rsid w:val="009D3B75"/>
    <w:rsid w:val="009D3BDF"/>
    <w:rsid w:val="009D3CD7"/>
    <w:rsid w:val="009D3D9C"/>
    <w:rsid w:val="009D3DB1"/>
    <w:rsid w:val="009D3E40"/>
    <w:rsid w:val="009D3E6F"/>
    <w:rsid w:val="009D3FCD"/>
    <w:rsid w:val="009D409E"/>
    <w:rsid w:val="009D41F1"/>
    <w:rsid w:val="009D4232"/>
    <w:rsid w:val="009D42F5"/>
    <w:rsid w:val="009D434F"/>
    <w:rsid w:val="009D449D"/>
    <w:rsid w:val="009D44A5"/>
    <w:rsid w:val="009D44D9"/>
    <w:rsid w:val="009D460E"/>
    <w:rsid w:val="009D469C"/>
    <w:rsid w:val="009D478A"/>
    <w:rsid w:val="009D48E1"/>
    <w:rsid w:val="009D48FD"/>
    <w:rsid w:val="009D49B2"/>
    <w:rsid w:val="009D4A47"/>
    <w:rsid w:val="009D4A4F"/>
    <w:rsid w:val="009D4A51"/>
    <w:rsid w:val="009D4AFA"/>
    <w:rsid w:val="009D4B27"/>
    <w:rsid w:val="009D4B5E"/>
    <w:rsid w:val="009D4C4D"/>
    <w:rsid w:val="009D4D0F"/>
    <w:rsid w:val="009D4E22"/>
    <w:rsid w:val="009D4E62"/>
    <w:rsid w:val="009D4EAE"/>
    <w:rsid w:val="009D4EB0"/>
    <w:rsid w:val="009D5042"/>
    <w:rsid w:val="009D50B9"/>
    <w:rsid w:val="009D50EB"/>
    <w:rsid w:val="009D517B"/>
    <w:rsid w:val="009D519C"/>
    <w:rsid w:val="009D51AA"/>
    <w:rsid w:val="009D5327"/>
    <w:rsid w:val="009D5338"/>
    <w:rsid w:val="009D53A1"/>
    <w:rsid w:val="009D53BB"/>
    <w:rsid w:val="009D53DB"/>
    <w:rsid w:val="009D5436"/>
    <w:rsid w:val="009D54A6"/>
    <w:rsid w:val="009D5571"/>
    <w:rsid w:val="009D560B"/>
    <w:rsid w:val="009D5680"/>
    <w:rsid w:val="009D56C1"/>
    <w:rsid w:val="009D599C"/>
    <w:rsid w:val="009D59C2"/>
    <w:rsid w:val="009D5A17"/>
    <w:rsid w:val="009D5A43"/>
    <w:rsid w:val="009D5AA6"/>
    <w:rsid w:val="009D5ADA"/>
    <w:rsid w:val="009D5B32"/>
    <w:rsid w:val="009D5B37"/>
    <w:rsid w:val="009D5BAE"/>
    <w:rsid w:val="009D5BF1"/>
    <w:rsid w:val="009D5D02"/>
    <w:rsid w:val="009D5D33"/>
    <w:rsid w:val="009D5EC8"/>
    <w:rsid w:val="009D5EFB"/>
    <w:rsid w:val="009D5F6E"/>
    <w:rsid w:val="009D5F7D"/>
    <w:rsid w:val="009D6105"/>
    <w:rsid w:val="009D61C3"/>
    <w:rsid w:val="009D61E6"/>
    <w:rsid w:val="009D61F7"/>
    <w:rsid w:val="009D63DF"/>
    <w:rsid w:val="009D644D"/>
    <w:rsid w:val="009D644E"/>
    <w:rsid w:val="009D6497"/>
    <w:rsid w:val="009D64BC"/>
    <w:rsid w:val="009D650C"/>
    <w:rsid w:val="009D6531"/>
    <w:rsid w:val="009D6535"/>
    <w:rsid w:val="009D65BE"/>
    <w:rsid w:val="009D65D8"/>
    <w:rsid w:val="009D65F6"/>
    <w:rsid w:val="009D6630"/>
    <w:rsid w:val="009D6851"/>
    <w:rsid w:val="009D68E0"/>
    <w:rsid w:val="009D68F7"/>
    <w:rsid w:val="009D696E"/>
    <w:rsid w:val="009D697E"/>
    <w:rsid w:val="009D69D1"/>
    <w:rsid w:val="009D69FA"/>
    <w:rsid w:val="009D6A43"/>
    <w:rsid w:val="009D6A5C"/>
    <w:rsid w:val="009D6A84"/>
    <w:rsid w:val="009D6AC1"/>
    <w:rsid w:val="009D6AF6"/>
    <w:rsid w:val="009D6BE7"/>
    <w:rsid w:val="009D6C3A"/>
    <w:rsid w:val="009D6C9E"/>
    <w:rsid w:val="009D6CF0"/>
    <w:rsid w:val="009D6E65"/>
    <w:rsid w:val="009D6F68"/>
    <w:rsid w:val="009D6FB0"/>
    <w:rsid w:val="009D7001"/>
    <w:rsid w:val="009D701C"/>
    <w:rsid w:val="009D70AD"/>
    <w:rsid w:val="009D7131"/>
    <w:rsid w:val="009D7158"/>
    <w:rsid w:val="009D718C"/>
    <w:rsid w:val="009D71CC"/>
    <w:rsid w:val="009D7442"/>
    <w:rsid w:val="009D74AF"/>
    <w:rsid w:val="009D7524"/>
    <w:rsid w:val="009D7536"/>
    <w:rsid w:val="009D7576"/>
    <w:rsid w:val="009D75B9"/>
    <w:rsid w:val="009D760E"/>
    <w:rsid w:val="009D7702"/>
    <w:rsid w:val="009D7712"/>
    <w:rsid w:val="009D772C"/>
    <w:rsid w:val="009D776A"/>
    <w:rsid w:val="009D7910"/>
    <w:rsid w:val="009D7947"/>
    <w:rsid w:val="009D79F7"/>
    <w:rsid w:val="009D7B1C"/>
    <w:rsid w:val="009D7B70"/>
    <w:rsid w:val="009D7B71"/>
    <w:rsid w:val="009D7C3E"/>
    <w:rsid w:val="009D7DCC"/>
    <w:rsid w:val="009D7E6F"/>
    <w:rsid w:val="009D7EA6"/>
    <w:rsid w:val="009D7EF9"/>
    <w:rsid w:val="009D7FC5"/>
    <w:rsid w:val="009DD86C"/>
    <w:rsid w:val="009E00B1"/>
    <w:rsid w:val="009E00FD"/>
    <w:rsid w:val="009E0158"/>
    <w:rsid w:val="009E021E"/>
    <w:rsid w:val="009E02AB"/>
    <w:rsid w:val="009E02C2"/>
    <w:rsid w:val="009E0396"/>
    <w:rsid w:val="009E03A5"/>
    <w:rsid w:val="009E0417"/>
    <w:rsid w:val="009E04C4"/>
    <w:rsid w:val="009E04E5"/>
    <w:rsid w:val="009E050F"/>
    <w:rsid w:val="009E0599"/>
    <w:rsid w:val="009E05D2"/>
    <w:rsid w:val="009E067B"/>
    <w:rsid w:val="009E06FE"/>
    <w:rsid w:val="009E0724"/>
    <w:rsid w:val="009E0836"/>
    <w:rsid w:val="009E08FF"/>
    <w:rsid w:val="009E0998"/>
    <w:rsid w:val="009E09EB"/>
    <w:rsid w:val="009E0AB1"/>
    <w:rsid w:val="009E0B69"/>
    <w:rsid w:val="009E0C0B"/>
    <w:rsid w:val="009E0C72"/>
    <w:rsid w:val="009E0CBA"/>
    <w:rsid w:val="009E0D61"/>
    <w:rsid w:val="009E0E12"/>
    <w:rsid w:val="009E0E3D"/>
    <w:rsid w:val="009E0EC2"/>
    <w:rsid w:val="009E0F33"/>
    <w:rsid w:val="009E0FEB"/>
    <w:rsid w:val="009E1087"/>
    <w:rsid w:val="009E1088"/>
    <w:rsid w:val="009E10FF"/>
    <w:rsid w:val="009E111C"/>
    <w:rsid w:val="009E11ED"/>
    <w:rsid w:val="009E11FD"/>
    <w:rsid w:val="009E1210"/>
    <w:rsid w:val="009E12A5"/>
    <w:rsid w:val="009E1569"/>
    <w:rsid w:val="009E1592"/>
    <w:rsid w:val="009E17C7"/>
    <w:rsid w:val="009E185A"/>
    <w:rsid w:val="009E18F1"/>
    <w:rsid w:val="009E197E"/>
    <w:rsid w:val="009E1A5E"/>
    <w:rsid w:val="009E1ACF"/>
    <w:rsid w:val="009E1B8D"/>
    <w:rsid w:val="009E1B94"/>
    <w:rsid w:val="009E1BC3"/>
    <w:rsid w:val="009E1BF7"/>
    <w:rsid w:val="009E1BFF"/>
    <w:rsid w:val="009E1D1C"/>
    <w:rsid w:val="009E1DA3"/>
    <w:rsid w:val="009E1DEC"/>
    <w:rsid w:val="009E1E3B"/>
    <w:rsid w:val="009E1EA6"/>
    <w:rsid w:val="009E1EC0"/>
    <w:rsid w:val="009E1F4B"/>
    <w:rsid w:val="009E1F69"/>
    <w:rsid w:val="009E1F6B"/>
    <w:rsid w:val="009E1FBB"/>
    <w:rsid w:val="009E2043"/>
    <w:rsid w:val="009E2063"/>
    <w:rsid w:val="009E2132"/>
    <w:rsid w:val="009E21CA"/>
    <w:rsid w:val="009E221F"/>
    <w:rsid w:val="009E223D"/>
    <w:rsid w:val="009E228D"/>
    <w:rsid w:val="009E22F7"/>
    <w:rsid w:val="009E2333"/>
    <w:rsid w:val="009E236E"/>
    <w:rsid w:val="009E23C0"/>
    <w:rsid w:val="009E2445"/>
    <w:rsid w:val="009E244F"/>
    <w:rsid w:val="009E245F"/>
    <w:rsid w:val="009E24F9"/>
    <w:rsid w:val="009E256C"/>
    <w:rsid w:val="009E2581"/>
    <w:rsid w:val="009E25FC"/>
    <w:rsid w:val="009E2657"/>
    <w:rsid w:val="009E2680"/>
    <w:rsid w:val="009E287A"/>
    <w:rsid w:val="009E29B6"/>
    <w:rsid w:val="009E29F2"/>
    <w:rsid w:val="009E2A22"/>
    <w:rsid w:val="009E2A2A"/>
    <w:rsid w:val="009E2AC9"/>
    <w:rsid w:val="009E2BB1"/>
    <w:rsid w:val="009E2D59"/>
    <w:rsid w:val="009E2DC6"/>
    <w:rsid w:val="009E2DD8"/>
    <w:rsid w:val="009E2EE5"/>
    <w:rsid w:val="009E2F1B"/>
    <w:rsid w:val="009E2F29"/>
    <w:rsid w:val="009E2F58"/>
    <w:rsid w:val="009E2FE4"/>
    <w:rsid w:val="009E3024"/>
    <w:rsid w:val="009E305A"/>
    <w:rsid w:val="009E308F"/>
    <w:rsid w:val="009E30BF"/>
    <w:rsid w:val="009E3136"/>
    <w:rsid w:val="009E31A2"/>
    <w:rsid w:val="009E321D"/>
    <w:rsid w:val="009E3261"/>
    <w:rsid w:val="009E3264"/>
    <w:rsid w:val="009E343F"/>
    <w:rsid w:val="009E3470"/>
    <w:rsid w:val="009E353D"/>
    <w:rsid w:val="009E35F7"/>
    <w:rsid w:val="009E360F"/>
    <w:rsid w:val="009E3641"/>
    <w:rsid w:val="009E3646"/>
    <w:rsid w:val="009E3685"/>
    <w:rsid w:val="009E37E0"/>
    <w:rsid w:val="009E3803"/>
    <w:rsid w:val="009E390E"/>
    <w:rsid w:val="009E39AF"/>
    <w:rsid w:val="009E39C1"/>
    <w:rsid w:val="009E3A36"/>
    <w:rsid w:val="009E3A90"/>
    <w:rsid w:val="009E3AB0"/>
    <w:rsid w:val="009E3BEF"/>
    <w:rsid w:val="009E3C29"/>
    <w:rsid w:val="009E3C9B"/>
    <w:rsid w:val="009E3CC4"/>
    <w:rsid w:val="009E3CE2"/>
    <w:rsid w:val="009E3D6D"/>
    <w:rsid w:val="009E3E76"/>
    <w:rsid w:val="009E3E8F"/>
    <w:rsid w:val="009E3E9D"/>
    <w:rsid w:val="009E3EBC"/>
    <w:rsid w:val="009E4032"/>
    <w:rsid w:val="009E4075"/>
    <w:rsid w:val="009E4093"/>
    <w:rsid w:val="009E42DD"/>
    <w:rsid w:val="009E441D"/>
    <w:rsid w:val="009E4466"/>
    <w:rsid w:val="009E45B7"/>
    <w:rsid w:val="009E4677"/>
    <w:rsid w:val="009E467D"/>
    <w:rsid w:val="009E4682"/>
    <w:rsid w:val="009E47FD"/>
    <w:rsid w:val="009E489D"/>
    <w:rsid w:val="009E48B4"/>
    <w:rsid w:val="009E4946"/>
    <w:rsid w:val="009E4AA7"/>
    <w:rsid w:val="009E4AAB"/>
    <w:rsid w:val="009E4AC7"/>
    <w:rsid w:val="009E4AF9"/>
    <w:rsid w:val="009E4C16"/>
    <w:rsid w:val="009E4C8F"/>
    <w:rsid w:val="009E4CA6"/>
    <w:rsid w:val="009E4DD3"/>
    <w:rsid w:val="009E5071"/>
    <w:rsid w:val="009E50AD"/>
    <w:rsid w:val="009E5295"/>
    <w:rsid w:val="009E52EF"/>
    <w:rsid w:val="009E5327"/>
    <w:rsid w:val="009E5347"/>
    <w:rsid w:val="009E535C"/>
    <w:rsid w:val="009E535E"/>
    <w:rsid w:val="009E53DA"/>
    <w:rsid w:val="009E53F1"/>
    <w:rsid w:val="009E5477"/>
    <w:rsid w:val="009E5507"/>
    <w:rsid w:val="009E558F"/>
    <w:rsid w:val="009E562A"/>
    <w:rsid w:val="009E5693"/>
    <w:rsid w:val="009E56D5"/>
    <w:rsid w:val="009E579A"/>
    <w:rsid w:val="009E57CA"/>
    <w:rsid w:val="009E580A"/>
    <w:rsid w:val="009E5860"/>
    <w:rsid w:val="009E587B"/>
    <w:rsid w:val="009E5930"/>
    <w:rsid w:val="009E5975"/>
    <w:rsid w:val="009E59D6"/>
    <w:rsid w:val="009E5A57"/>
    <w:rsid w:val="009E5B39"/>
    <w:rsid w:val="009E5C8E"/>
    <w:rsid w:val="009E5CB0"/>
    <w:rsid w:val="009E5D80"/>
    <w:rsid w:val="009E5DC4"/>
    <w:rsid w:val="009E5F9F"/>
    <w:rsid w:val="009E602D"/>
    <w:rsid w:val="009E6035"/>
    <w:rsid w:val="009E605A"/>
    <w:rsid w:val="009E6089"/>
    <w:rsid w:val="009E6090"/>
    <w:rsid w:val="009E6147"/>
    <w:rsid w:val="009E61E3"/>
    <w:rsid w:val="009E6237"/>
    <w:rsid w:val="009E62F7"/>
    <w:rsid w:val="009E6336"/>
    <w:rsid w:val="009E6341"/>
    <w:rsid w:val="009E63CC"/>
    <w:rsid w:val="009E6401"/>
    <w:rsid w:val="009E65DC"/>
    <w:rsid w:val="009E6777"/>
    <w:rsid w:val="009E687F"/>
    <w:rsid w:val="009E68C0"/>
    <w:rsid w:val="009E68FA"/>
    <w:rsid w:val="009E6A89"/>
    <w:rsid w:val="009E6B4B"/>
    <w:rsid w:val="009E6BAB"/>
    <w:rsid w:val="009E6BC1"/>
    <w:rsid w:val="009E6C20"/>
    <w:rsid w:val="009E6D61"/>
    <w:rsid w:val="009E6DC3"/>
    <w:rsid w:val="009E6E54"/>
    <w:rsid w:val="009E6EBD"/>
    <w:rsid w:val="009E6F58"/>
    <w:rsid w:val="009E6F6E"/>
    <w:rsid w:val="009E7000"/>
    <w:rsid w:val="009E7090"/>
    <w:rsid w:val="009E70A6"/>
    <w:rsid w:val="009E70B1"/>
    <w:rsid w:val="009E7168"/>
    <w:rsid w:val="009E716E"/>
    <w:rsid w:val="009E724D"/>
    <w:rsid w:val="009E72E5"/>
    <w:rsid w:val="009E7330"/>
    <w:rsid w:val="009E7436"/>
    <w:rsid w:val="009E745A"/>
    <w:rsid w:val="009E74B4"/>
    <w:rsid w:val="009E7569"/>
    <w:rsid w:val="009E7703"/>
    <w:rsid w:val="009E772A"/>
    <w:rsid w:val="009E7771"/>
    <w:rsid w:val="009E779B"/>
    <w:rsid w:val="009E7823"/>
    <w:rsid w:val="009E7879"/>
    <w:rsid w:val="009E78E4"/>
    <w:rsid w:val="009E7976"/>
    <w:rsid w:val="009E799A"/>
    <w:rsid w:val="009E7B27"/>
    <w:rsid w:val="009E7BBF"/>
    <w:rsid w:val="009E7C23"/>
    <w:rsid w:val="009E7C87"/>
    <w:rsid w:val="009E7C96"/>
    <w:rsid w:val="009E7CC0"/>
    <w:rsid w:val="009E7D34"/>
    <w:rsid w:val="009E7E74"/>
    <w:rsid w:val="009E7EEB"/>
    <w:rsid w:val="009E7F0A"/>
    <w:rsid w:val="009E7F86"/>
    <w:rsid w:val="009E7F9D"/>
    <w:rsid w:val="009E7FB5"/>
    <w:rsid w:val="009EC449"/>
    <w:rsid w:val="009EFF5D"/>
    <w:rsid w:val="009F014E"/>
    <w:rsid w:val="009F015E"/>
    <w:rsid w:val="009F01D2"/>
    <w:rsid w:val="009F01E7"/>
    <w:rsid w:val="009F01FE"/>
    <w:rsid w:val="009F02BC"/>
    <w:rsid w:val="009F0381"/>
    <w:rsid w:val="009F0385"/>
    <w:rsid w:val="009F041F"/>
    <w:rsid w:val="009F044C"/>
    <w:rsid w:val="009F04D8"/>
    <w:rsid w:val="009F0514"/>
    <w:rsid w:val="009F059C"/>
    <w:rsid w:val="009F0622"/>
    <w:rsid w:val="009F073B"/>
    <w:rsid w:val="009F077F"/>
    <w:rsid w:val="009F0790"/>
    <w:rsid w:val="009F07D3"/>
    <w:rsid w:val="009F07F0"/>
    <w:rsid w:val="009F0805"/>
    <w:rsid w:val="009F088E"/>
    <w:rsid w:val="009F091E"/>
    <w:rsid w:val="009F0996"/>
    <w:rsid w:val="009F0A88"/>
    <w:rsid w:val="009F0AD4"/>
    <w:rsid w:val="009F0B04"/>
    <w:rsid w:val="009F0B33"/>
    <w:rsid w:val="009F0B5D"/>
    <w:rsid w:val="009F0BA6"/>
    <w:rsid w:val="009F0D32"/>
    <w:rsid w:val="009F0DC5"/>
    <w:rsid w:val="009F0E41"/>
    <w:rsid w:val="009F0F4D"/>
    <w:rsid w:val="009F0F6C"/>
    <w:rsid w:val="009F0F98"/>
    <w:rsid w:val="009F105D"/>
    <w:rsid w:val="009F10EB"/>
    <w:rsid w:val="009F1107"/>
    <w:rsid w:val="009F113A"/>
    <w:rsid w:val="009F11C5"/>
    <w:rsid w:val="009F122C"/>
    <w:rsid w:val="009F13BD"/>
    <w:rsid w:val="009F15FE"/>
    <w:rsid w:val="009F160D"/>
    <w:rsid w:val="009F161C"/>
    <w:rsid w:val="009F1684"/>
    <w:rsid w:val="009F169B"/>
    <w:rsid w:val="009F1754"/>
    <w:rsid w:val="009F1992"/>
    <w:rsid w:val="009F19BC"/>
    <w:rsid w:val="009F1A09"/>
    <w:rsid w:val="009F1A1D"/>
    <w:rsid w:val="009F1A70"/>
    <w:rsid w:val="009F1B6E"/>
    <w:rsid w:val="009F1C5C"/>
    <w:rsid w:val="009F1CB1"/>
    <w:rsid w:val="009F1CFC"/>
    <w:rsid w:val="009F1D45"/>
    <w:rsid w:val="009F1D82"/>
    <w:rsid w:val="009F1D94"/>
    <w:rsid w:val="009F1DAC"/>
    <w:rsid w:val="009F1E30"/>
    <w:rsid w:val="009F1EA7"/>
    <w:rsid w:val="009F1F12"/>
    <w:rsid w:val="009F1FA0"/>
    <w:rsid w:val="009F206A"/>
    <w:rsid w:val="009F2145"/>
    <w:rsid w:val="009F21B6"/>
    <w:rsid w:val="009F21BC"/>
    <w:rsid w:val="009F21C8"/>
    <w:rsid w:val="009F2418"/>
    <w:rsid w:val="009F2428"/>
    <w:rsid w:val="009F24C8"/>
    <w:rsid w:val="009F2539"/>
    <w:rsid w:val="009F257F"/>
    <w:rsid w:val="009F25EC"/>
    <w:rsid w:val="009F25F1"/>
    <w:rsid w:val="009F2662"/>
    <w:rsid w:val="009F2670"/>
    <w:rsid w:val="009F26CB"/>
    <w:rsid w:val="009F27CB"/>
    <w:rsid w:val="009F2883"/>
    <w:rsid w:val="009F28B7"/>
    <w:rsid w:val="009F28FD"/>
    <w:rsid w:val="009F2958"/>
    <w:rsid w:val="009F295C"/>
    <w:rsid w:val="009F2974"/>
    <w:rsid w:val="009F29A3"/>
    <w:rsid w:val="009F2AF8"/>
    <w:rsid w:val="009F2B23"/>
    <w:rsid w:val="009F2B42"/>
    <w:rsid w:val="009F2B48"/>
    <w:rsid w:val="009F2B7D"/>
    <w:rsid w:val="009F2C7D"/>
    <w:rsid w:val="009F2C95"/>
    <w:rsid w:val="009F2E08"/>
    <w:rsid w:val="009F2E37"/>
    <w:rsid w:val="009F2E93"/>
    <w:rsid w:val="009F2F6A"/>
    <w:rsid w:val="009F2FF6"/>
    <w:rsid w:val="009F3126"/>
    <w:rsid w:val="009F31E0"/>
    <w:rsid w:val="009F32E8"/>
    <w:rsid w:val="009F3326"/>
    <w:rsid w:val="009F339B"/>
    <w:rsid w:val="009F3461"/>
    <w:rsid w:val="009F3480"/>
    <w:rsid w:val="009F3599"/>
    <w:rsid w:val="009F35DE"/>
    <w:rsid w:val="009F35F8"/>
    <w:rsid w:val="009F3616"/>
    <w:rsid w:val="009F3635"/>
    <w:rsid w:val="009F3670"/>
    <w:rsid w:val="009F37B5"/>
    <w:rsid w:val="009F381E"/>
    <w:rsid w:val="009F381F"/>
    <w:rsid w:val="009F3869"/>
    <w:rsid w:val="009F387B"/>
    <w:rsid w:val="009F394C"/>
    <w:rsid w:val="009F3981"/>
    <w:rsid w:val="009F39B5"/>
    <w:rsid w:val="009F3B04"/>
    <w:rsid w:val="009F3B21"/>
    <w:rsid w:val="009F3B71"/>
    <w:rsid w:val="009F3BE8"/>
    <w:rsid w:val="009F3CB9"/>
    <w:rsid w:val="009F3EC3"/>
    <w:rsid w:val="009F3F0F"/>
    <w:rsid w:val="009F3F5F"/>
    <w:rsid w:val="009F3FB2"/>
    <w:rsid w:val="009F4051"/>
    <w:rsid w:val="009F40F2"/>
    <w:rsid w:val="009F41D3"/>
    <w:rsid w:val="009F42B4"/>
    <w:rsid w:val="009F4403"/>
    <w:rsid w:val="009F458D"/>
    <w:rsid w:val="009F45FB"/>
    <w:rsid w:val="009F4605"/>
    <w:rsid w:val="009F4639"/>
    <w:rsid w:val="009F4662"/>
    <w:rsid w:val="009F470B"/>
    <w:rsid w:val="009F4723"/>
    <w:rsid w:val="009F4730"/>
    <w:rsid w:val="009F4786"/>
    <w:rsid w:val="009F48DA"/>
    <w:rsid w:val="009F4925"/>
    <w:rsid w:val="009F4935"/>
    <w:rsid w:val="009F4A67"/>
    <w:rsid w:val="009F4A7C"/>
    <w:rsid w:val="009F4ADE"/>
    <w:rsid w:val="009F4BC8"/>
    <w:rsid w:val="009F4C58"/>
    <w:rsid w:val="009F4CFC"/>
    <w:rsid w:val="009F4D1F"/>
    <w:rsid w:val="009F4DFE"/>
    <w:rsid w:val="009F4E1E"/>
    <w:rsid w:val="009F4E41"/>
    <w:rsid w:val="009F4E44"/>
    <w:rsid w:val="009F4E77"/>
    <w:rsid w:val="009F4EE4"/>
    <w:rsid w:val="009F4F29"/>
    <w:rsid w:val="009F4F5F"/>
    <w:rsid w:val="009F5035"/>
    <w:rsid w:val="009F5138"/>
    <w:rsid w:val="009F520D"/>
    <w:rsid w:val="009F5252"/>
    <w:rsid w:val="009F528C"/>
    <w:rsid w:val="009F534C"/>
    <w:rsid w:val="009F5408"/>
    <w:rsid w:val="009F541D"/>
    <w:rsid w:val="009F5424"/>
    <w:rsid w:val="009F549E"/>
    <w:rsid w:val="009F558A"/>
    <w:rsid w:val="009F565D"/>
    <w:rsid w:val="009F56AE"/>
    <w:rsid w:val="009F56B8"/>
    <w:rsid w:val="009F56BF"/>
    <w:rsid w:val="009F56D1"/>
    <w:rsid w:val="009F56D7"/>
    <w:rsid w:val="009F56E5"/>
    <w:rsid w:val="009F5718"/>
    <w:rsid w:val="009F57A4"/>
    <w:rsid w:val="009F57EF"/>
    <w:rsid w:val="009F588F"/>
    <w:rsid w:val="009F58FF"/>
    <w:rsid w:val="009F5931"/>
    <w:rsid w:val="009F594D"/>
    <w:rsid w:val="009F5984"/>
    <w:rsid w:val="009F59AF"/>
    <w:rsid w:val="009F59B6"/>
    <w:rsid w:val="009F5A93"/>
    <w:rsid w:val="009F5B48"/>
    <w:rsid w:val="009F5C26"/>
    <w:rsid w:val="009F5CA3"/>
    <w:rsid w:val="009F5CEF"/>
    <w:rsid w:val="009F5D1C"/>
    <w:rsid w:val="009F5D97"/>
    <w:rsid w:val="009F5E9D"/>
    <w:rsid w:val="009F5F1C"/>
    <w:rsid w:val="009F604E"/>
    <w:rsid w:val="009F6241"/>
    <w:rsid w:val="009F6253"/>
    <w:rsid w:val="009F647A"/>
    <w:rsid w:val="009F64EF"/>
    <w:rsid w:val="009F64F6"/>
    <w:rsid w:val="009F658C"/>
    <w:rsid w:val="009F6603"/>
    <w:rsid w:val="009F6766"/>
    <w:rsid w:val="009F6874"/>
    <w:rsid w:val="009F68B1"/>
    <w:rsid w:val="009F6922"/>
    <w:rsid w:val="009F6978"/>
    <w:rsid w:val="009F699B"/>
    <w:rsid w:val="009F69CE"/>
    <w:rsid w:val="009F6A0A"/>
    <w:rsid w:val="009F6A6F"/>
    <w:rsid w:val="009F6B1C"/>
    <w:rsid w:val="009F6C66"/>
    <w:rsid w:val="009F6D64"/>
    <w:rsid w:val="009F6D74"/>
    <w:rsid w:val="009F6D76"/>
    <w:rsid w:val="009F6DA5"/>
    <w:rsid w:val="009F6DFE"/>
    <w:rsid w:val="009F6E53"/>
    <w:rsid w:val="009F6E60"/>
    <w:rsid w:val="009F6FA5"/>
    <w:rsid w:val="009F6FE3"/>
    <w:rsid w:val="009F7048"/>
    <w:rsid w:val="009F70B3"/>
    <w:rsid w:val="009F70E4"/>
    <w:rsid w:val="009F7186"/>
    <w:rsid w:val="009F738E"/>
    <w:rsid w:val="009F73FA"/>
    <w:rsid w:val="009F7402"/>
    <w:rsid w:val="009F7453"/>
    <w:rsid w:val="009F74C9"/>
    <w:rsid w:val="009F74D4"/>
    <w:rsid w:val="009F7530"/>
    <w:rsid w:val="009F756D"/>
    <w:rsid w:val="009F75E8"/>
    <w:rsid w:val="009F75EB"/>
    <w:rsid w:val="009F7623"/>
    <w:rsid w:val="009F7650"/>
    <w:rsid w:val="009F76F9"/>
    <w:rsid w:val="009F770E"/>
    <w:rsid w:val="009F78A0"/>
    <w:rsid w:val="009F78BF"/>
    <w:rsid w:val="009F78CD"/>
    <w:rsid w:val="009F7966"/>
    <w:rsid w:val="009F7A5A"/>
    <w:rsid w:val="009F7B1F"/>
    <w:rsid w:val="009F7B7E"/>
    <w:rsid w:val="009F7C65"/>
    <w:rsid w:val="009F7C67"/>
    <w:rsid w:val="009F7C85"/>
    <w:rsid w:val="009F7D32"/>
    <w:rsid w:val="009F7D63"/>
    <w:rsid w:val="009F7D69"/>
    <w:rsid w:val="009F7E4D"/>
    <w:rsid w:val="009F7EE1"/>
    <w:rsid w:val="009F7F67"/>
    <w:rsid w:val="00A000BF"/>
    <w:rsid w:val="00A00177"/>
    <w:rsid w:val="00A00319"/>
    <w:rsid w:val="00A003FF"/>
    <w:rsid w:val="00A00411"/>
    <w:rsid w:val="00A0045D"/>
    <w:rsid w:val="00A00476"/>
    <w:rsid w:val="00A00500"/>
    <w:rsid w:val="00A0060C"/>
    <w:rsid w:val="00A00650"/>
    <w:rsid w:val="00A00671"/>
    <w:rsid w:val="00A006BE"/>
    <w:rsid w:val="00A006F1"/>
    <w:rsid w:val="00A00745"/>
    <w:rsid w:val="00A00748"/>
    <w:rsid w:val="00A00775"/>
    <w:rsid w:val="00A0077F"/>
    <w:rsid w:val="00A00794"/>
    <w:rsid w:val="00A00804"/>
    <w:rsid w:val="00A00827"/>
    <w:rsid w:val="00A00965"/>
    <w:rsid w:val="00A009D8"/>
    <w:rsid w:val="00A009F2"/>
    <w:rsid w:val="00A00A16"/>
    <w:rsid w:val="00A00A5E"/>
    <w:rsid w:val="00A00A74"/>
    <w:rsid w:val="00A00A79"/>
    <w:rsid w:val="00A00A9B"/>
    <w:rsid w:val="00A00AEB"/>
    <w:rsid w:val="00A00D02"/>
    <w:rsid w:val="00A00E26"/>
    <w:rsid w:val="00A00E7A"/>
    <w:rsid w:val="00A00F50"/>
    <w:rsid w:val="00A00FB8"/>
    <w:rsid w:val="00A0104F"/>
    <w:rsid w:val="00A0105C"/>
    <w:rsid w:val="00A010CB"/>
    <w:rsid w:val="00A01113"/>
    <w:rsid w:val="00A01129"/>
    <w:rsid w:val="00A01140"/>
    <w:rsid w:val="00A011CA"/>
    <w:rsid w:val="00A011FB"/>
    <w:rsid w:val="00A01280"/>
    <w:rsid w:val="00A01282"/>
    <w:rsid w:val="00A014A0"/>
    <w:rsid w:val="00A014AC"/>
    <w:rsid w:val="00A014EB"/>
    <w:rsid w:val="00A015C3"/>
    <w:rsid w:val="00A01704"/>
    <w:rsid w:val="00A01720"/>
    <w:rsid w:val="00A01802"/>
    <w:rsid w:val="00A01903"/>
    <w:rsid w:val="00A01953"/>
    <w:rsid w:val="00A01ABB"/>
    <w:rsid w:val="00A01C56"/>
    <w:rsid w:val="00A01CF8"/>
    <w:rsid w:val="00A01D42"/>
    <w:rsid w:val="00A01D70"/>
    <w:rsid w:val="00A01E6B"/>
    <w:rsid w:val="00A01EA3"/>
    <w:rsid w:val="00A01EB9"/>
    <w:rsid w:val="00A01EEE"/>
    <w:rsid w:val="00A01F27"/>
    <w:rsid w:val="00A01FC1"/>
    <w:rsid w:val="00A01FEE"/>
    <w:rsid w:val="00A01FF8"/>
    <w:rsid w:val="00A0205E"/>
    <w:rsid w:val="00A020E7"/>
    <w:rsid w:val="00A020F7"/>
    <w:rsid w:val="00A0211C"/>
    <w:rsid w:val="00A021F7"/>
    <w:rsid w:val="00A0229F"/>
    <w:rsid w:val="00A022C1"/>
    <w:rsid w:val="00A022C6"/>
    <w:rsid w:val="00A022F6"/>
    <w:rsid w:val="00A02349"/>
    <w:rsid w:val="00A02361"/>
    <w:rsid w:val="00A023B2"/>
    <w:rsid w:val="00A023D6"/>
    <w:rsid w:val="00A023E8"/>
    <w:rsid w:val="00A0240C"/>
    <w:rsid w:val="00A024C9"/>
    <w:rsid w:val="00A02547"/>
    <w:rsid w:val="00A0254F"/>
    <w:rsid w:val="00A02557"/>
    <w:rsid w:val="00A0256E"/>
    <w:rsid w:val="00A025AF"/>
    <w:rsid w:val="00A02654"/>
    <w:rsid w:val="00A02682"/>
    <w:rsid w:val="00A0269E"/>
    <w:rsid w:val="00A026EB"/>
    <w:rsid w:val="00A026FE"/>
    <w:rsid w:val="00A027C9"/>
    <w:rsid w:val="00A028D3"/>
    <w:rsid w:val="00A028F0"/>
    <w:rsid w:val="00A028F2"/>
    <w:rsid w:val="00A02A08"/>
    <w:rsid w:val="00A02A4D"/>
    <w:rsid w:val="00A02A53"/>
    <w:rsid w:val="00A02AD8"/>
    <w:rsid w:val="00A02C3D"/>
    <w:rsid w:val="00A02C68"/>
    <w:rsid w:val="00A02CDE"/>
    <w:rsid w:val="00A02D0E"/>
    <w:rsid w:val="00A02D98"/>
    <w:rsid w:val="00A02DAD"/>
    <w:rsid w:val="00A02DF9"/>
    <w:rsid w:val="00A02E2E"/>
    <w:rsid w:val="00A02E60"/>
    <w:rsid w:val="00A02EC7"/>
    <w:rsid w:val="00A02ED4"/>
    <w:rsid w:val="00A02F25"/>
    <w:rsid w:val="00A02F9F"/>
    <w:rsid w:val="00A03055"/>
    <w:rsid w:val="00A03111"/>
    <w:rsid w:val="00A031A8"/>
    <w:rsid w:val="00A031DF"/>
    <w:rsid w:val="00A032B9"/>
    <w:rsid w:val="00A032C4"/>
    <w:rsid w:val="00A033D3"/>
    <w:rsid w:val="00A03446"/>
    <w:rsid w:val="00A034E2"/>
    <w:rsid w:val="00A0359D"/>
    <w:rsid w:val="00A03604"/>
    <w:rsid w:val="00A036A7"/>
    <w:rsid w:val="00A037BB"/>
    <w:rsid w:val="00A037D4"/>
    <w:rsid w:val="00A0386A"/>
    <w:rsid w:val="00A0390E"/>
    <w:rsid w:val="00A03974"/>
    <w:rsid w:val="00A03A31"/>
    <w:rsid w:val="00A03A68"/>
    <w:rsid w:val="00A03BCE"/>
    <w:rsid w:val="00A03DAF"/>
    <w:rsid w:val="00A03DB4"/>
    <w:rsid w:val="00A03FE4"/>
    <w:rsid w:val="00A04080"/>
    <w:rsid w:val="00A04081"/>
    <w:rsid w:val="00A04093"/>
    <w:rsid w:val="00A04177"/>
    <w:rsid w:val="00A041CA"/>
    <w:rsid w:val="00A04232"/>
    <w:rsid w:val="00A04284"/>
    <w:rsid w:val="00A043CF"/>
    <w:rsid w:val="00A0441F"/>
    <w:rsid w:val="00A045EC"/>
    <w:rsid w:val="00A046AC"/>
    <w:rsid w:val="00A046E8"/>
    <w:rsid w:val="00A0472C"/>
    <w:rsid w:val="00A047C9"/>
    <w:rsid w:val="00A048CA"/>
    <w:rsid w:val="00A048FA"/>
    <w:rsid w:val="00A0490F"/>
    <w:rsid w:val="00A04937"/>
    <w:rsid w:val="00A04A49"/>
    <w:rsid w:val="00A04B34"/>
    <w:rsid w:val="00A04BA4"/>
    <w:rsid w:val="00A04BAA"/>
    <w:rsid w:val="00A04BF6"/>
    <w:rsid w:val="00A04C42"/>
    <w:rsid w:val="00A04D9B"/>
    <w:rsid w:val="00A04E23"/>
    <w:rsid w:val="00A04E92"/>
    <w:rsid w:val="00A04EFF"/>
    <w:rsid w:val="00A04F15"/>
    <w:rsid w:val="00A04F41"/>
    <w:rsid w:val="00A04F80"/>
    <w:rsid w:val="00A04FBD"/>
    <w:rsid w:val="00A05034"/>
    <w:rsid w:val="00A05044"/>
    <w:rsid w:val="00A05144"/>
    <w:rsid w:val="00A051F1"/>
    <w:rsid w:val="00A05239"/>
    <w:rsid w:val="00A052E2"/>
    <w:rsid w:val="00A05343"/>
    <w:rsid w:val="00A05369"/>
    <w:rsid w:val="00A053C2"/>
    <w:rsid w:val="00A053C3"/>
    <w:rsid w:val="00A053DB"/>
    <w:rsid w:val="00A05435"/>
    <w:rsid w:val="00A05445"/>
    <w:rsid w:val="00A05488"/>
    <w:rsid w:val="00A0549E"/>
    <w:rsid w:val="00A054A4"/>
    <w:rsid w:val="00A0556B"/>
    <w:rsid w:val="00A055B9"/>
    <w:rsid w:val="00A055BA"/>
    <w:rsid w:val="00A055DB"/>
    <w:rsid w:val="00A056B3"/>
    <w:rsid w:val="00A0572C"/>
    <w:rsid w:val="00A0577B"/>
    <w:rsid w:val="00A05909"/>
    <w:rsid w:val="00A059AF"/>
    <w:rsid w:val="00A059DD"/>
    <w:rsid w:val="00A05A17"/>
    <w:rsid w:val="00A05AA0"/>
    <w:rsid w:val="00A05AC6"/>
    <w:rsid w:val="00A05AF2"/>
    <w:rsid w:val="00A05B15"/>
    <w:rsid w:val="00A05B38"/>
    <w:rsid w:val="00A05B4F"/>
    <w:rsid w:val="00A05CA1"/>
    <w:rsid w:val="00A05D98"/>
    <w:rsid w:val="00A05D9F"/>
    <w:rsid w:val="00A05E64"/>
    <w:rsid w:val="00A05EEF"/>
    <w:rsid w:val="00A05EFD"/>
    <w:rsid w:val="00A05F23"/>
    <w:rsid w:val="00A05F3D"/>
    <w:rsid w:val="00A05FA3"/>
    <w:rsid w:val="00A06204"/>
    <w:rsid w:val="00A06246"/>
    <w:rsid w:val="00A062CC"/>
    <w:rsid w:val="00A06307"/>
    <w:rsid w:val="00A06312"/>
    <w:rsid w:val="00A0637D"/>
    <w:rsid w:val="00A06460"/>
    <w:rsid w:val="00A064FE"/>
    <w:rsid w:val="00A06573"/>
    <w:rsid w:val="00A06595"/>
    <w:rsid w:val="00A066D0"/>
    <w:rsid w:val="00A066F1"/>
    <w:rsid w:val="00A06742"/>
    <w:rsid w:val="00A06781"/>
    <w:rsid w:val="00A067B1"/>
    <w:rsid w:val="00A067CB"/>
    <w:rsid w:val="00A06801"/>
    <w:rsid w:val="00A06847"/>
    <w:rsid w:val="00A068E2"/>
    <w:rsid w:val="00A06A08"/>
    <w:rsid w:val="00A06A16"/>
    <w:rsid w:val="00A06B43"/>
    <w:rsid w:val="00A06B82"/>
    <w:rsid w:val="00A06BB3"/>
    <w:rsid w:val="00A06D25"/>
    <w:rsid w:val="00A06D4C"/>
    <w:rsid w:val="00A06DCA"/>
    <w:rsid w:val="00A06E5F"/>
    <w:rsid w:val="00A06E7F"/>
    <w:rsid w:val="00A06F00"/>
    <w:rsid w:val="00A06F5D"/>
    <w:rsid w:val="00A06F66"/>
    <w:rsid w:val="00A06FEB"/>
    <w:rsid w:val="00A0709E"/>
    <w:rsid w:val="00A072A1"/>
    <w:rsid w:val="00A07388"/>
    <w:rsid w:val="00A074BC"/>
    <w:rsid w:val="00A074E4"/>
    <w:rsid w:val="00A0754B"/>
    <w:rsid w:val="00A075CE"/>
    <w:rsid w:val="00A0762A"/>
    <w:rsid w:val="00A076EA"/>
    <w:rsid w:val="00A0771A"/>
    <w:rsid w:val="00A07740"/>
    <w:rsid w:val="00A07845"/>
    <w:rsid w:val="00A07920"/>
    <w:rsid w:val="00A0796B"/>
    <w:rsid w:val="00A07995"/>
    <w:rsid w:val="00A07A23"/>
    <w:rsid w:val="00A07A2A"/>
    <w:rsid w:val="00A07A9D"/>
    <w:rsid w:val="00A07AB8"/>
    <w:rsid w:val="00A07AC5"/>
    <w:rsid w:val="00A07B4D"/>
    <w:rsid w:val="00A07B6E"/>
    <w:rsid w:val="00A07BDE"/>
    <w:rsid w:val="00A07C08"/>
    <w:rsid w:val="00A07CA3"/>
    <w:rsid w:val="00A07CCF"/>
    <w:rsid w:val="00A07CF8"/>
    <w:rsid w:val="00A07D56"/>
    <w:rsid w:val="00A07DDA"/>
    <w:rsid w:val="00A07E02"/>
    <w:rsid w:val="00A07F28"/>
    <w:rsid w:val="00A07F7C"/>
    <w:rsid w:val="00A07FD1"/>
    <w:rsid w:val="00A1009D"/>
    <w:rsid w:val="00A10209"/>
    <w:rsid w:val="00A10217"/>
    <w:rsid w:val="00A10299"/>
    <w:rsid w:val="00A102C7"/>
    <w:rsid w:val="00A102CA"/>
    <w:rsid w:val="00A102D1"/>
    <w:rsid w:val="00A10333"/>
    <w:rsid w:val="00A103FE"/>
    <w:rsid w:val="00A1041C"/>
    <w:rsid w:val="00A10429"/>
    <w:rsid w:val="00A1043B"/>
    <w:rsid w:val="00A1050C"/>
    <w:rsid w:val="00A10542"/>
    <w:rsid w:val="00A105B8"/>
    <w:rsid w:val="00A10608"/>
    <w:rsid w:val="00A10689"/>
    <w:rsid w:val="00A106A3"/>
    <w:rsid w:val="00A106E3"/>
    <w:rsid w:val="00A1081D"/>
    <w:rsid w:val="00A10869"/>
    <w:rsid w:val="00A108AA"/>
    <w:rsid w:val="00A108D8"/>
    <w:rsid w:val="00A109DB"/>
    <w:rsid w:val="00A10A58"/>
    <w:rsid w:val="00A10A82"/>
    <w:rsid w:val="00A10B0D"/>
    <w:rsid w:val="00A10B78"/>
    <w:rsid w:val="00A10C8D"/>
    <w:rsid w:val="00A10CA8"/>
    <w:rsid w:val="00A10CDE"/>
    <w:rsid w:val="00A10D26"/>
    <w:rsid w:val="00A10D37"/>
    <w:rsid w:val="00A10D5B"/>
    <w:rsid w:val="00A10F06"/>
    <w:rsid w:val="00A10F35"/>
    <w:rsid w:val="00A10F38"/>
    <w:rsid w:val="00A1100B"/>
    <w:rsid w:val="00A1100D"/>
    <w:rsid w:val="00A11018"/>
    <w:rsid w:val="00A110EC"/>
    <w:rsid w:val="00A1110A"/>
    <w:rsid w:val="00A11135"/>
    <w:rsid w:val="00A111AC"/>
    <w:rsid w:val="00A1130F"/>
    <w:rsid w:val="00A1135E"/>
    <w:rsid w:val="00A113FE"/>
    <w:rsid w:val="00A11463"/>
    <w:rsid w:val="00A114F8"/>
    <w:rsid w:val="00A1152F"/>
    <w:rsid w:val="00A115A4"/>
    <w:rsid w:val="00A11619"/>
    <w:rsid w:val="00A116BB"/>
    <w:rsid w:val="00A116E5"/>
    <w:rsid w:val="00A11764"/>
    <w:rsid w:val="00A117D3"/>
    <w:rsid w:val="00A11833"/>
    <w:rsid w:val="00A1185C"/>
    <w:rsid w:val="00A11872"/>
    <w:rsid w:val="00A11953"/>
    <w:rsid w:val="00A119F9"/>
    <w:rsid w:val="00A11A59"/>
    <w:rsid w:val="00A11B29"/>
    <w:rsid w:val="00A11BCB"/>
    <w:rsid w:val="00A11CDF"/>
    <w:rsid w:val="00A11CFB"/>
    <w:rsid w:val="00A11D29"/>
    <w:rsid w:val="00A11D46"/>
    <w:rsid w:val="00A11DA1"/>
    <w:rsid w:val="00A11DD8"/>
    <w:rsid w:val="00A11E02"/>
    <w:rsid w:val="00A11EDB"/>
    <w:rsid w:val="00A11F41"/>
    <w:rsid w:val="00A11FB7"/>
    <w:rsid w:val="00A12198"/>
    <w:rsid w:val="00A122D2"/>
    <w:rsid w:val="00A122D7"/>
    <w:rsid w:val="00A12375"/>
    <w:rsid w:val="00A1238C"/>
    <w:rsid w:val="00A1242A"/>
    <w:rsid w:val="00A12436"/>
    <w:rsid w:val="00A1243A"/>
    <w:rsid w:val="00A1259D"/>
    <w:rsid w:val="00A1275E"/>
    <w:rsid w:val="00A12899"/>
    <w:rsid w:val="00A128AE"/>
    <w:rsid w:val="00A1298E"/>
    <w:rsid w:val="00A129BB"/>
    <w:rsid w:val="00A12A17"/>
    <w:rsid w:val="00A12B00"/>
    <w:rsid w:val="00A12CD3"/>
    <w:rsid w:val="00A12E3A"/>
    <w:rsid w:val="00A12F01"/>
    <w:rsid w:val="00A12FC0"/>
    <w:rsid w:val="00A13053"/>
    <w:rsid w:val="00A13132"/>
    <w:rsid w:val="00A132D1"/>
    <w:rsid w:val="00A13306"/>
    <w:rsid w:val="00A13427"/>
    <w:rsid w:val="00A13495"/>
    <w:rsid w:val="00A134E4"/>
    <w:rsid w:val="00A13511"/>
    <w:rsid w:val="00A13524"/>
    <w:rsid w:val="00A1357C"/>
    <w:rsid w:val="00A13665"/>
    <w:rsid w:val="00A1370E"/>
    <w:rsid w:val="00A1378B"/>
    <w:rsid w:val="00A1384B"/>
    <w:rsid w:val="00A13922"/>
    <w:rsid w:val="00A1397C"/>
    <w:rsid w:val="00A139C7"/>
    <w:rsid w:val="00A139F0"/>
    <w:rsid w:val="00A13A1D"/>
    <w:rsid w:val="00A13A66"/>
    <w:rsid w:val="00A13ACD"/>
    <w:rsid w:val="00A13C0F"/>
    <w:rsid w:val="00A13C25"/>
    <w:rsid w:val="00A13C7E"/>
    <w:rsid w:val="00A13CEF"/>
    <w:rsid w:val="00A13D0E"/>
    <w:rsid w:val="00A13DD1"/>
    <w:rsid w:val="00A13E3C"/>
    <w:rsid w:val="00A13EA2"/>
    <w:rsid w:val="00A13ED7"/>
    <w:rsid w:val="00A13F10"/>
    <w:rsid w:val="00A13F32"/>
    <w:rsid w:val="00A13F75"/>
    <w:rsid w:val="00A13FCC"/>
    <w:rsid w:val="00A1409F"/>
    <w:rsid w:val="00A140B4"/>
    <w:rsid w:val="00A140E7"/>
    <w:rsid w:val="00A14147"/>
    <w:rsid w:val="00A141A1"/>
    <w:rsid w:val="00A141E1"/>
    <w:rsid w:val="00A14241"/>
    <w:rsid w:val="00A14256"/>
    <w:rsid w:val="00A14295"/>
    <w:rsid w:val="00A14324"/>
    <w:rsid w:val="00A1446F"/>
    <w:rsid w:val="00A14482"/>
    <w:rsid w:val="00A144A8"/>
    <w:rsid w:val="00A144BF"/>
    <w:rsid w:val="00A14564"/>
    <w:rsid w:val="00A1461B"/>
    <w:rsid w:val="00A14860"/>
    <w:rsid w:val="00A14892"/>
    <w:rsid w:val="00A148AC"/>
    <w:rsid w:val="00A148FD"/>
    <w:rsid w:val="00A1499A"/>
    <w:rsid w:val="00A14A0D"/>
    <w:rsid w:val="00A14A2E"/>
    <w:rsid w:val="00A14A51"/>
    <w:rsid w:val="00A14A8C"/>
    <w:rsid w:val="00A14BDD"/>
    <w:rsid w:val="00A14C55"/>
    <w:rsid w:val="00A14C56"/>
    <w:rsid w:val="00A14C86"/>
    <w:rsid w:val="00A14CF2"/>
    <w:rsid w:val="00A14D37"/>
    <w:rsid w:val="00A14D4D"/>
    <w:rsid w:val="00A14D8D"/>
    <w:rsid w:val="00A14FB4"/>
    <w:rsid w:val="00A14FD6"/>
    <w:rsid w:val="00A1507E"/>
    <w:rsid w:val="00A15166"/>
    <w:rsid w:val="00A151B9"/>
    <w:rsid w:val="00A15208"/>
    <w:rsid w:val="00A15247"/>
    <w:rsid w:val="00A1524F"/>
    <w:rsid w:val="00A152BA"/>
    <w:rsid w:val="00A15309"/>
    <w:rsid w:val="00A153DF"/>
    <w:rsid w:val="00A153E3"/>
    <w:rsid w:val="00A1544C"/>
    <w:rsid w:val="00A154CE"/>
    <w:rsid w:val="00A15578"/>
    <w:rsid w:val="00A155A4"/>
    <w:rsid w:val="00A155C1"/>
    <w:rsid w:val="00A1562A"/>
    <w:rsid w:val="00A15645"/>
    <w:rsid w:val="00A15669"/>
    <w:rsid w:val="00A1568A"/>
    <w:rsid w:val="00A15698"/>
    <w:rsid w:val="00A157D7"/>
    <w:rsid w:val="00A157EA"/>
    <w:rsid w:val="00A15889"/>
    <w:rsid w:val="00A158A1"/>
    <w:rsid w:val="00A158DF"/>
    <w:rsid w:val="00A1592B"/>
    <w:rsid w:val="00A15954"/>
    <w:rsid w:val="00A1598A"/>
    <w:rsid w:val="00A15A23"/>
    <w:rsid w:val="00A15A26"/>
    <w:rsid w:val="00A15B8C"/>
    <w:rsid w:val="00A15DE1"/>
    <w:rsid w:val="00A15E0A"/>
    <w:rsid w:val="00A15E95"/>
    <w:rsid w:val="00A15EAA"/>
    <w:rsid w:val="00A15EAC"/>
    <w:rsid w:val="00A161B0"/>
    <w:rsid w:val="00A161D2"/>
    <w:rsid w:val="00A1620C"/>
    <w:rsid w:val="00A16214"/>
    <w:rsid w:val="00A1631F"/>
    <w:rsid w:val="00A1634F"/>
    <w:rsid w:val="00A16362"/>
    <w:rsid w:val="00A163F4"/>
    <w:rsid w:val="00A16498"/>
    <w:rsid w:val="00A164FB"/>
    <w:rsid w:val="00A16557"/>
    <w:rsid w:val="00A165C6"/>
    <w:rsid w:val="00A1665E"/>
    <w:rsid w:val="00A166F7"/>
    <w:rsid w:val="00A166FD"/>
    <w:rsid w:val="00A1670E"/>
    <w:rsid w:val="00A16750"/>
    <w:rsid w:val="00A16AA6"/>
    <w:rsid w:val="00A16C35"/>
    <w:rsid w:val="00A16D23"/>
    <w:rsid w:val="00A16D5C"/>
    <w:rsid w:val="00A16DAD"/>
    <w:rsid w:val="00A16F87"/>
    <w:rsid w:val="00A1701E"/>
    <w:rsid w:val="00A171A7"/>
    <w:rsid w:val="00A1743B"/>
    <w:rsid w:val="00A1747A"/>
    <w:rsid w:val="00A17521"/>
    <w:rsid w:val="00A1757D"/>
    <w:rsid w:val="00A1758B"/>
    <w:rsid w:val="00A17626"/>
    <w:rsid w:val="00A17682"/>
    <w:rsid w:val="00A176D9"/>
    <w:rsid w:val="00A176E5"/>
    <w:rsid w:val="00A176F0"/>
    <w:rsid w:val="00A17704"/>
    <w:rsid w:val="00A177C7"/>
    <w:rsid w:val="00A177CD"/>
    <w:rsid w:val="00A177F1"/>
    <w:rsid w:val="00A1793D"/>
    <w:rsid w:val="00A1794A"/>
    <w:rsid w:val="00A179C0"/>
    <w:rsid w:val="00A179C2"/>
    <w:rsid w:val="00A17A41"/>
    <w:rsid w:val="00A17A68"/>
    <w:rsid w:val="00A17A87"/>
    <w:rsid w:val="00A17AAF"/>
    <w:rsid w:val="00A17B31"/>
    <w:rsid w:val="00A17BCF"/>
    <w:rsid w:val="00A17BFF"/>
    <w:rsid w:val="00A17C30"/>
    <w:rsid w:val="00A17CF9"/>
    <w:rsid w:val="00A17ED4"/>
    <w:rsid w:val="00A17EF4"/>
    <w:rsid w:val="00A17F71"/>
    <w:rsid w:val="00A17FA3"/>
    <w:rsid w:val="00A20068"/>
    <w:rsid w:val="00A200B4"/>
    <w:rsid w:val="00A2015D"/>
    <w:rsid w:val="00A20179"/>
    <w:rsid w:val="00A20181"/>
    <w:rsid w:val="00A201DE"/>
    <w:rsid w:val="00A2020A"/>
    <w:rsid w:val="00A20230"/>
    <w:rsid w:val="00A20254"/>
    <w:rsid w:val="00A2071D"/>
    <w:rsid w:val="00A207AB"/>
    <w:rsid w:val="00A207DE"/>
    <w:rsid w:val="00A207E6"/>
    <w:rsid w:val="00A20861"/>
    <w:rsid w:val="00A2087A"/>
    <w:rsid w:val="00A2089F"/>
    <w:rsid w:val="00A208A4"/>
    <w:rsid w:val="00A208BE"/>
    <w:rsid w:val="00A2097E"/>
    <w:rsid w:val="00A20A32"/>
    <w:rsid w:val="00A20ABB"/>
    <w:rsid w:val="00A20AC2"/>
    <w:rsid w:val="00A20AD8"/>
    <w:rsid w:val="00A20AEE"/>
    <w:rsid w:val="00A20BE6"/>
    <w:rsid w:val="00A20BF5"/>
    <w:rsid w:val="00A20C3F"/>
    <w:rsid w:val="00A20D3E"/>
    <w:rsid w:val="00A20D65"/>
    <w:rsid w:val="00A20DA2"/>
    <w:rsid w:val="00A20E15"/>
    <w:rsid w:val="00A20E3A"/>
    <w:rsid w:val="00A20EE2"/>
    <w:rsid w:val="00A210C4"/>
    <w:rsid w:val="00A21112"/>
    <w:rsid w:val="00A21123"/>
    <w:rsid w:val="00A211C4"/>
    <w:rsid w:val="00A211EC"/>
    <w:rsid w:val="00A2124F"/>
    <w:rsid w:val="00A21272"/>
    <w:rsid w:val="00A2135F"/>
    <w:rsid w:val="00A21366"/>
    <w:rsid w:val="00A2136B"/>
    <w:rsid w:val="00A21384"/>
    <w:rsid w:val="00A213A6"/>
    <w:rsid w:val="00A213F7"/>
    <w:rsid w:val="00A213FA"/>
    <w:rsid w:val="00A214D0"/>
    <w:rsid w:val="00A21516"/>
    <w:rsid w:val="00A21556"/>
    <w:rsid w:val="00A21567"/>
    <w:rsid w:val="00A21749"/>
    <w:rsid w:val="00A21761"/>
    <w:rsid w:val="00A21784"/>
    <w:rsid w:val="00A21820"/>
    <w:rsid w:val="00A21889"/>
    <w:rsid w:val="00A21891"/>
    <w:rsid w:val="00A219CF"/>
    <w:rsid w:val="00A21A4D"/>
    <w:rsid w:val="00A21A7D"/>
    <w:rsid w:val="00A21AEF"/>
    <w:rsid w:val="00A21AF7"/>
    <w:rsid w:val="00A21B3C"/>
    <w:rsid w:val="00A21BF1"/>
    <w:rsid w:val="00A21C26"/>
    <w:rsid w:val="00A21CDF"/>
    <w:rsid w:val="00A21D23"/>
    <w:rsid w:val="00A21E0B"/>
    <w:rsid w:val="00A21E5A"/>
    <w:rsid w:val="00A21EA0"/>
    <w:rsid w:val="00A21F54"/>
    <w:rsid w:val="00A21F59"/>
    <w:rsid w:val="00A21F74"/>
    <w:rsid w:val="00A21FB3"/>
    <w:rsid w:val="00A22008"/>
    <w:rsid w:val="00A22026"/>
    <w:rsid w:val="00A22027"/>
    <w:rsid w:val="00A22109"/>
    <w:rsid w:val="00A22142"/>
    <w:rsid w:val="00A221B9"/>
    <w:rsid w:val="00A221E4"/>
    <w:rsid w:val="00A22283"/>
    <w:rsid w:val="00A22284"/>
    <w:rsid w:val="00A222DE"/>
    <w:rsid w:val="00A2235F"/>
    <w:rsid w:val="00A223AE"/>
    <w:rsid w:val="00A223BE"/>
    <w:rsid w:val="00A22405"/>
    <w:rsid w:val="00A225AC"/>
    <w:rsid w:val="00A22679"/>
    <w:rsid w:val="00A22713"/>
    <w:rsid w:val="00A22721"/>
    <w:rsid w:val="00A22746"/>
    <w:rsid w:val="00A2275A"/>
    <w:rsid w:val="00A22809"/>
    <w:rsid w:val="00A229EB"/>
    <w:rsid w:val="00A22A85"/>
    <w:rsid w:val="00A22B36"/>
    <w:rsid w:val="00A22BE4"/>
    <w:rsid w:val="00A22C42"/>
    <w:rsid w:val="00A22C56"/>
    <w:rsid w:val="00A22D1C"/>
    <w:rsid w:val="00A22D4E"/>
    <w:rsid w:val="00A22DFF"/>
    <w:rsid w:val="00A22E43"/>
    <w:rsid w:val="00A22EAC"/>
    <w:rsid w:val="00A22EB6"/>
    <w:rsid w:val="00A22EB9"/>
    <w:rsid w:val="00A22F0F"/>
    <w:rsid w:val="00A2306A"/>
    <w:rsid w:val="00A23083"/>
    <w:rsid w:val="00A23102"/>
    <w:rsid w:val="00A23107"/>
    <w:rsid w:val="00A2312D"/>
    <w:rsid w:val="00A23177"/>
    <w:rsid w:val="00A231D0"/>
    <w:rsid w:val="00A23205"/>
    <w:rsid w:val="00A23263"/>
    <w:rsid w:val="00A233A1"/>
    <w:rsid w:val="00A233EE"/>
    <w:rsid w:val="00A234C0"/>
    <w:rsid w:val="00A234C9"/>
    <w:rsid w:val="00A2350F"/>
    <w:rsid w:val="00A23550"/>
    <w:rsid w:val="00A23560"/>
    <w:rsid w:val="00A23617"/>
    <w:rsid w:val="00A23643"/>
    <w:rsid w:val="00A23688"/>
    <w:rsid w:val="00A236CC"/>
    <w:rsid w:val="00A2375D"/>
    <w:rsid w:val="00A237EC"/>
    <w:rsid w:val="00A2382B"/>
    <w:rsid w:val="00A238C8"/>
    <w:rsid w:val="00A238D1"/>
    <w:rsid w:val="00A23901"/>
    <w:rsid w:val="00A23956"/>
    <w:rsid w:val="00A239E1"/>
    <w:rsid w:val="00A23A71"/>
    <w:rsid w:val="00A23B13"/>
    <w:rsid w:val="00A23B6F"/>
    <w:rsid w:val="00A23C11"/>
    <w:rsid w:val="00A23C4C"/>
    <w:rsid w:val="00A23CB5"/>
    <w:rsid w:val="00A23CD7"/>
    <w:rsid w:val="00A23DC3"/>
    <w:rsid w:val="00A23DE3"/>
    <w:rsid w:val="00A23E0D"/>
    <w:rsid w:val="00A23E9F"/>
    <w:rsid w:val="00A23EC6"/>
    <w:rsid w:val="00A23ED0"/>
    <w:rsid w:val="00A23EE1"/>
    <w:rsid w:val="00A23F0D"/>
    <w:rsid w:val="00A24027"/>
    <w:rsid w:val="00A24085"/>
    <w:rsid w:val="00A2409F"/>
    <w:rsid w:val="00A240C7"/>
    <w:rsid w:val="00A2416B"/>
    <w:rsid w:val="00A24288"/>
    <w:rsid w:val="00A244E7"/>
    <w:rsid w:val="00A244FD"/>
    <w:rsid w:val="00A24518"/>
    <w:rsid w:val="00A2453E"/>
    <w:rsid w:val="00A245B4"/>
    <w:rsid w:val="00A245CA"/>
    <w:rsid w:val="00A24678"/>
    <w:rsid w:val="00A24694"/>
    <w:rsid w:val="00A246A1"/>
    <w:rsid w:val="00A246D6"/>
    <w:rsid w:val="00A246E1"/>
    <w:rsid w:val="00A246E5"/>
    <w:rsid w:val="00A24775"/>
    <w:rsid w:val="00A247ED"/>
    <w:rsid w:val="00A24804"/>
    <w:rsid w:val="00A24911"/>
    <w:rsid w:val="00A249F1"/>
    <w:rsid w:val="00A24A4E"/>
    <w:rsid w:val="00A24AE6"/>
    <w:rsid w:val="00A24B46"/>
    <w:rsid w:val="00A24B6D"/>
    <w:rsid w:val="00A24B7A"/>
    <w:rsid w:val="00A24CFC"/>
    <w:rsid w:val="00A24D58"/>
    <w:rsid w:val="00A24DDF"/>
    <w:rsid w:val="00A24DE8"/>
    <w:rsid w:val="00A24E43"/>
    <w:rsid w:val="00A24EB3"/>
    <w:rsid w:val="00A24EE5"/>
    <w:rsid w:val="00A24F4B"/>
    <w:rsid w:val="00A24F7C"/>
    <w:rsid w:val="00A24FC7"/>
    <w:rsid w:val="00A24FCE"/>
    <w:rsid w:val="00A250A7"/>
    <w:rsid w:val="00A250C1"/>
    <w:rsid w:val="00A251E0"/>
    <w:rsid w:val="00A25207"/>
    <w:rsid w:val="00A2521E"/>
    <w:rsid w:val="00A25307"/>
    <w:rsid w:val="00A2531C"/>
    <w:rsid w:val="00A25349"/>
    <w:rsid w:val="00A25370"/>
    <w:rsid w:val="00A25383"/>
    <w:rsid w:val="00A25441"/>
    <w:rsid w:val="00A254C5"/>
    <w:rsid w:val="00A2553D"/>
    <w:rsid w:val="00A255F7"/>
    <w:rsid w:val="00A256A1"/>
    <w:rsid w:val="00A256F7"/>
    <w:rsid w:val="00A25738"/>
    <w:rsid w:val="00A257BC"/>
    <w:rsid w:val="00A257E8"/>
    <w:rsid w:val="00A25878"/>
    <w:rsid w:val="00A2593A"/>
    <w:rsid w:val="00A25A38"/>
    <w:rsid w:val="00A25A99"/>
    <w:rsid w:val="00A25ABE"/>
    <w:rsid w:val="00A25CD5"/>
    <w:rsid w:val="00A25E94"/>
    <w:rsid w:val="00A25EC1"/>
    <w:rsid w:val="00A25EF9"/>
    <w:rsid w:val="00A25F44"/>
    <w:rsid w:val="00A260C9"/>
    <w:rsid w:val="00A2611A"/>
    <w:rsid w:val="00A26126"/>
    <w:rsid w:val="00A26144"/>
    <w:rsid w:val="00A261AA"/>
    <w:rsid w:val="00A261F4"/>
    <w:rsid w:val="00A26380"/>
    <w:rsid w:val="00A2639F"/>
    <w:rsid w:val="00A263DB"/>
    <w:rsid w:val="00A26416"/>
    <w:rsid w:val="00A26433"/>
    <w:rsid w:val="00A2652D"/>
    <w:rsid w:val="00A26620"/>
    <w:rsid w:val="00A26667"/>
    <w:rsid w:val="00A2666D"/>
    <w:rsid w:val="00A26672"/>
    <w:rsid w:val="00A266A3"/>
    <w:rsid w:val="00A266C0"/>
    <w:rsid w:val="00A26777"/>
    <w:rsid w:val="00A267FB"/>
    <w:rsid w:val="00A2680A"/>
    <w:rsid w:val="00A2681D"/>
    <w:rsid w:val="00A26883"/>
    <w:rsid w:val="00A268D5"/>
    <w:rsid w:val="00A2691F"/>
    <w:rsid w:val="00A269A0"/>
    <w:rsid w:val="00A26A11"/>
    <w:rsid w:val="00A26AC5"/>
    <w:rsid w:val="00A26AD9"/>
    <w:rsid w:val="00A26BFB"/>
    <w:rsid w:val="00A26C0B"/>
    <w:rsid w:val="00A26C80"/>
    <w:rsid w:val="00A26C87"/>
    <w:rsid w:val="00A26E3B"/>
    <w:rsid w:val="00A26E43"/>
    <w:rsid w:val="00A26EDA"/>
    <w:rsid w:val="00A26EDD"/>
    <w:rsid w:val="00A26EF5"/>
    <w:rsid w:val="00A26F1C"/>
    <w:rsid w:val="00A26FBE"/>
    <w:rsid w:val="00A26FCA"/>
    <w:rsid w:val="00A26FDD"/>
    <w:rsid w:val="00A26FF6"/>
    <w:rsid w:val="00A2707D"/>
    <w:rsid w:val="00A270C1"/>
    <w:rsid w:val="00A270D1"/>
    <w:rsid w:val="00A2716E"/>
    <w:rsid w:val="00A27171"/>
    <w:rsid w:val="00A271B9"/>
    <w:rsid w:val="00A271FA"/>
    <w:rsid w:val="00A272B4"/>
    <w:rsid w:val="00A272B8"/>
    <w:rsid w:val="00A2738F"/>
    <w:rsid w:val="00A273AD"/>
    <w:rsid w:val="00A2742B"/>
    <w:rsid w:val="00A27431"/>
    <w:rsid w:val="00A2746E"/>
    <w:rsid w:val="00A274D7"/>
    <w:rsid w:val="00A27533"/>
    <w:rsid w:val="00A27691"/>
    <w:rsid w:val="00A27752"/>
    <w:rsid w:val="00A27795"/>
    <w:rsid w:val="00A27874"/>
    <w:rsid w:val="00A27892"/>
    <w:rsid w:val="00A278AD"/>
    <w:rsid w:val="00A27916"/>
    <w:rsid w:val="00A2792C"/>
    <w:rsid w:val="00A27B17"/>
    <w:rsid w:val="00A27B98"/>
    <w:rsid w:val="00A27C05"/>
    <w:rsid w:val="00A27C9C"/>
    <w:rsid w:val="00A27CB6"/>
    <w:rsid w:val="00A27CC3"/>
    <w:rsid w:val="00A27D4D"/>
    <w:rsid w:val="00A27EDA"/>
    <w:rsid w:val="00A27F9E"/>
    <w:rsid w:val="00A27FCC"/>
    <w:rsid w:val="00A30067"/>
    <w:rsid w:val="00A300A7"/>
    <w:rsid w:val="00A30129"/>
    <w:rsid w:val="00A30252"/>
    <w:rsid w:val="00A302EC"/>
    <w:rsid w:val="00A3030B"/>
    <w:rsid w:val="00A30343"/>
    <w:rsid w:val="00A3048F"/>
    <w:rsid w:val="00A304A2"/>
    <w:rsid w:val="00A304D3"/>
    <w:rsid w:val="00A304FE"/>
    <w:rsid w:val="00A30688"/>
    <w:rsid w:val="00A30699"/>
    <w:rsid w:val="00A3074E"/>
    <w:rsid w:val="00A30784"/>
    <w:rsid w:val="00A307A3"/>
    <w:rsid w:val="00A3083E"/>
    <w:rsid w:val="00A30880"/>
    <w:rsid w:val="00A308D0"/>
    <w:rsid w:val="00A30915"/>
    <w:rsid w:val="00A30937"/>
    <w:rsid w:val="00A3094C"/>
    <w:rsid w:val="00A309D0"/>
    <w:rsid w:val="00A309DF"/>
    <w:rsid w:val="00A30A1D"/>
    <w:rsid w:val="00A30B1C"/>
    <w:rsid w:val="00A30B32"/>
    <w:rsid w:val="00A30C25"/>
    <w:rsid w:val="00A30C37"/>
    <w:rsid w:val="00A30C6D"/>
    <w:rsid w:val="00A30CCC"/>
    <w:rsid w:val="00A30D14"/>
    <w:rsid w:val="00A30E00"/>
    <w:rsid w:val="00A30E4B"/>
    <w:rsid w:val="00A30E67"/>
    <w:rsid w:val="00A30F76"/>
    <w:rsid w:val="00A30FA8"/>
    <w:rsid w:val="00A31083"/>
    <w:rsid w:val="00A310BA"/>
    <w:rsid w:val="00A310D6"/>
    <w:rsid w:val="00A310E6"/>
    <w:rsid w:val="00A310EB"/>
    <w:rsid w:val="00A31114"/>
    <w:rsid w:val="00A3113F"/>
    <w:rsid w:val="00A31142"/>
    <w:rsid w:val="00A31169"/>
    <w:rsid w:val="00A3119B"/>
    <w:rsid w:val="00A311BF"/>
    <w:rsid w:val="00A311D4"/>
    <w:rsid w:val="00A311EA"/>
    <w:rsid w:val="00A31253"/>
    <w:rsid w:val="00A3125A"/>
    <w:rsid w:val="00A3130E"/>
    <w:rsid w:val="00A3133B"/>
    <w:rsid w:val="00A31364"/>
    <w:rsid w:val="00A3139A"/>
    <w:rsid w:val="00A313EC"/>
    <w:rsid w:val="00A313EF"/>
    <w:rsid w:val="00A31556"/>
    <w:rsid w:val="00A315EE"/>
    <w:rsid w:val="00A3162D"/>
    <w:rsid w:val="00A3165E"/>
    <w:rsid w:val="00A31671"/>
    <w:rsid w:val="00A316E3"/>
    <w:rsid w:val="00A3177F"/>
    <w:rsid w:val="00A317A0"/>
    <w:rsid w:val="00A317F3"/>
    <w:rsid w:val="00A31895"/>
    <w:rsid w:val="00A318DC"/>
    <w:rsid w:val="00A3196A"/>
    <w:rsid w:val="00A3197E"/>
    <w:rsid w:val="00A319AF"/>
    <w:rsid w:val="00A319F4"/>
    <w:rsid w:val="00A31A9C"/>
    <w:rsid w:val="00A31AC9"/>
    <w:rsid w:val="00A31AF0"/>
    <w:rsid w:val="00A31AF8"/>
    <w:rsid w:val="00A31B80"/>
    <w:rsid w:val="00A31D3C"/>
    <w:rsid w:val="00A31D42"/>
    <w:rsid w:val="00A31D54"/>
    <w:rsid w:val="00A31DB8"/>
    <w:rsid w:val="00A31E3A"/>
    <w:rsid w:val="00A31EAE"/>
    <w:rsid w:val="00A31EDE"/>
    <w:rsid w:val="00A31FB3"/>
    <w:rsid w:val="00A3204C"/>
    <w:rsid w:val="00A32067"/>
    <w:rsid w:val="00A320DC"/>
    <w:rsid w:val="00A32198"/>
    <w:rsid w:val="00A32227"/>
    <w:rsid w:val="00A32256"/>
    <w:rsid w:val="00A322EA"/>
    <w:rsid w:val="00A322F2"/>
    <w:rsid w:val="00A3231E"/>
    <w:rsid w:val="00A32326"/>
    <w:rsid w:val="00A3234E"/>
    <w:rsid w:val="00A3235A"/>
    <w:rsid w:val="00A323D5"/>
    <w:rsid w:val="00A32444"/>
    <w:rsid w:val="00A324B9"/>
    <w:rsid w:val="00A324E8"/>
    <w:rsid w:val="00A3256B"/>
    <w:rsid w:val="00A3262D"/>
    <w:rsid w:val="00A326E2"/>
    <w:rsid w:val="00A32762"/>
    <w:rsid w:val="00A32851"/>
    <w:rsid w:val="00A32905"/>
    <w:rsid w:val="00A32923"/>
    <w:rsid w:val="00A32986"/>
    <w:rsid w:val="00A32A47"/>
    <w:rsid w:val="00A32A99"/>
    <w:rsid w:val="00A32BCB"/>
    <w:rsid w:val="00A32BDD"/>
    <w:rsid w:val="00A32CB5"/>
    <w:rsid w:val="00A32CC5"/>
    <w:rsid w:val="00A32E6F"/>
    <w:rsid w:val="00A32F01"/>
    <w:rsid w:val="00A32F61"/>
    <w:rsid w:val="00A33002"/>
    <w:rsid w:val="00A3303C"/>
    <w:rsid w:val="00A3304F"/>
    <w:rsid w:val="00A330C2"/>
    <w:rsid w:val="00A331C6"/>
    <w:rsid w:val="00A3328C"/>
    <w:rsid w:val="00A332B1"/>
    <w:rsid w:val="00A333B0"/>
    <w:rsid w:val="00A33433"/>
    <w:rsid w:val="00A33448"/>
    <w:rsid w:val="00A334E5"/>
    <w:rsid w:val="00A33568"/>
    <w:rsid w:val="00A3361A"/>
    <w:rsid w:val="00A336D8"/>
    <w:rsid w:val="00A33867"/>
    <w:rsid w:val="00A338A1"/>
    <w:rsid w:val="00A33916"/>
    <w:rsid w:val="00A33917"/>
    <w:rsid w:val="00A339F4"/>
    <w:rsid w:val="00A33A88"/>
    <w:rsid w:val="00A33B2F"/>
    <w:rsid w:val="00A33B59"/>
    <w:rsid w:val="00A33B73"/>
    <w:rsid w:val="00A33C6E"/>
    <w:rsid w:val="00A33C8D"/>
    <w:rsid w:val="00A33C91"/>
    <w:rsid w:val="00A33D36"/>
    <w:rsid w:val="00A33DB1"/>
    <w:rsid w:val="00A33F28"/>
    <w:rsid w:val="00A34122"/>
    <w:rsid w:val="00A3416F"/>
    <w:rsid w:val="00A3427B"/>
    <w:rsid w:val="00A343F9"/>
    <w:rsid w:val="00A343FF"/>
    <w:rsid w:val="00A3442C"/>
    <w:rsid w:val="00A34566"/>
    <w:rsid w:val="00A345ED"/>
    <w:rsid w:val="00A34645"/>
    <w:rsid w:val="00A34659"/>
    <w:rsid w:val="00A34681"/>
    <w:rsid w:val="00A34691"/>
    <w:rsid w:val="00A346B7"/>
    <w:rsid w:val="00A3471D"/>
    <w:rsid w:val="00A3480C"/>
    <w:rsid w:val="00A3481C"/>
    <w:rsid w:val="00A3486E"/>
    <w:rsid w:val="00A348AB"/>
    <w:rsid w:val="00A349E0"/>
    <w:rsid w:val="00A349F5"/>
    <w:rsid w:val="00A34A8F"/>
    <w:rsid w:val="00A34AA4"/>
    <w:rsid w:val="00A34ABB"/>
    <w:rsid w:val="00A34ABE"/>
    <w:rsid w:val="00A34AD9"/>
    <w:rsid w:val="00A34C52"/>
    <w:rsid w:val="00A34C85"/>
    <w:rsid w:val="00A34E03"/>
    <w:rsid w:val="00A34F1E"/>
    <w:rsid w:val="00A34FD6"/>
    <w:rsid w:val="00A3506B"/>
    <w:rsid w:val="00A350C0"/>
    <w:rsid w:val="00A350C6"/>
    <w:rsid w:val="00A350CE"/>
    <w:rsid w:val="00A350ED"/>
    <w:rsid w:val="00A3518A"/>
    <w:rsid w:val="00A351AF"/>
    <w:rsid w:val="00A3524E"/>
    <w:rsid w:val="00A35359"/>
    <w:rsid w:val="00A3539E"/>
    <w:rsid w:val="00A353E9"/>
    <w:rsid w:val="00A35429"/>
    <w:rsid w:val="00A35488"/>
    <w:rsid w:val="00A3548F"/>
    <w:rsid w:val="00A35491"/>
    <w:rsid w:val="00A354BD"/>
    <w:rsid w:val="00A35538"/>
    <w:rsid w:val="00A35543"/>
    <w:rsid w:val="00A3566B"/>
    <w:rsid w:val="00A357DD"/>
    <w:rsid w:val="00A35817"/>
    <w:rsid w:val="00A358E1"/>
    <w:rsid w:val="00A35A8E"/>
    <w:rsid w:val="00A35AE6"/>
    <w:rsid w:val="00A35AFE"/>
    <w:rsid w:val="00A35BF1"/>
    <w:rsid w:val="00A35C35"/>
    <w:rsid w:val="00A35D22"/>
    <w:rsid w:val="00A35DDE"/>
    <w:rsid w:val="00A35E17"/>
    <w:rsid w:val="00A35E3E"/>
    <w:rsid w:val="00A35EB4"/>
    <w:rsid w:val="00A35FDC"/>
    <w:rsid w:val="00A36014"/>
    <w:rsid w:val="00A360F7"/>
    <w:rsid w:val="00A3623D"/>
    <w:rsid w:val="00A36271"/>
    <w:rsid w:val="00A36274"/>
    <w:rsid w:val="00A362A1"/>
    <w:rsid w:val="00A36373"/>
    <w:rsid w:val="00A3637F"/>
    <w:rsid w:val="00A363E5"/>
    <w:rsid w:val="00A36589"/>
    <w:rsid w:val="00A3666C"/>
    <w:rsid w:val="00A366FC"/>
    <w:rsid w:val="00A36813"/>
    <w:rsid w:val="00A36926"/>
    <w:rsid w:val="00A3692A"/>
    <w:rsid w:val="00A36AB5"/>
    <w:rsid w:val="00A36B0E"/>
    <w:rsid w:val="00A36C30"/>
    <w:rsid w:val="00A36C32"/>
    <w:rsid w:val="00A36D9E"/>
    <w:rsid w:val="00A36DB0"/>
    <w:rsid w:val="00A36DC1"/>
    <w:rsid w:val="00A36F61"/>
    <w:rsid w:val="00A36F66"/>
    <w:rsid w:val="00A37104"/>
    <w:rsid w:val="00A37215"/>
    <w:rsid w:val="00A37234"/>
    <w:rsid w:val="00A3723C"/>
    <w:rsid w:val="00A372A6"/>
    <w:rsid w:val="00A3732A"/>
    <w:rsid w:val="00A37453"/>
    <w:rsid w:val="00A37460"/>
    <w:rsid w:val="00A37494"/>
    <w:rsid w:val="00A374AE"/>
    <w:rsid w:val="00A374F5"/>
    <w:rsid w:val="00A375D3"/>
    <w:rsid w:val="00A375EA"/>
    <w:rsid w:val="00A37616"/>
    <w:rsid w:val="00A37617"/>
    <w:rsid w:val="00A3762B"/>
    <w:rsid w:val="00A3765E"/>
    <w:rsid w:val="00A37687"/>
    <w:rsid w:val="00A37776"/>
    <w:rsid w:val="00A3788C"/>
    <w:rsid w:val="00A378A9"/>
    <w:rsid w:val="00A3795C"/>
    <w:rsid w:val="00A379AE"/>
    <w:rsid w:val="00A37A00"/>
    <w:rsid w:val="00A37ADC"/>
    <w:rsid w:val="00A37B2D"/>
    <w:rsid w:val="00A37D8F"/>
    <w:rsid w:val="00A37DE4"/>
    <w:rsid w:val="00A37E8A"/>
    <w:rsid w:val="00A37EB5"/>
    <w:rsid w:val="00A37EE9"/>
    <w:rsid w:val="00A37EEF"/>
    <w:rsid w:val="00A37F99"/>
    <w:rsid w:val="00A401B2"/>
    <w:rsid w:val="00A401C1"/>
    <w:rsid w:val="00A401EF"/>
    <w:rsid w:val="00A40294"/>
    <w:rsid w:val="00A402CA"/>
    <w:rsid w:val="00A402E8"/>
    <w:rsid w:val="00A4033A"/>
    <w:rsid w:val="00A40469"/>
    <w:rsid w:val="00A4055E"/>
    <w:rsid w:val="00A40617"/>
    <w:rsid w:val="00A40645"/>
    <w:rsid w:val="00A40704"/>
    <w:rsid w:val="00A40727"/>
    <w:rsid w:val="00A40803"/>
    <w:rsid w:val="00A408C5"/>
    <w:rsid w:val="00A408E7"/>
    <w:rsid w:val="00A408F0"/>
    <w:rsid w:val="00A408F7"/>
    <w:rsid w:val="00A40903"/>
    <w:rsid w:val="00A40909"/>
    <w:rsid w:val="00A40911"/>
    <w:rsid w:val="00A40972"/>
    <w:rsid w:val="00A40A6E"/>
    <w:rsid w:val="00A40A8B"/>
    <w:rsid w:val="00A40AF1"/>
    <w:rsid w:val="00A40B17"/>
    <w:rsid w:val="00A40B4C"/>
    <w:rsid w:val="00A40B8D"/>
    <w:rsid w:val="00A40BC5"/>
    <w:rsid w:val="00A40C0E"/>
    <w:rsid w:val="00A40CA6"/>
    <w:rsid w:val="00A40CE0"/>
    <w:rsid w:val="00A40D13"/>
    <w:rsid w:val="00A40D38"/>
    <w:rsid w:val="00A40DF8"/>
    <w:rsid w:val="00A40E43"/>
    <w:rsid w:val="00A40E96"/>
    <w:rsid w:val="00A40EA0"/>
    <w:rsid w:val="00A40F95"/>
    <w:rsid w:val="00A40FCB"/>
    <w:rsid w:val="00A41083"/>
    <w:rsid w:val="00A410A8"/>
    <w:rsid w:val="00A410B7"/>
    <w:rsid w:val="00A410CC"/>
    <w:rsid w:val="00A41168"/>
    <w:rsid w:val="00A4119C"/>
    <w:rsid w:val="00A411B0"/>
    <w:rsid w:val="00A4120D"/>
    <w:rsid w:val="00A413A0"/>
    <w:rsid w:val="00A413C1"/>
    <w:rsid w:val="00A414CC"/>
    <w:rsid w:val="00A415AF"/>
    <w:rsid w:val="00A415CE"/>
    <w:rsid w:val="00A415D1"/>
    <w:rsid w:val="00A415FF"/>
    <w:rsid w:val="00A4163B"/>
    <w:rsid w:val="00A41661"/>
    <w:rsid w:val="00A4174E"/>
    <w:rsid w:val="00A4182B"/>
    <w:rsid w:val="00A4186A"/>
    <w:rsid w:val="00A418BD"/>
    <w:rsid w:val="00A418C9"/>
    <w:rsid w:val="00A418D2"/>
    <w:rsid w:val="00A41A53"/>
    <w:rsid w:val="00A41A87"/>
    <w:rsid w:val="00A41A9C"/>
    <w:rsid w:val="00A41ACD"/>
    <w:rsid w:val="00A41B04"/>
    <w:rsid w:val="00A41B7D"/>
    <w:rsid w:val="00A41BE1"/>
    <w:rsid w:val="00A41C01"/>
    <w:rsid w:val="00A41C96"/>
    <w:rsid w:val="00A41D22"/>
    <w:rsid w:val="00A41D5A"/>
    <w:rsid w:val="00A41D8F"/>
    <w:rsid w:val="00A41D95"/>
    <w:rsid w:val="00A41DA8"/>
    <w:rsid w:val="00A41DB2"/>
    <w:rsid w:val="00A41DD9"/>
    <w:rsid w:val="00A41E70"/>
    <w:rsid w:val="00A41EAD"/>
    <w:rsid w:val="00A42076"/>
    <w:rsid w:val="00A42145"/>
    <w:rsid w:val="00A42261"/>
    <w:rsid w:val="00A42279"/>
    <w:rsid w:val="00A422C1"/>
    <w:rsid w:val="00A423F2"/>
    <w:rsid w:val="00A4244D"/>
    <w:rsid w:val="00A4251D"/>
    <w:rsid w:val="00A42566"/>
    <w:rsid w:val="00A42573"/>
    <w:rsid w:val="00A42641"/>
    <w:rsid w:val="00A426A0"/>
    <w:rsid w:val="00A426BC"/>
    <w:rsid w:val="00A426FF"/>
    <w:rsid w:val="00A4274E"/>
    <w:rsid w:val="00A4279D"/>
    <w:rsid w:val="00A427D2"/>
    <w:rsid w:val="00A428FC"/>
    <w:rsid w:val="00A4296C"/>
    <w:rsid w:val="00A42989"/>
    <w:rsid w:val="00A429B6"/>
    <w:rsid w:val="00A429C3"/>
    <w:rsid w:val="00A42A35"/>
    <w:rsid w:val="00A42AC6"/>
    <w:rsid w:val="00A42B71"/>
    <w:rsid w:val="00A42BEF"/>
    <w:rsid w:val="00A42C2F"/>
    <w:rsid w:val="00A42D18"/>
    <w:rsid w:val="00A42D36"/>
    <w:rsid w:val="00A42DBB"/>
    <w:rsid w:val="00A42EBD"/>
    <w:rsid w:val="00A42F24"/>
    <w:rsid w:val="00A42FEB"/>
    <w:rsid w:val="00A4300E"/>
    <w:rsid w:val="00A430D8"/>
    <w:rsid w:val="00A431E4"/>
    <w:rsid w:val="00A43269"/>
    <w:rsid w:val="00A432C5"/>
    <w:rsid w:val="00A43342"/>
    <w:rsid w:val="00A433A4"/>
    <w:rsid w:val="00A43444"/>
    <w:rsid w:val="00A43459"/>
    <w:rsid w:val="00A434C5"/>
    <w:rsid w:val="00A4367B"/>
    <w:rsid w:val="00A436C3"/>
    <w:rsid w:val="00A43761"/>
    <w:rsid w:val="00A43801"/>
    <w:rsid w:val="00A438E0"/>
    <w:rsid w:val="00A4394C"/>
    <w:rsid w:val="00A43985"/>
    <w:rsid w:val="00A43A9B"/>
    <w:rsid w:val="00A43B0F"/>
    <w:rsid w:val="00A43B6E"/>
    <w:rsid w:val="00A43B9C"/>
    <w:rsid w:val="00A43BAC"/>
    <w:rsid w:val="00A43BF4"/>
    <w:rsid w:val="00A43C3B"/>
    <w:rsid w:val="00A43E6E"/>
    <w:rsid w:val="00A43E87"/>
    <w:rsid w:val="00A43EBF"/>
    <w:rsid w:val="00A43F53"/>
    <w:rsid w:val="00A43FCB"/>
    <w:rsid w:val="00A44111"/>
    <w:rsid w:val="00A44161"/>
    <w:rsid w:val="00A44188"/>
    <w:rsid w:val="00A441EF"/>
    <w:rsid w:val="00A443BA"/>
    <w:rsid w:val="00A444E7"/>
    <w:rsid w:val="00A44515"/>
    <w:rsid w:val="00A4454E"/>
    <w:rsid w:val="00A445BA"/>
    <w:rsid w:val="00A445D1"/>
    <w:rsid w:val="00A4460A"/>
    <w:rsid w:val="00A446BF"/>
    <w:rsid w:val="00A44724"/>
    <w:rsid w:val="00A44762"/>
    <w:rsid w:val="00A44891"/>
    <w:rsid w:val="00A44923"/>
    <w:rsid w:val="00A44930"/>
    <w:rsid w:val="00A44B3D"/>
    <w:rsid w:val="00A44BE5"/>
    <w:rsid w:val="00A44C1D"/>
    <w:rsid w:val="00A44C66"/>
    <w:rsid w:val="00A44CF2"/>
    <w:rsid w:val="00A44D27"/>
    <w:rsid w:val="00A44DE5"/>
    <w:rsid w:val="00A44E42"/>
    <w:rsid w:val="00A44E6F"/>
    <w:rsid w:val="00A44ED1"/>
    <w:rsid w:val="00A44EFA"/>
    <w:rsid w:val="00A44F72"/>
    <w:rsid w:val="00A4506B"/>
    <w:rsid w:val="00A45078"/>
    <w:rsid w:val="00A450A0"/>
    <w:rsid w:val="00A450E4"/>
    <w:rsid w:val="00A45126"/>
    <w:rsid w:val="00A45133"/>
    <w:rsid w:val="00A45249"/>
    <w:rsid w:val="00A452AD"/>
    <w:rsid w:val="00A45312"/>
    <w:rsid w:val="00A453EC"/>
    <w:rsid w:val="00A45465"/>
    <w:rsid w:val="00A454B8"/>
    <w:rsid w:val="00A45525"/>
    <w:rsid w:val="00A45580"/>
    <w:rsid w:val="00A456A1"/>
    <w:rsid w:val="00A456B5"/>
    <w:rsid w:val="00A457B6"/>
    <w:rsid w:val="00A4591F"/>
    <w:rsid w:val="00A4594D"/>
    <w:rsid w:val="00A459B8"/>
    <w:rsid w:val="00A45ACA"/>
    <w:rsid w:val="00A45AF8"/>
    <w:rsid w:val="00A45B65"/>
    <w:rsid w:val="00A45C63"/>
    <w:rsid w:val="00A45D0D"/>
    <w:rsid w:val="00A45FDF"/>
    <w:rsid w:val="00A4607F"/>
    <w:rsid w:val="00A46100"/>
    <w:rsid w:val="00A46177"/>
    <w:rsid w:val="00A461CF"/>
    <w:rsid w:val="00A46200"/>
    <w:rsid w:val="00A46281"/>
    <w:rsid w:val="00A463FD"/>
    <w:rsid w:val="00A464E7"/>
    <w:rsid w:val="00A4653B"/>
    <w:rsid w:val="00A4661E"/>
    <w:rsid w:val="00A46672"/>
    <w:rsid w:val="00A466EE"/>
    <w:rsid w:val="00A468BF"/>
    <w:rsid w:val="00A4698A"/>
    <w:rsid w:val="00A46A1D"/>
    <w:rsid w:val="00A46A6B"/>
    <w:rsid w:val="00A46A98"/>
    <w:rsid w:val="00A46AAB"/>
    <w:rsid w:val="00A46C24"/>
    <w:rsid w:val="00A46DCB"/>
    <w:rsid w:val="00A46DF3"/>
    <w:rsid w:val="00A46E45"/>
    <w:rsid w:val="00A46EBB"/>
    <w:rsid w:val="00A46EF2"/>
    <w:rsid w:val="00A46F4F"/>
    <w:rsid w:val="00A46F53"/>
    <w:rsid w:val="00A46FB7"/>
    <w:rsid w:val="00A46FCE"/>
    <w:rsid w:val="00A46FF0"/>
    <w:rsid w:val="00A47030"/>
    <w:rsid w:val="00A470EE"/>
    <w:rsid w:val="00A4714D"/>
    <w:rsid w:val="00A4715E"/>
    <w:rsid w:val="00A4722D"/>
    <w:rsid w:val="00A47285"/>
    <w:rsid w:val="00A472AA"/>
    <w:rsid w:val="00A472BF"/>
    <w:rsid w:val="00A47301"/>
    <w:rsid w:val="00A47351"/>
    <w:rsid w:val="00A4738F"/>
    <w:rsid w:val="00A4741C"/>
    <w:rsid w:val="00A4748B"/>
    <w:rsid w:val="00A475EB"/>
    <w:rsid w:val="00A476A5"/>
    <w:rsid w:val="00A4776C"/>
    <w:rsid w:val="00A478D2"/>
    <w:rsid w:val="00A47907"/>
    <w:rsid w:val="00A47910"/>
    <w:rsid w:val="00A479D7"/>
    <w:rsid w:val="00A479DD"/>
    <w:rsid w:val="00A47A16"/>
    <w:rsid w:val="00A47BF4"/>
    <w:rsid w:val="00A47C33"/>
    <w:rsid w:val="00A47CA4"/>
    <w:rsid w:val="00A47CBC"/>
    <w:rsid w:val="00A47D2D"/>
    <w:rsid w:val="00A47D9F"/>
    <w:rsid w:val="00A47EF2"/>
    <w:rsid w:val="00A47F17"/>
    <w:rsid w:val="00A50000"/>
    <w:rsid w:val="00A50127"/>
    <w:rsid w:val="00A50162"/>
    <w:rsid w:val="00A502A2"/>
    <w:rsid w:val="00A502AB"/>
    <w:rsid w:val="00A502EF"/>
    <w:rsid w:val="00A5037F"/>
    <w:rsid w:val="00A50455"/>
    <w:rsid w:val="00A504B3"/>
    <w:rsid w:val="00A50596"/>
    <w:rsid w:val="00A505C4"/>
    <w:rsid w:val="00A50623"/>
    <w:rsid w:val="00A5066D"/>
    <w:rsid w:val="00A5070B"/>
    <w:rsid w:val="00A50794"/>
    <w:rsid w:val="00A507B5"/>
    <w:rsid w:val="00A507C0"/>
    <w:rsid w:val="00A50860"/>
    <w:rsid w:val="00A50998"/>
    <w:rsid w:val="00A50999"/>
    <w:rsid w:val="00A50B22"/>
    <w:rsid w:val="00A50B83"/>
    <w:rsid w:val="00A50BB7"/>
    <w:rsid w:val="00A50BD7"/>
    <w:rsid w:val="00A50C4B"/>
    <w:rsid w:val="00A50D11"/>
    <w:rsid w:val="00A50D6A"/>
    <w:rsid w:val="00A50E7B"/>
    <w:rsid w:val="00A50ECB"/>
    <w:rsid w:val="00A50ED5"/>
    <w:rsid w:val="00A50EF7"/>
    <w:rsid w:val="00A50F40"/>
    <w:rsid w:val="00A50F46"/>
    <w:rsid w:val="00A50FD5"/>
    <w:rsid w:val="00A5100E"/>
    <w:rsid w:val="00A51071"/>
    <w:rsid w:val="00A51109"/>
    <w:rsid w:val="00A5113E"/>
    <w:rsid w:val="00A511C7"/>
    <w:rsid w:val="00A511F2"/>
    <w:rsid w:val="00A511F6"/>
    <w:rsid w:val="00A5126F"/>
    <w:rsid w:val="00A51364"/>
    <w:rsid w:val="00A51396"/>
    <w:rsid w:val="00A513F2"/>
    <w:rsid w:val="00A51575"/>
    <w:rsid w:val="00A515BF"/>
    <w:rsid w:val="00A515C2"/>
    <w:rsid w:val="00A5169C"/>
    <w:rsid w:val="00A5179B"/>
    <w:rsid w:val="00A5185B"/>
    <w:rsid w:val="00A5186D"/>
    <w:rsid w:val="00A519F9"/>
    <w:rsid w:val="00A51A13"/>
    <w:rsid w:val="00A51A2F"/>
    <w:rsid w:val="00A51B3D"/>
    <w:rsid w:val="00A51BA4"/>
    <w:rsid w:val="00A51C0A"/>
    <w:rsid w:val="00A51D26"/>
    <w:rsid w:val="00A51DFC"/>
    <w:rsid w:val="00A51E89"/>
    <w:rsid w:val="00A51E95"/>
    <w:rsid w:val="00A51EA8"/>
    <w:rsid w:val="00A51F66"/>
    <w:rsid w:val="00A51F97"/>
    <w:rsid w:val="00A52125"/>
    <w:rsid w:val="00A52151"/>
    <w:rsid w:val="00A521D9"/>
    <w:rsid w:val="00A522B0"/>
    <w:rsid w:val="00A52375"/>
    <w:rsid w:val="00A523D2"/>
    <w:rsid w:val="00A524A8"/>
    <w:rsid w:val="00A524F5"/>
    <w:rsid w:val="00A52571"/>
    <w:rsid w:val="00A525C5"/>
    <w:rsid w:val="00A525EF"/>
    <w:rsid w:val="00A52653"/>
    <w:rsid w:val="00A52682"/>
    <w:rsid w:val="00A526D3"/>
    <w:rsid w:val="00A52734"/>
    <w:rsid w:val="00A5274F"/>
    <w:rsid w:val="00A5276B"/>
    <w:rsid w:val="00A5278D"/>
    <w:rsid w:val="00A52852"/>
    <w:rsid w:val="00A528B8"/>
    <w:rsid w:val="00A5290C"/>
    <w:rsid w:val="00A52974"/>
    <w:rsid w:val="00A52975"/>
    <w:rsid w:val="00A52AD8"/>
    <w:rsid w:val="00A52AEC"/>
    <w:rsid w:val="00A52B6A"/>
    <w:rsid w:val="00A52BCC"/>
    <w:rsid w:val="00A52BF6"/>
    <w:rsid w:val="00A52C7C"/>
    <w:rsid w:val="00A52DCF"/>
    <w:rsid w:val="00A52E4C"/>
    <w:rsid w:val="00A52ECD"/>
    <w:rsid w:val="00A52EDB"/>
    <w:rsid w:val="00A52F3E"/>
    <w:rsid w:val="00A52FAC"/>
    <w:rsid w:val="00A53010"/>
    <w:rsid w:val="00A5314D"/>
    <w:rsid w:val="00A5315B"/>
    <w:rsid w:val="00A53198"/>
    <w:rsid w:val="00A531B6"/>
    <w:rsid w:val="00A531CC"/>
    <w:rsid w:val="00A531EC"/>
    <w:rsid w:val="00A53226"/>
    <w:rsid w:val="00A53269"/>
    <w:rsid w:val="00A53274"/>
    <w:rsid w:val="00A53291"/>
    <w:rsid w:val="00A53330"/>
    <w:rsid w:val="00A534F0"/>
    <w:rsid w:val="00A5355B"/>
    <w:rsid w:val="00A53567"/>
    <w:rsid w:val="00A53594"/>
    <w:rsid w:val="00A5359D"/>
    <w:rsid w:val="00A535D5"/>
    <w:rsid w:val="00A535ED"/>
    <w:rsid w:val="00A535EF"/>
    <w:rsid w:val="00A53610"/>
    <w:rsid w:val="00A536E9"/>
    <w:rsid w:val="00A53709"/>
    <w:rsid w:val="00A5371B"/>
    <w:rsid w:val="00A53835"/>
    <w:rsid w:val="00A5383A"/>
    <w:rsid w:val="00A538EA"/>
    <w:rsid w:val="00A538EB"/>
    <w:rsid w:val="00A5396C"/>
    <w:rsid w:val="00A53A07"/>
    <w:rsid w:val="00A53A68"/>
    <w:rsid w:val="00A53A75"/>
    <w:rsid w:val="00A53A79"/>
    <w:rsid w:val="00A53B62"/>
    <w:rsid w:val="00A53BDA"/>
    <w:rsid w:val="00A53C27"/>
    <w:rsid w:val="00A53D35"/>
    <w:rsid w:val="00A53DCF"/>
    <w:rsid w:val="00A53DD9"/>
    <w:rsid w:val="00A53DDA"/>
    <w:rsid w:val="00A53F1D"/>
    <w:rsid w:val="00A53FA2"/>
    <w:rsid w:val="00A53FF8"/>
    <w:rsid w:val="00A53FFA"/>
    <w:rsid w:val="00A54070"/>
    <w:rsid w:val="00A5410F"/>
    <w:rsid w:val="00A54121"/>
    <w:rsid w:val="00A541BA"/>
    <w:rsid w:val="00A542A3"/>
    <w:rsid w:val="00A54365"/>
    <w:rsid w:val="00A543E3"/>
    <w:rsid w:val="00A54433"/>
    <w:rsid w:val="00A5443D"/>
    <w:rsid w:val="00A544AA"/>
    <w:rsid w:val="00A544BE"/>
    <w:rsid w:val="00A544DC"/>
    <w:rsid w:val="00A544FC"/>
    <w:rsid w:val="00A54513"/>
    <w:rsid w:val="00A5455D"/>
    <w:rsid w:val="00A54641"/>
    <w:rsid w:val="00A546E2"/>
    <w:rsid w:val="00A546F3"/>
    <w:rsid w:val="00A54712"/>
    <w:rsid w:val="00A547EC"/>
    <w:rsid w:val="00A54841"/>
    <w:rsid w:val="00A548E2"/>
    <w:rsid w:val="00A549DA"/>
    <w:rsid w:val="00A549F3"/>
    <w:rsid w:val="00A549FD"/>
    <w:rsid w:val="00A54A38"/>
    <w:rsid w:val="00A54A43"/>
    <w:rsid w:val="00A54B37"/>
    <w:rsid w:val="00A54BE9"/>
    <w:rsid w:val="00A54C15"/>
    <w:rsid w:val="00A54C45"/>
    <w:rsid w:val="00A54D30"/>
    <w:rsid w:val="00A54DAC"/>
    <w:rsid w:val="00A54DCC"/>
    <w:rsid w:val="00A54F39"/>
    <w:rsid w:val="00A54F3E"/>
    <w:rsid w:val="00A54F55"/>
    <w:rsid w:val="00A54FE8"/>
    <w:rsid w:val="00A54FFA"/>
    <w:rsid w:val="00A5505C"/>
    <w:rsid w:val="00A550C0"/>
    <w:rsid w:val="00A5511D"/>
    <w:rsid w:val="00A5514F"/>
    <w:rsid w:val="00A551AA"/>
    <w:rsid w:val="00A55214"/>
    <w:rsid w:val="00A55357"/>
    <w:rsid w:val="00A5539D"/>
    <w:rsid w:val="00A554E9"/>
    <w:rsid w:val="00A55536"/>
    <w:rsid w:val="00A5565A"/>
    <w:rsid w:val="00A55672"/>
    <w:rsid w:val="00A55771"/>
    <w:rsid w:val="00A557B7"/>
    <w:rsid w:val="00A557BA"/>
    <w:rsid w:val="00A557D5"/>
    <w:rsid w:val="00A557DC"/>
    <w:rsid w:val="00A557FF"/>
    <w:rsid w:val="00A5580C"/>
    <w:rsid w:val="00A55930"/>
    <w:rsid w:val="00A55942"/>
    <w:rsid w:val="00A55A1D"/>
    <w:rsid w:val="00A55A8D"/>
    <w:rsid w:val="00A55BD4"/>
    <w:rsid w:val="00A55C14"/>
    <w:rsid w:val="00A55C82"/>
    <w:rsid w:val="00A55C89"/>
    <w:rsid w:val="00A55C97"/>
    <w:rsid w:val="00A55CA7"/>
    <w:rsid w:val="00A55D0A"/>
    <w:rsid w:val="00A55D4E"/>
    <w:rsid w:val="00A55D60"/>
    <w:rsid w:val="00A55D91"/>
    <w:rsid w:val="00A55F93"/>
    <w:rsid w:val="00A55FD7"/>
    <w:rsid w:val="00A56008"/>
    <w:rsid w:val="00A560EC"/>
    <w:rsid w:val="00A56141"/>
    <w:rsid w:val="00A5615C"/>
    <w:rsid w:val="00A562C4"/>
    <w:rsid w:val="00A562E9"/>
    <w:rsid w:val="00A5633C"/>
    <w:rsid w:val="00A56369"/>
    <w:rsid w:val="00A56380"/>
    <w:rsid w:val="00A563D1"/>
    <w:rsid w:val="00A563DB"/>
    <w:rsid w:val="00A5642D"/>
    <w:rsid w:val="00A565D4"/>
    <w:rsid w:val="00A565EE"/>
    <w:rsid w:val="00A566CC"/>
    <w:rsid w:val="00A56716"/>
    <w:rsid w:val="00A56802"/>
    <w:rsid w:val="00A5682A"/>
    <w:rsid w:val="00A569D4"/>
    <w:rsid w:val="00A569EA"/>
    <w:rsid w:val="00A569EC"/>
    <w:rsid w:val="00A56A3B"/>
    <w:rsid w:val="00A56AC4"/>
    <w:rsid w:val="00A56B59"/>
    <w:rsid w:val="00A56D27"/>
    <w:rsid w:val="00A56D65"/>
    <w:rsid w:val="00A56E27"/>
    <w:rsid w:val="00A56EAE"/>
    <w:rsid w:val="00A56EB3"/>
    <w:rsid w:val="00A56EE7"/>
    <w:rsid w:val="00A56F32"/>
    <w:rsid w:val="00A56FA9"/>
    <w:rsid w:val="00A571FD"/>
    <w:rsid w:val="00A5727C"/>
    <w:rsid w:val="00A5732D"/>
    <w:rsid w:val="00A573A7"/>
    <w:rsid w:val="00A5743C"/>
    <w:rsid w:val="00A57478"/>
    <w:rsid w:val="00A575E8"/>
    <w:rsid w:val="00A5762C"/>
    <w:rsid w:val="00A5764F"/>
    <w:rsid w:val="00A57713"/>
    <w:rsid w:val="00A57715"/>
    <w:rsid w:val="00A577BD"/>
    <w:rsid w:val="00A578EE"/>
    <w:rsid w:val="00A57913"/>
    <w:rsid w:val="00A5792A"/>
    <w:rsid w:val="00A57A99"/>
    <w:rsid w:val="00A57ACC"/>
    <w:rsid w:val="00A57B2C"/>
    <w:rsid w:val="00A57B57"/>
    <w:rsid w:val="00A57B65"/>
    <w:rsid w:val="00A57BC8"/>
    <w:rsid w:val="00A57DC0"/>
    <w:rsid w:val="00A57E68"/>
    <w:rsid w:val="00A57EF3"/>
    <w:rsid w:val="00A57F1F"/>
    <w:rsid w:val="00A57F69"/>
    <w:rsid w:val="00A57FAD"/>
    <w:rsid w:val="00A5F80F"/>
    <w:rsid w:val="00A60001"/>
    <w:rsid w:val="00A6002C"/>
    <w:rsid w:val="00A60111"/>
    <w:rsid w:val="00A6025E"/>
    <w:rsid w:val="00A60293"/>
    <w:rsid w:val="00A602A2"/>
    <w:rsid w:val="00A6032C"/>
    <w:rsid w:val="00A6032E"/>
    <w:rsid w:val="00A60360"/>
    <w:rsid w:val="00A603FD"/>
    <w:rsid w:val="00A60461"/>
    <w:rsid w:val="00A6053B"/>
    <w:rsid w:val="00A605A4"/>
    <w:rsid w:val="00A60629"/>
    <w:rsid w:val="00A60676"/>
    <w:rsid w:val="00A60684"/>
    <w:rsid w:val="00A60734"/>
    <w:rsid w:val="00A6073C"/>
    <w:rsid w:val="00A60776"/>
    <w:rsid w:val="00A60867"/>
    <w:rsid w:val="00A60876"/>
    <w:rsid w:val="00A6091D"/>
    <w:rsid w:val="00A60A03"/>
    <w:rsid w:val="00A60B60"/>
    <w:rsid w:val="00A60BF0"/>
    <w:rsid w:val="00A60CC4"/>
    <w:rsid w:val="00A60CE9"/>
    <w:rsid w:val="00A60CFE"/>
    <w:rsid w:val="00A60D86"/>
    <w:rsid w:val="00A60E22"/>
    <w:rsid w:val="00A60EEF"/>
    <w:rsid w:val="00A60EFE"/>
    <w:rsid w:val="00A60EFF"/>
    <w:rsid w:val="00A60F0E"/>
    <w:rsid w:val="00A60F74"/>
    <w:rsid w:val="00A60F89"/>
    <w:rsid w:val="00A61277"/>
    <w:rsid w:val="00A6130E"/>
    <w:rsid w:val="00A61467"/>
    <w:rsid w:val="00A6147C"/>
    <w:rsid w:val="00A6157A"/>
    <w:rsid w:val="00A6159F"/>
    <w:rsid w:val="00A615AC"/>
    <w:rsid w:val="00A6162B"/>
    <w:rsid w:val="00A6166C"/>
    <w:rsid w:val="00A61772"/>
    <w:rsid w:val="00A61793"/>
    <w:rsid w:val="00A6186D"/>
    <w:rsid w:val="00A61899"/>
    <w:rsid w:val="00A619C6"/>
    <w:rsid w:val="00A61A47"/>
    <w:rsid w:val="00A61A67"/>
    <w:rsid w:val="00A61AB8"/>
    <w:rsid w:val="00A61ACD"/>
    <w:rsid w:val="00A61B3D"/>
    <w:rsid w:val="00A61B46"/>
    <w:rsid w:val="00A61B4D"/>
    <w:rsid w:val="00A61B70"/>
    <w:rsid w:val="00A61BE0"/>
    <w:rsid w:val="00A61C91"/>
    <w:rsid w:val="00A61CB4"/>
    <w:rsid w:val="00A61CE5"/>
    <w:rsid w:val="00A61D05"/>
    <w:rsid w:val="00A61DF3"/>
    <w:rsid w:val="00A61E08"/>
    <w:rsid w:val="00A61E28"/>
    <w:rsid w:val="00A61E2C"/>
    <w:rsid w:val="00A62029"/>
    <w:rsid w:val="00A6202E"/>
    <w:rsid w:val="00A6214E"/>
    <w:rsid w:val="00A6218A"/>
    <w:rsid w:val="00A62247"/>
    <w:rsid w:val="00A62315"/>
    <w:rsid w:val="00A62339"/>
    <w:rsid w:val="00A62356"/>
    <w:rsid w:val="00A6235D"/>
    <w:rsid w:val="00A62412"/>
    <w:rsid w:val="00A624D6"/>
    <w:rsid w:val="00A6257A"/>
    <w:rsid w:val="00A625C9"/>
    <w:rsid w:val="00A62611"/>
    <w:rsid w:val="00A62647"/>
    <w:rsid w:val="00A62651"/>
    <w:rsid w:val="00A6269C"/>
    <w:rsid w:val="00A62789"/>
    <w:rsid w:val="00A627CD"/>
    <w:rsid w:val="00A6283E"/>
    <w:rsid w:val="00A6288A"/>
    <w:rsid w:val="00A628CA"/>
    <w:rsid w:val="00A629A4"/>
    <w:rsid w:val="00A629AA"/>
    <w:rsid w:val="00A629BF"/>
    <w:rsid w:val="00A62A0B"/>
    <w:rsid w:val="00A62AEE"/>
    <w:rsid w:val="00A62BD8"/>
    <w:rsid w:val="00A62CCD"/>
    <w:rsid w:val="00A62D15"/>
    <w:rsid w:val="00A62DB7"/>
    <w:rsid w:val="00A62E16"/>
    <w:rsid w:val="00A62E19"/>
    <w:rsid w:val="00A62E2E"/>
    <w:rsid w:val="00A62E57"/>
    <w:rsid w:val="00A62E7C"/>
    <w:rsid w:val="00A62ED2"/>
    <w:rsid w:val="00A6304A"/>
    <w:rsid w:val="00A63083"/>
    <w:rsid w:val="00A630CF"/>
    <w:rsid w:val="00A630F6"/>
    <w:rsid w:val="00A63263"/>
    <w:rsid w:val="00A63310"/>
    <w:rsid w:val="00A633EC"/>
    <w:rsid w:val="00A63414"/>
    <w:rsid w:val="00A6356E"/>
    <w:rsid w:val="00A6359A"/>
    <w:rsid w:val="00A635AA"/>
    <w:rsid w:val="00A6382D"/>
    <w:rsid w:val="00A63870"/>
    <w:rsid w:val="00A63882"/>
    <w:rsid w:val="00A63915"/>
    <w:rsid w:val="00A639B4"/>
    <w:rsid w:val="00A639E3"/>
    <w:rsid w:val="00A63A0A"/>
    <w:rsid w:val="00A63A2F"/>
    <w:rsid w:val="00A63A3F"/>
    <w:rsid w:val="00A63B67"/>
    <w:rsid w:val="00A63BFF"/>
    <w:rsid w:val="00A63C5F"/>
    <w:rsid w:val="00A63C62"/>
    <w:rsid w:val="00A63CEB"/>
    <w:rsid w:val="00A63CF7"/>
    <w:rsid w:val="00A63DB2"/>
    <w:rsid w:val="00A6403E"/>
    <w:rsid w:val="00A6409A"/>
    <w:rsid w:val="00A640C7"/>
    <w:rsid w:val="00A640D6"/>
    <w:rsid w:val="00A64153"/>
    <w:rsid w:val="00A641EA"/>
    <w:rsid w:val="00A64441"/>
    <w:rsid w:val="00A6444F"/>
    <w:rsid w:val="00A64466"/>
    <w:rsid w:val="00A6447A"/>
    <w:rsid w:val="00A644B5"/>
    <w:rsid w:val="00A645EA"/>
    <w:rsid w:val="00A645ED"/>
    <w:rsid w:val="00A6477F"/>
    <w:rsid w:val="00A647E8"/>
    <w:rsid w:val="00A6481A"/>
    <w:rsid w:val="00A6487F"/>
    <w:rsid w:val="00A648B0"/>
    <w:rsid w:val="00A64941"/>
    <w:rsid w:val="00A64A6E"/>
    <w:rsid w:val="00A64BCE"/>
    <w:rsid w:val="00A64C53"/>
    <w:rsid w:val="00A64D4D"/>
    <w:rsid w:val="00A64EA1"/>
    <w:rsid w:val="00A64EC4"/>
    <w:rsid w:val="00A64F4B"/>
    <w:rsid w:val="00A64F94"/>
    <w:rsid w:val="00A64FA3"/>
    <w:rsid w:val="00A64FA6"/>
    <w:rsid w:val="00A64FCF"/>
    <w:rsid w:val="00A64FE7"/>
    <w:rsid w:val="00A65000"/>
    <w:rsid w:val="00A65190"/>
    <w:rsid w:val="00A651C9"/>
    <w:rsid w:val="00A65270"/>
    <w:rsid w:val="00A65287"/>
    <w:rsid w:val="00A652C9"/>
    <w:rsid w:val="00A652D7"/>
    <w:rsid w:val="00A65331"/>
    <w:rsid w:val="00A65398"/>
    <w:rsid w:val="00A653ED"/>
    <w:rsid w:val="00A654A3"/>
    <w:rsid w:val="00A65508"/>
    <w:rsid w:val="00A65652"/>
    <w:rsid w:val="00A65667"/>
    <w:rsid w:val="00A65686"/>
    <w:rsid w:val="00A65921"/>
    <w:rsid w:val="00A65969"/>
    <w:rsid w:val="00A659B1"/>
    <w:rsid w:val="00A65A09"/>
    <w:rsid w:val="00A65B3D"/>
    <w:rsid w:val="00A65BEE"/>
    <w:rsid w:val="00A65C3B"/>
    <w:rsid w:val="00A65C68"/>
    <w:rsid w:val="00A65C93"/>
    <w:rsid w:val="00A65D59"/>
    <w:rsid w:val="00A65D9D"/>
    <w:rsid w:val="00A65DE0"/>
    <w:rsid w:val="00A65E4C"/>
    <w:rsid w:val="00A65EB1"/>
    <w:rsid w:val="00A65F6A"/>
    <w:rsid w:val="00A65FD1"/>
    <w:rsid w:val="00A65FE8"/>
    <w:rsid w:val="00A65FF8"/>
    <w:rsid w:val="00A66048"/>
    <w:rsid w:val="00A66133"/>
    <w:rsid w:val="00A66187"/>
    <w:rsid w:val="00A662A0"/>
    <w:rsid w:val="00A66337"/>
    <w:rsid w:val="00A6636B"/>
    <w:rsid w:val="00A66449"/>
    <w:rsid w:val="00A66494"/>
    <w:rsid w:val="00A66510"/>
    <w:rsid w:val="00A6670C"/>
    <w:rsid w:val="00A66748"/>
    <w:rsid w:val="00A66755"/>
    <w:rsid w:val="00A6679D"/>
    <w:rsid w:val="00A668D6"/>
    <w:rsid w:val="00A6694D"/>
    <w:rsid w:val="00A669CF"/>
    <w:rsid w:val="00A669E1"/>
    <w:rsid w:val="00A66A9D"/>
    <w:rsid w:val="00A66AB7"/>
    <w:rsid w:val="00A66B35"/>
    <w:rsid w:val="00A66B3E"/>
    <w:rsid w:val="00A66B63"/>
    <w:rsid w:val="00A66C0D"/>
    <w:rsid w:val="00A66C16"/>
    <w:rsid w:val="00A66D4B"/>
    <w:rsid w:val="00A66D4C"/>
    <w:rsid w:val="00A66E1B"/>
    <w:rsid w:val="00A66EB7"/>
    <w:rsid w:val="00A66ED4"/>
    <w:rsid w:val="00A66EE2"/>
    <w:rsid w:val="00A66FB1"/>
    <w:rsid w:val="00A67001"/>
    <w:rsid w:val="00A67020"/>
    <w:rsid w:val="00A67027"/>
    <w:rsid w:val="00A67137"/>
    <w:rsid w:val="00A671E6"/>
    <w:rsid w:val="00A67211"/>
    <w:rsid w:val="00A67215"/>
    <w:rsid w:val="00A672D6"/>
    <w:rsid w:val="00A672FC"/>
    <w:rsid w:val="00A6733D"/>
    <w:rsid w:val="00A67345"/>
    <w:rsid w:val="00A67371"/>
    <w:rsid w:val="00A6743B"/>
    <w:rsid w:val="00A67455"/>
    <w:rsid w:val="00A6746A"/>
    <w:rsid w:val="00A67515"/>
    <w:rsid w:val="00A676B9"/>
    <w:rsid w:val="00A6770F"/>
    <w:rsid w:val="00A6771E"/>
    <w:rsid w:val="00A67738"/>
    <w:rsid w:val="00A6788F"/>
    <w:rsid w:val="00A67892"/>
    <w:rsid w:val="00A67945"/>
    <w:rsid w:val="00A679DE"/>
    <w:rsid w:val="00A67A21"/>
    <w:rsid w:val="00A67AFD"/>
    <w:rsid w:val="00A67B77"/>
    <w:rsid w:val="00A67CA6"/>
    <w:rsid w:val="00A67D5B"/>
    <w:rsid w:val="00A67DD9"/>
    <w:rsid w:val="00A7007B"/>
    <w:rsid w:val="00A700C6"/>
    <w:rsid w:val="00A70120"/>
    <w:rsid w:val="00A70266"/>
    <w:rsid w:val="00A70275"/>
    <w:rsid w:val="00A70284"/>
    <w:rsid w:val="00A70308"/>
    <w:rsid w:val="00A70309"/>
    <w:rsid w:val="00A704AD"/>
    <w:rsid w:val="00A70512"/>
    <w:rsid w:val="00A7056C"/>
    <w:rsid w:val="00A7059E"/>
    <w:rsid w:val="00A706A1"/>
    <w:rsid w:val="00A70765"/>
    <w:rsid w:val="00A707AA"/>
    <w:rsid w:val="00A70811"/>
    <w:rsid w:val="00A7081F"/>
    <w:rsid w:val="00A70860"/>
    <w:rsid w:val="00A709EE"/>
    <w:rsid w:val="00A70A1D"/>
    <w:rsid w:val="00A70A50"/>
    <w:rsid w:val="00A70AFD"/>
    <w:rsid w:val="00A70B4A"/>
    <w:rsid w:val="00A70B9C"/>
    <w:rsid w:val="00A70BA1"/>
    <w:rsid w:val="00A70C52"/>
    <w:rsid w:val="00A70C9A"/>
    <w:rsid w:val="00A70D45"/>
    <w:rsid w:val="00A70D8F"/>
    <w:rsid w:val="00A70EEA"/>
    <w:rsid w:val="00A70F34"/>
    <w:rsid w:val="00A70F3B"/>
    <w:rsid w:val="00A70F40"/>
    <w:rsid w:val="00A7100E"/>
    <w:rsid w:val="00A71011"/>
    <w:rsid w:val="00A7102E"/>
    <w:rsid w:val="00A71053"/>
    <w:rsid w:val="00A7105F"/>
    <w:rsid w:val="00A7109D"/>
    <w:rsid w:val="00A710F7"/>
    <w:rsid w:val="00A71111"/>
    <w:rsid w:val="00A71172"/>
    <w:rsid w:val="00A7126A"/>
    <w:rsid w:val="00A71378"/>
    <w:rsid w:val="00A7138F"/>
    <w:rsid w:val="00A713B3"/>
    <w:rsid w:val="00A713BE"/>
    <w:rsid w:val="00A71419"/>
    <w:rsid w:val="00A7142A"/>
    <w:rsid w:val="00A71435"/>
    <w:rsid w:val="00A714C9"/>
    <w:rsid w:val="00A7163B"/>
    <w:rsid w:val="00A71668"/>
    <w:rsid w:val="00A716AF"/>
    <w:rsid w:val="00A7176A"/>
    <w:rsid w:val="00A7178E"/>
    <w:rsid w:val="00A717A8"/>
    <w:rsid w:val="00A718DC"/>
    <w:rsid w:val="00A71903"/>
    <w:rsid w:val="00A719A1"/>
    <w:rsid w:val="00A719FE"/>
    <w:rsid w:val="00A71A2B"/>
    <w:rsid w:val="00A71AC7"/>
    <w:rsid w:val="00A71B28"/>
    <w:rsid w:val="00A71BAB"/>
    <w:rsid w:val="00A71C09"/>
    <w:rsid w:val="00A71C45"/>
    <w:rsid w:val="00A71C8D"/>
    <w:rsid w:val="00A71CAB"/>
    <w:rsid w:val="00A71DE6"/>
    <w:rsid w:val="00A71E29"/>
    <w:rsid w:val="00A71EF8"/>
    <w:rsid w:val="00A71F80"/>
    <w:rsid w:val="00A72057"/>
    <w:rsid w:val="00A7213D"/>
    <w:rsid w:val="00A72151"/>
    <w:rsid w:val="00A7222C"/>
    <w:rsid w:val="00A722A7"/>
    <w:rsid w:val="00A722EE"/>
    <w:rsid w:val="00A7233A"/>
    <w:rsid w:val="00A72416"/>
    <w:rsid w:val="00A7247B"/>
    <w:rsid w:val="00A7254D"/>
    <w:rsid w:val="00A72623"/>
    <w:rsid w:val="00A72655"/>
    <w:rsid w:val="00A7266B"/>
    <w:rsid w:val="00A726C8"/>
    <w:rsid w:val="00A726EE"/>
    <w:rsid w:val="00A72731"/>
    <w:rsid w:val="00A72785"/>
    <w:rsid w:val="00A72863"/>
    <w:rsid w:val="00A7288B"/>
    <w:rsid w:val="00A72A76"/>
    <w:rsid w:val="00A72A78"/>
    <w:rsid w:val="00A72B0E"/>
    <w:rsid w:val="00A72BBE"/>
    <w:rsid w:val="00A72BC2"/>
    <w:rsid w:val="00A72C19"/>
    <w:rsid w:val="00A72C3B"/>
    <w:rsid w:val="00A72CE6"/>
    <w:rsid w:val="00A72D3D"/>
    <w:rsid w:val="00A72DB2"/>
    <w:rsid w:val="00A72DE5"/>
    <w:rsid w:val="00A72F29"/>
    <w:rsid w:val="00A72F54"/>
    <w:rsid w:val="00A73044"/>
    <w:rsid w:val="00A730ED"/>
    <w:rsid w:val="00A730FA"/>
    <w:rsid w:val="00A731B6"/>
    <w:rsid w:val="00A73261"/>
    <w:rsid w:val="00A7328C"/>
    <w:rsid w:val="00A73329"/>
    <w:rsid w:val="00A7334F"/>
    <w:rsid w:val="00A7335A"/>
    <w:rsid w:val="00A73383"/>
    <w:rsid w:val="00A73394"/>
    <w:rsid w:val="00A733F5"/>
    <w:rsid w:val="00A7343F"/>
    <w:rsid w:val="00A734E8"/>
    <w:rsid w:val="00A734F9"/>
    <w:rsid w:val="00A73547"/>
    <w:rsid w:val="00A73662"/>
    <w:rsid w:val="00A73786"/>
    <w:rsid w:val="00A737EE"/>
    <w:rsid w:val="00A73924"/>
    <w:rsid w:val="00A73977"/>
    <w:rsid w:val="00A73A3E"/>
    <w:rsid w:val="00A73AEE"/>
    <w:rsid w:val="00A73B20"/>
    <w:rsid w:val="00A73BE3"/>
    <w:rsid w:val="00A73CB4"/>
    <w:rsid w:val="00A73CFA"/>
    <w:rsid w:val="00A73D86"/>
    <w:rsid w:val="00A73DAC"/>
    <w:rsid w:val="00A73EBB"/>
    <w:rsid w:val="00A73F5A"/>
    <w:rsid w:val="00A73FAE"/>
    <w:rsid w:val="00A73FB1"/>
    <w:rsid w:val="00A73FCF"/>
    <w:rsid w:val="00A73FFA"/>
    <w:rsid w:val="00A74065"/>
    <w:rsid w:val="00A741D4"/>
    <w:rsid w:val="00A74354"/>
    <w:rsid w:val="00A74357"/>
    <w:rsid w:val="00A74456"/>
    <w:rsid w:val="00A74463"/>
    <w:rsid w:val="00A744A5"/>
    <w:rsid w:val="00A7456F"/>
    <w:rsid w:val="00A745EC"/>
    <w:rsid w:val="00A745F6"/>
    <w:rsid w:val="00A74770"/>
    <w:rsid w:val="00A747AD"/>
    <w:rsid w:val="00A747D3"/>
    <w:rsid w:val="00A747DF"/>
    <w:rsid w:val="00A748EB"/>
    <w:rsid w:val="00A749D5"/>
    <w:rsid w:val="00A74A00"/>
    <w:rsid w:val="00A74ADD"/>
    <w:rsid w:val="00A74B71"/>
    <w:rsid w:val="00A74BC8"/>
    <w:rsid w:val="00A74C3C"/>
    <w:rsid w:val="00A74C43"/>
    <w:rsid w:val="00A74C64"/>
    <w:rsid w:val="00A74C98"/>
    <w:rsid w:val="00A74C9A"/>
    <w:rsid w:val="00A74D31"/>
    <w:rsid w:val="00A74DC0"/>
    <w:rsid w:val="00A74DDE"/>
    <w:rsid w:val="00A74DF6"/>
    <w:rsid w:val="00A74EDC"/>
    <w:rsid w:val="00A74F51"/>
    <w:rsid w:val="00A74F93"/>
    <w:rsid w:val="00A74F9B"/>
    <w:rsid w:val="00A75036"/>
    <w:rsid w:val="00A750E6"/>
    <w:rsid w:val="00A750EC"/>
    <w:rsid w:val="00A750F5"/>
    <w:rsid w:val="00A7510E"/>
    <w:rsid w:val="00A7516B"/>
    <w:rsid w:val="00A7526F"/>
    <w:rsid w:val="00A752B0"/>
    <w:rsid w:val="00A752C0"/>
    <w:rsid w:val="00A75331"/>
    <w:rsid w:val="00A7535D"/>
    <w:rsid w:val="00A75414"/>
    <w:rsid w:val="00A75435"/>
    <w:rsid w:val="00A75519"/>
    <w:rsid w:val="00A7564F"/>
    <w:rsid w:val="00A75714"/>
    <w:rsid w:val="00A7576C"/>
    <w:rsid w:val="00A757AE"/>
    <w:rsid w:val="00A757B4"/>
    <w:rsid w:val="00A75875"/>
    <w:rsid w:val="00A75983"/>
    <w:rsid w:val="00A7598E"/>
    <w:rsid w:val="00A75A85"/>
    <w:rsid w:val="00A75AC0"/>
    <w:rsid w:val="00A75B3D"/>
    <w:rsid w:val="00A75BD1"/>
    <w:rsid w:val="00A75D58"/>
    <w:rsid w:val="00A75E63"/>
    <w:rsid w:val="00A76043"/>
    <w:rsid w:val="00A760D4"/>
    <w:rsid w:val="00A76124"/>
    <w:rsid w:val="00A761D1"/>
    <w:rsid w:val="00A761EC"/>
    <w:rsid w:val="00A76211"/>
    <w:rsid w:val="00A76237"/>
    <w:rsid w:val="00A7624A"/>
    <w:rsid w:val="00A76309"/>
    <w:rsid w:val="00A76368"/>
    <w:rsid w:val="00A7638E"/>
    <w:rsid w:val="00A7639B"/>
    <w:rsid w:val="00A763A9"/>
    <w:rsid w:val="00A763DB"/>
    <w:rsid w:val="00A764A3"/>
    <w:rsid w:val="00A764BE"/>
    <w:rsid w:val="00A76542"/>
    <w:rsid w:val="00A7660A"/>
    <w:rsid w:val="00A7663C"/>
    <w:rsid w:val="00A76648"/>
    <w:rsid w:val="00A766DF"/>
    <w:rsid w:val="00A766F0"/>
    <w:rsid w:val="00A76706"/>
    <w:rsid w:val="00A767DE"/>
    <w:rsid w:val="00A76996"/>
    <w:rsid w:val="00A769A9"/>
    <w:rsid w:val="00A76A25"/>
    <w:rsid w:val="00A76AB5"/>
    <w:rsid w:val="00A76B1A"/>
    <w:rsid w:val="00A76CC6"/>
    <w:rsid w:val="00A76CD7"/>
    <w:rsid w:val="00A76D12"/>
    <w:rsid w:val="00A76D47"/>
    <w:rsid w:val="00A76E25"/>
    <w:rsid w:val="00A76EE4"/>
    <w:rsid w:val="00A76EFC"/>
    <w:rsid w:val="00A76F50"/>
    <w:rsid w:val="00A7703C"/>
    <w:rsid w:val="00A770B7"/>
    <w:rsid w:val="00A77121"/>
    <w:rsid w:val="00A77178"/>
    <w:rsid w:val="00A771F6"/>
    <w:rsid w:val="00A772C3"/>
    <w:rsid w:val="00A77456"/>
    <w:rsid w:val="00A7752B"/>
    <w:rsid w:val="00A7768E"/>
    <w:rsid w:val="00A77690"/>
    <w:rsid w:val="00A77712"/>
    <w:rsid w:val="00A77772"/>
    <w:rsid w:val="00A777E6"/>
    <w:rsid w:val="00A777F7"/>
    <w:rsid w:val="00A7782E"/>
    <w:rsid w:val="00A77875"/>
    <w:rsid w:val="00A7787F"/>
    <w:rsid w:val="00A778E1"/>
    <w:rsid w:val="00A77B97"/>
    <w:rsid w:val="00A77D4E"/>
    <w:rsid w:val="00A77DBE"/>
    <w:rsid w:val="00A77DDD"/>
    <w:rsid w:val="00A77EAC"/>
    <w:rsid w:val="00A77ED4"/>
    <w:rsid w:val="00A77EE8"/>
    <w:rsid w:val="00A77F54"/>
    <w:rsid w:val="00A8001A"/>
    <w:rsid w:val="00A800FF"/>
    <w:rsid w:val="00A80118"/>
    <w:rsid w:val="00A80149"/>
    <w:rsid w:val="00A801D0"/>
    <w:rsid w:val="00A80266"/>
    <w:rsid w:val="00A8030B"/>
    <w:rsid w:val="00A8035B"/>
    <w:rsid w:val="00A803C7"/>
    <w:rsid w:val="00A803E1"/>
    <w:rsid w:val="00A804A0"/>
    <w:rsid w:val="00A80506"/>
    <w:rsid w:val="00A805A7"/>
    <w:rsid w:val="00A80635"/>
    <w:rsid w:val="00A8067E"/>
    <w:rsid w:val="00A806EA"/>
    <w:rsid w:val="00A8072A"/>
    <w:rsid w:val="00A80740"/>
    <w:rsid w:val="00A8074C"/>
    <w:rsid w:val="00A80753"/>
    <w:rsid w:val="00A807CF"/>
    <w:rsid w:val="00A807FF"/>
    <w:rsid w:val="00A80834"/>
    <w:rsid w:val="00A80912"/>
    <w:rsid w:val="00A80AFB"/>
    <w:rsid w:val="00A80AFE"/>
    <w:rsid w:val="00A80B17"/>
    <w:rsid w:val="00A80B92"/>
    <w:rsid w:val="00A80B93"/>
    <w:rsid w:val="00A80D34"/>
    <w:rsid w:val="00A80D72"/>
    <w:rsid w:val="00A80E7C"/>
    <w:rsid w:val="00A80ED9"/>
    <w:rsid w:val="00A80F90"/>
    <w:rsid w:val="00A80FB1"/>
    <w:rsid w:val="00A81101"/>
    <w:rsid w:val="00A8123E"/>
    <w:rsid w:val="00A8124C"/>
    <w:rsid w:val="00A8131F"/>
    <w:rsid w:val="00A81371"/>
    <w:rsid w:val="00A81395"/>
    <w:rsid w:val="00A8157E"/>
    <w:rsid w:val="00A81591"/>
    <w:rsid w:val="00A815F5"/>
    <w:rsid w:val="00A81702"/>
    <w:rsid w:val="00A81835"/>
    <w:rsid w:val="00A81853"/>
    <w:rsid w:val="00A81860"/>
    <w:rsid w:val="00A81873"/>
    <w:rsid w:val="00A818F6"/>
    <w:rsid w:val="00A8190A"/>
    <w:rsid w:val="00A81922"/>
    <w:rsid w:val="00A81939"/>
    <w:rsid w:val="00A8195B"/>
    <w:rsid w:val="00A81A10"/>
    <w:rsid w:val="00A81A8D"/>
    <w:rsid w:val="00A81AE5"/>
    <w:rsid w:val="00A81B0E"/>
    <w:rsid w:val="00A81C66"/>
    <w:rsid w:val="00A81CA0"/>
    <w:rsid w:val="00A81CE2"/>
    <w:rsid w:val="00A81D5E"/>
    <w:rsid w:val="00A81DDF"/>
    <w:rsid w:val="00A81ECC"/>
    <w:rsid w:val="00A82079"/>
    <w:rsid w:val="00A8218F"/>
    <w:rsid w:val="00A82190"/>
    <w:rsid w:val="00A821BC"/>
    <w:rsid w:val="00A821D9"/>
    <w:rsid w:val="00A822C4"/>
    <w:rsid w:val="00A822F8"/>
    <w:rsid w:val="00A82318"/>
    <w:rsid w:val="00A8231B"/>
    <w:rsid w:val="00A82391"/>
    <w:rsid w:val="00A8246D"/>
    <w:rsid w:val="00A82533"/>
    <w:rsid w:val="00A8257F"/>
    <w:rsid w:val="00A8258B"/>
    <w:rsid w:val="00A825C5"/>
    <w:rsid w:val="00A825DD"/>
    <w:rsid w:val="00A82653"/>
    <w:rsid w:val="00A82717"/>
    <w:rsid w:val="00A827B0"/>
    <w:rsid w:val="00A827B9"/>
    <w:rsid w:val="00A8281C"/>
    <w:rsid w:val="00A8283B"/>
    <w:rsid w:val="00A82864"/>
    <w:rsid w:val="00A82869"/>
    <w:rsid w:val="00A828D4"/>
    <w:rsid w:val="00A82AA7"/>
    <w:rsid w:val="00A82AAF"/>
    <w:rsid w:val="00A82ACC"/>
    <w:rsid w:val="00A82ADF"/>
    <w:rsid w:val="00A82BD2"/>
    <w:rsid w:val="00A82BF5"/>
    <w:rsid w:val="00A82BF8"/>
    <w:rsid w:val="00A82C12"/>
    <w:rsid w:val="00A82C67"/>
    <w:rsid w:val="00A82D1A"/>
    <w:rsid w:val="00A82D21"/>
    <w:rsid w:val="00A82DCF"/>
    <w:rsid w:val="00A82DD6"/>
    <w:rsid w:val="00A82DE3"/>
    <w:rsid w:val="00A82EE0"/>
    <w:rsid w:val="00A82FF8"/>
    <w:rsid w:val="00A83052"/>
    <w:rsid w:val="00A830F9"/>
    <w:rsid w:val="00A8313C"/>
    <w:rsid w:val="00A8322E"/>
    <w:rsid w:val="00A83257"/>
    <w:rsid w:val="00A83361"/>
    <w:rsid w:val="00A83367"/>
    <w:rsid w:val="00A83376"/>
    <w:rsid w:val="00A83391"/>
    <w:rsid w:val="00A83410"/>
    <w:rsid w:val="00A83505"/>
    <w:rsid w:val="00A83552"/>
    <w:rsid w:val="00A835C6"/>
    <w:rsid w:val="00A83711"/>
    <w:rsid w:val="00A83774"/>
    <w:rsid w:val="00A838FE"/>
    <w:rsid w:val="00A83A11"/>
    <w:rsid w:val="00A83A26"/>
    <w:rsid w:val="00A83A52"/>
    <w:rsid w:val="00A83AE7"/>
    <w:rsid w:val="00A83B64"/>
    <w:rsid w:val="00A83B8D"/>
    <w:rsid w:val="00A83C05"/>
    <w:rsid w:val="00A83C31"/>
    <w:rsid w:val="00A83CDE"/>
    <w:rsid w:val="00A83DA7"/>
    <w:rsid w:val="00A83E18"/>
    <w:rsid w:val="00A83E2B"/>
    <w:rsid w:val="00A83E4C"/>
    <w:rsid w:val="00A83FB0"/>
    <w:rsid w:val="00A840B2"/>
    <w:rsid w:val="00A84141"/>
    <w:rsid w:val="00A841E9"/>
    <w:rsid w:val="00A8440F"/>
    <w:rsid w:val="00A845A3"/>
    <w:rsid w:val="00A845C9"/>
    <w:rsid w:val="00A845E3"/>
    <w:rsid w:val="00A8465B"/>
    <w:rsid w:val="00A84691"/>
    <w:rsid w:val="00A84713"/>
    <w:rsid w:val="00A84722"/>
    <w:rsid w:val="00A8484A"/>
    <w:rsid w:val="00A8493E"/>
    <w:rsid w:val="00A84969"/>
    <w:rsid w:val="00A84BD3"/>
    <w:rsid w:val="00A84C1A"/>
    <w:rsid w:val="00A84CDB"/>
    <w:rsid w:val="00A84E3B"/>
    <w:rsid w:val="00A84E42"/>
    <w:rsid w:val="00A84E46"/>
    <w:rsid w:val="00A84EE7"/>
    <w:rsid w:val="00A84EF3"/>
    <w:rsid w:val="00A84F49"/>
    <w:rsid w:val="00A84F4B"/>
    <w:rsid w:val="00A85002"/>
    <w:rsid w:val="00A85005"/>
    <w:rsid w:val="00A8500A"/>
    <w:rsid w:val="00A85050"/>
    <w:rsid w:val="00A8506D"/>
    <w:rsid w:val="00A850AF"/>
    <w:rsid w:val="00A850B7"/>
    <w:rsid w:val="00A850B9"/>
    <w:rsid w:val="00A8514D"/>
    <w:rsid w:val="00A8514F"/>
    <w:rsid w:val="00A851F5"/>
    <w:rsid w:val="00A85201"/>
    <w:rsid w:val="00A852A1"/>
    <w:rsid w:val="00A852C0"/>
    <w:rsid w:val="00A853F0"/>
    <w:rsid w:val="00A85440"/>
    <w:rsid w:val="00A8548F"/>
    <w:rsid w:val="00A8559F"/>
    <w:rsid w:val="00A855FA"/>
    <w:rsid w:val="00A8574A"/>
    <w:rsid w:val="00A85769"/>
    <w:rsid w:val="00A85811"/>
    <w:rsid w:val="00A85817"/>
    <w:rsid w:val="00A85874"/>
    <w:rsid w:val="00A858BE"/>
    <w:rsid w:val="00A85A4F"/>
    <w:rsid w:val="00A85AE2"/>
    <w:rsid w:val="00A85B0A"/>
    <w:rsid w:val="00A85B19"/>
    <w:rsid w:val="00A85B2D"/>
    <w:rsid w:val="00A85C03"/>
    <w:rsid w:val="00A85C10"/>
    <w:rsid w:val="00A85C22"/>
    <w:rsid w:val="00A85C27"/>
    <w:rsid w:val="00A85CAB"/>
    <w:rsid w:val="00A85CC6"/>
    <w:rsid w:val="00A85CF3"/>
    <w:rsid w:val="00A85D6F"/>
    <w:rsid w:val="00A85E28"/>
    <w:rsid w:val="00A85E49"/>
    <w:rsid w:val="00A85E63"/>
    <w:rsid w:val="00A85E7B"/>
    <w:rsid w:val="00A85E7D"/>
    <w:rsid w:val="00A85E93"/>
    <w:rsid w:val="00A85F62"/>
    <w:rsid w:val="00A85F77"/>
    <w:rsid w:val="00A861A7"/>
    <w:rsid w:val="00A861B2"/>
    <w:rsid w:val="00A862C3"/>
    <w:rsid w:val="00A863E4"/>
    <w:rsid w:val="00A86415"/>
    <w:rsid w:val="00A8643E"/>
    <w:rsid w:val="00A8646B"/>
    <w:rsid w:val="00A864FF"/>
    <w:rsid w:val="00A865AB"/>
    <w:rsid w:val="00A865B0"/>
    <w:rsid w:val="00A865EA"/>
    <w:rsid w:val="00A86663"/>
    <w:rsid w:val="00A86754"/>
    <w:rsid w:val="00A8680D"/>
    <w:rsid w:val="00A8680E"/>
    <w:rsid w:val="00A86822"/>
    <w:rsid w:val="00A86854"/>
    <w:rsid w:val="00A868A2"/>
    <w:rsid w:val="00A868B3"/>
    <w:rsid w:val="00A8699F"/>
    <w:rsid w:val="00A86A28"/>
    <w:rsid w:val="00A86A9D"/>
    <w:rsid w:val="00A86B9C"/>
    <w:rsid w:val="00A86C8B"/>
    <w:rsid w:val="00A86D35"/>
    <w:rsid w:val="00A86DEA"/>
    <w:rsid w:val="00A86EB7"/>
    <w:rsid w:val="00A86F2F"/>
    <w:rsid w:val="00A86F4B"/>
    <w:rsid w:val="00A86F4F"/>
    <w:rsid w:val="00A86F84"/>
    <w:rsid w:val="00A86FEB"/>
    <w:rsid w:val="00A86FED"/>
    <w:rsid w:val="00A86FEF"/>
    <w:rsid w:val="00A870B9"/>
    <w:rsid w:val="00A870C5"/>
    <w:rsid w:val="00A87164"/>
    <w:rsid w:val="00A871A6"/>
    <w:rsid w:val="00A87211"/>
    <w:rsid w:val="00A87238"/>
    <w:rsid w:val="00A8725E"/>
    <w:rsid w:val="00A872CE"/>
    <w:rsid w:val="00A8744C"/>
    <w:rsid w:val="00A874B7"/>
    <w:rsid w:val="00A8756D"/>
    <w:rsid w:val="00A8761C"/>
    <w:rsid w:val="00A8761F"/>
    <w:rsid w:val="00A876B0"/>
    <w:rsid w:val="00A876C5"/>
    <w:rsid w:val="00A87908"/>
    <w:rsid w:val="00A8795F"/>
    <w:rsid w:val="00A8796F"/>
    <w:rsid w:val="00A8799E"/>
    <w:rsid w:val="00A87A13"/>
    <w:rsid w:val="00A87A6A"/>
    <w:rsid w:val="00A87B1C"/>
    <w:rsid w:val="00A87BA0"/>
    <w:rsid w:val="00A87C21"/>
    <w:rsid w:val="00A87CD0"/>
    <w:rsid w:val="00A87D65"/>
    <w:rsid w:val="00A87D72"/>
    <w:rsid w:val="00A87DD0"/>
    <w:rsid w:val="00A87E08"/>
    <w:rsid w:val="00A87EB8"/>
    <w:rsid w:val="00A87ED5"/>
    <w:rsid w:val="00A87F2D"/>
    <w:rsid w:val="00A87F66"/>
    <w:rsid w:val="00A90014"/>
    <w:rsid w:val="00A9013E"/>
    <w:rsid w:val="00A9017C"/>
    <w:rsid w:val="00A901A1"/>
    <w:rsid w:val="00A90272"/>
    <w:rsid w:val="00A903FE"/>
    <w:rsid w:val="00A90535"/>
    <w:rsid w:val="00A90573"/>
    <w:rsid w:val="00A90597"/>
    <w:rsid w:val="00A905BC"/>
    <w:rsid w:val="00A90649"/>
    <w:rsid w:val="00A907D9"/>
    <w:rsid w:val="00A907FE"/>
    <w:rsid w:val="00A9081C"/>
    <w:rsid w:val="00A90852"/>
    <w:rsid w:val="00A90917"/>
    <w:rsid w:val="00A90992"/>
    <w:rsid w:val="00A90A46"/>
    <w:rsid w:val="00A90A99"/>
    <w:rsid w:val="00A90BBF"/>
    <w:rsid w:val="00A90BC8"/>
    <w:rsid w:val="00A90BDC"/>
    <w:rsid w:val="00A90D70"/>
    <w:rsid w:val="00A90DCB"/>
    <w:rsid w:val="00A90DD4"/>
    <w:rsid w:val="00A90DE1"/>
    <w:rsid w:val="00A90DE7"/>
    <w:rsid w:val="00A90DEB"/>
    <w:rsid w:val="00A90E77"/>
    <w:rsid w:val="00A90FEC"/>
    <w:rsid w:val="00A90FF4"/>
    <w:rsid w:val="00A91036"/>
    <w:rsid w:val="00A91065"/>
    <w:rsid w:val="00A91156"/>
    <w:rsid w:val="00A9115A"/>
    <w:rsid w:val="00A9116F"/>
    <w:rsid w:val="00A911AC"/>
    <w:rsid w:val="00A911F8"/>
    <w:rsid w:val="00A91241"/>
    <w:rsid w:val="00A9125B"/>
    <w:rsid w:val="00A9125D"/>
    <w:rsid w:val="00A912C6"/>
    <w:rsid w:val="00A912D0"/>
    <w:rsid w:val="00A913B6"/>
    <w:rsid w:val="00A91419"/>
    <w:rsid w:val="00A9148C"/>
    <w:rsid w:val="00A914B5"/>
    <w:rsid w:val="00A9153D"/>
    <w:rsid w:val="00A9159C"/>
    <w:rsid w:val="00A915F5"/>
    <w:rsid w:val="00A915FE"/>
    <w:rsid w:val="00A9165A"/>
    <w:rsid w:val="00A9167A"/>
    <w:rsid w:val="00A91717"/>
    <w:rsid w:val="00A917A7"/>
    <w:rsid w:val="00A91843"/>
    <w:rsid w:val="00A91928"/>
    <w:rsid w:val="00A919D8"/>
    <w:rsid w:val="00A91A26"/>
    <w:rsid w:val="00A91AA0"/>
    <w:rsid w:val="00A91B07"/>
    <w:rsid w:val="00A91B2E"/>
    <w:rsid w:val="00A91B99"/>
    <w:rsid w:val="00A91BD8"/>
    <w:rsid w:val="00A91C47"/>
    <w:rsid w:val="00A91C86"/>
    <w:rsid w:val="00A91D7D"/>
    <w:rsid w:val="00A91DC3"/>
    <w:rsid w:val="00A91E0C"/>
    <w:rsid w:val="00A91E0F"/>
    <w:rsid w:val="00A91E5F"/>
    <w:rsid w:val="00A91E8E"/>
    <w:rsid w:val="00A91EAF"/>
    <w:rsid w:val="00A91EFD"/>
    <w:rsid w:val="00A92062"/>
    <w:rsid w:val="00A92078"/>
    <w:rsid w:val="00A920EC"/>
    <w:rsid w:val="00A92223"/>
    <w:rsid w:val="00A923B6"/>
    <w:rsid w:val="00A9246A"/>
    <w:rsid w:val="00A924CA"/>
    <w:rsid w:val="00A92533"/>
    <w:rsid w:val="00A9261A"/>
    <w:rsid w:val="00A92655"/>
    <w:rsid w:val="00A926DC"/>
    <w:rsid w:val="00A9270D"/>
    <w:rsid w:val="00A9273F"/>
    <w:rsid w:val="00A927E4"/>
    <w:rsid w:val="00A9289B"/>
    <w:rsid w:val="00A928F9"/>
    <w:rsid w:val="00A92988"/>
    <w:rsid w:val="00A92A0D"/>
    <w:rsid w:val="00A92AC0"/>
    <w:rsid w:val="00A92BB4"/>
    <w:rsid w:val="00A92BCE"/>
    <w:rsid w:val="00A92C3C"/>
    <w:rsid w:val="00A92D0E"/>
    <w:rsid w:val="00A92DB1"/>
    <w:rsid w:val="00A92E01"/>
    <w:rsid w:val="00A92E46"/>
    <w:rsid w:val="00A92F65"/>
    <w:rsid w:val="00A93065"/>
    <w:rsid w:val="00A931C9"/>
    <w:rsid w:val="00A931DB"/>
    <w:rsid w:val="00A932A3"/>
    <w:rsid w:val="00A93412"/>
    <w:rsid w:val="00A93478"/>
    <w:rsid w:val="00A934EB"/>
    <w:rsid w:val="00A93515"/>
    <w:rsid w:val="00A9357D"/>
    <w:rsid w:val="00A9358E"/>
    <w:rsid w:val="00A9363F"/>
    <w:rsid w:val="00A93655"/>
    <w:rsid w:val="00A936F0"/>
    <w:rsid w:val="00A937F5"/>
    <w:rsid w:val="00A937FA"/>
    <w:rsid w:val="00A9383E"/>
    <w:rsid w:val="00A9399B"/>
    <w:rsid w:val="00A939F7"/>
    <w:rsid w:val="00A93A6C"/>
    <w:rsid w:val="00A93B0A"/>
    <w:rsid w:val="00A93BE1"/>
    <w:rsid w:val="00A93CA4"/>
    <w:rsid w:val="00A93CC4"/>
    <w:rsid w:val="00A93CE9"/>
    <w:rsid w:val="00A93D3C"/>
    <w:rsid w:val="00A93EB4"/>
    <w:rsid w:val="00A93EF4"/>
    <w:rsid w:val="00A93F7C"/>
    <w:rsid w:val="00A93FE9"/>
    <w:rsid w:val="00A9406C"/>
    <w:rsid w:val="00A94167"/>
    <w:rsid w:val="00A941F5"/>
    <w:rsid w:val="00A94269"/>
    <w:rsid w:val="00A9428B"/>
    <w:rsid w:val="00A94362"/>
    <w:rsid w:val="00A943AB"/>
    <w:rsid w:val="00A943B6"/>
    <w:rsid w:val="00A943DE"/>
    <w:rsid w:val="00A943F2"/>
    <w:rsid w:val="00A94400"/>
    <w:rsid w:val="00A944AD"/>
    <w:rsid w:val="00A944D6"/>
    <w:rsid w:val="00A94536"/>
    <w:rsid w:val="00A9454A"/>
    <w:rsid w:val="00A9454F"/>
    <w:rsid w:val="00A94553"/>
    <w:rsid w:val="00A945F4"/>
    <w:rsid w:val="00A94664"/>
    <w:rsid w:val="00A94688"/>
    <w:rsid w:val="00A9469D"/>
    <w:rsid w:val="00A946C5"/>
    <w:rsid w:val="00A9473E"/>
    <w:rsid w:val="00A947B0"/>
    <w:rsid w:val="00A9493A"/>
    <w:rsid w:val="00A949BB"/>
    <w:rsid w:val="00A94A30"/>
    <w:rsid w:val="00A94A56"/>
    <w:rsid w:val="00A94A57"/>
    <w:rsid w:val="00A94A82"/>
    <w:rsid w:val="00A94A85"/>
    <w:rsid w:val="00A94B72"/>
    <w:rsid w:val="00A94BF1"/>
    <w:rsid w:val="00A94C39"/>
    <w:rsid w:val="00A94D49"/>
    <w:rsid w:val="00A94E0F"/>
    <w:rsid w:val="00A94E27"/>
    <w:rsid w:val="00A94EF9"/>
    <w:rsid w:val="00A94FFF"/>
    <w:rsid w:val="00A9501F"/>
    <w:rsid w:val="00A9504A"/>
    <w:rsid w:val="00A95153"/>
    <w:rsid w:val="00A951B2"/>
    <w:rsid w:val="00A95225"/>
    <w:rsid w:val="00A95244"/>
    <w:rsid w:val="00A95297"/>
    <w:rsid w:val="00A95433"/>
    <w:rsid w:val="00A95473"/>
    <w:rsid w:val="00A95483"/>
    <w:rsid w:val="00A9551E"/>
    <w:rsid w:val="00A955BB"/>
    <w:rsid w:val="00A95765"/>
    <w:rsid w:val="00A957B7"/>
    <w:rsid w:val="00A95852"/>
    <w:rsid w:val="00A95A07"/>
    <w:rsid w:val="00A95B05"/>
    <w:rsid w:val="00A95B4F"/>
    <w:rsid w:val="00A95BAD"/>
    <w:rsid w:val="00A95C00"/>
    <w:rsid w:val="00A95C35"/>
    <w:rsid w:val="00A95CD5"/>
    <w:rsid w:val="00A95D13"/>
    <w:rsid w:val="00A95D2F"/>
    <w:rsid w:val="00A95D55"/>
    <w:rsid w:val="00A95D84"/>
    <w:rsid w:val="00A95E23"/>
    <w:rsid w:val="00A95E38"/>
    <w:rsid w:val="00A95EA9"/>
    <w:rsid w:val="00A95F52"/>
    <w:rsid w:val="00A95F68"/>
    <w:rsid w:val="00A9604F"/>
    <w:rsid w:val="00A960F7"/>
    <w:rsid w:val="00A96145"/>
    <w:rsid w:val="00A96150"/>
    <w:rsid w:val="00A96186"/>
    <w:rsid w:val="00A961D1"/>
    <w:rsid w:val="00A96209"/>
    <w:rsid w:val="00A96237"/>
    <w:rsid w:val="00A9623F"/>
    <w:rsid w:val="00A9624A"/>
    <w:rsid w:val="00A962F8"/>
    <w:rsid w:val="00A96334"/>
    <w:rsid w:val="00A9633A"/>
    <w:rsid w:val="00A963EB"/>
    <w:rsid w:val="00A963F6"/>
    <w:rsid w:val="00A964A5"/>
    <w:rsid w:val="00A9651B"/>
    <w:rsid w:val="00A9652E"/>
    <w:rsid w:val="00A96598"/>
    <w:rsid w:val="00A96599"/>
    <w:rsid w:val="00A9669E"/>
    <w:rsid w:val="00A96704"/>
    <w:rsid w:val="00A96706"/>
    <w:rsid w:val="00A9672D"/>
    <w:rsid w:val="00A96754"/>
    <w:rsid w:val="00A96875"/>
    <w:rsid w:val="00A9692F"/>
    <w:rsid w:val="00A96968"/>
    <w:rsid w:val="00A96A57"/>
    <w:rsid w:val="00A96B21"/>
    <w:rsid w:val="00A96BAB"/>
    <w:rsid w:val="00A96C26"/>
    <w:rsid w:val="00A96C27"/>
    <w:rsid w:val="00A96C5B"/>
    <w:rsid w:val="00A96C5D"/>
    <w:rsid w:val="00A96C82"/>
    <w:rsid w:val="00A96CA3"/>
    <w:rsid w:val="00A96CAF"/>
    <w:rsid w:val="00A96CD2"/>
    <w:rsid w:val="00A96CE4"/>
    <w:rsid w:val="00A96CEF"/>
    <w:rsid w:val="00A96E25"/>
    <w:rsid w:val="00A9700B"/>
    <w:rsid w:val="00A9711C"/>
    <w:rsid w:val="00A97141"/>
    <w:rsid w:val="00A9717F"/>
    <w:rsid w:val="00A97228"/>
    <w:rsid w:val="00A972A8"/>
    <w:rsid w:val="00A972AC"/>
    <w:rsid w:val="00A972D6"/>
    <w:rsid w:val="00A972D8"/>
    <w:rsid w:val="00A972ED"/>
    <w:rsid w:val="00A972FB"/>
    <w:rsid w:val="00A97351"/>
    <w:rsid w:val="00A97362"/>
    <w:rsid w:val="00A9736B"/>
    <w:rsid w:val="00A973F3"/>
    <w:rsid w:val="00A9743E"/>
    <w:rsid w:val="00A974F6"/>
    <w:rsid w:val="00A97502"/>
    <w:rsid w:val="00A97524"/>
    <w:rsid w:val="00A97575"/>
    <w:rsid w:val="00A977E6"/>
    <w:rsid w:val="00A977EE"/>
    <w:rsid w:val="00A97876"/>
    <w:rsid w:val="00A979C1"/>
    <w:rsid w:val="00A979F1"/>
    <w:rsid w:val="00A97A17"/>
    <w:rsid w:val="00A97B3F"/>
    <w:rsid w:val="00A97B79"/>
    <w:rsid w:val="00A97C0F"/>
    <w:rsid w:val="00A97CAA"/>
    <w:rsid w:val="00A97E1A"/>
    <w:rsid w:val="00A97F77"/>
    <w:rsid w:val="00A97FB8"/>
    <w:rsid w:val="00A97FE1"/>
    <w:rsid w:val="00AA0026"/>
    <w:rsid w:val="00AA0046"/>
    <w:rsid w:val="00AA0072"/>
    <w:rsid w:val="00AA00B5"/>
    <w:rsid w:val="00AA0156"/>
    <w:rsid w:val="00AA015D"/>
    <w:rsid w:val="00AA0214"/>
    <w:rsid w:val="00AA023C"/>
    <w:rsid w:val="00AA0261"/>
    <w:rsid w:val="00AA0289"/>
    <w:rsid w:val="00AA02FA"/>
    <w:rsid w:val="00AA0316"/>
    <w:rsid w:val="00AA032D"/>
    <w:rsid w:val="00AA03A7"/>
    <w:rsid w:val="00AA03B1"/>
    <w:rsid w:val="00AA0450"/>
    <w:rsid w:val="00AA05D8"/>
    <w:rsid w:val="00AA0625"/>
    <w:rsid w:val="00AA0675"/>
    <w:rsid w:val="00AA06A2"/>
    <w:rsid w:val="00AA06D1"/>
    <w:rsid w:val="00AA06F2"/>
    <w:rsid w:val="00AA07A3"/>
    <w:rsid w:val="00AA07B1"/>
    <w:rsid w:val="00AA089A"/>
    <w:rsid w:val="00AA08D6"/>
    <w:rsid w:val="00AA0911"/>
    <w:rsid w:val="00AA0935"/>
    <w:rsid w:val="00AA0A01"/>
    <w:rsid w:val="00AA0A3F"/>
    <w:rsid w:val="00AA0A9B"/>
    <w:rsid w:val="00AA0B20"/>
    <w:rsid w:val="00AA0B7F"/>
    <w:rsid w:val="00AA0C21"/>
    <w:rsid w:val="00AA0C54"/>
    <w:rsid w:val="00AA0C62"/>
    <w:rsid w:val="00AA0C71"/>
    <w:rsid w:val="00AA0C9B"/>
    <w:rsid w:val="00AA0D79"/>
    <w:rsid w:val="00AA0DFB"/>
    <w:rsid w:val="00AA0E58"/>
    <w:rsid w:val="00AA0EC0"/>
    <w:rsid w:val="00AA0F72"/>
    <w:rsid w:val="00AA0FBA"/>
    <w:rsid w:val="00AA107B"/>
    <w:rsid w:val="00AA1087"/>
    <w:rsid w:val="00AA1117"/>
    <w:rsid w:val="00AA114C"/>
    <w:rsid w:val="00AA1155"/>
    <w:rsid w:val="00AA127F"/>
    <w:rsid w:val="00AA129A"/>
    <w:rsid w:val="00AA134B"/>
    <w:rsid w:val="00AA1436"/>
    <w:rsid w:val="00AA148C"/>
    <w:rsid w:val="00AA149E"/>
    <w:rsid w:val="00AA154E"/>
    <w:rsid w:val="00AA157D"/>
    <w:rsid w:val="00AA1593"/>
    <w:rsid w:val="00AA162E"/>
    <w:rsid w:val="00AA1656"/>
    <w:rsid w:val="00AA16F0"/>
    <w:rsid w:val="00AA1777"/>
    <w:rsid w:val="00AA187B"/>
    <w:rsid w:val="00AA1882"/>
    <w:rsid w:val="00AA18AC"/>
    <w:rsid w:val="00AA1933"/>
    <w:rsid w:val="00AA1939"/>
    <w:rsid w:val="00AA197C"/>
    <w:rsid w:val="00AA1993"/>
    <w:rsid w:val="00AA1A5E"/>
    <w:rsid w:val="00AA1BE1"/>
    <w:rsid w:val="00AA1D1A"/>
    <w:rsid w:val="00AA1D55"/>
    <w:rsid w:val="00AA1D72"/>
    <w:rsid w:val="00AA1EC4"/>
    <w:rsid w:val="00AA1EE5"/>
    <w:rsid w:val="00AA1F09"/>
    <w:rsid w:val="00AA1FBA"/>
    <w:rsid w:val="00AA203F"/>
    <w:rsid w:val="00AA204D"/>
    <w:rsid w:val="00AA20F6"/>
    <w:rsid w:val="00AA213E"/>
    <w:rsid w:val="00AA214D"/>
    <w:rsid w:val="00AA21E3"/>
    <w:rsid w:val="00AA21F6"/>
    <w:rsid w:val="00AA2293"/>
    <w:rsid w:val="00AA22B2"/>
    <w:rsid w:val="00AA23C7"/>
    <w:rsid w:val="00AA2462"/>
    <w:rsid w:val="00AA2465"/>
    <w:rsid w:val="00AA24AB"/>
    <w:rsid w:val="00AA257F"/>
    <w:rsid w:val="00AA25D7"/>
    <w:rsid w:val="00AA2606"/>
    <w:rsid w:val="00AA2676"/>
    <w:rsid w:val="00AA26ED"/>
    <w:rsid w:val="00AA2709"/>
    <w:rsid w:val="00AA2732"/>
    <w:rsid w:val="00AA282F"/>
    <w:rsid w:val="00AA2860"/>
    <w:rsid w:val="00AA291E"/>
    <w:rsid w:val="00AA2A2F"/>
    <w:rsid w:val="00AA2A53"/>
    <w:rsid w:val="00AA2B25"/>
    <w:rsid w:val="00AA2BFB"/>
    <w:rsid w:val="00AA2C0F"/>
    <w:rsid w:val="00AA2C1D"/>
    <w:rsid w:val="00AA2C2D"/>
    <w:rsid w:val="00AA2C32"/>
    <w:rsid w:val="00AA2C42"/>
    <w:rsid w:val="00AA2CAA"/>
    <w:rsid w:val="00AA2D5A"/>
    <w:rsid w:val="00AA2DC0"/>
    <w:rsid w:val="00AA2E80"/>
    <w:rsid w:val="00AA2EAA"/>
    <w:rsid w:val="00AA2F0C"/>
    <w:rsid w:val="00AA2F6E"/>
    <w:rsid w:val="00AA2FA7"/>
    <w:rsid w:val="00AA3128"/>
    <w:rsid w:val="00AA3137"/>
    <w:rsid w:val="00AA3194"/>
    <w:rsid w:val="00AA3197"/>
    <w:rsid w:val="00AA31D7"/>
    <w:rsid w:val="00AA3270"/>
    <w:rsid w:val="00AA32A6"/>
    <w:rsid w:val="00AA32D1"/>
    <w:rsid w:val="00AA32F6"/>
    <w:rsid w:val="00AA334D"/>
    <w:rsid w:val="00AA3392"/>
    <w:rsid w:val="00AA3459"/>
    <w:rsid w:val="00AA34D7"/>
    <w:rsid w:val="00AA350D"/>
    <w:rsid w:val="00AA3568"/>
    <w:rsid w:val="00AA356C"/>
    <w:rsid w:val="00AA357F"/>
    <w:rsid w:val="00AA35BF"/>
    <w:rsid w:val="00AA3625"/>
    <w:rsid w:val="00AA3707"/>
    <w:rsid w:val="00AA37E9"/>
    <w:rsid w:val="00AA38CF"/>
    <w:rsid w:val="00AA38D8"/>
    <w:rsid w:val="00AA3A10"/>
    <w:rsid w:val="00AA3A14"/>
    <w:rsid w:val="00AA3A28"/>
    <w:rsid w:val="00AA3A43"/>
    <w:rsid w:val="00AA3A6A"/>
    <w:rsid w:val="00AA3AA7"/>
    <w:rsid w:val="00AA3B67"/>
    <w:rsid w:val="00AA3BF5"/>
    <w:rsid w:val="00AA3CDC"/>
    <w:rsid w:val="00AA3CED"/>
    <w:rsid w:val="00AA3D0C"/>
    <w:rsid w:val="00AA3D35"/>
    <w:rsid w:val="00AA3D44"/>
    <w:rsid w:val="00AA3D6A"/>
    <w:rsid w:val="00AA3DCF"/>
    <w:rsid w:val="00AA3E80"/>
    <w:rsid w:val="00AA3E89"/>
    <w:rsid w:val="00AA3FE9"/>
    <w:rsid w:val="00AA402D"/>
    <w:rsid w:val="00AA418A"/>
    <w:rsid w:val="00AA4351"/>
    <w:rsid w:val="00AA4364"/>
    <w:rsid w:val="00AA4396"/>
    <w:rsid w:val="00AA43FA"/>
    <w:rsid w:val="00AA4454"/>
    <w:rsid w:val="00AA445D"/>
    <w:rsid w:val="00AA44F9"/>
    <w:rsid w:val="00AA459D"/>
    <w:rsid w:val="00AA461D"/>
    <w:rsid w:val="00AA46AA"/>
    <w:rsid w:val="00AA46BF"/>
    <w:rsid w:val="00AA46C1"/>
    <w:rsid w:val="00AA4985"/>
    <w:rsid w:val="00AA49C4"/>
    <w:rsid w:val="00AA4A17"/>
    <w:rsid w:val="00AA4AB9"/>
    <w:rsid w:val="00AA4AF8"/>
    <w:rsid w:val="00AA4B56"/>
    <w:rsid w:val="00AA4BFD"/>
    <w:rsid w:val="00AA4C55"/>
    <w:rsid w:val="00AA4C6F"/>
    <w:rsid w:val="00AA4C81"/>
    <w:rsid w:val="00AA4C8E"/>
    <w:rsid w:val="00AA4C9D"/>
    <w:rsid w:val="00AA4CA5"/>
    <w:rsid w:val="00AA4D6F"/>
    <w:rsid w:val="00AA4E46"/>
    <w:rsid w:val="00AA4EC4"/>
    <w:rsid w:val="00AA4EDE"/>
    <w:rsid w:val="00AA5001"/>
    <w:rsid w:val="00AA5016"/>
    <w:rsid w:val="00AA5046"/>
    <w:rsid w:val="00AA508E"/>
    <w:rsid w:val="00AA515F"/>
    <w:rsid w:val="00AA5191"/>
    <w:rsid w:val="00AA51A1"/>
    <w:rsid w:val="00AA51CC"/>
    <w:rsid w:val="00AA5256"/>
    <w:rsid w:val="00AA52EE"/>
    <w:rsid w:val="00AA5355"/>
    <w:rsid w:val="00AA536F"/>
    <w:rsid w:val="00AA53C0"/>
    <w:rsid w:val="00AA53C1"/>
    <w:rsid w:val="00AA5425"/>
    <w:rsid w:val="00AA56C7"/>
    <w:rsid w:val="00AA575A"/>
    <w:rsid w:val="00AA578B"/>
    <w:rsid w:val="00AA57ED"/>
    <w:rsid w:val="00AA59E1"/>
    <w:rsid w:val="00AA5A42"/>
    <w:rsid w:val="00AA5A4A"/>
    <w:rsid w:val="00AA5AC8"/>
    <w:rsid w:val="00AA5B33"/>
    <w:rsid w:val="00AA5B38"/>
    <w:rsid w:val="00AA5BFB"/>
    <w:rsid w:val="00AA5CBD"/>
    <w:rsid w:val="00AA5CDF"/>
    <w:rsid w:val="00AA5D1E"/>
    <w:rsid w:val="00AA5D3F"/>
    <w:rsid w:val="00AA5ED1"/>
    <w:rsid w:val="00AA5F04"/>
    <w:rsid w:val="00AA5F15"/>
    <w:rsid w:val="00AA5F7D"/>
    <w:rsid w:val="00AA5FA7"/>
    <w:rsid w:val="00AA6007"/>
    <w:rsid w:val="00AA6042"/>
    <w:rsid w:val="00AA608F"/>
    <w:rsid w:val="00AA60CC"/>
    <w:rsid w:val="00AA6142"/>
    <w:rsid w:val="00AA628B"/>
    <w:rsid w:val="00AA62B0"/>
    <w:rsid w:val="00AA634F"/>
    <w:rsid w:val="00AA64BC"/>
    <w:rsid w:val="00AA64CF"/>
    <w:rsid w:val="00AA656E"/>
    <w:rsid w:val="00AA6650"/>
    <w:rsid w:val="00AA6716"/>
    <w:rsid w:val="00AA6781"/>
    <w:rsid w:val="00AA678B"/>
    <w:rsid w:val="00AA68C7"/>
    <w:rsid w:val="00AA6997"/>
    <w:rsid w:val="00AA69A4"/>
    <w:rsid w:val="00AA6A19"/>
    <w:rsid w:val="00AA6A29"/>
    <w:rsid w:val="00AA6B1D"/>
    <w:rsid w:val="00AA6C54"/>
    <w:rsid w:val="00AA6E14"/>
    <w:rsid w:val="00AA6F4F"/>
    <w:rsid w:val="00AA7061"/>
    <w:rsid w:val="00AA70C7"/>
    <w:rsid w:val="00AA711C"/>
    <w:rsid w:val="00AA7125"/>
    <w:rsid w:val="00AA7164"/>
    <w:rsid w:val="00AA71BA"/>
    <w:rsid w:val="00AA7201"/>
    <w:rsid w:val="00AA72A0"/>
    <w:rsid w:val="00AA737F"/>
    <w:rsid w:val="00AA7390"/>
    <w:rsid w:val="00AA73C1"/>
    <w:rsid w:val="00AA7429"/>
    <w:rsid w:val="00AA745A"/>
    <w:rsid w:val="00AA755E"/>
    <w:rsid w:val="00AA75FC"/>
    <w:rsid w:val="00AA768C"/>
    <w:rsid w:val="00AA76D4"/>
    <w:rsid w:val="00AA772E"/>
    <w:rsid w:val="00AA7756"/>
    <w:rsid w:val="00AA789F"/>
    <w:rsid w:val="00AA78F2"/>
    <w:rsid w:val="00AA7923"/>
    <w:rsid w:val="00AA796E"/>
    <w:rsid w:val="00AA79E0"/>
    <w:rsid w:val="00AA7AD9"/>
    <w:rsid w:val="00AA7AE3"/>
    <w:rsid w:val="00AA7B76"/>
    <w:rsid w:val="00AA7D3A"/>
    <w:rsid w:val="00AA7D6A"/>
    <w:rsid w:val="00AA7D79"/>
    <w:rsid w:val="00AA7D7F"/>
    <w:rsid w:val="00AA7D95"/>
    <w:rsid w:val="00AA7EAC"/>
    <w:rsid w:val="00AA7EC4"/>
    <w:rsid w:val="00AA7ED7"/>
    <w:rsid w:val="00AA7FE4"/>
    <w:rsid w:val="00AB002A"/>
    <w:rsid w:val="00AB0046"/>
    <w:rsid w:val="00AB0047"/>
    <w:rsid w:val="00AB00F9"/>
    <w:rsid w:val="00AB015E"/>
    <w:rsid w:val="00AB01DE"/>
    <w:rsid w:val="00AB01F7"/>
    <w:rsid w:val="00AB03E7"/>
    <w:rsid w:val="00AB0436"/>
    <w:rsid w:val="00AB0463"/>
    <w:rsid w:val="00AB0512"/>
    <w:rsid w:val="00AB0516"/>
    <w:rsid w:val="00AB051F"/>
    <w:rsid w:val="00AB053A"/>
    <w:rsid w:val="00AB0638"/>
    <w:rsid w:val="00AB063A"/>
    <w:rsid w:val="00AB068F"/>
    <w:rsid w:val="00AB087B"/>
    <w:rsid w:val="00AB0890"/>
    <w:rsid w:val="00AB08B6"/>
    <w:rsid w:val="00AB0995"/>
    <w:rsid w:val="00AB0A53"/>
    <w:rsid w:val="00AB0AB4"/>
    <w:rsid w:val="00AB0ADB"/>
    <w:rsid w:val="00AB0B53"/>
    <w:rsid w:val="00AB0C47"/>
    <w:rsid w:val="00AB0C51"/>
    <w:rsid w:val="00AB0C7F"/>
    <w:rsid w:val="00AB0D8C"/>
    <w:rsid w:val="00AB0DC7"/>
    <w:rsid w:val="00AB0DE4"/>
    <w:rsid w:val="00AB0E4E"/>
    <w:rsid w:val="00AB0E6F"/>
    <w:rsid w:val="00AB0F2E"/>
    <w:rsid w:val="00AB0F9B"/>
    <w:rsid w:val="00AB0FB9"/>
    <w:rsid w:val="00AB1004"/>
    <w:rsid w:val="00AB105E"/>
    <w:rsid w:val="00AB109D"/>
    <w:rsid w:val="00AB110F"/>
    <w:rsid w:val="00AB113F"/>
    <w:rsid w:val="00AB114B"/>
    <w:rsid w:val="00AB11F4"/>
    <w:rsid w:val="00AB11F5"/>
    <w:rsid w:val="00AB1406"/>
    <w:rsid w:val="00AB1556"/>
    <w:rsid w:val="00AB15C8"/>
    <w:rsid w:val="00AB174F"/>
    <w:rsid w:val="00AB17AE"/>
    <w:rsid w:val="00AB18CE"/>
    <w:rsid w:val="00AB1934"/>
    <w:rsid w:val="00AB19A8"/>
    <w:rsid w:val="00AB1A76"/>
    <w:rsid w:val="00AB1A7A"/>
    <w:rsid w:val="00AB1A86"/>
    <w:rsid w:val="00AB1B07"/>
    <w:rsid w:val="00AB1B2C"/>
    <w:rsid w:val="00AB1B93"/>
    <w:rsid w:val="00AB1BB6"/>
    <w:rsid w:val="00AB1BEB"/>
    <w:rsid w:val="00AB1C65"/>
    <w:rsid w:val="00AB1C76"/>
    <w:rsid w:val="00AB1CEC"/>
    <w:rsid w:val="00AB1DE8"/>
    <w:rsid w:val="00AB1E24"/>
    <w:rsid w:val="00AB1E60"/>
    <w:rsid w:val="00AB1E7A"/>
    <w:rsid w:val="00AB1F21"/>
    <w:rsid w:val="00AB2038"/>
    <w:rsid w:val="00AB20BA"/>
    <w:rsid w:val="00AB20F2"/>
    <w:rsid w:val="00AB2118"/>
    <w:rsid w:val="00AB211A"/>
    <w:rsid w:val="00AB2120"/>
    <w:rsid w:val="00AB217C"/>
    <w:rsid w:val="00AB2197"/>
    <w:rsid w:val="00AB2250"/>
    <w:rsid w:val="00AB2328"/>
    <w:rsid w:val="00AB242A"/>
    <w:rsid w:val="00AB252D"/>
    <w:rsid w:val="00AB2570"/>
    <w:rsid w:val="00AB2585"/>
    <w:rsid w:val="00AB25A6"/>
    <w:rsid w:val="00AB25E4"/>
    <w:rsid w:val="00AB2676"/>
    <w:rsid w:val="00AB26BB"/>
    <w:rsid w:val="00AB26C8"/>
    <w:rsid w:val="00AB26ED"/>
    <w:rsid w:val="00AB272C"/>
    <w:rsid w:val="00AB289B"/>
    <w:rsid w:val="00AB290E"/>
    <w:rsid w:val="00AB295E"/>
    <w:rsid w:val="00AB2AD9"/>
    <w:rsid w:val="00AB2AE4"/>
    <w:rsid w:val="00AB2B10"/>
    <w:rsid w:val="00AB2B25"/>
    <w:rsid w:val="00AB2B26"/>
    <w:rsid w:val="00AB2BA5"/>
    <w:rsid w:val="00AB2BE8"/>
    <w:rsid w:val="00AB2D61"/>
    <w:rsid w:val="00AB2DAC"/>
    <w:rsid w:val="00AB2DC2"/>
    <w:rsid w:val="00AB2E55"/>
    <w:rsid w:val="00AB2FDC"/>
    <w:rsid w:val="00AB302A"/>
    <w:rsid w:val="00AB3041"/>
    <w:rsid w:val="00AB306A"/>
    <w:rsid w:val="00AB328C"/>
    <w:rsid w:val="00AB32F1"/>
    <w:rsid w:val="00AB32F5"/>
    <w:rsid w:val="00AB33AC"/>
    <w:rsid w:val="00AB33B9"/>
    <w:rsid w:val="00AB3408"/>
    <w:rsid w:val="00AB3423"/>
    <w:rsid w:val="00AB3584"/>
    <w:rsid w:val="00AB3682"/>
    <w:rsid w:val="00AB3696"/>
    <w:rsid w:val="00AB37A0"/>
    <w:rsid w:val="00AB37C5"/>
    <w:rsid w:val="00AB37DB"/>
    <w:rsid w:val="00AB37E0"/>
    <w:rsid w:val="00AB37FE"/>
    <w:rsid w:val="00AB384F"/>
    <w:rsid w:val="00AB3912"/>
    <w:rsid w:val="00AB396F"/>
    <w:rsid w:val="00AB398D"/>
    <w:rsid w:val="00AB3A9E"/>
    <w:rsid w:val="00AB3ACA"/>
    <w:rsid w:val="00AB3AFC"/>
    <w:rsid w:val="00AB3B60"/>
    <w:rsid w:val="00AB3C00"/>
    <w:rsid w:val="00AB3C03"/>
    <w:rsid w:val="00AB3C5F"/>
    <w:rsid w:val="00AB3C6D"/>
    <w:rsid w:val="00AB3C8C"/>
    <w:rsid w:val="00AB3C94"/>
    <w:rsid w:val="00AB3CB5"/>
    <w:rsid w:val="00AB3D39"/>
    <w:rsid w:val="00AB3D64"/>
    <w:rsid w:val="00AB3D7D"/>
    <w:rsid w:val="00AB3DD7"/>
    <w:rsid w:val="00AB3DF7"/>
    <w:rsid w:val="00AB3DFD"/>
    <w:rsid w:val="00AB3E61"/>
    <w:rsid w:val="00AB3EB1"/>
    <w:rsid w:val="00AB3F25"/>
    <w:rsid w:val="00AB3F2F"/>
    <w:rsid w:val="00AB3F41"/>
    <w:rsid w:val="00AB3F67"/>
    <w:rsid w:val="00AB3FB0"/>
    <w:rsid w:val="00AB3FC8"/>
    <w:rsid w:val="00AB3FF6"/>
    <w:rsid w:val="00AB4009"/>
    <w:rsid w:val="00AB4047"/>
    <w:rsid w:val="00AB4082"/>
    <w:rsid w:val="00AB40EE"/>
    <w:rsid w:val="00AB418E"/>
    <w:rsid w:val="00AB41AD"/>
    <w:rsid w:val="00AB41BE"/>
    <w:rsid w:val="00AB420D"/>
    <w:rsid w:val="00AB42B1"/>
    <w:rsid w:val="00AB42E2"/>
    <w:rsid w:val="00AB42F0"/>
    <w:rsid w:val="00AB42F1"/>
    <w:rsid w:val="00AB4390"/>
    <w:rsid w:val="00AB43E9"/>
    <w:rsid w:val="00AB43F6"/>
    <w:rsid w:val="00AB4415"/>
    <w:rsid w:val="00AB4499"/>
    <w:rsid w:val="00AB44CE"/>
    <w:rsid w:val="00AB44FC"/>
    <w:rsid w:val="00AB45A2"/>
    <w:rsid w:val="00AB465C"/>
    <w:rsid w:val="00AB4660"/>
    <w:rsid w:val="00AB4666"/>
    <w:rsid w:val="00AB466B"/>
    <w:rsid w:val="00AB466F"/>
    <w:rsid w:val="00AB46AB"/>
    <w:rsid w:val="00AB4744"/>
    <w:rsid w:val="00AB4752"/>
    <w:rsid w:val="00AB475C"/>
    <w:rsid w:val="00AB4770"/>
    <w:rsid w:val="00AB4895"/>
    <w:rsid w:val="00AB4917"/>
    <w:rsid w:val="00AB4980"/>
    <w:rsid w:val="00AB49A3"/>
    <w:rsid w:val="00AB4A26"/>
    <w:rsid w:val="00AB4A4C"/>
    <w:rsid w:val="00AB4A79"/>
    <w:rsid w:val="00AB4B93"/>
    <w:rsid w:val="00AB4BB3"/>
    <w:rsid w:val="00AB4C09"/>
    <w:rsid w:val="00AB4C25"/>
    <w:rsid w:val="00AB4C63"/>
    <w:rsid w:val="00AB4D55"/>
    <w:rsid w:val="00AB4E07"/>
    <w:rsid w:val="00AB4E44"/>
    <w:rsid w:val="00AB507A"/>
    <w:rsid w:val="00AB5132"/>
    <w:rsid w:val="00AB5193"/>
    <w:rsid w:val="00AB51C8"/>
    <w:rsid w:val="00AB521D"/>
    <w:rsid w:val="00AB5300"/>
    <w:rsid w:val="00AB5302"/>
    <w:rsid w:val="00AB5322"/>
    <w:rsid w:val="00AB5339"/>
    <w:rsid w:val="00AB53B5"/>
    <w:rsid w:val="00AB5413"/>
    <w:rsid w:val="00AB5449"/>
    <w:rsid w:val="00AB55CE"/>
    <w:rsid w:val="00AB55EC"/>
    <w:rsid w:val="00AB5646"/>
    <w:rsid w:val="00AB56F5"/>
    <w:rsid w:val="00AB5705"/>
    <w:rsid w:val="00AB575F"/>
    <w:rsid w:val="00AB5834"/>
    <w:rsid w:val="00AB5967"/>
    <w:rsid w:val="00AB5973"/>
    <w:rsid w:val="00AB59F5"/>
    <w:rsid w:val="00AB5BAB"/>
    <w:rsid w:val="00AB5BDA"/>
    <w:rsid w:val="00AB5C1F"/>
    <w:rsid w:val="00AB5CE4"/>
    <w:rsid w:val="00AB5D73"/>
    <w:rsid w:val="00AB5E2F"/>
    <w:rsid w:val="00AB5E62"/>
    <w:rsid w:val="00AB5E94"/>
    <w:rsid w:val="00AB5F06"/>
    <w:rsid w:val="00AB5F48"/>
    <w:rsid w:val="00AB5F7F"/>
    <w:rsid w:val="00AB5FA2"/>
    <w:rsid w:val="00AB5FB8"/>
    <w:rsid w:val="00AB617B"/>
    <w:rsid w:val="00AB617C"/>
    <w:rsid w:val="00AB61AF"/>
    <w:rsid w:val="00AB6258"/>
    <w:rsid w:val="00AB62C7"/>
    <w:rsid w:val="00AB6462"/>
    <w:rsid w:val="00AB6596"/>
    <w:rsid w:val="00AB6688"/>
    <w:rsid w:val="00AB669F"/>
    <w:rsid w:val="00AB66B0"/>
    <w:rsid w:val="00AB6792"/>
    <w:rsid w:val="00AB6860"/>
    <w:rsid w:val="00AB6865"/>
    <w:rsid w:val="00AB6884"/>
    <w:rsid w:val="00AB68C9"/>
    <w:rsid w:val="00AB6977"/>
    <w:rsid w:val="00AB69EA"/>
    <w:rsid w:val="00AB6A4F"/>
    <w:rsid w:val="00AB6B31"/>
    <w:rsid w:val="00AB6BDA"/>
    <w:rsid w:val="00AB6CA0"/>
    <w:rsid w:val="00AB6CE5"/>
    <w:rsid w:val="00AB6CE8"/>
    <w:rsid w:val="00AB6E89"/>
    <w:rsid w:val="00AB7018"/>
    <w:rsid w:val="00AB7064"/>
    <w:rsid w:val="00AB7071"/>
    <w:rsid w:val="00AB7090"/>
    <w:rsid w:val="00AB7128"/>
    <w:rsid w:val="00AB716D"/>
    <w:rsid w:val="00AB71B3"/>
    <w:rsid w:val="00AB71E7"/>
    <w:rsid w:val="00AB72BF"/>
    <w:rsid w:val="00AB72F7"/>
    <w:rsid w:val="00AB732A"/>
    <w:rsid w:val="00AB73AF"/>
    <w:rsid w:val="00AB7455"/>
    <w:rsid w:val="00AB7772"/>
    <w:rsid w:val="00AB777D"/>
    <w:rsid w:val="00AB781A"/>
    <w:rsid w:val="00AB793A"/>
    <w:rsid w:val="00AB79C7"/>
    <w:rsid w:val="00AB79EC"/>
    <w:rsid w:val="00AB7AA9"/>
    <w:rsid w:val="00AB7C88"/>
    <w:rsid w:val="00AB7C98"/>
    <w:rsid w:val="00AB7CBC"/>
    <w:rsid w:val="00AB7E5F"/>
    <w:rsid w:val="00AB7EC3"/>
    <w:rsid w:val="00AB7EDA"/>
    <w:rsid w:val="00AB7EDE"/>
    <w:rsid w:val="00AB7F06"/>
    <w:rsid w:val="00AB7F38"/>
    <w:rsid w:val="00AB7F66"/>
    <w:rsid w:val="00AC0067"/>
    <w:rsid w:val="00AC01D0"/>
    <w:rsid w:val="00AC01E7"/>
    <w:rsid w:val="00AC01F7"/>
    <w:rsid w:val="00AC029B"/>
    <w:rsid w:val="00AC039D"/>
    <w:rsid w:val="00AC0417"/>
    <w:rsid w:val="00AC0485"/>
    <w:rsid w:val="00AC069C"/>
    <w:rsid w:val="00AC0833"/>
    <w:rsid w:val="00AC084D"/>
    <w:rsid w:val="00AC08AC"/>
    <w:rsid w:val="00AC08CB"/>
    <w:rsid w:val="00AC08FB"/>
    <w:rsid w:val="00AC0ABA"/>
    <w:rsid w:val="00AC0B05"/>
    <w:rsid w:val="00AC0B7A"/>
    <w:rsid w:val="00AC0D06"/>
    <w:rsid w:val="00AC0D7E"/>
    <w:rsid w:val="00AC0E62"/>
    <w:rsid w:val="00AC0EB5"/>
    <w:rsid w:val="00AC0F54"/>
    <w:rsid w:val="00AC0F77"/>
    <w:rsid w:val="00AC0FDF"/>
    <w:rsid w:val="00AC100D"/>
    <w:rsid w:val="00AC1024"/>
    <w:rsid w:val="00AC102D"/>
    <w:rsid w:val="00AC106A"/>
    <w:rsid w:val="00AC10A6"/>
    <w:rsid w:val="00AC110E"/>
    <w:rsid w:val="00AC1117"/>
    <w:rsid w:val="00AC127A"/>
    <w:rsid w:val="00AC1356"/>
    <w:rsid w:val="00AC14C5"/>
    <w:rsid w:val="00AC14DC"/>
    <w:rsid w:val="00AC1625"/>
    <w:rsid w:val="00AC162A"/>
    <w:rsid w:val="00AC1652"/>
    <w:rsid w:val="00AC165E"/>
    <w:rsid w:val="00AC16A9"/>
    <w:rsid w:val="00AC16CA"/>
    <w:rsid w:val="00AC16EF"/>
    <w:rsid w:val="00AC1724"/>
    <w:rsid w:val="00AC1749"/>
    <w:rsid w:val="00AC174E"/>
    <w:rsid w:val="00AC1801"/>
    <w:rsid w:val="00AC189F"/>
    <w:rsid w:val="00AC18FA"/>
    <w:rsid w:val="00AC19FF"/>
    <w:rsid w:val="00AC1A67"/>
    <w:rsid w:val="00AC1B55"/>
    <w:rsid w:val="00AC1C4B"/>
    <w:rsid w:val="00AC1C75"/>
    <w:rsid w:val="00AC1DB1"/>
    <w:rsid w:val="00AC1ED3"/>
    <w:rsid w:val="00AC1ED6"/>
    <w:rsid w:val="00AC1F11"/>
    <w:rsid w:val="00AC1FB1"/>
    <w:rsid w:val="00AC1FD0"/>
    <w:rsid w:val="00AC1FD8"/>
    <w:rsid w:val="00AC2256"/>
    <w:rsid w:val="00AC22CA"/>
    <w:rsid w:val="00AC22F1"/>
    <w:rsid w:val="00AC2398"/>
    <w:rsid w:val="00AC23DA"/>
    <w:rsid w:val="00AC240A"/>
    <w:rsid w:val="00AC2424"/>
    <w:rsid w:val="00AC2565"/>
    <w:rsid w:val="00AC2593"/>
    <w:rsid w:val="00AC25B9"/>
    <w:rsid w:val="00AC25F7"/>
    <w:rsid w:val="00AC2601"/>
    <w:rsid w:val="00AC2670"/>
    <w:rsid w:val="00AC26DA"/>
    <w:rsid w:val="00AC26E2"/>
    <w:rsid w:val="00AC270A"/>
    <w:rsid w:val="00AC27B9"/>
    <w:rsid w:val="00AC27BD"/>
    <w:rsid w:val="00AC27C6"/>
    <w:rsid w:val="00AC290B"/>
    <w:rsid w:val="00AC291B"/>
    <w:rsid w:val="00AC2937"/>
    <w:rsid w:val="00AC2B2E"/>
    <w:rsid w:val="00AC2BDA"/>
    <w:rsid w:val="00AC2C58"/>
    <w:rsid w:val="00AC2C5E"/>
    <w:rsid w:val="00AC2D30"/>
    <w:rsid w:val="00AC2E56"/>
    <w:rsid w:val="00AC2E96"/>
    <w:rsid w:val="00AC3089"/>
    <w:rsid w:val="00AC30AE"/>
    <w:rsid w:val="00AC30B1"/>
    <w:rsid w:val="00AC3132"/>
    <w:rsid w:val="00AC315E"/>
    <w:rsid w:val="00AC31BA"/>
    <w:rsid w:val="00AC31E8"/>
    <w:rsid w:val="00AC3220"/>
    <w:rsid w:val="00AC3388"/>
    <w:rsid w:val="00AC348C"/>
    <w:rsid w:val="00AC34E4"/>
    <w:rsid w:val="00AC358F"/>
    <w:rsid w:val="00AC35A4"/>
    <w:rsid w:val="00AC3699"/>
    <w:rsid w:val="00AC36A2"/>
    <w:rsid w:val="00AC3894"/>
    <w:rsid w:val="00AC39CA"/>
    <w:rsid w:val="00AC3A03"/>
    <w:rsid w:val="00AC3A0B"/>
    <w:rsid w:val="00AC3B2B"/>
    <w:rsid w:val="00AC3C0F"/>
    <w:rsid w:val="00AC3C11"/>
    <w:rsid w:val="00AC3D4C"/>
    <w:rsid w:val="00AC3E1D"/>
    <w:rsid w:val="00AC3E86"/>
    <w:rsid w:val="00AC3E90"/>
    <w:rsid w:val="00AC3E92"/>
    <w:rsid w:val="00AC3F22"/>
    <w:rsid w:val="00AC407A"/>
    <w:rsid w:val="00AC40A1"/>
    <w:rsid w:val="00AC4107"/>
    <w:rsid w:val="00AC4138"/>
    <w:rsid w:val="00AC41DC"/>
    <w:rsid w:val="00AC4271"/>
    <w:rsid w:val="00AC4324"/>
    <w:rsid w:val="00AC43C8"/>
    <w:rsid w:val="00AC44CB"/>
    <w:rsid w:val="00AC4548"/>
    <w:rsid w:val="00AC4554"/>
    <w:rsid w:val="00AC4555"/>
    <w:rsid w:val="00AC459C"/>
    <w:rsid w:val="00AC469B"/>
    <w:rsid w:val="00AC46BE"/>
    <w:rsid w:val="00AC46ED"/>
    <w:rsid w:val="00AC46EE"/>
    <w:rsid w:val="00AC4700"/>
    <w:rsid w:val="00AC471E"/>
    <w:rsid w:val="00AC47DD"/>
    <w:rsid w:val="00AC48F8"/>
    <w:rsid w:val="00AC49A3"/>
    <w:rsid w:val="00AC49EA"/>
    <w:rsid w:val="00AC4A11"/>
    <w:rsid w:val="00AC4A2E"/>
    <w:rsid w:val="00AC4A60"/>
    <w:rsid w:val="00AC4AA7"/>
    <w:rsid w:val="00AC4BFD"/>
    <w:rsid w:val="00AC4C0D"/>
    <w:rsid w:val="00AC4C2B"/>
    <w:rsid w:val="00AC4D2E"/>
    <w:rsid w:val="00AC4D5F"/>
    <w:rsid w:val="00AC4E56"/>
    <w:rsid w:val="00AC4E82"/>
    <w:rsid w:val="00AC4EBC"/>
    <w:rsid w:val="00AC5000"/>
    <w:rsid w:val="00AC519B"/>
    <w:rsid w:val="00AC520C"/>
    <w:rsid w:val="00AC52AB"/>
    <w:rsid w:val="00AC52C9"/>
    <w:rsid w:val="00AC5320"/>
    <w:rsid w:val="00AC5350"/>
    <w:rsid w:val="00AC5359"/>
    <w:rsid w:val="00AC53DB"/>
    <w:rsid w:val="00AC53FB"/>
    <w:rsid w:val="00AC5458"/>
    <w:rsid w:val="00AC5509"/>
    <w:rsid w:val="00AC5527"/>
    <w:rsid w:val="00AC5592"/>
    <w:rsid w:val="00AC5889"/>
    <w:rsid w:val="00AC58D5"/>
    <w:rsid w:val="00AC5A11"/>
    <w:rsid w:val="00AC5A2F"/>
    <w:rsid w:val="00AC5B3B"/>
    <w:rsid w:val="00AC5B6C"/>
    <w:rsid w:val="00AC5BE4"/>
    <w:rsid w:val="00AC5C66"/>
    <w:rsid w:val="00AC5CF2"/>
    <w:rsid w:val="00AC5E0B"/>
    <w:rsid w:val="00AC5F42"/>
    <w:rsid w:val="00AC5F67"/>
    <w:rsid w:val="00AC5F92"/>
    <w:rsid w:val="00AC6034"/>
    <w:rsid w:val="00AC6039"/>
    <w:rsid w:val="00AC609A"/>
    <w:rsid w:val="00AC60C0"/>
    <w:rsid w:val="00AC6179"/>
    <w:rsid w:val="00AC617E"/>
    <w:rsid w:val="00AC61AA"/>
    <w:rsid w:val="00AC62CA"/>
    <w:rsid w:val="00AC6379"/>
    <w:rsid w:val="00AC638E"/>
    <w:rsid w:val="00AC63C6"/>
    <w:rsid w:val="00AC6438"/>
    <w:rsid w:val="00AC64B8"/>
    <w:rsid w:val="00AC66DB"/>
    <w:rsid w:val="00AC6705"/>
    <w:rsid w:val="00AC671A"/>
    <w:rsid w:val="00AC67B6"/>
    <w:rsid w:val="00AC67C4"/>
    <w:rsid w:val="00AC6844"/>
    <w:rsid w:val="00AC692D"/>
    <w:rsid w:val="00AC69BA"/>
    <w:rsid w:val="00AC6A47"/>
    <w:rsid w:val="00AC6A58"/>
    <w:rsid w:val="00AC6A9B"/>
    <w:rsid w:val="00AC6ABC"/>
    <w:rsid w:val="00AC6B1B"/>
    <w:rsid w:val="00AC6CCD"/>
    <w:rsid w:val="00AC6D63"/>
    <w:rsid w:val="00AC6E04"/>
    <w:rsid w:val="00AC6E3A"/>
    <w:rsid w:val="00AC6E6F"/>
    <w:rsid w:val="00AC6EA1"/>
    <w:rsid w:val="00AC6EFA"/>
    <w:rsid w:val="00AC71E2"/>
    <w:rsid w:val="00AC72E0"/>
    <w:rsid w:val="00AC7306"/>
    <w:rsid w:val="00AC733D"/>
    <w:rsid w:val="00AC7373"/>
    <w:rsid w:val="00AC746B"/>
    <w:rsid w:val="00AC759C"/>
    <w:rsid w:val="00AC763C"/>
    <w:rsid w:val="00AC7645"/>
    <w:rsid w:val="00AC766E"/>
    <w:rsid w:val="00AC7676"/>
    <w:rsid w:val="00AC77B7"/>
    <w:rsid w:val="00AC78A0"/>
    <w:rsid w:val="00AC78E3"/>
    <w:rsid w:val="00AC78E6"/>
    <w:rsid w:val="00AC78FE"/>
    <w:rsid w:val="00AC7931"/>
    <w:rsid w:val="00AC7938"/>
    <w:rsid w:val="00AC795B"/>
    <w:rsid w:val="00AC7976"/>
    <w:rsid w:val="00AC7978"/>
    <w:rsid w:val="00AC7A5D"/>
    <w:rsid w:val="00AC7AAD"/>
    <w:rsid w:val="00AC7BA1"/>
    <w:rsid w:val="00AC7BBE"/>
    <w:rsid w:val="00AC7C0F"/>
    <w:rsid w:val="00AC7D5D"/>
    <w:rsid w:val="00AC7F09"/>
    <w:rsid w:val="00AC7FD6"/>
    <w:rsid w:val="00AC7FF1"/>
    <w:rsid w:val="00AD0088"/>
    <w:rsid w:val="00AD00D6"/>
    <w:rsid w:val="00AD00EE"/>
    <w:rsid w:val="00AD0117"/>
    <w:rsid w:val="00AD021E"/>
    <w:rsid w:val="00AD025A"/>
    <w:rsid w:val="00AD0262"/>
    <w:rsid w:val="00AD0302"/>
    <w:rsid w:val="00AD034B"/>
    <w:rsid w:val="00AD03B7"/>
    <w:rsid w:val="00AD03CB"/>
    <w:rsid w:val="00AD04F8"/>
    <w:rsid w:val="00AD053A"/>
    <w:rsid w:val="00AD0578"/>
    <w:rsid w:val="00AD0622"/>
    <w:rsid w:val="00AD073F"/>
    <w:rsid w:val="00AD078C"/>
    <w:rsid w:val="00AD0927"/>
    <w:rsid w:val="00AD0941"/>
    <w:rsid w:val="00AD0A0A"/>
    <w:rsid w:val="00AD0B38"/>
    <w:rsid w:val="00AD0B90"/>
    <w:rsid w:val="00AD0BCA"/>
    <w:rsid w:val="00AD0BEE"/>
    <w:rsid w:val="00AD0C0B"/>
    <w:rsid w:val="00AD0C5C"/>
    <w:rsid w:val="00AD0D2B"/>
    <w:rsid w:val="00AD0FBC"/>
    <w:rsid w:val="00AD1000"/>
    <w:rsid w:val="00AD1010"/>
    <w:rsid w:val="00AD1023"/>
    <w:rsid w:val="00AD105B"/>
    <w:rsid w:val="00AD10C1"/>
    <w:rsid w:val="00AD10EA"/>
    <w:rsid w:val="00AD1169"/>
    <w:rsid w:val="00AD122D"/>
    <w:rsid w:val="00AD1299"/>
    <w:rsid w:val="00AD140F"/>
    <w:rsid w:val="00AD150C"/>
    <w:rsid w:val="00AD156A"/>
    <w:rsid w:val="00AD1580"/>
    <w:rsid w:val="00AD158F"/>
    <w:rsid w:val="00AD160B"/>
    <w:rsid w:val="00AD168E"/>
    <w:rsid w:val="00AD16B7"/>
    <w:rsid w:val="00AD1749"/>
    <w:rsid w:val="00AD179F"/>
    <w:rsid w:val="00AD1897"/>
    <w:rsid w:val="00AD18FD"/>
    <w:rsid w:val="00AD1AEF"/>
    <w:rsid w:val="00AD1B90"/>
    <w:rsid w:val="00AD1C67"/>
    <w:rsid w:val="00AD1CF0"/>
    <w:rsid w:val="00AD1D3F"/>
    <w:rsid w:val="00AD1D50"/>
    <w:rsid w:val="00AD1D83"/>
    <w:rsid w:val="00AD1DAD"/>
    <w:rsid w:val="00AD1DAF"/>
    <w:rsid w:val="00AD1E2E"/>
    <w:rsid w:val="00AD1E42"/>
    <w:rsid w:val="00AD1E85"/>
    <w:rsid w:val="00AD1F4B"/>
    <w:rsid w:val="00AD2018"/>
    <w:rsid w:val="00AD207A"/>
    <w:rsid w:val="00AD2093"/>
    <w:rsid w:val="00AD2164"/>
    <w:rsid w:val="00AD2171"/>
    <w:rsid w:val="00AD21B8"/>
    <w:rsid w:val="00AD22DC"/>
    <w:rsid w:val="00AD236A"/>
    <w:rsid w:val="00AD2392"/>
    <w:rsid w:val="00AD2484"/>
    <w:rsid w:val="00AD2572"/>
    <w:rsid w:val="00AD25E6"/>
    <w:rsid w:val="00AD25FB"/>
    <w:rsid w:val="00AD2613"/>
    <w:rsid w:val="00AD2626"/>
    <w:rsid w:val="00AD2675"/>
    <w:rsid w:val="00AD267F"/>
    <w:rsid w:val="00AD275D"/>
    <w:rsid w:val="00AD27A0"/>
    <w:rsid w:val="00AD27AA"/>
    <w:rsid w:val="00AD27DE"/>
    <w:rsid w:val="00AD2889"/>
    <w:rsid w:val="00AD28E3"/>
    <w:rsid w:val="00AD28F4"/>
    <w:rsid w:val="00AD2925"/>
    <w:rsid w:val="00AD299B"/>
    <w:rsid w:val="00AD29AE"/>
    <w:rsid w:val="00AD29F6"/>
    <w:rsid w:val="00AD2C73"/>
    <w:rsid w:val="00AD2D22"/>
    <w:rsid w:val="00AD2D9C"/>
    <w:rsid w:val="00AD2FFB"/>
    <w:rsid w:val="00AD3007"/>
    <w:rsid w:val="00AD311A"/>
    <w:rsid w:val="00AD3189"/>
    <w:rsid w:val="00AD32BF"/>
    <w:rsid w:val="00AD3397"/>
    <w:rsid w:val="00AD3398"/>
    <w:rsid w:val="00AD3458"/>
    <w:rsid w:val="00AD3514"/>
    <w:rsid w:val="00AD3588"/>
    <w:rsid w:val="00AD35A1"/>
    <w:rsid w:val="00AD3642"/>
    <w:rsid w:val="00AD3663"/>
    <w:rsid w:val="00AD3690"/>
    <w:rsid w:val="00AD3700"/>
    <w:rsid w:val="00AD383E"/>
    <w:rsid w:val="00AD38E1"/>
    <w:rsid w:val="00AD3968"/>
    <w:rsid w:val="00AD3A4C"/>
    <w:rsid w:val="00AD3AA4"/>
    <w:rsid w:val="00AD3B9B"/>
    <w:rsid w:val="00AD3BF9"/>
    <w:rsid w:val="00AD3C05"/>
    <w:rsid w:val="00AD3C0C"/>
    <w:rsid w:val="00AD3CB6"/>
    <w:rsid w:val="00AD3DEE"/>
    <w:rsid w:val="00AD3E90"/>
    <w:rsid w:val="00AD3F04"/>
    <w:rsid w:val="00AD3F35"/>
    <w:rsid w:val="00AD3F3E"/>
    <w:rsid w:val="00AD4008"/>
    <w:rsid w:val="00AD40A1"/>
    <w:rsid w:val="00AD417A"/>
    <w:rsid w:val="00AD41E3"/>
    <w:rsid w:val="00AD41EC"/>
    <w:rsid w:val="00AD434B"/>
    <w:rsid w:val="00AD4384"/>
    <w:rsid w:val="00AD43AD"/>
    <w:rsid w:val="00AD43DE"/>
    <w:rsid w:val="00AD45BD"/>
    <w:rsid w:val="00AD45F8"/>
    <w:rsid w:val="00AD476F"/>
    <w:rsid w:val="00AD47CF"/>
    <w:rsid w:val="00AD47D3"/>
    <w:rsid w:val="00AD47D8"/>
    <w:rsid w:val="00AD47E7"/>
    <w:rsid w:val="00AD48C6"/>
    <w:rsid w:val="00AD497D"/>
    <w:rsid w:val="00AD498F"/>
    <w:rsid w:val="00AD49FE"/>
    <w:rsid w:val="00AD4A0F"/>
    <w:rsid w:val="00AD4A11"/>
    <w:rsid w:val="00AD4AFA"/>
    <w:rsid w:val="00AD4B1A"/>
    <w:rsid w:val="00AD4C41"/>
    <w:rsid w:val="00AD4C5B"/>
    <w:rsid w:val="00AD4CFB"/>
    <w:rsid w:val="00AD4E19"/>
    <w:rsid w:val="00AD4EAE"/>
    <w:rsid w:val="00AD5017"/>
    <w:rsid w:val="00AD503A"/>
    <w:rsid w:val="00AD50AD"/>
    <w:rsid w:val="00AD50CF"/>
    <w:rsid w:val="00AD50D1"/>
    <w:rsid w:val="00AD5133"/>
    <w:rsid w:val="00AD520D"/>
    <w:rsid w:val="00AD53D2"/>
    <w:rsid w:val="00AD54AA"/>
    <w:rsid w:val="00AD54D0"/>
    <w:rsid w:val="00AD55CC"/>
    <w:rsid w:val="00AD5626"/>
    <w:rsid w:val="00AD5667"/>
    <w:rsid w:val="00AD570E"/>
    <w:rsid w:val="00AD5743"/>
    <w:rsid w:val="00AD575D"/>
    <w:rsid w:val="00AD577B"/>
    <w:rsid w:val="00AD5AC0"/>
    <w:rsid w:val="00AD5BE9"/>
    <w:rsid w:val="00AD5E42"/>
    <w:rsid w:val="00AD5E7E"/>
    <w:rsid w:val="00AD5F83"/>
    <w:rsid w:val="00AD600F"/>
    <w:rsid w:val="00AD6030"/>
    <w:rsid w:val="00AD605C"/>
    <w:rsid w:val="00AD61E2"/>
    <w:rsid w:val="00AD62DF"/>
    <w:rsid w:val="00AD6365"/>
    <w:rsid w:val="00AD6385"/>
    <w:rsid w:val="00AD64D5"/>
    <w:rsid w:val="00AD662A"/>
    <w:rsid w:val="00AD6671"/>
    <w:rsid w:val="00AD6723"/>
    <w:rsid w:val="00AD6727"/>
    <w:rsid w:val="00AD67C6"/>
    <w:rsid w:val="00AD67E9"/>
    <w:rsid w:val="00AD68CF"/>
    <w:rsid w:val="00AD68EA"/>
    <w:rsid w:val="00AD68FD"/>
    <w:rsid w:val="00AD6913"/>
    <w:rsid w:val="00AD6988"/>
    <w:rsid w:val="00AD69B3"/>
    <w:rsid w:val="00AD6AA6"/>
    <w:rsid w:val="00AD6AB7"/>
    <w:rsid w:val="00AD6B50"/>
    <w:rsid w:val="00AD6B66"/>
    <w:rsid w:val="00AD6B68"/>
    <w:rsid w:val="00AD6C0E"/>
    <w:rsid w:val="00AD6C0F"/>
    <w:rsid w:val="00AD6DA5"/>
    <w:rsid w:val="00AD6DCE"/>
    <w:rsid w:val="00AD6FAC"/>
    <w:rsid w:val="00AD6FC0"/>
    <w:rsid w:val="00AD6FD1"/>
    <w:rsid w:val="00AD704A"/>
    <w:rsid w:val="00AD7056"/>
    <w:rsid w:val="00AD708D"/>
    <w:rsid w:val="00AD715A"/>
    <w:rsid w:val="00AD7216"/>
    <w:rsid w:val="00AD723E"/>
    <w:rsid w:val="00AD7311"/>
    <w:rsid w:val="00AD736F"/>
    <w:rsid w:val="00AD73C4"/>
    <w:rsid w:val="00AD73D7"/>
    <w:rsid w:val="00AD7426"/>
    <w:rsid w:val="00AD7515"/>
    <w:rsid w:val="00AD7568"/>
    <w:rsid w:val="00AD761E"/>
    <w:rsid w:val="00AD7624"/>
    <w:rsid w:val="00AD76CC"/>
    <w:rsid w:val="00AD774E"/>
    <w:rsid w:val="00AD77CB"/>
    <w:rsid w:val="00AD78A9"/>
    <w:rsid w:val="00AD78F1"/>
    <w:rsid w:val="00AD7A72"/>
    <w:rsid w:val="00AD7ACD"/>
    <w:rsid w:val="00AD7B27"/>
    <w:rsid w:val="00AD7D54"/>
    <w:rsid w:val="00AD7D6F"/>
    <w:rsid w:val="00AD7DAB"/>
    <w:rsid w:val="00AD7E00"/>
    <w:rsid w:val="00AD7E05"/>
    <w:rsid w:val="00AD7EF4"/>
    <w:rsid w:val="00AD7F04"/>
    <w:rsid w:val="00AD7F72"/>
    <w:rsid w:val="00AE0028"/>
    <w:rsid w:val="00AE0034"/>
    <w:rsid w:val="00AE0066"/>
    <w:rsid w:val="00AE006A"/>
    <w:rsid w:val="00AE00E7"/>
    <w:rsid w:val="00AE00F0"/>
    <w:rsid w:val="00AE012E"/>
    <w:rsid w:val="00AE0251"/>
    <w:rsid w:val="00AE02AD"/>
    <w:rsid w:val="00AE02D9"/>
    <w:rsid w:val="00AE037B"/>
    <w:rsid w:val="00AE0396"/>
    <w:rsid w:val="00AE03E5"/>
    <w:rsid w:val="00AE0466"/>
    <w:rsid w:val="00AE05A8"/>
    <w:rsid w:val="00AE05D3"/>
    <w:rsid w:val="00AE05ED"/>
    <w:rsid w:val="00AE0708"/>
    <w:rsid w:val="00AE0857"/>
    <w:rsid w:val="00AE08E6"/>
    <w:rsid w:val="00AE0931"/>
    <w:rsid w:val="00AE097D"/>
    <w:rsid w:val="00AE0A9F"/>
    <w:rsid w:val="00AE0AB4"/>
    <w:rsid w:val="00AE0DA5"/>
    <w:rsid w:val="00AE0DA9"/>
    <w:rsid w:val="00AE0E86"/>
    <w:rsid w:val="00AE0F83"/>
    <w:rsid w:val="00AE10A2"/>
    <w:rsid w:val="00AE1130"/>
    <w:rsid w:val="00AE120F"/>
    <w:rsid w:val="00AE121C"/>
    <w:rsid w:val="00AE1448"/>
    <w:rsid w:val="00AE1472"/>
    <w:rsid w:val="00AE14D6"/>
    <w:rsid w:val="00AE150A"/>
    <w:rsid w:val="00AE1556"/>
    <w:rsid w:val="00AE15BC"/>
    <w:rsid w:val="00AE15EE"/>
    <w:rsid w:val="00AE15F6"/>
    <w:rsid w:val="00AE162A"/>
    <w:rsid w:val="00AE1791"/>
    <w:rsid w:val="00AE17ED"/>
    <w:rsid w:val="00AE1812"/>
    <w:rsid w:val="00AE1956"/>
    <w:rsid w:val="00AE1ACA"/>
    <w:rsid w:val="00AE1B1F"/>
    <w:rsid w:val="00AE1B62"/>
    <w:rsid w:val="00AE1B99"/>
    <w:rsid w:val="00AE1BF2"/>
    <w:rsid w:val="00AE1C5A"/>
    <w:rsid w:val="00AE1C72"/>
    <w:rsid w:val="00AE1E52"/>
    <w:rsid w:val="00AE1E57"/>
    <w:rsid w:val="00AE1F84"/>
    <w:rsid w:val="00AE1F88"/>
    <w:rsid w:val="00AE1FFB"/>
    <w:rsid w:val="00AE2117"/>
    <w:rsid w:val="00AE220B"/>
    <w:rsid w:val="00AE2284"/>
    <w:rsid w:val="00AE22B5"/>
    <w:rsid w:val="00AE23EE"/>
    <w:rsid w:val="00AE2410"/>
    <w:rsid w:val="00AE24EC"/>
    <w:rsid w:val="00AE250A"/>
    <w:rsid w:val="00AE250B"/>
    <w:rsid w:val="00AE255B"/>
    <w:rsid w:val="00AE2628"/>
    <w:rsid w:val="00AE263C"/>
    <w:rsid w:val="00AE266D"/>
    <w:rsid w:val="00AE26D0"/>
    <w:rsid w:val="00AE274F"/>
    <w:rsid w:val="00AE275D"/>
    <w:rsid w:val="00AE278C"/>
    <w:rsid w:val="00AE2822"/>
    <w:rsid w:val="00AE285B"/>
    <w:rsid w:val="00AE2877"/>
    <w:rsid w:val="00AE28BA"/>
    <w:rsid w:val="00AE28CE"/>
    <w:rsid w:val="00AE2985"/>
    <w:rsid w:val="00AE29D2"/>
    <w:rsid w:val="00AE2A50"/>
    <w:rsid w:val="00AE2AE5"/>
    <w:rsid w:val="00AE2C28"/>
    <w:rsid w:val="00AE2C78"/>
    <w:rsid w:val="00AE2CD2"/>
    <w:rsid w:val="00AE2D0B"/>
    <w:rsid w:val="00AE2D1A"/>
    <w:rsid w:val="00AE2D69"/>
    <w:rsid w:val="00AE2D89"/>
    <w:rsid w:val="00AE2D93"/>
    <w:rsid w:val="00AE3007"/>
    <w:rsid w:val="00AE3142"/>
    <w:rsid w:val="00AE3148"/>
    <w:rsid w:val="00AE316A"/>
    <w:rsid w:val="00AE321D"/>
    <w:rsid w:val="00AE336D"/>
    <w:rsid w:val="00AE33BE"/>
    <w:rsid w:val="00AE341A"/>
    <w:rsid w:val="00AE3529"/>
    <w:rsid w:val="00AE3585"/>
    <w:rsid w:val="00AE35CA"/>
    <w:rsid w:val="00AE366C"/>
    <w:rsid w:val="00AE36C1"/>
    <w:rsid w:val="00AE3814"/>
    <w:rsid w:val="00AE3833"/>
    <w:rsid w:val="00AE394D"/>
    <w:rsid w:val="00AE3959"/>
    <w:rsid w:val="00AE39CA"/>
    <w:rsid w:val="00AE3A05"/>
    <w:rsid w:val="00AE3AF4"/>
    <w:rsid w:val="00AE3B12"/>
    <w:rsid w:val="00AE3B37"/>
    <w:rsid w:val="00AE3BB6"/>
    <w:rsid w:val="00AE3C2F"/>
    <w:rsid w:val="00AE3C45"/>
    <w:rsid w:val="00AE3C46"/>
    <w:rsid w:val="00AE3CE0"/>
    <w:rsid w:val="00AE3D20"/>
    <w:rsid w:val="00AE3D76"/>
    <w:rsid w:val="00AE3DB2"/>
    <w:rsid w:val="00AE3DDC"/>
    <w:rsid w:val="00AE3DF5"/>
    <w:rsid w:val="00AE3E0B"/>
    <w:rsid w:val="00AE3EE6"/>
    <w:rsid w:val="00AE3F90"/>
    <w:rsid w:val="00AE3FAE"/>
    <w:rsid w:val="00AE3FE0"/>
    <w:rsid w:val="00AE3FE4"/>
    <w:rsid w:val="00AE401E"/>
    <w:rsid w:val="00AE40E1"/>
    <w:rsid w:val="00AE4171"/>
    <w:rsid w:val="00AE417F"/>
    <w:rsid w:val="00AE41F6"/>
    <w:rsid w:val="00AE4226"/>
    <w:rsid w:val="00AE42CC"/>
    <w:rsid w:val="00AE42F9"/>
    <w:rsid w:val="00AE4374"/>
    <w:rsid w:val="00AE4396"/>
    <w:rsid w:val="00AE43C7"/>
    <w:rsid w:val="00AE4474"/>
    <w:rsid w:val="00AE44FE"/>
    <w:rsid w:val="00AE4574"/>
    <w:rsid w:val="00AE45AE"/>
    <w:rsid w:val="00AE45B5"/>
    <w:rsid w:val="00AE461C"/>
    <w:rsid w:val="00AE46C5"/>
    <w:rsid w:val="00AE46D2"/>
    <w:rsid w:val="00AE471A"/>
    <w:rsid w:val="00AE4778"/>
    <w:rsid w:val="00AE47AD"/>
    <w:rsid w:val="00AE47CD"/>
    <w:rsid w:val="00AE4861"/>
    <w:rsid w:val="00AE4884"/>
    <w:rsid w:val="00AE48C0"/>
    <w:rsid w:val="00AE4917"/>
    <w:rsid w:val="00AE4A5C"/>
    <w:rsid w:val="00AE4A74"/>
    <w:rsid w:val="00AE4A9A"/>
    <w:rsid w:val="00AE4C91"/>
    <w:rsid w:val="00AE4CD3"/>
    <w:rsid w:val="00AE4DCF"/>
    <w:rsid w:val="00AE4E02"/>
    <w:rsid w:val="00AE4E15"/>
    <w:rsid w:val="00AE4EA6"/>
    <w:rsid w:val="00AE4F94"/>
    <w:rsid w:val="00AE4FDF"/>
    <w:rsid w:val="00AE4FE6"/>
    <w:rsid w:val="00AE5038"/>
    <w:rsid w:val="00AE5076"/>
    <w:rsid w:val="00AE51D8"/>
    <w:rsid w:val="00AE529D"/>
    <w:rsid w:val="00AE538A"/>
    <w:rsid w:val="00AE53FC"/>
    <w:rsid w:val="00AE54E9"/>
    <w:rsid w:val="00AE550A"/>
    <w:rsid w:val="00AE5667"/>
    <w:rsid w:val="00AE568E"/>
    <w:rsid w:val="00AE56BD"/>
    <w:rsid w:val="00AE571B"/>
    <w:rsid w:val="00AE57D8"/>
    <w:rsid w:val="00AE57FB"/>
    <w:rsid w:val="00AE5807"/>
    <w:rsid w:val="00AE589C"/>
    <w:rsid w:val="00AE58C4"/>
    <w:rsid w:val="00AE58FC"/>
    <w:rsid w:val="00AE5917"/>
    <w:rsid w:val="00AE5939"/>
    <w:rsid w:val="00AE5A14"/>
    <w:rsid w:val="00AE5BD2"/>
    <w:rsid w:val="00AE5C5B"/>
    <w:rsid w:val="00AE5C80"/>
    <w:rsid w:val="00AE5CCB"/>
    <w:rsid w:val="00AE5D64"/>
    <w:rsid w:val="00AE5D6A"/>
    <w:rsid w:val="00AE5E6C"/>
    <w:rsid w:val="00AE5E81"/>
    <w:rsid w:val="00AE5E8C"/>
    <w:rsid w:val="00AE5EC0"/>
    <w:rsid w:val="00AE5F6A"/>
    <w:rsid w:val="00AE6009"/>
    <w:rsid w:val="00AE6109"/>
    <w:rsid w:val="00AE6124"/>
    <w:rsid w:val="00AE6140"/>
    <w:rsid w:val="00AE617B"/>
    <w:rsid w:val="00AE6192"/>
    <w:rsid w:val="00AE6235"/>
    <w:rsid w:val="00AE62D2"/>
    <w:rsid w:val="00AE63F0"/>
    <w:rsid w:val="00AE6415"/>
    <w:rsid w:val="00AE6440"/>
    <w:rsid w:val="00AE6491"/>
    <w:rsid w:val="00AE64CF"/>
    <w:rsid w:val="00AE6517"/>
    <w:rsid w:val="00AE655F"/>
    <w:rsid w:val="00AE658A"/>
    <w:rsid w:val="00AE65DF"/>
    <w:rsid w:val="00AE65F8"/>
    <w:rsid w:val="00AE661F"/>
    <w:rsid w:val="00AE6629"/>
    <w:rsid w:val="00AE668C"/>
    <w:rsid w:val="00AE671E"/>
    <w:rsid w:val="00AE67C7"/>
    <w:rsid w:val="00AE6822"/>
    <w:rsid w:val="00AE6A98"/>
    <w:rsid w:val="00AE6B7C"/>
    <w:rsid w:val="00AE6BD0"/>
    <w:rsid w:val="00AE6D2A"/>
    <w:rsid w:val="00AE6D4A"/>
    <w:rsid w:val="00AE6E2B"/>
    <w:rsid w:val="00AE6F7A"/>
    <w:rsid w:val="00AE7034"/>
    <w:rsid w:val="00AE7055"/>
    <w:rsid w:val="00AE70ED"/>
    <w:rsid w:val="00AE721A"/>
    <w:rsid w:val="00AE72D4"/>
    <w:rsid w:val="00AE7328"/>
    <w:rsid w:val="00AE7411"/>
    <w:rsid w:val="00AE7470"/>
    <w:rsid w:val="00AE756E"/>
    <w:rsid w:val="00AE7575"/>
    <w:rsid w:val="00AE7600"/>
    <w:rsid w:val="00AE765A"/>
    <w:rsid w:val="00AE7696"/>
    <w:rsid w:val="00AE76BE"/>
    <w:rsid w:val="00AE7713"/>
    <w:rsid w:val="00AE7856"/>
    <w:rsid w:val="00AE789F"/>
    <w:rsid w:val="00AE78E7"/>
    <w:rsid w:val="00AE7A71"/>
    <w:rsid w:val="00AE7AF7"/>
    <w:rsid w:val="00AE7B97"/>
    <w:rsid w:val="00AE7C9E"/>
    <w:rsid w:val="00AE7CDF"/>
    <w:rsid w:val="00AE7D06"/>
    <w:rsid w:val="00AE7EE1"/>
    <w:rsid w:val="00AE7F05"/>
    <w:rsid w:val="00AF0069"/>
    <w:rsid w:val="00AF0087"/>
    <w:rsid w:val="00AF00A3"/>
    <w:rsid w:val="00AF00A4"/>
    <w:rsid w:val="00AF00EE"/>
    <w:rsid w:val="00AF016B"/>
    <w:rsid w:val="00AF0266"/>
    <w:rsid w:val="00AF027A"/>
    <w:rsid w:val="00AF02B1"/>
    <w:rsid w:val="00AF02D9"/>
    <w:rsid w:val="00AF032A"/>
    <w:rsid w:val="00AF0338"/>
    <w:rsid w:val="00AF0400"/>
    <w:rsid w:val="00AF0430"/>
    <w:rsid w:val="00AF04A2"/>
    <w:rsid w:val="00AF0515"/>
    <w:rsid w:val="00AF0527"/>
    <w:rsid w:val="00AF06F1"/>
    <w:rsid w:val="00AF0729"/>
    <w:rsid w:val="00AF0730"/>
    <w:rsid w:val="00AF0732"/>
    <w:rsid w:val="00AF074D"/>
    <w:rsid w:val="00AF0757"/>
    <w:rsid w:val="00AF07CD"/>
    <w:rsid w:val="00AF0809"/>
    <w:rsid w:val="00AF080B"/>
    <w:rsid w:val="00AF081D"/>
    <w:rsid w:val="00AF0893"/>
    <w:rsid w:val="00AF08BE"/>
    <w:rsid w:val="00AF09CB"/>
    <w:rsid w:val="00AF0A16"/>
    <w:rsid w:val="00AF0A26"/>
    <w:rsid w:val="00AF0A78"/>
    <w:rsid w:val="00AF0C6A"/>
    <w:rsid w:val="00AF0C6D"/>
    <w:rsid w:val="00AF0D59"/>
    <w:rsid w:val="00AF0DBC"/>
    <w:rsid w:val="00AF0E43"/>
    <w:rsid w:val="00AF0E7C"/>
    <w:rsid w:val="00AF0E98"/>
    <w:rsid w:val="00AF0F10"/>
    <w:rsid w:val="00AF1008"/>
    <w:rsid w:val="00AF115B"/>
    <w:rsid w:val="00AF118F"/>
    <w:rsid w:val="00AF11CF"/>
    <w:rsid w:val="00AF11D8"/>
    <w:rsid w:val="00AF11E8"/>
    <w:rsid w:val="00AF11FA"/>
    <w:rsid w:val="00AF1285"/>
    <w:rsid w:val="00AF128C"/>
    <w:rsid w:val="00AF1302"/>
    <w:rsid w:val="00AF140A"/>
    <w:rsid w:val="00AF1445"/>
    <w:rsid w:val="00AF145E"/>
    <w:rsid w:val="00AF14A7"/>
    <w:rsid w:val="00AF1645"/>
    <w:rsid w:val="00AF1647"/>
    <w:rsid w:val="00AF166E"/>
    <w:rsid w:val="00AF168D"/>
    <w:rsid w:val="00AF16EF"/>
    <w:rsid w:val="00AF1775"/>
    <w:rsid w:val="00AF183C"/>
    <w:rsid w:val="00AF18A9"/>
    <w:rsid w:val="00AF1919"/>
    <w:rsid w:val="00AF19D2"/>
    <w:rsid w:val="00AF19E7"/>
    <w:rsid w:val="00AF1A10"/>
    <w:rsid w:val="00AF1A3F"/>
    <w:rsid w:val="00AF1AC4"/>
    <w:rsid w:val="00AF1BB0"/>
    <w:rsid w:val="00AF1BB4"/>
    <w:rsid w:val="00AF1BE3"/>
    <w:rsid w:val="00AF1C4B"/>
    <w:rsid w:val="00AF1DA7"/>
    <w:rsid w:val="00AF1E32"/>
    <w:rsid w:val="00AF2017"/>
    <w:rsid w:val="00AF2133"/>
    <w:rsid w:val="00AF21BE"/>
    <w:rsid w:val="00AF2257"/>
    <w:rsid w:val="00AF228B"/>
    <w:rsid w:val="00AF2399"/>
    <w:rsid w:val="00AF23A7"/>
    <w:rsid w:val="00AF2434"/>
    <w:rsid w:val="00AF244F"/>
    <w:rsid w:val="00AF2520"/>
    <w:rsid w:val="00AF2530"/>
    <w:rsid w:val="00AF2675"/>
    <w:rsid w:val="00AF26A9"/>
    <w:rsid w:val="00AF2714"/>
    <w:rsid w:val="00AF276D"/>
    <w:rsid w:val="00AF27C4"/>
    <w:rsid w:val="00AF2881"/>
    <w:rsid w:val="00AF28F7"/>
    <w:rsid w:val="00AF2969"/>
    <w:rsid w:val="00AF29B2"/>
    <w:rsid w:val="00AF2A24"/>
    <w:rsid w:val="00AF2A2B"/>
    <w:rsid w:val="00AF2A3F"/>
    <w:rsid w:val="00AF2A65"/>
    <w:rsid w:val="00AF2AE0"/>
    <w:rsid w:val="00AF2BB7"/>
    <w:rsid w:val="00AF2CC4"/>
    <w:rsid w:val="00AF2CF4"/>
    <w:rsid w:val="00AF2D3E"/>
    <w:rsid w:val="00AF2E0F"/>
    <w:rsid w:val="00AF2E77"/>
    <w:rsid w:val="00AF2EB5"/>
    <w:rsid w:val="00AF2EE1"/>
    <w:rsid w:val="00AF2F1C"/>
    <w:rsid w:val="00AF2F27"/>
    <w:rsid w:val="00AF2F5F"/>
    <w:rsid w:val="00AF2FDB"/>
    <w:rsid w:val="00AF301A"/>
    <w:rsid w:val="00AF30BC"/>
    <w:rsid w:val="00AF31CB"/>
    <w:rsid w:val="00AF31E7"/>
    <w:rsid w:val="00AF3237"/>
    <w:rsid w:val="00AF3247"/>
    <w:rsid w:val="00AF3286"/>
    <w:rsid w:val="00AF3296"/>
    <w:rsid w:val="00AF32A1"/>
    <w:rsid w:val="00AF3309"/>
    <w:rsid w:val="00AF3352"/>
    <w:rsid w:val="00AF3358"/>
    <w:rsid w:val="00AF34B5"/>
    <w:rsid w:val="00AF34FB"/>
    <w:rsid w:val="00AF355B"/>
    <w:rsid w:val="00AF358C"/>
    <w:rsid w:val="00AF35C2"/>
    <w:rsid w:val="00AF35F0"/>
    <w:rsid w:val="00AF361D"/>
    <w:rsid w:val="00AF363C"/>
    <w:rsid w:val="00AF364F"/>
    <w:rsid w:val="00AF3684"/>
    <w:rsid w:val="00AF36F2"/>
    <w:rsid w:val="00AF376A"/>
    <w:rsid w:val="00AF376F"/>
    <w:rsid w:val="00AF37AA"/>
    <w:rsid w:val="00AF381E"/>
    <w:rsid w:val="00AF3829"/>
    <w:rsid w:val="00AF3950"/>
    <w:rsid w:val="00AF396D"/>
    <w:rsid w:val="00AF397A"/>
    <w:rsid w:val="00AF39B1"/>
    <w:rsid w:val="00AF39E3"/>
    <w:rsid w:val="00AF3A58"/>
    <w:rsid w:val="00AF3A70"/>
    <w:rsid w:val="00AF3AB8"/>
    <w:rsid w:val="00AF3B6F"/>
    <w:rsid w:val="00AF3B75"/>
    <w:rsid w:val="00AF3BB1"/>
    <w:rsid w:val="00AF3C15"/>
    <w:rsid w:val="00AF3C19"/>
    <w:rsid w:val="00AF3C40"/>
    <w:rsid w:val="00AF3CD0"/>
    <w:rsid w:val="00AF3CDF"/>
    <w:rsid w:val="00AF3D18"/>
    <w:rsid w:val="00AF3D61"/>
    <w:rsid w:val="00AF3F3B"/>
    <w:rsid w:val="00AF3FDC"/>
    <w:rsid w:val="00AF404E"/>
    <w:rsid w:val="00AF40D1"/>
    <w:rsid w:val="00AF4192"/>
    <w:rsid w:val="00AF41E6"/>
    <w:rsid w:val="00AF4223"/>
    <w:rsid w:val="00AF42CE"/>
    <w:rsid w:val="00AF4318"/>
    <w:rsid w:val="00AF435B"/>
    <w:rsid w:val="00AF43FC"/>
    <w:rsid w:val="00AF4493"/>
    <w:rsid w:val="00AF44C8"/>
    <w:rsid w:val="00AF4516"/>
    <w:rsid w:val="00AF4599"/>
    <w:rsid w:val="00AF45DD"/>
    <w:rsid w:val="00AF46C8"/>
    <w:rsid w:val="00AF4705"/>
    <w:rsid w:val="00AF4770"/>
    <w:rsid w:val="00AF477B"/>
    <w:rsid w:val="00AF4788"/>
    <w:rsid w:val="00AF47CC"/>
    <w:rsid w:val="00AF4827"/>
    <w:rsid w:val="00AF4833"/>
    <w:rsid w:val="00AF48F3"/>
    <w:rsid w:val="00AF48F5"/>
    <w:rsid w:val="00AF4911"/>
    <w:rsid w:val="00AF4926"/>
    <w:rsid w:val="00AF49EB"/>
    <w:rsid w:val="00AF49FF"/>
    <w:rsid w:val="00AF4A63"/>
    <w:rsid w:val="00AF4A7C"/>
    <w:rsid w:val="00AF4AF7"/>
    <w:rsid w:val="00AF4B8F"/>
    <w:rsid w:val="00AF4BC6"/>
    <w:rsid w:val="00AF4C59"/>
    <w:rsid w:val="00AF4CF5"/>
    <w:rsid w:val="00AF4D0F"/>
    <w:rsid w:val="00AF4DA1"/>
    <w:rsid w:val="00AF4DD4"/>
    <w:rsid w:val="00AF4DDD"/>
    <w:rsid w:val="00AF4E1F"/>
    <w:rsid w:val="00AF4E8A"/>
    <w:rsid w:val="00AF4EB1"/>
    <w:rsid w:val="00AF4EB3"/>
    <w:rsid w:val="00AF4EC1"/>
    <w:rsid w:val="00AF4F04"/>
    <w:rsid w:val="00AF4F0F"/>
    <w:rsid w:val="00AF4FC6"/>
    <w:rsid w:val="00AF4FF5"/>
    <w:rsid w:val="00AF5115"/>
    <w:rsid w:val="00AF51A5"/>
    <w:rsid w:val="00AF51FC"/>
    <w:rsid w:val="00AF5200"/>
    <w:rsid w:val="00AF535D"/>
    <w:rsid w:val="00AF5387"/>
    <w:rsid w:val="00AF53BB"/>
    <w:rsid w:val="00AF54B3"/>
    <w:rsid w:val="00AF55FA"/>
    <w:rsid w:val="00AF5627"/>
    <w:rsid w:val="00AF5643"/>
    <w:rsid w:val="00AF568A"/>
    <w:rsid w:val="00AF568D"/>
    <w:rsid w:val="00AF571E"/>
    <w:rsid w:val="00AF5724"/>
    <w:rsid w:val="00AF5728"/>
    <w:rsid w:val="00AF5780"/>
    <w:rsid w:val="00AF584C"/>
    <w:rsid w:val="00AF5897"/>
    <w:rsid w:val="00AF5A1B"/>
    <w:rsid w:val="00AF5B8A"/>
    <w:rsid w:val="00AF5BD8"/>
    <w:rsid w:val="00AF5C15"/>
    <w:rsid w:val="00AF5CE6"/>
    <w:rsid w:val="00AF5D00"/>
    <w:rsid w:val="00AF5D3D"/>
    <w:rsid w:val="00AF5DEF"/>
    <w:rsid w:val="00AF5E33"/>
    <w:rsid w:val="00AF5E90"/>
    <w:rsid w:val="00AF5F76"/>
    <w:rsid w:val="00AF6018"/>
    <w:rsid w:val="00AF60B3"/>
    <w:rsid w:val="00AF60E4"/>
    <w:rsid w:val="00AF6131"/>
    <w:rsid w:val="00AF6172"/>
    <w:rsid w:val="00AF617C"/>
    <w:rsid w:val="00AF6215"/>
    <w:rsid w:val="00AF6251"/>
    <w:rsid w:val="00AF62C6"/>
    <w:rsid w:val="00AF62E5"/>
    <w:rsid w:val="00AF6429"/>
    <w:rsid w:val="00AF6472"/>
    <w:rsid w:val="00AF64FF"/>
    <w:rsid w:val="00AF67C8"/>
    <w:rsid w:val="00AF67E4"/>
    <w:rsid w:val="00AF68CE"/>
    <w:rsid w:val="00AF690B"/>
    <w:rsid w:val="00AF6997"/>
    <w:rsid w:val="00AF6B1E"/>
    <w:rsid w:val="00AF6BBD"/>
    <w:rsid w:val="00AF6C0B"/>
    <w:rsid w:val="00AF6C3F"/>
    <w:rsid w:val="00AF6C60"/>
    <w:rsid w:val="00AF6C9C"/>
    <w:rsid w:val="00AF6DD4"/>
    <w:rsid w:val="00AF6DE6"/>
    <w:rsid w:val="00AF6DF2"/>
    <w:rsid w:val="00AF6E8C"/>
    <w:rsid w:val="00AF6FD0"/>
    <w:rsid w:val="00AF6FF4"/>
    <w:rsid w:val="00AF7067"/>
    <w:rsid w:val="00AF712C"/>
    <w:rsid w:val="00AF714C"/>
    <w:rsid w:val="00AF7199"/>
    <w:rsid w:val="00AF73BD"/>
    <w:rsid w:val="00AF74BE"/>
    <w:rsid w:val="00AF75FD"/>
    <w:rsid w:val="00AF76E4"/>
    <w:rsid w:val="00AF76F1"/>
    <w:rsid w:val="00AF7781"/>
    <w:rsid w:val="00AF78B1"/>
    <w:rsid w:val="00AF791E"/>
    <w:rsid w:val="00AF7929"/>
    <w:rsid w:val="00AF79A0"/>
    <w:rsid w:val="00AF79B7"/>
    <w:rsid w:val="00AF7A29"/>
    <w:rsid w:val="00AF7A46"/>
    <w:rsid w:val="00AF7A6C"/>
    <w:rsid w:val="00AF7A91"/>
    <w:rsid w:val="00AF7AA8"/>
    <w:rsid w:val="00AF7B55"/>
    <w:rsid w:val="00AF7C45"/>
    <w:rsid w:val="00AF7CA2"/>
    <w:rsid w:val="00AF7EC5"/>
    <w:rsid w:val="00AF7F98"/>
    <w:rsid w:val="00AF7FB4"/>
    <w:rsid w:val="00AF7FC4"/>
    <w:rsid w:val="00AF7FEE"/>
    <w:rsid w:val="00B00030"/>
    <w:rsid w:val="00B00109"/>
    <w:rsid w:val="00B00145"/>
    <w:rsid w:val="00B0018C"/>
    <w:rsid w:val="00B00206"/>
    <w:rsid w:val="00B0023E"/>
    <w:rsid w:val="00B00273"/>
    <w:rsid w:val="00B00353"/>
    <w:rsid w:val="00B00407"/>
    <w:rsid w:val="00B00415"/>
    <w:rsid w:val="00B0045E"/>
    <w:rsid w:val="00B004A7"/>
    <w:rsid w:val="00B004E4"/>
    <w:rsid w:val="00B00515"/>
    <w:rsid w:val="00B00689"/>
    <w:rsid w:val="00B006BE"/>
    <w:rsid w:val="00B006C7"/>
    <w:rsid w:val="00B006F6"/>
    <w:rsid w:val="00B0081A"/>
    <w:rsid w:val="00B008AE"/>
    <w:rsid w:val="00B008D9"/>
    <w:rsid w:val="00B008DB"/>
    <w:rsid w:val="00B00920"/>
    <w:rsid w:val="00B00925"/>
    <w:rsid w:val="00B00A48"/>
    <w:rsid w:val="00B00A94"/>
    <w:rsid w:val="00B00C27"/>
    <w:rsid w:val="00B00C71"/>
    <w:rsid w:val="00B00CA7"/>
    <w:rsid w:val="00B00D40"/>
    <w:rsid w:val="00B00D79"/>
    <w:rsid w:val="00B00DB7"/>
    <w:rsid w:val="00B00DB8"/>
    <w:rsid w:val="00B00DF6"/>
    <w:rsid w:val="00B00E0E"/>
    <w:rsid w:val="00B00E6B"/>
    <w:rsid w:val="00B00E95"/>
    <w:rsid w:val="00B00F1B"/>
    <w:rsid w:val="00B00F1C"/>
    <w:rsid w:val="00B00F74"/>
    <w:rsid w:val="00B00FBF"/>
    <w:rsid w:val="00B00FE3"/>
    <w:rsid w:val="00B0105E"/>
    <w:rsid w:val="00B0109F"/>
    <w:rsid w:val="00B010AF"/>
    <w:rsid w:val="00B010C0"/>
    <w:rsid w:val="00B011E8"/>
    <w:rsid w:val="00B0128F"/>
    <w:rsid w:val="00B012DE"/>
    <w:rsid w:val="00B013C6"/>
    <w:rsid w:val="00B01421"/>
    <w:rsid w:val="00B0143E"/>
    <w:rsid w:val="00B01490"/>
    <w:rsid w:val="00B01598"/>
    <w:rsid w:val="00B015EE"/>
    <w:rsid w:val="00B01617"/>
    <w:rsid w:val="00B01655"/>
    <w:rsid w:val="00B01830"/>
    <w:rsid w:val="00B01882"/>
    <w:rsid w:val="00B01A5F"/>
    <w:rsid w:val="00B01AA0"/>
    <w:rsid w:val="00B01AF5"/>
    <w:rsid w:val="00B01B27"/>
    <w:rsid w:val="00B01B4F"/>
    <w:rsid w:val="00B01BCB"/>
    <w:rsid w:val="00B01BFB"/>
    <w:rsid w:val="00B01C2B"/>
    <w:rsid w:val="00B01CC9"/>
    <w:rsid w:val="00B01D66"/>
    <w:rsid w:val="00B01DA8"/>
    <w:rsid w:val="00B01E95"/>
    <w:rsid w:val="00B020CD"/>
    <w:rsid w:val="00B02103"/>
    <w:rsid w:val="00B02182"/>
    <w:rsid w:val="00B02283"/>
    <w:rsid w:val="00B022BF"/>
    <w:rsid w:val="00B02545"/>
    <w:rsid w:val="00B025B9"/>
    <w:rsid w:val="00B025E6"/>
    <w:rsid w:val="00B02625"/>
    <w:rsid w:val="00B0267A"/>
    <w:rsid w:val="00B02794"/>
    <w:rsid w:val="00B027E2"/>
    <w:rsid w:val="00B0286A"/>
    <w:rsid w:val="00B028AB"/>
    <w:rsid w:val="00B0298D"/>
    <w:rsid w:val="00B029AA"/>
    <w:rsid w:val="00B02AEE"/>
    <w:rsid w:val="00B02AF1"/>
    <w:rsid w:val="00B02B95"/>
    <w:rsid w:val="00B02BA5"/>
    <w:rsid w:val="00B02BAC"/>
    <w:rsid w:val="00B02BCF"/>
    <w:rsid w:val="00B02C69"/>
    <w:rsid w:val="00B02C87"/>
    <w:rsid w:val="00B02D0E"/>
    <w:rsid w:val="00B02D6D"/>
    <w:rsid w:val="00B02D7C"/>
    <w:rsid w:val="00B02DE2"/>
    <w:rsid w:val="00B02E1F"/>
    <w:rsid w:val="00B02EA5"/>
    <w:rsid w:val="00B02F3A"/>
    <w:rsid w:val="00B02F5C"/>
    <w:rsid w:val="00B02FA6"/>
    <w:rsid w:val="00B02FD5"/>
    <w:rsid w:val="00B03074"/>
    <w:rsid w:val="00B030A6"/>
    <w:rsid w:val="00B030C4"/>
    <w:rsid w:val="00B030CD"/>
    <w:rsid w:val="00B03136"/>
    <w:rsid w:val="00B031AA"/>
    <w:rsid w:val="00B031DD"/>
    <w:rsid w:val="00B031EC"/>
    <w:rsid w:val="00B031ED"/>
    <w:rsid w:val="00B0328B"/>
    <w:rsid w:val="00B0332C"/>
    <w:rsid w:val="00B03369"/>
    <w:rsid w:val="00B03397"/>
    <w:rsid w:val="00B033AA"/>
    <w:rsid w:val="00B033CF"/>
    <w:rsid w:val="00B034DD"/>
    <w:rsid w:val="00B0370A"/>
    <w:rsid w:val="00B03876"/>
    <w:rsid w:val="00B039C2"/>
    <w:rsid w:val="00B03A25"/>
    <w:rsid w:val="00B03A83"/>
    <w:rsid w:val="00B03AA4"/>
    <w:rsid w:val="00B03E55"/>
    <w:rsid w:val="00B03ED6"/>
    <w:rsid w:val="00B03F44"/>
    <w:rsid w:val="00B03F52"/>
    <w:rsid w:val="00B03FC8"/>
    <w:rsid w:val="00B03FD7"/>
    <w:rsid w:val="00B04040"/>
    <w:rsid w:val="00B04050"/>
    <w:rsid w:val="00B04123"/>
    <w:rsid w:val="00B0413A"/>
    <w:rsid w:val="00B04147"/>
    <w:rsid w:val="00B0423B"/>
    <w:rsid w:val="00B042C3"/>
    <w:rsid w:val="00B042C7"/>
    <w:rsid w:val="00B0433F"/>
    <w:rsid w:val="00B0434D"/>
    <w:rsid w:val="00B0438F"/>
    <w:rsid w:val="00B043AA"/>
    <w:rsid w:val="00B0444B"/>
    <w:rsid w:val="00B04496"/>
    <w:rsid w:val="00B044FF"/>
    <w:rsid w:val="00B045B4"/>
    <w:rsid w:val="00B0469A"/>
    <w:rsid w:val="00B04760"/>
    <w:rsid w:val="00B04776"/>
    <w:rsid w:val="00B047B4"/>
    <w:rsid w:val="00B04808"/>
    <w:rsid w:val="00B04812"/>
    <w:rsid w:val="00B04863"/>
    <w:rsid w:val="00B049E1"/>
    <w:rsid w:val="00B04A9D"/>
    <w:rsid w:val="00B04B32"/>
    <w:rsid w:val="00B04BB3"/>
    <w:rsid w:val="00B04CF5"/>
    <w:rsid w:val="00B04D23"/>
    <w:rsid w:val="00B04D5D"/>
    <w:rsid w:val="00B04E5A"/>
    <w:rsid w:val="00B04EF2"/>
    <w:rsid w:val="00B04F20"/>
    <w:rsid w:val="00B05015"/>
    <w:rsid w:val="00B05089"/>
    <w:rsid w:val="00B050BC"/>
    <w:rsid w:val="00B05134"/>
    <w:rsid w:val="00B05140"/>
    <w:rsid w:val="00B051D5"/>
    <w:rsid w:val="00B05255"/>
    <w:rsid w:val="00B0525C"/>
    <w:rsid w:val="00B052AB"/>
    <w:rsid w:val="00B052BA"/>
    <w:rsid w:val="00B0537B"/>
    <w:rsid w:val="00B05385"/>
    <w:rsid w:val="00B05444"/>
    <w:rsid w:val="00B05513"/>
    <w:rsid w:val="00B0555B"/>
    <w:rsid w:val="00B05678"/>
    <w:rsid w:val="00B0579F"/>
    <w:rsid w:val="00B057A4"/>
    <w:rsid w:val="00B05835"/>
    <w:rsid w:val="00B05861"/>
    <w:rsid w:val="00B058F3"/>
    <w:rsid w:val="00B0597D"/>
    <w:rsid w:val="00B05B56"/>
    <w:rsid w:val="00B05C27"/>
    <w:rsid w:val="00B05C8C"/>
    <w:rsid w:val="00B05CEC"/>
    <w:rsid w:val="00B05DAA"/>
    <w:rsid w:val="00B05DC9"/>
    <w:rsid w:val="00B060A0"/>
    <w:rsid w:val="00B0610C"/>
    <w:rsid w:val="00B0618A"/>
    <w:rsid w:val="00B0619F"/>
    <w:rsid w:val="00B061D5"/>
    <w:rsid w:val="00B06277"/>
    <w:rsid w:val="00B06364"/>
    <w:rsid w:val="00B063CF"/>
    <w:rsid w:val="00B063FA"/>
    <w:rsid w:val="00B06493"/>
    <w:rsid w:val="00B0649E"/>
    <w:rsid w:val="00B0657A"/>
    <w:rsid w:val="00B06599"/>
    <w:rsid w:val="00B065F6"/>
    <w:rsid w:val="00B0662F"/>
    <w:rsid w:val="00B06663"/>
    <w:rsid w:val="00B0677B"/>
    <w:rsid w:val="00B06789"/>
    <w:rsid w:val="00B0688F"/>
    <w:rsid w:val="00B06919"/>
    <w:rsid w:val="00B06959"/>
    <w:rsid w:val="00B069D6"/>
    <w:rsid w:val="00B06AD0"/>
    <w:rsid w:val="00B06AE7"/>
    <w:rsid w:val="00B06B61"/>
    <w:rsid w:val="00B06B73"/>
    <w:rsid w:val="00B06BCB"/>
    <w:rsid w:val="00B06C13"/>
    <w:rsid w:val="00B06C8B"/>
    <w:rsid w:val="00B06D86"/>
    <w:rsid w:val="00B06DA6"/>
    <w:rsid w:val="00B06DBF"/>
    <w:rsid w:val="00B06DC8"/>
    <w:rsid w:val="00B06E90"/>
    <w:rsid w:val="00B06EA9"/>
    <w:rsid w:val="00B06EFF"/>
    <w:rsid w:val="00B07064"/>
    <w:rsid w:val="00B0709D"/>
    <w:rsid w:val="00B070D7"/>
    <w:rsid w:val="00B0716C"/>
    <w:rsid w:val="00B0719D"/>
    <w:rsid w:val="00B0722A"/>
    <w:rsid w:val="00B072D0"/>
    <w:rsid w:val="00B072E5"/>
    <w:rsid w:val="00B07315"/>
    <w:rsid w:val="00B0732E"/>
    <w:rsid w:val="00B073AE"/>
    <w:rsid w:val="00B0740E"/>
    <w:rsid w:val="00B0749C"/>
    <w:rsid w:val="00B074AB"/>
    <w:rsid w:val="00B074E1"/>
    <w:rsid w:val="00B074E7"/>
    <w:rsid w:val="00B074ED"/>
    <w:rsid w:val="00B074F6"/>
    <w:rsid w:val="00B07522"/>
    <w:rsid w:val="00B07569"/>
    <w:rsid w:val="00B0771D"/>
    <w:rsid w:val="00B0779B"/>
    <w:rsid w:val="00B077D8"/>
    <w:rsid w:val="00B07852"/>
    <w:rsid w:val="00B078A7"/>
    <w:rsid w:val="00B0791C"/>
    <w:rsid w:val="00B0798A"/>
    <w:rsid w:val="00B07A26"/>
    <w:rsid w:val="00B07B4E"/>
    <w:rsid w:val="00B07B83"/>
    <w:rsid w:val="00B07CB7"/>
    <w:rsid w:val="00B07D3B"/>
    <w:rsid w:val="00B07D90"/>
    <w:rsid w:val="00B07E70"/>
    <w:rsid w:val="00B07E77"/>
    <w:rsid w:val="00B07E99"/>
    <w:rsid w:val="00B07F9C"/>
    <w:rsid w:val="00B07FA6"/>
    <w:rsid w:val="00B1007A"/>
    <w:rsid w:val="00B100E8"/>
    <w:rsid w:val="00B100F0"/>
    <w:rsid w:val="00B10103"/>
    <w:rsid w:val="00B1011C"/>
    <w:rsid w:val="00B10226"/>
    <w:rsid w:val="00B102E7"/>
    <w:rsid w:val="00B10359"/>
    <w:rsid w:val="00B103E3"/>
    <w:rsid w:val="00B1041C"/>
    <w:rsid w:val="00B104DD"/>
    <w:rsid w:val="00B104EA"/>
    <w:rsid w:val="00B10545"/>
    <w:rsid w:val="00B10580"/>
    <w:rsid w:val="00B105A2"/>
    <w:rsid w:val="00B1060E"/>
    <w:rsid w:val="00B10610"/>
    <w:rsid w:val="00B1065B"/>
    <w:rsid w:val="00B10705"/>
    <w:rsid w:val="00B108D4"/>
    <w:rsid w:val="00B108D8"/>
    <w:rsid w:val="00B10A23"/>
    <w:rsid w:val="00B10A47"/>
    <w:rsid w:val="00B10A85"/>
    <w:rsid w:val="00B10ACB"/>
    <w:rsid w:val="00B10AF5"/>
    <w:rsid w:val="00B10B4C"/>
    <w:rsid w:val="00B10B76"/>
    <w:rsid w:val="00B10C24"/>
    <w:rsid w:val="00B10D8A"/>
    <w:rsid w:val="00B10EE4"/>
    <w:rsid w:val="00B10F16"/>
    <w:rsid w:val="00B10F20"/>
    <w:rsid w:val="00B10F3B"/>
    <w:rsid w:val="00B11027"/>
    <w:rsid w:val="00B11039"/>
    <w:rsid w:val="00B110A2"/>
    <w:rsid w:val="00B1111B"/>
    <w:rsid w:val="00B1117C"/>
    <w:rsid w:val="00B111C3"/>
    <w:rsid w:val="00B111C5"/>
    <w:rsid w:val="00B111F3"/>
    <w:rsid w:val="00B1124C"/>
    <w:rsid w:val="00B112D1"/>
    <w:rsid w:val="00B11330"/>
    <w:rsid w:val="00B114B6"/>
    <w:rsid w:val="00B11533"/>
    <w:rsid w:val="00B1153C"/>
    <w:rsid w:val="00B115A6"/>
    <w:rsid w:val="00B115C7"/>
    <w:rsid w:val="00B115E7"/>
    <w:rsid w:val="00B11652"/>
    <w:rsid w:val="00B116CE"/>
    <w:rsid w:val="00B1172B"/>
    <w:rsid w:val="00B1183D"/>
    <w:rsid w:val="00B11895"/>
    <w:rsid w:val="00B118DE"/>
    <w:rsid w:val="00B1199C"/>
    <w:rsid w:val="00B119ED"/>
    <w:rsid w:val="00B11A9F"/>
    <w:rsid w:val="00B11B06"/>
    <w:rsid w:val="00B11B17"/>
    <w:rsid w:val="00B11B3C"/>
    <w:rsid w:val="00B11BEF"/>
    <w:rsid w:val="00B11C39"/>
    <w:rsid w:val="00B11C3D"/>
    <w:rsid w:val="00B11C8B"/>
    <w:rsid w:val="00B11CBD"/>
    <w:rsid w:val="00B11CC8"/>
    <w:rsid w:val="00B11CEC"/>
    <w:rsid w:val="00B11D21"/>
    <w:rsid w:val="00B11DE8"/>
    <w:rsid w:val="00B11E18"/>
    <w:rsid w:val="00B11E1D"/>
    <w:rsid w:val="00B11EBB"/>
    <w:rsid w:val="00B11F3D"/>
    <w:rsid w:val="00B12017"/>
    <w:rsid w:val="00B12043"/>
    <w:rsid w:val="00B120B5"/>
    <w:rsid w:val="00B120BD"/>
    <w:rsid w:val="00B1212A"/>
    <w:rsid w:val="00B1215D"/>
    <w:rsid w:val="00B1217B"/>
    <w:rsid w:val="00B1218A"/>
    <w:rsid w:val="00B1223B"/>
    <w:rsid w:val="00B12273"/>
    <w:rsid w:val="00B122D0"/>
    <w:rsid w:val="00B122FD"/>
    <w:rsid w:val="00B125B3"/>
    <w:rsid w:val="00B125BD"/>
    <w:rsid w:val="00B125C3"/>
    <w:rsid w:val="00B12688"/>
    <w:rsid w:val="00B126BD"/>
    <w:rsid w:val="00B1272C"/>
    <w:rsid w:val="00B1273F"/>
    <w:rsid w:val="00B12740"/>
    <w:rsid w:val="00B1275E"/>
    <w:rsid w:val="00B127D4"/>
    <w:rsid w:val="00B127EC"/>
    <w:rsid w:val="00B127FC"/>
    <w:rsid w:val="00B128E5"/>
    <w:rsid w:val="00B12B43"/>
    <w:rsid w:val="00B12BBF"/>
    <w:rsid w:val="00B12CBD"/>
    <w:rsid w:val="00B12D77"/>
    <w:rsid w:val="00B12EA0"/>
    <w:rsid w:val="00B12EE0"/>
    <w:rsid w:val="00B12F63"/>
    <w:rsid w:val="00B130D6"/>
    <w:rsid w:val="00B13158"/>
    <w:rsid w:val="00B131BD"/>
    <w:rsid w:val="00B13281"/>
    <w:rsid w:val="00B132BA"/>
    <w:rsid w:val="00B132C0"/>
    <w:rsid w:val="00B1341C"/>
    <w:rsid w:val="00B13899"/>
    <w:rsid w:val="00B13951"/>
    <w:rsid w:val="00B13B31"/>
    <w:rsid w:val="00B13BC9"/>
    <w:rsid w:val="00B13C80"/>
    <w:rsid w:val="00B13D16"/>
    <w:rsid w:val="00B13D2F"/>
    <w:rsid w:val="00B13E4B"/>
    <w:rsid w:val="00B13EC9"/>
    <w:rsid w:val="00B14016"/>
    <w:rsid w:val="00B1404D"/>
    <w:rsid w:val="00B14064"/>
    <w:rsid w:val="00B141CE"/>
    <w:rsid w:val="00B141D8"/>
    <w:rsid w:val="00B14303"/>
    <w:rsid w:val="00B14390"/>
    <w:rsid w:val="00B14436"/>
    <w:rsid w:val="00B14542"/>
    <w:rsid w:val="00B145F7"/>
    <w:rsid w:val="00B1461D"/>
    <w:rsid w:val="00B1468E"/>
    <w:rsid w:val="00B1471B"/>
    <w:rsid w:val="00B14764"/>
    <w:rsid w:val="00B147EB"/>
    <w:rsid w:val="00B1494C"/>
    <w:rsid w:val="00B149A3"/>
    <w:rsid w:val="00B14AA6"/>
    <w:rsid w:val="00B14ACB"/>
    <w:rsid w:val="00B14AD2"/>
    <w:rsid w:val="00B14C0F"/>
    <w:rsid w:val="00B14C11"/>
    <w:rsid w:val="00B14C34"/>
    <w:rsid w:val="00B14C3A"/>
    <w:rsid w:val="00B14D6A"/>
    <w:rsid w:val="00B14E1D"/>
    <w:rsid w:val="00B14ECE"/>
    <w:rsid w:val="00B151FF"/>
    <w:rsid w:val="00B15254"/>
    <w:rsid w:val="00B152B6"/>
    <w:rsid w:val="00B152D1"/>
    <w:rsid w:val="00B152D5"/>
    <w:rsid w:val="00B152E2"/>
    <w:rsid w:val="00B152E5"/>
    <w:rsid w:val="00B15360"/>
    <w:rsid w:val="00B153A8"/>
    <w:rsid w:val="00B153D1"/>
    <w:rsid w:val="00B15509"/>
    <w:rsid w:val="00B15548"/>
    <w:rsid w:val="00B155F2"/>
    <w:rsid w:val="00B156C2"/>
    <w:rsid w:val="00B156E2"/>
    <w:rsid w:val="00B15735"/>
    <w:rsid w:val="00B1574B"/>
    <w:rsid w:val="00B15758"/>
    <w:rsid w:val="00B15786"/>
    <w:rsid w:val="00B15906"/>
    <w:rsid w:val="00B1598E"/>
    <w:rsid w:val="00B159AA"/>
    <w:rsid w:val="00B159C0"/>
    <w:rsid w:val="00B159C2"/>
    <w:rsid w:val="00B15A7F"/>
    <w:rsid w:val="00B15A93"/>
    <w:rsid w:val="00B15B0F"/>
    <w:rsid w:val="00B15B30"/>
    <w:rsid w:val="00B15B32"/>
    <w:rsid w:val="00B15BC2"/>
    <w:rsid w:val="00B15C55"/>
    <w:rsid w:val="00B15CEA"/>
    <w:rsid w:val="00B15D7D"/>
    <w:rsid w:val="00B15D90"/>
    <w:rsid w:val="00B15D9A"/>
    <w:rsid w:val="00B15F27"/>
    <w:rsid w:val="00B15FC7"/>
    <w:rsid w:val="00B15FF8"/>
    <w:rsid w:val="00B160C8"/>
    <w:rsid w:val="00B161ED"/>
    <w:rsid w:val="00B1624A"/>
    <w:rsid w:val="00B162F1"/>
    <w:rsid w:val="00B1630B"/>
    <w:rsid w:val="00B1633B"/>
    <w:rsid w:val="00B16472"/>
    <w:rsid w:val="00B16474"/>
    <w:rsid w:val="00B164AE"/>
    <w:rsid w:val="00B1653E"/>
    <w:rsid w:val="00B16565"/>
    <w:rsid w:val="00B165A4"/>
    <w:rsid w:val="00B165BE"/>
    <w:rsid w:val="00B165E2"/>
    <w:rsid w:val="00B16605"/>
    <w:rsid w:val="00B166D5"/>
    <w:rsid w:val="00B16700"/>
    <w:rsid w:val="00B1672E"/>
    <w:rsid w:val="00B16740"/>
    <w:rsid w:val="00B16835"/>
    <w:rsid w:val="00B169C3"/>
    <w:rsid w:val="00B169FF"/>
    <w:rsid w:val="00B16A02"/>
    <w:rsid w:val="00B16A44"/>
    <w:rsid w:val="00B16AFE"/>
    <w:rsid w:val="00B16B80"/>
    <w:rsid w:val="00B16C74"/>
    <w:rsid w:val="00B16CCE"/>
    <w:rsid w:val="00B16D30"/>
    <w:rsid w:val="00B16D39"/>
    <w:rsid w:val="00B16DBF"/>
    <w:rsid w:val="00B16E13"/>
    <w:rsid w:val="00B16E15"/>
    <w:rsid w:val="00B16E9C"/>
    <w:rsid w:val="00B16FB7"/>
    <w:rsid w:val="00B17073"/>
    <w:rsid w:val="00B170A1"/>
    <w:rsid w:val="00B17144"/>
    <w:rsid w:val="00B17146"/>
    <w:rsid w:val="00B171CA"/>
    <w:rsid w:val="00B1722C"/>
    <w:rsid w:val="00B172AF"/>
    <w:rsid w:val="00B172FE"/>
    <w:rsid w:val="00B17311"/>
    <w:rsid w:val="00B1734C"/>
    <w:rsid w:val="00B17425"/>
    <w:rsid w:val="00B1742C"/>
    <w:rsid w:val="00B174B5"/>
    <w:rsid w:val="00B17529"/>
    <w:rsid w:val="00B1753C"/>
    <w:rsid w:val="00B175A6"/>
    <w:rsid w:val="00B175BC"/>
    <w:rsid w:val="00B17609"/>
    <w:rsid w:val="00B17789"/>
    <w:rsid w:val="00B1780D"/>
    <w:rsid w:val="00B17828"/>
    <w:rsid w:val="00B1783C"/>
    <w:rsid w:val="00B1786E"/>
    <w:rsid w:val="00B1788A"/>
    <w:rsid w:val="00B178DD"/>
    <w:rsid w:val="00B17B29"/>
    <w:rsid w:val="00B17B79"/>
    <w:rsid w:val="00B17BCA"/>
    <w:rsid w:val="00B17C2A"/>
    <w:rsid w:val="00B17C77"/>
    <w:rsid w:val="00B17C83"/>
    <w:rsid w:val="00B17CE5"/>
    <w:rsid w:val="00B17D07"/>
    <w:rsid w:val="00B17D19"/>
    <w:rsid w:val="00B17DE7"/>
    <w:rsid w:val="00B17E66"/>
    <w:rsid w:val="00B17ECA"/>
    <w:rsid w:val="00B17F7B"/>
    <w:rsid w:val="00B17F9E"/>
    <w:rsid w:val="00B2008F"/>
    <w:rsid w:val="00B200E1"/>
    <w:rsid w:val="00B2012D"/>
    <w:rsid w:val="00B201A7"/>
    <w:rsid w:val="00B201AE"/>
    <w:rsid w:val="00B20221"/>
    <w:rsid w:val="00B20222"/>
    <w:rsid w:val="00B20299"/>
    <w:rsid w:val="00B202BC"/>
    <w:rsid w:val="00B20315"/>
    <w:rsid w:val="00B20316"/>
    <w:rsid w:val="00B20331"/>
    <w:rsid w:val="00B20511"/>
    <w:rsid w:val="00B2052E"/>
    <w:rsid w:val="00B205F1"/>
    <w:rsid w:val="00B206AA"/>
    <w:rsid w:val="00B206AD"/>
    <w:rsid w:val="00B2074D"/>
    <w:rsid w:val="00B2078C"/>
    <w:rsid w:val="00B20808"/>
    <w:rsid w:val="00B20858"/>
    <w:rsid w:val="00B20B65"/>
    <w:rsid w:val="00B20C62"/>
    <w:rsid w:val="00B20CC0"/>
    <w:rsid w:val="00B20D73"/>
    <w:rsid w:val="00B20D9A"/>
    <w:rsid w:val="00B20DE6"/>
    <w:rsid w:val="00B20E54"/>
    <w:rsid w:val="00B20F13"/>
    <w:rsid w:val="00B20F8A"/>
    <w:rsid w:val="00B210DF"/>
    <w:rsid w:val="00B21145"/>
    <w:rsid w:val="00B2116A"/>
    <w:rsid w:val="00B2119F"/>
    <w:rsid w:val="00B211E2"/>
    <w:rsid w:val="00B2126F"/>
    <w:rsid w:val="00B212C8"/>
    <w:rsid w:val="00B212F3"/>
    <w:rsid w:val="00B212FB"/>
    <w:rsid w:val="00B21307"/>
    <w:rsid w:val="00B2137D"/>
    <w:rsid w:val="00B213C4"/>
    <w:rsid w:val="00B213CF"/>
    <w:rsid w:val="00B213F5"/>
    <w:rsid w:val="00B2144E"/>
    <w:rsid w:val="00B214AC"/>
    <w:rsid w:val="00B215A9"/>
    <w:rsid w:val="00B21641"/>
    <w:rsid w:val="00B21673"/>
    <w:rsid w:val="00B21676"/>
    <w:rsid w:val="00B2169E"/>
    <w:rsid w:val="00B2179F"/>
    <w:rsid w:val="00B21930"/>
    <w:rsid w:val="00B219F6"/>
    <w:rsid w:val="00B21A99"/>
    <w:rsid w:val="00B21B2A"/>
    <w:rsid w:val="00B21C8F"/>
    <w:rsid w:val="00B21CF6"/>
    <w:rsid w:val="00B21DCF"/>
    <w:rsid w:val="00B21F1B"/>
    <w:rsid w:val="00B22002"/>
    <w:rsid w:val="00B22009"/>
    <w:rsid w:val="00B22024"/>
    <w:rsid w:val="00B220A7"/>
    <w:rsid w:val="00B22245"/>
    <w:rsid w:val="00B2229B"/>
    <w:rsid w:val="00B222E2"/>
    <w:rsid w:val="00B2235D"/>
    <w:rsid w:val="00B2240F"/>
    <w:rsid w:val="00B22410"/>
    <w:rsid w:val="00B225B8"/>
    <w:rsid w:val="00B22661"/>
    <w:rsid w:val="00B226C0"/>
    <w:rsid w:val="00B226DB"/>
    <w:rsid w:val="00B226F2"/>
    <w:rsid w:val="00B22724"/>
    <w:rsid w:val="00B2285B"/>
    <w:rsid w:val="00B228DE"/>
    <w:rsid w:val="00B229C2"/>
    <w:rsid w:val="00B22AC7"/>
    <w:rsid w:val="00B22AD2"/>
    <w:rsid w:val="00B22AF8"/>
    <w:rsid w:val="00B22CDF"/>
    <w:rsid w:val="00B22D41"/>
    <w:rsid w:val="00B22EE4"/>
    <w:rsid w:val="00B22F22"/>
    <w:rsid w:val="00B23018"/>
    <w:rsid w:val="00B2302E"/>
    <w:rsid w:val="00B23067"/>
    <w:rsid w:val="00B230A5"/>
    <w:rsid w:val="00B231F8"/>
    <w:rsid w:val="00B23236"/>
    <w:rsid w:val="00B2323F"/>
    <w:rsid w:val="00B2325A"/>
    <w:rsid w:val="00B2325B"/>
    <w:rsid w:val="00B23278"/>
    <w:rsid w:val="00B23289"/>
    <w:rsid w:val="00B232CE"/>
    <w:rsid w:val="00B23319"/>
    <w:rsid w:val="00B23377"/>
    <w:rsid w:val="00B23383"/>
    <w:rsid w:val="00B233B5"/>
    <w:rsid w:val="00B233C6"/>
    <w:rsid w:val="00B2341A"/>
    <w:rsid w:val="00B23427"/>
    <w:rsid w:val="00B234CE"/>
    <w:rsid w:val="00B234D4"/>
    <w:rsid w:val="00B234F7"/>
    <w:rsid w:val="00B235B2"/>
    <w:rsid w:val="00B235B6"/>
    <w:rsid w:val="00B235D9"/>
    <w:rsid w:val="00B235F2"/>
    <w:rsid w:val="00B236A8"/>
    <w:rsid w:val="00B236B2"/>
    <w:rsid w:val="00B236C9"/>
    <w:rsid w:val="00B236F9"/>
    <w:rsid w:val="00B2371F"/>
    <w:rsid w:val="00B23774"/>
    <w:rsid w:val="00B23780"/>
    <w:rsid w:val="00B2381F"/>
    <w:rsid w:val="00B23842"/>
    <w:rsid w:val="00B23932"/>
    <w:rsid w:val="00B239E1"/>
    <w:rsid w:val="00B23A6A"/>
    <w:rsid w:val="00B23AA6"/>
    <w:rsid w:val="00B23AF2"/>
    <w:rsid w:val="00B23B30"/>
    <w:rsid w:val="00B23B91"/>
    <w:rsid w:val="00B23CC1"/>
    <w:rsid w:val="00B23D2F"/>
    <w:rsid w:val="00B23DB5"/>
    <w:rsid w:val="00B23DE0"/>
    <w:rsid w:val="00B23DF5"/>
    <w:rsid w:val="00B23E1C"/>
    <w:rsid w:val="00B23EB6"/>
    <w:rsid w:val="00B2400D"/>
    <w:rsid w:val="00B240BF"/>
    <w:rsid w:val="00B240C6"/>
    <w:rsid w:val="00B240F4"/>
    <w:rsid w:val="00B2412E"/>
    <w:rsid w:val="00B24281"/>
    <w:rsid w:val="00B242C3"/>
    <w:rsid w:val="00B242CB"/>
    <w:rsid w:val="00B242EC"/>
    <w:rsid w:val="00B2437C"/>
    <w:rsid w:val="00B2437D"/>
    <w:rsid w:val="00B2441C"/>
    <w:rsid w:val="00B24471"/>
    <w:rsid w:val="00B244BD"/>
    <w:rsid w:val="00B244CC"/>
    <w:rsid w:val="00B246D6"/>
    <w:rsid w:val="00B2479B"/>
    <w:rsid w:val="00B247B3"/>
    <w:rsid w:val="00B247D7"/>
    <w:rsid w:val="00B24914"/>
    <w:rsid w:val="00B24946"/>
    <w:rsid w:val="00B24979"/>
    <w:rsid w:val="00B24A05"/>
    <w:rsid w:val="00B24A8E"/>
    <w:rsid w:val="00B24AB8"/>
    <w:rsid w:val="00B24C49"/>
    <w:rsid w:val="00B24C5A"/>
    <w:rsid w:val="00B24D34"/>
    <w:rsid w:val="00B24DAA"/>
    <w:rsid w:val="00B24EAF"/>
    <w:rsid w:val="00B24F42"/>
    <w:rsid w:val="00B24F65"/>
    <w:rsid w:val="00B2500E"/>
    <w:rsid w:val="00B250AD"/>
    <w:rsid w:val="00B250C3"/>
    <w:rsid w:val="00B251EC"/>
    <w:rsid w:val="00B2524D"/>
    <w:rsid w:val="00B253E4"/>
    <w:rsid w:val="00B253F7"/>
    <w:rsid w:val="00B25441"/>
    <w:rsid w:val="00B2544B"/>
    <w:rsid w:val="00B25470"/>
    <w:rsid w:val="00B25475"/>
    <w:rsid w:val="00B2547E"/>
    <w:rsid w:val="00B254C4"/>
    <w:rsid w:val="00B254F3"/>
    <w:rsid w:val="00B25527"/>
    <w:rsid w:val="00B25533"/>
    <w:rsid w:val="00B255BC"/>
    <w:rsid w:val="00B2563D"/>
    <w:rsid w:val="00B256D9"/>
    <w:rsid w:val="00B257B5"/>
    <w:rsid w:val="00B25807"/>
    <w:rsid w:val="00B25855"/>
    <w:rsid w:val="00B25869"/>
    <w:rsid w:val="00B25877"/>
    <w:rsid w:val="00B258B3"/>
    <w:rsid w:val="00B2592C"/>
    <w:rsid w:val="00B25955"/>
    <w:rsid w:val="00B25A05"/>
    <w:rsid w:val="00B25ACF"/>
    <w:rsid w:val="00B25AE9"/>
    <w:rsid w:val="00B25B3F"/>
    <w:rsid w:val="00B25BFE"/>
    <w:rsid w:val="00B25C0C"/>
    <w:rsid w:val="00B25D4E"/>
    <w:rsid w:val="00B25DDF"/>
    <w:rsid w:val="00B25E9D"/>
    <w:rsid w:val="00B25F17"/>
    <w:rsid w:val="00B25FB9"/>
    <w:rsid w:val="00B25FC1"/>
    <w:rsid w:val="00B26052"/>
    <w:rsid w:val="00B2605C"/>
    <w:rsid w:val="00B260E0"/>
    <w:rsid w:val="00B2619C"/>
    <w:rsid w:val="00B262F7"/>
    <w:rsid w:val="00B2632C"/>
    <w:rsid w:val="00B263BE"/>
    <w:rsid w:val="00B264AF"/>
    <w:rsid w:val="00B264CF"/>
    <w:rsid w:val="00B2653E"/>
    <w:rsid w:val="00B26586"/>
    <w:rsid w:val="00B26587"/>
    <w:rsid w:val="00B265B3"/>
    <w:rsid w:val="00B267C7"/>
    <w:rsid w:val="00B267E9"/>
    <w:rsid w:val="00B26867"/>
    <w:rsid w:val="00B26A77"/>
    <w:rsid w:val="00B26AB9"/>
    <w:rsid w:val="00B26B05"/>
    <w:rsid w:val="00B26B6B"/>
    <w:rsid w:val="00B26C70"/>
    <w:rsid w:val="00B26CAF"/>
    <w:rsid w:val="00B26CBE"/>
    <w:rsid w:val="00B26DC1"/>
    <w:rsid w:val="00B26DD5"/>
    <w:rsid w:val="00B26E1E"/>
    <w:rsid w:val="00B26E20"/>
    <w:rsid w:val="00B270D8"/>
    <w:rsid w:val="00B270F2"/>
    <w:rsid w:val="00B27139"/>
    <w:rsid w:val="00B27177"/>
    <w:rsid w:val="00B2720F"/>
    <w:rsid w:val="00B2729A"/>
    <w:rsid w:val="00B272B7"/>
    <w:rsid w:val="00B272C8"/>
    <w:rsid w:val="00B27442"/>
    <w:rsid w:val="00B274B8"/>
    <w:rsid w:val="00B2753E"/>
    <w:rsid w:val="00B27551"/>
    <w:rsid w:val="00B2758B"/>
    <w:rsid w:val="00B27626"/>
    <w:rsid w:val="00B2762C"/>
    <w:rsid w:val="00B2766F"/>
    <w:rsid w:val="00B2768A"/>
    <w:rsid w:val="00B27712"/>
    <w:rsid w:val="00B278AE"/>
    <w:rsid w:val="00B279F4"/>
    <w:rsid w:val="00B27A5F"/>
    <w:rsid w:val="00B27A8E"/>
    <w:rsid w:val="00B27B0C"/>
    <w:rsid w:val="00B27B38"/>
    <w:rsid w:val="00B27B64"/>
    <w:rsid w:val="00B27BF8"/>
    <w:rsid w:val="00B27BFC"/>
    <w:rsid w:val="00B27C82"/>
    <w:rsid w:val="00B27E12"/>
    <w:rsid w:val="00B27E34"/>
    <w:rsid w:val="00B27E75"/>
    <w:rsid w:val="00B27E77"/>
    <w:rsid w:val="00B27E82"/>
    <w:rsid w:val="00B27EC6"/>
    <w:rsid w:val="00B27FB5"/>
    <w:rsid w:val="00B3005D"/>
    <w:rsid w:val="00B30061"/>
    <w:rsid w:val="00B30078"/>
    <w:rsid w:val="00B3017B"/>
    <w:rsid w:val="00B301A0"/>
    <w:rsid w:val="00B301C6"/>
    <w:rsid w:val="00B301D8"/>
    <w:rsid w:val="00B30249"/>
    <w:rsid w:val="00B30336"/>
    <w:rsid w:val="00B30419"/>
    <w:rsid w:val="00B30471"/>
    <w:rsid w:val="00B304C8"/>
    <w:rsid w:val="00B304FF"/>
    <w:rsid w:val="00B3058D"/>
    <w:rsid w:val="00B30596"/>
    <w:rsid w:val="00B305AB"/>
    <w:rsid w:val="00B305D7"/>
    <w:rsid w:val="00B3060A"/>
    <w:rsid w:val="00B30626"/>
    <w:rsid w:val="00B3069E"/>
    <w:rsid w:val="00B306F6"/>
    <w:rsid w:val="00B30702"/>
    <w:rsid w:val="00B30832"/>
    <w:rsid w:val="00B309CD"/>
    <w:rsid w:val="00B309F7"/>
    <w:rsid w:val="00B30A07"/>
    <w:rsid w:val="00B30AE6"/>
    <w:rsid w:val="00B30BBD"/>
    <w:rsid w:val="00B30BE0"/>
    <w:rsid w:val="00B30C6E"/>
    <w:rsid w:val="00B30C89"/>
    <w:rsid w:val="00B30D21"/>
    <w:rsid w:val="00B30D8D"/>
    <w:rsid w:val="00B30DAC"/>
    <w:rsid w:val="00B30DEF"/>
    <w:rsid w:val="00B30E80"/>
    <w:rsid w:val="00B30EFF"/>
    <w:rsid w:val="00B31040"/>
    <w:rsid w:val="00B31043"/>
    <w:rsid w:val="00B31079"/>
    <w:rsid w:val="00B31138"/>
    <w:rsid w:val="00B31149"/>
    <w:rsid w:val="00B311AE"/>
    <w:rsid w:val="00B31228"/>
    <w:rsid w:val="00B313A4"/>
    <w:rsid w:val="00B313DA"/>
    <w:rsid w:val="00B313EB"/>
    <w:rsid w:val="00B313F7"/>
    <w:rsid w:val="00B31401"/>
    <w:rsid w:val="00B315A7"/>
    <w:rsid w:val="00B315CB"/>
    <w:rsid w:val="00B3167C"/>
    <w:rsid w:val="00B316A1"/>
    <w:rsid w:val="00B3184F"/>
    <w:rsid w:val="00B318A1"/>
    <w:rsid w:val="00B318A3"/>
    <w:rsid w:val="00B319E7"/>
    <w:rsid w:val="00B31B24"/>
    <w:rsid w:val="00B31B42"/>
    <w:rsid w:val="00B31B59"/>
    <w:rsid w:val="00B31B93"/>
    <w:rsid w:val="00B31BF4"/>
    <w:rsid w:val="00B31C26"/>
    <w:rsid w:val="00B31C3D"/>
    <w:rsid w:val="00B31D2A"/>
    <w:rsid w:val="00B31D94"/>
    <w:rsid w:val="00B31DCD"/>
    <w:rsid w:val="00B31E57"/>
    <w:rsid w:val="00B31EC6"/>
    <w:rsid w:val="00B31EF0"/>
    <w:rsid w:val="00B31F02"/>
    <w:rsid w:val="00B31F2A"/>
    <w:rsid w:val="00B31F60"/>
    <w:rsid w:val="00B31F76"/>
    <w:rsid w:val="00B31FF4"/>
    <w:rsid w:val="00B3209D"/>
    <w:rsid w:val="00B320AB"/>
    <w:rsid w:val="00B320CB"/>
    <w:rsid w:val="00B3213D"/>
    <w:rsid w:val="00B32149"/>
    <w:rsid w:val="00B3220A"/>
    <w:rsid w:val="00B323AF"/>
    <w:rsid w:val="00B32473"/>
    <w:rsid w:val="00B324CE"/>
    <w:rsid w:val="00B32511"/>
    <w:rsid w:val="00B32532"/>
    <w:rsid w:val="00B3256F"/>
    <w:rsid w:val="00B3263C"/>
    <w:rsid w:val="00B32735"/>
    <w:rsid w:val="00B32761"/>
    <w:rsid w:val="00B32822"/>
    <w:rsid w:val="00B32857"/>
    <w:rsid w:val="00B32862"/>
    <w:rsid w:val="00B3286D"/>
    <w:rsid w:val="00B328BE"/>
    <w:rsid w:val="00B32C32"/>
    <w:rsid w:val="00B32C42"/>
    <w:rsid w:val="00B32C5E"/>
    <w:rsid w:val="00B32D65"/>
    <w:rsid w:val="00B32DD5"/>
    <w:rsid w:val="00B32E98"/>
    <w:rsid w:val="00B32F01"/>
    <w:rsid w:val="00B32F84"/>
    <w:rsid w:val="00B32FCE"/>
    <w:rsid w:val="00B32FF9"/>
    <w:rsid w:val="00B3302E"/>
    <w:rsid w:val="00B33032"/>
    <w:rsid w:val="00B3309D"/>
    <w:rsid w:val="00B330CA"/>
    <w:rsid w:val="00B330FC"/>
    <w:rsid w:val="00B33205"/>
    <w:rsid w:val="00B3324B"/>
    <w:rsid w:val="00B3328B"/>
    <w:rsid w:val="00B332BE"/>
    <w:rsid w:val="00B332F5"/>
    <w:rsid w:val="00B33346"/>
    <w:rsid w:val="00B33354"/>
    <w:rsid w:val="00B33391"/>
    <w:rsid w:val="00B333F8"/>
    <w:rsid w:val="00B3346A"/>
    <w:rsid w:val="00B334D1"/>
    <w:rsid w:val="00B33524"/>
    <w:rsid w:val="00B33574"/>
    <w:rsid w:val="00B335A0"/>
    <w:rsid w:val="00B335C3"/>
    <w:rsid w:val="00B3361B"/>
    <w:rsid w:val="00B336BA"/>
    <w:rsid w:val="00B336ED"/>
    <w:rsid w:val="00B33813"/>
    <w:rsid w:val="00B339E6"/>
    <w:rsid w:val="00B33A3A"/>
    <w:rsid w:val="00B33A70"/>
    <w:rsid w:val="00B33AE0"/>
    <w:rsid w:val="00B33B51"/>
    <w:rsid w:val="00B33B73"/>
    <w:rsid w:val="00B33B90"/>
    <w:rsid w:val="00B33DB0"/>
    <w:rsid w:val="00B33E6A"/>
    <w:rsid w:val="00B33F66"/>
    <w:rsid w:val="00B34029"/>
    <w:rsid w:val="00B340C2"/>
    <w:rsid w:val="00B34183"/>
    <w:rsid w:val="00B342C0"/>
    <w:rsid w:val="00B342F5"/>
    <w:rsid w:val="00B343E2"/>
    <w:rsid w:val="00B3446F"/>
    <w:rsid w:val="00B34495"/>
    <w:rsid w:val="00B344AC"/>
    <w:rsid w:val="00B344D8"/>
    <w:rsid w:val="00B34517"/>
    <w:rsid w:val="00B34528"/>
    <w:rsid w:val="00B345C2"/>
    <w:rsid w:val="00B345F4"/>
    <w:rsid w:val="00B34626"/>
    <w:rsid w:val="00B34740"/>
    <w:rsid w:val="00B3484C"/>
    <w:rsid w:val="00B3494D"/>
    <w:rsid w:val="00B34ADD"/>
    <w:rsid w:val="00B34B8F"/>
    <w:rsid w:val="00B34C47"/>
    <w:rsid w:val="00B34CA3"/>
    <w:rsid w:val="00B34D67"/>
    <w:rsid w:val="00B34DB9"/>
    <w:rsid w:val="00B34DD1"/>
    <w:rsid w:val="00B34E1A"/>
    <w:rsid w:val="00B34E29"/>
    <w:rsid w:val="00B34E3C"/>
    <w:rsid w:val="00B34E47"/>
    <w:rsid w:val="00B34EB1"/>
    <w:rsid w:val="00B34EE5"/>
    <w:rsid w:val="00B34F60"/>
    <w:rsid w:val="00B34F96"/>
    <w:rsid w:val="00B34FC8"/>
    <w:rsid w:val="00B35079"/>
    <w:rsid w:val="00B350C3"/>
    <w:rsid w:val="00B35124"/>
    <w:rsid w:val="00B35150"/>
    <w:rsid w:val="00B351CB"/>
    <w:rsid w:val="00B351EC"/>
    <w:rsid w:val="00B35251"/>
    <w:rsid w:val="00B3529B"/>
    <w:rsid w:val="00B353BC"/>
    <w:rsid w:val="00B3551B"/>
    <w:rsid w:val="00B355AC"/>
    <w:rsid w:val="00B355C9"/>
    <w:rsid w:val="00B355EA"/>
    <w:rsid w:val="00B3566E"/>
    <w:rsid w:val="00B35753"/>
    <w:rsid w:val="00B3579D"/>
    <w:rsid w:val="00B357D1"/>
    <w:rsid w:val="00B358A6"/>
    <w:rsid w:val="00B358C1"/>
    <w:rsid w:val="00B358D7"/>
    <w:rsid w:val="00B35970"/>
    <w:rsid w:val="00B35AFE"/>
    <w:rsid w:val="00B35B45"/>
    <w:rsid w:val="00B35B60"/>
    <w:rsid w:val="00B35B97"/>
    <w:rsid w:val="00B35D42"/>
    <w:rsid w:val="00B35D61"/>
    <w:rsid w:val="00B35D74"/>
    <w:rsid w:val="00B35E72"/>
    <w:rsid w:val="00B35E9C"/>
    <w:rsid w:val="00B35F53"/>
    <w:rsid w:val="00B35F86"/>
    <w:rsid w:val="00B35F92"/>
    <w:rsid w:val="00B36058"/>
    <w:rsid w:val="00B36188"/>
    <w:rsid w:val="00B36249"/>
    <w:rsid w:val="00B362E9"/>
    <w:rsid w:val="00B363AB"/>
    <w:rsid w:val="00B363E6"/>
    <w:rsid w:val="00B3640D"/>
    <w:rsid w:val="00B3641E"/>
    <w:rsid w:val="00B36496"/>
    <w:rsid w:val="00B364CA"/>
    <w:rsid w:val="00B364FE"/>
    <w:rsid w:val="00B36668"/>
    <w:rsid w:val="00B366A7"/>
    <w:rsid w:val="00B366D4"/>
    <w:rsid w:val="00B36832"/>
    <w:rsid w:val="00B36839"/>
    <w:rsid w:val="00B3683A"/>
    <w:rsid w:val="00B3690C"/>
    <w:rsid w:val="00B369B7"/>
    <w:rsid w:val="00B36AFD"/>
    <w:rsid w:val="00B36B8A"/>
    <w:rsid w:val="00B36BBB"/>
    <w:rsid w:val="00B36DFC"/>
    <w:rsid w:val="00B36E26"/>
    <w:rsid w:val="00B36E8E"/>
    <w:rsid w:val="00B36EF8"/>
    <w:rsid w:val="00B36F68"/>
    <w:rsid w:val="00B3702A"/>
    <w:rsid w:val="00B3705F"/>
    <w:rsid w:val="00B37077"/>
    <w:rsid w:val="00B370A5"/>
    <w:rsid w:val="00B37243"/>
    <w:rsid w:val="00B3726F"/>
    <w:rsid w:val="00B372E1"/>
    <w:rsid w:val="00B37301"/>
    <w:rsid w:val="00B3731C"/>
    <w:rsid w:val="00B3731E"/>
    <w:rsid w:val="00B37345"/>
    <w:rsid w:val="00B3737D"/>
    <w:rsid w:val="00B373A7"/>
    <w:rsid w:val="00B375E2"/>
    <w:rsid w:val="00B37607"/>
    <w:rsid w:val="00B3760E"/>
    <w:rsid w:val="00B37675"/>
    <w:rsid w:val="00B37923"/>
    <w:rsid w:val="00B3792E"/>
    <w:rsid w:val="00B37C86"/>
    <w:rsid w:val="00B37D14"/>
    <w:rsid w:val="00B37FC6"/>
    <w:rsid w:val="00B4016B"/>
    <w:rsid w:val="00B40269"/>
    <w:rsid w:val="00B40296"/>
    <w:rsid w:val="00B402E5"/>
    <w:rsid w:val="00B40362"/>
    <w:rsid w:val="00B40380"/>
    <w:rsid w:val="00B403EF"/>
    <w:rsid w:val="00B40466"/>
    <w:rsid w:val="00B40721"/>
    <w:rsid w:val="00B40739"/>
    <w:rsid w:val="00B408DA"/>
    <w:rsid w:val="00B40957"/>
    <w:rsid w:val="00B409C5"/>
    <w:rsid w:val="00B40A8E"/>
    <w:rsid w:val="00B40AB7"/>
    <w:rsid w:val="00B40B39"/>
    <w:rsid w:val="00B40B42"/>
    <w:rsid w:val="00B40C84"/>
    <w:rsid w:val="00B40C91"/>
    <w:rsid w:val="00B40CC2"/>
    <w:rsid w:val="00B40D6A"/>
    <w:rsid w:val="00B40E42"/>
    <w:rsid w:val="00B40ECC"/>
    <w:rsid w:val="00B40F27"/>
    <w:rsid w:val="00B40FAE"/>
    <w:rsid w:val="00B40FFD"/>
    <w:rsid w:val="00B410C8"/>
    <w:rsid w:val="00B410F4"/>
    <w:rsid w:val="00B41143"/>
    <w:rsid w:val="00B4116B"/>
    <w:rsid w:val="00B412E1"/>
    <w:rsid w:val="00B412E2"/>
    <w:rsid w:val="00B41327"/>
    <w:rsid w:val="00B41379"/>
    <w:rsid w:val="00B4138F"/>
    <w:rsid w:val="00B4139D"/>
    <w:rsid w:val="00B413BB"/>
    <w:rsid w:val="00B4150A"/>
    <w:rsid w:val="00B4157C"/>
    <w:rsid w:val="00B4164A"/>
    <w:rsid w:val="00B4167E"/>
    <w:rsid w:val="00B41734"/>
    <w:rsid w:val="00B41763"/>
    <w:rsid w:val="00B41819"/>
    <w:rsid w:val="00B41827"/>
    <w:rsid w:val="00B419B3"/>
    <w:rsid w:val="00B419E4"/>
    <w:rsid w:val="00B41A1C"/>
    <w:rsid w:val="00B41C56"/>
    <w:rsid w:val="00B41D34"/>
    <w:rsid w:val="00B41D3F"/>
    <w:rsid w:val="00B41E46"/>
    <w:rsid w:val="00B41E6B"/>
    <w:rsid w:val="00B41EF2"/>
    <w:rsid w:val="00B41FEC"/>
    <w:rsid w:val="00B42037"/>
    <w:rsid w:val="00B42043"/>
    <w:rsid w:val="00B42058"/>
    <w:rsid w:val="00B420DB"/>
    <w:rsid w:val="00B42103"/>
    <w:rsid w:val="00B42122"/>
    <w:rsid w:val="00B4213C"/>
    <w:rsid w:val="00B421CB"/>
    <w:rsid w:val="00B421DA"/>
    <w:rsid w:val="00B42221"/>
    <w:rsid w:val="00B4225F"/>
    <w:rsid w:val="00B4246C"/>
    <w:rsid w:val="00B42473"/>
    <w:rsid w:val="00B424ED"/>
    <w:rsid w:val="00B424F5"/>
    <w:rsid w:val="00B424F8"/>
    <w:rsid w:val="00B424FA"/>
    <w:rsid w:val="00B42521"/>
    <w:rsid w:val="00B42622"/>
    <w:rsid w:val="00B426FA"/>
    <w:rsid w:val="00B42705"/>
    <w:rsid w:val="00B42749"/>
    <w:rsid w:val="00B42795"/>
    <w:rsid w:val="00B42839"/>
    <w:rsid w:val="00B4292E"/>
    <w:rsid w:val="00B42952"/>
    <w:rsid w:val="00B42983"/>
    <w:rsid w:val="00B429BC"/>
    <w:rsid w:val="00B42A28"/>
    <w:rsid w:val="00B42A4D"/>
    <w:rsid w:val="00B42B34"/>
    <w:rsid w:val="00B42BFB"/>
    <w:rsid w:val="00B42C6E"/>
    <w:rsid w:val="00B42D71"/>
    <w:rsid w:val="00B42DC1"/>
    <w:rsid w:val="00B42DE3"/>
    <w:rsid w:val="00B42ED3"/>
    <w:rsid w:val="00B42EF9"/>
    <w:rsid w:val="00B42F54"/>
    <w:rsid w:val="00B42FC3"/>
    <w:rsid w:val="00B4303E"/>
    <w:rsid w:val="00B43047"/>
    <w:rsid w:val="00B4306F"/>
    <w:rsid w:val="00B43095"/>
    <w:rsid w:val="00B4326D"/>
    <w:rsid w:val="00B43321"/>
    <w:rsid w:val="00B433AF"/>
    <w:rsid w:val="00B433EC"/>
    <w:rsid w:val="00B43431"/>
    <w:rsid w:val="00B43467"/>
    <w:rsid w:val="00B43474"/>
    <w:rsid w:val="00B43497"/>
    <w:rsid w:val="00B43640"/>
    <w:rsid w:val="00B43668"/>
    <w:rsid w:val="00B436DE"/>
    <w:rsid w:val="00B436E0"/>
    <w:rsid w:val="00B43711"/>
    <w:rsid w:val="00B4372B"/>
    <w:rsid w:val="00B438A1"/>
    <w:rsid w:val="00B4392E"/>
    <w:rsid w:val="00B4394D"/>
    <w:rsid w:val="00B43A32"/>
    <w:rsid w:val="00B43BCB"/>
    <w:rsid w:val="00B43CFB"/>
    <w:rsid w:val="00B43D63"/>
    <w:rsid w:val="00B43E33"/>
    <w:rsid w:val="00B43E50"/>
    <w:rsid w:val="00B43F2D"/>
    <w:rsid w:val="00B43F43"/>
    <w:rsid w:val="00B440E9"/>
    <w:rsid w:val="00B4416D"/>
    <w:rsid w:val="00B441DB"/>
    <w:rsid w:val="00B442E7"/>
    <w:rsid w:val="00B4430E"/>
    <w:rsid w:val="00B443AE"/>
    <w:rsid w:val="00B44498"/>
    <w:rsid w:val="00B445F1"/>
    <w:rsid w:val="00B446D0"/>
    <w:rsid w:val="00B448DE"/>
    <w:rsid w:val="00B448DF"/>
    <w:rsid w:val="00B44A19"/>
    <w:rsid w:val="00B44A78"/>
    <w:rsid w:val="00B44A98"/>
    <w:rsid w:val="00B44BEE"/>
    <w:rsid w:val="00B44D76"/>
    <w:rsid w:val="00B44E28"/>
    <w:rsid w:val="00B44E6A"/>
    <w:rsid w:val="00B44E8E"/>
    <w:rsid w:val="00B45051"/>
    <w:rsid w:val="00B4506C"/>
    <w:rsid w:val="00B4512E"/>
    <w:rsid w:val="00B4515C"/>
    <w:rsid w:val="00B4516A"/>
    <w:rsid w:val="00B451D0"/>
    <w:rsid w:val="00B45249"/>
    <w:rsid w:val="00B45298"/>
    <w:rsid w:val="00B4529F"/>
    <w:rsid w:val="00B452FE"/>
    <w:rsid w:val="00B4538B"/>
    <w:rsid w:val="00B453A6"/>
    <w:rsid w:val="00B45435"/>
    <w:rsid w:val="00B4543E"/>
    <w:rsid w:val="00B4553E"/>
    <w:rsid w:val="00B45655"/>
    <w:rsid w:val="00B456E1"/>
    <w:rsid w:val="00B4576A"/>
    <w:rsid w:val="00B45922"/>
    <w:rsid w:val="00B45943"/>
    <w:rsid w:val="00B459F8"/>
    <w:rsid w:val="00B45A5C"/>
    <w:rsid w:val="00B45B8D"/>
    <w:rsid w:val="00B45BB9"/>
    <w:rsid w:val="00B45BC6"/>
    <w:rsid w:val="00B45C15"/>
    <w:rsid w:val="00B45C7B"/>
    <w:rsid w:val="00B45C8C"/>
    <w:rsid w:val="00B45C9E"/>
    <w:rsid w:val="00B45CC8"/>
    <w:rsid w:val="00B45D20"/>
    <w:rsid w:val="00B45D6B"/>
    <w:rsid w:val="00B45DBF"/>
    <w:rsid w:val="00B45E6F"/>
    <w:rsid w:val="00B45EEE"/>
    <w:rsid w:val="00B45F3C"/>
    <w:rsid w:val="00B4605C"/>
    <w:rsid w:val="00B460DA"/>
    <w:rsid w:val="00B46185"/>
    <w:rsid w:val="00B461CF"/>
    <w:rsid w:val="00B461E8"/>
    <w:rsid w:val="00B461EB"/>
    <w:rsid w:val="00B46210"/>
    <w:rsid w:val="00B4634E"/>
    <w:rsid w:val="00B463DF"/>
    <w:rsid w:val="00B463EA"/>
    <w:rsid w:val="00B4647C"/>
    <w:rsid w:val="00B465C6"/>
    <w:rsid w:val="00B46686"/>
    <w:rsid w:val="00B4668A"/>
    <w:rsid w:val="00B466B8"/>
    <w:rsid w:val="00B4679E"/>
    <w:rsid w:val="00B467C1"/>
    <w:rsid w:val="00B46868"/>
    <w:rsid w:val="00B46901"/>
    <w:rsid w:val="00B469AE"/>
    <w:rsid w:val="00B469CF"/>
    <w:rsid w:val="00B469FF"/>
    <w:rsid w:val="00B46A08"/>
    <w:rsid w:val="00B46A14"/>
    <w:rsid w:val="00B46A52"/>
    <w:rsid w:val="00B46A85"/>
    <w:rsid w:val="00B46AF8"/>
    <w:rsid w:val="00B46B18"/>
    <w:rsid w:val="00B46B45"/>
    <w:rsid w:val="00B46B57"/>
    <w:rsid w:val="00B46B7C"/>
    <w:rsid w:val="00B46C26"/>
    <w:rsid w:val="00B46D0A"/>
    <w:rsid w:val="00B46D2C"/>
    <w:rsid w:val="00B46D60"/>
    <w:rsid w:val="00B46E79"/>
    <w:rsid w:val="00B46F1D"/>
    <w:rsid w:val="00B46F49"/>
    <w:rsid w:val="00B46F97"/>
    <w:rsid w:val="00B46FF4"/>
    <w:rsid w:val="00B47067"/>
    <w:rsid w:val="00B47155"/>
    <w:rsid w:val="00B4717F"/>
    <w:rsid w:val="00B471A4"/>
    <w:rsid w:val="00B471D5"/>
    <w:rsid w:val="00B472AD"/>
    <w:rsid w:val="00B4730D"/>
    <w:rsid w:val="00B4732F"/>
    <w:rsid w:val="00B4755B"/>
    <w:rsid w:val="00B4756E"/>
    <w:rsid w:val="00B475D2"/>
    <w:rsid w:val="00B475D7"/>
    <w:rsid w:val="00B4760A"/>
    <w:rsid w:val="00B47637"/>
    <w:rsid w:val="00B47657"/>
    <w:rsid w:val="00B476C9"/>
    <w:rsid w:val="00B476DD"/>
    <w:rsid w:val="00B4770D"/>
    <w:rsid w:val="00B477BD"/>
    <w:rsid w:val="00B477D6"/>
    <w:rsid w:val="00B47826"/>
    <w:rsid w:val="00B4784B"/>
    <w:rsid w:val="00B47932"/>
    <w:rsid w:val="00B47A2B"/>
    <w:rsid w:val="00B47A48"/>
    <w:rsid w:val="00B47A71"/>
    <w:rsid w:val="00B47B4C"/>
    <w:rsid w:val="00B47BB3"/>
    <w:rsid w:val="00B47CC1"/>
    <w:rsid w:val="00B47D09"/>
    <w:rsid w:val="00B47D56"/>
    <w:rsid w:val="00B47E02"/>
    <w:rsid w:val="00B47E54"/>
    <w:rsid w:val="00B47E77"/>
    <w:rsid w:val="00B47EC5"/>
    <w:rsid w:val="00B47F1D"/>
    <w:rsid w:val="00B47F69"/>
    <w:rsid w:val="00B5003E"/>
    <w:rsid w:val="00B5009A"/>
    <w:rsid w:val="00B50106"/>
    <w:rsid w:val="00B50184"/>
    <w:rsid w:val="00B501DC"/>
    <w:rsid w:val="00B5032A"/>
    <w:rsid w:val="00B50358"/>
    <w:rsid w:val="00B50442"/>
    <w:rsid w:val="00B504C4"/>
    <w:rsid w:val="00B504D7"/>
    <w:rsid w:val="00B50505"/>
    <w:rsid w:val="00B5054E"/>
    <w:rsid w:val="00B505AB"/>
    <w:rsid w:val="00B50610"/>
    <w:rsid w:val="00B50666"/>
    <w:rsid w:val="00B50748"/>
    <w:rsid w:val="00B50935"/>
    <w:rsid w:val="00B509B6"/>
    <w:rsid w:val="00B50A70"/>
    <w:rsid w:val="00B50B9E"/>
    <w:rsid w:val="00B50B9F"/>
    <w:rsid w:val="00B50C81"/>
    <w:rsid w:val="00B50CA3"/>
    <w:rsid w:val="00B50D08"/>
    <w:rsid w:val="00B50D2D"/>
    <w:rsid w:val="00B50DB1"/>
    <w:rsid w:val="00B50E38"/>
    <w:rsid w:val="00B50E3D"/>
    <w:rsid w:val="00B50F16"/>
    <w:rsid w:val="00B50F29"/>
    <w:rsid w:val="00B50FC6"/>
    <w:rsid w:val="00B51177"/>
    <w:rsid w:val="00B512B6"/>
    <w:rsid w:val="00B5138D"/>
    <w:rsid w:val="00B51391"/>
    <w:rsid w:val="00B51416"/>
    <w:rsid w:val="00B5142E"/>
    <w:rsid w:val="00B5142F"/>
    <w:rsid w:val="00B5146E"/>
    <w:rsid w:val="00B514A1"/>
    <w:rsid w:val="00B51514"/>
    <w:rsid w:val="00B5151A"/>
    <w:rsid w:val="00B51704"/>
    <w:rsid w:val="00B51787"/>
    <w:rsid w:val="00B5178B"/>
    <w:rsid w:val="00B5190E"/>
    <w:rsid w:val="00B51987"/>
    <w:rsid w:val="00B5199E"/>
    <w:rsid w:val="00B51A06"/>
    <w:rsid w:val="00B51A0B"/>
    <w:rsid w:val="00B51A55"/>
    <w:rsid w:val="00B51A9F"/>
    <w:rsid w:val="00B51AA0"/>
    <w:rsid w:val="00B51AAD"/>
    <w:rsid w:val="00B51ACB"/>
    <w:rsid w:val="00B51AF8"/>
    <w:rsid w:val="00B51BAF"/>
    <w:rsid w:val="00B51BB5"/>
    <w:rsid w:val="00B51BE5"/>
    <w:rsid w:val="00B51BFF"/>
    <w:rsid w:val="00B51C0A"/>
    <w:rsid w:val="00B51ECA"/>
    <w:rsid w:val="00B51ECF"/>
    <w:rsid w:val="00B51FA1"/>
    <w:rsid w:val="00B52123"/>
    <w:rsid w:val="00B52139"/>
    <w:rsid w:val="00B52218"/>
    <w:rsid w:val="00B5226D"/>
    <w:rsid w:val="00B52306"/>
    <w:rsid w:val="00B525BD"/>
    <w:rsid w:val="00B52622"/>
    <w:rsid w:val="00B52817"/>
    <w:rsid w:val="00B52831"/>
    <w:rsid w:val="00B529B7"/>
    <w:rsid w:val="00B529C6"/>
    <w:rsid w:val="00B52B51"/>
    <w:rsid w:val="00B52BB4"/>
    <w:rsid w:val="00B52BD8"/>
    <w:rsid w:val="00B52D09"/>
    <w:rsid w:val="00B52D62"/>
    <w:rsid w:val="00B52D85"/>
    <w:rsid w:val="00B52E1B"/>
    <w:rsid w:val="00B52E40"/>
    <w:rsid w:val="00B52EFE"/>
    <w:rsid w:val="00B52FAB"/>
    <w:rsid w:val="00B531D1"/>
    <w:rsid w:val="00B53221"/>
    <w:rsid w:val="00B532B5"/>
    <w:rsid w:val="00B532DF"/>
    <w:rsid w:val="00B5338D"/>
    <w:rsid w:val="00B533C2"/>
    <w:rsid w:val="00B53412"/>
    <w:rsid w:val="00B53421"/>
    <w:rsid w:val="00B535B9"/>
    <w:rsid w:val="00B53632"/>
    <w:rsid w:val="00B5365D"/>
    <w:rsid w:val="00B53672"/>
    <w:rsid w:val="00B536A4"/>
    <w:rsid w:val="00B536B9"/>
    <w:rsid w:val="00B5373D"/>
    <w:rsid w:val="00B537C1"/>
    <w:rsid w:val="00B53829"/>
    <w:rsid w:val="00B53894"/>
    <w:rsid w:val="00B5391B"/>
    <w:rsid w:val="00B53926"/>
    <w:rsid w:val="00B539B3"/>
    <w:rsid w:val="00B53A13"/>
    <w:rsid w:val="00B53A1C"/>
    <w:rsid w:val="00B53A72"/>
    <w:rsid w:val="00B53B97"/>
    <w:rsid w:val="00B53C61"/>
    <w:rsid w:val="00B53C9C"/>
    <w:rsid w:val="00B53CB7"/>
    <w:rsid w:val="00B53CC2"/>
    <w:rsid w:val="00B53D49"/>
    <w:rsid w:val="00B53EB4"/>
    <w:rsid w:val="00B53F01"/>
    <w:rsid w:val="00B53F7B"/>
    <w:rsid w:val="00B53F87"/>
    <w:rsid w:val="00B54060"/>
    <w:rsid w:val="00B540DD"/>
    <w:rsid w:val="00B540FE"/>
    <w:rsid w:val="00B541E2"/>
    <w:rsid w:val="00B54280"/>
    <w:rsid w:val="00B542A1"/>
    <w:rsid w:val="00B54308"/>
    <w:rsid w:val="00B543C2"/>
    <w:rsid w:val="00B5447D"/>
    <w:rsid w:val="00B54499"/>
    <w:rsid w:val="00B544A7"/>
    <w:rsid w:val="00B544B1"/>
    <w:rsid w:val="00B544C6"/>
    <w:rsid w:val="00B5454C"/>
    <w:rsid w:val="00B5455E"/>
    <w:rsid w:val="00B5458C"/>
    <w:rsid w:val="00B5462A"/>
    <w:rsid w:val="00B54638"/>
    <w:rsid w:val="00B5464F"/>
    <w:rsid w:val="00B5465D"/>
    <w:rsid w:val="00B54683"/>
    <w:rsid w:val="00B54698"/>
    <w:rsid w:val="00B546EF"/>
    <w:rsid w:val="00B54774"/>
    <w:rsid w:val="00B54842"/>
    <w:rsid w:val="00B54A0E"/>
    <w:rsid w:val="00B54B87"/>
    <w:rsid w:val="00B54C88"/>
    <w:rsid w:val="00B54DB6"/>
    <w:rsid w:val="00B54DDA"/>
    <w:rsid w:val="00B54E6B"/>
    <w:rsid w:val="00B54E99"/>
    <w:rsid w:val="00B54ED2"/>
    <w:rsid w:val="00B5500D"/>
    <w:rsid w:val="00B55041"/>
    <w:rsid w:val="00B55048"/>
    <w:rsid w:val="00B5507C"/>
    <w:rsid w:val="00B55127"/>
    <w:rsid w:val="00B551B2"/>
    <w:rsid w:val="00B551E6"/>
    <w:rsid w:val="00B55206"/>
    <w:rsid w:val="00B553E2"/>
    <w:rsid w:val="00B5542F"/>
    <w:rsid w:val="00B55476"/>
    <w:rsid w:val="00B554D2"/>
    <w:rsid w:val="00B5554F"/>
    <w:rsid w:val="00B5559A"/>
    <w:rsid w:val="00B555F2"/>
    <w:rsid w:val="00B55608"/>
    <w:rsid w:val="00B55617"/>
    <w:rsid w:val="00B55670"/>
    <w:rsid w:val="00B558CC"/>
    <w:rsid w:val="00B558EF"/>
    <w:rsid w:val="00B5594E"/>
    <w:rsid w:val="00B55A68"/>
    <w:rsid w:val="00B55A69"/>
    <w:rsid w:val="00B55A82"/>
    <w:rsid w:val="00B55AAB"/>
    <w:rsid w:val="00B55AB6"/>
    <w:rsid w:val="00B55B18"/>
    <w:rsid w:val="00B55B29"/>
    <w:rsid w:val="00B55B38"/>
    <w:rsid w:val="00B55BAC"/>
    <w:rsid w:val="00B55BB1"/>
    <w:rsid w:val="00B55BB3"/>
    <w:rsid w:val="00B55BD8"/>
    <w:rsid w:val="00B55BDD"/>
    <w:rsid w:val="00B55CFB"/>
    <w:rsid w:val="00B55D78"/>
    <w:rsid w:val="00B55E55"/>
    <w:rsid w:val="00B55EB8"/>
    <w:rsid w:val="00B55ED5"/>
    <w:rsid w:val="00B55F33"/>
    <w:rsid w:val="00B55F3B"/>
    <w:rsid w:val="00B55F72"/>
    <w:rsid w:val="00B560CA"/>
    <w:rsid w:val="00B560DA"/>
    <w:rsid w:val="00B5617B"/>
    <w:rsid w:val="00B561F5"/>
    <w:rsid w:val="00B563C3"/>
    <w:rsid w:val="00B5643A"/>
    <w:rsid w:val="00B56493"/>
    <w:rsid w:val="00B56532"/>
    <w:rsid w:val="00B56586"/>
    <w:rsid w:val="00B565AB"/>
    <w:rsid w:val="00B565FA"/>
    <w:rsid w:val="00B56674"/>
    <w:rsid w:val="00B56780"/>
    <w:rsid w:val="00B56821"/>
    <w:rsid w:val="00B5685F"/>
    <w:rsid w:val="00B568FF"/>
    <w:rsid w:val="00B5693E"/>
    <w:rsid w:val="00B56991"/>
    <w:rsid w:val="00B56A68"/>
    <w:rsid w:val="00B56A8A"/>
    <w:rsid w:val="00B56B69"/>
    <w:rsid w:val="00B56B92"/>
    <w:rsid w:val="00B56B94"/>
    <w:rsid w:val="00B56BA4"/>
    <w:rsid w:val="00B56BD5"/>
    <w:rsid w:val="00B56BFC"/>
    <w:rsid w:val="00B56D33"/>
    <w:rsid w:val="00B56D95"/>
    <w:rsid w:val="00B56DB2"/>
    <w:rsid w:val="00B56DD0"/>
    <w:rsid w:val="00B56DD3"/>
    <w:rsid w:val="00B56E74"/>
    <w:rsid w:val="00B56E7D"/>
    <w:rsid w:val="00B56E8D"/>
    <w:rsid w:val="00B56F4C"/>
    <w:rsid w:val="00B570F6"/>
    <w:rsid w:val="00B57198"/>
    <w:rsid w:val="00B571E5"/>
    <w:rsid w:val="00B57201"/>
    <w:rsid w:val="00B57212"/>
    <w:rsid w:val="00B5721D"/>
    <w:rsid w:val="00B5721F"/>
    <w:rsid w:val="00B572F1"/>
    <w:rsid w:val="00B57386"/>
    <w:rsid w:val="00B5738D"/>
    <w:rsid w:val="00B573B4"/>
    <w:rsid w:val="00B57407"/>
    <w:rsid w:val="00B5751D"/>
    <w:rsid w:val="00B57595"/>
    <w:rsid w:val="00B575E5"/>
    <w:rsid w:val="00B5763F"/>
    <w:rsid w:val="00B57661"/>
    <w:rsid w:val="00B576A1"/>
    <w:rsid w:val="00B5784A"/>
    <w:rsid w:val="00B5792F"/>
    <w:rsid w:val="00B57988"/>
    <w:rsid w:val="00B579AD"/>
    <w:rsid w:val="00B57A4B"/>
    <w:rsid w:val="00B57A6C"/>
    <w:rsid w:val="00B57ABC"/>
    <w:rsid w:val="00B57AC0"/>
    <w:rsid w:val="00B57B86"/>
    <w:rsid w:val="00B57B8F"/>
    <w:rsid w:val="00B57BB5"/>
    <w:rsid w:val="00B57C6A"/>
    <w:rsid w:val="00B57C8E"/>
    <w:rsid w:val="00B57DA5"/>
    <w:rsid w:val="00B57DCB"/>
    <w:rsid w:val="00B57E3F"/>
    <w:rsid w:val="00B57EA4"/>
    <w:rsid w:val="00B57F97"/>
    <w:rsid w:val="00B57FCE"/>
    <w:rsid w:val="00B60004"/>
    <w:rsid w:val="00B600CA"/>
    <w:rsid w:val="00B601BE"/>
    <w:rsid w:val="00B601E4"/>
    <w:rsid w:val="00B60222"/>
    <w:rsid w:val="00B602F9"/>
    <w:rsid w:val="00B6039E"/>
    <w:rsid w:val="00B603F5"/>
    <w:rsid w:val="00B60474"/>
    <w:rsid w:val="00B605E9"/>
    <w:rsid w:val="00B606A5"/>
    <w:rsid w:val="00B607A1"/>
    <w:rsid w:val="00B6080E"/>
    <w:rsid w:val="00B608B9"/>
    <w:rsid w:val="00B608D3"/>
    <w:rsid w:val="00B608DF"/>
    <w:rsid w:val="00B609BC"/>
    <w:rsid w:val="00B60A12"/>
    <w:rsid w:val="00B60AA6"/>
    <w:rsid w:val="00B60CC0"/>
    <w:rsid w:val="00B60CCC"/>
    <w:rsid w:val="00B60D31"/>
    <w:rsid w:val="00B60E03"/>
    <w:rsid w:val="00B60E71"/>
    <w:rsid w:val="00B60EA8"/>
    <w:rsid w:val="00B60EDB"/>
    <w:rsid w:val="00B60FEB"/>
    <w:rsid w:val="00B60FF0"/>
    <w:rsid w:val="00B6104B"/>
    <w:rsid w:val="00B6117C"/>
    <w:rsid w:val="00B61197"/>
    <w:rsid w:val="00B61261"/>
    <w:rsid w:val="00B612C9"/>
    <w:rsid w:val="00B613B5"/>
    <w:rsid w:val="00B61404"/>
    <w:rsid w:val="00B61413"/>
    <w:rsid w:val="00B6141E"/>
    <w:rsid w:val="00B61434"/>
    <w:rsid w:val="00B61471"/>
    <w:rsid w:val="00B6161B"/>
    <w:rsid w:val="00B61628"/>
    <w:rsid w:val="00B6171F"/>
    <w:rsid w:val="00B6175F"/>
    <w:rsid w:val="00B61875"/>
    <w:rsid w:val="00B6192F"/>
    <w:rsid w:val="00B6193A"/>
    <w:rsid w:val="00B61959"/>
    <w:rsid w:val="00B61A55"/>
    <w:rsid w:val="00B61A84"/>
    <w:rsid w:val="00B61B24"/>
    <w:rsid w:val="00B61C14"/>
    <w:rsid w:val="00B61CE2"/>
    <w:rsid w:val="00B61CE5"/>
    <w:rsid w:val="00B61CF5"/>
    <w:rsid w:val="00B61E04"/>
    <w:rsid w:val="00B61EDA"/>
    <w:rsid w:val="00B61F4E"/>
    <w:rsid w:val="00B62020"/>
    <w:rsid w:val="00B620C7"/>
    <w:rsid w:val="00B621D5"/>
    <w:rsid w:val="00B621F2"/>
    <w:rsid w:val="00B62229"/>
    <w:rsid w:val="00B6222F"/>
    <w:rsid w:val="00B6225F"/>
    <w:rsid w:val="00B622A2"/>
    <w:rsid w:val="00B622EA"/>
    <w:rsid w:val="00B623B7"/>
    <w:rsid w:val="00B6243E"/>
    <w:rsid w:val="00B6261A"/>
    <w:rsid w:val="00B62667"/>
    <w:rsid w:val="00B627A0"/>
    <w:rsid w:val="00B6280B"/>
    <w:rsid w:val="00B628B1"/>
    <w:rsid w:val="00B62959"/>
    <w:rsid w:val="00B62A27"/>
    <w:rsid w:val="00B62A32"/>
    <w:rsid w:val="00B62B5E"/>
    <w:rsid w:val="00B62B61"/>
    <w:rsid w:val="00B62B89"/>
    <w:rsid w:val="00B62C1A"/>
    <w:rsid w:val="00B62C7E"/>
    <w:rsid w:val="00B62CD3"/>
    <w:rsid w:val="00B62D20"/>
    <w:rsid w:val="00B62DF6"/>
    <w:rsid w:val="00B62E37"/>
    <w:rsid w:val="00B62E55"/>
    <w:rsid w:val="00B62E7B"/>
    <w:rsid w:val="00B62E9A"/>
    <w:rsid w:val="00B62EA9"/>
    <w:rsid w:val="00B6316A"/>
    <w:rsid w:val="00B63248"/>
    <w:rsid w:val="00B63279"/>
    <w:rsid w:val="00B6327B"/>
    <w:rsid w:val="00B632A5"/>
    <w:rsid w:val="00B632AF"/>
    <w:rsid w:val="00B632C4"/>
    <w:rsid w:val="00B63347"/>
    <w:rsid w:val="00B6338D"/>
    <w:rsid w:val="00B634BC"/>
    <w:rsid w:val="00B6354E"/>
    <w:rsid w:val="00B6356C"/>
    <w:rsid w:val="00B635A8"/>
    <w:rsid w:val="00B6360A"/>
    <w:rsid w:val="00B63707"/>
    <w:rsid w:val="00B63791"/>
    <w:rsid w:val="00B63853"/>
    <w:rsid w:val="00B6388A"/>
    <w:rsid w:val="00B6394E"/>
    <w:rsid w:val="00B63983"/>
    <w:rsid w:val="00B639E7"/>
    <w:rsid w:val="00B63AE5"/>
    <w:rsid w:val="00B63BAE"/>
    <w:rsid w:val="00B63C8A"/>
    <w:rsid w:val="00B63CEA"/>
    <w:rsid w:val="00B63DEB"/>
    <w:rsid w:val="00B63E41"/>
    <w:rsid w:val="00B63E4D"/>
    <w:rsid w:val="00B63E86"/>
    <w:rsid w:val="00B63EDC"/>
    <w:rsid w:val="00B63F09"/>
    <w:rsid w:val="00B63F1E"/>
    <w:rsid w:val="00B63F22"/>
    <w:rsid w:val="00B63F2D"/>
    <w:rsid w:val="00B63FB0"/>
    <w:rsid w:val="00B63FD4"/>
    <w:rsid w:val="00B64010"/>
    <w:rsid w:val="00B64042"/>
    <w:rsid w:val="00B640A0"/>
    <w:rsid w:val="00B64106"/>
    <w:rsid w:val="00B64113"/>
    <w:rsid w:val="00B641F7"/>
    <w:rsid w:val="00B6422D"/>
    <w:rsid w:val="00B64230"/>
    <w:rsid w:val="00B64290"/>
    <w:rsid w:val="00B642CC"/>
    <w:rsid w:val="00B64375"/>
    <w:rsid w:val="00B6438A"/>
    <w:rsid w:val="00B6439B"/>
    <w:rsid w:val="00B6453A"/>
    <w:rsid w:val="00B64606"/>
    <w:rsid w:val="00B6464C"/>
    <w:rsid w:val="00B64754"/>
    <w:rsid w:val="00B647D5"/>
    <w:rsid w:val="00B647ED"/>
    <w:rsid w:val="00B64884"/>
    <w:rsid w:val="00B64892"/>
    <w:rsid w:val="00B64911"/>
    <w:rsid w:val="00B649BA"/>
    <w:rsid w:val="00B64A33"/>
    <w:rsid w:val="00B64A64"/>
    <w:rsid w:val="00B64B74"/>
    <w:rsid w:val="00B64BFC"/>
    <w:rsid w:val="00B64C11"/>
    <w:rsid w:val="00B64C30"/>
    <w:rsid w:val="00B64C7B"/>
    <w:rsid w:val="00B64CA1"/>
    <w:rsid w:val="00B64CC5"/>
    <w:rsid w:val="00B64D00"/>
    <w:rsid w:val="00B64DF3"/>
    <w:rsid w:val="00B64E8D"/>
    <w:rsid w:val="00B64F2E"/>
    <w:rsid w:val="00B64F47"/>
    <w:rsid w:val="00B650E4"/>
    <w:rsid w:val="00B651DC"/>
    <w:rsid w:val="00B65239"/>
    <w:rsid w:val="00B65289"/>
    <w:rsid w:val="00B652E2"/>
    <w:rsid w:val="00B652E8"/>
    <w:rsid w:val="00B652EC"/>
    <w:rsid w:val="00B6530B"/>
    <w:rsid w:val="00B65409"/>
    <w:rsid w:val="00B654F3"/>
    <w:rsid w:val="00B65650"/>
    <w:rsid w:val="00B6565B"/>
    <w:rsid w:val="00B656B4"/>
    <w:rsid w:val="00B656D6"/>
    <w:rsid w:val="00B656E7"/>
    <w:rsid w:val="00B6574D"/>
    <w:rsid w:val="00B65762"/>
    <w:rsid w:val="00B6579C"/>
    <w:rsid w:val="00B6587A"/>
    <w:rsid w:val="00B65899"/>
    <w:rsid w:val="00B658B3"/>
    <w:rsid w:val="00B65928"/>
    <w:rsid w:val="00B6597B"/>
    <w:rsid w:val="00B65A30"/>
    <w:rsid w:val="00B65A75"/>
    <w:rsid w:val="00B65A8D"/>
    <w:rsid w:val="00B65B85"/>
    <w:rsid w:val="00B65C28"/>
    <w:rsid w:val="00B65C33"/>
    <w:rsid w:val="00B65C4E"/>
    <w:rsid w:val="00B65C9B"/>
    <w:rsid w:val="00B65D6A"/>
    <w:rsid w:val="00B65DE3"/>
    <w:rsid w:val="00B65E11"/>
    <w:rsid w:val="00B65E17"/>
    <w:rsid w:val="00B65F30"/>
    <w:rsid w:val="00B65FF1"/>
    <w:rsid w:val="00B65FF8"/>
    <w:rsid w:val="00B6601E"/>
    <w:rsid w:val="00B66064"/>
    <w:rsid w:val="00B660E6"/>
    <w:rsid w:val="00B66106"/>
    <w:rsid w:val="00B6612D"/>
    <w:rsid w:val="00B66176"/>
    <w:rsid w:val="00B661E6"/>
    <w:rsid w:val="00B66204"/>
    <w:rsid w:val="00B6620D"/>
    <w:rsid w:val="00B6624D"/>
    <w:rsid w:val="00B66294"/>
    <w:rsid w:val="00B6629A"/>
    <w:rsid w:val="00B66324"/>
    <w:rsid w:val="00B66335"/>
    <w:rsid w:val="00B66461"/>
    <w:rsid w:val="00B664C3"/>
    <w:rsid w:val="00B66532"/>
    <w:rsid w:val="00B66534"/>
    <w:rsid w:val="00B665B6"/>
    <w:rsid w:val="00B66630"/>
    <w:rsid w:val="00B66681"/>
    <w:rsid w:val="00B666A8"/>
    <w:rsid w:val="00B666FA"/>
    <w:rsid w:val="00B66709"/>
    <w:rsid w:val="00B66763"/>
    <w:rsid w:val="00B6677C"/>
    <w:rsid w:val="00B6678F"/>
    <w:rsid w:val="00B667B8"/>
    <w:rsid w:val="00B66828"/>
    <w:rsid w:val="00B669BC"/>
    <w:rsid w:val="00B66A5B"/>
    <w:rsid w:val="00B66BF8"/>
    <w:rsid w:val="00B66C8A"/>
    <w:rsid w:val="00B66CB1"/>
    <w:rsid w:val="00B66CD1"/>
    <w:rsid w:val="00B66E68"/>
    <w:rsid w:val="00B66EB1"/>
    <w:rsid w:val="00B66F3D"/>
    <w:rsid w:val="00B66FA0"/>
    <w:rsid w:val="00B66FDA"/>
    <w:rsid w:val="00B67035"/>
    <w:rsid w:val="00B6705B"/>
    <w:rsid w:val="00B67090"/>
    <w:rsid w:val="00B670F6"/>
    <w:rsid w:val="00B6713C"/>
    <w:rsid w:val="00B671ED"/>
    <w:rsid w:val="00B671FB"/>
    <w:rsid w:val="00B67253"/>
    <w:rsid w:val="00B672D2"/>
    <w:rsid w:val="00B6731E"/>
    <w:rsid w:val="00B673B6"/>
    <w:rsid w:val="00B673F6"/>
    <w:rsid w:val="00B67413"/>
    <w:rsid w:val="00B67457"/>
    <w:rsid w:val="00B674DA"/>
    <w:rsid w:val="00B67503"/>
    <w:rsid w:val="00B6753B"/>
    <w:rsid w:val="00B67586"/>
    <w:rsid w:val="00B675B8"/>
    <w:rsid w:val="00B67650"/>
    <w:rsid w:val="00B67699"/>
    <w:rsid w:val="00B676D1"/>
    <w:rsid w:val="00B676F1"/>
    <w:rsid w:val="00B676FA"/>
    <w:rsid w:val="00B6780B"/>
    <w:rsid w:val="00B678C8"/>
    <w:rsid w:val="00B678F1"/>
    <w:rsid w:val="00B6790D"/>
    <w:rsid w:val="00B67997"/>
    <w:rsid w:val="00B679E7"/>
    <w:rsid w:val="00B67A6C"/>
    <w:rsid w:val="00B67AA1"/>
    <w:rsid w:val="00B67AE7"/>
    <w:rsid w:val="00B67BD2"/>
    <w:rsid w:val="00B67C9B"/>
    <w:rsid w:val="00B67D77"/>
    <w:rsid w:val="00B67DA1"/>
    <w:rsid w:val="00B67E2E"/>
    <w:rsid w:val="00B67E90"/>
    <w:rsid w:val="00B67E9D"/>
    <w:rsid w:val="00B70045"/>
    <w:rsid w:val="00B700EB"/>
    <w:rsid w:val="00B70216"/>
    <w:rsid w:val="00B7025B"/>
    <w:rsid w:val="00B7029B"/>
    <w:rsid w:val="00B702C8"/>
    <w:rsid w:val="00B7037B"/>
    <w:rsid w:val="00B703F8"/>
    <w:rsid w:val="00B70414"/>
    <w:rsid w:val="00B7042E"/>
    <w:rsid w:val="00B70480"/>
    <w:rsid w:val="00B704BD"/>
    <w:rsid w:val="00B704D0"/>
    <w:rsid w:val="00B705A7"/>
    <w:rsid w:val="00B705CB"/>
    <w:rsid w:val="00B706AD"/>
    <w:rsid w:val="00B706D6"/>
    <w:rsid w:val="00B7079D"/>
    <w:rsid w:val="00B708A8"/>
    <w:rsid w:val="00B708D2"/>
    <w:rsid w:val="00B7090E"/>
    <w:rsid w:val="00B7093F"/>
    <w:rsid w:val="00B70A3B"/>
    <w:rsid w:val="00B70A3C"/>
    <w:rsid w:val="00B70B20"/>
    <w:rsid w:val="00B70BA1"/>
    <w:rsid w:val="00B70BA7"/>
    <w:rsid w:val="00B70C6E"/>
    <w:rsid w:val="00B70D09"/>
    <w:rsid w:val="00B70DA3"/>
    <w:rsid w:val="00B70E47"/>
    <w:rsid w:val="00B70E87"/>
    <w:rsid w:val="00B70E95"/>
    <w:rsid w:val="00B70ED2"/>
    <w:rsid w:val="00B70FDC"/>
    <w:rsid w:val="00B71077"/>
    <w:rsid w:val="00B71088"/>
    <w:rsid w:val="00B710F3"/>
    <w:rsid w:val="00B710FB"/>
    <w:rsid w:val="00B71136"/>
    <w:rsid w:val="00B7113A"/>
    <w:rsid w:val="00B711D2"/>
    <w:rsid w:val="00B7135C"/>
    <w:rsid w:val="00B71544"/>
    <w:rsid w:val="00B715AD"/>
    <w:rsid w:val="00B71629"/>
    <w:rsid w:val="00B7164A"/>
    <w:rsid w:val="00B71707"/>
    <w:rsid w:val="00B71713"/>
    <w:rsid w:val="00B7172B"/>
    <w:rsid w:val="00B71750"/>
    <w:rsid w:val="00B717EE"/>
    <w:rsid w:val="00B71821"/>
    <w:rsid w:val="00B71844"/>
    <w:rsid w:val="00B71854"/>
    <w:rsid w:val="00B719E7"/>
    <w:rsid w:val="00B71A4D"/>
    <w:rsid w:val="00B71B77"/>
    <w:rsid w:val="00B71BA2"/>
    <w:rsid w:val="00B71C5D"/>
    <w:rsid w:val="00B71CA7"/>
    <w:rsid w:val="00B71CCC"/>
    <w:rsid w:val="00B71CD1"/>
    <w:rsid w:val="00B71CE2"/>
    <w:rsid w:val="00B71CF6"/>
    <w:rsid w:val="00B71E11"/>
    <w:rsid w:val="00B71E23"/>
    <w:rsid w:val="00B71EB6"/>
    <w:rsid w:val="00B71EE3"/>
    <w:rsid w:val="00B71F40"/>
    <w:rsid w:val="00B7202D"/>
    <w:rsid w:val="00B72055"/>
    <w:rsid w:val="00B720C3"/>
    <w:rsid w:val="00B72132"/>
    <w:rsid w:val="00B7213C"/>
    <w:rsid w:val="00B721DE"/>
    <w:rsid w:val="00B722C0"/>
    <w:rsid w:val="00B722DD"/>
    <w:rsid w:val="00B72304"/>
    <w:rsid w:val="00B7231E"/>
    <w:rsid w:val="00B72326"/>
    <w:rsid w:val="00B72396"/>
    <w:rsid w:val="00B72405"/>
    <w:rsid w:val="00B72471"/>
    <w:rsid w:val="00B724AF"/>
    <w:rsid w:val="00B724F1"/>
    <w:rsid w:val="00B7251A"/>
    <w:rsid w:val="00B7264D"/>
    <w:rsid w:val="00B7267E"/>
    <w:rsid w:val="00B72717"/>
    <w:rsid w:val="00B72762"/>
    <w:rsid w:val="00B72797"/>
    <w:rsid w:val="00B7281F"/>
    <w:rsid w:val="00B72858"/>
    <w:rsid w:val="00B728D8"/>
    <w:rsid w:val="00B728DB"/>
    <w:rsid w:val="00B729BF"/>
    <w:rsid w:val="00B72A1F"/>
    <w:rsid w:val="00B72A7E"/>
    <w:rsid w:val="00B72AFF"/>
    <w:rsid w:val="00B72B00"/>
    <w:rsid w:val="00B72B2D"/>
    <w:rsid w:val="00B72B6C"/>
    <w:rsid w:val="00B72C10"/>
    <w:rsid w:val="00B72C5C"/>
    <w:rsid w:val="00B72CA4"/>
    <w:rsid w:val="00B72D35"/>
    <w:rsid w:val="00B72D80"/>
    <w:rsid w:val="00B72D85"/>
    <w:rsid w:val="00B72DC8"/>
    <w:rsid w:val="00B72E1E"/>
    <w:rsid w:val="00B73068"/>
    <w:rsid w:val="00B73114"/>
    <w:rsid w:val="00B73120"/>
    <w:rsid w:val="00B73158"/>
    <w:rsid w:val="00B73230"/>
    <w:rsid w:val="00B7349C"/>
    <w:rsid w:val="00B734EE"/>
    <w:rsid w:val="00B734F2"/>
    <w:rsid w:val="00B734FF"/>
    <w:rsid w:val="00B73551"/>
    <w:rsid w:val="00B735EE"/>
    <w:rsid w:val="00B73672"/>
    <w:rsid w:val="00B7369C"/>
    <w:rsid w:val="00B7373B"/>
    <w:rsid w:val="00B737DF"/>
    <w:rsid w:val="00B73809"/>
    <w:rsid w:val="00B739C8"/>
    <w:rsid w:val="00B73A43"/>
    <w:rsid w:val="00B73AB5"/>
    <w:rsid w:val="00B73AEE"/>
    <w:rsid w:val="00B73BAC"/>
    <w:rsid w:val="00B73E02"/>
    <w:rsid w:val="00B73E5D"/>
    <w:rsid w:val="00B73E89"/>
    <w:rsid w:val="00B73E9D"/>
    <w:rsid w:val="00B73F1A"/>
    <w:rsid w:val="00B74024"/>
    <w:rsid w:val="00B7410A"/>
    <w:rsid w:val="00B74237"/>
    <w:rsid w:val="00B7429C"/>
    <w:rsid w:val="00B7431B"/>
    <w:rsid w:val="00B7433C"/>
    <w:rsid w:val="00B74344"/>
    <w:rsid w:val="00B74435"/>
    <w:rsid w:val="00B74495"/>
    <w:rsid w:val="00B744BF"/>
    <w:rsid w:val="00B744EE"/>
    <w:rsid w:val="00B7458A"/>
    <w:rsid w:val="00B745F9"/>
    <w:rsid w:val="00B746B9"/>
    <w:rsid w:val="00B74741"/>
    <w:rsid w:val="00B74793"/>
    <w:rsid w:val="00B747D3"/>
    <w:rsid w:val="00B7480F"/>
    <w:rsid w:val="00B748ED"/>
    <w:rsid w:val="00B74917"/>
    <w:rsid w:val="00B749C5"/>
    <w:rsid w:val="00B74B88"/>
    <w:rsid w:val="00B74B93"/>
    <w:rsid w:val="00B74BC6"/>
    <w:rsid w:val="00B74C70"/>
    <w:rsid w:val="00B74C8E"/>
    <w:rsid w:val="00B74CD9"/>
    <w:rsid w:val="00B74D2A"/>
    <w:rsid w:val="00B74D34"/>
    <w:rsid w:val="00B74D78"/>
    <w:rsid w:val="00B74E06"/>
    <w:rsid w:val="00B74E17"/>
    <w:rsid w:val="00B74E31"/>
    <w:rsid w:val="00B74E35"/>
    <w:rsid w:val="00B74F58"/>
    <w:rsid w:val="00B74F5A"/>
    <w:rsid w:val="00B74F82"/>
    <w:rsid w:val="00B74F8A"/>
    <w:rsid w:val="00B74FCE"/>
    <w:rsid w:val="00B750E0"/>
    <w:rsid w:val="00B750EB"/>
    <w:rsid w:val="00B7512F"/>
    <w:rsid w:val="00B75192"/>
    <w:rsid w:val="00B752F9"/>
    <w:rsid w:val="00B75379"/>
    <w:rsid w:val="00B7543B"/>
    <w:rsid w:val="00B754F6"/>
    <w:rsid w:val="00B7550C"/>
    <w:rsid w:val="00B7550D"/>
    <w:rsid w:val="00B755B2"/>
    <w:rsid w:val="00B755F2"/>
    <w:rsid w:val="00B7560A"/>
    <w:rsid w:val="00B7560E"/>
    <w:rsid w:val="00B75667"/>
    <w:rsid w:val="00B75705"/>
    <w:rsid w:val="00B757B9"/>
    <w:rsid w:val="00B757BD"/>
    <w:rsid w:val="00B75853"/>
    <w:rsid w:val="00B7599B"/>
    <w:rsid w:val="00B75AA9"/>
    <w:rsid w:val="00B75BAA"/>
    <w:rsid w:val="00B75BDF"/>
    <w:rsid w:val="00B75C03"/>
    <w:rsid w:val="00B75C04"/>
    <w:rsid w:val="00B75CCB"/>
    <w:rsid w:val="00B75ECB"/>
    <w:rsid w:val="00B75FB5"/>
    <w:rsid w:val="00B75FC2"/>
    <w:rsid w:val="00B7601B"/>
    <w:rsid w:val="00B7608E"/>
    <w:rsid w:val="00B76202"/>
    <w:rsid w:val="00B7620A"/>
    <w:rsid w:val="00B76243"/>
    <w:rsid w:val="00B7625B"/>
    <w:rsid w:val="00B76284"/>
    <w:rsid w:val="00B762D2"/>
    <w:rsid w:val="00B7634F"/>
    <w:rsid w:val="00B7642F"/>
    <w:rsid w:val="00B764EB"/>
    <w:rsid w:val="00B7660A"/>
    <w:rsid w:val="00B766B3"/>
    <w:rsid w:val="00B766B8"/>
    <w:rsid w:val="00B76712"/>
    <w:rsid w:val="00B76798"/>
    <w:rsid w:val="00B767B9"/>
    <w:rsid w:val="00B767C3"/>
    <w:rsid w:val="00B76844"/>
    <w:rsid w:val="00B7686B"/>
    <w:rsid w:val="00B76870"/>
    <w:rsid w:val="00B76954"/>
    <w:rsid w:val="00B769A9"/>
    <w:rsid w:val="00B76A31"/>
    <w:rsid w:val="00B76A92"/>
    <w:rsid w:val="00B76B02"/>
    <w:rsid w:val="00B76CBA"/>
    <w:rsid w:val="00B76E47"/>
    <w:rsid w:val="00B76E8A"/>
    <w:rsid w:val="00B76F1F"/>
    <w:rsid w:val="00B76F22"/>
    <w:rsid w:val="00B7702E"/>
    <w:rsid w:val="00B771B8"/>
    <w:rsid w:val="00B771CB"/>
    <w:rsid w:val="00B77246"/>
    <w:rsid w:val="00B77279"/>
    <w:rsid w:val="00B772E3"/>
    <w:rsid w:val="00B7742C"/>
    <w:rsid w:val="00B77479"/>
    <w:rsid w:val="00B774EF"/>
    <w:rsid w:val="00B774F8"/>
    <w:rsid w:val="00B77644"/>
    <w:rsid w:val="00B7766A"/>
    <w:rsid w:val="00B7770B"/>
    <w:rsid w:val="00B77747"/>
    <w:rsid w:val="00B77778"/>
    <w:rsid w:val="00B7791D"/>
    <w:rsid w:val="00B77991"/>
    <w:rsid w:val="00B77AA2"/>
    <w:rsid w:val="00B77AEA"/>
    <w:rsid w:val="00B77BC8"/>
    <w:rsid w:val="00B77C02"/>
    <w:rsid w:val="00B77C3B"/>
    <w:rsid w:val="00B77D9A"/>
    <w:rsid w:val="00B77DAD"/>
    <w:rsid w:val="00B77DFE"/>
    <w:rsid w:val="00B77E55"/>
    <w:rsid w:val="00B77F06"/>
    <w:rsid w:val="00B8005E"/>
    <w:rsid w:val="00B80081"/>
    <w:rsid w:val="00B800A1"/>
    <w:rsid w:val="00B80301"/>
    <w:rsid w:val="00B803FE"/>
    <w:rsid w:val="00B80424"/>
    <w:rsid w:val="00B8053E"/>
    <w:rsid w:val="00B805A9"/>
    <w:rsid w:val="00B805B1"/>
    <w:rsid w:val="00B805C8"/>
    <w:rsid w:val="00B805FC"/>
    <w:rsid w:val="00B806F2"/>
    <w:rsid w:val="00B80741"/>
    <w:rsid w:val="00B80742"/>
    <w:rsid w:val="00B80800"/>
    <w:rsid w:val="00B80885"/>
    <w:rsid w:val="00B8096F"/>
    <w:rsid w:val="00B80A69"/>
    <w:rsid w:val="00B80BD0"/>
    <w:rsid w:val="00B80C8E"/>
    <w:rsid w:val="00B80C93"/>
    <w:rsid w:val="00B80CA3"/>
    <w:rsid w:val="00B80CBC"/>
    <w:rsid w:val="00B80D46"/>
    <w:rsid w:val="00B80DB2"/>
    <w:rsid w:val="00B80DE1"/>
    <w:rsid w:val="00B80DF5"/>
    <w:rsid w:val="00B80E7D"/>
    <w:rsid w:val="00B80E8C"/>
    <w:rsid w:val="00B80F5D"/>
    <w:rsid w:val="00B80F8A"/>
    <w:rsid w:val="00B80FA8"/>
    <w:rsid w:val="00B81003"/>
    <w:rsid w:val="00B81007"/>
    <w:rsid w:val="00B810D8"/>
    <w:rsid w:val="00B810E7"/>
    <w:rsid w:val="00B8116C"/>
    <w:rsid w:val="00B811F7"/>
    <w:rsid w:val="00B81356"/>
    <w:rsid w:val="00B8135E"/>
    <w:rsid w:val="00B81381"/>
    <w:rsid w:val="00B813B7"/>
    <w:rsid w:val="00B813D7"/>
    <w:rsid w:val="00B81436"/>
    <w:rsid w:val="00B81464"/>
    <w:rsid w:val="00B814E0"/>
    <w:rsid w:val="00B814EC"/>
    <w:rsid w:val="00B8158B"/>
    <w:rsid w:val="00B8163C"/>
    <w:rsid w:val="00B816B6"/>
    <w:rsid w:val="00B81711"/>
    <w:rsid w:val="00B81770"/>
    <w:rsid w:val="00B817BA"/>
    <w:rsid w:val="00B81857"/>
    <w:rsid w:val="00B81913"/>
    <w:rsid w:val="00B8195C"/>
    <w:rsid w:val="00B81B4A"/>
    <w:rsid w:val="00B81C75"/>
    <w:rsid w:val="00B81DA5"/>
    <w:rsid w:val="00B81E51"/>
    <w:rsid w:val="00B81E66"/>
    <w:rsid w:val="00B81F25"/>
    <w:rsid w:val="00B81F3E"/>
    <w:rsid w:val="00B81FC7"/>
    <w:rsid w:val="00B81FD1"/>
    <w:rsid w:val="00B81FDB"/>
    <w:rsid w:val="00B82159"/>
    <w:rsid w:val="00B82177"/>
    <w:rsid w:val="00B821A4"/>
    <w:rsid w:val="00B821F9"/>
    <w:rsid w:val="00B8221B"/>
    <w:rsid w:val="00B8245D"/>
    <w:rsid w:val="00B8249C"/>
    <w:rsid w:val="00B82596"/>
    <w:rsid w:val="00B826BF"/>
    <w:rsid w:val="00B826C3"/>
    <w:rsid w:val="00B82701"/>
    <w:rsid w:val="00B82705"/>
    <w:rsid w:val="00B8271A"/>
    <w:rsid w:val="00B827A2"/>
    <w:rsid w:val="00B82877"/>
    <w:rsid w:val="00B82993"/>
    <w:rsid w:val="00B82A45"/>
    <w:rsid w:val="00B82ADE"/>
    <w:rsid w:val="00B82B04"/>
    <w:rsid w:val="00B82B37"/>
    <w:rsid w:val="00B82B95"/>
    <w:rsid w:val="00B82C11"/>
    <w:rsid w:val="00B82C90"/>
    <w:rsid w:val="00B82CA7"/>
    <w:rsid w:val="00B82CB7"/>
    <w:rsid w:val="00B82D12"/>
    <w:rsid w:val="00B82D2D"/>
    <w:rsid w:val="00B82D67"/>
    <w:rsid w:val="00B82DD5"/>
    <w:rsid w:val="00B82F4A"/>
    <w:rsid w:val="00B82FD7"/>
    <w:rsid w:val="00B8303E"/>
    <w:rsid w:val="00B8309B"/>
    <w:rsid w:val="00B830A1"/>
    <w:rsid w:val="00B830B3"/>
    <w:rsid w:val="00B83102"/>
    <w:rsid w:val="00B8312C"/>
    <w:rsid w:val="00B8315E"/>
    <w:rsid w:val="00B832A9"/>
    <w:rsid w:val="00B832B2"/>
    <w:rsid w:val="00B8332B"/>
    <w:rsid w:val="00B83346"/>
    <w:rsid w:val="00B83356"/>
    <w:rsid w:val="00B8335A"/>
    <w:rsid w:val="00B833AB"/>
    <w:rsid w:val="00B833B0"/>
    <w:rsid w:val="00B833C0"/>
    <w:rsid w:val="00B833FB"/>
    <w:rsid w:val="00B83440"/>
    <w:rsid w:val="00B83458"/>
    <w:rsid w:val="00B834CB"/>
    <w:rsid w:val="00B834F3"/>
    <w:rsid w:val="00B8351E"/>
    <w:rsid w:val="00B835D3"/>
    <w:rsid w:val="00B83618"/>
    <w:rsid w:val="00B83655"/>
    <w:rsid w:val="00B8365B"/>
    <w:rsid w:val="00B83783"/>
    <w:rsid w:val="00B8382B"/>
    <w:rsid w:val="00B83844"/>
    <w:rsid w:val="00B8387F"/>
    <w:rsid w:val="00B838B3"/>
    <w:rsid w:val="00B838EF"/>
    <w:rsid w:val="00B83953"/>
    <w:rsid w:val="00B839EB"/>
    <w:rsid w:val="00B839FB"/>
    <w:rsid w:val="00B83A5F"/>
    <w:rsid w:val="00B83A61"/>
    <w:rsid w:val="00B83A82"/>
    <w:rsid w:val="00B83ADB"/>
    <w:rsid w:val="00B83B1D"/>
    <w:rsid w:val="00B83C5B"/>
    <w:rsid w:val="00B83D64"/>
    <w:rsid w:val="00B83EDD"/>
    <w:rsid w:val="00B83F1D"/>
    <w:rsid w:val="00B83FC3"/>
    <w:rsid w:val="00B84026"/>
    <w:rsid w:val="00B8415C"/>
    <w:rsid w:val="00B841C6"/>
    <w:rsid w:val="00B84207"/>
    <w:rsid w:val="00B8420B"/>
    <w:rsid w:val="00B843ED"/>
    <w:rsid w:val="00B8454A"/>
    <w:rsid w:val="00B84621"/>
    <w:rsid w:val="00B846AB"/>
    <w:rsid w:val="00B8471A"/>
    <w:rsid w:val="00B847D3"/>
    <w:rsid w:val="00B84817"/>
    <w:rsid w:val="00B84822"/>
    <w:rsid w:val="00B8483C"/>
    <w:rsid w:val="00B8490C"/>
    <w:rsid w:val="00B84A1C"/>
    <w:rsid w:val="00B84BF1"/>
    <w:rsid w:val="00B84C24"/>
    <w:rsid w:val="00B84C26"/>
    <w:rsid w:val="00B84CF6"/>
    <w:rsid w:val="00B84D2C"/>
    <w:rsid w:val="00B84E5D"/>
    <w:rsid w:val="00B8500E"/>
    <w:rsid w:val="00B8503C"/>
    <w:rsid w:val="00B8506D"/>
    <w:rsid w:val="00B850E2"/>
    <w:rsid w:val="00B85141"/>
    <w:rsid w:val="00B85153"/>
    <w:rsid w:val="00B8516F"/>
    <w:rsid w:val="00B851C0"/>
    <w:rsid w:val="00B8529D"/>
    <w:rsid w:val="00B8533C"/>
    <w:rsid w:val="00B854F4"/>
    <w:rsid w:val="00B85534"/>
    <w:rsid w:val="00B85561"/>
    <w:rsid w:val="00B855D7"/>
    <w:rsid w:val="00B85624"/>
    <w:rsid w:val="00B8568F"/>
    <w:rsid w:val="00B856E6"/>
    <w:rsid w:val="00B85741"/>
    <w:rsid w:val="00B85776"/>
    <w:rsid w:val="00B8579D"/>
    <w:rsid w:val="00B857F0"/>
    <w:rsid w:val="00B85812"/>
    <w:rsid w:val="00B85858"/>
    <w:rsid w:val="00B858A4"/>
    <w:rsid w:val="00B858E1"/>
    <w:rsid w:val="00B8598A"/>
    <w:rsid w:val="00B85AA5"/>
    <w:rsid w:val="00B85AAA"/>
    <w:rsid w:val="00B85C53"/>
    <w:rsid w:val="00B85C56"/>
    <w:rsid w:val="00B85F75"/>
    <w:rsid w:val="00B85F7A"/>
    <w:rsid w:val="00B85FDA"/>
    <w:rsid w:val="00B85FE8"/>
    <w:rsid w:val="00B86025"/>
    <w:rsid w:val="00B860A6"/>
    <w:rsid w:val="00B860B1"/>
    <w:rsid w:val="00B860E0"/>
    <w:rsid w:val="00B8622B"/>
    <w:rsid w:val="00B86238"/>
    <w:rsid w:val="00B86274"/>
    <w:rsid w:val="00B86365"/>
    <w:rsid w:val="00B86439"/>
    <w:rsid w:val="00B86519"/>
    <w:rsid w:val="00B86595"/>
    <w:rsid w:val="00B865B2"/>
    <w:rsid w:val="00B8670E"/>
    <w:rsid w:val="00B868B6"/>
    <w:rsid w:val="00B86917"/>
    <w:rsid w:val="00B869E3"/>
    <w:rsid w:val="00B869FD"/>
    <w:rsid w:val="00B86B88"/>
    <w:rsid w:val="00B86CAE"/>
    <w:rsid w:val="00B86D0A"/>
    <w:rsid w:val="00B86D6C"/>
    <w:rsid w:val="00B86D8D"/>
    <w:rsid w:val="00B86DA6"/>
    <w:rsid w:val="00B86E56"/>
    <w:rsid w:val="00B86E6F"/>
    <w:rsid w:val="00B86F40"/>
    <w:rsid w:val="00B86F57"/>
    <w:rsid w:val="00B86FE8"/>
    <w:rsid w:val="00B87042"/>
    <w:rsid w:val="00B87126"/>
    <w:rsid w:val="00B87194"/>
    <w:rsid w:val="00B87215"/>
    <w:rsid w:val="00B87221"/>
    <w:rsid w:val="00B87228"/>
    <w:rsid w:val="00B8723A"/>
    <w:rsid w:val="00B875E0"/>
    <w:rsid w:val="00B87624"/>
    <w:rsid w:val="00B87628"/>
    <w:rsid w:val="00B8762D"/>
    <w:rsid w:val="00B87741"/>
    <w:rsid w:val="00B87789"/>
    <w:rsid w:val="00B877FE"/>
    <w:rsid w:val="00B878BE"/>
    <w:rsid w:val="00B878E1"/>
    <w:rsid w:val="00B8790C"/>
    <w:rsid w:val="00B87929"/>
    <w:rsid w:val="00B87972"/>
    <w:rsid w:val="00B87A90"/>
    <w:rsid w:val="00B87AA0"/>
    <w:rsid w:val="00B87D3D"/>
    <w:rsid w:val="00B87D83"/>
    <w:rsid w:val="00B87DDD"/>
    <w:rsid w:val="00B87E22"/>
    <w:rsid w:val="00B87E78"/>
    <w:rsid w:val="00B87F95"/>
    <w:rsid w:val="00B90012"/>
    <w:rsid w:val="00B90212"/>
    <w:rsid w:val="00B9033F"/>
    <w:rsid w:val="00B903BB"/>
    <w:rsid w:val="00B903CC"/>
    <w:rsid w:val="00B903D2"/>
    <w:rsid w:val="00B903E9"/>
    <w:rsid w:val="00B90452"/>
    <w:rsid w:val="00B904A0"/>
    <w:rsid w:val="00B904F8"/>
    <w:rsid w:val="00B9050E"/>
    <w:rsid w:val="00B905CB"/>
    <w:rsid w:val="00B9061F"/>
    <w:rsid w:val="00B90805"/>
    <w:rsid w:val="00B90830"/>
    <w:rsid w:val="00B90851"/>
    <w:rsid w:val="00B90A22"/>
    <w:rsid w:val="00B90B0E"/>
    <w:rsid w:val="00B90B1D"/>
    <w:rsid w:val="00B90BAA"/>
    <w:rsid w:val="00B90C50"/>
    <w:rsid w:val="00B90CF6"/>
    <w:rsid w:val="00B90DB3"/>
    <w:rsid w:val="00B90E0F"/>
    <w:rsid w:val="00B90E5B"/>
    <w:rsid w:val="00B90E8C"/>
    <w:rsid w:val="00B90EA2"/>
    <w:rsid w:val="00B90EB6"/>
    <w:rsid w:val="00B90EC3"/>
    <w:rsid w:val="00B90FA5"/>
    <w:rsid w:val="00B91141"/>
    <w:rsid w:val="00B9115E"/>
    <w:rsid w:val="00B9115F"/>
    <w:rsid w:val="00B9118A"/>
    <w:rsid w:val="00B911BE"/>
    <w:rsid w:val="00B911D2"/>
    <w:rsid w:val="00B911F8"/>
    <w:rsid w:val="00B91273"/>
    <w:rsid w:val="00B912B5"/>
    <w:rsid w:val="00B913AD"/>
    <w:rsid w:val="00B914CA"/>
    <w:rsid w:val="00B91603"/>
    <w:rsid w:val="00B91622"/>
    <w:rsid w:val="00B91673"/>
    <w:rsid w:val="00B916A9"/>
    <w:rsid w:val="00B916B1"/>
    <w:rsid w:val="00B91746"/>
    <w:rsid w:val="00B91783"/>
    <w:rsid w:val="00B91822"/>
    <w:rsid w:val="00B918A8"/>
    <w:rsid w:val="00B918D3"/>
    <w:rsid w:val="00B91911"/>
    <w:rsid w:val="00B91A61"/>
    <w:rsid w:val="00B91BA3"/>
    <w:rsid w:val="00B91BC9"/>
    <w:rsid w:val="00B91C0A"/>
    <w:rsid w:val="00B91D3A"/>
    <w:rsid w:val="00B91E5C"/>
    <w:rsid w:val="00B91E90"/>
    <w:rsid w:val="00B91EB0"/>
    <w:rsid w:val="00B91EF1"/>
    <w:rsid w:val="00B91F01"/>
    <w:rsid w:val="00B91F1D"/>
    <w:rsid w:val="00B9207C"/>
    <w:rsid w:val="00B920AF"/>
    <w:rsid w:val="00B920CB"/>
    <w:rsid w:val="00B92141"/>
    <w:rsid w:val="00B92145"/>
    <w:rsid w:val="00B92168"/>
    <w:rsid w:val="00B921A8"/>
    <w:rsid w:val="00B92206"/>
    <w:rsid w:val="00B92229"/>
    <w:rsid w:val="00B9228C"/>
    <w:rsid w:val="00B923E4"/>
    <w:rsid w:val="00B9244B"/>
    <w:rsid w:val="00B924D8"/>
    <w:rsid w:val="00B9257D"/>
    <w:rsid w:val="00B92655"/>
    <w:rsid w:val="00B92767"/>
    <w:rsid w:val="00B927E0"/>
    <w:rsid w:val="00B927FA"/>
    <w:rsid w:val="00B9281A"/>
    <w:rsid w:val="00B92873"/>
    <w:rsid w:val="00B929CF"/>
    <w:rsid w:val="00B92AAB"/>
    <w:rsid w:val="00B92AB2"/>
    <w:rsid w:val="00B92AD1"/>
    <w:rsid w:val="00B92B39"/>
    <w:rsid w:val="00B92B43"/>
    <w:rsid w:val="00B92BFA"/>
    <w:rsid w:val="00B92DC1"/>
    <w:rsid w:val="00B92E37"/>
    <w:rsid w:val="00B92EF3"/>
    <w:rsid w:val="00B92F0E"/>
    <w:rsid w:val="00B92F55"/>
    <w:rsid w:val="00B92FA9"/>
    <w:rsid w:val="00B93144"/>
    <w:rsid w:val="00B931B9"/>
    <w:rsid w:val="00B93226"/>
    <w:rsid w:val="00B932D5"/>
    <w:rsid w:val="00B933E1"/>
    <w:rsid w:val="00B9342F"/>
    <w:rsid w:val="00B93435"/>
    <w:rsid w:val="00B93474"/>
    <w:rsid w:val="00B93482"/>
    <w:rsid w:val="00B93575"/>
    <w:rsid w:val="00B93605"/>
    <w:rsid w:val="00B93692"/>
    <w:rsid w:val="00B9378A"/>
    <w:rsid w:val="00B937B0"/>
    <w:rsid w:val="00B93826"/>
    <w:rsid w:val="00B9390E"/>
    <w:rsid w:val="00B9390F"/>
    <w:rsid w:val="00B9396A"/>
    <w:rsid w:val="00B93B11"/>
    <w:rsid w:val="00B93C05"/>
    <w:rsid w:val="00B93C36"/>
    <w:rsid w:val="00B93CB2"/>
    <w:rsid w:val="00B93CB8"/>
    <w:rsid w:val="00B93CF7"/>
    <w:rsid w:val="00B93D13"/>
    <w:rsid w:val="00B93DB6"/>
    <w:rsid w:val="00B93E0D"/>
    <w:rsid w:val="00B93F3C"/>
    <w:rsid w:val="00B93F7A"/>
    <w:rsid w:val="00B94048"/>
    <w:rsid w:val="00B94080"/>
    <w:rsid w:val="00B94092"/>
    <w:rsid w:val="00B940C8"/>
    <w:rsid w:val="00B9414C"/>
    <w:rsid w:val="00B94243"/>
    <w:rsid w:val="00B942B0"/>
    <w:rsid w:val="00B942B6"/>
    <w:rsid w:val="00B94326"/>
    <w:rsid w:val="00B94351"/>
    <w:rsid w:val="00B94390"/>
    <w:rsid w:val="00B945B5"/>
    <w:rsid w:val="00B94612"/>
    <w:rsid w:val="00B94782"/>
    <w:rsid w:val="00B94799"/>
    <w:rsid w:val="00B947BB"/>
    <w:rsid w:val="00B947FB"/>
    <w:rsid w:val="00B949F2"/>
    <w:rsid w:val="00B94A5A"/>
    <w:rsid w:val="00B94A7B"/>
    <w:rsid w:val="00B94AC1"/>
    <w:rsid w:val="00B94AC4"/>
    <w:rsid w:val="00B94AD1"/>
    <w:rsid w:val="00B94B62"/>
    <w:rsid w:val="00B94B66"/>
    <w:rsid w:val="00B94C09"/>
    <w:rsid w:val="00B94C9A"/>
    <w:rsid w:val="00B94D51"/>
    <w:rsid w:val="00B94D6C"/>
    <w:rsid w:val="00B94DFD"/>
    <w:rsid w:val="00B94E55"/>
    <w:rsid w:val="00B94EBB"/>
    <w:rsid w:val="00B94FE6"/>
    <w:rsid w:val="00B95050"/>
    <w:rsid w:val="00B95067"/>
    <w:rsid w:val="00B950B3"/>
    <w:rsid w:val="00B950B8"/>
    <w:rsid w:val="00B950C6"/>
    <w:rsid w:val="00B9515B"/>
    <w:rsid w:val="00B9517B"/>
    <w:rsid w:val="00B952C7"/>
    <w:rsid w:val="00B952D7"/>
    <w:rsid w:val="00B953AE"/>
    <w:rsid w:val="00B9542A"/>
    <w:rsid w:val="00B95481"/>
    <w:rsid w:val="00B9548C"/>
    <w:rsid w:val="00B954C5"/>
    <w:rsid w:val="00B954D9"/>
    <w:rsid w:val="00B9553F"/>
    <w:rsid w:val="00B9570A"/>
    <w:rsid w:val="00B9571D"/>
    <w:rsid w:val="00B95746"/>
    <w:rsid w:val="00B957D1"/>
    <w:rsid w:val="00B959A3"/>
    <w:rsid w:val="00B95A5E"/>
    <w:rsid w:val="00B95A88"/>
    <w:rsid w:val="00B95ACC"/>
    <w:rsid w:val="00B95BA3"/>
    <w:rsid w:val="00B95BBC"/>
    <w:rsid w:val="00B95C71"/>
    <w:rsid w:val="00B95CBC"/>
    <w:rsid w:val="00B95D7A"/>
    <w:rsid w:val="00B95E3A"/>
    <w:rsid w:val="00B95EA5"/>
    <w:rsid w:val="00B95EAD"/>
    <w:rsid w:val="00B95FA3"/>
    <w:rsid w:val="00B95FAD"/>
    <w:rsid w:val="00B95FBB"/>
    <w:rsid w:val="00B9602D"/>
    <w:rsid w:val="00B9615D"/>
    <w:rsid w:val="00B961B5"/>
    <w:rsid w:val="00B9621B"/>
    <w:rsid w:val="00B963F6"/>
    <w:rsid w:val="00B96422"/>
    <w:rsid w:val="00B964AF"/>
    <w:rsid w:val="00B964C7"/>
    <w:rsid w:val="00B964E4"/>
    <w:rsid w:val="00B9655E"/>
    <w:rsid w:val="00B96609"/>
    <w:rsid w:val="00B966FE"/>
    <w:rsid w:val="00B9674A"/>
    <w:rsid w:val="00B96818"/>
    <w:rsid w:val="00B96821"/>
    <w:rsid w:val="00B96872"/>
    <w:rsid w:val="00B96951"/>
    <w:rsid w:val="00B9696C"/>
    <w:rsid w:val="00B96A0F"/>
    <w:rsid w:val="00B96A91"/>
    <w:rsid w:val="00B96AB1"/>
    <w:rsid w:val="00B96B70"/>
    <w:rsid w:val="00B96CDB"/>
    <w:rsid w:val="00B96CE9"/>
    <w:rsid w:val="00B96DC5"/>
    <w:rsid w:val="00B96DED"/>
    <w:rsid w:val="00B96F5D"/>
    <w:rsid w:val="00B971A7"/>
    <w:rsid w:val="00B9731B"/>
    <w:rsid w:val="00B97339"/>
    <w:rsid w:val="00B9737D"/>
    <w:rsid w:val="00B97443"/>
    <w:rsid w:val="00B9749E"/>
    <w:rsid w:val="00B974A4"/>
    <w:rsid w:val="00B97676"/>
    <w:rsid w:val="00B976B3"/>
    <w:rsid w:val="00B976D5"/>
    <w:rsid w:val="00B97720"/>
    <w:rsid w:val="00B977D5"/>
    <w:rsid w:val="00B97A3B"/>
    <w:rsid w:val="00B97AD6"/>
    <w:rsid w:val="00B97B2A"/>
    <w:rsid w:val="00B97C68"/>
    <w:rsid w:val="00B97DE6"/>
    <w:rsid w:val="00B97E77"/>
    <w:rsid w:val="00BA00AF"/>
    <w:rsid w:val="00BA015E"/>
    <w:rsid w:val="00BA02B3"/>
    <w:rsid w:val="00BA0339"/>
    <w:rsid w:val="00BA0390"/>
    <w:rsid w:val="00BA04C6"/>
    <w:rsid w:val="00BA04CD"/>
    <w:rsid w:val="00BA052E"/>
    <w:rsid w:val="00BA0594"/>
    <w:rsid w:val="00BA05F4"/>
    <w:rsid w:val="00BA0609"/>
    <w:rsid w:val="00BA0757"/>
    <w:rsid w:val="00BA0766"/>
    <w:rsid w:val="00BA077B"/>
    <w:rsid w:val="00BA07CE"/>
    <w:rsid w:val="00BA07DA"/>
    <w:rsid w:val="00BA081B"/>
    <w:rsid w:val="00BA08BC"/>
    <w:rsid w:val="00BA09C1"/>
    <w:rsid w:val="00BA0A4C"/>
    <w:rsid w:val="00BA0A97"/>
    <w:rsid w:val="00BA0AD8"/>
    <w:rsid w:val="00BA0B2A"/>
    <w:rsid w:val="00BA0B8B"/>
    <w:rsid w:val="00BA0B9C"/>
    <w:rsid w:val="00BA0BA6"/>
    <w:rsid w:val="00BA0CCE"/>
    <w:rsid w:val="00BA0CD5"/>
    <w:rsid w:val="00BA0CFC"/>
    <w:rsid w:val="00BA0D7A"/>
    <w:rsid w:val="00BA0D91"/>
    <w:rsid w:val="00BA0DC1"/>
    <w:rsid w:val="00BA0E6B"/>
    <w:rsid w:val="00BA0EE0"/>
    <w:rsid w:val="00BA0F50"/>
    <w:rsid w:val="00BA0F53"/>
    <w:rsid w:val="00BA1285"/>
    <w:rsid w:val="00BA13AB"/>
    <w:rsid w:val="00BA13AF"/>
    <w:rsid w:val="00BA1440"/>
    <w:rsid w:val="00BA14F7"/>
    <w:rsid w:val="00BA1505"/>
    <w:rsid w:val="00BA1592"/>
    <w:rsid w:val="00BA1598"/>
    <w:rsid w:val="00BA159C"/>
    <w:rsid w:val="00BA15A2"/>
    <w:rsid w:val="00BA15DA"/>
    <w:rsid w:val="00BA1699"/>
    <w:rsid w:val="00BA1786"/>
    <w:rsid w:val="00BA17F9"/>
    <w:rsid w:val="00BA18C9"/>
    <w:rsid w:val="00BA1911"/>
    <w:rsid w:val="00BA1915"/>
    <w:rsid w:val="00BA1993"/>
    <w:rsid w:val="00BA19A0"/>
    <w:rsid w:val="00BA19BD"/>
    <w:rsid w:val="00BA1A20"/>
    <w:rsid w:val="00BA1A41"/>
    <w:rsid w:val="00BA1A47"/>
    <w:rsid w:val="00BA1A56"/>
    <w:rsid w:val="00BA1AA6"/>
    <w:rsid w:val="00BA1AD9"/>
    <w:rsid w:val="00BA1B92"/>
    <w:rsid w:val="00BA1C5F"/>
    <w:rsid w:val="00BA1C76"/>
    <w:rsid w:val="00BA1CAB"/>
    <w:rsid w:val="00BA1D91"/>
    <w:rsid w:val="00BA1D97"/>
    <w:rsid w:val="00BA1DA8"/>
    <w:rsid w:val="00BA1E67"/>
    <w:rsid w:val="00BA1EA4"/>
    <w:rsid w:val="00BA1EC7"/>
    <w:rsid w:val="00BA1F49"/>
    <w:rsid w:val="00BA2051"/>
    <w:rsid w:val="00BA20FD"/>
    <w:rsid w:val="00BA21EA"/>
    <w:rsid w:val="00BA2222"/>
    <w:rsid w:val="00BA22BF"/>
    <w:rsid w:val="00BA245A"/>
    <w:rsid w:val="00BA251A"/>
    <w:rsid w:val="00BA257E"/>
    <w:rsid w:val="00BA2601"/>
    <w:rsid w:val="00BA26AE"/>
    <w:rsid w:val="00BA26FB"/>
    <w:rsid w:val="00BA2703"/>
    <w:rsid w:val="00BA2784"/>
    <w:rsid w:val="00BA27AE"/>
    <w:rsid w:val="00BA2892"/>
    <w:rsid w:val="00BA28D1"/>
    <w:rsid w:val="00BA28ED"/>
    <w:rsid w:val="00BA2913"/>
    <w:rsid w:val="00BA2A38"/>
    <w:rsid w:val="00BA2AA9"/>
    <w:rsid w:val="00BA2B35"/>
    <w:rsid w:val="00BA2C23"/>
    <w:rsid w:val="00BA2C4C"/>
    <w:rsid w:val="00BA2D40"/>
    <w:rsid w:val="00BA2FB1"/>
    <w:rsid w:val="00BA2FED"/>
    <w:rsid w:val="00BA3057"/>
    <w:rsid w:val="00BA30A9"/>
    <w:rsid w:val="00BA30E8"/>
    <w:rsid w:val="00BA3101"/>
    <w:rsid w:val="00BA31BB"/>
    <w:rsid w:val="00BA32E0"/>
    <w:rsid w:val="00BA33A5"/>
    <w:rsid w:val="00BA3431"/>
    <w:rsid w:val="00BA3538"/>
    <w:rsid w:val="00BA3576"/>
    <w:rsid w:val="00BA35D7"/>
    <w:rsid w:val="00BA35F4"/>
    <w:rsid w:val="00BA3649"/>
    <w:rsid w:val="00BA365E"/>
    <w:rsid w:val="00BA36CE"/>
    <w:rsid w:val="00BA3703"/>
    <w:rsid w:val="00BA37C7"/>
    <w:rsid w:val="00BA37FF"/>
    <w:rsid w:val="00BA38B8"/>
    <w:rsid w:val="00BA3960"/>
    <w:rsid w:val="00BA3999"/>
    <w:rsid w:val="00BA3A08"/>
    <w:rsid w:val="00BA3A1B"/>
    <w:rsid w:val="00BA3A8D"/>
    <w:rsid w:val="00BA3ABF"/>
    <w:rsid w:val="00BA3ADC"/>
    <w:rsid w:val="00BA3B0B"/>
    <w:rsid w:val="00BA3BD8"/>
    <w:rsid w:val="00BA3C1B"/>
    <w:rsid w:val="00BA3CCA"/>
    <w:rsid w:val="00BA3DEA"/>
    <w:rsid w:val="00BA3E09"/>
    <w:rsid w:val="00BA3E5A"/>
    <w:rsid w:val="00BA3F1C"/>
    <w:rsid w:val="00BA3FBF"/>
    <w:rsid w:val="00BA403A"/>
    <w:rsid w:val="00BA4267"/>
    <w:rsid w:val="00BA4269"/>
    <w:rsid w:val="00BA42B9"/>
    <w:rsid w:val="00BA4306"/>
    <w:rsid w:val="00BA4380"/>
    <w:rsid w:val="00BA441A"/>
    <w:rsid w:val="00BA446D"/>
    <w:rsid w:val="00BA44D2"/>
    <w:rsid w:val="00BA44D3"/>
    <w:rsid w:val="00BA450A"/>
    <w:rsid w:val="00BA450D"/>
    <w:rsid w:val="00BA45D7"/>
    <w:rsid w:val="00BA45DE"/>
    <w:rsid w:val="00BA4635"/>
    <w:rsid w:val="00BA46FA"/>
    <w:rsid w:val="00BA4996"/>
    <w:rsid w:val="00BA499D"/>
    <w:rsid w:val="00BA49CC"/>
    <w:rsid w:val="00BA49E4"/>
    <w:rsid w:val="00BA4A7B"/>
    <w:rsid w:val="00BA4A83"/>
    <w:rsid w:val="00BA4A9D"/>
    <w:rsid w:val="00BA4AD7"/>
    <w:rsid w:val="00BA4B0F"/>
    <w:rsid w:val="00BA4B65"/>
    <w:rsid w:val="00BA4CAD"/>
    <w:rsid w:val="00BA4CB2"/>
    <w:rsid w:val="00BA4CB4"/>
    <w:rsid w:val="00BA4D0C"/>
    <w:rsid w:val="00BA4D22"/>
    <w:rsid w:val="00BA4D36"/>
    <w:rsid w:val="00BA4DA1"/>
    <w:rsid w:val="00BA4E48"/>
    <w:rsid w:val="00BA4E93"/>
    <w:rsid w:val="00BA4EE3"/>
    <w:rsid w:val="00BA4F1C"/>
    <w:rsid w:val="00BA4F3E"/>
    <w:rsid w:val="00BA4FB3"/>
    <w:rsid w:val="00BA50B7"/>
    <w:rsid w:val="00BA5168"/>
    <w:rsid w:val="00BA52D7"/>
    <w:rsid w:val="00BA5310"/>
    <w:rsid w:val="00BA5376"/>
    <w:rsid w:val="00BA5391"/>
    <w:rsid w:val="00BA5413"/>
    <w:rsid w:val="00BA5432"/>
    <w:rsid w:val="00BA54BC"/>
    <w:rsid w:val="00BA5534"/>
    <w:rsid w:val="00BA5542"/>
    <w:rsid w:val="00BA5573"/>
    <w:rsid w:val="00BA55F8"/>
    <w:rsid w:val="00BA562C"/>
    <w:rsid w:val="00BA5711"/>
    <w:rsid w:val="00BA5773"/>
    <w:rsid w:val="00BA5793"/>
    <w:rsid w:val="00BA5820"/>
    <w:rsid w:val="00BA58C9"/>
    <w:rsid w:val="00BA5936"/>
    <w:rsid w:val="00BA5970"/>
    <w:rsid w:val="00BA597B"/>
    <w:rsid w:val="00BA59A5"/>
    <w:rsid w:val="00BA5A30"/>
    <w:rsid w:val="00BA5A53"/>
    <w:rsid w:val="00BA5A57"/>
    <w:rsid w:val="00BA5AAA"/>
    <w:rsid w:val="00BA5AD0"/>
    <w:rsid w:val="00BA5B6C"/>
    <w:rsid w:val="00BA5BBB"/>
    <w:rsid w:val="00BA5C69"/>
    <w:rsid w:val="00BA5CCA"/>
    <w:rsid w:val="00BA5DC7"/>
    <w:rsid w:val="00BA5DF0"/>
    <w:rsid w:val="00BA5E3E"/>
    <w:rsid w:val="00BA618E"/>
    <w:rsid w:val="00BA6213"/>
    <w:rsid w:val="00BA62C9"/>
    <w:rsid w:val="00BA62CE"/>
    <w:rsid w:val="00BA64B6"/>
    <w:rsid w:val="00BA650F"/>
    <w:rsid w:val="00BA6530"/>
    <w:rsid w:val="00BA654E"/>
    <w:rsid w:val="00BA65FF"/>
    <w:rsid w:val="00BA660B"/>
    <w:rsid w:val="00BA665B"/>
    <w:rsid w:val="00BA669F"/>
    <w:rsid w:val="00BA66C1"/>
    <w:rsid w:val="00BA66FB"/>
    <w:rsid w:val="00BA672A"/>
    <w:rsid w:val="00BA6903"/>
    <w:rsid w:val="00BA69B9"/>
    <w:rsid w:val="00BA6AF8"/>
    <w:rsid w:val="00BA6B57"/>
    <w:rsid w:val="00BA6BD7"/>
    <w:rsid w:val="00BA6BFC"/>
    <w:rsid w:val="00BA6C5E"/>
    <w:rsid w:val="00BA6C70"/>
    <w:rsid w:val="00BA6E52"/>
    <w:rsid w:val="00BA6EC4"/>
    <w:rsid w:val="00BA7073"/>
    <w:rsid w:val="00BA70E2"/>
    <w:rsid w:val="00BA711F"/>
    <w:rsid w:val="00BA71EB"/>
    <w:rsid w:val="00BA721F"/>
    <w:rsid w:val="00BA7292"/>
    <w:rsid w:val="00BA72F0"/>
    <w:rsid w:val="00BA73DD"/>
    <w:rsid w:val="00BA7494"/>
    <w:rsid w:val="00BA7508"/>
    <w:rsid w:val="00BA75B8"/>
    <w:rsid w:val="00BA75DA"/>
    <w:rsid w:val="00BA75EB"/>
    <w:rsid w:val="00BA7636"/>
    <w:rsid w:val="00BA7644"/>
    <w:rsid w:val="00BA7682"/>
    <w:rsid w:val="00BA77E4"/>
    <w:rsid w:val="00BA7894"/>
    <w:rsid w:val="00BA78B4"/>
    <w:rsid w:val="00BA78D7"/>
    <w:rsid w:val="00BA78FD"/>
    <w:rsid w:val="00BA7919"/>
    <w:rsid w:val="00BA7AD0"/>
    <w:rsid w:val="00BA7B22"/>
    <w:rsid w:val="00BA7C4E"/>
    <w:rsid w:val="00BA7C63"/>
    <w:rsid w:val="00BA7C74"/>
    <w:rsid w:val="00BA7D60"/>
    <w:rsid w:val="00BA7DFB"/>
    <w:rsid w:val="00BA7EB7"/>
    <w:rsid w:val="00BA7F6D"/>
    <w:rsid w:val="00BA7F92"/>
    <w:rsid w:val="00BA7FB6"/>
    <w:rsid w:val="00BB0055"/>
    <w:rsid w:val="00BB00A0"/>
    <w:rsid w:val="00BB00F1"/>
    <w:rsid w:val="00BB0134"/>
    <w:rsid w:val="00BB0160"/>
    <w:rsid w:val="00BB01B5"/>
    <w:rsid w:val="00BB01FB"/>
    <w:rsid w:val="00BB02E6"/>
    <w:rsid w:val="00BB0381"/>
    <w:rsid w:val="00BB03F9"/>
    <w:rsid w:val="00BB0620"/>
    <w:rsid w:val="00BB0677"/>
    <w:rsid w:val="00BB06CE"/>
    <w:rsid w:val="00BB06D5"/>
    <w:rsid w:val="00BB071D"/>
    <w:rsid w:val="00BB07EF"/>
    <w:rsid w:val="00BB082E"/>
    <w:rsid w:val="00BB0855"/>
    <w:rsid w:val="00BB08D1"/>
    <w:rsid w:val="00BB0908"/>
    <w:rsid w:val="00BB09FA"/>
    <w:rsid w:val="00BB0AA3"/>
    <w:rsid w:val="00BB0C59"/>
    <w:rsid w:val="00BB0C5A"/>
    <w:rsid w:val="00BB0CB6"/>
    <w:rsid w:val="00BB0D0E"/>
    <w:rsid w:val="00BB0D3C"/>
    <w:rsid w:val="00BB0D62"/>
    <w:rsid w:val="00BB0DD4"/>
    <w:rsid w:val="00BB0EF4"/>
    <w:rsid w:val="00BB1084"/>
    <w:rsid w:val="00BB1088"/>
    <w:rsid w:val="00BB1144"/>
    <w:rsid w:val="00BB11CB"/>
    <w:rsid w:val="00BB120E"/>
    <w:rsid w:val="00BB1211"/>
    <w:rsid w:val="00BB12A2"/>
    <w:rsid w:val="00BB1451"/>
    <w:rsid w:val="00BB14CF"/>
    <w:rsid w:val="00BB14D2"/>
    <w:rsid w:val="00BB14F1"/>
    <w:rsid w:val="00BB1509"/>
    <w:rsid w:val="00BB15BD"/>
    <w:rsid w:val="00BB15F0"/>
    <w:rsid w:val="00BB1613"/>
    <w:rsid w:val="00BB1624"/>
    <w:rsid w:val="00BB16C2"/>
    <w:rsid w:val="00BB1750"/>
    <w:rsid w:val="00BB17BB"/>
    <w:rsid w:val="00BB17D8"/>
    <w:rsid w:val="00BB17DA"/>
    <w:rsid w:val="00BB1842"/>
    <w:rsid w:val="00BB192D"/>
    <w:rsid w:val="00BB19AC"/>
    <w:rsid w:val="00BB19FF"/>
    <w:rsid w:val="00BB1A0E"/>
    <w:rsid w:val="00BB1A17"/>
    <w:rsid w:val="00BB1A99"/>
    <w:rsid w:val="00BB1B6E"/>
    <w:rsid w:val="00BB1BA3"/>
    <w:rsid w:val="00BB1BBC"/>
    <w:rsid w:val="00BB1C6B"/>
    <w:rsid w:val="00BB1D02"/>
    <w:rsid w:val="00BB1D55"/>
    <w:rsid w:val="00BB1D64"/>
    <w:rsid w:val="00BB1E2F"/>
    <w:rsid w:val="00BB1F8D"/>
    <w:rsid w:val="00BB1FE4"/>
    <w:rsid w:val="00BB203E"/>
    <w:rsid w:val="00BB216F"/>
    <w:rsid w:val="00BB21AD"/>
    <w:rsid w:val="00BB224D"/>
    <w:rsid w:val="00BB2280"/>
    <w:rsid w:val="00BB22B7"/>
    <w:rsid w:val="00BB23E1"/>
    <w:rsid w:val="00BB2473"/>
    <w:rsid w:val="00BB253B"/>
    <w:rsid w:val="00BB25FA"/>
    <w:rsid w:val="00BB2843"/>
    <w:rsid w:val="00BB2877"/>
    <w:rsid w:val="00BB28C3"/>
    <w:rsid w:val="00BB28D5"/>
    <w:rsid w:val="00BB29DB"/>
    <w:rsid w:val="00BB2A01"/>
    <w:rsid w:val="00BB2A51"/>
    <w:rsid w:val="00BB2AD2"/>
    <w:rsid w:val="00BB2B15"/>
    <w:rsid w:val="00BB2B39"/>
    <w:rsid w:val="00BB2B8E"/>
    <w:rsid w:val="00BB2CAC"/>
    <w:rsid w:val="00BB2CF6"/>
    <w:rsid w:val="00BB2D04"/>
    <w:rsid w:val="00BB2DE0"/>
    <w:rsid w:val="00BB2DE8"/>
    <w:rsid w:val="00BB2E1F"/>
    <w:rsid w:val="00BB2EC0"/>
    <w:rsid w:val="00BB2ECC"/>
    <w:rsid w:val="00BB2F92"/>
    <w:rsid w:val="00BB2FB2"/>
    <w:rsid w:val="00BB2FBE"/>
    <w:rsid w:val="00BB2FCF"/>
    <w:rsid w:val="00BB2FF1"/>
    <w:rsid w:val="00BB3015"/>
    <w:rsid w:val="00BB302D"/>
    <w:rsid w:val="00BB303E"/>
    <w:rsid w:val="00BB30A8"/>
    <w:rsid w:val="00BB30A9"/>
    <w:rsid w:val="00BB30AA"/>
    <w:rsid w:val="00BB3113"/>
    <w:rsid w:val="00BB311D"/>
    <w:rsid w:val="00BB3194"/>
    <w:rsid w:val="00BB31CA"/>
    <w:rsid w:val="00BB31CB"/>
    <w:rsid w:val="00BB333C"/>
    <w:rsid w:val="00BB33D6"/>
    <w:rsid w:val="00BB34DF"/>
    <w:rsid w:val="00BB34E1"/>
    <w:rsid w:val="00BB3611"/>
    <w:rsid w:val="00BB36DD"/>
    <w:rsid w:val="00BB37E1"/>
    <w:rsid w:val="00BB37EB"/>
    <w:rsid w:val="00BB37ED"/>
    <w:rsid w:val="00BB3830"/>
    <w:rsid w:val="00BB3894"/>
    <w:rsid w:val="00BB392A"/>
    <w:rsid w:val="00BB3954"/>
    <w:rsid w:val="00BB3997"/>
    <w:rsid w:val="00BB3AB3"/>
    <w:rsid w:val="00BB3BAE"/>
    <w:rsid w:val="00BB3BC2"/>
    <w:rsid w:val="00BB3C1C"/>
    <w:rsid w:val="00BB3C2D"/>
    <w:rsid w:val="00BB3CE3"/>
    <w:rsid w:val="00BB3DD5"/>
    <w:rsid w:val="00BB3E02"/>
    <w:rsid w:val="00BB3E70"/>
    <w:rsid w:val="00BB3EF9"/>
    <w:rsid w:val="00BB3F0F"/>
    <w:rsid w:val="00BB3F2B"/>
    <w:rsid w:val="00BB40A3"/>
    <w:rsid w:val="00BB4128"/>
    <w:rsid w:val="00BB4152"/>
    <w:rsid w:val="00BB4182"/>
    <w:rsid w:val="00BB420E"/>
    <w:rsid w:val="00BB42D7"/>
    <w:rsid w:val="00BB43F8"/>
    <w:rsid w:val="00BB43F9"/>
    <w:rsid w:val="00BB4447"/>
    <w:rsid w:val="00BB45F4"/>
    <w:rsid w:val="00BB45FC"/>
    <w:rsid w:val="00BB461B"/>
    <w:rsid w:val="00BB46DE"/>
    <w:rsid w:val="00BB48FF"/>
    <w:rsid w:val="00BB4906"/>
    <w:rsid w:val="00BB4AB9"/>
    <w:rsid w:val="00BB4B02"/>
    <w:rsid w:val="00BB4B82"/>
    <w:rsid w:val="00BB4BD0"/>
    <w:rsid w:val="00BB4C01"/>
    <w:rsid w:val="00BB4C49"/>
    <w:rsid w:val="00BB4D0D"/>
    <w:rsid w:val="00BB4D8A"/>
    <w:rsid w:val="00BB4E52"/>
    <w:rsid w:val="00BB4FA5"/>
    <w:rsid w:val="00BB509F"/>
    <w:rsid w:val="00BB51AD"/>
    <w:rsid w:val="00BB51C2"/>
    <w:rsid w:val="00BB5263"/>
    <w:rsid w:val="00BB52A9"/>
    <w:rsid w:val="00BB5315"/>
    <w:rsid w:val="00BB540A"/>
    <w:rsid w:val="00BB5501"/>
    <w:rsid w:val="00BB5502"/>
    <w:rsid w:val="00BB5513"/>
    <w:rsid w:val="00BB5526"/>
    <w:rsid w:val="00BB558C"/>
    <w:rsid w:val="00BB55BF"/>
    <w:rsid w:val="00BB55E6"/>
    <w:rsid w:val="00BB562B"/>
    <w:rsid w:val="00BB57AF"/>
    <w:rsid w:val="00BB5964"/>
    <w:rsid w:val="00BB5A9D"/>
    <w:rsid w:val="00BB5ACC"/>
    <w:rsid w:val="00BB5AD5"/>
    <w:rsid w:val="00BB5AEB"/>
    <w:rsid w:val="00BB5BB5"/>
    <w:rsid w:val="00BB5BC1"/>
    <w:rsid w:val="00BB5CDE"/>
    <w:rsid w:val="00BB5D31"/>
    <w:rsid w:val="00BB5D3C"/>
    <w:rsid w:val="00BB5EF3"/>
    <w:rsid w:val="00BB5F15"/>
    <w:rsid w:val="00BB5F6A"/>
    <w:rsid w:val="00BB5F90"/>
    <w:rsid w:val="00BB6097"/>
    <w:rsid w:val="00BB60D1"/>
    <w:rsid w:val="00BB612D"/>
    <w:rsid w:val="00BB6235"/>
    <w:rsid w:val="00BB6387"/>
    <w:rsid w:val="00BB638D"/>
    <w:rsid w:val="00BB6583"/>
    <w:rsid w:val="00BB65A8"/>
    <w:rsid w:val="00BB6657"/>
    <w:rsid w:val="00BB6691"/>
    <w:rsid w:val="00BB66CC"/>
    <w:rsid w:val="00BB67C7"/>
    <w:rsid w:val="00BB67FB"/>
    <w:rsid w:val="00BB69A1"/>
    <w:rsid w:val="00BB6A18"/>
    <w:rsid w:val="00BB6A58"/>
    <w:rsid w:val="00BB6A60"/>
    <w:rsid w:val="00BB6AE1"/>
    <w:rsid w:val="00BB6B43"/>
    <w:rsid w:val="00BB6B4E"/>
    <w:rsid w:val="00BB6B60"/>
    <w:rsid w:val="00BB6B95"/>
    <w:rsid w:val="00BB6BCE"/>
    <w:rsid w:val="00BB6C79"/>
    <w:rsid w:val="00BB6CB8"/>
    <w:rsid w:val="00BB6D53"/>
    <w:rsid w:val="00BB6E1B"/>
    <w:rsid w:val="00BB6F6E"/>
    <w:rsid w:val="00BB7002"/>
    <w:rsid w:val="00BB7066"/>
    <w:rsid w:val="00BB7067"/>
    <w:rsid w:val="00BB70BF"/>
    <w:rsid w:val="00BB71AA"/>
    <w:rsid w:val="00BB71F9"/>
    <w:rsid w:val="00BB7212"/>
    <w:rsid w:val="00BB7229"/>
    <w:rsid w:val="00BB7273"/>
    <w:rsid w:val="00BB7295"/>
    <w:rsid w:val="00BB72AE"/>
    <w:rsid w:val="00BB730B"/>
    <w:rsid w:val="00BB7334"/>
    <w:rsid w:val="00BB7349"/>
    <w:rsid w:val="00BB7406"/>
    <w:rsid w:val="00BB7437"/>
    <w:rsid w:val="00BB74C5"/>
    <w:rsid w:val="00BB74C9"/>
    <w:rsid w:val="00BB74CE"/>
    <w:rsid w:val="00BB752E"/>
    <w:rsid w:val="00BB7542"/>
    <w:rsid w:val="00BB758C"/>
    <w:rsid w:val="00BB75A6"/>
    <w:rsid w:val="00BB766E"/>
    <w:rsid w:val="00BB7679"/>
    <w:rsid w:val="00BB77CB"/>
    <w:rsid w:val="00BB78B6"/>
    <w:rsid w:val="00BB78BD"/>
    <w:rsid w:val="00BB7914"/>
    <w:rsid w:val="00BB7967"/>
    <w:rsid w:val="00BB799D"/>
    <w:rsid w:val="00BB79BC"/>
    <w:rsid w:val="00BB79F1"/>
    <w:rsid w:val="00BB7A64"/>
    <w:rsid w:val="00BB7A80"/>
    <w:rsid w:val="00BB7AB1"/>
    <w:rsid w:val="00BB7B8D"/>
    <w:rsid w:val="00BB7BEB"/>
    <w:rsid w:val="00BB7C48"/>
    <w:rsid w:val="00BB7C7B"/>
    <w:rsid w:val="00BB7CD4"/>
    <w:rsid w:val="00BB7CD7"/>
    <w:rsid w:val="00BB7D6E"/>
    <w:rsid w:val="00BB7D79"/>
    <w:rsid w:val="00BB7DA7"/>
    <w:rsid w:val="00BB7DDA"/>
    <w:rsid w:val="00BB7E66"/>
    <w:rsid w:val="00BB7F61"/>
    <w:rsid w:val="00BB7FA5"/>
    <w:rsid w:val="00BC0038"/>
    <w:rsid w:val="00BC0090"/>
    <w:rsid w:val="00BC009D"/>
    <w:rsid w:val="00BC00D1"/>
    <w:rsid w:val="00BC0114"/>
    <w:rsid w:val="00BC018A"/>
    <w:rsid w:val="00BC0191"/>
    <w:rsid w:val="00BC01BB"/>
    <w:rsid w:val="00BC01E5"/>
    <w:rsid w:val="00BC021A"/>
    <w:rsid w:val="00BC024E"/>
    <w:rsid w:val="00BC025E"/>
    <w:rsid w:val="00BC028F"/>
    <w:rsid w:val="00BC029E"/>
    <w:rsid w:val="00BC02C0"/>
    <w:rsid w:val="00BC02D3"/>
    <w:rsid w:val="00BC0303"/>
    <w:rsid w:val="00BC032A"/>
    <w:rsid w:val="00BC034A"/>
    <w:rsid w:val="00BC03E9"/>
    <w:rsid w:val="00BC046C"/>
    <w:rsid w:val="00BC059B"/>
    <w:rsid w:val="00BC06CB"/>
    <w:rsid w:val="00BC0734"/>
    <w:rsid w:val="00BC0737"/>
    <w:rsid w:val="00BC07A9"/>
    <w:rsid w:val="00BC0819"/>
    <w:rsid w:val="00BC086B"/>
    <w:rsid w:val="00BC0880"/>
    <w:rsid w:val="00BC0902"/>
    <w:rsid w:val="00BC093E"/>
    <w:rsid w:val="00BC0965"/>
    <w:rsid w:val="00BC099A"/>
    <w:rsid w:val="00BC09CB"/>
    <w:rsid w:val="00BC0A55"/>
    <w:rsid w:val="00BC0C78"/>
    <w:rsid w:val="00BC0C7C"/>
    <w:rsid w:val="00BC0D0D"/>
    <w:rsid w:val="00BC0DA9"/>
    <w:rsid w:val="00BC0E88"/>
    <w:rsid w:val="00BC0EDF"/>
    <w:rsid w:val="00BC0F02"/>
    <w:rsid w:val="00BC0F0D"/>
    <w:rsid w:val="00BC0F13"/>
    <w:rsid w:val="00BC0F51"/>
    <w:rsid w:val="00BC0F6F"/>
    <w:rsid w:val="00BC0FE0"/>
    <w:rsid w:val="00BC10B0"/>
    <w:rsid w:val="00BC10B3"/>
    <w:rsid w:val="00BC1132"/>
    <w:rsid w:val="00BC126A"/>
    <w:rsid w:val="00BC12C3"/>
    <w:rsid w:val="00BC12E2"/>
    <w:rsid w:val="00BC136F"/>
    <w:rsid w:val="00BC13F2"/>
    <w:rsid w:val="00BC146B"/>
    <w:rsid w:val="00BC14EB"/>
    <w:rsid w:val="00BC1516"/>
    <w:rsid w:val="00BC15D9"/>
    <w:rsid w:val="00BC1629"/>
    <w:rsid w:val="00BC17F3"/>
    <w:rsid w:val="00BC186A"/>
    <w:rsid w:val="00BC1900"/>
    <w:rsid w:val="00BC1915"/>
    <w:rsid w:val="00BC1917"/>
    <w:rsid w:val="00BC193D"/>
    <w:rsid w:val="00BC1A19"/>
    <w:rsid w:val="00BC1ABF"/>
    <w:rsid w:val="00BC1AF4"/>
    <w:rsid w:val="00BC1B03"/>
    <w:rsid w:val="00BC1B09"/>
    <w:rsid w:val="00BC1C70"/>
    <w:rsid w:val="00BC1CFD"/>
    <w:rsid w:val="00BC1D06"/>
    <w:rsid w:val="00BC1D56"/>
    <w:rsid w:val="00BC1F7F"/>
    <w:rsid w:val="00BC1F86"/>
    <w:rsid w:val="00BC2029"/>
    <w:rsid w:val="00BC2052"/>
    <w:rsid w:val="00BC2133"/>
    <w:rsid w:val="00BC2198"/>
    <w:rsid w:val="00BC21DA"/>
    <w:rsid w:val="00BC22C2"/>
    <w:rsid w:val="00BC22DD"/>
    <w:rsid w:val="00BC2365"/>
    <w:rsid w:val="00BC23C3"/>
    <w:rsid w:val="00BC23CD"/>
    <w:rsid w:val="00BC241C"/>
    <w:rsid w:val="00BC2474"/>
    <w:rsid w:val="00BC24AB"/>
    <w:rsid w:val="00BC25AD"/>
    <w:rsid w:val="00BC2603"/>
    <w:rsid w:val="00BC2622"/>
    <w:rsid w:val="00BC265A"/>
    <w:rsid w:val="00BC270F"/>
    <w:rsid w:val="00BC271E"/>
    <w:rsid w:val="00BC2817"/>
    <w:rsid w:val="00BC2905"/>
    <w:rsid w:val="00BC2906"/>
    <w:rsid w:val="00BC29B1"/>
    <w:rsid w:val="00BC2A2A"/>
    <w:rsid w:val="00BC2AFD"/>
    <w:rsid w:val="00BC2AFF"/>
    <w:rsid w:val="00BC2B44"/>
    <w:rsid w:val="00BC2B57"/>
    <w:rsid w:val="00BC2C25"/>
    <w:rsid w:val="00BC2D64"/>
    <w:rsid w:val="00BC2DCC"/>
    <w:rsid w:val="00BC2EA3"/>
    <w:rsid w:val="00BC2F18"/>
    <w:rsid w:val="00BC2FCE"/>
    <w:rsid w:val="00BC2FDE"/>
    <w:rsid w:val="00BC2FEE"/>
    <w:rsid w:val="00BC303E"/>
    <w:rsid w:val="00BC3059"/>
    <w:rsid w:val="00BC30BA"/>
    <w:rsid w:val="00BC3121"/>
    <w:rsid w:val="00BC316C"/>
    <w:rsid w:val="00BC31F4"/>
    <w:rsid w:val="00BC32BB"/>
    <w:rsid w:val="00BC32E2"/>
    <w:rsid w:val="00BC333D"/>
    <w:rsid w:val="00BC3348"/>
    <w:rsid w:val="00BC33A6"/>
    <w:rsid w:val="00BC33D3"/>
    <w:rsid w:val="00BC33DA"/>
    <w:rsid w:val="00BC346A"/>
    <w:rsid w:val="00BC3481"/>
    <w:rsid w:val="00BC34C0"/>
    <w:rsid w:val="00BC34D9"/>
    <w:rsid w:val="00BC34E0"/>
    <w:rsid w:val="00BC3580"/>
    <w:rsid w:val="00BC35CB"/>
    <w:rsid w:val="00BC35D8"/>
    <w:rsid w:val="00BC3627"/>
    <w:rsid w:val="00BC3632"/>
    <w:rsid w:val="00BC36DD"/>
    <w:rsid w:val="00BC37AD"/>
    <w:rsid w:val="00BC382F"/>
    <w:rsid w:val="00BC38C7"/>
    <w:rsid w:val="00BC38E8"/>
    <w:rsid w:val="00BC38F4"/>
    <w:rsid w:val="00BC3920"/>
    <w:rsid w:val="00BC3A3E"/>
    <w:rsid w:val="00BC3AA3"/>
    <w:rsid w:val="00BC3B16"/>
    <w:rsid w:val="00BC3B9B"/>
    <w:rsid w:val="00BC3BB9"/>
    <w:rsid w:val="00BC3C9E"/>
    <w:rsid w:val="00BC3CAF"/>
    <w:rsid w:val="00BC3CD1"/>
    <w:rsid w:val="00BC3CFF"/>
    <w:rsid w:val="00BC3DBD"/>
    <w:rsid w:val="00BC3E31"/>
    <w:rsid w:val="00BC3E58"/>
    <w:rsid w:val="00BC3E97"/>
    <w:rsid w:val="00BC3F73"/>
    <w:rsid w:val="00BC41DE"/>
    <w:rsid w:val="00BC42C6"/>
    <w:rsid w:val="00BC42DD"/>
    <w:rsid w:val="00BC438C"/>
    <w:rsid w:val="00BC4391"/>
    <w:rsid w:val="00BC43F7"/>
    <w:rsid w:val="00BC4400"/>
    <w:rsid w:val="00BC4487"/>
    <w:rsid w:val="00BC44C0"/>
    <w:rsid w:val="00BC453F"/>
    <w:rsid w:val="00BC4592"/>
    <w:rsid w:val="00BC464E"/>
    <w:rsid w:val="00BC472C"/>
    <w:rsid w:val="00BC480A"/>
    <w:rsid w:val="00BC48A8"/>
    <w:rsid w:val="00BC48E0"/>
    <w:rsid w:val="00BC48E6"/>
    <w:rsid w:val="00BC49DE"/>
    <w:rsid w:val="00BC49EC"/>
    <w:rsid w:val="00BC4A12"/>
    <w:rsid w:val="00BC4A28"/>
    <w:rsid w:val="00BC4B24"/>
    <w:rsid w:val="00BC4B3A"/>
    <w:rsid w:val="00BC4B5D"/>
    <w:rsid w:val="00BC4B6C"/>
    <w:rsid w:val="00BC4C3C"/>
    <w:rsid w:val="00BC4C89"/>
    <w:rsid w:val="00BC4CF3"/>
    <w:rsid w:val="00BC4D64"/>
    <w:rsid w:val="00BC4DCD"/>
    <w:rsid w:val="00BC4DFB"/>
    <w:rsid w:val="00BC4ECB"/>
    <w:rsid w:val="00BC4F4C"/>
    <w:rsid w:val="00BC4F67"/>
    <w:rsid w:val="00BC4F9B"/>
    <w:rsid w:val="00BC5047"/>
    <w:rsid w:val="00BC5084"/>
    <w:rsid w:val="00BC5120"/>
    <w:rsid w:val="00BC5148"/>
    <w:rsid w:val="00BC5195"/>
    <w:rsid w:val="00BC51AD"/>
    <w:rsid w:val="00BC533C"/>
    <w:rsid w:val="00BC5370"/>
    <w:rsid w:val="00BC53D1"/>
    <w:rsid w:val="00BC54AE"/>
    <w:rsid w:val="00BC5615"/>
    <w:rsid w:val="00BC56C2"/>
    <w:rsid w:val="00BC5730"/>
    <w:rsid w:val="00BC5790"/>
    <w:rsid w:val="00BC5800"/>
    <w:rsid w:val="00BC5883"/>
    <w:rsid w:val="00BC5A30"/>
    <w:rsid w:val="00BC5A7A"/>
    <w:rsid w:val="00BC5ADD"/>
    <w:rsid w:val="00BC5B18"/>
    <w:rsid w:val="00BC5C0F"/>
    <w:rsid w:val="00BC5CB5"/>
    <w:rsid w:val="00BC5CE1"/>
    <w:rsid w:val="00BC5CF7"/>
    <w:rsid w:val="00BC5D29"/>
    <w:rsid w:val="00BC5D2E"/>
    <w:rsid w:val="00BC5D3B"/>
    <w:rsid w:val="00BC5D6E"/>
    <w:rsid w:val="00BC5E91"/>
    <w:rsid w:val="00BC5F64"/>
    <w:rsid w:val="00BC601D"/>
    <w:rsid w:val="00BC603F"/>
    <w:rsid w:val="00BC6173"/>
    <w:rsid w:val="00BC61C7"/>
    <w:rsid w:val="00BC61D6"/>
    <w:rsid w:val="00BC623E"/>
    <w:rsid w:val="00BC6241"/>
    <w:rsid w:val="00BC629F"/>
    <w:rsid w:val="00BC6327"/>
    <w:rsid w:val="00BC639F"/>
    <w:rsid w:val="00BC648E"/>
    <w:rsid w:val="00BC6588"/>
    <w:rsid w:val="00BC6599"/>
    <w:rsid w:val="00BC65D3"/>
    <w:rsid w:val="00BC6766"/>
    <w:rsid w:val="00BC6865"/>
    <w:rsid w:val="00BC6890"/>
    <w:rsid w:val="00BC68DF"/>
    <w:rsid w:val="00BC692B"/>
    <w:rsid w:val="00BC6937"/>
    <w:rsid w:val="00BC6998"/>
    <w:rsid w:val="00BC69B5"/>
    <w:rsid w:val="00BC69F9"/>
    <w:rsid w:val="00BC6A0B"/>
    <w:rsid w:val="00BC6A60"/>
    <w:rsid w:val="00BC6AB6"/>
    <w:rsid w:val="00BC6B30"/>
    <w:rsid w:val="00BC6BC3"/>
    <w:rsid w:val="00BC6BF5"/>
    <w:rsid w:val="00BC6C33"/>
    <w:rsid w:val="00BC6C61"/>
    <w:rsid w:val="00BC6D40"/>
    <w:rsid w:val="00BC6E00"/>
    <w:rsid w:val="00BC6E88"/>
    <w:rsid w:val="00BC6F0B"/>
    <w:rsid w:val="00BC6F12"/>
    <w:rsid w:val="00BC6F5E"/>
    <w:rsid w:val="00BC6F87"/>
    <w:rsid w:val="00BC6FBC"/>
    <w:rsid w:val="00BC6FDC"/>
    <w:rsid w:val="00BC6FE8"/>
    <w:rsid w:val="00BC703B"/>
    <w:rsid w:val="00BC70E2"/>
    <w:rsid w:val="00BC71DB"/>
    <w:rsid w:val="00BC7212"/>
    <w:rsid w:val="00BC724F"/>
    <w:rsid w:val="00BC7275"/>
    <w:rsid w:val="00BC7304"/>
    <w:rsid w:val="00BC7333"/>
    <w:rsid w:val="00BC7363"/>
    <w:rsid w:val="00BC739D"/>
    <w:rsid w:val="00BC73B2"/>
    <w:rsid w:val="00BC743E"/>
    <w:rsid w:val="00BC7491"/>
    <w:rsid w:val="00BC75FF"/>
    <w:rsid w:val="00BC7680"/>
    <w:rsid w:val="00BC76DE"/>
    <w:rsid w:val="00BC77D9"/>
    <w:rsid w:val="00BC77E4"/>
    <w:rsid w:val="00BC785B"/>
    <w:rsid w:val="00BC798C"/>
    <w:rsid w:val="00BC79E3"/>
    <w:rsid w:val="00BC7A04"/>
    <w:rsid w:val="00BC7A69"/>
    <w:rsid w:val="00BC7BE6"/>
    <w:rsid w:val="00BC7C4C"/>
    <w:rsid w:val="00BC7CA4"/>
    <w:rsid w:val="00BC7D00"/>
    <w:rsid w:val="00BC7D9D"/>
    <w:rsid w:val="00BC7DA4"/>
    <w:rsid w:val="00BC7E96"/>
    <w:rsid w:val="00BC7FC7"/>
    <w:rsid w:val="00BC7FEB"/>
    <w:rsid w:val="00BD000B"/>
    <w:rsid w:val="00BD005D"/>
    <w:rsid w:val="00BD015E"/>
    <w:rsid w:val="00BD0189"/>
    <w:rsid w:val="00BD01A4"/>
    <w:rsid w:val="00BD01CB"/>
    <w:rsid w:val="00BD025D"/>
    <w:rsid w:val="00BD030F"/>
    <w:rsid w:val="00BD032A"/>
    <w:rsid w:val="00BD032B"/>
    <w:rsid w:val="00BD035F"/>
    <w:rsid w:val="00BD036F"/>
    <w:rsid w:val="00BD0397"/>
    <w:rsid w:val="00BD0442"/>
    <w:rsid w:val="00BD0486"/>
    <w:rsid w:val="00BD04AC"/>
    <w:rsid w:val="00BD051B"/>
    <w:rsid w:val="00BD0547"/>
    <w:rsid w:val="00BD0565"/>
    <w:rsid w:val="00BD057D"/>
    <w:rsid w:val="00BD057F"/>
    <w:rsid w:val="00BD05BF"/>
    <w:rsid w:val="00BD0660"/>
    <w:rsid w:val="00BD07C9"/>
    <w:rsid w:val="00BD0803"/>
    <w:rsid w:val="00BD0806"/>
    <w:rsid w:val="00BD0831"/>
    <w:rsid w:val="00BD0844"/>
    <w:rsid w:val="00BD0943"/>
    <w:rsid w:val="00BD096F"/>
    <w:rsid w:val="00BD0B76"/>
    <w:rsid w:val="00BD0BA2"/>
    <w:rsid w:val="00BD0BF8"/>
    <w:rsid w:val="00BD0C00"/>
    <w:rsid w:val="00BD0CA8"/>
    <w:rsid w:val="00BD0D14"/>
    <w:rsid w:val="00BD0D29"/>
    <w:rsid w:val="00BD0D39"/>
    <w:rsid w:val="00BD0EA4"/>
    <w:rsid w:val="00BD0EB8"/>
    <w:rsid w:val="00BD0F33"/>
    <w:rsid w:val="00BD1066"/>
    <w:rsid w:val="00BD1103"/>
    <w:rsid w:val="00BD1213"/>
    <w:rsid w:val="00BD12D7"/>
    <w:rsid w:val="00BD1309"/>
    <w:rsid w:val="00BD130D"/>
    <w:rsid w:val="00BD1319"/>
    <w:rsid w:val="00BD1349"/>
    <w:rsid w:val="00BD1397"/>
    <w:rsid w:val="00BD148E"/>
    <w:rsid w:val="00BD1523"/>
    <w:rsid w:val="00BD1539"/>
    <w:rsid w:val="00BD1549"/>
    <w:rsid w:val="00BD167F"/>
    <w:rsid w:val="00BD168C"/>
    <w:rsid w:val="00BD16DB"/>
    <w:rsid w:val="00BD17BD"/>
    <w:rsid w:val="00BD182F"/>
    <w:rsid w:val="00BD1919"/>
    <w:rsid w:val="00BD1943"/>
    <w:rsid w:val="00BD196C"/>
    <w:rsid w:val="00BD1AC0"/>
    <w:rsid w:val="00BD1B98"/>
    <w:rsid w:val="00BD1BAD"/>
    <w:rsid w:val="00BD1C18"/>
    <w:rsid w:val="00BD1C93"/>
    <w:rsid w:val="00BD1EF1"/>
    <w:rsid w:val="00BD1F30"/>
    <w:rsid w:val="00BD1F85"/>
    <w:rsid w:val="00BD1FEC"/>
    <w:rsid w:val="00BD2002"/>
    <w:rsid w:val="00BD2109"/>
    <w:rsid w:val="00BD2169"/>
    <w:rsid w:val="00BD2178"/>
    <w:rsid w:val="00BD21E8"/>
    <w:rsid w:val="00BD21FB"/>
    <w:rsid w:val="00BD23CA"/>
    <w:rsid w:val="00BD23F1"/>
    <w:rsid w:val="00BD24AE"/>
    <w:rsid w:val="00BD24E7"/>
    <w:rsid w:val="00BD24EA"/>
    <w:rsid w:val="00BD268A"/>
    <w:rsid w:val="00BD26D8"/>
    <w:rsid w:val="00BD2700"/>
    <w:rsid w:val="00BD276A"/>
    <w:rsid w:val="00BD27BE"/>
    <w:rsid w:val="00BD280B"/>
    <w:rsid w:val="00BD28C6"/>
    <w:rsid w:val="00BD292D"/>
    <w:rsid w:val="00BD29E9"/>
    <w:rsid w:val="00BD2BC0"/>
    <w:rsid w:val="00BD2BD4"/>
    <w:rsid w:val="00BD2DFA"/>
    <w:rsid w:val="00BD2E64"/>
    <w:rsid w:val="00BD2F17"/>
    <w:rsid w:val="00BD3060"/>
    <w:rsid w:val="00BD309A"/>
    <w:rsid w:val="00BD309D"/>
    <w:rsid w:val="00BD30A2"/>
    <w:rsid w:val="00BD3194"/>
    <w:rsid w:val="00BD31E2"/>
    <w:rsid w:val="00BD3259"/>
    <w:rsid w:val="00BD3385"/>
    <w:rsid w:val="00BD338E"/>
    <w:rsid w:val="00BD33D3"/>
    <w:rsid w:val="00BD3453"/>
    <w:rsid w:val="00BD3495"/>
    <w:rsid w:val="00BD349C"/>
    <w:rsid w:val="00BD34F2"/>
    <w:rsid w:val="00BD352B"/>
    <w:rsid w:val="00BD35BD"/>
    <w:rsid w:val="00BD363A"/>
    <w:rsid w:val="00BD369C"/>
    <w:rsid w:val="00BD36B4"/>
    <w:rsid w:val="00BD3712"/>
    <w:rsid w:val="00BD376E"/>
    <w:rsid w:val="00BD37B8"/>
    <w:rsid w:val="00BD381F"/>
    <w:rsid w:val="00BD383A"/>
    <w:rsid w:val="00BD3848"/>
    <w:rsid w:val="00BD3881"/>
    <w:rsid w:val="00BD3924"/>
    <w:rsid w:val="00BD393B"/>
    <w:rsid w:val="00BD3979"/>
    <w:rsid w:val="00BD39B3"/>
    <w:rsid w:val="00BD3A20"/>
    <w:rsid w:val="00BD3A35"/>
    <w:rsid w:val="00BD3AFA"/>
    <w:rsid w:val="00BD3B99"/>
    <w:rsid w:val="00BD3DB1"/>
    <w:rsid w:val="00BD3DE3"/>
    <w:rsid w:val="00BD3DEE"/>
    <w:rsid w:val="00BD3DF1"/>
    <w:rsid w:val="00BD3E73"/>
    <w:rsid w:val="00BD3E75"/>
    <w:rsid w:val="00BD3EB1"/>
    <w:rsid w:val="00BD3EDF"/>
    <w:rsid w:val="00BD4031"/>
    <w:rsid w:val="00BD4106"/>
    <w:rsid w:val="00BD41AC"/>
    <w:rsid w:val="00BD4286"/>
    <w:rsid w:val="00BD42D0"/>
    <w:rsid w:val="00BD42D9"/>
    <w:rsid w:val="00BD445F"/>
    <w:rsid w:val="00BD456D"/>
    <w:rsid w:val="00BD459C"/>
    <w:rsid w:val="00BD4610"/>
    <w:rsid w:val="00BD46CA"/>
    <w:rsid w:val="00BD4711"/>
    <w:rsid w:val="00BD4716"/>
    <w:rsid w:val="00BD475B"/>
    <w:rsid w:val="00BD4800"/>
    <w:rsid w:val="00BD489F"/>
    <w:rsid w:val="00BD492C"/>
    <w:rsid w:val="00BD4A2A"/>
    <w:rsid w:val="00BD4A6F"/>
    <w:rsid w:val="00BD4A7E"/>
    <w:rsid w:val="00BD4AA9"/>
    <w:rsid w:val="00BD4BA8"/>
    <w:rsid w:val="00BD4E69"/>
    <w:rsid w:val="00BD4E6B"/>
    <w:rsid w:val="00BD4E6D"/>
    <w:rsid w:val="00BD4E82"/>
    <w:rsid w:val="00BD4EB4"/>
    <w:rsid w:val="00BD4F4A"/>
    <w:rsid w:val="00BD4F4E"/>
    <w:rsid w:val="00BD4FD6"/>
    <w:rsid w:val="00BD5066"/>
    <w:rsid w:val="00BD508E"/>
    <w:rsid w:val="00BD5090"/>
    <w:rsid w:val="00BD50F8"/>
    <w:rsid w:val="00BD5256"/>
    <w:rsid w:val="00BD53F0"/>
    <w:rsid w:val="00BD549F"/>
    <w:rsid w:val="00BD54E8"/>
    <w:rsid w:val="00BD5603"/>
    <w:rsid w:val="00BD5615"/>
    <w:rsid w:val="00BD569B"/>
    <w:rsid w:val="00BD56AA"/>
    <w:rsid w:val="00BD5741"/>
    <w:rsid w:val="00BD5858"/>
    <w:rsid w:val="00BD596C"/>
    <w:rsid w:val="00BD59BA"/>
    <w:rsid w:val="00BD5A8B"/>
    <w:rsid w:val="00BD5AA7"/>
    <w:rsid w:val="00BD5B97"/>
    <w:rsid w:val="00BD5C65"/>
    <w:rsid w:val="00BD5DA0"/>
    <w:rsid w:val="00BD5DA8"/>
    <w:rsid w:val="00BD5DAF"/>
    <w:rsid w:val="00BD5EE3"/>
    <w:rsid w:val="00BD5F52"/>
    <w:rsid w:val="00BD5F91"/>
    <w:rsid w:val="00BD5FED"/>
    <w:rsid w:val="00BD6071"/>
    <w:rsid w:val="00BD6168"/>
    <w:rsid w:val="00BD61EF"/>
    <w:rsid w:val="00BD6200"/>
    <w:rsid w:val="00BD6227"/>
    <w:rsid w:val="00BD6264"/>
    <w:rsid w:val="00BD6271"/>
    <w:rsid w:val="00BD62DB"/>
    <w:rsid w:val="00BD631D"/>
    <w:rsid w:val="00BD63D7"/>
    <w:rsid w:val="00BD6427"/>
    <w:rsid w:val="00BD643D"/>
    <w:rsid w:val="00BD65D3"/>
    <w:rsid w:val="00BD664D"/>
    <w:rsid w:val="00BD6873"/>
    <w:rsid w:val="00BD687A"/>
    <w:rsid w:val="00BD68DE"/>
    <w:rsid w:val="00BD6AAD"/>
    <w:rsid w:val="00BD6AD3"/>
    <w:rsid w:val="00BD6AF4"/>
    <w:rsid w:val="00BD6B04"/>
    <w:rsid w:val="00BD6BFF"/>
    <w:rsid w:val="00BD6C51"/>
    <w:rsid w:val="00BD6CF3"/>
    <w:rsid w:val="00BD6D11"/>
    <w:rsid w:val="00BD6DA3"/>
    <w:rsid w:val="00BD6DD2"/>
    <w:rsid w:val="00BD6EF6"/>
    <w:rsid w:val="00BD6EFA"/>
    <w:rsid w:val="00BD6F53"/>
    <w:rsid w:val="00BD7166"/>
    <w:rsid w:val="00BD7245"/>
    <w:rsid w:val="00BD72A6"/>
    <w:rsid w:val="00BD72AA"/>
    <w:rsid w:val="00BD72B7"/>
    <w:rsid w:val="00BD7317"/>
    <w:rsid w:val="00BD7341"/>
    <w:rsid w:val="00BD7348"/>
    <w:rsid w:val="00BD73DA"/>
    <w:rsid w:val="00BD73F0"/>
    <w:rsid w:val="00BD740F"/>
    <w:rsid w:val="00BD7442"/>
    <w:rsid w:val="00BD744D"/>
    <w:rsid w:val="00BD7478"/>
    <w:rsid w:val="00BD74E9"/>
    <w:rsid w:val="00BD7582"/>
    <w:rsid w:val="00BD7656"/>
    <w:rsid w:val="00BD7763"/>
    <w:rsid w:val="00BD7772"/>
    <w:rsid w:val="00BD7798"/>
    <w:rsid w:val="00BD782E"/>
    <w:rsid w:val="00BD78F9"/>
    <w:rsid w:val="00BD790A"/>
    <w:rsid w:val="00BD7991"/>
    <w:rsid w:val="00BD7AE7"/>
    <w:rsid w:val="00BD7B50"/>
    <w:rsid w:val="00BD7BD8"/>
    <w:rsid w:val="00BD7C0E"/>
    <w:rsid w:val="00BD7C2B"/>
    <w:rsid w:val="00BD7C43"/>
    <w:rsid w:val="00BD7C84"/>
    <w:rsid w:val="00BD7D22"/>
    <w:rsid w:val="00BD7D5B"/>
    <w:rsid w:val="00BD7E49"/>
    <w:rsid w:val="00BD7EB0"/>
    <w:rsid w:val="00BD7F0F"/>
    <w:rsid w:val="00BE001E"/>
    <w:rsid w:val="00BE0037"/>
    <w:rsid w:val="00BE0127"/>
    <w:rsid w:val="00BE0160"/>
    <w:rsid w:val="00BE016B"/>
    <w:rsid w:val="00BE0274"/>
    <w:rsid w:val="00BE03AF"/>
    <w:rsid w:val="00BE048C"/>
    <w:rsid w:val="00BE04E5"/>
    <w:rsid w:val="00BE05C2"/>
    <w:rsid w:val="00BE0602"/>
    <w:rsid w:val="00BE06AC"/>
    <w:rsid w:val="00BE076A"/>
    <w:rsid w:val="00BE077F"/>
    <w:rsid w:val="00BE078B"/>
    <w:rsid w:val="00BE07FD"/>
    <w:rsid w:val="00BE084B"/>
    <w:rsid w:val="00BE09C5"/>
    <w:rsid w:val="00BE0A0B"/>
    <w:rsid w:val="00BE0A0C"/>
    <w:rsid w:val="00BE0A38"/>
    <w:rsid w:val="00BE0A48"/>
    <w:rsid w:val="00BE0A7E"/>
    <w:rsid w:val="00BE0AB3"/>
    <w:rsid w:val="00BE0ACF"/>
    <w:rsid w:val="00BE0AFD"/>
    <w:rsid w:val="00BE0BFE"/>
    <w:rsid w:val="00BE0C71"/>
    <w:rsid w:val="00BE0C81"/>
    <w:rsid w:val="00BE0C9B"/>
    <w:rsid w:val="00BE0D97"/>
    <w:rsid w:val="00BE0DDF"/>
    <w:rsid w:val="00BE0E36"/>
    <w:rsid w:val="00BE0EBB"/>
    <w:rsid w:val="00BE0ECB"/>
    <w:rsid w:val="00BE0F58"/>
    <w:rsid w:val="00BE0F76"/>
    <w:rsid w:val="00BE10A2"/>
    <w:rsid w:val="00BE1180"/>
    <w:rsid w:val="00BE11AB"/>
    <w:rsid w:val="00BE11C6"/>
    <w:rsid w:val="00BE11FF"/>
    <w:rsid w:val="00BE12A3"/>
    <w:rsid w:val="00BE12B3"/>
    <w:rsid w:val="00BE137C"/>
    <w:rsid w:val="00BE139E"/>
    <w:rsid w:val="00BE1475"/>
    <w:rsid w:val="00BE14C8"/>
    <w:rsid w:val="00BE14D8"/>
    <w:rsid w:val="00BE152D"/>
    <w:rsid w:val="00BE16E3"/>
    <w:rsid w:val="00BE174C"/>
    <w:rsid w:val="00BE1834"/>
    <w:rsid w:val="00BE186D"/>
    <w:rsid w:val="00BE18CA"/>
    <w:rsid w:val="00BE18F2"/>
    <w:rsid w:val="00BE1953"/>
    <w:rsid w:val="00BE1970"/>
    <w:rsid w:val="00BE1A0A"/>
    <w:rsid w:val="00BE1A6D"/>
    <w:rsid w:val="00BE1A90"/>
    <w:rsid w:val="00BE1ABB"/>
    <w:rsid w:val="00BE1B1F"/>
    <w:rsid w:val="00BE1B2C"/>
    <w:rsid w:val="00BE1BB3"/>
    <w:rsid w:val="00BE1C44"/>
    <w:rsid w:val="00BE1CB4"/>
    <w:rsid w:val="00BE1D2A"/>
    <w:rsid w:val="00BE1E85"/>
    <w:rsid w:val="00BE1F06"/>
    <w:rsid w:val="00BE1F27"/>
    <w:rsid w:val="00BE1F4F"/>
    <w:rsid w:val="00BE2067"/>
    <w:rsid w:val="00BE2103"/>
    <w:rsid w:val="00BE212A"/>
    <w:rsid w:val="00BE218A"/>
    <w:rsid w:val="00BE219A"/>
    <w:rsid w:val="00BE21A3"/>
    <w:rsid w:val="00BE21C3"/>
    <w:rsid w:val="00BE2299"/>
    <w:rsid w:val="00BE2323"/>
    <w:rsid w:val="00BE240D"/>
    <w:rsid w:val="00BE2417"/>
    <w:rsid w:val="00BE2464"/>
    <w:rsid w:val="00BE24FF"/>
    <w:rsid w:val="00BE254D"/>
    <w:rsid w:val="00BE2560"/>
    <w:rsid w:val="00BE2616"/>
    <w:rsid w:val="00BE26B0"/>
    <w:rsid w:val="00BE2718"/>
    <w:rsid w:val="00BE276E"/>
    <w:rsid w:val="00BE27FF"/>
    <w:rsid w:val="00BE2857"/>
    <w:rsid w:val="00BE28FD"/>
    <w:rsid w:val="00BE2965"/>
    <w:rsid w:val="00BE2A2D"/>
    <w:rsid w:val="00BE2BE2"/>
    <w:rsid w:val="00BE2C7F"/>
    <w:rsid w:val="00BE2EBC"/>
    <w:rsid w:val="00BE2F54"/>
    <w:rsid w:val="00BE2F62"/>
    <w:rsid w:val="00BE2FB8"/>
    <w:rsid w:val="00BE304A"/>
    <w:rsid w:val="00BE307C"/>
    <w:rsid w:val="00BE30B5"/>
    <w:rsid w:val="00BE3177"/>
    <w:rsid w:val="00BE31DC"/>
    <w:rsid w:val="00BE3202"/>
    <w:rsid w:val="00BE3278"/>
    <w:rsid w:val="00BE3292"/>
    <w:rsid w:val="00BE330A"/>
    <w:rsid w:val="00BE349B"/>
    <w:rsid w:val="00BE34BB"/>
    <w:rsid w:val="00BE3624"/>
    <w:rsid w:val="00BE3655"/>
    <w:rsid w:val="00BE3746"/>
    <w:rsid w:val="00BE38BC"/>
    <w:rsid w:val="00BE38BE"/>
    <w:rsid w:val="00BE3A1D"/>
    <w:rsid w:val="00BE3B60"/>
    <w:rsid w:val="00BE3B93"/>
    <w:rsid w:val="00BE3C33"/>
    <w:rsid w:val="00BE3DA5"/>
    <w:rsid w:val="00BE3DBF"/>
    <w:rsid w:val="00BE3DD6"/>
    <w:rsid w:val="00BE3EC6"/>
    <w:rsid w:val="00BE3F40"/>
    <w:rsid w:val="00BE3FA6"/>
    <w:rsid w:val="00BE40F8"/>
    <w:rsid w:val="00BE41F7"/>
    <w:rsid w:val="00BE4217"/>
    <w:rsid w:val="00BE427E"/>
    <w:rsid w:val="00BE428A"/>
    <w:rsid w:val="00BE437F"/>
    <w:rsid w:val="00BE452E"/>
    <w:rsid w:val="00BE45C9"/>
    <w:rsid w:val="00BE460A"/>
    <w:rsid w:val="00BE46A8"/>
    <w:rsid w:val="00BE46C6"/>
    <w:rsid w:val="00BE4710"/>
    <w:rsid w:val="00BE477A"/>
    <w:rsid w:val="00BE47D9"/>
    <w:rsid w:val="00BE48FD"/>
    <w:rsid w:val="00BE4D04"/>
    <w:rsid w:val="00BE4D28"/>
    <w:rsid w:val="00BE4D83"/>
    <w:rsid w:val="00BE4D93"/>
    <w:rsid w:val="00BE4DFC"/>
    <w:rsid w:val="00BE4E2D"/>
    <w:rsid w:val="00BE4E70"/>
    <w:rsid w:val="00BE4F3A"/>
    <w:rsid w:val="00BE4FDF"/>
    <w:rsid w:val="00BE50CC"/>
    <w:rsid w:val="00BE5130"/>
    <w:rsid w:val="00BE51EF"/>
    <w:rsid w:val="00BE5241"/>
    <w:rsid w:val="00BE5318"/>
    <w:rsid w:val="00BE5356"/>
    <w:rsid w:val="00BE5388"/>
    <w:rsid w:val="00BE53E7"/>
    <w:rsid w:val="00BE5485"/>
    <w:rsid w:val="00BE5550"/>
    <w:rsid w:val="00BE560A"/>
    <w:rsid w:val="00BE56AD"/>
    <w:rsid w:val="00BE56BE"/>
    <w:rsid w:val="00BE56C5"/>
    <w:rsid w:val="00BE56D1"/>
    <w:rsid w:val="00BE56F3"/>
    <w:rsid w:val="00BE58CA"/>
    <w:rsid w:val="00BE58F7"/>
    <w:rsid w:val="00BE5909"/>
    <w:rsid w:val="00BE598D"/>
    <w:rsid w:val="00BE5A5E"/>
    <w:rsid w:val="00BE5A74"/>
    <w:rsid w:val="00BE5A9C"/>
    <w:rsid w:val="00BE5AC4"/>
    <w:rsid w:val="00BE5B12"/>
    <w:rsid w:val="00BE5BED"/>
    <w:rsid w:val="00BE5D6A"/>
    <w:rsid w:val="00BE5D8F"/>
    <w:rsid w:val="00BE5DAD"/>
    <w:rsid w:val="00BE5DAE"/>
    <w:rsid w:val="00BE5DCA"/>
    <w:rsid w:val="00BE5E14"/>
    <w:rsid w:val="00BE5E29"/>
    <w:rsid w:val="00BE5EF7"/>
    <w:rsid w:val="00BE5F87"/>
    <w:rsid w:val="00BE5FB3"/>
    <w:rsid w:val="00BE6010"/>
    <w:rsid w:val="00BE606F"/>
    <w:rsid w:val="00BE60A6"/>
    <w:rsid w:val="00BE60BD"/>
    <w:rsid w:val="00BE60D7"/>
    <w:rsid w:val="00BE616D"/>
    <w:rsid w:val="00BE61F1"/>
    <w:rsid w:val="00BE62B2"/>
    <w:rsid w:val="00BE635D"/>
    <w:rsid w:val="00BE6473"/>
    <w:rsid w:val="00BE6594"/>
    <w:rsid w:val="00BE666D"/>
    <w:rsid w:val="00BE6697"/>
    <w:rsid w:val="00BE676E"/>
    <w:rsid w:val="00BE6781"/>
    <w:rsid w:val="00BE67AA"/>
    <w:rsid w:val="00BE681C"/>
    <w:rsid w:val="00BE68A0"/>
    <w:rsid w:val="00BE68CE"/>
    <w:rsid w:val="00BE6A29"/>
    <w:rsid w:val="00BE6B60"/>
    <w:rsid w:val="00BE6B6B"/>
    <w:rsid w:val="00BE6C1B"/>
    <w:rsid w:val="00BE6CB9"/>
    <w:rsid w:val="00BE6DDF"/>
    <w:rsid w:val="00BE6EAD"/>
    <w:rsid w:val="00BE6EB2"/>
    <w:rsid w:val="00BE6EF0"/>
    <w:rsid w:val="00BE6F7C"/>
    <w:rsid w:val="00BE6FDF"/>
    <w:rsid w:val="00BE7062"/>
    <w:rsid w:val="00BE7099"/>
    <w:rsid w:val="00BE717E"/>
    <w:rsid w:val="00BE7198"/>
    <w:rsid w:val="00BE7248"/>
    <w:rsid w:val="00BE743A"/>
    <w:rsid w:val="00BE758B"/>
    <w:rsid w:val="00BE7624"/>
    <w:rsid w:val="00BE7630"/>
    <w:rsid w:val="00BE7671"/>
    <w:rsid w:val="00BE7750"/>
    <w:rsid w:val="00BE7776"/>
    <w:rsid w:val="00BE77C5"/>
    <w:rsid w:val="00BE77D3"/>
    <w:rsid w:val="00BE780C"/>
    <w:rsid w:val="00BE781E"/>
    <w:rsid w:val="00BE7857"/>
    <w:rsid w:val="00BE7897"/>
    <w:rsid w:val="00BE7958"/>
    <w:rsid w:val="00BE7971"/>
    <w:rsid w:val="00BE79F2"/>
    <w:rsid w:val="00BE7A18"/>
    <w:rsid w:val="00BE7A4A"/>
    <w:rsid w:val="00BE7AB5"/>
    <w:rsid w:val="00BE7B14"/>
    <w:rsid w:val="00BE7BD9"/>
    <w:rsid w:val="00BE7C76"/>
    <w:rsid w:val="00BE7D2A"/>
    <w:rsid w:val="00BE7D5D"/>
    <w:rsid w:val="00BE7D6C"/>
    <w:rsid w:val="00BE7DE5"/>
    <w:rsid w:val="00BE7E33"/>
    <w:rsid w:val="00BE7F47"/>
    <w:rsid w:val="00BE7F48"/>
    <w:rsid w:val="00BE7F7D"/>
    <w:rsid w:val="00BEB0EB"/>
    <w:rsid w:val="00BF0005"/>
    <w:rsid w:val="00BF002E"/>
    <w:rsid w:val="00BF0066"/>
    <w:rsid w:val="00BF013B"/>
    <w:rsid w:val="00BF0195"/>
    <w:rsid w:val="00BF0222"/>
    <w:rsid w:val="00BF0313"/>
    <w:rsid w:val="00BF0323"/>
    <w:rsid w:val="00BF03A4"/>
    <w:rsid w:val="00BF03AF"/>
    <w:rsid w:val="00BF03F2"/>
    <w:rsid w:val="00BF04DB"/>
    <w:rsid w:val="00BF0586"/>
    <w:rsid w:val="00BF0647"/>
    <w:rsid w:val="00BF065D"/>
    <w:rsid w:val="00BF0706"/>
    <w:rsid w:val="00BF0821"/>
    <w:rsid w:val="00BF0AA5"/>
    <w:rsid w:val="00BF0AA9"/>
    <w:rsid w:val="00BF0B99"/>
    <w:rsid w:val="00BF0D2B"/>
    <w:rsid w:val="00BF0E69"/>
    <w:rsid w:val="00BF0EAF"/>
    <w:rsid w:val="00BF0F30"/>
    <w:rsid w:val="00BF1056"/>
    <w:rsid w:val="00BF116D"/>
    <w:rsid w:val="00BF12A2"/>
    <w:rsid w:val="00BF136F"/>
    <w:rsid w:val="00BF13A3"/>
    <w:rsid w:val="00BF13E7"/>
    <w:rsid w:val="00BF13FD"/>
    <w:rsid w:val="00BF143F"/>
    <w:rsid w:val="00BF14C0"/>
    <w:rsid w:val="00BF14FA"/>
    <w:rsid w:val="00BF15BC"/>
    <w:rsid w:val="00BF15D7"/>
    <w:rsid w:val="00BF179F"/>
    <w:rsid w:val="00BF17AD"/>
    <w:rsid w:val="00BF17F6"/>
    <w:rsid w:val="00BF1860"/>
    <w:rsid w:val="00BF1890"/>
    <w:rsid w:val="00BF1A0E"/>
    <w:rsid w:val="00BF1A40"/>
    <w:rsid w:val="00BF1A77"/>
    <w:rsid w:val="00BF1B20"/>
    <w:rsid w:val="00BF1CC4"/>
    <w:rsid w:val="00BF1E08"/>
    <w:rsid w:val="00BF1E0C"/>
    <w:rsid w:val="00BF1F36"/>
    <w:rsid w:val="00BF1F78"/>
    <w:rsid w:val="00BF1F82"/>
    <w:rsid w:val="00BF1FF9"/>
    <w:rsid w:val="00BF2027"/>
    <w:rsid w:val="00BF203E"/>
    <w:rsid w:val="00BF20F0"/>
    <w:rsid w:val="00BF2181"/>
    <w:rsid w:val="00BF2244"/>
    <w:rsid w:val="00BF2292"/>
    <w:rsid w:val="00BF22D0"/>
    <w:rsid w:val="00BF23B3"/>
    <w:rsid w:val="00BF242B"/>
    <w:rsid w:val="00BF250C"/>
    <w:rsid w:val="00BF25A3"/>
    <w:rsid w:val="00BF25D0"/>
    <w:rsid w:val="00BF25E0"/>
    <w:rsid w:val="00BF26C0"/>
    <w:rsid w:val="00BF27D9"/>
    <w:rsid w:val="00BF283E"/>
    <w:rsid w:val="00BF2857"/>
    <w:rsid w:val="00BF2884"/>
    <w:rsid w:val="00BF28D7"/>
    <w:rsid w:val="00BF28EF"/>
    <w:rsid w:val="00BF29C5"/>
    <w:rsid w:val="00BF2A82"/>
    <w:rsid w:val="00BF2AAC"/>
    <w:rsid w:val="00BF2AD3"/>
    <w:rsid w:val="00BF2B98"/>
    <w:rsid w:val="00BF2BD0"/>
    <w:rsid w:val="00BF2BFC"/>
    <w:rsid w:val="00BF2C37"/>
    <w:rsid w:val="00BF2C9C"/>
    <w:rsid w:val="00BF2D15"/>
    <w:rsid w:val="00BF2D4E"/>
    <w:rsid w:val="00BF2D66"/>
    <w:rsid w:val="00BF2DC2"/>
    <w:rsid w:val="00BF2E2C"/>
    <w:rsid w:val="00BF2EB6"/>
    <w:rsid w:val="00BF2EEC"/>
    <w:rsid w:val="00BF2FB2"/>
    <w:rsid w:val="00BF3138"/>
    <w:rsid w:val="00BF313D"/>
    <w:rsid w:val="00BF323C"/>
    <w:rsid w:val="00BF3260"/>
    <w:rsid w:val="00BF32B1"/>
    <w:rsid w:val="00BF32CF"/>
    <w:rsid w:val="00BF332B"/>
    <w:rsid w:val="00BF3423"/>
    <w:rsid w:val="00BF3450"/>
    <w:rsid w:val="00BF34E1"/>
    <w:rsid w:val="00BF34E6"/>
    <w:rsid w:val="00BF355A"/>
    <w:rsid w:val="00BF3778"/>
    <w:rsid w:val="00BF37F7"/>
    <w:rsid w:val="00BF3812"/>
    <w:rsid w:val="00BF3877"/>
    <w:rsid w:val="00BF3909"/>
    <w:rsid w:val="00BF398A"/>
    <w:rsid w:val="00BF3994"/>
    <w:rsid w:val="00BF39B5"/>
    <w:rsid w:val="00BF3A55"/>
    <w:rsid w:val="00BF3BB2"/>
    <w:rsid w:val="00BF3C7A"/>
    <w:rsid w:val="00BF3CD8"/>
    <w:rsid w:val="00BF3D7E"/>
    <w:rsid w:val="00BF3DB9"/>
    <w:rsid w:val="00BF3E40"/>
    <w:rsid w:val="00BF3E42"/>
    <w:rsid w:val="00BF3E6C"/>
    <w:rsid w:val="00BF3F2A"/>
    <w:rsid w:val="00BF3F9D"/>
    <w:rsid w:val="00BF4044"/>
    <w:rsid w:val="00BF404C"/>
    <w:rsid w:val="00BF40FF"/>
    <w:rsid w:val="00BF414E"/>
    <w:rsid w:val="00BF4196"/>
    <w:rsid w:val="00BF427C"/>
    <w:rsid w:val="00BF42ED"/>
    <w:rsid w:val="00BF4431"/>
    <w:rsid w:val="00BF450E"/>
    <w:rsid w:val="00BF453A"/>
    <w:rsid w:val="00BF4597"/>
    <w:rsid w:val="00BF4628"/>
    <w:rsid w:val="00BF46AC"/>
    <w:rsid w:val="00BF4770"/>
    <w:rsid w:val="00BF478B"/>
    <w:rsid w:val="00BF4887"/>
    <w:rsid w:val="00BF48F9"/>
    <w:rsid w:val="00BF495C"/>
    <w:rsid w:val="00BF496D"/>
    <w:rsid w:val="00BF49E6"/>
    <w:rsid w:val="00BF4A6A"/>
    <w:rsid w:val="00BF4A9B"/>
    <w:rsid w:val="00BF4B0B"/>
    <w:rsid w:val="00BF4BAA"/>
    <w:rsid w:val="00BF4BB0"/>
    <w:rsid w:val="00BF4D38"/>
    <w:rsid w:val="00BF4D4D"/>
    <w:rsid w:val="00BF4DE5"/>
    <w:rsid w:val="00BF4E02"/>
    <w:rsid w:val="00BF4E29"/>
    <w:rsid w:val="00BF4E74"/>
    <w:rsid w:val="00BF4F70"/>
    <w:rsid w:val="00BF4F93"/>
    <w:rsid w:val="00BF518B"/>
    <w:rsid w:val="00BF51A9"/>
    <w:rsid w:val="00BF5207"/>
    <w:rsid w:val="00BF5235"/>
    <w:rsid w:val="00BF52BD"/>
    <w:rsid w:val="00BF5340"/>
    <w:rsid w:val="00BF539C"/>
    <w:rsid w:val="00BF53B5"/>
    <w:rsid w:val="00BF54C3"/>
    <w:rsid w:val="00BF54DC"/>
    <w:rsid w:val="00BF5503"/>
    <w:rsid w:val="00BF5556"/>
    <w:rsid w:val="00BF5574"/>
    <w:rsid w:val="00BF557B"/>
    <w:rsid w:val="00BF5586"/>
    <w:rsid w:val="00BF5631"/>
    <w:rsid w:val="00BF5796"/>
    <w:rsid w:val="00BF586B"/>
    <w:rsid w:val="00BF5916"/>
    <w:rsid w:val="00BF5993"/>
    <w:rsid w:val="00BF59D7"/>
    <w:rsid w:val="00BF59D8"/>
    <w:rsid w:val="00BF5A43"/>
    <w:rsid w:val="00BF5B0F"/>
    <w:rsid w:val="00BF5B1C"/>
    <w:rsid w:val="00BF5B67"/>
    <w:rsid w:val="00BF5B72"/>
    <w:rsid w:val="00BF5BBC"/>
    <w:rsid w:val="00BF5C1A"/>
    <w:rsid w:val="00BF5C1E"/>
    <w:rsid w:val="00BF5CEC"/>
    <w:rsid w:val="00BF5D82"/>
    <w:rsid w:val="00BF5DD4"/>
    <w:rsid w:val="00BF5E2D"/>
    <w:rsid w:val="00BF5E91"/>
    <w:rsid w:val="00BF5F19"/>
    <w:rsid w:val="00BF5FD7"/>
    <w:rsid w:val="00BF6076"/>
    <w:rsid w:val="00BF60BB"/>
    <w:rsid w:val="00BF61B5"/>
    <w:rsid w:val="00BF620A"/>
    <w:rsid w:val="00BF620C"/>
    <w:rsid w:val="00BF6249"/>
    <w:rsid w:val="00BF6395"/>
    <w:rsid w:val="00BF6432"/>
    <w:rsid w:val="00BF6482"/>
    <w:rsid w:val="00BF64CF"/>
    <w:rsid w:val="00BF64E4"/>
    <w:rsid w:val="00BF6504"/>
    <w:rsid w:val="00BF66C4"/>
    <w:rsid w:val="00BF6757"/>
    <w:rsid w:val="00BF6771"/>
    <w:rsid w:val="00BF677C"/>
    <w:rsid w:val="00BF6784"/>
    <w:rsid w:val="00BF67CD"/>
    <w:rsid w:val="00BF67FD"/>
    <w:rsid w:val="00BF680B"/>
    <w:rsid w:val="00BF6810"/>
    <w:rsid w:val="00BF687F"/>
    <w:rsid w:val="00BF6B87"/>
    <w:rsid w:val="00BF6BA6"/>
    <w:rsid w:val="00BF6C7F"/>
    <w:rsid w:val="00BF6CC7"/>
    <w:rsid w:val="00BF6CE5"/>
    <w:rsid w:val="00BF6CFF"/>
    <w:rsid w:val="00BF6D3C"/>
    <w:rsid w:val="00BF6D56"/>
    <w:rsid w:val="00BF6D94"/>
    <w:rsid w:val="00BF6DDD"/>
    <w:rsid w:val="00BF6DEC"/>
    <w:rsid w:val="00BF6E4F"/>
    <w:rsid w:val="00BF6ED5"/>
    <w:rsid w:val="00BF6FB6"/>
    <w:rsid w:val="00BF6FCD"/>
    <w:rsid w:val="00BF7126"/>
    <w:rsid w:val="00BF71BB"/>
    <w:rsid w:val="00BF71C8"/>
    <w:rsid w:val="00BF729B"/>
    <w:rsid w:val="00BF7401"/>
    <w:rsid w:val="00BF7426"/>
    <w:rsid w:val="00BF7446"/>
    <w:rsid w:val="00BF744C"/>
    <w:rsid w:val="00BF74CE"/>
    <w:rsid w:val="00BF74FB"/>
    <w:rsid w:val="00BF7517"/>
    <w:rsid w:val="00BF767B"/>
    <w:rsid w:val="00BF7686"/>
    <w:rsid w:val="00BF76CB"/>
    <w:rsid w:val="00BF77A6"/>
    <w:rsid w:val="00BF77D2"/>
    <w:rsid w:val="00BF7828"/>
    <w:rsid w:val="00BF782A"/>
    <w:rsid w:val="00BF78A6"/>
    <w:rsid w:val="00BF78AD"/>
    <w:rsid w:val="00BF78D3"/>
    <w:rsid w:val="00BF7908"/>
    <w:rsid w:val="00BF7956"/>
    <w:rsid w:val="00BF7AC8"/>
    <w:rsid w:val="00BF7AFD"/>
    <w:rsid w:val="00BF7B39"/>
    <w:rsid w:val="00BF7B8A"/>
    <w:rsid w:val="00BF7B99"/>
    <w:rsid w:val="00BF7C01"/>
    <w:rsid w:val="00BF7CCA"/>
    <w:rsid w:val="00BF7D0B"/>
    <w:rsid w:val="00BF7D39"/>
    <w:rsid w:val="00BF7DB9"/>
    <w:rsid w:val="00BF7F88"/>
    <w:rsid w:val="00BF7FF8"/>
    <w:rsid w:val="00BFCE99"/>
    <w:rsid w:val="00C001AC"/>
    <w:rsid w:val="00C001D8"/>
    <w:rsid w:val="00C001FB"/>
    <w:rsid w:val="00C00292"/>
    <w:rsid w:val="00C002D7"/>
    <w:rsid w:val="00C00380"/>
    <w:rsid w:val="00C003BC"/>
    <w:rsid w:val="00C00504"/>
    <w:rsid w:val="00C0062D"/>
    <w:rsid w:val="00C007E7"/>
    <w:rsid w:val="00C00872"/>
    <w:rsid w:val="00C0089C"/>
    <w:rsid w:val="00C0099E"/>
    <w:rsid w:val="00C00A0B"/>
    <w:rsid w:val="00C00A10"/>
    <w:rsid w:val="00C00A49"/>
    <w:rsid w:val="00C00C9D"/>
    <w:rsid w:val="00C00D1D"/>
    <w:rsid w:val="00C00D3F"/>
    <w:rsid w:val="00C00DC0"/>
    <w:rsid w:val="00C00F3F"/>
    <w:rsid w:val="00C00FA2"/>
    <w:rsid w:val="00C01036"/>
    <w:rsid w:val="00C010BB"/>
    <w:rsid w:val="00C010C5"/>
    <w:rsid w:val="00C0110F"/>
    <w:rsid w:val="00C01261"/>
    <w:rsid w:val="00C0127B"/>
    <w:rsid w:val="00C0127E"/>
    <w:rsid w:val="00C01306"/>
    <w:rsid w:val="00C01368"/>
    <w:rsid w:val="00C014CD"/>
    <w:rsid w:val="00C014F6"/>
    <w:rsid w:val="00C0153F"/>
    <w:rsid w:val="00C015E3"/>
    <w:rsid w:val="00C01674"/>
    <w:rsid w:val="00C016A3"/>
    <w:rsid w:val="00C0183A"/>
    <w:rsid w:val="00C018DB"/>
    <w:rsid w:val="00C0191B"/>
    <w:rsid w:val="00C01A72"/>
    <w:rsid w:val="00C01A94"/>
    <w:rsid w:val="00C01B65"/>
    <w:rsid w:val="00C01BF7"/>
    <w:rsid w:val="00C01C66"/>
    <w:rsid w:val="00C01CD1"/>
    <w:rsid w:val="00C01CFB"/>
    <w:rsid w:val="00C01D68"/>
    <w:rsid w:val="00C01D75"/>
    <w:rsid w:val="00C01DA5"/>
    <w:rsid w:val="00C01E48"/>
    <w:rsid w:val="00C01E5F"/>
    <w:rsid w:val="00C01EDB"/>
    <w:rsid w:val="00C01F30"/>
    <w:rsid w:val="00C01FB0"/>
    <w:rsid w:val="00C02078"/>
    <w:rsid w:val="00C020AB"/>
    <w:rsid w:val="00C02121"/>
    <w:rsid w:val="00C02138"/>
    <w:rsid w:val="00C021BE"/>
    <w:rsid w:val="00C02234"/>
    <w:rsid w:val="00C022FE"/>
    <w:rsid w:val="00C0238E"/>
    <w:rsid w:val="00C023C0"/>
    <w:rsid w:val="00C0241E"/>
    <w:rsid w:val="00C0245E"/>
    <w:rsid w:val="00C025CC"/>
    <w:rsid w:val="00C0267A"/>
    <w:rsid w:val="00C026DA"/>
    <w:rsid w:val="00C0283E"/>
    <w:rsid w:val="00C0285F"/>
    <w:rsid w:val="00C02927"/>
    <w:rsid w:val="00C02932"/>
    <w:rsid w:val="00C02A2B"/>
    <w:rsid w:val="00C02A34"/>
    <w:rsid w:val="00C02AF3"/>
    <w:rsid w:val="00C02AF5"/>
    <w:rsid w:val="00C02B62"/>
    <w:rsid w:val="00C02B81"/>
    <w:rsid w:val="00C02BC8"/>
    <w:rsid w:val="00C02C60"/>
    <w:rsid w:val="00C02C9D"/>
    <w:rsid w:val="00C02CA2"/>
    <w:rsid w:val="00C02DAB"/>
    <w:rsid w:val="00C02EBC"/>
    <w:rsid w:val="00C02F02"/>
    <w:rsid w:val="00C0300E"/>
    <w:rsid w:val="00C03083"/>
    <w:rsid w:val="00C030EC"/>
    <w:rsid w:val="00C03135"/>
    <w:rsid w:val="00C031D1"/>
    <w:rsid w:val="00C0323E"/>
    <w:rsid w:val="00C03351"/>
    <w:rsid w:val="00C033A1"/>
    <w:rsid w:val="00C03488"/>
    <w:rsid w:val="00C034C2"/>
    <w:rsid w:val="00C034D9"/>
    <w:rsid w:val="00C035E3"/>
    <w:rsid w:val="00C0361F"/>
    <w:rsid w:val="00C03648"/>
    <w:rsid w:val="00C036CA"/>
    <w:rsid w:val="00C036DB"/>
    <w:rsid w:val="00C036FB"/>
    <w:rsid w:val="00C037DE"/>
    <w:rsid w:val="00C037ED"/>
    <w:rsid w:val="00C038BD"/>
    <w:rsid w:val="00C03905"/>
    <w:rsid w:val="00C03943"/>
    <w:rsid w:val="00C03AB1"/>
    <w:rsid w:val="00C03BA6"/>
    <w:rsid w:val="00C03CFB"/>
    <w:rsid w:val="00C03DB5"/>
    <w:rsid w:val="00C03DDE"/>
    <w:rsid w:val="00C03E86"/>
    <w:rsid w:val="00C03F06"/>
    <w:rsid w:val="00C03F60"/>
    <w:rsid w:val="00C03FE5"/>
    <w:rsid w:val="00C0406A"/>
    <w:rsid w:val="00C040D6"/>
    <w:rsid w:val="00C040F0"/>
    <w:rsid w:val="00C04122"/>
    <w:rsid w:val="00C04130"/>
    <w:rsid w:val="00C04161"/>
    <w:rsid w:val="00C04177"/>
    <w:rsid w:val="00C0420F"/>
    <w:rsid w:val="00C042B1"/>
    <w:rsid w:val="00C042B9"/>
    <w:rsid w:val="00C042C3"/>
    <w:rsid w:val="00C04330"/>
    <w:rsid w:val="00C04399"/>
    <w:rsid w:val="00C043F6"/>
    <w:rsid w:val="00C04406"/>
    <w:rsid w:val="00C04436"/>
    <w:rsid w:val="00C04471"/>
    <w:rsid w:val="00C04500"/>
    <w:rsid w:val="00C0451E"/>
    <w:rsid w:val="00C04585"/>
    <w:rsid w:val="00C045B2"/>
    <w:rsid w:val="00C045B5"/>
    <w:rsid w:val="00C046CA"/>
    <w:rsid w:val="00C047B9"/>
    <w:rsid w:val="00C047C7"/>
    <w:rsid w:val="00C04836"/>
    <w:rsid w:val="00C04895"/>
    <w:rsid w:val="00C048AD"/>
    <w:rsid w:val="00C048BC"/>
    <w:rsid w:val="00C048C3"/>
    <w:rsid w:val="00C048FE"/>
    <w:rsid w:val="00C0493A"/>
    <w:rsid w:val="00C0496F"/>
    <w:rsid w:val="00C04A63"/>
    <w:rsid w:val="00C04AA4"/>
    <w:rsid w:val="00C04AAE"/>
    <w:rsid w:val="00C04C6A"/>
    <w:rsid w:val="00C04CF2"/>
    <w:rsid w:val="00C04D24"/>
    <w:rsid w:val="00C04E29"/>
    <w:rsid w:val="00C04E3D"/>
    <w:rsid w:val="00C04E88"/>
    <w:rsid w:val="00C04E90"/>
    <w:rsid w:val="00C04F3B"/>
    <w:rsid w:val="00C04F5E"/>
    <w:rsid w:val="00C04F72"/>
    <w:rsid w:val="00C05049"/>
    <w:rsid w:val="00C050D6"/>
    <w:rsid w:val="00C05169"/>
    <w:rsid w:val="00C0517D"/>
    <w:rsid w:val="00C051EF"/>
    <w:rsid w:val="00C05226"/>
    <w:rsid w:val="00C052AD"/>
    <w:rsid w:val="00C052D5"/>
    <w:rsid w:val="00C05378"/>
    <w:rsid w:val="00C053EC"/>
    <w:rsid w:val="00C05490"/>
    <w:rsid w:val="00C0560E"/>
    <w:rsid w:val="00C05625"/>
    <w:rsid w:val="00C05648"/>
    <w:rsid w:val="00C05683"/>
    <w:rsid w:val="00C05738"/>
    <w:rsid w:val="00C0577E"/>
    <w:rsid w:val="00C0579D"/>
    <w:rsid w:val="00C057A0"/>
    <w:rsid w:val="00C0582B"/>
    <w:rsid w:val="00C0595A"/>
    <w:rsid w:val="00C05A51"/>
    <w:rsid w:val="00C05AE3"/>
    <w:rsid w:val="00C05B23"/>
    <w:rsid w:val="00C05B52"/>
    <w:rsid w:val="00C05BC0"/>
    <w:rsid w:val="00C05BC7"/>
    <w:rsid w:val="00C05BF3"/>
    <w:rsid w:val="00C05C3E"/>
    <w:rsid w:val="00C05CC3"/>
    <w:rsid w:val="00C05F66"/>
    <w:rsid w:val="00C05F78"/>
    <w:rsid w:val="00C05F8C"/>
    <w:rsid w:val="00C06009"/>
    <w:rsid w:val="00C06094"/>
    <w:rsid w:val="00C0614C"/>
    <w:rsid w:val="00C06172"/>
    <w:rsid w:val="00C061C7"/>
    <w:rsid w:val="00C06288"/>
    <w:rsid w:val="00C062F0"/>
    <w:rsid w:val="00C0631C"/>
    <w:rsid w:val="00C0632A"/>
    <w:rsid w:val="00C06334"/>
    <w:rsid w:val="00C063BC"/>
    <w:rsid w:val="00C063D0"/>
    <w:rsid w:val="00C063D5"/>
    <w:rsid w:val="00C063FD"/>
    <w:rsid w:val="00C06456"/>
    <w:rsid w:val="00C06559"/>
    <w:rsid w:val="00C065B0"/>
    <w:rsid w:val="00C065DA"/>
    <w:rsid w:val="00C066AA"/>
    <w:rsid w:val="00C06749"/>
    <w:rsid w:val="00C067D6"/>
    <w:rsid w:val="00C06818"/>
    <w:rsid w:val="00C068D5"/>
    <w:rsid w:val="00C068E3"/>
    <w:rsid w:val="00C06A81"/>
    <w:rsid w:val="00C06B2B"/>
    <w:rsid w:val="00C06B36"/>
    <w:rsid w:val="00C06B45"/>
    <w:rsid w:val="00C06BB9"/>
    <w:rsid w:val="00C06BCA"/>
    <w:rsid w:val="00C06C69"/>
    <w:rsid w:val="00C06C8B"/>
    <w:rsid w:val="00C06CFB"/>
    <w:rsid w:val="00C06D24"/>
    <w:rsid w:val="00C06E52"/>
    <w:rsid w:val="00C06EF7"/>
    <w:rsid w:val="00C06F86"/>
    <w:rsid w:val="00C07010"/>
    <w:rsid w:val="00C07051"/>
    <w:rsid w:val="00C070C7"/>
    <w:rsid w:val="00C07324"/>
    <w:rsid w:val="00C07392"/>
    <w:rsid w:val="00C07479"/>
    <w:rsid w:val="00C074C8"/>
    <w:rsid w:val="00C07516"/>
    <w:rsid w:val="00C0759B"/>
    <w:rsid w:val="00C075FD"/>
    <w:rsid w:val="00C0763D"/>
    <w:rsid w:val="00C077FB"/>
    <w:rsid w:val="00C078E3"/>
    <w:rsid w:val="00C07967"/>
    <w:rsid w:val="00C07A50"/>
    <w:rsid w:val="00C07B6C"/>
    <w:rsid w:val="00C07B9D"/>
    <w:rsid w:val="00C07BC4"/>
    <w:rsid w:val="00C07C2E"/>
    <w:rsid w:val="00C07D1E"/>
    <w:rsid w:val="00C07D23"/>
    <w:rsid w:val="00C07D5B"/>
    <w:rsid w:val="00C07E67"/>
    <w:rsid w:val="00C07E74"/>
    <w:rsid w:val="00C07E94"/>
    <w:rsid w:val="00C07F25"/>
    <w:rsid w:val="00C07F43"/>
    <w:rsid w:val="00C07FB9"/>
    <w:rsid w:val="00C10005"/>
    <w:rsid w:val="00C100C8"/>
    <w:rsid w:val="00C1013C"/>
    <w:rsid w:val="00C1014F"/>
    <w:rsid w:val="00C101C4"/>
    <w:rsid w:val="00C10250"/>
    <w:rsid w:val="00C103F3"/>
    <w:rsid w:val="00C1043E"/>
    <w:rsid w:val="00C1044A"/>
    <w:rsid w:val="00C1049F"/>
    <w:rsid w:val="00C104C6"/>
    <w:rsid w:val="00C1050B"/>
    <w:rsid w:val="00C10611"/>
    <w:rsid w:val="00C1062E"/>
    <w:rsid w:val="00C10648"/>
    <w:rsid w:val="00C1068E"/>
    <w:rsid w:val="00C108E4"/>
    <w:rsid w:val="00C1091E"/>
    <w:rsid w:val="00C10925"/>
    <w:rsid w:val="00C10948"/>
    <w:rsid w:val="00C109A5"/>
    <w:rsid w:val="00C109ED"/>
    <w:rsid w:val="00C10B49"/>
    <w:rsid w:val="00C10BA7"/>
    <w:rsid w:val="00C10BCA"/>
    <w:rsid w:val="00C10BD5"/>
    <w:rsid w:val="00C10CD1"/>
    <w:rsid w:val="00C10D43"/>
    <w:rsid w:val="00C10D7D"/>
    <w:rsid w:val="00C10DDC"/>
    <w:rsid w:val="00C10EDA"/>
    <w:rsid w:val="00C10EFC"/>
    <w:rsid w:val="00C10F1B"/>
    <w:rsid w:val="00C10F25"/>
    <w:rsid w:val="00C1100B"/>
    <w:rsid w:val="00C11028"/>
    <w:rsid w:val="00C11090"/>
    <w:rsid w:val="00C11185"/>
    <w:rsid w:val="00C11192"/>
    <w:rsid w:val="00C111E0"/>
    <w:rsid w:val="00C111ED"/>
    <w:rsid w:val="00C11291"/>
    <w:rsid w:val="00C112C7"/>
    <w:rsid w:val="00C11323"/>
    <w:rsid w:val="00C11395"/>
    <w:rsid w:val="00C113C0"/>
    <w:rsid w:val="00C113C1"/>
    <w:rsid w:val="00C11416"/>
    <w:rsid w:val="00C114E3"/>
    <w:rsid w:val="00C11559"/>
    <w:rsid w:val="00C1162C"/>
    <w:rsid w:val="00C116AA"/>
    <w:rsid w:val="00C1182C"/>
    <w:rsid w:val="00C118A8"/>
    <w:rsid w:val="00C118FE"/>
    <w:rsid w:val="00C11998"/>
    <w:rsid w:val="00C119FC"/>
    <w:rsid w:val="00C11A4F"/>
    <w:rsid w:val="00C11A72"/>
    <w:rsid w:val="00C11AA9"/>
    <w:rsid w:val="00C11AF7"/>
    <w:rsid w:val="00C11BD0"/>
    <w:rsid w:val="00C11CD9"/>
    <w:rsid w:val="00C11E48"/>
    <w:rsid w:val="00C11EAD"/>
    <w:rsid w:val="00C11EBB"/>
    <w:rsid w:val="00C11EE5"/>
    <w:rsid w:val="00C11F35"/>
    <w:rsid w:val="00C11F55"/>
    <w:rsid w:val="00C12107"/>
    <w:rsid w:val="00C1212D"/>
    <w:rsid w:val="00C121F7"/>
    <w:rsid w:val="00C12245"/>
    <w:rsid w:val="00C122CB"/>
    <w:rsid w:val="00C1243A"/>
    <w:rsid w:val="00C1248D"/>
    <w:rsid w:val="00C12547"/>
    <w:rsid w:val="00C125A9"/>
    <w:rsid w:val="00C12689"/>
    <w:rsid w:val="00C12824"/>
    <w:rsid w:val="00C12908"/>
    <w:rsid w:val="00C12913"/>
    <w:rsid w:val="00C12935"/>
    <w:rsid w:val="00C129E0"/>
    <w:rsid w:val="00C12AEE"/>
    <w:rsid w:val="00C12B06"/>
    <w:rsid w:val="00C12B08"/>
    <w:rsid w:val="00C12CBB"/>
    <w:rsid w:val="00C12CD5"/>
    <w:rsid w:val="00C12D39"/>
    <w:rsid w:val="00C12D56"/>
    <w:rsid w:val="00C12DC5"/>
    <w:rsid w:val="00C12DD3"/>
    <w:rsid w:val="00C12EBE"/>
    <w:rsid w:val="00C12EC8"/>
    <w:rsid w:val="00C12EDE"/>
    <w:rsid w:val="00C12F47"/>
    <w:rsid w:val="00C12F5B"/>
    <w:rsid w:val="00C12FED"/>
    <w:rsid w:val="00C130F1"/>
    <w:rsid w:val="00C1314C"/>
    <w:rsid w:val="00C131AB"/>
    <w:rsid w:val="00C131E9"/>
    <w:rsid w:val="00C13275"/>
    <w:rsid w:val="00C132BE"/>
    <w:rsid w:val="00C132E5"/>
    <w:rsid w:val="00C133C8"/>
    <w:rsid w:val="00C13411"/>
    <w:rsid w:val="00C13412"/>
    <w:rsid w:val="00C1341B"/>
    <w:rsid w:val="00C13453"/>
    <w:rsid w:val="00C1354D"/>
    <w:rsid w:val="00C1357F"/>
    <w:rsid w:val="00C13583"/>
    <w:rsid w:val="00C135B4"/>
    <w:rsid w:val="00C13652"/>
    <w:rsid w:val="00C136AB"/>
    <w:rsid w:val="00C13701"/>
    <w:rsid w:val="00C137EE"/>
    <w:rsid w:val="00C13856"/>
    <w:rsid w:val="00C13886"/>
    <w:rsid w:val="00C13888"/>
    <w:rsid w:val="00C13986"/>
    <w:rsid w:val="00C139F2"/>
    <w:rsid w:val="00C13A2B"/>
    <w:rsid w:val="00C13A51"/>
    <w:rsid w:val="00C13B12"/>
    <w:rsid w:val="00C13B94"/>
    <w:rsid w:val="00C13BB0"/>
    <w:rsid w:val="00C13BFA"/>
    <w:rsid w:val="00C13C4B"/>
    <w:rsid w:val="00C13D90"/>
    <w:rsid w:val="00C13E20"/>
    <w:rsid w:val="00C13EBE"/>
    <w:rsid w:val="00C13EDD"/>
    <w:rsid w:val="00C13EDF"/>
    <w:rsid w:val="00C13F99"/>
    <w:rsid w:val="00C140FF"/>
    <w:rsid w:val="00C14140"/>
    <w:rsid w:val="00C14162"/>
    <w:rsid w:val="00C141C5"/>
    <w:rsid w:val="00C142AE"/>
    <w:rsid w:val="00C1436A"/>
    <w:rsid w:val="00C14433"/>
    <w:rsid w:val="00C1458D"/>
    <w:rsid w:val="00C14667"/>
    <w:rsid w:val="00C14738"/>
    <w:rsid w:val="00C14880"/>
    <w:rsid w:val="00C148A8"/>
    <w:rsid w:val="00C149F0"/>
    <w:rsid w:val="00C14A72"/>
    <w:rsid w:val="00C14AE2"/>
    <w:rsid w:val="00C14AEB"/>
    <w:rsid w:val="00C14BCF"/>
    <w:rsid w:val="00C14C4A"/>
    <w:rsid w:val="00C14C4C"/>
    <w:rsid w:val="00C14CD9"/>
    <w:rsid w:val="00C14CE4"/>
    <w:rsid w:val="00C14D54"/>
    <w:rsid w:val="00C14DE3"/>
    <w:rsid w:val="00C14E00"/>
    <w:rsid w:val="00C14E36"/>
    <w:rsid w:val="00C14F2F"/>
    <w:rsid w:val="00C14F84"/>
    <w:rsid w:val="00C15009"/>
    <w:rsid w:val="00C1501D"/>
    <w:rsid w:val="00C1506B"/>
    <w:rsid w:val="00C15072"/>
    <w:rsid w:val="00C150D6"/>
    <w:rsid w:val="00C151E5"/>
    <w:rsid w:val="00C1523F"/>
    <w:rsid w:val="00C152DD"/>
    <w:rsid w:val="00C1545C"/>
    <w:rsid w:val="00C154E1"/>
    <w:rsid w:val="00C15519"/>
    <w:rsid w:val="00C15526"/>
    <w:rsid w:val="00C15589"/>
    <w:rsid w:val="00C156E0"/>
    <w:rsid w:val="00C15733"/>
    <w:rsid w:val="00C1577D"/>
    <w:rsid w:val="00C1578A"/>
    <w:rsid w:val="00C1578E"/>
    <w:rsid w:val="00C15905"/>
    <w:rsid w:val="00C15A69"/>
    <w:rsid w:val="00C15B86"/>
    <w:rsid w:val="00C15C1C"/>
    <w:rsid w:val="00C15DE2"/>
    <w:rsid w:val="00C15E31"/>
    <w:rsid w:val="00C15E43"/>
    <w:rsid w:val="00C15E75"/>
    <w:rsid w:val="00C15E7D"/>
    <w:rsid w:val="00C15E99"/>
    <w:rsid w:val="00C15F01"/>
    <w:rsid w:val="00C15F0F"/>
    <w:rsid w:val="00C15F44"/>
    <w:rsid w:val="00C15F64"/>
    <w:rsid w:val="00C15FB6"/>
    <w:rsid w:val="00C15FB8"/>
    <w:rsid w:val="00C15FDD"/>
    <w:rsid w:val="00C15FE9"/>
    <w:rsid w:val="00C16099"/>
    <w:rsid w:val="00C16101"/>
    <w:rsid w:val="00C16143"/>
    <w:rsid w:val="00C1616A"/>
    <w:rsid w:val="00C1617A"/>
    <w:rsid w:val="00C161AB"/>
    <w:rsid w:val="00C161AC"/>
    <w:rsid w:val="00C161F1"/>
    <w:rsid w:val="00C16202"/>
    <w:rsid w:val="00C16286"/>
    <w:rsid w:val="00C16328"/>
    <w:rsid w:val="00C16349"/>
    <w:rsid w:val="00C1637E"/>
    <w:rsid w:val="00C16439"/>
    <w:rsid w:val="00C16461"/>
    <w:rsid w:val="00C16580"/>
    <w:rsid w:val="00C165E8"/>
    <w:rsid w:val="00C168B5"/>
    <w:rsid w:val="00C168BA"/>
    <w:rsid w:val="00C1691F"/>
    <w:rsid w:val="00C1695D"/>
    <w:rsid w:val="00C16A40"/>
    <w:rsid w:val="00C16A64"/>
    <w:rsid w:val="00C16B08"/>
    <w:rsid w:val="00C16B3B"/>
    <w:rsid w:val="00C16BC9"/>
    <w:rsid w:val="00C16C21"/>
    <w:rsid w:val="00C16C33"/>
    <w:rsid w:val="00C16C5D"/>
    <w:rsid w:val="00C16CA9"/>
    <w:rsid w:val="00C16D4A"/>
    <w:rsid w:val="00C16D59"/>
    <w:rsid w:val="00C16D5C"/>
    <w:rsid w:val="00C16EBE"/>
    <w:rsid w:val="00C16EC1"/>
    <w:rsid w:val="00C16ED1"/>
    <w:rsid w:val="00C17025"/>
    <w:rsid w:val="00C17053"/>
    <w:rsid w:val="00C170FF"/>
    <w:rsid w:val="00C17102"/>
    <w:rsid w:val="00C17105"/>
    <w:rsid w:val="00C17185"/>
    <w:rsid w:val="00C1718E"/>
    <w:rsid w:val="00C1729C"/>
    <w:rsid w:val="00C173A3"/>
    <w:rsid w:val="00C173C8"/>
    <w:rsid w:val="00C17488"/>
    <w:rsid w:val="00C174E3"/>
    <w:rsid w:val="00C174F5"/>
    <w:rsid w:val="00C17548"/>
    <w:rsid w:val="00C17580"/>
    <w:rsid w:val="00C1761B"/>
    <w:rsid w:val="00C17688"/>
    <w:rsid w:val="00C176DF"/>
    <w:rsid w:val="00C176F0"/>
    <w:rsid w:val="00C177C5"/>
    <w:rsid w:val="00C1785E"/>
    <w:rsid w:val="00C178C0"/>
    <w:rsid w:val="00C17937"/>
    <w:rsid w:val="00C1797F"/>
    <w:rsid w:val="00C1799B"/>
    <w:rsid w:val="00C179F8"/>
    <w:rsid w:val="00C17A0F"/>
    <w:rsid w:val="00C17A4C"/>
    <w:rsid w:val="00C17A57"/>
    <w:rsid w:val="00C17C96"/>
    <w:rsid w:val="00C17CF0"/>
    <w:rsid w:val="00C17D29"/>
    <w:rsid w:val="00C17D7D"/>
    <w:rsid w:val="00C17DC2"/>
    <w:rsid w:val="00C17DEF"/>
    <w:rsid w:val="00C17E11"/>
    <w:rsid w:val="00C17E4C"/>
    <w:rsid w:val="00C17E55"/>
    <w:rsid w:val="00C17EA4"/>
    <w:rsid w:val="00C17F64"/>
    <w:rsid w:val="00C20090"/>
    <w:rsid w:val="00C20109"/>
    <w:rsid w:val="00C2012B"/>
    <w:rsid w:val="00C20159"/>
    <w:rsid w:val="00C2016A"/>
    <w:rsid w:val="00C2020E"/>
    <w:rsid w:val="00C20242"/>
    <w:rsid w:val="00C202D1"/>
    <w:rsid w:val="00C202E9"/>
    <w:rsid w:val="00C20312"/>
    <w:rsid w:val="00C20353"/>
    <w:rsid w:val="00C203A4"/>
    <w:rsid w:val="00C204EE"/>
    <w:rsid w:val="00C205D1"/>
    <w:rsid w:val="00C205D8"/>
    <w:rsid w:val="00C2081E"/>
    <w:rsid w:val="00C20849"/>
    <w:rsid w:val="00C208F7"/>
    <w:rsid w:val="00C20A62"/>
    <w:rsid w:val="00C20A6A"/>
    <w:rsid w:val="00C20A81"/>
    <w:rsid w:val="00C20A9F"/>
    <w:rsid w:val="00C20AEB"/>
    <w:rsid w:val="00C20B5D"/>
    <w:rsid w:val="00C20B7A"/>
    <w:rsid w:val="00C20BD2"/>
    <w:rsid w:val="00C20BD7"/>
    <w:rsid w:val="00C20C16"/>
    <w:rsid w:val="00C20C66"/>
    <w:rsid w:val="00C20D0B"/>
    <w:rsid w:val="00C20D15"/>
    <w:rsid w:val="00C20DE9"/>
    <w:rsid w:val="00C20E45"/>
    <w:rsid w:val="00C20E6B"/>
    <w:rsid w:val="00C20E9B"/>
    <w:rsid w:val="00C20EC2"/>
    <w:rsid w:val="00C20EEB"/>
    <w:rsid w:val="00C20EEF"/>
    <w:rsid w:val="00C20FA5"/>
    <w:rsid w:val="00C20FEB"/>
    <w:rsid w:val="00C21019"/>
    <w:rsid w:val="00C211F9"/>
    <w:rsid w:val="00C212FE"/>
    <w:rsid w:val="00C213B5"/>
    <w:rsid w:val="00C21409"/>
    <w:rsid w:val="00C21462"/>
    <w:rsid w:val="00C214F3"/>
    <w:rsid w:val="00C215C9"/>
    <w:rsid w:val="00C21625"/>
    <w:rsid w:val="00C2173A"/>
    <w:rsid w:val="00C21793"/>
    <w:rsid w:val="00C217CA"/>
    <w:rsid w:val="00C217F0"/>
    <w:rsid w:val="00C218D0"/>
    <w:rsid w:val="00C21942"/>
    <w:rsid w:val="00C219DB"/>
    <w:rsid w:val="00C21A2D"/>
    <w:rsid w:val="00C21A44"/>
    <w:rsid w:val="00C21B17"/>
    <w:rsid w:val="00C21B7C"/>
    <w:rsid w:val="00C21C94"/>
    <w:rsid w:val="00C21CA9"/>
    <w:rsid w:val="00C21DAD"/>
    <w:rsid w:val="00C21DCC"/>
    <w:rsid w:val="00C21F55"/>
    <w:rsid w:val="00C21F57"/>
    <w:rsid w:val="00C2208C"/>
    <w:rsid w:val="00C220D0"/>
    <w:rsid w:val="00C22196"/>
    <w:rsid w:val="00C221A0"/>
    <w:rsid w:val="00C22230"/>
    <w:rsid w:val="00C2225F"/>
    <w:rsid w:val="00C2226D"/>
    <w:rsid w:val="00C2228A"/>
    <w:rsid w:val="00C2229E"/>
    <w:rsid w:val="00C224D2"/>
    <w:rsid w:val="00C224F9"/>
    <w:rsid w:val="00C22594"/>
    <w:rsid w:val="00C226DB"/>
    <w:rsid w:val="00C228C0"/>
    <w:rsid w:val="00C228C3"/>
    <w:rsid w:val="00C22A87"/>
    <w:rsid w:val="00C22B1B"/>
    <w:rsid w:val="00C22BAD"/>
    <w:rsid w:val="00C22D31"/>
    <w:rsid w:val="00C22DCD"/>
    <w:rsid w:val="00C22EC5"/>
    <w:rsid w:val="00C22F40"/>
    <w:rsid w:val="00C22F47"/>
    <w:rsid w:val="00C22F73"/>
    <w:rsid w:val="00C22F8B"/>
    <w:rsid w:val="00C231B0"/>
    <w:rsid w:val="00C231DF"/>
    <w:rsid w:val="00C23271"/>
    <w:rsid w:val="00C232A6"/>
    <w:rsid w:val="00C232BF"/>
    <w:rsid w:val="00C233CC"/>
    <w:rsid w:val="00C23457"/>
    <w:rsid w:val="00C2345A"/>
    <w:rsid w:val="00C23664"/>
    <w:rsid w:val="00C23714"/>
    <w:rsid w:val="00C237AA"/>
    <w:rsid w:val="00C237EF"/>
    <w:rsid w:val="00C2380F"/>
    <w:rsid w:val="00C23825"/>
    <w:rsid w:val="00C2386D"/>
    <w:rsid w:val="00C23870"/>
    <w:rsid w:val="00C2387A"/>
    <w:rsid w:val="00C238AC"/>
    <w:rsid w:val="00C238E3"/>
    <w:rsid w:val="00C239E8"/>
    <w:rsid w:val="00C239FA"/>
    <w:rsid w:val="00C23ACC"/>
    <w:rsid w:val="00C23B43"/>
    <w:rsid w:val="00C23B82"/>
    <w:rsid w:val="00C23C6B"/>
    <w:rsid w:val="00C23CC0"/>
    <w:rsid w:val="00C23D0F"/>
    <w:rsid w:val="00C23EB3"/>
    <w:rsid w:val="00C24001"/>
    <w:rsid w:val="00C24015"/>
    <w:rsid w:val="00C24060"/>
    <w:rsid w:val="00C24062"/>
    <w:rsid w:val="00C241A4"/>
    <w:rsid w:val="00C2422D"/>
    <w:rsid w:val="00C24272"/>
    <w:rsid w:val="00C242C0"/>
    <w:rsid w:val="00C24382"/>
    <w:rsid w:val="00C243B8"/>
    <w:rsid w:val="00C24423"/>
    <w:rsid w:val="00C24448"/>
    <w:rsid w:val="00C244B5"/>
    <w:rsid w:val="00C24521"/>
    <w:rsid w:val="00C245A9"/>
    <w:rsid w:val="00C24661"/>
    <w:rsid w:val="00C24695"/>
    <w:rsid w:val="00C24765"/>
    <w:rsid w:val="00C2478D"/>
    <w:rsid w:val="00C2488A"/>
    <w:rsid w:val="00C248B6"/>
    <w:rsid w:val="00C248F2"/>
    <w:rsid w:val="00C24937"/>
    <w:rsid w:val="00C24938"/>
    <w:rsid w:val="00C24989"/>
    <w:rsid w:val="00C24A3C"/>
    <w:rsid w:val="00C24B17"/>
    <w:rsid w:val="00C24C45"/>
    <w:rsid w:val="00C24CC8"/>
    <w:rsid w:val="00C24DEC"/>
    <w:rsid w:val="00C24F3E"/>
    <w:rsid w:val="00C24F4E"/>
    <w:rsid w:val="00C24F71"/>
    <w:rsid w:val="00C24FAC"/>
    <w:rsid w:val="00C24FD2"/>
    <w:rsid w:val="00C2501A"/>
    <w:rsid w:val="00C25028"/>
    <w:rsid w:val="00C2503F"/>
    <w:rsid w:val="00C25155"/>
    <w:rsid w:val="00C251EE"/>
    <w:rsid w:val="00C2522E"/>
    <w:rsid w:val="00C25301"/>
    <w:rsid w:val="00C2531E"/>
    <w:rsid w:val="00C2532A"/>
    <w:rsid w:val="00C253A4"/>
    <w:rsid w:val="00C253FD"/>
    <w:rsid w:val="00C2548C"/>
    <w:rsid w:val="00C25542"/>
    <w:rsid w:val="00C256D9"/>
    <w:rsid w:val="00C25757"/>
    <w:rsid w:val="00C25787"/>
    <w:rsid w:val="00C258E8"/>
    <w:rsid w:val="00C258F2"/>
    <w:rsid w:val="00C25AE3"/>
    <w:rsid w:val="00C25B7E"/>
    <w:rsid w:val="00C25BA1"/>
    <w:rsid w:val="00C25C62"/>
    <w:rsid w:val="00C25CE4"/>
    <w:rsid w:val="00C25D42"/>
    <w:rsid w:val="00C25D56"/>
    <w:rsid w:val="00C25D91"/>
    <w:rsid w:val="00C25DB6"/>
    <w:rsid w:val="00C25DCC"/>
    <w:rsid w:val="00C25E5D"/>
    <w:rsid w:val="00C25F94"/>
    <w:rsid w:val="00C25FCB"/>
    <w:rsid w:val="00C26087"/>
    <w:rsid w:val="00C260AB"/>
    <w:rsid w:val="00C260F3"/>
    <w:rsid w:val="00C26146"/>
    <w:rsid w:val="00C2618B"/>
    <w:rsid w:val="00C261BA"/>
    <w:rsid w:val="00C261D0"/>
    <w:rsid w:val="00C26375"/>
    <w:rsid w:val="00C263E2"/>
    <w:rsid w:val="00C26443"/>
    <w:rsid w:val="00C2649A"/>
    <w:rsid w:val="00C265D7"/>
    <w:rsid w:val="00C26880"/>
    <w:rsid w:val="00C268DB"/>
    <w:rsid w:val="00C26995"/>
    <w:rsid w:val="00C269A9"/>
    <w:rsid w:val="00C269C8"/>
    <w:rsid w:val="00C26A55"/>
    <w:rsid w:val="00C26AB4"/>
    <w:rsid w:val="00C26AF1"/>
    <w:rsid w:val="00C26B13"/>
    <w:rsid w:val="00C26B1B"/>
    <w:rsid w:val="00C26B27"/>
    <w:rsid w:val="00C26B3A"/>
    <w:rsid w:val="00C26B3F"/>
    <w:rsid w:val="00C26B65"/>
    <w:rsid w:val="00C26C03"/>
    <w:rsid w:val="00C26C57"/>
    <w:rsid w:val="00C26CE8"/>
    <w:rsid w:val="00C26D36"/>
    <w:rsid w:val="00C26E03"/>
    <w:rsid w:val="00C26E18"/>
    <w:rsid w:val="00C26E1C"/>
    <w:rsid w:val="00C26E37"/>
    <w:rsid w:val="00C26E81"/>
    <w:rsid w:val="00C26EAB"/>
    <w:rsid w:val="00C26EB8"/>
    <w:rsid w:val="00C26EBE"/>
    <w:rsid w:val="00C26EEC"/>
    <w:rsid w:val="00C26EED"/>
    <w:rsid w:val="00C26F7F"/>
    <w:rsid w:val="00C27005"/>
    <w:rsid w:val="00C270DC"/>
    <w:rsid w:val="00C271BB"/>
    <w:rsid w:val="00C271F6"/>
    <w:rsid w:val="00C272C7"/>
    <w:rsid w:val="00C27344"/>
    <w:rsid w:val="00C273B2"/>
    <w:rsid w:val="00C274A6"/>
    <w:rsid w:val="00C274CF"/>
    <w:rsid w:val="00C274DD"/>
    <w:rsid w:val="00C27555"/>
    <w:rsid w:val="00C27572"/>
    <w:rsid w:val="00C27575"/>
    <w:rsid w:val="00C275D2"/>
    <w:rsid w:val="00C275E2"/>
    <w:rsid w:val="00C276C6"/>
    <w:rsid w:val="00C276D2"/>
    <w:rsid w:val="00C27869"/>
    <w:rsid w:val="00C27893"/>
    <w:rsid w:val="00C278A3"/>
    <w:rsid w:val="00C278D4"/>
    <w:rsid w:val="00C27915"/>
    <w:rsid w:val="00C27BB9"/>
    <w:rsid w:val="00C27C3A"/>
    <w:rsid w:val="00C27C43"/>
    <w:rsid w:val="00C27CDA"/>
    <w:rsid w:val="00C27CE5"/>
    <w:rsid w:val="00C27D88"/>
    <w:rsid w:val="00C27DB1"/>
    <w:rsid w:val="00C27E67"/>
    <w:rsid w:val="00C27E8B"/>
    <w:rsid w:val="00C27EA3"/>
    <w:rsid w:val="00C27EBD"/>
    <w:rsid w:val="00C27EF7"/>
    <w:rsid w:val="00C27EFC"/>
    <w:rsid w:val="00C27F56"/>
    <w:rsid w:val="00C3009E"/>
    <w:rsid w:val="00C300B2"/>
    <w:rsid w:val="00C300D1"/>
    <w:rsid w:val="00C30179"/>
    <w:rsid w:val="00C301A4"/>
    <w:rsid w:val="00C301DD"/>
    <w:rsid w:val="00C30214"/>
    <w:rsid w:val="00C30227"/>
    <w:rsid w:val="00C302CD"/>
    <w:rsid w:val="00C303B2"/>
    <w:rsid w:val="00C30411"/>
    <w:rsid w:val="00C30468"/>
    <w:rsid w:val="00C3048D"/>
    <w:rsid w:val="00C304F3"/>
    <w:rsid w:val="00C30526"/>
    <w:rsid w:val="00C30723"/>
    <w:rsid w:val="00C30768"/>
    <w:rsid w:val="00C308C0"/>
    <w:rsid w:val="00C30941"/>
    <w:rsid w:val="00C30990"/>
    <w:rsid w:val="00C309E5"/>
    <w:rsid w:val="00C30A41"/>
    <w:rsid w:val="00C30ADA"/>
    <w:rsid w:val="00C30AFC"/>
    <w:rsid w:val="00C30BB3"/>
    <w:rsid w:val="00C30C65"/>
    <w:rsid w:val="00C30C7A"/>
    <w:rsid w:val="00C30D02"/>
    <w:rsid w:val="00C30D1C"/>
    <w:rsid w:val="00C30D91"/>
    <w:rsid w:val="00C30EBD"/>
    <w:rsid w:val="00C30EC3"/>
    <w:rsid w:val="00C30F18"/>
    <w:rsid w:val="00C30FD0"/>
    <w:rsid w:val="00C31000"/>
    <w:rsid w:val="00C3107B"/>
    <w:rsid w:val="00C3113E"/>
    <w:rsid w:val="00C31193"/>
    <w:rsid w:val="00C31195"/>
    <w:rsid w:val="00C31203"/>
    <w:rsid w:val="00C31277"/>
    <w:rsid w:val="00C3128B"/>
    <w:rsid w:val="00C3129C"/>
    <w:rsid w:val="00C3142D"/>
    <w:rsid w:val="00C3145A"/>
    <w:rsid w:val="00C314CF"/>
    <w:rsid w:val="00C314E9"/>
    <w:rsid w:val="00C31595"/>
    <w:rsid w:val="00C315A7"/>
    <w:rsid w:val="00C315E5"/>
    <w:rsid w:val="00C317B6"/>
    <w:rsid w:val="00C317BE"/>
    <w:rsid w:val="00C317EC"/>
    <w:rsid w:val="00C31881"/>
    <w:rsid w:val="00C319D0"/>
    <w:rsid w:val="00C31A9A"/>
    <w:rsid w:val="00C31AC5"/>
    <w:rsid w:val="00C31B84"/>
    <w:rsid w:val="00C31B94"/>
    <w:rsid w:val="00C31C94"/>
    <w:rsid w:val="00C31DBA"/>
    <w:rsid w:val="00C31F2A"/>
    <w:rsid w:val="00C31F90"/>
    <w:rsid w:val="00C31FEB"/>
    <w:rsid w:val="00C31FF9"/>
    <w:rsid w:val="00C32041"/>
    <w:rsid w:val="00C32049"/>
    <w:rsid w:val="00C32151"/>
    <w:rsid w:val="00C32182"/>
    <w:rsid w:val="00C3218A"/>
    <w:rsid w:val="00C321D3"/>
    <w:rsid w:val="00C32272"/>
    <w:rsid w:val="00C322BA"/>
    <w:rsid w:val="00C3232E"/>
    <w:rsid w:val="00C3238D"/>
    <w:rsid w:val="00C323EA"/>
    <w:rsid w:val="00C3242E"/>
    <w:rsid w:val="00C3250B"/>
    <w:rsid w:val="00C32537"/>
    <w:rsid w:val="00C32547"/>
    <w:rsid w:val="00C32582"/>
    <w:rsid w:val="00C325FF"/>
    <w:rsid w:val="00C32675"/>
    <w:rsid w:val="00C326C3"/>
    <w:rsid w:val="00C326CB"/>
    <w:rsid w:val="00C3278C"/>
    <w:rsid w:val="00C3279F"/>
    <w:rsid w:val="00C32806"/>
    <w:rsid w:val="00C32812"/>
    <w:rsid w:val="00C32898"/>
    <w:rsid w:val="00C32930"/>
    <w:rsid w:val="00C3298F"/>
    <w:rsid w:val="00C329A7"/>
    <w:rsid w:val="00C329B9"/>
    <w:rsid w:val="00C329FD"/>
    <w:rsid w:val="00C32A23"/>
    <w:rsid w:val="00C32DF7"/>
    <w:rsid w:val="00C32E64"/>
    <w:rsid w:val="00C32F87"/>
    <w:rsid w:val="00C32FE5"/>
    <w:rsid w:val="00C3307F"/>
    <w:rsid w:val="00C330F0"/>
    <w:rsid w:val="00C331B8"/>
    <w:rsid w:val="00C33205"/>
    <w:rsid w:val="00C33401"/>
    <w:rsid w:val="00C33423"/>
    <w:rsid w:val="00C33629"/>
    <w:rsid w:val="00C336F8"/>
    <w:rsid w:val="00C33789"/>
    <w:rsid w:val="00C337C4"/>
    <w:rsid w:val="00C337E1"/>
    <w:rsid w:val="00C33A34"/>
    <w:rsid w:val="00C33A70"/>
    <w:rsid w:val="00C33AB6"/>
    <w:rsid w:val="00C33ADA"/>
    <w:rsid w:val="00C33AF1"/>
    <w:rsid w:val="00C33B47"/>
    <w:rsid w:val="00C33B76"/>
    <w:rsid w:val="00C33BB7"/>
    <w:rsid w:val="00C33BED"/>
    <w:rsid w:val="00C33C20"/>
    <w:rsid w:val="00C33CEC"/>
    <w:rsid w:val="00C33E02"/>
    <w:rsid w:val="00C33E2B"/>
    <w:rsid w:val="00C33E77"/>
    <w:rsid w:val="00C33EAC"/>
    <w:rsid w:val="00C33F5E"/>
    <w:rsid w:val="00C33FAE"/>
    <w:rsid w:val="00C3408A"/>
    <w:rsid w:val="00C340D4"/>
    <w:rsid w:val="00C34123"/>
    <w:rsid w:val="00C3419F"/>
    <w:rsid w:val="00C341F9"/>
    <w:rsid w:val="00C34244"/>
    <w:rsid w:val="00C342F5"/>
    <w:rsid w:val="00C34401"/>
    <w:rsid w:val="00C34443"/>
    <w:rsid w:val="00C3449A"/>
    <w:rsid w:val="00C344E5"/>
    <w:rsid w:val="00C344EA"/>
    <w:rsid w:val="00C345F9"/>
    <w:rsid w:val="00C3463E"/>
    <w:rsid w:val="00C34700"/>
    <w:rsid w:val="00C34743"/>
    <w:rsid w:val="00C347F1"/>
    <w:rsid w:val="00C34867"/>
    <w:rsid w:val="00C348DF"/>
    <w:rsid w:val="00C34901"/>
    <w:rsid w:val="00C34909"/>
    <w:rsid w:val="00C3498D"/>
    <w:rsid w:val="00C349B0"/>
    <w:rsid w:val="00C349D5"/>
    <w:rsid w:val="00C34A8A"/>
    <w:rsid w:val="00C34AA0"/>
    <w:rsid w:val="00C34B08"/>
    <w:rsid w:val="00C34B22"/>
    <w:rsid w:val="00C34BC1"/>
    <w:rsid w:val="00C34BF8"/>
    <w:rsid w:val="00C34CD3"/>
    <w:rsid w:val="00C34DAB"/>
    <w:rsid w:val="00C34DE0"/>
    <w:rsid w:val="00C34E16"/>
    <w:rsid w:val="00C34E74"/>
    <w:rsid w:val="00C34ED2"/>
    <w:rsid w:val="00C34F48"/>
    <w:rsid w:val="00C34F67"/>
    <w:rsid w:val="00C34FAC"/>
    <w:rsid w:val="00C3502D"/>
    <w:rsid w:val="00C350FF"/>
    <w:rsid w:val="00C35144"/>
    <w:rsid w:val="00C351FA"/>
    <w:rsid w:val="00C35218"/>
    <w:rsid w:val="00C35286"/>
    <w:rsid w:val="00C35321"/>
    <w:rsid w:val="00C3533E"/>
    <w:rsid w:val="00C35360"/>
    <w:rsid w:val="00C35406"/>
    <w:rsid w:val="00C3542B"/>
    <w:rsid w:val="00C35431"/>
    <w:rsid w:val="00C354D1"/>
    <w:rsid w:val="00C354E5"/>
    <w:rsid w:val="00C35566"/>
    <w:rsid w:val="00C3557E"/>
    <w:rsid w:val="00C35591"/>
    <w:rsid w:val="00C35602"/>
    <w:rsid w:val="00C3564F"/>
    <w:rsid w:val="00C356AB"/>
    <w:rsid w:val="00C3577F"/>
    <w:rsid w:val="00C35863"/>
    <w:rsid w:val="00C35A76"/>
    <w:rsid w:val="00C35AAE"/>
    <w:rsid w:val="00C35AC9"/>
    <w:rsid w:val="00C35B00"/>
    <w:rsid w:val="00C35B3E"/>
    <w:rsid w:val="00C35B85"/>
    <w:rsid w:val="00C35B98"/>
    <w:rsid w:val="00C35C94"/>
    <w:rsid w:val="00C35CB5"/>
    <w:rsid w:val="00C35D52"/>
    <w:rsid w:val="00C35DC4"/>
    <w:rsid w:val="00C35DCC"/>
    <w:rsid w:val="00C35EE2"/>
    <w:rsid w:val="00C35EE6"/>
    <w:rsid w:val="00C35EE9"/>
    <w:rsid w:val="00C3619E"/>
    <w:rsid w:val="00C361B5"/>
    <w:rsid w:val="00C3620F"/>
    <w:rsid w:val="00C36262"/>
    <w:rsid w:val="00C36384"/>
    <w:rsid w:val="00C363E4"/>
    <w:rsid w:val="00C363FA"/>
    <w:rsid w:val="00C3643A"/>
    <w:rsid w:val="00C3657C"/>
    <w:rsid w:val="00C3658A"/>
    <w:rsid w:val="00C365C0"/>
    <w:rsid w:val="00C366A2"/>
    <w:rsid w:val="00C36740"/>
    <w:rsid w:val="00C3688B"/>
    <w:rsid w:val="00C36AB1"/>
    <w:rsid w:val="00C36AF8"/>
    <w:rsid w:val="00C36B58"/>
    <w:rsid w:val="00C36BA3"/>
    <w:rsid w:val="00C36BC7"/>
    <w:rsid w:val="00C36C7F"/>
    <w:rsid w:val="00C36D3B"/>
    <w:rsid w:val="00C36EAF"/>
    <w:rsid w:val="00C36ECE"/>
    <w:rsid w:val="00C36EF8"/>
    <w:rsid w:val="00C36FA1"/>
    <w:rsid w:val="00C36FA9"/>
    <w:rsid w:val="00C36FE4"/>
    <w:rsid w:val="00C37039"/>
    <w:rsid w:val="00C37060"/>
    <w:rsid w:val="00C3707C"/>
    <w:rsid w:val="00C370CD"/>
    <w:rsid w:val="00C37130"/>
    <w:rsid w:val="00C37216"/>
    <w:rsid w:val="00C37255"/>
    <w:rsid w:val="00C3729B"/>
    <w:rsid w:val="00C37363"/>
    <w:rsid w:val="00C3738F"/>
    <w:rsid w:val="00C37390"/>
    <w:rsid w:val="00C373A6"/>
    <w:rsid w:val="00C37673"/>
    <w:rsid w:val="00C37687"/>
    <w:rsid w:val="00C37704"/>
    <w:rsid w:val="00C37761"/>
    <w:rsid w:val="00C3778C"/>
    <w:rsid w:val="00C377B8"/>
    <w:rsid w:val="00C377CA"/>
    <w:rsid w:val="00C37812"/>
    <w:rsid w:val="00C3786B"/>
    <w:rsid w:val="00C37970"/>
    <w:rsid w:val="00C3797B"/>
    <w:rsid w:val="00C379BE"/>
    <w:rsid w:val="00C37AEA"/>
    <w:rsid w:val="00C37B0F"/>
    <w:rsid w:val="00C37B61"/>
    <w:rsid w:val="00C37B7C"/>
    <w:rsid w:val="00C37B8A"/>
    <w:rsid w:val="00C37C6B"/>
    <w:rsid w:val="00C37D4E"/>
    <w:rsid w:val="00C37D50"/>
    <w:rsid w:val="00C37D78"/>
    <w:rsid w:val="00C37DB2"/>
    <w:rsid w:val="00C37DB4"/>
    <w:rsid w:val="00C37E71"/>
    <w:rsid w:val="00C37EEE"/>
    <w:rsid w:val="00C37F18"/>
    <w:rsid w:val="00C37F49"/>
    <w:rsid w:val="00C37F74"/>
    <w:rsid w:val="00C37F77"/>
    <w:rsid w:val="00C37F7A"/>
    <w:rsid w:val="00C37FA9"/>
    <w:rsid w:val="00C37FC7"/>
    <w:rsid w:val="00C37FE6"/>
    <w:rsid w:val="00C4002F"/>
    <w:rsid w:val="00C4003D"/>
    <w:rsid w:val="00C4010C"/>
    <w:rsid w:val="00C40257"/>
    <w:rsid w:val="00C40282"/>
    <w:rsid w:val="00C402DF"/>
    <w:rsid w:val="00C40309"/>
    <w:rsid w:val="00C4031D"/>
    <w:rsid w:val="00C4032B"/>
    <w:rsid w:val="00C40365"/>
    <w:rsid w:val="00C4037D"/>
    <w:rsid w:val="00C40420"/>
    <w:rsid w:val="00C40423"/>
    <w:rsid w:val="00C40570"/>
    <w:rsid w:val="00C405DA"/>
    <w:rsid w:val="00C405DE"/>
    <w:rsid w:val="00C40642"/>
    <w:rsid w:val="00C40664"/>
    <w:rsid w:val="00C4069C"/>
    <w:rsid w:val="00C406C9"/>
    <w:rsid w:val="00C406DA"/>
    <w:rsid w:val="00C4081B"/>
    <w:rsid w:val="00C40899"/>
    <w:rsid w:val="00C408BC"/>
    <w:rsid w:val="00C408CB"/>
    <w:rsid w:val="00C408CE"/>
    <w:rsid w:val="00C40943"/>
    <w:rsid w:val="00C409A0"/>
    <w:rsid w:val="00C409B8"/>
    <w:rsid w:val="00C40A90"/>
    <w:rsid w:val="00C40B24"/>
    <w:rsid w:val="00C40C2D"/>
    <w:rsid w:val="00C40C5C"/>
    <w:rsid w:val="00C40C6C"/>
    <w:rsid w:val="00C40CD2"/>
    <w:rsid w:val="00C40D70"/>
    <w:rsid w:val="00C40D9C"/>
    <w:rsid w:val="00C40EAF"/>
    <w:rsid w:val="00C40EE2"/>
    <w:rsid w:val="00C40F68"/>
    <w:rsid w:val="00C40FB9"/>
    <w:rsid w:val="00C410A5"/>
    <w:rsid w:val="00C4112E"/>
    <w:rsid w:val="00C411B4"/>
    <w:rsid w:val="00C4128E"/>
    <w:rsid w:val="00C412B6"/>
    <w:rsid w:val="00C41327"/>
    <w:rsid w:val="00C41350"/>
    <w:rsid w:val="00C41379"/>
    <w:rsid w:val="00C4137C"/>
    <w:rsid w:val="00C413BB"/>
    <w:rsid w:val="00C413E2"/>
    <w:rsid w:val="00C41410"/>
    <w:rsid w:val="00C41464"/>
    <w:rsid w:val="00C41496"/>
    <w:rsid w:val="00C4150A"/>
    <w:rsid w:val="00C41517"/>
    <w:rsid w:val="00C4151B"/>
    <w:rsid w:val="00C415B9"/>
    <w:rsid w:val="00C4160C"/>
    <w:rsid w:val="00C41613"/>
    <w:rsid w:val="00C4161A"/>
    <w:rsid w:val="00C4163F"/>
    <w:rsid w:val="00C41667"/>
    <w:rsid w:val="00C416D9"/>
    <w:rsid w:val="00C41750"/>
    <w:rsid w:val="00C417D0"/>
    <w:rsid w:val="00C4183C"/>
    <w:rsid w:val="00C4187B"/>
    <w:rsid w:val="00C41920"/>
    <w:rsid w:val="00C41925"/>
    <w:rsid w:val="00C41976"/>
    <w:rsid w:val="00C41A0E"/>
    <w:rsid w:val="00C41A98"/>
    <w:rsid w:val="00C41AC0"/>
    <w:rsid w:val="00C41B2A"/>
    <w:rsid w:val="00C41B66"/>
    <w:rsid w:val="00C41B73"/>
    <w:rsid w:val="00C41C03"/>
    <w:rsid w:val="00C41C5C"/>
    <w:rsid w:val="00C41D69"/>
    <w:rsid w:val="00C41E36"/>
    <w:rsid w:val="00C41E66"/>
    <w:rsid w:val="00C41EA0"/>
    <w:rsid w:val="00C41EAB"/>
    <w:rsid w:val="00C41EC8"/>
    <w:rsid w:val="00C41EF4"/>
    <w:rsid w:val="00C41F16"/>
    <w:rsid w:val="00C41F30"/>
    <w:rsid w:val="00C41F3A"/>
    <w:rsid w:val="00C42012"/>
    <w:rsid w:val="00C42013"/>
    <w:rsid w:val="00C4202F"/>
    <w:rsid w:val="00C42038"/>
    <w:rsid w:val="00C4208A"/>
    <w:rsid w:val="00C42122"/>
    <w:rsid w:val="00C42167"/>
    <w:rsid w:val="00C4219C"/>
    <w:rsid w:val="00C421B5"/>
    <w:rsid w:val="00C421CB"/>
    <w:rsid w:val="00C42304"/>
    <w:rsid w:val="00C42334"/>
    <w:rsid w:val="00C424BF"/>
    <w:rsid w:val="00C42512"/>
    <w:rsid w:val="00C4266A"/>
    <w:rsid w:val="00C426A3"/>
    <w:rsid w:val="00C42708"/>
    <w:rsid w:val="00C427B6"/>
    <w:rsid w:val="00C428AE"/>
    <w:rsid w:val="00C42941"/>
    <w:rsid w:val="00C429A0"/>
    <w:rsid w:val="00C429C1"/>
    <w:rsid w:val="00C42A4C"/>
    <w:rsid w:val="00C42A4D"/>
    <w:rsid w:val="00C42A67"/>
    <w:rsid w:val="00C42A71"/>
    <w:rsid w:val="00C42AB3"/>
    <w:rsid w:val="00C42BB7"/>
    <w:rsid w:val="00C42BEC"/>
    <w:rsid w:val="00C42D60"/>
    <w:rsid w:val="00C42D84"/>
    <w:rsid w:val="00C42DA3"/>
    <w:rsid w:val="00C42DAF"/>
    <w:rsid w:val="00C42E6D"/>
    <w:rsid w:val="00C42F06"/>
    <w:rsid w:val="00C42F1B"/>
    <w:rsid w:val="00C43102"/>
    <w:rsid w:val="00C43144"/>
    <w:rsid w:val="00C43152"/>
    <w:rsid w:val="00C43193"/>
    <w:rsid w:val="00C431B8"/>
    <w:rsid w:val="00C4325C"/>
    <w:rsid w:val="00C432EC"/>
    <w:rsid w:val="00C43332"/>
    <w:rsid w:val="00C4339E"/>
    <w:rsid w:val="00C434C0"/>
    <w:rsid w:val="00C434F1"/>
    <w:rsid w:val="00C43512"/>
    <w:rsid w:val="00C43582"/>
    <w:rsid w:val="00C43631"/>
    <w:rsid w:val="00C43700"/>
    <w:rsid w:val="00C4372D"/>
    <w:rsid w:val="00C43778"/>
    <w:rsid w:val="00C43792"/>
    <w:rsid w:val="00C438DD"/>
    <w:rsid w:val="00C4390A"/>
    <w:rsid w:val="00C4395B"/>
    <w:rsid w:val="00C439B7"/>
    <w:rsid w:val="00C43A49"/>
    <w:rsid w:val="00C43A4D"/>
    <w:rsid w:val="00C43B80"/>
    <w:rsid w:val="00C43BBB"/>
    <w:rsid w:val="00C43C7B"/>
    <w:rsid w:val="00C43CB6"/>
    <w:rsid w:val="00C43D46"/>
    <w:rsid w:val="00C43D79"/>
    <w:rsid w:val="00C43E65"/>
    <w:rsid w:val="00C43F40"/>
    <w:rsid w:val="00C43F55"/>
    <w:rsid w:val="00C43F71"/>
    <w:rsid w:val="00C44199"/>
    <w:rsid w:val="00C441FB"/>
    <w:rsid w:val="00C442EC"/>
    <w:rsid w:val="00C44445"/>
    <w:rsid w:val="00C44456"/>
    <w:rsid w:val="00C44488"/>
    <w:rsid w:val="00C444FA"/>
    <w:rsid w:val="00C44511"/>
    <w:rsid w:val="00C44544"/>
    <w:rsid w:val="00C4459C"/>
    <w:rsid w:val="00C445FF"/>
    <w:rsid w:val="00C4462A"/>
    <w:rsid w:val="00C44644"/>
    <w:rsid w:val="00C4464D"/>
    <w:rsid w:val="00C4478D"/>
    <w:rsid w:val="00C4481E"/>
    <w:rsid w:val="00C44834"/>
    <w:rsid w:val="00C44836"/>
    <w:rsid w:val="00C44863"/>
    <w:rsid w:val="00C4499A"/>
    <w:rsid w:val="00C44B60"/>
    <w:rsid w:val="00C44BBC"/>
    <w:rsid w:val="00C44C02"/>
    <w:rsid w:val="00C44C4B"/>
    <w:rsid w:val="00C44D43"/>
    <w:rsid w:val="00C44D97"/>
    <w:rsid w:val="00C44DE5"/>
    <w:rsid w:val="00C44DF2"/>
    <w:rsid w:val="00C44E2B"/>
    <w:rsid w:val="00C4500E"/>
    <w:rsid w:val="00C45015"/>
    <w:rsid w:val="00C4501F"/>
    <w:rsid w:val="00C45020"/>
    <w:rsid w:val="00C45023"/>
    <w:rsid w:val="00C45049"/>
    <w:rsid w:val="00C4525B"/>
    <w:rsid w:val="00C4528F"/>
    <w:rsid w:val="00C45397"/>
    <w:rsid w:val="00C453BC"/>
    <w:rsid w:val="00C453D1"/>
    <w:rsid w:val="00C453D9"/>
    <w:rsid w:val="00C4552B"/>
    <w:rsid w:val="00C4557E"/>
    <w:rsid w:val="00C455E5"/>
    <w:rsid w:val="00C45670"/>
    <w:rsid w:val="00C45685"/>
    <w:rsid w:val="00C45695"/>
    <w:rsid w:val="00C45724"/>
    <w:rsid w:val="00C45737"/>
    <w:rsid w:val="00C4581F"/>
    <w:rsid w:val="00C45864"/>
    <w:rsid w:val="00C45890"/>
    <w:rsid w:val="00C45899"/>
    <w:rsid w:val="00C458B5"/>
    <w:rsid w:val="00C459EF"/>
    <w:rsid w:val="00C45A48"/>
    <w:rsid w:val="00C45A5F"/>
    <w:rsid w:val="00C45A82"/>
    <w:rsid w:val="00C45BB1"/>
    <w:rsid w:val="00C45CDE"/>
    <w:rsid w:val="00C45D5F"/>
    <w:rsid w:val="00C45E79"/>
    <w:rsid w:val="00C45ECD"/>
    <w:rsid w:val="00C45F4F"/>
    <w:rsid w:val="00C45F68"/>
    <w:rsid w:val="00C4604F"/>
    <w:rsid w:val="00C46217"/>
    <w:rsid w:val="00C46260"/>
    <w:rsid w:val="00C4630F"/>
    <w:rsid w:val="00C463AF"/>
    <w:rsid w:val="00C463B2"/>
    <w:rsid w:val="00C4651C"/>
    <w:rsid w:val="00C46538"/>
    <w:rsid w:val="00C4655C"/>
    <w:rsid w:val="00C46584"/>
    <w:rsid w:val="00C466BE"/>
    <w:rsid w:val="00C467D4"/>
    <w:rsid w:val="00C4684D"/>
    <w:rsid w:val="00C46905"/>
    <w:rsid w:val="00C46926"/>
    <w:rsid w:val="00C469A4"/>
    <w:rsid w:val="00C469AE"/>
    <w:rsid w:val="00C46A0C"/>
    <w:rsid w:val="00C46AC6"/>
    <w:rsid w:val="00C46AD2"/>
    <w:rsid w:val="00C46C3B"/>
    <w:rsid w:val="00C46CEA"/>
    <w:rsid w:val="00C46DA6"/>
    <w:rsid w:val="00C46DCD"/>
    <w:rsid w:val="00C46E74"/>
    <w:rsid w:val="00C46F39"/>
    <w:rsid w:val="00C46F77"/>
    <w:rsid w:val="00C46FDD"/>
    <w:rsid w:val="00C4704A"/>
    <w:rsid w:val="00C47121"/>
    <w:rsid w:val="00C47125"/>
    <w:rsid w:val="00C471B0"/>
    <w:rsid w:val="00C4723A"/>
    <w:rsid w:val="00C47244"/>
    <w:rsid w:val="00C473DA"/>
    <w:rsid w:val="00C47461"/>
    <w:rsid w:val="00C4748E"/>
    <w:rsid w:val="00C474A6"/>
    <w:rsid w:val="00C475D6"/>
    <w:rsid w:val="00C47694"/>
    <w:rsid w:val="00C4769E"/>
    <w:rsid w:val="00C476DE"/>
    <w:rsid w:val="00C476E8"/>
    <w:rsid w:val="00C47754"/>
    <w:rsid w:val="00C47790"/>
    <w:rsid w:val="00C477A1"/>
    <w:rsid w:val="00C477DC"/>
    <w:rsid w:val="00C477F4"/>
    <w:rsid w:val="00C47810"/>
    <w:rsid w:val="00C47890"/>
    <w:rsid w:val="00C478BC"/>
    <w:rsid w:val="00C478C8"/>
    <w:rsid w:val="00C47939"/>
    <w:rsid w:val="00C47943"/>
    <w:rsid w:val="00C4795E"/>
    <w:rsid w:val="00C47C65"/>
    <w:rsid w:val="00C47CB0"/>
    <w:rsid w:val="00C47D0A"/>
    <w:rsid w:val="00C47DD0"/>
    <w:rsid w:val="00C47E9D"/>
    <w:rsid w:val="00C5006D"/>
    <w:rsid w:val="00C500D3"/>
    <w:rsid w:val="00C50131"/>
    <w:rsid w:val="00C50150"/>
    <w:rsid w:val="00C50240"/>
    <w:rsid w:val="00C50262"/>
    <w:rsid w:val="00C50308"/>
    <w:rsid w:val="00C5034E"/>
    <w:rsid w:val="00C50374"/>
    <w:rsid w:val="00C503F6"/>
    <w:rsid w:val="00C5047B"/>
    <w:rsid w:val="00C504F3"/>
    <w:rsid w:val="00C5054D"/>
    <w:rsid w:val="00C505F2"/>
    <w:rsid w:val="00C506C6"/>
    <w:rsid w:val="00C50746"/>
    <w:rsid w:val="00C50817"/>
    <w:rsid w:val="00C50823"/>
    <w:rsid w:val="00C50835"/>
    <w:rsid w:val="00C508B1"/>
    <w:rsid w:val="00C50920"/>
    <w:rsid w:val="00C50AEF"/>
    <w:rsid w:val="00C50B23"/>
    <w:rsid w:val="00C50B86"/>
    <w:rsid w:val="00C50BAA"/>
    <w:rsid w:val="00C50BB6"/>
    <w:rsid w:val="00C50BFD"/>
    <w:rsid w:val="00C50C06"/>
    <w:rsid w:val="00C50C14"/>
    <w:rsid w:val="00C50C55"/>
    <w:rsid w:val="00C50D0A"/>
    <w:rsid w:val="00C50DAD"/>
    <w:rsid w:val="00C50DCA"/>
    <w:rsid w:val="00C50E29"/>
    <w:rsid w:val="00C50E69"/>
    <w:rsid w:val="00C50E7F"/>
    <w:rsid w:val="00C50FF0"/>
    <w:rsid w:val="00C510B2"/>
    <w:rsid w:val="00C510D4"/>
    <w:rsid w:val="00C51115"/>
    <w:rsid w:val="00C51193"/>
    <w:rsid w:val="00C51197"/>
    <w:rsid w:val="00C511CB"/>
    <w:rsid w:val="00C5134F"/>
    <w:rsid w:val="00C51479"/>
    <w:rsid w:val="00C51498"/>
    <w:rsid w:val="00C514CD"/>
    <w:rsid w:val="00C51518"/>
    <w:rsid w:val="00C515AB"/>
    <w:rsid w:val="00C515B5"/>
    <w:rsid w:val="00C51601"/>
    <w:rsid w:val="00C5162E"/>
    <w:rsid w:val="00C5163C"/>
    <w:rsid w:val="00C51658"/>
    <w:rsid w:val="00C516BF"/>
    <w:rsid w:val="00C51803"/>
    <w:rsid w:val="00C51822"/>
    <w:rsid w:val="00C5188C"/>
    <w:rsid w:val="00C5188D"/>
    <w:rsid w:val="00C518FC"/>
    <w:rsid w:val="00C51948"/>
    <w:rsid w:val="00C51964"/>
    <w:rsid w:val="00C5196A"/>
    <w:rsid w:val="00C519A0"/>
    <w:rsid w:val="00C51A47"/>
    <w:rsid w:val="00C51A6B"/>
    <w:rsid w:val="00C51A71"/>
    <w:rsid w:val="00C51AA4"/>
    <w:rsid w:val="00C51B42"/>
    <w:rsid w:val="00C51BE1"/>
    <w:rsid w:val="00C51BF1"/>
    <w:rsid w:val="00C51C23"/>
    <w:rsid w:val="00C51C52"/>
    <w:rsid w:val="00C51C65"/>
    <w:rsid w:val="00C51CAF"/>
    <w:rsid w:val="00C51D2F"/>
    <w:rsid w:val="00C51E89"/>
    <w:rsid w:val="00C51E9B"/>
    <w:rsid w:val="00C51F86"/>
    <w:rsid w:val="00C5202B"/>
    <w:rsid w:val="00C5207E"/>
    <w:rsid w:val="00C5214A"/>
    <w:rsid w:val="00C52174"/>
    <w:rsid w:val="00C5241D"/>
    <w:rsid w:val="00C525DD"/>
    <w:rsid w:val="00C52621"/>
    <w:rsid w:val="00C5274B"/>
    <w:rsid w:val="00C527D6"/>
    <w:rsid w:val="00C5286D"/>
    <w:rsid w:val="00C52892"/>
    <w:rsid w:val="00C528AB"/>
    <w:rsid w:val="00C529CF"/>
    <w:rsid w:val="00C52BB6"/>
    <w:rsid w:val="00C52BDA"/>
    <w:rsid w:val="00C52BF7"/>
    <w:rsid w:val="00C52C65"/>
    <w:rsid w:val="00C52E24"/>
    <w:rsid w:val="00C52F87"/>
    <w:rsid w:val="00C52F96"/>
    <w:rsid w:val="00C52FD7"/>
    <w:rsid w:val="00C53097"/>
    <w:rsid w:val="00C5309F"/>
    <w:rsid w:val="00C53301"/>
    <w:rsid w:val="00C5331E"/>
    <w:rsid w:val="00C5333A"/>
    <w:rsid w:val="00C5334F"/>
    <w:rsid w:val="00C5341F"/>
    <w:rsid w:val="00C53438"/>
    <w:rsid w:val="00C53447"/>
    <w:rsid w:val="00C534A4"/>
    <w:rsid w:val="00C5358D"/>
    <w:rsid w:val="00C535BF"/>
    <w:rsid w:val="00C535E0"/>
    <w:rsid w:val="00C53610"/>
    <w:rsid w:val="00C5367A"/>
    <w:rsid w:val="00C53680"/>
    <w:rsid w:val="00C53697"/>
    <w:rsid w:val="00C536B6"/>
    <w:rsid w:val="00C536BA"/>
    <w:rsid w:val="00C53740"/>
    <w:rsid w:val="00C5380D"/>
    <w:rsid w:val="00C53845"/>
    <w:rsid w:val="00C5388A"/>
    <w:rsid w:val="00C5389E"/>
    <w:rsid w:val="00C538C2"/>
    <w:rsid w:val="00C538C5"/>
    <w:rsid w:val="00C53911"/>
    <w:rsid w:val="00C53968"/>
    <w:rsid w:val="00C53A68"/>
    <w:rsid w:val="00C53BBF"/>
    <w:rsid w:val="00C53BC8"/>
    <w:rsid w:val="00C53C41"/>
    <w:rsid w:val="00C53CC5"/>
    <w:rsid w:val="00C53D67"/>
    <w:rsid w:val="00C53E36"/>
    <w:rsid w:val="00C53ED3"/>
    <w:rsid w:val="00C53F3B"/>
    <w:rsid w:val="00C53F95"/>
    <w:rsid w:val="00C53FCF"/>
    <w:rsid w:val="00C54021"/>
    <w:rsid w:val="00C54075"/>
    <w:rsid w:val="00C5409E"/>
    <w:rsid w:val="00C54128"/>
    <w:rsid w:val="00C542C3"/>
    <w:rsid w:val="00C5433A"/>
    <w:rsid w:val="00C5433E"/>
    <w:rsid w:val="00C54483"/>
    <w:rsid w:val="00C54495"/>
    <w:rsid w:val="00C544AD"/>
    <w:rsid w:val="00C546CE"/>
    <w:rsid w:val="00C54790"/>
    <w:rsid w:val="00C547E4"/>
    <w:rsid w:val="00C5481F"/>
    <w:rsid w:val="00C54852"/>
    <w:rsid w:val="00C548B1"/>
    <w:rsid w:val="00C54A03"/>
    <w:rsid w:val="00C54A20"/>
    <w:rsid w:val="00C54B0E"/>
    <w:rsid w:val="00C54B9D"/>
    <w:rsid w:val="00C54C40"/>
    <w:rsid w:val="00C54D6B"/>
    <w:rsid w:val="00C54DE6"/>
    <w:rsid w:val="00C54E2B"/>
    <w:rsid w:val="00C54E3E"/>
    <w:rsid w:val="00C54E77"/>
    <w:rsid w:val="00C54E94"/>
    <w:rsid w:val="00C54F5A"/>
    <w:rsid w:val="00C5512B"/>
    <w:rsid w:val="00C5514F"/>
    <w:rsid w:val="00C5515C"/>
    <w:rsid w:val="00C551A1"/>
    <w:rsid w:val="00C551D3"/>
    <w:rsid w:val="00C55202"/>
    <w:rsid w:val="00C552D7"/>
    <w:rsid w:val="00C553B0"/>
    <w:rsid w:val="00C553FB"/>
    <w:rsid w:val="00C554AA"/>
    <w:rsid w:val="00C554B5"/>
    <w:rsid w:val="00C55534"/>
    <w:rsid w:val="00C55536"/>
    <w:rsid w:val="00C555FF"/>
    <w:rsid w:val="00C5567D"/>
    <w:rsid w:val="00C55755"/>
    <w:rsid w:val="00C557DD"/>
    <w:rsid w:val="00C557FD"/>
    <w:rsid w:val="00C558A1"/>
    <w:rsid w:val="00C558D9"/>
    <w:rsid w:val="00C558E6"/>
    <w:rsid w:val="00C5595A"/>
    <w:rsid w:val="00C5597E"/>
    <w:rsid w:val="00C5599C"/>
    <w:rsid w:val="00C55AF5"/>
    <w:rsid w:val="00C55D69"/>
    <w:rsid w:val="00C55F8D"/>
    <w:rsid w:val="00C55F9D"/>
    <w:rsid w:val="00C55FC6"/>
    <w:rsid w:val="00C5602C"/>
    <w:rsid w:val="00C5612F"/>
    <w:rsid w:val="00C561FE"/>
    <w:rsid w:val="00C562DD"/>
    <w:rsid w:val="00C5634D"/>
    <w:rsid w:val="00C56399"/>
    <w:rsid w:val="00C563B7"/>
    <w:rsid w:val="00C5653C"/>
    <w:rsid w:val="00C5655A"/>
    <w:rsid w:val="00C56569"/>
    <w:rsid w:val="00C5658E"/>
    <w:rsid w:val="00C5660E"/>
    <w:rsid w:val="00C566BA"/>
    <w:rsid w:val="00C5672C"/>
    <w:rsid w:val="00C5674F"/>
    <w:rsid w:val="00C567B4"/>
    <w:rsid w:val="00C56825"/>
    <w:rsid w:val="00C56885"/>
    <w:rsid w:val="00C568C9"/>
    <w:rsid w:val="00C5690E"/>
    <w:rsid w:val="00C569CE"/>
    <w:rsid w:val="00C56A43"/>
    <w:rsid w:val="00C56A4E"/>
    <w:rsid w:val="00C56A79"/>
    <w:rsid w:val="00C56BC4"/>
    <w:rsid w:val="00C56D52"/>
    <w:rsid w:val="00C56DF4"/>
    <w:rsid w:val="00C56E5C"/>
    <w:rsid w:val="00C56EC4"/>
    <w:rsid w:val="00C56F24"/>
    <w:rsid w:val="00C56F4A"/>
    <w:rsid w:val="00C5700E"/>
    <w:rsid w:val="00C5706E"/>
    <w:rsid w:val="00C57164"/>
    <w:rsid w:val="00C571C8"/>
    <w:rsid w:val="00C5720D"/>
    <w:rsid w:val="00C572CC"/>
    <w:rsid w:val="00C57302"/>
    <w:rsid w:val="00C5730B"/>
    <w:rsid w:val="00C57329"/>
    <w:rsid w:val="00C573C2"/>
    <w:rsid w:val="00C573E2"/>
    <w:rsid w:val="00C57419"/>
    <w:rsid w:val="00C57424"/>
    <w:rsid w:val="00C57553"/>
    <w:rsid w:val="00C57603"/>
    <w:rsid w:val="00C5761E"/>
    <w:rsid w:val="00C5772B"/>
    <w:rsid w:val="00C57747"/>
    <w:rsid w:val="00C57760"/>
    <w:rsid w:val="00C57826"/>
    <w:rsid w:val="00C578EE"/>
    <w:rsid w:val="00C578FD"/>
    <w:rsid w:val="00C57952"/>
    <w:rsid w:val="00C5797B"/>
    <w:rsid w:val="00C57A6B"/>
    <w:rsid w:val="00C57A85"/>
    <w:rsid w:val="00C57B03"/>
    <w:rsid w:val="00C57B64"/>
    <w:rsid w:val="00C57B70"/>
    <w:rsid w:val="00C57DDF"/>
    <w:rsid w:val="00C57E07"/>
    <w:rsid w:val="00C57E20"/>
    <w:rsid w:val="00C57F08"/>
    <w:rsid w:val="00C57F6A"/>
    <w:rsid w:val="00C57FAC"/>
    <w:rsid w:val="00C57FFE"/>
    <w:rsid w:val="00C600C6"/>
    <w:rsid w:val="00C600D9"/>
    <w:rsid w:val="00C601BD"/>
    <w:rsid w:val="00C6022C"/>
    <w:rsid w:val="00C6027A"/>
    <w:rsid w:val="00C60316"/>
    <w:rsid w:val="00C6031E"/>
    <w:rsid w:val="00C60324"/>
    <w:rsid w:val="00C6045C"/>
    <w:rsid w:val="00C60461"/>
    <w:rsid w:val="00C6052A"/>
    <w:rsid w:val="00C6053D"/>
    <w:rsid w:val="00C6063C"/>
    <w:rsid w:val="00C6067F"/>
    <w:rsid w:val="00C606AB"/>
    <w:rsid w:val="00C606B4"/>
    <w:rsid w:val="00C608EC"/>
    <w:rsid w:val="00C6095E"/>
    <w:rsid w:val="00C60962"/>
    <w:rsid w:val="00C60A0D"/>
    <w:rsid w:val="00C60A26"/>
    <w:rsid w:val="00C60A69"/>
    <w:rsid w:val="00C60A6E"/>
    <w:rsid w:val="00C60AB5"/>
    <w:rsid w:val="00C60B2F"/>
    <w:rsid w:val="00C60BD2"/>
    <w:rsid w:val="00C60C62"/>
    <w:rsid w:val="00C60CBD"/>
    <w:rsid w:val="00C60D3F"/>
    <w:rsid w:val="00C60D4E"/>
    <w:rsid w:val="00C60D95"/>
    <w:rsid w:val="00C60DD8"/>
    <w:rsid w:val="00C60E28"/>
    <w:rsid w:val="00C60E7E"/>
    <w:rsid w:val="00C60FAC"/>
    <w:rsid w:val="00C61025"/>
    <w:rsid w:val="00C6103B"/>
    <w:rsid w:val="00C61064"/>
    <w:rsid w:val="00C61142"/>
    <w:rsid w:val="00C61243"/>
    <w:rsid w:val="00C61279"/>
    <w:rsid w:val="00C6129E"/>
    <w:rsid w:val="00C612E2"/>
    <w:rsid w:val="00C6134E"/>
    <w:rsid w:val="00C61362"/>
    <w:rsid w:val="00C613FF"/>
    <w:rsid w:val="00C614AF"/>
    <w:rsid w:val="00C614D7"/>
    <w:rsid w:val="00C61516"/>
    <w:rsid w:val="00C61519"/>
    <w:rsid w:val="00C61529"/>
    <w:rsid w:val="00C615F0"/>
    <w:rsid w:val="00C6167C"/>
    <w:rsid w:val="00C61721"/>
    <w:rsid w:val="00C6175C"/>
    <w:rsid w:val="00C617A3"/>
    <w:rsid w:val="00C617AE"/>
    <w:rsid w:val="00C617E6"/>
    <w:rsid w:val="00C6184D"/>
    <w:rsid w:val="00C6187E"/>
    <w:rsid w:val="00C618C9"/>
    <w:rsid w:val="00C6198B"/>
    <w:rsid w:val="00C619A2"/>
    <w:rsid w:val="00C61A1D"/>
    <w:rsid w:val="00C61A7A"/>
    <w:rsid w:val="00C61B42"/>
    <w:rsid w:val="00C61B82"/>
    <w:rsid w:val="00C61C10"/>
    <w:rsid w:val="00C61C54"/>
    <w:rsid w:val="00C61C58"/>
    <w:rsid w:val="00C61C7D"/>
    <w:rsid w:val="00C61C8D"/>
    <w:rsid w:val="00C61CB2"/>
    <w:rsid w:val="00C61CB8"/>
    <w:rsid w:val="00C61CEF"/>
    <w:rsid w:val="00C61D70"/>
    <w:rsid w:val="00C61DD4"/>
    <w:rsid w:val="00C61E2E"/>
    <w:rsid w:val="00C61F94"/>
    <w:rsid w:val="00C61FC6"/>
    <w:rsid w:val="00C620E6"/>
    <w:rsid w:val="00C621A5"/>
    <w:rsid w:val="00C62257"/>
    <w:rsid w:val="00C622FF"/>
    <w:rsid w:val="00C62312"/>
    <w:rsid w:val="00C62495"/>
    <w:rsid w:val="00C6252F"/>
    <w:rsid w:val="00C625A0"/>
    <w:rsid w:val="00C625B4"/>
    <w:rsid w:val="00C62613"/>
    <w:rsid w:val="00C6270D"/>
    <w:rsid w:val="00C627D5"/>
    <w:rsid w:val="00C627E5"/>
    <w:rsid w:val="00C627EC"/>
    <w:rsid w:val="00C62839"/>
    <w:rsid w:val="00C62842"/>
    <w:rsid w:val="00C62907"/>
    <w:rsid w:val="00C6293C"/>
    <w:rsid w:val="00C62961"/>
    <w:rsid w:val="00C62A92"/>
    <w:rsid w:val="00C62B20"/>
    <w:rsid w:val="00C62B95"/>
    <w:rsid w:val="00C62C98"/>
    <w:rsid w:val="00C62D39"/>
    <w:rsid w:val="00C62D8F"/>
    <w:rsid w:val="00C62DC1"/>
    <w:rsid w:val="00C62E03"/>
    <w:rsid w:val="00C62E1B"/>
    <w:rsid w:val="00C62EC1"/>
    <w:rsid w:val="00C62ECB"/>
    <w:rsid w:val="00C62EF4"/>
    <w:rsid w:val="00C62F75"/>
    <w:rsid w:val="00C62FBA"/>
    <w:rsid w:val="00C63144"/>
    <w:rsid w:val="00C631BD"/>
    <w:rsid w:val="00C632F2"/>
    <w:rsid w:val="00C63301"/>
    <w:rsid w:val="00C63314"/>
    <w:rsid w:val="00C63321"/>
    <w:rsid w:val="00C6332B"/>
    <w:rsid w:val="00C63376"/>
    <w:rsid w:val="00C6345B"/>
    <w:rsid w:val="00C6345E"/>
    <w:rsid w:val="00C635E8"/>
    <w:rsid w:val="00C63636"/>
    <w:rsid w:val="00C63672"/>
    <w:rsid w:val="00C636D2"/>
    <w:rsid w:val="00C63704"/>
    <w:rsid w:val="00C637BD"/>
    <w:rsid w:val="00C638EE"/>
    <w:rsid w:val="00C63976"/>
    <w:rsid w:val="00C6399B"/>
    <w:rsid w:val="00C63A0A"/>
    <w:rsid w:val="00C63A5E"/>
    <w:rsid w:val="00C63AB0"/>
    <w:rsid w:val="00C63AC7"/>
    <w:rsid w:val="00C63AE2"/>
    <w:rsid w:val="00C63AEE"/>
    <w:rsid w:val="00C63B2F"/>
    <w:rsid w:val="00C63B34"/>
    <w:rsid w:val="00C63BAF"/>
    <w:rsid w:val="00C63BC7"/>
    <w:rsid w:val="00C63BD6"/>
    <w:rsid w:val="00C63C80"/>
    <w:rsid w:val="00C63E5A"/>
    <w:rsid w:val="00C63E7E"/>
    <w:rsid w:val="00C63ECA"/>
    <w:rsid w:val="00C63F2E"/>
    <w:rsid w:val="00C63F91"/>
    <w:rsid w:val="00C63FC3"/>
    <w:rsid w:val="00C6403D"/>
    <w:rsid w:val="00C6407F"/>
    <w:rsid w:val="00C6428D"/>
    <w:rsid w:val="00C642EF"/>
    <w:rsid w:val="00C642F1"/>
    <w:rsid w:val="00C64337"/>
    <w:rsid w:val="00C64374"/>
    <w:rsid w:val="00C64408"/>
    <w:rsid w:val="00C644BC"/>
    <w:rsid w:val="00C64514"/>
    <w:rsid w:val="00C6453B"/>
    <w:rsid w:val="00C6455B"/>
    <w:rsid w:val="00C645BD"/>
    <w:rsid w:val="00C645CC"/>
    <w:rsid w:val="00C646DE"/>
    <w:rsid w:val="00C64781"/>
    <w:rsid w:val="00C648B1"/>
    <w:rsid w:val="00C648FC"/>
    <w:rsid w:val="00C64914"/>
    <w:rsid w:val="00C6498B"/>
    <w:rsid w:val="00C649D7"/>
    <w:rsid w:val="00C64A7F"/>
    <w:rsid w:val="00C64B0F"/>
    <w:rsid w:val="00C64B1B"/>
    <w:rsid w:val="00C64C1D"/>
    <w:rsid w:val="00C64C3D"/>
    <w:rsid w:val="00C64CB9"/>
    <w:rsid w:val="00C64D42"/>
    <w:rsid w:val="00C64D46"/>
    <w:rsid w:val="00C64D4E"/>
    <w:rsid w:val="00C64DED"/>
    <w:rsid w:val="00C64E37"/>
    <w:rsid w:val="00C64F36"/>
    <w:rsid w:val="00C64F3D"/>
    <w:rsid w:val="00C64FA8"/>
    <w:rsid w:val="00C64FFB"/>
    <w:rsid w:val="00C650C0"/>
    <w:rsid w:val="00C650C6"/>
    <w:rsid w:val="00C65190"/>
    <w:rsid w:val="00C6519B"/>
    <w:rsid w:val="00C6522D"/>
    <w:rsid w:val="00C6549F"/>
    <w:rsid w:val="00C654B3"/>
    <w:rsid w:val="00C6555F"/>
    <w:rsid w:val="00C65576"/>
    <w:rsid w:val="00C6557D"/>
    <w:rsid w:val="00C655D4"/>
    <w:rsid w:val="00C656FC"/>
    <w:rsid w:val="00C657C0"/>
    <w:rsid w:val="00C65851"/>
    <w:rsid w:val="00C659E9"/>
    <w:rsid w:val="00C65A5B"/>
    <w:rsid w:val="00C65AF7"/>
    <w:rsid w:val="00C65B72"/>
    <w:rsid w:val="00C65BC2"/>
    <w:rsid w:val="00C65CBE"/>
    <w:rsid w:val="00C65DAB"/>
    <w:rsid w:val="00C65E46"/>
    <w:rsid w:val="00C65E61"/>
    <w:rsid w:val="00C65ED6"/>
    <w:rsid w:val="00C65F3E"/>
    <w:rsid w:val="00C66076"/>
    <w:rsid w:val="00C66104"/>
    <w:rsid w:val="00C66164"/>
    <w:rsid w:val="00C66197"/>
    <w:rsid w:val="00C66306"/>
    <w:rsid w:val="00C66372"/>
    <w:rsid w:val="00C66406"/>
    <w:rsid w:val="00C66408"/>
    <w:rsid w:val="00C66499"/>
    <w:rsid w:val="00C66661"/>
    <w:rsid w:val="00C666FF"/>
    <w:rsid w:val="00C66789"/>
    <w:rsid w:val="00C668DC"/>
    <w:rsid w:val="00C6698D"/>
    <w:rsid w:val="00C669D7"/>
    <w:rsid w:val="00C66A2E"/>
    <w:rsid w:val="00C66B1D"/>
    <w:rsid w:val="00C66B99"/>
    <w:rsid w:val="00C66BC4"/>
    <w:rsid w:val="00C66C20"/>
    <w:rsid w:val="00C66C57"/>
    <w:rsid w:val="00C66D8D"/>
    <w:rsid w:val="00C66F13"/>
    <w:rsid w:val="00C67031"/>
    <w:rsid w:val="00C670E6"/>
    <w:rsid w:val="00C670F9"/>
    <w:rsid w:val="00C671FC"/>
    <w:rsid w:val="00C6723F"/>
    <w:rsid w:val="00C6724F"/>
    <w:rsid w:val="00C67272"/>
    <w:rsid w:val="00C67341"/>
    <w:rsid w:val="00C67345"/>
    <w:rsid w:val="00C67586"/>
    <w:rsid w:val="00C675CD"/>
    <w:rsid w:val="00C67654"/>
    <w:rsid w:val="00C676C6"/>
    <w:rsid w:val="00C6774E"/>
    <w:rsid w:val="00C67832"/>
    <w:rsid w:val="00C67850"/>
    <w:rsid w:val="00C678E2"/>
    <w:rsid w:val="00C6795F"/>
    <w:rsid w:val="00C679F8"/>
    <w:rsid w:val="00C67A13"/>
    <w:rsid w:val="00C67BAB"/>
    <w:rsid w:val="00C67BE9"/>
    <w:rsid w:val="00C67DFC"/>
    <w:rsid w:val="00C70010"/>
    <w:rsid w:val="00C700E9"/>
    <w:rsid w:val="00C700F6"/>
    <w:rsid w:val="00C70124"/>
    <w:rsid w:val="00C701CB"/>
    <w:rsid w:val="00C70211"/>
    <w:rsid w:val="00C7026A"/>
    <w:rsid w:val="00C7063A"/>
    <w:rsid w:val="00C7066C"/>
    <w:rsid w:val="00C70711"/>
    <w:rsid w:val="00C707A5"/>
    <w:rsid w:val="00C707B1"/>
    <w:rsid w:val="00C70883"/>
    <w:rsid w:val="00C70953"/>
    <w:rsid w:val="00C70A24"/>
    <w:rsid w:val="00C70A60"/>
    <w:rsid w:val="00C70A8E"/>
    <w:rsid w:val="00C70B41"/>
    <w:rsid w:val="00C70B50"/>
    <w:rsid w:val="00C70B61"/>
    <w:rsid w:val="00C70BDE"/>
    <w:rsid w:val="00C70C20"/>
    <w:rsid w:val="00C70CD6"/>
    <w:rsid w:val="00C70D06"/>
    <w:rsid w:val="00C70D60"/>
    <w:rsid w:val="00C70D8B"/>
    <w:rsid w:val="00C70EAB"/>
    <w:rsid w:val="00C70EE0"/>
    <w:rsid w:val="00C70F21"/>
    <w:rsid w:val="00C70F5D"/>
    <w:rsid w:val="00C70F7D"/>
    <w:rsid w:val="00C70FA2"/>
    <w:rsid w:val="00C70FF4"/>
    <w:rsid w:val="00C71026"/>
    <w:rsid w:val="00C7104C"/>
    <w:rsid w:val="00C710F0"/>
    <w:rsid w:val="00C7113D"/>
    <w:rsid w:val="00C711B2"/>
    <w:rsid w:val="00C71243"/>
    <w:rsid w:val="00C71250"/>
    <w:rsid w:val="00C7133C"/>
    <w:rsid w:val="00C713A9"/>
    <w:rsid w:val="00C71446"/>
    <w:rsid w:val="00C7144A"/>
    <w:rsid w:val="00C71601"/>
    <w:rsid w:val="00C7174E"/>
    <w:rsid w:val="00C71758"/>
    <w:rsid w:val="00C717E8"/>
    <w:rsid w:val="00C717FA"/>
    <w:rsid w:val="00C71896"/>
    <w:rsid w:val="00C718C0"/>
    <w:rsid w:val="00C719C6"/>
    <w:rsid w:val="00C71A27"/>
    <w:rsid w:val="00C71B4A"/>
    <w:rsid w:val="00C71BE5"/>
    <w:rsid w:val="00C71BF2"/>
    <w:rsid w:val="00C71C0E"/>
    <w:rsid w:val="00C71C66"/>
    <w:rsid w:val="00C71DB8"/>
    <w:rsid w:val="00C71DC2"/>
    <w:rsid w:val="00C71DF4"/>
    <w:rsid w:val="00C71E9E"/>
    <w:rsid w:val="00C71F1B"/>
    <w:rsid w:val="00C71FB9"/>
    <w:rsid w:val="00C71FE8"/>
    <w:rsid w:val="00C72053"/>
    <w:rsid w:val="00C72055"/>
    <w:rsid w:val="00C722BC"/>
    <w:rsid w:val="00C722C7"/>
    <w:rsid w:val="00C7230A"/>
    <w:rsid w:val="00C72373"/>
    <w:rsid w:val="00C72385"/>
    <w:rsid w:val="00C723F8"/>
    <w:rsid w:val="00C7252A"/>
    <w:rsid w:val="00C725E8"/>
    <w:rsid w:val="00C72696"/>
    <w:rsid w:val="00C727FA"/>
    <w:rsid w:val="00C7284F"/>
    <w:rsid w:val="00C7285B"/>
    <w:rsid w:val="00C72865"/>
    <w:rsid w:val="00C72918"/>
    <w:rsid w:val="00C72A72"/>
    <w:rsid w:val="00C72BB6"/>
    <w:rsid w:val="00C72BC4"/>
    <w:rsid w:val="00C72BDF"/>
    <w:rsid w:val="00C72C32"/>
    <w:rsid w:val="00C72CBD"/>
    <w:rsid w:val="00C72CD2"/>
    <w:rsid w:val="00C72D04"/>
    <w:rsid w:val="00C72D50"/>
    <w:rsid w:val="00C72DF4"/>
    <w:rsid w:val="00C72E75"/>
    <w:rsid w:val="00C72EF2"/>
    <w:rsid w:val="00C72FA1"/>
    <w:rsid w:val="00C72FA4"/>
    <w:rsid w:val="00C73064"/>
    <w:rsid w:val="00C73155"/>
    <w:rsid w:val="00C7315D"/>
    <w:rsid w:val="00C7316D"/>
    <w:rsid w:val="00C7319E"/>
    <w:rsid w:val="00C731D1"/>
    <w:rsid w:val="00C732A1"/>
    <w:rsid w:val="00C732D7"/>
    <w:rsid w:val="00C73349"/>
    <w:rsid w:val="00C73369"/>
    <w:rsid w:val="00C73436"/>
    <w:rsid w:val="00C73477"/>
    <w:rsid w:val="00C7347C"/>
    <w:rsid w:val="00C734A9"/>
    <w:rsid w:val="00C734BA"/>
    <w:rsid w:val="00C735B5"/>
    <w:rsid w:val="00C73653"/>
    <w:rsid w:val="00C736DB"/>
    <w:rsid w:val="00C736FF"/>
    <w:rsid w:val="00C73743"/>
    <w:rsid w:val="00C73846"/>
    <w:rsid w:val="00C73887"/>
    <w:rsid w:val="00C738B3"/>
    <w:rsid w:val="00C738CD"/>
    <w:rsid w:val="00C73947"/>
    <w:rsid w:val="00C73A14"/>
    <w:rsid w:val="00C73A5E"/>
    <w:rsid w:val="00C73A6A"/>
    <w:rsid w:val="00C73AEE"/>
    <w:rsid w:val="00C73C9B"/>
    <w:rsid w:val="00C73CD2"/>
    <w:rsid w:val="00C73DD5"/>
    <w:rsid w:val="00C73E16"/>
    <w:rsid w:val="00C73E2B"/>
    <w:rsid w:val="00C73EC8"/>
    <w:rsid w:val="00C73F09"/>
    <w:rsid w:val="00C73FD7"/>
    <w:rsid w:val="00C7405B"/>
    <w:rsid w:val="00C740D0"/>
    <w:rsid w:val="00C740F4"/>
    <w:rsid w:val="00C74123"/>
    <w:rsid w:val="00C74286"/>
    <w:rsid w:val="00C742CF"/>
    <w:rsid w:val="00C742EC"/>
    <w:rsid w:val="00C74309"/>
    <w:rsid w:val="00C74318"/>
    <w:rsid w:val="00C743B6"/>
    <w:rsid w:val="00C743F8"/>
    <w:rsid w:val="00C7443E"/>
    <w:rsid w:val="00C7444E"/>
    <w:rsid w:val="00C7445B"/>
    <w:rsid w:val="00C744CF"/>
    <w:rsid w:val="00C74514"/>
    <w:rsid w:val="00C74669"/>
    <w:rsid w:val="00C746D3"/>
    <w:rsid w:val="00C74752"/>
    <w:rsid w:val="00C7487D"/>
    <w:rsid w:val="00C748B4"/>
    <w:rsid w:val="00C748FB"/>
    <w:rsid w:val="00C7497D"/>
    <w:rsid w:val="00C74A05"/>
    <w:rsid w:val="00C74A2B"/>
    <w:rsid w:val="00C74A63"/>
    <w:rsid w:val="00C74AD9"/>
    <w:rsid w:val="00C74AE2"/>
    <w:rsid w:val="00C74AE6"/>
    <w:rsid w:val="00C74B5F"/>
    <w:rsid w:val="00C74B6C"/>
    <w:rsid w:val="00C74BA8"/>
    <w:rsid w:val="00C74C18"/>
    <w:rsid w:val="00C74C54"/>
    <w:rsid w:val="00C74CE4"/>
    <w:rsid w:val="00C74DE5"/>
    <w:rsid w:val="00C74E28"/>
    <w:rsid w:val="00C74E7D"/>
    <w:rsid w:val="00C74ECD"/>
    <w:rsid w:val="00C75035"/>
    <w:rsid w:val="00C7504C"/>
    <w:rsid w:val="00C75061"/>
    <w:rsid w:val="00C750F9"/>
    <w:rsid w:val="00C750FE"/>
    <w:rsid w:val="00C75166"/>
    <w:rsid w:val="00C751CA"/>
    <w:rsid w:val="00C75284"/>
    <w:rsid w:val="00C752D9"/>
    <w:rsid w:val="00C752EE"/>
    <w:rsid w:val="00C7530F"/>
    <w:rsid w:val="00C7532A"/>
    <w:rsid w:val="00C7538B"/>
    <w:rsid w:val="00C753F1"/>
    <w:rsid w:val="00C7542E"/>
    <w:rsid w:val="00C75440"/>
    <w:rsid w:val="00C7578B"/>
    <w:rsid w:val="00C7581A"/>
    <w:rsid w:val="00C75824"/>
    <w:rsid w:val="00C7583E"/>
    <w:rsid w:val="00C758D6"/>
    <w:rsid w:val="00C7599C"/>
    <w:rsid w:val="00C759F1"/>
    <w:rsid w:val="00C759FB"/>
    <w:rsid w:val="00C75B38"/>
    <w:rsid w:val="00C75BB0"/>
    <w:rsid w:val="00C75C0D"/>
    <w:rsid w:val="00C75C2B"/>
    <w:rsid w:val="00C75C42"/>
    <w:rsid w:val="00C75CA8"/>
    <w:rsid w:val="00C75CFC"/>
    <w:rsid w:val="00C75D2D"/>
    <w:rsid w:val="00C75DCD"/>
    <w:rsid w:val="00C75DFF"/>
    <w:rsid w:val="00C75E43"/>
    <w:rsid w:val="00C75EAD"/>
    <w:rsid w:val="00C7606F"/>
    <w:rsid w:val="00C76093"/>
    <w:rsid w:val="00C76120"/>
    <w:rsid w:val="00C761E2"/>
    <w:rsid w:val="00C761F0"/>
    <w:rsid w:val="00C76247"/>
    <w:rsid w:val="00C7626C"/>
    <w:rsid w:val="00C76316"/>
    <w:rsid w:val="00C7633F"/>
    <w:rsid w:val="00C76472"/>
    <w:rsid w:val="00C764EE"/>
    <w:rsid w:val="00C7651B"/>
    <w:rsid w:val="00C76565"/>
    <w:rsid w:val="00C7659B"/>
    <w:rsid w:val="00C766AB"/>
    <w:rsid w:val="00C766DD"/>
    <w:rsid w:val="00C7674B"/>
    <w:rsid w:val="00C767A8"/>
    <w:rsid w:val="00C7681C"/>
    <w:rsid w:val="00C76827"/>
    <w:rsid w:val="00C76869"/>
    <w:rsid w:val="00C76878"/>
    <w:rsid w:val="00C76949"/>
    <w:rsid w:val="00C76A14"/>
    <w:rsid w:val="00C76A4E"/>
    <w:rsid w:val="00C76A57"/>
    <w:rsid w:val="00C76B41"/>
    <w:rsid w:val="00C76BC0"/>
    <w:rsid w:val="00C76C46"/>
    <w:rsid w:val="00C76CC5"/>
    <w:rsid w:val="00C76D4C"/>
    <w:rsid w:val="00C76DC1"/>
    <w:rsid w:val="00C76DE1"/>
    <w:rsid w:val="00C76DF3"/>
    <w:rsid w:val="00C76ED7"/>
    <w:rsid w:val="00C76EE5"/>
    <w:rsid w:val="00C76F3F"/>
    <w:rsid w:val="00C76F79"/>
    <w:rsid w:val="00C76FE0"/>
    <w:rsid w:val="00C7704C"/>
    <w:rsid w:val="00C77130"/>
    <w:rsid w:val="00C77401"/>
    <w:rsid w:val="00C77439"/>
    <w:rsid w:val="00C77490"/>
    <w:rsid w:val="00C774CB"/>
    <w:rsid w:val="00C774EC"/>
    <w:rsid w:val="00C77546"/>
    <w:rsid w:val="00C775AD"/>
    <w:rsid w:val="00C776E2"/>
    <w:rsid w:val="00C776F4"/>
    <w:rsid w:val="00C7770A"/>
    <w:rsid w:val="00C77855"/>
    <w:rsid w:val="00C778EC"/>
    <w:rsid w:val="00C77911"/>
    <w:rsid w:val="00C77940"/>
    <w:rsid w:val="00C7797B"/>
    <w:rsid w:val="00C77996"/>
    <w:rsid w:val="00C779C0"/>
    <w:rsid w:val="00C779ED"/>
    <w:rsid w:val="00C77A8E"/>
    <w:rsid w:val="00C77AC1"/>
    <w:rsid w:val="00C77B0E"/>
    <w:rsid w:val="00C77B3D"/>
    <w:rsid w:val="00C77C17"/>
    <w:rsid w:val="00C77C28"/>
    <w:rsid w:val="00C77C70"/>
    <w:rsid w:val="00C77C81"/>
    <w:rsid w:val="00C77CB1"/>
    <w:rsid w:val="00C77D23"/>
    <w:rsid w:val="00C77DAC"/>
    <w:rsid w:val="00C77DB9"/>
    <w:rsid w:val="00C77DD3"/>
    <w:rsid w:val="00C77DFA"/>
    <w:rsid w:val="00C77E27"/>
    <w:rsid w:val="00C77EE7"/>
    <w:rsid w:val="00C77F25"/>
    <w:rsid w:val="00C77F59"/>
    <w:rsid w:val="00C77FB2"/>
    <w:rsid w:val="00C80052"/>
    <w:rsid w:val="00C80136"/>
    <w:rsid w:val="00C80148"/>
    <w:rsid w:val="00C80373"/>
    <w:rsid w:val="00C8037A"/>
    <w:rsid w:val="00C8037C"/>
    <w:rsid w:val="00C803B1"/>
    <w:rsid w:val="00C803BA"/>
    <w:rsid w:val="00C803BE"/>
    <w:rsid w:val="00C803CB"/>
    <w:rsid w:val="00C803DB"/>
    <w:rsid w:val="00C8042F"/>
    <w:rsid w:val="00C806FB"/>
    <w:rsid w:val="00C806FF"/>
    <w:rsid w:val="00C80702"/>
    <w:rsid w:val="00C807B0"/>
    <w:rsid w:val="00C807BB"/>
    <w:rsid w:val="00C807DA"/>
    <w:rsid w:val="00C80881"/>
    <w:rsid w:val="00C808AC"/>
    <w:rsid w:val="00C80921"/>
    <w:rsid w:val="00C809C5"/>
    <w:rsid w:val="00C809F9"/>
    <w:rsid w:val="00C80B79"/>
    <w:rsid w:val="00C80C1C"/>
    <w:rsid w:val="00C80C25"/>
    <w:rsid w:val="00C80C29"/>
    <w:rsid w:val="00C80D57"/>
    <w:rsid w:val="00C80D5B"/>
    <w:rsid w:val="00C80D77"/>
    <w:rsid w:val="00C80DEC"/>
    <w:rsid w:val="00C80E90"/>
    <w:rsid w:val="00C80EC4"/>
    <w:rsid w:val="00C80EFE"/>
    <w:rsid w:val="00C80F59"/>
    <w:rsid w:val="00C80F6F"/>
    <w:rsid w:val="00C80FB1"/>
    <w:rsid w:val="00C810F6"/>
    <w:rsid w:val="00C81101"/>
    <w:rsid w:val="00C811A0"/>
    <w:rsid w:val="00C812BB"/>
    <w:rsid w:val="00C81336"/>
    <w:rsid w:val="00C813CA"/>
    <w:rsid w:val="00C813CE"/>
    <w:rsid w:val="00C813ED"/>
    <w:rsid w:val="00C81613"/>
    <w:rsid w:val="00C8166A"/>
    <w:rsid w:val="00C816A1"/>
    <w:rsid w:val="00C816A3"/>
    <w:rsid w:val="00C816C6"/>
    <w:rsid w:val="00C816F0"/>
    <w:rsid w:val="00C816F9"/>
    <w:rsid w:val="00C8178C"/>
    <w:rsid w:val="00C81843"/>
    <w:rsid w:val="00C818D6"/>
    <w:rsid w:val="00C8198A"/>
    <w:rsid w:val="00C81A74"/>
    <w:rsid w:val="00C81B22"/>
    <w:rsid w:val="00C81C5C"/>
    <w:rsid w:val="00C81C63"/>
    <w:rsid w:val="00C81C86"/>
    <w:rsid w:val="00C81D15"/>
    <w:rsid w:val="00C81DC4"/>
    <w:rsid w:val="00C81E16"/>
    <w:rsid w:val="00C81E25"/>
    <w:rsid w:val="00C81E5C"/>
    <w:rsid w:val="00C81E8C"/>
    <w:rsid w:val="00C81FA6"/>
    <w:rsid w:val="00C82003"/>
    <w:rsid w:val="00C8203B"/>
    <w:rsid w:val="00C8206A"/>
    <w:rsid w:val="00C820C3"/>
    <w:rsid w:val="00C8224F"/>
    <w:rsid w:val="00C82292"/>
    <w:rsid w:val="00C822D0"/>
    <w:rsid w:val="00C822D6"/>
    <w:rsid w:val="00C823A8"/>
    <w:rsid w:val="00C82439"/>
    <w:rsid w:val="00C82480"/>
    <w:rsid w:val="00C8253D"/>
    <w:rsid w:val="00C8255F"/>
    <w:rsid w:val="00C8256C"/>
    <w:rsid w:val="00C825B1"/>
    <w:rsid w:val="00C825CE"/>
    <w:rsid w:val="00C825F8"/>
    <w:rsid w:val="00C82637"/>
    <w:rsid w:val="00C82643"/>
    <w:rsid w:val="00C8266F"/>
    <w:rsid w:val="00C8270C"/>
    <w:rsid w:val="00C82730"/>
    <w:rsid w:val="00C82781"/>
    <w:rsid w:val="00C8291D"/>
    <w:rsid w:val="00C82A05"/>
    <w:rsid w:val="00C82A23"/>
    <w:rsid w:val="00C82A71"/>
    <w:rsid w:val="00C82AB3"/>
    <w:rsid w:val="00C82ACB"/>
    <w:rsid w:val="00C82C69"/>
    <w:rsid w:val="00C82CAD"/>
    <w:rsid w:val="00C82CB9"/>
    <w:rsid w:val="00C82CC7"/>
    <w:rsid w:val="00C82D5B"/>
    <w:rsid w:val="00C82D8B"/>
    <w:rsid w:val="00C82DA0"/>
    <w:rsid w:val="00C82E06"/>
    <w:rsid w:val="00C82E7D"/>
    <w:rsid w:val="00C82EB0"/>
    <w:rsid w:val="00C82EDE"/>
    <w:rsid w:val="00C82EFA"/>
    <w:rsid w:val="00C82F34"/>
    <w:rsid w:val="00C82F95"/>
    <w:rsid w:val="00C8300B"/>
    <w:rsid w:val="00C83157"/>
    <w:rsid w:val="00C8318A"/>
    <w:rsid w:val="00C831AC"/>
    <w:rsid w:val="00C831B4"/>
    <w:rsid w:val="00C8323B"/>
    <w:rsid w:val="00C833A6"/>
    <w:rsid w:val="00C834BC"/>
    <w:rsid w:val="00C834C8"/>
    <w:rsid w:val="00C834D1"/>
    <w:rsid w:val="00C83589"/>
    <w:rsid w:val="00C835FB"/>
    <w:rsid w:val="00C8363F"/>
    <w:rsid w:val="00C8366D"/>
    <w:rsid w:val="00C83721"/>
    <w:rsid w:val="00C837AA"/>
    <w:rsid w:val="00C837D3"/>
    <w:rsid w:val="00C837E3"/>
    <w:rsid w:val="00C83889"/>
    <w:rsid w:val="00C83913"/>
    <w:rsid w:val="00C8399D"/>
    <w:rsid w:val="00C83A37"/>
    <w:rsid w:val="00C83A67"/>
    <w:rsid w:val="00C83A72"/>
    <w:rsid w:val="00C83AD4"/>
    <w:rsid w:val="00C83B8C"/>
    <w:rsid w:val="00C83BDD"/>
    <w:rsid w:val="00C83CEA"/>
    <w:rsid w:val="00C83CF8"/>
    <w:rsid w:val="00C83D16"/>
    <w:rsid w:val="00C83D52"/>
    <w:rsid w:val="00C83DD7"/>
    <w:rsid w:val="00C83E18"/>
    <w:rsid w:val="00C83E38"/>
    <w:rsid w:val="00C83E73"/>
    <w:rsid w:val="00C83F14"/>
    <w:rsid w:val="00C8402B"/>
    <w:rsid w:val="00C842EF"/>
    <w:rsid w:val="00C8432C"/>
    <w:rsid w:val="00C8439D"/>
    <w:rsid w:val="00C8454D"/>
    <w:rsid w:val="00C84596"/>
    <w:rsid w:val="00C84602"/>
    <w:rsid w:val="00C84680"/>
    <w:rsid w:val="00C84756"/>
    <w:rsid w:val="00C847CF"/>
    <w:rsid w:val="00C84808"/>
    <w:rsid w:val="00C848AE"/>
    <w:rsid w:val="00C8497B"/>
    <w:rsid w:val="00C84991"/>
    <w:rsid w:val="00C84A0C"/>
    <w:rsid w:val="00C84AB8"/>
    <w:rsid w:val="00C84ACF"/>
    <w:rsid w:val="00C84B1D"/>
    <w:rsid w:val="00C84B8B"/>
    <w:rsid w:val="00C84B8E"/>
    <w:rsid w:val="00C84BBE"/>
    <w:rsid w:val="00C84C51"/>
    <w:rsid w:val="00C84C84"/>
    <w:rsid w:val="00C84CF9"/>
    <w:rsid w:val="00C84D40"/>
    <w:rsid w:val="00C84D4E"/>
    <w:rsid w:val="00C84D57"/>
    <w:rsid w:val="00C84DEC"/>
    <w:rsid w:val="00C84E00"/>
    <w:rsid w:val="00C85020"/>
    <w:rsid w:val="00C85201"/>
    <w:rsid w:val="00C85308"/>
    <w:rsid w:val="00C85332"/>
    <w:rsid w:val="00C85377"/>
    <w:rsid w:val="00C85392"/>
    <w:rsid w:val="00C8544B"/>
    <w:rsid w:val="00C85458"/>
    <w:rsid w:val="00C854CF"/>
    <w:rsid w:val="00C854FC"/>
    <w:rsid w:val="00C85500"/>
    <w:rsid w:val="00C85512"/>
    <w:rsid w:val="00C8559A"/>
    <w:rsid w:val="00C856DC"/>
    <w:rsid w:val="00C8590C"/>
    <w:rsid w:val="00C85921"/>
    <w:rsid w:val="00C8597D"/>
    <w:rsid w:val="00C85981"/>
    <w:rsid w:val="00C859A8"/>
    <w:rsid w:val="00C85A46"/>
    <w:rsid w:val="00C85B94"/>
    <w:rsid w:val="00C85BCD"/>
    <w:rsid w:val="00C85C09"/>
    <w:rsid w:val="00C85C72"/>
    <w:rsid w:val="00C85CFE"/>
    <w:rsid w:val="00C85D56"/>
    <w:rsid w:val="00C85DA9"/>
    <w:rsid w:val="00C85E2D"/>
    <w:rsid w:val="00C85E7F"/>
    <w:rsid w:val="00C85EE9"/>
    <w:rsid w:val="00C85F03"/>
    <w:rsid w:val="00C85F31"/>
    <w:rsid w:val="00C85F4E"/>
    <w:rsid w:val="00C85F80"/>
    <w:rsid w:val="00C86057"/>
    <w:rsid w:val="00C86070"/>
    <w:rsid w:val="00C860CC"/>
    <w:rsid w:val="00C86102"/>
    <w:rsid w:val="00C86124"/>
    <w:rsid w:val="00C86462"/>
    <w:rsid w:val="00C8647F"/>
    <w:rsid w:val="00C864E4"/>
    <w:rsid w:val="00C86727"/>
    <w:rsid w:val="00C86739"/>
    <w:rsid w:val="00C86744"/>
    <w:rsid w:val="00C86953"/>
    <w:rsid w:val="00C86A49"/>
    <w:rsid w:val="00C86A75"/>
    <w:rsid w:val="00C86AC6"/>
    <w:rsid w:val="00C86ACF"/>
    <w:rsid w:val="00C86AF6"/>
    <w:rsid w:val="00C86BA4"/>
    <w:rsid w:val="00C86BE3"/>
    <w:rsid w:val="00C86C21"/>
    <w:rsid w:val="00C86C67"/>
    <w:rsid w:val="00C86C9E"/>
    <w:rsid w:val="00C86D68"/>
    <w:rsid w:val="00C86E39"/>
    <w:rsid w:val="00C86E84"/>
    <w:rsid w:val="00C86F7C"/>
    <w:rsid w:val="00C86FA5"/>
    <w:rsid w:val="00C86FE7"/>
    <w:rsid w:val="00C870A0"/>
    <w:rsid w:val="00C870E2"/>
    <w:rsid w:val="00C87133"/>
    <w:rsid w:val="00C872AB"/>
    <w:rsid w:val="00C87363"/>
    <w:rsid w:val="00C87421"/>
    <w:rsid w:val="00C87582"/>
    <w:rsid w:val="00C87591"/>
    <w:rsid w:val="00C875F9"/>
    <w:rsid w:val="00C87623"/>
    <w:rsid w:val="00C8769B"/>
    <w:rsid w:val="00C876A3"/>
    <w:rsid w:val="00C876E5"/>
    <w:rsid w:val="00C87741"/>
    <w:rsid w:val="00C877A4"/>
    <w:rsid w:val="00C877E4"/>
    <w:rsid w:val="00C87824"/>
    <w:rsid w:val="00C87855"/>
    <w:rsid w:val="00C878D5"/>
    <w:rsid w:val="00C878FC"/>
    <w:rsid w:val="00C879EE"/>
    <w:rsid w:val="00C87B18"/>
    <w:rsid w:val="00C87B4D"/>
    <w:rsid w:val="00C87C06"/>
    <w:rsid w:val="00C87CCB"/>
    <w:rsid w:val="00C87D32"/>
    <w:rsid w:val="00C87D96"/>
    <w:rsid w:val="00C87E16"/>
    <w:rsid w:val="00C87E75"/>
    <w:rsid w:val="00C87EB1"/>
    <w:rsid w:val="00C87F01"/>
    <w:rsid w:val="00C87F7F"/>
    <w:rsid w:val="00C87FF9"/>
    <w:rsid w:val="00C9001E"/>
    <w:rsid w:val="00C9003D"/>
    <w:rsid w:val="00C90093"/>
    <w:rsid w:val="00C901B4"/>
    <w:rsid w:val="00C902E8"/>
    <w:rsid w:val="00C9040F"/>
    <w:rsid w:val="00C90420"/>
    <w:rsid w:val="00C9047F"/>
    <w:rsid w:val="00C904EF"/>
    <w:rsid w:val="00C905A6"/>
    <w:rsid w:val="00C9068D"/>
    <w:rsid w:val="00C90714"/>
    <w:rsid w:val="00C90801"/>
    <w:rsid w:val="00C908DD"/>
    <w:rsid w:val="00C908E9"/>
    <w:rsid w:val="00C908FE"/>
    <w:rsid w:val="00C90AA4"/>
    <w:rsid w:val="00C90B7F"/>
    <w:rsid w:val="00C90B95"/>
    <w:rsid w:val="00C90BD7"/>
    <w:rsid w:val="00C90C86"/>
    <w:rsid w:val="00C90D89"/>
    <w:rsid w:val="00C90DC8"/>
    <w:rsid w:val="00C90ECB"/>
    <w:rsid w:val="00C910F8"/>
    <w:rsid w:val="00C911CB"/>
    <w:rsid w:val="00C911FC"/>
    <w:rsid w:val="00C91209"/>
    <w:rsid w:val="00C91269"/>
    <w:rsid w:val="00C91416"/>
    <w:rsid w:val="00C91485"/>
    <w:rsid w:val="00C9158B"/>
    <w:rsid w:val="00C91590"/>
    <w:rsid w:val="00C91806"/>
    <w:rsid w:val="00C9192E"/>
    <w:rsid w:val="00C91986"/>
    <w:rsid w:val="00C91A6F"/>
    <w:rsid w:val="00C91ACF"/>
    <w:rsid w:val="00C91B01"/>
    <w:rsid w:val="00C91B06"/>
    <w:rsid w:val="00C91B26"/>
    <w:rsid w:val="00C91B64"/>
    <w:rsid w:val="00C91BC6"/>
    <w:rsid w:val="00C91C85"/>
    <w:rsid w:val="00C91D39"/>
    <w:rsid w:val="00C91DDF"/>
    <w:rsid w:val="00C91E82"/>
    <w:rsid w:val="00C91F3B"/>
    <w:rsid w:val="00C91FAA"/>
    <w:rsid w:val="00C92016"/>
    <w:rsid w:val="00C92073"/>
    <w:rsid w:val="00C921C8"/>
    <w:rsid w:val="00C922DD"/>
    <w:rsid w:val="00C922F6"/>
    <w:rsid w:val="00C92431"/>
    <w:rsid w:val="00C92539"/>
    <w:rsid w:val="00C9259E"/>
    <w:rsid w:val="00C925ED"/>
    <w:rsid w:val="00C9262F"/>
    <w:rsid w:val="00C92693"/>
    <w:rsid w:val="00C926D9"/>
    <w:rsid w:val="00C926DB"/>
    <w:rsid w:val="00C926E6"/>
    <w:rsid w:val="00C92727"/>
    <w:rsid w:val="00C92929"/>
    <w:rsid w:val="00C92AE8"/>
    <w:rsid w:val="00C92B61"/>
    <w:rsid w:val="00C92B82"/>
    <w:rsid w:val="00C92B98"/>
    <w:rsid w:val="00C92C2A"/>
    <w:rsid w:val="00C92D18"/>
    <w:rsid w:val="00C92D81"/>
    <w:rsid w:val="00C92E0F"/>
    <w:rsid w:val="00C92E1B"/>
    <w:rsid w:val="00C92E25"/>
    <w:rsid w:val="00C92E31"/>
    <w:rsid w:val="00C92E3D"/>
    <w:rsid w:val="00C92F14"/>
    <w:rsid w:val="00C92F42"/>
    <w:rsid w:val="00C92FBD"/>
    <w:rsid w:val="00C93075"/>
    <w:rsid w:val="00C930F5"/>
    <w:rsid w:val="00C9313B"/>
    <w:rsid w:val="00C93176"/>
    <w:rsid w:val="00C931A4"/>
    <w:rsid w:val="00C932FA"/>
    <w:rsid w:val="00C93354"/>
    <w:rsid w:val="00C93371"/>
    <w:rsid w:val="00C9339E"/>
    <w:rsid w:val="00C93407"/>
    <w:rsid w:val="00C93408"/>
    <w:rsid w:val="00C93438"/>
    <w:rsid w:val="00C9367B"/>
    <w:rsid w:val="00C936A6"/>
    <w:rsid w:val="00C93786"/>
    <w:rsid w:val="00C93792"/>
    <w:rsid w:val="00C938E5"/>
    <w:rsid w:val="00C9393D"/>
    <w:rsid w:val="00C939AF"/>
    <w:rsid w:val="00C93AC4"/>
    <w:rsid w:val="00C93CA5"/>
    <w:rsid w:val="00C93CDA"/>
    <w:rsid w:val="00C93CFE"/>
    <w:rsid w:val="00C93DA3"/>
    <w:rsid w:val="00C93DA9"/>
    <w:rsid w:val="00C93F71"/>
    <w:rsid w:val="00C940B5"/>
    <w:rsid w:val="00C940E4"/>
    <w:rsid w:val="00C941EC"/>
    <w:rsid w:val="00C941F5"/>
    <w:rsid w:val="00C9422E"/>
    <w:rsid w:val="00C94394"/>
    <w:rsid w:val="00C943DA"/>
    <w:rsid w:val="00C94467"/>
    <w:rsid w:val="00C94598"/>
    <w:rsid w:val="00C945FE"/>
    <w:rsid w:val="00C9477B"/>
    <w:rsid w:val="00C947A7"/>
    <w:rsid w:val="00C9483D"/>
    <w:rsid w:val="00C9484F"/>
    <w:rsid w:val="00C94899"/>
    <w:rsid w:val="00C948CF"/>
    <w:rsid w:val="00C94B05"/>
    <w:rsid w:val="00C94C1E"/>
    <w:rsid w:val="00C94D25"/>
    <w:rsid w:val="00C94E10"/>
    <w:rsid w:val="00C94E83"/>
    <w:rsid w:val="00C94EA5"/>
    <w:rsid w:val="00C94EFB"/>
    <w:rsid w:val="00C94F54"/>
    <w:rsid w:val="00C94FA8"/>
    <w:rsid w:val="00C95003"/>
    <w:rsid w:val="00C950C0"/>
    <w:rsid w:val="00C950CB"/>
    <w:rsid w:val="00C9510B"/>
    <w:rsid w:val="00C9524B"/>
    <w:rsid w:val="00C9530A"/>
    <w:rsid w:val="00C9531C"/>
    <w:rsid w:val="00C9531D"/>
    <w:rsid w:val="00C9531F"/>
    <w:rsid w:val="00C95348"/>
    <w:rsid w:val="00C9550C"/>
    <w:rsid w:val="00C9553A"/>
    <w:rsid w:val="00C9562F"/>
    <w:rsid w:val="00C9569E"/>
    <w:rsid w:val="00C9575F"/>
    <w:rsid w:val="00C95831"/>
    <w:rsid w:val="00C95861"/>
    <w:rsid w:val="00C958AF"/>
    <w:rsid w:val="00C9591A"/>
    <w:rsid w:val="00C95971"/>
    <w:rsid w:val="00C959CF"/>
    <w:rsid w:val="00C95B28"/>
    <w:rsid w:val="00C95B8C"/>
    <w:rsid w:val="00C95C08"/>
    <w:rsid w:val="00C95CDF"/>
    <w:rsid w:val="00C95E39"/>
    <w:rsid w:val="00C95EA7"/>
    <w:rsid w:val="00C95ED8"/>
    <w:rsid w:val="00C95F26"/>
    <w:rsid w:val="00C95F47"/>
    <w:rsid w:val="00C9607C"/>
    <w:rsid w:val="00C9609B"/>
    <w:rsid w:val="00C960EC"/>
    <w:rsid w:val="00C9631F"/>
    <w:rsid w:val="00C9636B"/>
    <w:rsid w:val="00C96386"/>
    <w:rsid w:val="00C963AA"/>
    <w:rsid w:val="00C9641B"/>
    <w:rsid w:val="00C96576"/>
    <w:rsid w:val="00C96585"/>
    <w:rsid w:val="00C967FB"/>
    <w:rsid w:val="00C9680C"/>
    <w:rsid w:val="00C96842"/>
    <w:rsid w:val="00C96896"/>
    <w:rsid w:val="00C968A8"/>
    <w:rsid w:val="00C96936"/>
    <w:rsid w:val="00C96946"/>
    <w:rsid w:val="00C96979"/>
    <w:rsid w:val="00C96AB8"/>
    <w:rsid w:val="00C96B96"/>
    <w:rsid w:val="00C96BCB"/>
    <w:rsid w:val="00C96BEF"/>
    <w:rsid w:val="00C96CC3"/>
    <w:rsid w:val="00C96DA0"/>
    <w:rsid w:val="00C96F07"/>
    <w:rsid w:val="00C96F28"/>
    <w:rsid w:val="00C96F85"/>
    <w:rsid w:val="00C96FC8"/>
    <w:rsid w:val="00C96FD1"/>
    <w:rsid w:val="00C97063"/>
    <w:rsid w:val="00C970CD"/>
    <w:rsid w:val="00C97128"/>
    <w:rsid w:val="00C971A0"/>
    <w:rsid w:val="00C971B1"/>
    <w:rsid w:val="00C972FB"/>
    <w:rsid w:val="00C97317"/>
    <w:rsid w:val="00C9731C"/>
    <w:rsid w:val="00C97383"/>
    <w:rsid w:val="00C9738E"/>
    <w:rsid w:val="00C9740B"/>
    <w:rsid w:val="00C97439"/>
    <w:rsid w:val="00C97473"/>
    <w:rsid w:val="00C9747D"/>
    <w:rsid w:val="00C974CF"/>
    <w:rsid w:val="00C974F7"/>
    <w:rsid w:val="00C97608"/>
    <w:rsid w:val="00C976FA"/>
    <w:rsid w:val="00C97731"/>
    <w:rsid w:val="00C97754"/>
    <w:rsid w:val="00C977C0"/>
    <w:rsid w:val="00C977C6"/>
    <w:rsid w:val="00C978BC"/>
    <w:rsid w:val="00C979F7"/>
    <w:rsid w:val="00C97A56"/>
    <w:rsid w:val="00C97A7C"/>
    <w:rsid w:val="00C97A7F"/>
    <w:rsid w:val="00C97AAC"/>
    <w:rsid w:val="00C97ADB"/>
    <w:rsid w:val="00C97B16"/>
    <w:rsid w:val="00C97B59"/>
    <w:rsid w:val="00C97C2A"/>
    <w:rsid w:val="00C97C70"/>
    <w:rsid w:val="00C97CA2"/>
    <w:rsid w:val="00C97CB2"/>
    <w:rsid w:val="00C97D90"/>
    <w:rsid w:val="00C97E89"/>
    <w:rsid w:val="00C97F86"/>
    <w:rsid w:val="00CA0054"/>
    <w:rsid w:val="00CA013B"/>
    <w:rsid w:val="00CA014C"/>
    <w:rsid w:val="00CA015B"/>
    <w:rsid w:val="00CA01C3"/>
    <w:rsid w:val="00CA02B1"/>
    <w:rsid w:val="00CA02C1"/>
    <w:rsid w:val="00CA02FE"/>
    <w:rsid w:val="00CA035C"/>
    <w:rsid w:val="00CA03AA"/>
    <w:rsid w:val="00CA046C"/>
    <w:rsid w:val="00CA050C"/>
    <w:rsid w:val="00CA058F"/>
    <w:rsid w:val="00CA0670"/>
    <w:rsid w:val="00CA06A8"/>
    <w:rsid w:val="00CA06AB"/>
    <w:rsid w:val="00CA0740"/>
    <w:rsid w:val="00CA07B9"/>
    <w:rsid w:val="00CA0830"/>
    <w:rsid w:val="00CA0905"/>
    <w:rsid w:val="00CA09B0"/>
    <w:rsid w:val="00CA09E6"/>
    <w:rsid w:val="00CA0AF7"/>
    <w:rsid w:val="00CA0B2B"/>
    <w:rsid w:val="00CA0BA9"/>
    <w:rsid w:val="00CA0D21"/>
    <w:rsid w:val="00CA0E3E"/>
    <w:rsid w:val="00CA0EA4"/>
    <w:rsid w:val="00CA0FA7"/>
    <w:rsid w:val="00CA0FD4"/>
    <w:rsid w:val="00CA0FFA"/>
    <w:rsid w:val="00CA113D"/>
    <w:rsid w:val="00CA1142"/>
    <w:rsid w:val="00CA1152"/>
    <w:rsid w:val="00CA1317"/>
    <w:rsid w:val="00CA1380"/>
    <w:rsid w:val="00CA144E"/>
    <w:rsid w:val="00CA1493"/>
    <w:rsid w:val="00CA1514"/>
    <w:rsid w:val="00CA15AB"/>
    <w:rsid w:val="00CA164C"/>
    <w:rsid w:val="00CA1671"/>
    <w:rsid w:val="00CA16E8"/>
    <w:rsid w:val="00CA16F3"/>
    <w:rsid w:val="00CA1712"/>
    <w:rsid w:val="00CA17F8"/>
    <w:rsid w:val="00CA18FD"/>
    <w:rsid w:val="00CA1904"/>
    <w:rsid w:val="00CA1A6B"/>
    <w:rsid w:val="00CA1A74"/>
    <w:rsid w:val="00CA1AEE"/>
    <w:rsid w:val="00CA1AF0"/>
    <w:rsid w:val="00CA1B14"/>
    <w:rsid w:val="00CA1B81"/>
    <w:rsid w:val="00CA1BE7"/>
    <w:rsid w:val="00CA1C60"/>
    <w:rsid w:val="00CA1C9E"/>
    <w:rsid w:val="00CA1D52"/>
    <w:rsid w:val="00CA1FA3"/>
    <w:rsid w:val="00CA1FB0"/>
    <w:rsid w:val="00CA1FD5"/>
    <w:rsid w:val="00CA1FFF"/>
    <w:rsid w:val="00CA2017"/>
    <w:rsid w:val="00CA2058"/>
    <w:rsid w:val="00CA205F"/>
    <w:rsid w:val="00CA21C4"/>
    <w:rsid w:val="00CA21ED"/>
    <w:rsid w:val="00CA22B8"/>
    <w:rsid w:val="00CA230B"/>
    <w:rsid w:val="00CA2332"/>
    <w:rsid w:val="00CA2336"/>
    <w:rsid w:val="00CA23DC"/>
    <w:rsid w:val="00CA23F4"/>
    <w:rsid w:val="00CA241A"/>
    <w:rsid w:val="00CA2480"/>
    <w:rsid w:val="00CA24B6"/>
    <w:rsid w:val="00CA26AE"/>
    <w:rsid w:val="00CA2747"/>
    <w:rsid w:val="00CA2786"/>
    <w:rsid w:val="00CA27CB"/>
    <w:rsid w:val="00CA2847"/>
    <w:rsid w:val="00CA2872"/>
    <w:rsid w:val="00CA288E"/>
    <w:rsid w:val="00CA28FA"/>
    <w:rsid w:val="00CA2960"/>
    <w:rsid w:val="00CA2A2A"/>
    <w:rsid w:val="00CA2ADF"/>
    <w:rsid w:val="00CA2B31"/>
    <w:rsid w:val="00CA2B56"/>
    <w:rsid w:val="00CA2BD8"/>
    <w:rsid w:val="00CA2C64"/>
    <w:rsid w:val="00CA2CF7"/>
    <w:rsid w:val="00CA2D85"/>
    <w:rsid w:val="00CA2D89"/>
    <w:rsid w:val="00CA2D93"/>
    <w:rsid w:val="00CA2E57"/>
    <w:rsid w:val="00CA2ECD"/>
    <w:rsid w:val="00CA2F2C"/>
    <w:rsid w:val="00CA2F53"/>
    <w:rsid w:val="00CA2F6E"/>
    <w:rsid w:val="00CA2F88"/>
    <w:rsid w:val="00CA2F9B"/>
    <w:rsid w:val="00CA2FAD"/>
    <w:rsid w:val="00CA2FEE"/>
    <w:rsid w:val="00CA30D9"/>
    <w:rsid w:val="00CA30DB"/>
    <w:rsid w:val="00CA31CC"/>
    <w:rsid w:val="00CA3217"/>
    <w:rsid w:val="00CA327E"/>
    <w:rsid w:val="00CA3295"/>
    <w:rsid w:val="00CA32D9"/>
    <w:rsid w:val="00CA3320"/>
    <w:rsid w:val="00CA338C"/>
    <w:rsid w:val="00CA34A8"/>
    <w:rsid w:val="00CA3564"/>
    <w:rsid w:val="00CA35CA"/>
    <w:rsid w:val="00CA3635"/>
    <w:rsid w:val="00CA36B5"/>
    <w:rsid w:val="00CA37CC"/>
    <w:rsid w:val="00CA3888"/>
    <w:rsid w:val="00CA38E4"/>
    <w:rsid w:val="00CA393A"/>
    <w:rsid w:val="00CA3994"/>
    <w:rsid w:val="00CA39C2"/>
    <w:rsid w:val="00CA39CD"/>
    <w:rsid w:val="00CA39E1"/>
    <w:rsid w:val="00CA3A28"/>
    <w:rsid w:val="00CA3A32"/>
    <w:rsid w:val="00CA3A45"/>
    <w:rsid w:val="00CA3A57"/>
    <w:rsid w:val="00CA3C75"/>
    <w:rsid w:val="00CA3D0B"/>
    <w:rsid w:val="00CA3E77"/>
    <w:rsid w:val="00CA3EC1"/>
    <w:rsid w:val="00CA3FA7"/>
    <w:rsid w:val="00CA4027"/>
    <w:rsid w:val="00CA409A"/>
    <w:rsid w:val="00CA4132"/>
    <w:rsid w:val="00CA4298"/>
    <w:rsid w:val="00CA4369"/>
    <w:rsid w:val="00CA43CB"/>
    <w:rsid w:val="00CA4491"/>
    <w:rsid w:val="00CA4498"/>
    <w:rsid w:val="00CA4542"/>
    <w:rsid w:val="00CA4560"/>
    <w:rsid w:val="00CA4576"/>
    <w:rsid w:val="00CA4589"/>
    <w:rsid w:val="00CA460B"/>
    <w:rsid w:val="00CA464E"/>
    <w:rsid w:val="00CA4657"/>
    <w:rsid w:val="00CA4680"/>
    <w:rsid w:val="00CA46F3"/>
    <w:rsid w:val="00CA4773"/>
    <w:rsid w:val="00CA47E8"/>
    <w:rsid w:val="00CA4825"/>
    <w:rsid w:val="00CA4885"/>
    <w:rsid w:val="00CA4901"/>
    <w:rsid w:val="00CA493E"/>
    <w:rsid w:val="00CA49E3"/>
    <w:rsid w:val="00CA4B65"/>
    <w:rsid w:val="00CA4BC2"/>
    <w:rsid w:val="00CA4C64"/>
    <w:rsid w:val="00CA4C71"/>
    <w:rsid w:val="00CA4C9C"/>
    <w:rsid w:val="00CA4D04"/>
    <w:rsid w:val="00CA4D44"/>
    <w:rsid w:val="00CA4E06"/>
    <w:rsid w:val="00CA4E93"/>
    <w:rsid w:val="00CA4FAF"/>
    <w:rsid w:val="00CA4FC8"/>
    <w:rsid w:val="00CA4FC9"/>
    <w:rsid w:val="00CA4FF9"/>
    <w:rsid w:val="00CA500A"/>
    <w:rsid w:val="00CA5018"/>
    <w:rsid w:val="00CA504E"/>
    <w:rsid w:val="00CA5084"/>
    <w:rsid w:val="00CA516A"/>
    <w:rsid w:val="00CA5184"/>
    <w:rsid w:val="00CA525E"/>
    <w:rsid w:val="00CA52A7"/>
    <w:rsid w:val="00CA5322"/>
    <w:rsid w:val="00CA5341"/>
    <w:rsid w:val="00CA539F"/>
    <w:rsid w:val="00CA53CD"/>
    <w:rsid w:val="00CA544A"/>
    <w:rsid w:val="00CA5495"/>
    <w:rsid w:val="00CA54C0"/>
    <w:rsid w:val="00CA5564"/>
    <w:rsid w:val="00CA55B2"/>
    <w:rsid w:val="00CA55E7"/>
    <w:rsid w:val="00CA5881"/>
    <w:rsid w:val="00CA588D"/>
    <w:rsid w:val="00CA589D"/>
    <w:rsid w:val="00CA58CB"/>
    <w:rsid w:val="00CA5BA2"/>
    <w:rsid w:val="00CA5C72"/>
    <w:rsid w:val="00CA5D05"/>
    <w:rsid w:val="00CA5DDB"/>
    <w:rsid w:val="00CA5DE2"/>
    <w:rsid w:val="00CA5E1B"/>
    <w:rsid w:val="00CA5F6E"/>
    <w:rsid w:val="00CA5F77"/>
    <w:rsid w:val="00CA60D2"/>
    <w:rsid w:val="00CA619D"/>
    <w:rsid w:val="00CA6220"/>
    <w:rsid w:val="00CA622B"/>
    <w:rsid w:val="00CA632F"/>
    <w:rsid w:val="00CA6396"/>
    <w:rsid w:val="00CA640F"/>
    <w:rsid w:val="00CA6412"/>
    <w:rsid w:val="00CA6458"/>
    <w:rsid w:val="00CA6465"/>
    <w:rsid w:val="00CA6498"/>
    <w:rsid w:val="00CA64E2"/>
    <w:rsid w:val="00CA6516"/>
    <w:rsid w:val="00CA653F"/>
    <w:rsid w:val="00CA6546"/>
    <w:rsid w:val="00CA65AA"/>
    <w:rsid w:val="00CA65E0"/>
    <w:rsid w:val="00CA65F3"/>
    <w:rsid w:val="00CA6721"/>
    <w:rsid w:val="00CA6731"/>
    <w:rsid w:val="00CA67B0"/>
    <w:rsid w:val="00CA67D2"/>
    <w:rsid w:val="00CA6850"/>
    <w:rsid w:val="00CA691B"/>
    <w:rsid w:val="00CA694E"/>
    <w:rsid w:val="00CA6A12"/>
    <w:rsid w:val="00CA6A3C"/>
    <w:rsid w:val="00CA6B5B"/>
    <w:rsid w:val="00CA6B73"/>
    <w:rsid w:val="00CA6B8F"/>
    <w:rsid w:val="00CA6C41"/>
    <w:rsid w:val="00CA6C88"/>
    <w:rsid w:val="00CA6E9E"/>
    <w:rsid w:val="00CA6EA1"/>
    <w:rsid w:val="00CA6F9D"/>
    <w:rsid w:val="00CA7014"/>
    <w:rsid w:val="00CA7074"/>
    <w:rsid w:val="00CA7080"/>
    <w:rsid w:val="00CA7084"/>
    <w:rsid w:val="00CA7105"/>
    <w:rsid w:val="00CA7249"/>
    <w:rsid w:val="00CA7259"/>
    <w:rsid w:val="00CA7343"/>
    <w:rsid w:val="00CA7367"/>
    <w:rsid w:val="00CA7573"/>
    <w:rsid w:val="00CA7582"/>
    <w:rsid w:val="00CA7586"/>
    <w:rsid w:val="00CA76A4"/>
    <w:rsid w:val="00CA771B"/>
    <w:rsid w:val="00CA780B"/>
    <w:rsid w:val="00CA784C"/>
    <w:rsid w:val="00CA7926"/>
    <w:rsid w:val="00CA7934"/>
    <w:rsid w:val="00CA79C9"/>
    <w:rsid w:val="00CA79DE"/>
    <w:rsid w:val="00CA7AE6"/>
    <w:rsid w:val="00CA7B1B"/>
    <w:rsid w:val="00CA7B47"/>
    <w:rsid w:val="00CA7C12"/>
    <w:rsid w:val="00CA7C3A"/>
    <w:rsid w:val="00CA7C60"/>
    <w:rsid w:val="00CA7C61"/>
    <w:rsid w:val="00CA7C7B"/>
    <w:rsid w:val="00CA7CE5"/>
    <w:rsid w:val="00CA7D3A"/>
    <w:rsid w:val="00CA7D97"/>
    <w:rsid w:val="00CA7F02"/>
    <w:rsid w:val="00CA7F67"/>
    <w:rsid w:val="00CB0002"/>
    <w:rsid w:val="00CB00DF"/>
    <w:rsid w:val="00CB00F9"/>
    <w:rsid w:val="00CB0111"/>
    <w:rsid w:val="00CB0119"/>
    <w:rsid w:val="00CB012F"/>
    <w:rsid w:val="00CB0205"/>
    <w:rsid w:val="00CB0297"/>
    <w:rsid w:val="00CB02C3"/>
    <w:rsid w:val="00CB02EA"/>
    <w:rsid w:val="00CB03ED"/>
    <w:rsid w:val="00CB0492"/>
    <w:rsid w:val="00CB0509"/>
    <w:rsid w:val="00CB056B"/>
    <w:rsid w:val="00CB05CC"/>
    <w:rsid w:val="00CB05D9"/>
    <w:rsid w:val="00CB0710"/>
    <w:rsid w:val="00CB075A"/>
    <w:rsid w:val="00CB07D5"/>
    <w:rsid w:val="00CB07E2"/>
    <w:rsid w:val="00CB08D0"/>
    <w:rsid w:val="00CB08D3"/>
    <w:rsid w:val="00CB091A"/>
    <w:rsid w:val="00CB0951"/>
    <w:rsid w:val="00CB09EF"/>
    <w:rsid w:val="00CB0A97"/>
    <w:rsid w:val="00CB0BAC"/>
    <w:rsid w:val="00CB0BC6"/>
    <w:rsid w:val="00CB0BE4"/>
    <w:rsid w:val="00CB0C6C"/>
    <w:rsid w:val="00CB0D22"/>
    <w:rsid w:val="00CB0D55"/>
    <w:rsid w:val="00CB0DD8"/>
    <w:rsid w:val="00CB0E85"/>
    <w:rsid w:val="00CB0F7C"/>
    <w:rsid w:val="00CB104E"/>
    <w:rsid w:val="00CB12CF"/>
    <w:rsid w:val="00CB132F"/>
    <w:rsid w:val="00CB1510"/>
    <w:rsid w:val="00CB1518"/>
    <w:rsid w:val="00CB1584"/>
    <w:rsid w:val="00CB15B2"/>
    <w:rsid w:val="00CB162B"/>
    <w:rsid w:val="00CB1660"/>
    <w:rsid w:val="00CB169F"/>
    <w:rsid w:val="00CB1720"/>
    <w:rsid w:val="00CB1899"/>
    <w:rsid w:val="00CB19C7"/>
    <w:rsid w:val="00CB1B4B"/>
    <w:rsid w:val="00CB1B5B"/>
    <w:rsid w:val="00CB1B76"/>
    <w:rsid w:val="00CB1B82"/>
    <w:rsid w:val="00CB1B96"/>
    <w:rsid w:val="00CB1BA7"/>
    <w:rsid w:val="00CB1BAB"/>
    <w:rsid w:val="00CB1C4A"/>
    <w:rsid w:val="00CB1C6F"/>
    <w:rsid w:val="00CB1CDB"/>
    <w:rsid w:val="00CB1CFC"/>
    <w:rsid w:val="00CB1D30"/>
    <w:rsid w:val="00CB1D32"/>
    <w:rsid w:val="00CB1D44"/>
    <w:rsid w:val="00CB1E7E"/>
    <w:rsid w:val="00CB1E8C"/>
    <w:rsid w:val="00CB1ECA"/>
    <w:rsid w:val="00CB1F59"/>
    <w:rsid w:val="00CB1FCD"/>
    <w:rsid w:val="00CB1FEF"/>
    <w:rsid w:val="00CB201D"/>
    <w:rsid w:val="00CB2046"/>
    <w:rsid w:val="00CB2054"/>
    <w:rsid w:val="00CB2153"/>
    <w:rsid w:val="00CB2159"/>
    <w:rsid w:val="00CB215D"/>
    <w:rsid w:val="00CB2199"/>
    <w:rsid w:val="00CB21FE"/>
    <w:rsid w:val="00CB2228"/>
    <w:rsid w:val="00CB2268"/>
    <w:rsid w:val="00CB234C"/>
    <w:rsid w:val="00CB2360"/>
    <w:rsid w:val="00CB23EA"/>
    <w:rsid w:val="00CB23F0"/>
    <w:rsid w:val="00CB2473"/>
    <w:rsid w:val="00CB248E"/>
    <w:rsid w:val="00CB2516"/>
    <w:rsid w:val="00CB2564"/>
    <w:rsid w:val="00CB25A5"/>
    <w:rsid w:val="00CB25EF"/>
    <w:rsid w:val="00CB26E5"/>
    <w:rsid w:val="00CB28A8"/>
    <w:rsid w:val="00CB28FC"/>
    <w:rsid w:val="00CB2992"/>
    <w:rsid w:val="00CB2A04"/>
    <w:rsid w:val="00CB2B8F"/>
    <w:rsid w:val="00CB2C23"/>
    <w:rsid w:val="00CB2C7A"/>
    <w:rsid w:val="00CB2D33"/>
    <w:rsid w:val="00CB2DF3"/>
    <w:rsid w:val="00CB2E17"/>
    <w:rsid w:val="00CB2F3B"/>
    <w:rsid w:val="00CB3082"/>
    <w:rsid w:val="00CB30F8"/>
    <w:rsid w:val="00CB32D1"/>
    <w:rsid w:val="00CB335D"/>
    <w:rsid w:val="00CB336E"/>
    <w:rsid w:val="00CB33C5"/>
    <w:rsid w:val="00CB340C"/>
    <w:rsid w:val="00CB342E"/>
    <w:rsid w:val="00CB348D"/>
    <w:rsid w:val="00CB3553"/>
    <w:rsid w:val="00CB3674"/>
    <w:rsid w:val="00CB367D"/>
    <w:rsid w:val="00CB36A0"/>
    <w:rsid w:val="00CB3750"/>
    <w:rsid w:val="00CB3772"/>
    <w:rsid w:val="00CB37D5"/>
    <w:rsid w:val="00CB38AC"/>
    <w:rsid w:val="00CB393C"/>
    <w:rsid w:val="00CB3977"/>
    <w:rsid w:val="00CB3A71"/>
    <w:rsid w:val="00CB3A78"/>
    <w:rsid w:val="00CB3AEE"/>
    <w:rsid w:val="00CB3BA6"/>
    <w:rsid w:val="00CB3DD3"/>
    <w:rsid w:val="00CB3DE5"/>
    <w:rsid w:val="00CB3DF1"/>
    <w:rsid w:val="00CB3E18"/>
    <w:rsid w:val="00CB3E62"/>
    <w:rsid w:val="00CB3F74"/>
    <w:rsid w:val="00CB3FD2"/>
    <w:rsid w:val="00CB402B"/>
    <w:rsid w:val="00CB4275"/>
    <w:rsid w:val="00CB42E7"/>
    <w:rsid w:val="00CB45A3"/>
    <w:rsid w:val="00CB45AC"/>
    <w:rsid w:val="00CB45BA"/>
    <w:rsid w:val="00CB45CD"/>
    <w:rsid w:val="00CB45DE"/>
    <w:rsid w:val="00CB4600"/>
    <w:rsid w:val="00CB4625"/>
    <w:rsid w:val="00CB4741"/>
    <w:rsid w:val="00CB4747"/>
    <w:rsid w:val="00CB4772"/>
    <w:rsid w:val="00CB4836"/>
    <w:rsid w:val="00CB488E"/>
    <w:rsid w:val="00CB495F"/>
    <w:rsid w:val="00CB49AB"/>
    <w:rsid w:val="00CB4A9D"/>
    <w:rsid w:val="00CB4B71"/>
    <w:rsid w:val="00CB4B83"/>
    <w:rsid w:val="00CB4C17"/>
    <w:rsid w:val="00CB4C28"/>
    <w:rsid w:val="00CB4D69"/>
    <w:rsid w:val="00CB4D75"/>
    <w:rsid w:val="00CB4D79"/>
    <w:rsid w:val="00CB4DA2"/>
    <w:rsid w:val="00CB4E48"/>
    <w:rsid w:val="00CB4E5F"/>
    <w:rsid w:val="00CB4EE4"/>
    <w:rsid w:val="00CB4F85"/>
    <w:rsid w:val="00CB4FC3"/>
    <w:rsid w:val="00CB4FD5"/>
    <w:rsid w:val="00CB5095"/>
    <w:rsid w:val="00CB50A7"/>
    <w:rsid w:val="00CB5116"/>
    <w:rsid w:val="00CB5196"/>
    <w:rsid w:val="00CB51D8"/>
    <w:rsid w:val="00CB522F"/>
    <w:rsid w:val="00CB5250"/>
    <w:rsid w:val="00CB53F1"/>
    <w:rsid w:val="00CB54F4"/>
    <w:rsid w:val="00CB554B"/>
    <w:rsid w:val="00CB558D"/>
    <w:rsid w:val="00CB56B4"/>
    <w:rsid w:val="00CB56F3"/>
    <w:rsid w:val="00CB579E"/>
    <w:rsid w:val="00CB5894"/>
    <w:rsid w:val="00CB59BD"/>
    <w:rsid w:val="00CB5A29"/>
    <w:rsid w:val="00CB5A85"/>
    <w:rsid w:val="00CB5AB5"/>
    <w:rsid w:val="00CB5B13"/>
    <w:rsid w:val="00CB5BA5"/>
    <w:rsid w:val="00CB5C3F"/>
    <w:rsid w:val="00CB5C72"/>
    <w:rsid w:val="00CB5D2A"/>
    <w:rsid w:val="00CB5D31"/>
    <w:rsid w:val="00CB5DBA"/>
    <w:rsid w:val="00CB5DFD"/>
    <w:rsid w:val="00CB5F29"/>
    <w:rsid w:val="00CB5F42"/>
    <w:rsid w:val="00CB6167"/>
    <w:rsid w:val="00CB61D0"/>
    <w:rsid w:val="00CB61F5"/>
    <w:rsid w:val="00CB6210"/>
    <w:rsid w:val="00CB6223"/>
    <w:rsid w:val="00CB6242"/>
    <w:rsid w:val="00CB62C7"/>
    <w:rsid w:val="00CB630F"/>
    <w:rsid w:val="00CB6314"/>
    <w:rsid w:val="00CB639A"/>
    <w:rsid w:val="00CB63A1"/>
    <w:rsid w:val="00CB647F"/>
    <w:rsid w:val="00CB6554"/>
    <w:rsid w:val="00CB6562"/>
    <w:rsid w:val="00CB66A2"/>
    <w:rsid w:val="00CB66EF"/>
    <w:rsid w:val="00CB6713"/>
    <w:rsid w:val="00CB672C"/>
    <w:rsid w:val="00CB68A5"/>
    <w:rsid w:val="00CB690C"/>
    <w:rsid w:val="00CB6912"/>
    <w:rsid w:val="00CB69ED"/>
    <w:rsid w:val="00CB6A15"/>
    <w:rsid w:val="00CB6B32"/>
    <w:rsid w:val="00CB6BBB"/>
    <w:rsid w:val="00CB6C55"/>
    <w:rsid w:val="00CB6C5C"/>
    <w:rsid w:val="00CB6C81"/>
    <w:rsid w:val="00CB6CD9"/>
    <w:rsid w:val="00CB6CE4"/>
    <w:rsid w:val="00CB6D74"/>
    <w:rsid w:val="00CB6F24"/>
    <w:rsid w:val="00CB70F0"/>
    <w:rsid w:val="00CB70F7"/>
    <w:rsid w:val="00CB71F5"/>
    <w:rsid w:val="00CB7384"/>
    <w:rsid w:val="00CB73A1"/>
    <w:rsid w:val="00CB73CE"/>
    <w:rsid w:val="00CB750F"/>
    <w:rsid w:val="00CB751E"/>
    <w:rsid w:val="00CB756D"/>
    <w:rsid w:val="00CB75A6"/>
    <w:rsid w:val="00CB7661"/>
    <w:rsid w:val="00CB76BF"/>
    <w:rsid w:val="00CB77C0"/>
    <w:rsid w:val="00CB7804"/>
    <w:rsid w:val="00CB781F"/>
    <w:rsid w:val="00CB7845"/>
    <w:rsid w:val="00CB79CB"/>
    <w:rsid w:val="00CB7ABF"/>
    <w:rsid w:val="00CB7B54"/>
    <w:rsid w:val="00CB7BCC"/>
    <w:rsid w:val="00CB7C64"/>
    <w:rsid w:val="00CB7C7D"/>
    <w:rsid w:val="00CB7D64"/>
    <w:rsid w:val="00CB7E1E"/>
    <w:rsid w:val="00CB7E62"/>
    <w:rsid w:val="00CB7E63"/>
    <w:rsid w:val="00CB7E86"/>
    <w:rsid w:val="00CB7ED1"/>
    <w:rsid w:val="00CC0029"/>
    <w:rsid w:val="00CC0142"/>
    <w:rsid w:val="00CC0149"/>
    <w:rsid w:val="00CC024E"/>
    <w:rsid w:val="00CC0278"/>
    <w:rsid w:val="00CC034C"/>
    <w:rsid w:val="00CC0434"/>
    <w:rsid w:val="00CC0498"/>
    <w:rsid w:val="00CC0643"/>
    <w:rsid w:val="00CC06DC"/>
    <w:rsid w:val="00CC08A0"/>
    <w:rsid w:val="00CC08D2"/>
    <w:rsid w:val="00CC08D6"/>
    <w:rsid w:val="00CC0933"/>
    <w:rsid w:val="00CC0969"/>
    <w:rsid w:val="00CC09A4"/>
    <w:rsid w:val="00CC0A6E"/>
    <w:rsid w:val="00CC0AB2"/>
    <w:rsid w:val="00CC0AE6"/>
    <w:rsid w:val="00CC0BF4"/>
    <w:rsid w:val="00CC0C9A"/>
    <w:rsid w:val="00CC0D81"/>
    <w:rsid w:val="00CC0DAF"/>
    <w:rsid w:val="00CC0E57"/>
    <w:rsid w:val="00CC0E85"/>
    <w:rsid w:val="00CC0F37"/>
    <w:rsid w:val="00CC0F69"/>
    <w:rsid w:val="00CC0FC1"/>
    <w:rsid w:val="00CC0FF6"/>
    <w:rsid w:val="00CC0FFD"/>
    <w:rsid w:val="00CC1036"/>
    <w:rsid w:val="00CC103C"/>
    <w:rsid w:val="00CC1088"/>
    <w:rsid w:val="00CC10CD"/>
    <w:rsid w:val="00CC1267"/>
    <w:rsid w:val="00CC126E"/>
    <w:rsid w:val="00CC12E7"/>
    <w:rsid w:val="00CC1365"/>
    <w:rsid w:val="00CC15B8"/>
    <w:rsid w:val="00CC1A31"/>
    <w:rsid w:val="00CC1A5A"/>
    <w:rsid w:val="00CC1B35"/>
    <w:rsid w:val="00CC1B62"/>
    <w:rsid w:val="00CC1CE3"/>
    <w:rsid w:val="00CC1D36"/>
    <w:rsid w:val="00CC1D3F"/>
    <w:rsid w:val="00CC1D99"/>
    <w:rsid w:val="00CC1DC1"/>
    <w:rsid w:val="00CC1DCE"/>
    <w:rsid w:val="00CC1E03"/>
    <w:rsid w:val="00CC1E19"/>
    <w:rsid w:val="00CC1E57"/>
    <w:rsid w:val="00CC1FFB"/>
    <w:rsid w:val="00CC2047"/>
    <w:rsid w:val="00CC2070"/>
    <w:rsid w:val="00CC20E2"/>
    <w:rsid w:val="00CC21CE"/>
    <w:rsid w:val="00CC21D7"/>
    <w:rsid w:val="00CC22D0"/>
    <w:rsid w:val="00CC2322"/>
    <w:rsid w:val="00CC235B"/>
    <w:rsid w:val="00CC235C"/>
    <w:rsid w:val="00CC23EA"/>
    <w:rsid w:val="00CC2537"/>
    <w:rsid w:val="00CC25CD"/>
    <w:rsid w:val="00CC25E6"/>
    <w:rsid w:val="00CC26CC"/>
    <w:rsid w:val="00CC27AC"/>
    <w:rsid w:val="00CC27E3"/>
    <w:rsid w:val="00CC2814"/>
    <w:rsid w:val="00CC2850"/>
    <w:rsid w:val="00CC2951"/>
    <w:rsid w:val="00CC29E8"/>
    <w:rsid w:val="00CC29F4"/>
    <w:rsid w:val="00CC2B85"/>
    <w:rsid w:val="00CC2BC6"/>
    <w:rsid w:val="00CC2BDF"/>
    <w:rsid w:val="00CC2CB3"/>
    <w:rsid w:val="00CC2E3D"/>
    <w:rsid w:val="00CC2E9E"/>
    <w:rsid w:val="00CC2EF6"/>
    <w:rsid w:val="00CC319A"/>
    <w:rsid w:val="00CC3236"/>
    <w:rsid w:val="00CC3281"/>
    <w:rsid w:val="00CC32FC"/>
    <w:rsid w:val="00CC333D"/>
    <w:rsid w:val="00CC3390"/>
    <w:rsid w:val="00CC33F4"/>
    <w:rsid w:val="00CC34A5"/>
    <w:rsid w:val="00CC35B0"/>
    <w:rsid w:val="00CC3682"/>
    <w:rsid w:val="00CC368F"/>
    <w:rsid w:val="00CC3813"/>
    <w:rsid w:val="00CC381F"/>
    <w:rsid w:val="00CC3824"/>
    <w:rsid w:val="00CC38A7"/>
    <w:rsid w:val="00CC3945"/>
    <w:rsid w:val="00CC394A"/>
    <w:rsid w:val="00CC398E"/>
    <w:rsid w:val="00CC3A5C"/>
    <w:rsid w:val="00CC3AD4"/>
    <w:rsid w:val="00CC3B05"/>
    <w:rsid w:val="00CC3B85"/>
    <w:rsid w:val="00CC3BE8"/>
    <w:rsid w:val="00CC3C18"/>
    <w:rsid w:val="00CC3C43"/>
    <w:rsid w:val="00CC3C94"/>
    <w:rsid w:val="00CC3C9C"/>
    <w:rsid w:val="00CC3CB9"/>
    <w:rsid w:val="00CC3D3C"/>
    <w:rsid w:val="00CC3D7B"/>
    <w:rsid w:val="00CC3DFE"/>
    <w:rsid w:val="00CC3E0D"/>
    <w:rsid w:val="00CC3E14"/>
    <w:rsid w:val="00CC3E44"/>
    <w:rsid w:val="00CC3E8F"/>
    <w:rsid w:val="00CC3F07"/>
    <w:rsid w:val="00CC3F1A"/>
    <w:rsid w:val="00CC4110"/>
    <w:rsid w:val="00CC41DE"/>
    <w:rsid w:val="00CC424F"/>
    <w:rsid w:val="00CC42EB"/>
    <w:rsid w:val="00CC43DD"/>
    <w:rsid w:val="00CC4466"/>
    <w:rsid w:val="00CC44F3"/>
    <w:rsid w:val="00CC4506"/>
    <w:rsid w:val="00CC4517"/>
    <w:rsid w:val="00CC457A"/>
    <w:rsid w:val="00CC460D"/>
    <w:rsid w:val="00CC46D0"/>
    <w:rsid w:val="00CC4711"/>
    <w:rsid w:val="00CC4738"/>
    <w:rsid w:val="00CC4796"/>
    <w:rsid w:val="00CC486B"/>
    <w:rsid w:val="00CC49A0"/>
    <w:rsid w:val="00CC4AA0"/>
    <w:rsid w:val="00CC4D40"/>
    <w:rsid w:val="00CC4D55"/>
    <w:rsid w:val="00CC4F80"/>
    <w:rsid w:val="00CC4FEC"/>
    <w:rsid w:val="00CC500D"/>
    <w:rsid w:val="00CC5010"/>
    <w:rsid w:val="00CC501B"/>
    <w:rsid w:val="00CC51FD"/>
    <w:rsid w:val="00CC521D"/>
    <w:rsid w:val="00CC5249"/>
    <w:rsid w:val="00CC5383"/>
    <w:rsid w:val="00CC540A"/>
    <w:rsid w:val="00CC5418"/>
    <w:rsid w:val="00CC5468"/>
    <w:rsid w:val="00CC5472"/>
    <w:rsid w:val="00CC54D6"/>
    <w:rsid w:val="00CC554D"/>
    <w:rsid w:val="00CC5565"/>
    <w:rsid w:val="00CC5612"/>
    <w:rsid w:val="00CC5639"/>
    <w:rsid w:val="00CC56A1"/>
    <w:rsid w:val="00CC582A"/>
    <w:rsid w:val="00CC5921"/>
    <w:rsid w:val="00CC596F"/>
    <w:rsid w:val="00CC59B7"/>
    <w:rsid w:val="00CC59F4"/>
    <w:rsid w:val="00CC5A2A"/>
    <w:rsid w:val="00CC5A51"/>
    <w:rsid w:val="00CC5B10"/>
    <w:rsid w:val="00CC5B64"/>
    <w:rsid w:val="00CC5BF0"/>
    <w:rsid w:val="00CC5CED"/>
    <w:rsid w:val="00CC5CFC"/>
    <w:rsid w:val="00CC5D8D"/>
    <w:rsid w:val="00CC5DE9"/>
    <w:rsid w:val="00CC5EE8"/>
    <w:rsid w:val="00CC5EFF"/>
    <w:rsid w:val="00CC5F5B"/>
    <w:rsid w:val="00CC6052"/>
    <w:rsid w:val="00CC6189"/>
    <w:rsid w:val="00CC618A"/>
    <w:rsid w:val="00CC61BD"/>
    <w:rsid w:val="00CC61E7"/>
    <w:rsid w:val="00CC6280"/>
    <w:rsid w:val="00CC62A4"/>
    <w:rsid w:val="00CC62E6"/>
    <w:rsid w:val="00CC6330"/>
    <w:rsid w:val="00CC6356"/>
    <w:rsid w:val="00CC636A"/>
    <w:rsid w:val="00CC63B3"/>
    <w:rsid w:val="00CC63EA"/>
    <w:rsid w:val="00CC646C"/>
    <w:rsid w:val="00CC654B"/>
    <w:rsid w:val="00CC6551"/>
    <w:rsid w:val="00CC6573"/>
    <w:rsid w:val="00CC6595"/>
    <w:rsid w:val="00CC659D"/>
    <w:rsid w:val="00CC65E4"/>
    <w:rsid w:val="00CC65F9"/>
    <w:rsid w:val="00CC66A4"/>
    <w:rsid w:val="00CC66D5"/>
    <w:rsid w:val="00CC6763"/>
    <w:rsid w:val="00CC6794"/>
    <w:rsid w:val="00CC6801"/>
    <w:rsid w:val="00CC686E"/>
    <w:rsid w:val="00CC6A75"/>
    <w:rsid w:val="00CC6B00"/>
    <w:rsid w:val="00CC6B60"/>
    <w:rsid w:val="00CC6B86"/>
    <w:rsid w:val="00CC6C63"/>
    <w:rsid w:val="00CC6CB9"/>
    <w:rsid w:val="00CC6CDD"/>
    <w:rsid w:val="00CC6D44"/>
    <w:rsid w:val="00CC6D6E"/>
    <w:rsid w:val="00CC6DD5"/>
    <w:rsid w:val="00CC6E9D"/>
    <w:rsid w:val="00CC6EA3"/>
    <w:rsid w:val="00CC6F96"/>
    <w:rsid w:val="00CC6FBE"/>
    <w:rsid w:val="00CC6FE3"/>
    <w:rsid w:val="00CC7009"/>
    <w:rsid w:val="00CC701E"/>
    <w:rsid w:val="00CC7032"/>
    <w:rsid w:val="00CC70AA"/>
    <w:rsid w:val="00CC71EC"/>
    <w:rsid w:val="00CC724B"/>
    <w:rsid w:val="00CC728B"/>
    <w:rsid w:val="00CC7320"/>
    <w:rsid w:val="00CC7401"/>
    <w:rsid w:val="00CC7492"/>
    <w:rsid w:val="00CC7609"/>
    <w:rsid w:val="00CC7695"/>
    <w:rsid w:val="00CC76A4"/>
    <w:rsid w:val="00CC7893"/>
    <w:rsid w:val="00CC78ED"/>
    <w:rsid w:val="00CC7A31"/>
    <w:rsid w:val="00CC7A98"/>
    <w:rsid w:val="00CC7AD4"/>
    <w:rsid w:val="00CC7B91"/>
    <w:rsid w:val="00CC7BBC"/>
    <w:rsid w:val="00CC7C07"/>
    <w:rsid w:val="00CC7C77"/>
    <w:rsid w:val="00CC7CB3"/>
    <w:rsid w:val="00CC7E88"/>
    <w:rsid w:val="00CC7FC7"/>
    <w:rsid w:val="00CD0171"/>
    <w:rsid w:val="00CD0209"/>
    <w:rsid w:val="00CD0212"/>
    <w:rsid w:val="00CD0226"/>
    <w:rsid w:val="00CD02C6"/>
    <w:rsid w:val="00CD03AC"/>
    <w:rsid w:val="00CD0435"/>
    <w:rsid w:val="00CD044B"/>
    <w:rsid w:val="00CD04A0"/>
    <w:rsid w:val="00CD0519"/>
    <w:rsid w:val="00CD05AF"/>
    <w:rsid w:val="00CD05E8"/>
    <w:rsid w:val="00CD0645"/>
    <w:rsid w:val="00CD0658"/>
    <w:rsid w:val="00CD06D7"/>
    <w:rsid w:val="00CD087B"/>
    <w:rsid w:val="00CD08A8"/>
    <w:rsid w:val="00CD0969"/>
    <w:rsid w:val="00CD09CA"/>
    <w:rsid w:val="00CD0A05"/>
    <w:rsid w:val="00CD0ADB"/>
    <w:rsid w:val="00CD0B1C"/>
    <w:rsid w:val="00CD0B8F"/>
    <w:rsid w:val="00CD0B98"/>
    <w:rsid w:val="00CD0C19"/>
    <w:rsid w:val="00CD0D09"/>
    <w:rsid w:val="00CD0D78"/>
    <w:rsid w:val="00CD0FE6"/>
    <w:rsid w:val="00CD0FF3"/>
    <w:rsid w:val="00CD1001"/>
    <w:rsid w:val="00CD1008"/>
    <w:rsid w:val="00CD1098"/>
    <w:rsid w:val="00CD1234"/>
    <w:rsid w:val="00CD1263"/>
    <w:rsid w:val="00CD139B"/>
    <w:rsid w:val="00CD13E9"/>
    <w:rsid w:val="00CD13FD"/>
    <w:rsid w:val="00CD143B"/>
    <w:rsid w:val="00CD1444"/>
    <w:rsid w:val="00CD1459"/>
    <w:rsid w:val="00CD157A"/>
    <w:rsid w:val="00CD1646"/>
    <w:rsid w:val="00CD1676"/>
    <w:rsid w:val="00CD1843"/>
    <w:rsid w:val="00CD1871"/>
    <w:rsid w:val="00CD195F"/>
    <w:rsid w:val="00CD1A1C"/>
    <w:rsid w:val="00CD1A1E"/>
    <w:rsid w:val="00CD1A9C"/>
    <w:rsid w:val="00CD1AD3"/>
    <w:rsid w:val="00CD1B24"/>
    <w:rsid w:val="00CD1C27"/>
    <w:rsid w:val="00CD1C90"/>
    <w:rsid w:val="00CD1C94"/>
    <w:rsid w:val="00CD1D21"/>
    <w:rsid w:val="00CD1DB5"/>
    <w:rsid w:val="00CD1E1F"/>
    <w:rsid w:val="00CD1E33"/>
    <w:rsid w:val="00CD1E3A"/>
    <w:rsid w:val="00CD1E56"/>
    <w:rsid w:val="00CD1E57"/>
    <w:rsid w:val="00CD1F37"/>
    <w:rsid w:val="00CD1F3E"/>
    <w:rsid w:val="00CD1FC8"/>
    <w:rsid w:val="00CD206A"/>
    <w:rsid w:val="00CD2075"/>
    <w:rsid w:val="00CD21C8"/>
    <w:rsid w:val="00CD2246"/>
    <w:rsid w:val="00CD2273"/>
    <w:rsid w:val="00CD22F1"/>
    <w:rsid w:val="00CD231E"/>
    <w:rsid w:val="00CD23C9"/>
    <w:rsid w:val="00CD23CA"/>
    <w:rsid w:val="00CD241B"/>
    <w:rsid w:val="00CD2445"/>
    <w:rsid w:val="00CD24A4"/>
    <w:rsid w:val="00CD2585"/>
    <w:rsid w:val="00CD25B7"/>
    <w:rsid w:val="00CD263A"/>
    <w:rsid w:val="00CD266C"/>
    <w:rsid w:val="00CD26BA"/>
    <w:rsid w:val="00CD26D2"/>
    <w:rsid w:val="00CD26DE"/>
    <w:rsid w:val="00CD2727"/>
    <w:rsid w:val="00CD2741"/>
    <w:rsid w:val="00CD276C"/>
    <w:rsid w:val="00CD27A7"/>
    <w:rsid w:val="00CD27E2"/>
    <w:rsid w:val="00CD27F5"/>
    <w:rsid w:val="00CD28C0"/>
    <w:rsid w:val="00CD2911"/>
    <w:rsid w:val="00CD29E3"/>
    <w:rsid w:val="00CD2A37"/>
    <w:rsid w:val="00CD2A8B"/>
    <w:rsid w:val="00CD2B26"/>
    <w:rsid w:val="00CD2B30"/>
    <w:rsid w:val="00CD2B4A"/>
    <w:rsid w:val="00CD2B81"/>
    <w:rsid w:val="00CD2BA1"/>
    <w:rsid w:val="00CD2BAE"/>
    <w:rsid w:val="00CD2CB8"/>
    <w:rsid w:val="00CD2CD0"/>
    <w:rsid w:val="00CD2CD5"/>
    <w:rsid w:val="00CD2D02"/>
    <w:rsid w:val="00CD2D2E"/>
    <w:rsid w:val="00CD2E02"/>
    <w:rsid w:val="00CD2E0C"/>
    <w:rsid w:val="00CD2E2A"/>
    <w:rsid w:val="00CD2E72"/>
    <w:rsid w:val="00CD2F0D"/>
    <w:rsid w:val="00CD2FC2"/>
    <w:rsid w:val="00CD307D"/>
    <w:rsid w:val="00CD3113"/>
    <w:rsid w:val="00CD31B4"/>
    <w:rsid w:val="00CD31B5"/>
    <w:rsid w:val="00CD31DE"/>
    <w:rsid w:val="00CD32BD"/>
    <w:rsid w:val="00CD33DC"/>
    <w:rsid w:val="00CD33F1"/>
    <w:rsid w:val="00CD3585"/>
    <w:rsid w:val="00CD3590"/>
    <w:rsid w:val="00CD362F"/>
    <w:rsid w:val="00CD364C"/>
    <w:rsid w:val="00CD3679"/>
    <w:rsid w:val="00CD36AD"/>
    <w:rsid w:val="00CD3747"/>
    <w:rsid w:val="00CD3769"/>
    <w:rsid w:val="00CD37AE"/>
    <w:rsid w:val="00CD38BA"/>
    <w:rsid w:val="00CD38D0"/>
    <w:rsid w:val="00CD38F8"/>
    <w:rsid w:val="00CD3A5B"/>
    <w:rsid w:val="00CD3A7F"/>
    <w:rsid w:val="00CD3AD2"/>
    <w:rsid w:val="00CD3B04"/>
    <w:rsid w:val="00CD3B14"/>
    <w:rsid w:val="00CD3B3D"/>
    <w:rsid w:val="00CD3B49"/>
    <w:rsid w:val="00CD3B95"/>
    <w:rsid w:val="00CD3BE3"/>
    <w:rsid w:val="00CD3CCA"/>
    <w:rsid w:val="00CD3CFB"/>
    <w:rsid w:val="00CD3E2E"/>
    <w:rsid w:val="00CD3F98"/>
    <w:rsid w:val="00CD3FB9"/>
    <w:rsid w:val="00CD4012"/>
    <w:rsid w:val="00CD4071"/>
    <w:rsid w:val="00CD40CA"/>
    <w:rsid w:val="00CD40F5"/>
    <w:rsid w:val="00CD4155"/>
    <w:rsid w:val="00CD4194"/>
    <w:rsid w:val="00CD424C"/>
    <w:rsid w:val="00CD4254"/>
    <w:rsid w:val="00CD4376"/>
    <w:rsid w:val="00CD439E"/>
    <w:rsid w:val="00CD43FA"/>
    <w:rsid w:val="00CD4596"/>
    <w:rsid w:val="00CD45EA"/>
    <w:rsid w:val="00CD4650"/>
    <w:rsid w:val="00CD4657"/>
    <w:rsid w:val="00CD465A"/>
    <w:rsid w:val="00CD4831"/>
    <w:rsid w:val="00CD492A"/>
    <w:rsid w:val="00CD4993"/>
    <w:rsid w:val="00CD4A48"/>
    <w:rsid w:val="00CD4A84"/>
    <w:rsid w:val="00CD4AA3"/>
    <w:rsid w:val="00CD4AC3"/>
    <w:rsid w:val="00CD4ADC"/>
    <w:rsid w:val="00CD4BAD"/>
    <w:rsid w:val="00CD4BBC"/>
    <w:rsid w:val="00CD4BD6"/>
    <w:rsid w:val="00CD4C26"/>
    <w:rsid w:val="00CD4C60"/>
    <w:rsid w:val="00CD4C8B"/>
    <w:rsid w:val="00CD4D61"/>
    <w:rsid w:val="00CD4DA4"/>
    <w:rsid w:val="00CD4DE4"/>
    <w:rsid w:val="00CD4E80"/>
    <w:rsid w:val="00CD508E"/>
    <w:rsid w:val="00CD50A0"/>
    <w:rsid w:val="00CD513D"/>
    <w:rsid w:val="00CD51DC"/>
    <w:rsid w:val="00CD5215"/>
    <w:rsid w:val="00CD525F"/>
    <w:rsid w:val="00CD528F"/>
    <w:rsid w:val="00CD53D3"/>
    <w:rsid w:val="00CD5408"/>
    <w:rsid w:val="00CD5433"/>
    <w:rsid w:val="00CD5436"/>
    <w:rsid w:val="00CD554D"/>
    <w:rsid w:val="00CD55E8"/>
    <w:rsid w:val="00CD55F9"/>
    <w:rsid w:val="00CD5607"/>
    <w:rsid w:val="00CD560E"/>
    <w:rsid w:val="00CD5619"/>
    <w:rsid w:val="00CD5668"/>
    <w:rsid w:val="00CD5682"/>
    <w:rsid w:val="00CD5685"/>
    <w:rsid w:val="00CD57DE"/>
    <w:rsid w:val="00CD58A4"/>
    <w:rsid w:val="00CD58E8"/>
    <w:rsid w:val="00CD5901"/>
    <w:rsid w:val="00CD5983"/>
    <w:rsid w:val="00CD59AC"/>
    <w:rsid w:val="00CD5A26"/>
    <w:rsid w:val="00CD5B2D"/>
    <w:rsid w:val="00CD5BFE"/>
    <w:rsid w:val="00CD5C56"/>
    <w:rsid w:val="00CD5D27"/>
    <w:rsid w:val="00CD5D3C"/>
    <w:rsid w:val="00CD5DED"/>
    <w:rsid w:val="00CD5E2A"/>
    <w:rsid w:val="00CD5E3C"/>
    <w:rsid w:val="00CD5F3D"/>
    <w:rsid w:val="00CD5F92"/>
    <w:rsid w:val="00CD6000"/>
    <w:rsid w:val="00CD6019"/>
    <w:rsid w:val="00CD6030"/>
    <w:rsid w:val="00CD60CB"/>
    <w:rsid w:val="00CD6150"/>
    <w:rsid w:val="00CD618D"/>
    <w:rsid w:val="00CD622F"/>
    <w:rsid w:val="00CD628F"/>
    <w:rsid w:val="00CD632D"/>
    <w:rsid w:val="00CD641F"/>
    <w:rsid w:val="00CD64A1"/>
    <w:rsid w:val="00CD65D3"/>
    <w:rsid w:val="00CD6692"/>
    <w:rsid w:val="00CD66FF"/>
    <w:rsid w:val="00CD67B2"/>
    <w:rsid w:val="00CD6B9C"/>
    <w:rsid w:val="00CD6BB8"/>
    <w:rsid w:val="00CD6BB9"/>
    <w:rsid w:val="00CD6CAD"/>
    <w:rsid w:val="00CD6CC2"/>
    <w:rsid w:val="00CD6CCE"/>
    <w:rsid w:val="00CD6CFD"/>
    <w:rsid w:val="00CD6D5F"/>
    <w:rsid w:val="00CD6D89"/>
    <w:rsid w:val="00CD6E14"/>
    <w:rsid w:val="00CD6F8D"/>
    <w:rsid w:val="00CD6FE0"/>
    <w:rsid w:val="00CD7003"/>
    <w:rsid w:val="00CD70BD"/>
    <w:rsid w:val="00CD70EA"/>
    <w:rsid w:val="00CD7131"/>
    <w:rsid w:val="00CD7187"/>
    <w:rsid w:val="00CD719A"/>
    <w:rsid w:val="00CD719D"/>
    <w:rsid w:val="00CD7250"/>
    <w:rsid w:val="00CD728E"/>
    <w:rsid w:val="00CD72B2"/>
    <w:rsid w:val="00CD72DD"/>
    <w:rsid w:val="00CD72E0"/>
    <w:rsid w:val="00CD72FF"/>
    <w:rsid w:val="00CD7314"/>
    <w:rsid w:val="00CD7356"/>
    <w:rsid w:val="00CD73CB"/>
    <w:rsid w:val="00CD7472"/>
    <w:rsid w:val="00CD756B"/>
    <w:rsid w:val="00CD7595"/>
    <w:rsid w:val="00CD75D8"/>
    <w:rsid w:val="00CD75FB"/>
    <w:rsid w:val="00CD7647"/>
    <w:rsid w:val="00CD76BB"/>
    <w:rsid w:val="00CD76C3"/>
    <w:rsid w:val="00CD7728"/>
    <w:rsid w:val="00CD7803"/>
    <w:rsid w:val="00CD7838"/>
    <w:rsid w:val="00CD79A5"/>
    <w:rsid w:val="00CD7AAB"/>
    <w:rsid w:val="00CD7ADB"/>
    <w:rsid w:val="00CD7B17"/>
    <w:rsid w:val="00CD7B72"/>
    <w:rsid w:val="00CD7C14"/>
    <w:rsid w:val="00CD7C59"/>
    <w:rsid w:val="00CD7CBD"/>
    <w:rsid w:val="00CD7D0E"/>
    <w:rsid w:val="00CD7E75"/>
    <w:rsid w:val="00CD7E99"/>
    <w:rsid w:val="00CD7ED8"/>
    <w:rsid w:val="00CD7EDD"/>
    <w:rsid w:val="00CE0003"/>
    <w:rsid w:val="00CE0011"/>
    <w:rsid w:val="00CE00D9"/>
    <w:rsid w:val="00CE00E0"/>
    <w:rsid w:val="00CE0104"/>
    <w:rsid w:val="00CE0134"/>
    <w:rsid w:val="00CE01AA"/>
    <w:rsid w:val="00CE01D1"/>
    <w:rsid w:val="00CE01EC"/>
    <w:rsid w:val="00CE02CF"/>
    <w:rsid w:val="00CE02EF"/>
    <w:rsid w:val="00CE0357"/>
    <w:rsid w:val="00CE038C"/>
    <w:rsid w:val="00CE0410"/>
    <w:rsid w:val="00CE042E"/>
    <w:rsid w:val="00CE043F"/>
    <w:rsid w:val="00CE0440"/>
    <w:rsid w:val="00CE0466"/>
    <w:rsid w:val="00CE04BC"/>
    <w:rsid w:val="00CE04DE"/>
    <w:rsid w:val="00CE04FC"/>
    <w:rsid w:val="00CE0584"/>
    <w:rsid w:val="00CE0634"/>
    <w:rsid w:val="00CE06BD"/>
    <w:rsid w:val="00CE071B"/>
    <w:rsid w:val="00CE0768"/>
    <w:rsid w:val="00CE08DA"/>
    <w:rsid w:val="00CE0B00"/>
    <w:rsid w:val="00CE0E02"/>
    <w:rsid w:val="00CE0E3A"/>
    <w:rsid w:val="00CE0ED5"/>
    <w:rsid w:val="00CE0FE4"/>
    <w:rsid w:val="00CE0FF8"/>
    <w:rsid w:val="00CE1041"/>
    <w:rsid w:val="00CE1049"/>
    <w:rsid w:val="00CE1097"/>
    <w:rsid w:val="00CE10C1"/>
    <w:rsid w:val="00CE11EF"/>
    <w:rsid w:val="00CE128D"/>
    <w:rsid w:val="00CE12CD"/>
    <w:rsid w:val="00CE1412"/>
    <w:rsid w:val="00CE1444"/>
    <w:rsid w:val="00CE14F6"/>
    <w:rsid w:val="00CE14F9"/>
    <w:rsid w:val="00CE1501"/>
    <w:rsid w:val="00CE154F"/>
    <w:rsid w:val="00CE1559"/>
    <w:rsid w:val="00CE15CB"/>
    <w:rsid w:val="00CE15D6"/>
    <w:rsid w:val="00CE17F1"/>
    <w:rsid w:val="00CE1A34"/>
    <w:rsid w:val="00CE1A77"/>
    <w:rsid w:val="00CE1AD2"/>
    <w:rsid w:val="00CE1AF8"/>
    <w:rsid w:val="00CE1BB3"/>
    <w:rsid w:val="00CE1C58"/>
    <w:rsid w:val="00CE1C74"/>
    <w:rsid w:val="00CE1CC7"/>
    <w:rsid w:val="00CE1CDB"/>
    <w:rsid w:val="00CE1D00"/>
    <w:rsid w:val="00CE1D56"/>
    <w:rsid w:val="00CE1DC0"/>
    <w:rsid w:val="00CE1E70"/>
    <w:rsid w:val="00CE1EBE"/>
    <w:rsid w:val="00CE1F41"/>
    <w:rsid w:val="00CE1FAE"/>
    <w:rsid w:val="00CE2056"/>
    <w:rsid w:val="00CE2061"/>
    <w:rsid w:val="00CE2202"/>
    <w:rsid w:val="00CE223F"/>
    <w:rsid w:val="00CE22E8"/>
    <w:rsid w:val="00CE22FD"/>
    <w:rsid w:val="00CE23AC"/>
    <w:rsid w:val="00CE2492"/>
    <w:rsid w:val="00CE24AE"/>
    <w:rsid w:val="00CE24D7"/>
    <w:rsid w:val="00CE24F1"/>
    <w:rsid w:val="00CE24F6"/>
    <w:rsid w:val="00CE26B3"/>
    <w:rsid w:val="00CE2766"/>
    <w:rsid w:val="00CE2777"/>
    <w:rsid w:val="00CE27B8"/>
    <w:rsid w:val="00CE27C7"/>
    <w:rsid w:val="00CE28EB"/>
    <w:rsid w:val="00CE2919"/>
    <w:rsid w:val="00CE29C9"/>
    <w:rsid w:val="00CE2A72"/>
    <w:rsid w:val="00CE2A99"/>
    <w:rsid w:val="00CE2B58"/>
    <w:rsid w:val="00CE2C34"/>
    <w:rsid w:val="00CE2C4C"/>
    <w:rsid w:val="00CE2C9E"/>
    <w:rsid w:val="00CE2CAF"/>
    <w:rsid w:val="00CE2CC8"/>
    <w:rsid w:val="00CE2D2A"/>
    <w:rsid w:val="00CE2DC5"/>
    <w:rsid w:val="00CE2E01"/>
    <w:rsid w:val="00CE2EC0"/>
    <w:rsid w:val="00CE2F38"/>
    <w:rsid w:val="00CE2FF9"/>
    <w:rsid w:val="00CE3060"/>
    <w:rsid w:val="00CE31AF"/>
    <w:rsid w:val="00CE31F0"/>
    <w:rsid w:val="00CE3264"/>
    <w:rsid w:val="00CE3301"/>
    <w:rsid w:val="00CE3303"/>
    <w:rsid w:val="00CE330B"/>
    <w:rsid w:val="00CE3396"/>
    <w:rsid w:val="00CE33BE"/>
    <w:rsid w:val="00CE33DA"/>
    <w:rsid w:val="00CE33EC"/>
    <w:rsid w:val="00CE3424"/>
    <w:rsid w:val="00CE3454"/>
    <w:rsid w:val="00CE3563"/>
    <w:rsid w:val="00CE361B"/>
    <w:rsid w:val="00CE3699"/>
    <w:rsid w:val="00CE372E"/>
    <w:rsid w:val="00CE376E"/>
    <w:rsid w:val="00CE37FA"/>
    <w:rsid w:val="00CE3820"/>
    <w:rsid w:val="00CE389A"/>
    <w:rsid w:val="00CE3A12"/>
    <w:rsid w:val="00CE3B37"/>
    <w:rsid w:val="00CE3BDE"/>
    <w:rsid w:val="00CE3BFF"/>
    <w:rsid w:val="00CE3CF6"/>
    <w:rsid w:val="00CE3D34"/>
    <w:rsid w:val="00CE3D89"/>
    <w:rsid w:val="00CE3D8D"/>
    <w:rsid w:val="00CE3E10"/>
    <w:rsid w:val="00CE3E5E"/>
    <w:rsid w:val="00CE3EB9"/>
    <w:rsid w:val="00CE3F0F"/>
    <w:rsid w:val="00CE3FA6"/>
    <w:rsid w:val="00CE4069"/>
    <w:rsid w:val="00CE4082"/>
    <w:rsid w:val="00CE40B8"/>
    <w:rsid w:val="00CE40E1"/>
    <w:rsid w:val="00CE4125"/>
    <w:rsid w:val="00CE4149"/>
    <w:rsid w:val="00CE4158"/>
    <w:rsid w:val="00CE4219"/>
    <w:rsid w:val="00CE425C"/>
    <w:rsid w:val="00CE4280"/>
    <w:rsid w:val="00CE44F5"/>
    <w:rsid w:val="00CE4624"/>
    <w:rsid w:val="00CE469D"/>
    <w:rsid w:val="00CE46F5"/>
    <w:rsid w:val="00CE473A"/>
    <w:rsid w:val="00CE478C"/>
    <w:rsid w:val="00CE47F8"/>
    <w:rsid w:val="00CE4818"/>
    <w:rsid w:val="00CE48B6"/>
    <w:rsid w:val="00CE496C"/>
    <w:rsid w:val="00CE49C9"/>
    <w:rsid w:val="00CE4B01"/>
    <w:rsid w:val="00CE4B3E"/>
    <w:rsid w:val="00CE4B54"/>
    <w:rsid w:val="00CE4C08"/>
    <w:rsid w:val="00CE4C35"/>
    <w:rsid w:val="00CE4CDD"/>
    <w:rsid w:val="00CE4DCC"/>
    <w:rsid w:val="00CE4DF4"/>
    <w:rsid w:val="00CE4F6C"/>
    <w:rsid w:val="00CE4F8D"/>
    <w:rsid w:val="00CE4FBF"/>
    <w:rsid w:val="00CE5073"/>
    <w:rsid w:val="00CE509B"/>
    <w:rsid w:val="00CE50EC"/>
    <w:rsid w:val="00CE5134"/>
    <w:rsid w:val="00CE515B"/>
    <w:rsid w:val="00CE528A"/>
    <w:rsid w:val="00CE52D1"/>
    <w:rsid w:val="00CE539C"/>
    <w:rsid w:val="00CE546D"/>
    <w:rsid w:val="00CE5471"/>
    <w:rsid w:val="00CE548C"/>
    <w:rsid w:val="00CE54BB"/>
    <w:rsid w:val="00CE54C4"/>
    <w:rsid w:val="00CE54C6"/>
    <w:rsid w:val="00CE54F9"/>
    <w:rsid w:val="00CE5532"/>
    <w:rsid w:val="00CE5650"/>
    <w:rsid w:val="00CE5872"/>
    <w:rsid w:val="00CE5947"/>
    <w:rsid w:val="00CE5A4F"/>
    <w:rsid w:val="00CE5A94"/>
    <w:rsid w:val="00CE5B27"/>
    <w:rsid w:val="00CE5B4C"/>
    <w:rsid w:val="00CE5CEC"/>
    <w:rsid w:val="00CE5D1E"/>
    <w:rsid w:val="00CE5D32"/>
    <w:rsid w:val="00CE5D37"/>
    <w:rsid w:val="00CE5D69"/>
    <w:rsid w:val="00CE5DAC"/>
    <w:rsid w:val="00CE5DC3"/>
    <w:rsid w:val="00CE5F20"/>
    <w:rsid w:val="00CE5F77"/>
    <w:rsid w:val="00CE6032"/>
    <w:rsid w:val="00CE6040"/>
    <w:rsid w:val="00CE60C9"/>
    <w:rsid w:val="00CE60DC"/>
    <w:rsid w:val="00CE6111"/>
    <w:rsid w:val="00CE6112"/>
    <w:rsid w:val="00CE6142"/>
    <w:rsid w:val="00CE61A1"/>
    <w:rsid w:val="00CE61B3"/>
    <w:rsid w:val="00CE623B"/>
    <w:rsid w:val="00CE633F"/>
    <w:rsid w:val="00CE6568"/>
    <w:rsid w:val="00CE6660"/>
    <w:rsid w:val="00CE678A"/>
    <w:rsid w:val="00CE6806"/>
    <w:rsid w:val="00CE6845"/>
    <w:rsid w:val="00CE68B0"/>
    <w:rsid w:val="00CE68C8"/>
    <w:rsid w:val="00CE68CD"/>
    <w:rsid w:val="00CE68DA"/>
    <w:rsid w:val="00CE696E"/>
    <w:rsid w:val="00CE6A93"/>
    <w:rsid w:val="00CE6C05"/>
    <w:rsid w:val="00CE6C78"/>
    <w:rsid w:val="00CE6EE8"/>
    <w:rsid w:val="00CE6EF9"/>
    <w:rsid w:val="00CE6F0F"/>
    <w:rsid w:val="00CE6F8D"/>
    <w:rsid w:val="00CE7076"/>
    <w:rsid w:val="00CE7112"/>
    <w:rsid w:val="00CE7114"/>
    <w:rsid w:val="00CE7131"/>
    <w:rsid w:val="00CE717B"/>
    <w:rsid w:val="00CE71C1"/>
    <w:rsid w:val="00CE71E5"/>
    <w:rsid w:val="00CE71F3"/>
    <w:rsid w:val="00CE7208"/>
    <w:rsid w:val="00CE7213"/>
    <w:rsid w:val="00CE721A"/>
    <w:rsid w:val="00CE728F"/>
    <w:rsid w:val="00CE72BA"/>
    <w:rsid w:val="00CE7336"/>
    <w:rsid w:val="00CE7439"/>
    <w:rsid w:val="00CE755E"/>
    <w:rsid w:val="00CE7571"/>
    <w:rsid w:val="00CE75C5"/>
    <w:rsid w:val="00CE75CC"/>
    <w:rsid w:val="00CE7605"/>
    <w:rsid w:val="00CE7635"/>
    <w:rsid w:val="00CE76AF"/>
    <w:rsid w:val="00CE76D6"/>
    <w:rsid w:val="00CE7723"/>
    <w:rsid w:val="00CE774E"/>
    <w:rsid w:val="00CE77EF"/>
    <w:rsid w:val="00CE77F4"/>
    <w:rsid w:val="00CE787C"/>
    <w:rsid w:val="00CE789A"/>
    <w:rsid w:val="00CE7904"/>
    <w:rsid w:val="00CE798D"/>
    <w:rsid w:val="00CE7A9B"/>
    <w:rsid w:val="00CE7AC6"/>
    <w:rsid w:val="00CE7AC8"/>
    <w:rsid w:val="00CE7ACA"/>
    <w:rsid w:val="00CE7BD0"/>
    <w:rsid w:val="00CE7BF0"/>
    <w:rsid w:val="00CE7D0A"/>
    <w:rsid w:val="00CE7D2B"/>
    <w:rsid w:val="00CE7E39"/>
    <w:rsid w:val="00CE7EF2"/>
    <w:rsid w:val="00CF0087"/>
    <w:rsid w:val="00CF008D"/>
    <w:rsid w:val="00CF0115"/>
    <w:rsid w:val="00CF014B"/>
    <w:rsid w:val="00CF01FA"/>
    <w:rsid w:val="00CF0268"/>
    <w:rsid w:val="00CF02CD"/>
    <w:rsid w:val="00CF0333"/>
    <w:rsid w:val="00CF0350"/>
    <w:rsid w:val="00CF0399"/>
    <w:rsid w:val="00CF03C9"/>
    <w:rsid w:val="00CF041A"/>
    <w:rsid w:val="00CF0466"/>
    <w:rsid w:val="00CF056E"/>
    <w:rsid w:val="00CF062A"/>
    <w:rsid w:val="00CF0665"/>
    <w:rsid w:val="00CF06A9"/>
    <w:rsid w:val="00CF07FB"/>
    <w:rsid w:val="00CF086C"/>
    <w:rsid w:val="00CF08D0"/>
    <w:rsid w:val="00CF08F6"/>
    <w:rsid w:val="00CF0912"/>
    <w:rsid w:val="00CF0A98"/>
    <w:rsid w:val="00CF0B3D"/>
    <w:rsid w:val="00CF0C1B"/>
    <w:rsid w:val="00CF0CDA"/>
    <w:rsid w:val="00CF0DEF"/>
    <w:rsid w:val="00CF0E24"/>
    <w:rsid w:val="00CF0E39"/>
    <w:rsid w:val="00CF0FA0"/>
    <w:rsid w:val="00CF1053"/>
    <w:rsid w:val="00CF1073"/>
    <w:rsid w:val="00CF10D5"/>
    <w:rsid w:val="00CF10D6"/>
    <w:rsid w:val="00CF110E"/>
    <w:rsid w:val="00CF1124"/>
    <w:rsid w:val="00CF1164"/>
    <w:rsid w:val="00CF11A0"/>
    <w:rsid w:val="00CF11F2"/>
    <w:rsid w:val="00CF123C"/>
    <w:rsid w:val="00CF124E"/>
    <w:rsid w:val="00CF12FD"/>
    <w:rsid w:val="00CF1348"/>
    <w:rsid w:val="00CF142D"/>
    <w:rsid w:val="00CF146F"/>
    <w:rsid w:val="00CF1510"/>
    <w:rsid w:val="00CF1591"/>
    <w:rsid w:val="00CF1593"/>
    <w:rsid w:val="00CF15FE"/>
    <w:rsid w:val="00CF1686"/>
    <w:rsid w:val="00CF17BE"/>
    <w:rsid w:val="00CF1843"/>
    <w:rsid w:val="00CF185A"/>
    <w:rsid w:val="00CF185E"/>
    <w:rsid w:val="00CF18A7"/>
    <w:rsid w:val="00CF192F"/>
    <w:rsid w:val="00CF1A7F"/>
    <w:rsid w:val="00CF1B2D"/>
    <w:rsid w:val="00CF1B92"/>
    <w:rsid w:val="00CF1BBF"/>
    <w:rsid w:val="00CF1C7F"/>
    <w:rsid w:val="00CF1C98"/>
    <w:rsid w:val="00CF1D02"/>
    <w:rsid w:val="00CF1D1D"/>
    <w:rsid w:val="00CF1D2C"/>
    <w:rsid w:val="00CF1D37"/>
    <w:rsid w:val="00CF1D90"/>
    <w:rsid w:val="00CF1DBF"/>
    <w:rsid w:val="00CF1EBD"/>
    <w:rsid w:val="00CF1ED8"/>
    <w:rsid w:val="00CF1F2F"/>
    <w:rsid w:val="00CF1F42"/>
    <w:rsid w:val="00CF1FF2"/>
    <w:rsid w:val="00CF208F"/>
    <w:rsid w:val="00CF2093"/>
    <w:rsid w:val="00CF212F"/>
    <w:rsid w:val="00CF2180"/>
    <w:rsid w:val="00CF21A2"/>
    <w:rsid w:val="00CF21CF"/>
    <w:rsid w:val="00CF21FB"/>
    <w:rsid w:val="00CF21FC"/>
    <w:rsid w:val="00CF221A"/>
    <w:rsid w:val="00CF2239"/>
    <w:rsid w:val="00CF22CE"/>
    <w:rsid w:val="00CF24AD"/>
    <w:rsid w:val="00CF2541"/>
    <w:rsid w:val="00CF25C1"/>
    <w:rsid w:val="00CF2746"/>
    <w:rsid w:val="00CF283D"/>
    <w:rsid w:val="00CF2881"/>
    <w:rsid w:val="00CF29A9"/>
    <w:rsid w:val="00CF29C5"/>
    <w:rsid w:val="00CF29DD"/>
    <w:rsid w:val="00CF2A02"/>
    <w:rsid w:val="00CF2A18"/>
    <w:rsid w:val="00CF2A8B"/>
    <w:rsid w:val="00CF2B33"/>
    <w:rsid w:val="00CF2B3D"/>
    <w:rsid w:val="00CF2B54"/>
    <w:rsid w:val="00CF2B5D"/>
    <w:rsid w:val="00CF2BDD"/>
    <w:rsid w:val="00CF2C97"/>
    <w:rsid w:val="00CF2CE8"/>
    <w:rsid w:val="00CF2D9D"/>
    <w:rsid w:val="00CF2DB7"/>
    <w:rsid w:val="00CF2DE4"/>
    <w:rsid w:val="00CF2F1D"/>
    <w:rsid w:val="00CF304D"/>
    <w:rsid w:val="00CF306A"/>
    <w:rsid w:val="00CF3116"/>
    <w:rsid w:val="00CF314F"/>
    <w:rsid w:val="00CF31DD"/>
    <w:rsid w:val="00CF31E1"/>
    <w:rsid w:val="00CF3252"/>
    <w:rsid w:val="00CF3416"/>
    <w:rsid w:val="00CF34E3"/>
    <w:rsid w:val="00CF3565"/>
    <w:rsid w:val="00CF357B"/>
    <w:rsid w:val="00CF35EA"/>
    <w:rsid w:val="00CF3623"/>
    <w:rsid w:val="00CF36BB"/>
    <w:rsid w:val="00CF3713"/>
    <w:rsid w:val="00CF3807"/>
    <w:rsid w:val="00CF3835"/>
    <w:rsid w:val="00CF3867"/>
    <w:rsid w:val="00CF3965"/>
    <w:rsid w:val="00CF39B8"/>
    <w:rsid w:val="00CF3C8C"/>
    <w:rsid w:val="00CF3D6E"/>
    <w:rsid w:val="00CF3DAC"/>
    <w:rsid w:val="00CF3E27"/>
    <w:rsid w:val="00CF3F0F"/>
    <w:rsid w:val="00CF3F9D"/>
    <w:rsid w:val="00CF3FB4"/>
    <w:rsid w:val="00CF3FEC"/>
    <w:rsid w:val="00CF3FFE"/>
    <w:rsid w:val="00CF40E3"/>
    <w:rsid w:val="00CF41A2"/>
    <w:rsid w:val="00CF4231"/>
    <w:rsid w:val="00CF4291"/>
    <w:rsid w:val="00CF430A"/>
    <w:rsid w:val="00CF4461"/>
    <w:rsid w:val="00CF4464"/>
    <w:rsid w:val="00CF4528"/>
    <w:rsid w:val="00CF45C8"/>
    <w:rsid w:val="00CF45DC"/>
    <w:rsid w:val="00CF45EB"/>
    <w:rsid w:val="00CF460C"/>
    <w:rsid w:val="00CF4623"/>
    <w:rsid w:val="00CF467F"/>
    <w:rsid w:val="00CF46B7"/>
    <w:rsid w:val="00CF46CF"/>
    <w:rsid w:val="00CF47C1"/>
    <w:rsid w:val="00CF4846"/>
    <w:rsid w:val="00CF4A57"/>
    <w:rsid w:val="00CF4A7C"/>
    <w:rsid w:val="00CF4B0C"/>
    <w:rsid w:val="00CF4BE5"/>
    <w:rsid w:val="00CF4C3B"/>
    <w:rsid w:val="00CF4CAC"/>
    <w:rsid w:val="00CF4D3E"/>
    <w:rsid w:val="00CF4D5A"/>
    <w:rsid w:val="00CF4DB9"/>
    <w:rsid w:val="00CF4DCE"/>
    <w:rsid w:val="00CF4E8E"/>
    <w:rsid w:val="00CF4E9A"/>
    <w:rsid w:val="00CF4EEB"/>
    <w:rsid w:val="00CF4F21"/>
    <w:rsid w:val="00CF4F53"/>
    <w:rsid w:val="00CF4F67"/>
    <w:rsid w:val="00CF4F6B"/>
    <w:rsid w:val="00CF4F92"/>
    <w:rsid w:val="00CF5087"/>
    <w:rsid w:val="00CF508A"/>
    <w:rsid w:val="00CF50B2"/>
    <w:rsid w:val="00CF510D"/>
    <w:rsid w:val="00CF51C6"/>
    <w:rsid w:val="00CF528F"/>
    <w:rsid w:val="00CF52BA"/>
    <w:rsid w:val="00CF53AE"/>
    <w:rsid w:val="00CF545B"/>
    <w:rsid w:val="00CF54DE"/>
    <w:rsid w:val="00CF55E0"/>
    <w:rsid w:val="00CF57B4"/>
    <w:rsid w:val="00CF597E"/>
    <w:rsid w:val="00CF5A17"/>
    <w:rsid w:val="00CF5B7F"/>
    <w:rsid w:val="00CF5B86"/>
    <w:rsid w:val="00CF5B95"/>
    <w:rsid w:val="00CF5C61"/>
    <w:rsid w:val="00CF5C7D"/>
    <w:rsid w:val="00CF5CEF"/>
    <w:rsid w:val="00CF5CFB"/>
    <w:rsid w:val="00CF5D20"/>
    <w:rsid w:val="00CF5D27"/>
    <w:rsid w:val="00CF5D72"/>
    <w:rsid w:val="00CF5E13"/>
    <w:rsid w:val="00CF5F46"/>
    <w:rsid w:val="00CF5F67"/>
    <w:rsid w:val="00CF5F8B"/>
    <w:rsid w:val="00CF5FA7"/>
    <w:rsid w:val="00CF5FEE"/>
    <w:rsid w:val="00CF6070"/>
    <w:rsid w:val="00CF60BA"/>
    <w:rsid w:val="00CF60ED"/>
    <w:rsid w:val="00CF6169"/>
    <w:rsid w:val="00CF616A"/>
    <w:rsid w:val="00CF61A1"/>
    <w:rsid w:val="00CF6260"/>
    <w:rsid w:val="00CF6261"/>
    <w:rsid w:val="00CF6289"/>
    <w:rsid w:val="00CF62AC"/>
    <w:rsid w:val="00CF62CA"/>
    <w:rsid w:val="00CF6368"/>
    <w:rsid w:val="00CF63A8"/>
    <w:rsid w:val="00CF63CB"/>
    <w:rsid w:val="00CF63ED"/>
    <w:rsid w:val="00CF640A"/>
    <w:rsid w:val="00CF6434"/>
    <w:rsid w:val="00CF6661"/>
    <w:rsid w:val="00CF6665"/>
    <w:rsid w:val="00CF66D7"/>
    <w:rsid w:val="00CF6719"/>
    <w:rsid w:val="00CF67F5"/>
    <w:rsid w:val="00CF67F6"/>
    <w:rsid w:val="00CF6870"/>
    <w:rsid w:val="00CF6895"/>
    <w:rsid w:val="00CF689D"/>
    <w:rsid w:val="00CF6929"/>
    <w:rsid w:val="00CF6933"/>
    <w:rsid w:val="00CF693B"/>
    <w:rsid w:val="00CF6953"/>
    <w:rsid w:val="00CF6AA4"/>
    <w:rsid w:val="00CF6AC6"/>
    <w:rsid w:val="00CF6B58"/>
    <w:rsid w:val="00CF6B7E"/>
    <w:rsid w:val="00CF6BA8"/>
    <w:rsid w:val="00CF6C52"/>
    <w:rsid w:val="00CF6CA7"/>
    <w:rsid w:val="00CF6CC3"/>
    <w:rsid w:val="00CF6D3C"/>
    <w:rsid w:val="00CF6E29"/>
    <w:rsid w:val="00CF6E88"/>
    <w:rsid w:val="00CF6F75"/>
    <w:rsid w:val="00CF7004"/>
    <w:rsid w:val="00CF703F"/>
    <w:rsid w:val="00CF7068"/>
    <w:rsid w:val="00CF706A"/>
    <w:rsid w:val="00CF70FC"/>
    <w:rsid w:val="00CF7101"/>
    <w:rsid w:val="00CF71B8"/>
    <w:rsid w:val="00CF71EF"/>
    <w:rsid w:val="00CF72A1"/>
    <w:rsid w:val="00CF732E"/>
    <w:rsid w:val="00CF73B7"/>
    <w:rsid w:val="00CF73C6"/>
    <w:rsid w:val="00CF73D2"/>
    <w:rsid w:val="00CF73F6"/>
    <w:rsid w:val="00CF742C"/>
    <w:rsid w:val="00CF74A0"/>
    <w:rsid w:val="00CF74CC"/>
    <w:rsid w:val="00CF7515"/>
    <w:rsid w:val="00CF75A6"/>
    <w:rsid w:val="00CF760B"/>
    <w:rsid w:val="00CF7673"/>
    <w:rsid w:val="00CF767B"/>
    <w:rsid w:val="00CF77EA"/>
    <w:rsid w:val="00CF7801"/>
    <w:rsid w:val="00CF7904"/>
    <w:rsid w:val="00CF795D"/>
    <w:rsid w:val="00CF7996"/>
    <w:rsid w:val="00CF7A33"/>
    <w:rsid w:val="00CF7A3B"/>
    <w:rsid w:val="00CF7BB6"/>
    <w:rsid w:val="00CF7D81"/>
    <w:rsid w:val="00CF7D89"/>
    <w:rsid w:val="00CF7D92"/>
    <w:rsid w:val="00CF7DB3"/>
    <w:rsid w:val="00CF7E13"/>
    <w:rsid w:val="00CF7E62"/>
    <w:rsid w:val="00CF7E9A"/>
    <w:rsid w:val="00CF7EA1"/>
    <w:rsid w:val="00CF7FE1"/>
    <w:rsid w:val="00D00102"/>
    <w:rsid w:val="00D00149"/>
    <w:rsid w:val="00D00170"/>
    <w:rsid w:val="00D00188"/>
    <w:rsid w:val="00D00206"/>
    <w:rsid w:val="00D00235"/>
    <w:rsid w:val="00D002C8"/>
    <w:rsid w:val="00D002FC"/>
    <w:rsid w:val="00D00331"/>
    <w:rsid w:val="00D00488"/>
    <w:rsid w:val="00D005B1"/>
    <w:rsid w:val="00D00733"/>
    <w:rsid w:val="00D0073B"/>
    <w:rsid w:val="00D00763"/>
    <w:rsid w:val="00D007C9"/>
    <w:rsid w:val="00D00808"/>
    <w:rsid w:val="00D00872"/>
    <w:rsid w:val="00D00896"/>
    <w:rsid w:val="00D009D8"/>
    <w:rsid w:val="00D00A1F"/>
    <w:rsid w:val="00D00B47"/>
    <w:rsid w:val="00D00BF0"/>
    <w:rsid w:val="00D00C23"/>
    <w:rsid w:val="00D00C87"/>
    <w:rsid w:val="00D00CAA"/>
    <w:rsid w:val="00D00CD9"/>
    <w:rsid w:val="00D00E9F"/>
    <w:rsid w:val="00D00EA0"/>
    <w:rsid w:val="00D00ED1"/>
    <w:rsid w:val="00D00ED3"/>
    <w:rsid w:val="00D00F00"/>
    <w:rsid w:val="00D00F39"/>
    <w:rsid w:val="00D00F8A"/>
    <w:rsid w:val="00D01024"/>
    <w:rsid w:val="00D010A0"/>
    <w:rsid w:val="00D010BF"/>
    <w:rsid w:val="00D0111F"/>
    <w:rsid w:val="00D01227"/>
    <w:rsid w:val="00D01317"/>
    <w:rsid w:val="00D013DA"/>
    <w:rsid w:val="00D0143C"/>
    <w:rsid w:val="00D0149E"/>
    <w:rsid w:val="00D0151E"/>
    <w:rsid w:val="00D0167B"/>
    <w:rsid w:val="00D01840"/>
    <w:rsid w:val="00D0186E"/>
    <w:rsid w:val="00D01898"/>
    <w:rsid w:val="00D01926"/>
    <w:rsid w:val="00D0196F"/>
    <w:rsid w:val="00D01A0E"/>
    <w:rsid w:val="00D01A1D"/>
    <w:rsid w:val="00D01A26"/>
    <w:rsid w:val="00D01A62"/>
    <w:rsid w:val="00D01A74"/>
    <w:rsid w:val="00D01B6F"/>
    <w:rsid w:val="00D01BEB"/>
    <w:rsid w:val="00D01C1A"/>
    <w:rsid w:val="00D01C20"/>
    <w:rsid w:val="00D01C25"/>
    <w:rsid w:val="00D01D61"/>
    <w:rsid w:val="00D01D6A"/>
    <w:rsid w:val="00D01D8F"/>
    <w:rsid w:val="00D01DCC"/>
    <w:rsid w:val="00D01E52"/>
    <w:rsid w:val="00D01F03"/>
    <w:rsid w:val="00D01F9E"/>
    <w:rsid w:val="00D01FC7"/>
    <w:rsid w:val="00D01FDB"/>
    <w:rsid w:val="00D02048"/>
    <w:rsid w:val="00D02109"/>
    <w:rsid w:val="00D0215A"/>
    <w:rsid w:val="00D02210"/>
    <w:rsid w:val="00D0226F"/>
    <w:rsid w:val="00D022D7"/>
    <w:rsid w:val="00D023A5"/>
    <w:rsid w:val="00D023AC"/>
    <w:rsid w:val="00D023ED"/>
    <w:rsid w:val="00D02479"/>
    <w:rsid w:val="00D02497"/>
    <w:rsid w:val="00D024B8"/>
    <w:rsid w:val="00D0252A"/>
    <w:rsid w:val="00D02539"/>
    <w:rsid w:val="00D02561"/>
    <w:rsid w:val="00D02586"/>
    <w:rsid w:val="00D026A6"/>
    <w:rsid w:val="00D02791"/>
    <w:rsid w:val="00D027A5"/>
    <w:rsid w:val="00D027CF"/>
    <w:rsid w:val="00D02858"/>
    <w:rsid w:val="00D0286A"/>
    <w:rsid w:val="00D028A9"/>
    <w:rsid w:val="00D028B9"/>
    <w:rsid w:val="00D028F3"/>
    <w:rsid w:val="00D02985"/>
    <w:rsid w:val="00D029BF"/>
    <w:rsid w:val="00D02A58"/>
    <w:rsid w:val="00D02B75"/>
    <w:rsid w:val="00D02BDE"/>
    <w:rsid w:val="00D02BE9"/>
    <w:rsid w:val="00D02CDC"/>
    <w:rsid w:val="00D02D03"/>
    <w:rsid w:val="00D02D9F"/>
    <w:rsid w:val="00D02DEF"/>
    <w:rsid w:val="00D02E4D"/>
    <w:rsid w:val="00D02E5E"/>
    <w:rsid w:val="00D02E62"/>
    <w:rsid w:val="00D02E8A"/>
    <w:rsid w:val="00D02FAF"/>
    <w:rsid w:val="00D0311A"/>
    <w:rsid w:val="00D03140"/>
    <w:rsid w:val="00D03161"/>
    <w:rsid w:val="00D03233"/>
    <w:rsid w:val="00D03273"/>
    <w:rsid w:val="00D0327C"/>
    <w:rsid w:val="00D03290"/>
    <w:rsid w:val="00D035EA"/>
    <w:rsid w:val="00D0361E"/>
    <w:rsid w:val="00D03632"/>
    <w:rsid w:val="00D036CF"/>
    <w:rsid w:val="00D036DD"/>
    <w:rsid w:val="00D0378C"/>
    <w:rsid w:val="00D038B5"/>
    <w:rsid w:val="00D039B6"/>
    <w:rsid w:val="00D039D9"/>
    <w:rsid w:val="00D03AAC"/>
    <w:rsid w:val="00D03C04"/>
    <w:rsid w:val="00D03C57"/>
    <w:rsid w:val="00D03C72"/>
    <w:rsid w:val="00D03D3A"/>
    <w:rsid w:val="00D03D5E"/>
    <w:rsid w:val="00D03D69"/>
    <w:rsid w:val="00D03DE7"/>
    <w:rsid w:val="00D03E59"/>
    <w:rsid w:val="00D03E5B"/>
    <w:rsid w:val="00D03EE2"/>
    <w:rsid w:val="00D03F24"/>
    <w:rsid w:val="00D03F8D"/>
    <w:rsid w:val="00D03FE2"/>
    <w:rsid w:val="00D03FE9"/>
    <w:rsid w:val="00D04119"/>
    <w:rsid w:val="00D04191"/>
    <w:rsid w:val="00D04264"/>
    <w:rsid w:val="00D042BE"/>
    <w:rsid w:val="00D04303"/>
    <w:rsid w:val="00D04383"/>
    <w:rsid w:val="00D0440B"/>
    <w:rsid w:val="00D0440D"/>
    <w:rsid w:val="00D04473"/>
    <w:rsid w:val="00D045D0"/>
    <w:rsid w:val="00D0472D"/>
    <w:rsid w:val="00D047AB"/>
    <w:rsid w:val="00D04802"/>
    <w:rsid w:val="00D04903"/>
    <w:rsid w:val="00D04917"/>
    <w:rsid w:val="00D04944"/>
    <w:rsid w:val="00D04A14"/>
    <w:rsid w:val="00D04A38"/>
    <w:rsid w:val="00D04A9E"/>
    <w:rsid w:val="00D04AB1"/>
    <w:rsid w:val="00D04B12"/>
    <w:rsid w:val="00D04B7C"/>
    <w:rsid w:val="00D04C3A"/>
    <w:rsid w:val="00D04C54"/>
    <w:rsid w:val="00D04C77"/>
    <w:rsid w:val="00D04D4B"/>
    <w:rsid w:val="00D04DDC"/>
    <w:rsid w:val="00D04DFF"/>
    <w:rsid w:val="00D04E39"/>
    <w:rsid w:val="00D04EAC"/>
    <w:rsid w:val="00D04EBE"/>
    <w:rsid w:val="00D04FC1"/>
    <w:rsid w:val="00D05052"/>
    <w:rsid w:val="00D05067"/>
    <w:rsid w:val="00D0507C"/>
    <w:rsid w:val="00D05091"/>
    <w:rsid w:val="00D050A1"/>
    <w:rsid w:val="00D050C7"/>
    <w:rsid w:val="00D0517F"/>
    <w:rsid w:val="00D051A6"/>
    <w:rsid w:val="00D051CC"/>
    <w:rsid w:val="00D0520B"/>
    <w:rsid w:val="00D0522E"/>
    <w:rsid w:val="00D05236"/>
    <w:rsid w:val="00D05307"/>
    <w:rsid w:val="00D05359"/>
    <w:rsid w:val="00D0542C"/>
    <w:rsid w:val="00D054D1"/>
    <w:rsid w:val="00D054F1"/>
    <w:rsid w:val="00D056D9"/>
    <w:rsid w:val="00D05732"/>
    <w:rsid w:val="00D057B5"/>
    <w:rsid w:val="00D0584A"/>
    <w:rsid w:val="00D05890"/>
    <w:rsid w:val="00D05B67"/>
    <w:rsid w:val="00D05B7D"/>
    <w:rsid w:val="00D05C64"/>
    <w:rsid w:val="00D05CB1"/>
    <w:rsid w:val="00D05DDA"/>
    <w:rsid w:val="00D05E19"/>
    <w:rsid w:val="00D05F58"/>
    <w:rsid w:val="00D060AD"/>
    <w:rsid w:val="00D060FD"/>
    <w:rsid w:val="00D06111"/>
    <w:rsid w:val="00D06123"/>
    <w:rsid w:val="00D0614F"/>
    <w:rsid w:val="00D061DD"/>
    <w:rsid w:val="00D0634B"/>
    <w:rsid w:val="00D066AC"/>
    <w:rsid w:val="00D0676B"/>
    <w:rsid w:val="00D067C2"/>
    <w:rsid w:val="00D06835"/>
    <w:rsid w:val="00D0688A"/>
    <w:rsid w:val="00D068A1"/>
    <w:rsid w:val="00D068B0"/>
    <w:rsid w:val="00D068DF"/>
    <w:rsid w:val="00D06907"/>
    <w:rsid w:val="00D0690B"/>
    <w:rsid w:val="00D069F0"/>
    <w:rsid w:val="00D06A68"/>
    <w:rsid w:val="00D06AD0"/>
    <w:rsid w:val="00D06B7E"/>
    <w:rsid w:val="00D06BC4"/>
    <w:rsid w:val="00D06C4A"/>
    <w:rsid w:val="00D06C57"/>
    <w:rsid w:val="00D06C7E"/>
    <w:rsid w:val="00D06CD2"/>
    <w:rsid w:val="00D06DDB"/>
    <w:rsid w:val="00D06E7F"/>
    <w:rsid w:val="00D06EA8"/>
    <w:rsid w:val="00D06FAD"/>
    <w:rsid w:val="00D06FDF"/>
    <w:rsid w:val="00D070D7"/>
    <w:rsid w:val="00D070F8"/>
    <w:rsid w:val="00D0711E"/>
    <w:rsid w:val="00D0717C"/>
    <w:rsid w:val="00D071D1"/>
    <w:rsid w:val="00D0722E"/>
    <w:rsid w:val="00D072D1"/>
    <w:rsid w:val="00D07316"/>
    <w:rsid w:val="00D07317"/>
    <w:rsid w:val="00D07323"/>
    <w:rsid w:val="00D0734F"/>
    <w:rsid w:val="00D073CB"/>
    <w:rsid w:val="00D07419"/>
    <w:rsid w:val="00D075BF"/>
    <w:rsid w:val="00D075D7"/>
    <w:rsid w:val="00D077B2"/>
    <w:rsid w:val="00D077DE"/>
    <w:rsid w:val="00D0789E"/>
    <w:rsid w:val="00D078B7"/>
    <w:rsid w:val="00D079A4"/>
    <w:rsid w:val="00D07A08"/>
    <w:rsid w:val="00D07A8F"/>
    <w:rsid w:val="00D07B12"/>
    <w:rsid w:val="00D07B4B"/>
    <w:rsid w:val="00D07C07"/>
    <w:rsid w:val="00D07C45"/>
    <w:rsid w:val="00D07CC3"/>
    <w:rsid w:val="00D07D5F"/>
    <w:rsid w:val="00D07E29"/>
    <w:rsid w:val="00D07E39"/>
    <w:rsid w:val="00D07F38"/>
    <w:rsid w:val="00D100AA"/>
    <w:rsid w:val="00D100C4"/>
    <w:rsid w:val="00D10114"/>
    <w:rsid w:val="00D1017E"/>
    <w:rsid w:val="00D104E2"/>
    <w:rsid w:val="00D10569"/>
    <w:rsid w:val="00D10582"/>
    <w:rsid w:val="00D1060E"/>
    <w:rsid w:val="00D10620"/>
    <w:rsid w:val="00D1077A"/>
    <w:rsid w:val="00D107D7"/>
    <w:rsid w:val="00D108D4"/>
    <w:rsid w:val="00D1093C"/>
    <w:rsid w:val="00D10957"/>
    <w:rsid w:val="00D10972"/>
    <w:rsid w:val="00D10A11"/>
    <w:rsid w:val="00D10A5E"/>
    <w:rsid w:val="00D10B45"/>
    <w:rsid w:val="00D10B97"/>
    <w:rsid w:val="00D10BEF"/>
    <w:rsid w:val="00D10C0E"/>
    <w:rsid w:val="00D10C57"/>
    <w:rsid w:val="00D10C7E"/>
    <w:rsid w:val="00D10CD0"/>
    <w:rsid w:val="00D10E0F"/>
    <w:rsid w:val="00D10F6A"/>
    <w:rsid w:val="00D10FE1"/>
    <w:rsid w:val="00D1100A"/>
    <w:rsid w:val="00D11018"/>
    <w:rsid w:val="00D11025"/>
    <w:rsid w:val="00D11157"/>
    <w:rsid w:val="00D11185"/>
    <w:rsid w:val="00D111E4"/>
    <w:rsid w:val="00D111F1"/>
    <w:rsid w:val="00D1121B"/>
    <w:rsid w:val="00D11262"/>
    <w:rsid w:val="00D11299"/>
    <w:rsid w:val="00D113A8"/>
    <w:rsid w:val="00D11470"/>
    <w:rsid w:val="00D11474"/>
    <w:rsid w:val="00D114B9"/>
    <w:rsid w:val="00D114FD"/>
    <w:rsid w:val="00D115CA"/>
    <w:rsid w:val="00D115CE"/>
    <w:rsid w:val="00D1163A"/>
    <w:rsid w:val="00D11646"/>
    <w:rsid w:val="00D11664"/>
    <w:rsid w:val="00D1168E"/>
    <w:rsid w:val="00D11742"/>
    <w:rsid w:val="00D1179D"/>
    <w:rsid w:val="00D11884"/>
    <w:rsid w:val="00D118EF"/>
    <w:rsid w:val="00D11958"/>
    <w:rsid w:val="00D1196F"/>
    <w:rsid w:val="00D119E2"/>
    <w:rsid w:val="00D11AFA"/>
    <w:rsid w:val="00D11B44"/>
    <w:rsid w:val="00D11BFA"/>
    <w:rsid w:val="00D11C30"/>
    <w:rsid w:val="00D11C43"/>
    <w:rsid w:val="00D11C5D"/>
    <w:rsid w:val="00D11CA7"/>
    <w:rsid w:val="00D11CBA"/>
    <w:rsid w:val="00D11CC2"/>
    <w:rsid w:val="00D11D3C"/>
    <w:rsid w:val="00D11D8C"/>
    <w:rsid w:val="00D11E35"/>
    <w:rsid w:val="00D11FE5"/>
    <w:rsid w:val="00D120C7"/>
    <w:rsid w:val="00D120F6"/>
    <w:rsid w:val="00D120F9"/>
    <w:rsid w:val="00D12119"/>
    <w:rsid w:val="00D12138"/>
    <w:rsid w:val="00D1218C"/>
    <w:rsid w:val="00D12254"/>
    <w:rsid w:val="00D122D8"/>
    <w:rsid w:val="00D12316"/>
    <w:rsid w:val="00D12336"/>
    <w:rsid w:val="00D12359"/>
    <w:rsid w:val="00D123EE"/>
    <w:rsid w:val="00D1240B"/>
    <w:rsid w:val="00D12536"/>
    <w:rsid w:val="00D125A2"/>
    <w:rsid w:val="00D125C5"/>
    <w:rsid w:val="00D1269F"/>
    <w:rsid w:val="00D126FA"/>
    <w:rsid w:val="00D12702"/>
    <w:rsid w:val="00D127E1"/>
    <w:rsid w:val="00D1287A"/>
    <w:rsid w:val="00D1299A"/>
    <w:rsid w:val="00D12A39"/>
    <w:rsid w:val="00D12A7E"/>
    <w:rsid w:val="00D12B65"/>
    <w:rsid w:val="00D12B89"/>
    <w:rsid w:val="00D12B9D"/>
    <w:rsid w:val="00D12BB1"/>
    <w:rsid w:val="00D12BCD"/>
    <w:rsid w:val="00D12C6E"/>
    <w:rsid w:val="00D12CA1"/>
    <w:rsid w:val="00D12D61"/>
    <w:rsid w:val="00D12E2D"/>
    <w:rsid w:val="00D12E6D"/>
    <w:rsid w:val="00D12E93"/>
    <w:rsid w:val="00D12F79"/>
    <w:rsid w:val="00D1310F"/>
    <w:rsid w:val="00D1314A"/>
    <w:rsid w:val="00D13169"/>
    <w:rsid w:val="00D13174"/>
    <w:rsid w:val="00D13190"/>
    <w:rsid w:val="00D131B1"/>
    <w:rsid w:val="00D132ED"/>
    <w:rsid w:val="00D1338C"/>
    <w:rsid w:val="00D133E2"/>
    <w:rsid w:val="00D13452"/>
    <w:rsid w:val="00D13485"/>
    <w:rsid w:val="00D1348B"/>
    <w:rsid w:val="00D1348E"/>
    <w:rsid w:val="00D13531"/>
    <w:rsid w:val="00D13565"/>
    <w:rsid w:val="00D13599"/>
    <w:rsid w:val="00D135D5"/>
    <w:rsid w:val="00D135E9"/>
    <w:rsid w:val="00D136A0"/>
    <w:rsid w:val="00D136FB"/>
    <w:rsid w:val="00D137E6"/>
    <w:rsid w:val="00D1389C"/>
    <w:rsid w:val="00D13A40"/>
    <w:rsid w:val="00D13A74"/>
    <w:rsid w:val="00D13AA0"/>
    <w:rsid w:val="00D13D26"/>
    <w:rsid w:val="00D13DDC"/>
    <w:rsid w:val="00D13FB3"/>
    <w:rsid w:val="00D1414B"/>
    <w:rsid w:val="00D1418E"/>
    <w:rsid w:val="00D1419B"/>
    <w:rsid w:val="00D1422F"/>
    <w:rsid w:val="00D14289"/>
    <w:rsid w:val="00D142BE"/>
    <w:rsid w:val="00D14422"/>
    <w:rsid w:val="00D144EE"/>
    <w:rsid w:val="00D14533"/>
    <w:rsid w:val="00D145E3"/>
    <w:rsid w:val="00D14601"/>
    <w:rsid w:val="00D1468F"/>
    <w:rsid w:val="00D1472F"/>
    <w:rsid w:val="00D1489E"/>
    <w:rsid w:val="00D1495B"/>
    <w:rsid w:val="00D14960"/>
    <w:rsid w:val="00D14AB6"/>
    <w:rsid w:val="00D14BDA"/>
    <w:rsid w:val="00D14C36"/>
    <w:rsid w:val="00D14D08"/>
    <w:rsid w:val="00D14DE5"/>
    <w:rsid w:val="00D14E21"/>
    <w:rsid w:val="00D14EB2"/>
    <w:rsid w:val="00D14F39"/>
    <w:rsid w:val="00D1508A"/>
    <w:rsid w:val="00D150F5"/>
    <w:rsid w:val="00D1510A"/>
    <w:rsid w:val="00D1516E"/>
    <w:rsid w:val="00D15236"/>
    <w:rsid w:val="00D1524D"/>
    <w:rsid w:val="00D152B4"/>
    <w:rsid w:val="00D152BB"/>
    <w:rsid w:val="00D153E2"/>
    <w:rsid w:val="00D153FB"/>
    <w:rsid w:val="00D154AC"/>
    <w:rsid w:val="00D154CA"/>
    <w:rsid w:val="00D154F3"/>
    <w:rsid w:val="00D1557C"/>
    <w:rsid w:val="00D155B3"/>
    <w:rsid w:val="00D15621"/>
    <w:rsid w:val="00D15624"/>
    <w:rsid w:val="00D15666"/>
    <w:rsid w:val="00D157EE"/>
    <w:rsid w:val="00D15806"/>
    <w:rsid w:val="00D158DB"/>
    <w:rsid w:val="00D158EE"/>
    <w:rsid w:val="00D15965"/>
    <w:rsid w:val="00D159D8"/>
    <w:rsid w:val="00D15A95"/>
    <w:rsid w:val="00D15B28"/>
    <w:rsid w:val="00D15B4A"/>
    <w:rsid w:val="00D15B4E"/>
    <w:rsid w:val="00D15BDF"/>
    <w:rsid w:val="00D15C81"/>
    <w:rsid w:val="00D15C8C"/>
    <w:rsid w:val="00D15C93"/>
    <w:rsid w:val="00D15D42"/>
    <w:rsid w:val="00D15D50"/>
    <w:rsid w:val="00D15D6D"/>
    <w:rsid w:val="00D15DF0"/>
    <w:rsid w:val="00D15E8A"/>
    <w:rsid w:val="00D15ECF"/>
    <w:rsid w:val="00D15F65"/>
    <w:rsid w:val="00D15F8C"/>
    <w:rsid w:val="00D16008"/>
    <w:rsid w:val="00D160CC"/>
    <w:rsid w:val="00D1610C"/>
    <w:rsid w:val="00D16127"/>
    <w:rsid w:val="00D1616F"/>
    <w:rsid w:val="00D16195"/>
    <w:rsid w:val="00D16250"/>
    <w:rsid w:val="00D16286"/>
    <w:rsid w:val="00D16309"/>
    <w:rsid w:val="00D16454"/>
    <w:rsid w:val="00D16490"/>
    <w:rsid w:val="00D164C3"/>
    <w:rsid w:val="00D164ED"/>
    <w:rsid w:val="00D16502"/>
    <w:rsid w:val="00D1656E"/>
    <w:rsid w:val="00D16699"/>
    <w:rsid w:val="00D166C6"/>
    <w:rsid w:val="00D16753"/>
    <w:rsid w:val="00D16797"/>
    <w:rsid w:val="00D167A0"/>
    <w:rsid w:val="00D167E7"/>
    <w:rsid w:val="00D16842"/>
    <w:rsid w:val="00D168D1"/>
    <w:rsid w:val="00D168E6"/>
    <w:rsid w:val="00D168EF"/>
    <w:rsid w:val="00D16955"/>
    <w:rsid w:val="00D169B1"/>
    <w:rsid w:val="00D169B3"/>
    <w:rsid w:val="00D169E4"/>
    <w:rsid w:val="00D16A68"/>
    <w:rsid w:val="00D16AE2"/>
    <w:rsid w:val="00D16AF1"/>
    <w:rsid w:val="00D16C07"/>
    <w:rsid w:val="00D16D2E"/>
    <w:rsid w:val="00D16D63"/>
    <w:rsid w:val="00D16DAC"/>
    <w:rsid w:val="00D16E2B"/>
    <w:rsid w:val="00D16F09"/>
    <w:rsid w:val="00D16F7B"/>
    <w:rsid w:val="00D16F96"/>
    <w:rsid w:val="00D1710D"/>
    <w:rsid w:val="00D17256"/>
    <w:rsid w:val="00D1736B"/>
    <w:rsid w:val="00D1752E"/>
    <w:rsid w:val="00D175EA"/>
    <w:rsid w:val="00D176BB"/>
    <w:rsid w:val="00D176EC"/>
    <w:rsid w:val="00D17742"/>
    <w:rsid w:val="00D17774"/>
    <w:rsid w:val="00D1778C"/>
    <w:rsid w:val="00D1785E"/>
    <w:rsid w:val="00D179AC"/>
    <w:rsid w:val="00D17A6A"/>
    <w:rsid w:val="00D17AC0"/>
    <w:rsid w:val="00D17C7E"/>
    <w:rsid w:val="00D17CC3"/>
    <w:rsid w:val="00D17D84"/>
    <w:rsid w:val="00D17DF0"/>
    <w:rsid w:val="00D17E19"/>
    <w:rsid w:val="00D17E26"/>
    <w:rsid w:val="00D17E40"/>
    <w:rsid w:val="00D17F68"/>
    <w:rsid w:val="00D17FE1"/>
    <w:rsid w:val="00D2002E"/>
    <w:rsid w:val="00D20150"/>
    <w:rsid w:val="00D201BD"/>
    <w:rsid w:val="00D20217"/>
    <w:rsid w:val="00D2028D"/>
    <w:rsid w:val="00D202A6"/>
    <w:rsid w:val="00D20357"/>
    <w:rsid w:val="00D2035F"/>
    <w:rsid w:val="00D2038B"/>
    <w:rsid w:val="00D203C2"/>
    <w:rsid w:val="00D203D5"/>
    <w:rsid w:val="00D203FA"/>
    <w:rsid w:val="00D2065C"/>
    <w:rsid w:val="00D20678"/>
    <w:rsid w:val="00D206AF"/>
    <w:rsid w:val="00D207B6"/>
    <w:rsid w:val="00D207E9"/>
    <w:rsid w:val="00D208DD"/>
    <w:rsid w:val="00D20977"/>
    <w:rsid w:val="00D20A1D"/>
    <w:rsid w:val="00D20A3E"/>
    <w:rsid w:val="00D20AC2"/>
    <w:rsid w:val="00D20AD6"/>
    <w:rsid w:val="00D20ADD"/>
    <w:rsid w:val="00D20BFD"/>
    <w:rsid w:val="00D20C2A"/>
    <w:rsid w:val="00D20E0D"/>
    <w:rsid w:val="00D20E6A"/>
    <w:rsid w:val="00D20E9E"/>
    <w:rsid w:val="00D20EC0"/>
    <w:rsid w:val="00D20F2B"/>
    <w:rsid w:val="00D20F53"/>
    <w:rsid w:val="00D2101D"/>
    <w:rsid w:val="00D21024"/>
    <w:rsid w:val="00D2108B"/>
    <w:rsid w:val="00D21184"/>
    <w:rsid w:val="00D21232"/>
    <w:rsid w:val="00D21263"/>
    <w:rsid w:val="00D21269"/>
    <w:rsid w:val="00D212A5"/>
    <w:rsid w:val="00D212D5"/>
    <w:rsid w:val="00D213CB"/>
    <w:rsid w:val="00D21508"/>
    <w:rsid w:val="00D2161E"/>
    <w:rsid w:val="00D216A1"/>
    <w:rsid w:val="00D218B5"/>
    <w:rsid w:val="00D21906"/>
    <w:rsid w:val="00D2194C"/>
    <w:rsid w:val="00D219FB"/>
    <w:rsid w:val="00D21A1E"/>
    <w:rsid w:val="00D21B17"/>
    <w:rsid w:val="00D21C7E"/>
    <w:rsid w:val="00D21D08"/>
    <w:rsid w:val="00D21D41"/>
    <w:rsid w:val="00D21D53"/>
    <w:rsid w:val="00D21D63"/>
    <w:rsid w:val="00D21DC5"/>
    <w:rsid w:val="00D21DDE"/>
    <w:rsid w:val="00D21DE6"/>
    <w:rsid w:val="00D21EF5"/>
    <w:rsid w:val="00D21F80"/>
    <w:rsid w:val="00D22152"/>
    <w:rsid w:val="00D22162"/>
    <w:rsid w:val="00D22233"/>
    <w:rsid w:val="00D22284"/>
    <w:rsid w:val="00D224B8"/>
    <w:rsid w:val="00D22588"/>
    <w:rsid w:val="00D225A3"/>
    <w:rsid w:val="00D225B3"/>
    <w:rsid w:val="00D225E6"/>
    <w:rsid w:val="00D22661"/>
    <w:rsid w:val="00D22741"/>
    <w:rsid w:val="00D22742"/>
    <w:rsid w:val="00D22765"/>
    <w:rsid w:val="00D22874"/>
    <w:rsid w:val="00D228C3"/>
    <w:rsid w:val="00D228F2"/>
    <w:rsid w:val="00D22929"/>
    <w:rsid w:val="00D229DE"/>
    <w:rsid w:val="00D22A11"/>
    <w:rsid w:val="00D22AFB"/>
    <w:rsid w:val="00D22B0B"/>
    <w:rsid w:val="00D22C54"/>
    <w:rsid w:val="00D22D6C"/>
    <w:rsid w:val="00D22E1B"/>
    <w:rsid w:val="00D22E2A"/>
    <w:rsid w:val="00D22E40"/>
    <w:rsid w:val="00D22EB7"/>
    <w:rsid w:val="00D22F39"/>
    <w:rsid w:val="00D23064"/>
    <w:rsid w:val="00D23065"/>
    <w:rsid w:val="00D2313B"/>
    <w:rsid w:val="00D23325"/>
    <w:rsid w:val="00D23398"/>
    <w:rsid w:val="00D233B0"/>
    <w:rsid w:val="00D233FD"/>
    <w:rsid w:val="00D2345B"/>
    <w:rsid w:val="00D23498"/>
    <w:rsid w:val="00D234B2"/>
    <w:rsid w:val="00D23521"/>
    <w:rsid w:val="00D2359B"/>
    <w:rsid w:val="00D235CA"/>
    <w:rsid w:val="00D235FA"/>
    <w:rsid w:val="00D23745"/>
    <w:rsid w:val="00D23891"/>
    <w:rsid w:val="00D238B0"/>
    <w:rsid w:val="00D238BA"/>
    <w:rsid w:val="00D2399B"/>
    <w:rsid w:val="00D23A0B"/>
    <w:rsid w:val="00D23A2D"/>
    <w:rsid w:val="00D23AFA"/>
    <w:rsid w:val="00D23B1C"/>
    <w:rsid w:val="00D23B9E"/>
    <w:rsid w:val="00D23C73"/>
    <w:rsid w:val="00D23CC5"/>
    <w:rsid w:val="00D23CF7"/>
    <w:rsid w:val="00D23D1E"/>
    <w:rsid w:val="00D23D28"/>
    <w:rsid w:val="00D23DB5"/>
    <w:rsid w:val="00D23E76"/>
    <w:rsid w:val="00D23EAB"/>
    <w:rsid w:val="00D23EDE"/>
    <w:rsid w:val="00D23F3F"/>
    <w:rsid w:val="00D23FA0"/>
    <w:rsid w:val="00D23FF7"/>
    <w:rsid w:val="00D24082"/>
    <w:rsid w:val="00D240BE"/>
    <w:rsid w:val="00D240D0"/>
    <w:rsid w:val="00D240E8"/>
    <w:rsid w:val="00D24123"/>
    <w:rsid w:val="00D24145"/>
    <w:rsid w:val="00D243EB"/>
    <w:rsid w:val="00D244DC"/>
    <w:rsid w:val="00D244E4"/>
    <w:rsid w:val="00D245A0"/>
    <w:rsid w:val="00D245D3"/>
    <w:rsid w:val="00D24605"/>
    <w:rsid w:val="00D24664"/>
    <w:rsid w:val="00D247E3"/>
    <w:rsid w:val="00D2481C"/>
    <w:rsid w:val="00D2484C"/>
    <w:rsid w:val="00D24866"/>
    <w:rsid w:val="00D2490D"/>
    <w:rsid w:val="00D24928"/>
    <w:rsid w:val="00D249BC"/>
    <w:rsid w:val="00D249DD"/>
    <w:rsid w:val="00D249ED"/>
    <w:rsid w:val="00D24A05"/>
    <w:rsid w:val="00D24A1A"/>
    <w:rsid w:val="00D24A2E"/>
    <w:rsid w:val="00D24ACF"/>
    <w:rsid w:val="00D24B20"/>
    <w:rsid w:val="00D24BDD"/>
    <w:rsid w:val="00D24C22"/>
    <w:rsid w:val="00D24CC2"/>
    <w:rsid w:val="00D24CF2"/>
    <w:rsid w:val="00D24DE3"/>
    <w:rsid w:val="00D24E56"/>
    <w:rsid w:val="00D24E61"/>
    <w:rsid w:val="00D24E6D"/>
    <w:rsid w:val="00D24EA6"/>
    <w:rsid w:val="00D24EFA"/>
    <w:rsid w:val="00D24F71"/>
    <w:rsid w:val="00D24FC5"/>
    <w:rsid w:val="00D2501F"/>
    <w:rsid w:val="00D2503E"/>
    <w:rsid w:val="00D25115"/>
    <w:rsid w:val="00D25138"/>
    <w:rsid w:val="00D2513D"/>
    <w:rsid w:val="00D25175"/>
    <w:rsid w:val="00D252CC"/>
    <w:rsid w:val="00D2531B"/>
    <w:rsid w:val="00D253DC"/>
    <w:rsid w:val="00D253E7"/>
    <w:rsid w:val="00D25408"/>
    <w:rsid w:val="00D254AD"/>
    <w:rsid w:val="00D254DF"/>
    <w:rsid w:val="00D254EB"/>
    <w:rsid w:val="00D25567"/>
    <w:rsid w:val="00D255BA"/>
    <w:rsid w:val="00D2561C"/>
    <w:rsid w:val="00D2581C"/>
    <w:rsid w:val="00D25890"/>
    <w:rsid w:val="00D258C5"/>
    <w:rsid w:val="00D259C4"/>
    <w:rsid w:val="00D259CA"/>
    <w:rsid w:val="00D25A30"/>
    <w:rsid w:val="00D25BA0"/>
    <w:rsid w:val="00D25C24"/>
    <w:rsid w:val="00D25C95"/>
    <w:rsid w:val="00D25D7E"/>
    <w:rsid w:val="00D25D82"/>
    <w:rsid w:val="00D25E11"/>
    <w:rsid w:val="00D25E27"/>
    <w:rsid w:val="00D25E9C"/>
    <w:rsid w:val="00D25F3A"/>
    <w:rsid w:val="00D25F72"/>
    <w:rsid w:val="00D2601E"/>
    <w:rsid w:val="00D26047"/>
    <w:rsid w:val="00D26094"/>
    <w:rsid w:val="00D260B1"/>
    <w:rsid w:val="00D261B7"/>
    <w:rsid w:val="00D2620F"/>
    <w:rsid w:val="00D2623A"/>
    <w:rsid w:val="00D26263"/>
    <w:rsid w:val="00D262B9"/>
    <w:rsid w:val="00D26373"/>
    <w:rsid w:val="00D2638E"/>
    <w:rsid w:val="00D26416"/>
    <w:rsid w:val="00D264C8"/>
    <w:rsid w:val="00D265CF"/>
    <w:rsid w:val="00D2665A"/>
    <w:rsid w:val="00D26674"/>
    <w:rsid w:val="00D266FA"/>
    <w:rsid w:val="00D2672B"/>
    <w:rsid w:val="00D26737"/>
    <w:rsid w:val="00D26882"/>
    <w:rsid w:val="00D26915"/>
    <w:rsid w:val="00D269D6"/>
    <w:rsid w:val="00D26B19"/>
    <w:rsid w:val="00D26C92"/>
    <w:rsid w:val="00D26CC7"/>
    <w:rsid w:val="00D26D62"/>
    <w:rsid w:val="00D26D89"/>
    <w:rsid w:val="00D26E3D"/>
    <w:rsid w:val="00D26E52"/>
    <w:rsid w:val="00D26F2B"/>
    <w:rsid w:val="00D26F8E"/>
    <w:rsid w:val="00D26FBB"/>
    <w:rsid w:val="00D26FFF"/>
    <w:rsid w:val="00D270AB"/>
    <w:rsid w:val="00D2713D"/>
    <w:rsid w:val="00D27179"/>
    <w:rsid w:val="00D2725E"/>
    <w:rsid w:val="00D272D4"/>
    <w:rsid w:val="00D27338"/>
    <w:rsid w:val="00D274CA"/>
    <w:rsid w:val="00D27639"/>
    <w:rsid w:val="00D2766A"/>
    <w:rsid w:val="00D277AD"/>
    <w:rsid w:val="00D277E5"/>
    <w:rsid w:val="00D27845"/>
    <w:rsid w:val="00D2787A"/>
    <w:rsid w:val="00D2794F"/>
    <w:rsid w:val="00D27B1C"/>
    <w:rsid w:val="00D27B4E"/>
    <w:rsid w:val="00D27B76"/>
    <w:rsid w:val="00D27B9D"/>
    <w:rsid w:val="00D27C1B"/>
    <w:rsid w:val="00D27C55"/>
    <w:rsid w:val="00D27C9D"/>
    <w:rsid w:val="00D27D08"/>
    <w:rsid w:val="00D27D63"/>
    <w:rsid w:val="00D27D9C"/>
    <w:rsid w:val="00D27DAC"/>
    <w:rsid w:val="00D27DC4"/>
    <w:rsid w:val="00D27E7B"/>
    <w:rsid w:val="00D27EFC"/>
    <w:rsid w:val="00D27F39"/>
    <w:rsid w:val="00D27F68"/>
    <w:rsid w:val="00D27FA7"/>
    <w:rsid w:val="00D27FDC"/>
    <w:rsid w:val="00D30085"/>
    <w:rsid w:val="00D3008C"/>
    <w:rsid w:val="00D30096"/>
    <w:rsid w:val="00D300C1"/>
    <w:rsid w:val="00D301C5"/>
    <w:rsid w:val="00D305DD"/>
    <w:rsid w:val="00D30621"/>
    <w:rsid w:val="00D306D6"/>
    <w:rsid w:val="00D306E4"/>
    <w:rsid w:val="00D3072E"/>
    <w:rsid w:val="00D30765"/>
    <w:rsid w:val="00D30785"/>
    <w:rsid w:val="00D30854"/>
    <w:rsid w:val="00D30862"/>
    <w:rsid w:val="00D30965"/>
    <w:rsid w:val="00D30A83"/>
    <w:rsid w:val="00D30A9F"/>
    <w:rsid w:val="00D30AE8"/>
    <w:rsid w:val="00D30B0E"/>
    <w:rsid w:val="00D30BF0"/>
    <w:rsid w:val="00D30C2C"/>
    <w:rsid w:val="00D30D2F"/>
    <w:rsid w:val="00D30D73"/>
    <w:rsid w:val="00D30D78"/>
    <w:rsid w:val="00D30DA0"/>
    <w:rsid w:val="00D30DDE"/>
    <w:rsid w:val="00D30E61"/>
    <w:rsid w:val="00D30EBF"/>
    <w:rsid w:val="00D30EDB"/>
    <w:rsid w:val="00D30F79"/>
    <w:rsid w:val="00D31040"/>
    <w:rsid w:val="00D3116C"/>
    <w:rsid w:val="00D31176"/>
    <w:rsid w:val="00D311E2"/>
    <w:rsid w:val="00D31262"/>
    <w:rsid w:val="00D31336"/>
    <w:rsid w:val="00D3150D"/>
    <w:rsid w:val="00D31709"/>
    <w:rsid w:val="00D3173E"/>
    <w:rsid w:val="00D3173F"/>
    <w:rsid w:val="00D317C7"/>
    <w:rsid w:val="00D31836"/>
    <w:rsid w:val="00D3188E"/>
    <w:rsid w:val="00D318B5"/>
    <w:rsid w:val="00D3198E"/>
    <w:rsid w:val="00D31C09"/>
    <w:rsid w:val="00D31C5D"/>
    <w:rsid w:val="00D31CF6"/>
    <w:rsid w:val="00D31E38"/>
    <w:rsid w:val="00D31F76"/>
    <w:rsid w:val="00D31FE3"/>
    <w:rsid w:val="00D31FF6"/>
    <w:rsid w:val="00D32011"/>
    <w:rsid w:val="00D320B9"/>
    <w:rsid w:val="00D320F5"/>
    <w:rsid w:val="00D320FB"/>
    <w:rsid w:val="00D3210C"/>
    <w:rsid w:val="00D3211E"/>
    <w:rsid w:val="00D3215A"/>
    <w:rsid w:val="00D3222D"/>
    <w:rsid w:val="00D32236"/>
    <w:rsid w:val="00D32291"/>
    <w:rsid w:val="00D32393"/>
    <w:rsid w:val="00D324BE"/>
    <w:rsid w:val="00D32503"/>
    <w:rsid w:val="00D32506"/>
    <w:rsid w:val="00D32511"/>
    <w:rsid w:val="00D3287C"/>
    <w:rsid w:val="00D328F2"/>
    <w:rsid w:val="00D3298C"/>
    <w:rsid w:val="00D32A37"/>
    <w:rsid w:val="00D32A4F"/>
    <w:rsid w:val="00D32B00"/>
    <w:rsid w:val="00D32BFB"/>
    <w:rsid w:val="00D32C00"/>
    <w:rsid w:val="00D32C3A"/>
    <w:rsid w:val="00D32CD0"/>
    <w:rsid w:val="00D32E1A"/>
    <w:rsid w:val="00D32E44"/>
    <w:rsid w:val="00D32EC4"/>
    <w:rsid w:val="00D32F19"/>
    <w:rsid w:val="00D32F2B"/>
    <w:rsid w:val="00D32F5C"/>
    <w:rsid w:val="00D33051"/>
    <w:rsid w:val="00D3313E"/>
    <w:rsid w:val="00D3319F"/>
    <w:rsid w:val="00D331EA"/>
    <w:rsid w:val="00D331EE"/>
    <w:rsid w:val="00D3332A"/>
    <w:rsid w:val="00D33371"/>
    <w:rsid w:val="00D333DE"/>
    <w:rsid w:val="00D333F4"/>
    <w:rsid w:val="00D33434"/>
    <w:rsid w:val="00D33506"/>
    <w:rsid w:val="00D3353A"/>
    <w:rsid w:val="00D3357E"/>
    <w:rsid w:val="00D335A4"/>
    <w:rsid w:val="00D33681"/>
    <w:rsid w:val="00D336AE"/>
    <w:rsid w:val="00D336B6"/>
    <w:rsid w:val="00D336DD"/>
    <w:rsid w:val="00D33707"/>
    <w:rsid w:val="00D337FE"/>
    <w:rsid w:val="00D33840"/>
    <w:rsid w:val="00D3394D"/>
    <w:rsid w:val="00D33978"/>
    <w:rsid w:val="00D339A9"/>
    <w:rsid w:val="00D33A69"/>
    <w:rsid w:val="00D33AB8"/>
    <w:rsid w:val="00D33B66"/>
    <w:rsid w:val="00D33C7A"/>
    <w:rsid w:val="00D33D38"/>
    <w:rsid w:val="00D33DB8"/>
    <w:rsid w:val="00D33DEB"/>
    <w:rsid w:val="00D33E28"/>
    <w:rsid w:val="00D33E36"/>
    <w:rsid w:val="00D3400A"/>
    <w:rsid w:val="00D3402A"/>
    <w:rsid w:val="00D34096"/>
    <w:rsid w:val="00D34121"/>
    <w:rsid w:val="00D341AF"/>
    <w:rsid w:val="00D34287"/>
    <w:rsid w:val="00D34303"/>
    <w:rsid w:val="00D34345"/>
    <w:rsid w:val="00D34362"/>
    <w:rsid w:val="00D343B5"/>
    <w:rsid w:val="00D343CF"/>
    <w:rsid w:val="00D34477"/>
    <w:rsid w:val="00D3456D"/>
    <w:rsid w:val="00D3458B"/>
    <w:rsid w:val="00D34827"/>
    <w:rsid w:val="00D348AA"/>
    <w:rsid w:val="00D34914"/>
    <w:rsid w:val="00D34A63"/>
    <w:rsid w:val="00D34A6D"/>
    <w:rsid w:val="00D34AA2"/>
    <w:rsid w:val="00D34ABA"/>
    <w:rsid w:val="00D34AF4"/>
    <w:rsid w:val="00D34B0D"/>
    <w:rsid w:val="00D34B84"/>
    <w:rsid w:val="00D34B91"/>
    <w:rsid w:val="00D34C2B"/>
    <w:rsid w:val="00D34C97"/>
    <w:rsid w:val="00D34CB5"/>
    <w:rsid w:val="00D34CCD"/>
    <w:rsid w:val="00D34D33"/>
    <w:rsid w:val="00D34DED"/>
    <w:rsid w:val="00D34E30"/>
    <w:rsid w:val="00D34E44"/>
    <w:rsid w:val="00D34E63"/>
    <w:rsid w:val="00D34E97"/>
    <w:rsid w:val="00D34EA5"/>
    <w:rsid w:val="00D34EC4"/>
    <w:rsid w:val="00D34F4A"/>
    <w:rsid w:val="00D34F53"/>
    <w:rsid w:val="00D34FA9"/>
    <w:rsid w:val="00D34FC7"/>
    <w:rsid w:val="00D3501D"/>
    <w:rsid w:val="00D3505B"/>
    <w:rsid w:val="00D35060"/>
    <w:rsid w:val="00D35064"/>
    <w:rsid w:val="00D351C1"/>
    <w:rsid w:val="00D351F3"/>
    <w:rsid w:val="00D35298"/>
    <w:rsid w:val="00D35324"/>
    <w:rsid w:val="00D353D7"/>
    <w:rsid w:val="00D355DF"/>
    <w:rsid w:val="00D35645"/>
    <w:rsid w:val="00D3565C"/>
    <w:rsid w:val="00D35663"/>
    <w:rsid w:val="00D3576E"/>
    <w:rsid w:val="00D3577A"/>
    <w:rsid w:val="00D3578F"/>
    <w:rsid w:val="00D357BA"/>
    <w:rsid w:val="00D35863"/>
    <w:rsid w:val="00D3586F"/>
    <w:rsid w:val="00D358E9"/>
    <w:rsid w:val="00D35999"/>
    <w:rsid w:val="00D35AB7"/>
    <w:rsid w:val="00D35AB9"/>
    <w:rsid w:val="00D35C54"/>
    <w:rsid w:val="00D35C95"/>
    <w:rsid w:val="00D35CFA"/>
    <w:rsid w:val="00D35D6A"/>
    <w:rsid w:val="00D35DE0"/>
    <w:rsid w:val="00D35E43"/>
    <w:rsid w:val="00D35E8F"/>
    <w:rsid w:val="00D35F14"/>
    <w:rsid w:val="00D3602A"/>
    <w:rsid w:val="00D3606F"/>
    <w:rsid w:val="00D360B8"/>
    <w:rsid w:val="00D360C6"/>
    <w:rsid w:val="00D36109"/>
    <w:rsid w:val="00D3612D"/>
    <w:rsid w:val="00D36274"/>
    <w:rsid w:val="00D36357"/>
    <w:rsid w:val="00D363BB"/>
    <w:rsid w:val="00D367F9"/>
    <w:rsid w:val="00D36804"/>
    <w:rsid w:val="00D3690A"/>
    <w:rsid w:val="00D36945"/>
    <w:rsid w:val="00D36A0B"/>
    <w:rsid w:val="00D36A2E"/>
    <w:rsid w:val="00D36C57"/>
    <w:rsid w:val="00D36CE0"/>
    <w:rsid w:val="00D36CF7"/>
    <w:rsid w:val="00D36F11"/>
    <w:rsid w:val="00D36F42"/>
    <w:rsid w:val="00D36F95"/>
    <w:rsid w:val="00D370AB"/>
    <w:rsid w:val="00D370E3"/>
    <w:rsid w:val="00D371E2"/>
    <w:rsid w:val="00D3726F"/>
    <w:rsid w:val="00D372BE"/>
    <w:rsid w:val="00D373CC"/>
    <w:rsid w:val="00D3742A"/>
    <w:rsid w:val="00D37469"/>
    <w:rsid w:val="00D37479"/>
    <w:rsid w:val="00D374B3"/>
    <w:rsid w:val="00D37514"/>
    <w:rsid w:val="00D3752D"/>
    <w:rsid w:val="00D37594"/>
    <w:rsid w:val="00D37664"/>
    <w:rsid w:val="00D37687"/>
    <w:rsid w:val="00D376A8"/>
    <w:rsid w:val="00D376B4"/>
    <w:rsid w:val="00D3770C"/>
    <w:rsid w:val="00D377CC"/>
    <w:rsid w:val="00D378B3"/>
    <w:rsid w:val="00D378E4"/>
    <w:rsid w:val="00D37903"/>
    <w:rsid w:val="00D379C3"/>
    <w:rsid w:val="00D37A03"/>
    <w:rsid w:val="00D37A6C"/>
    <w:rsid w:val="00D37A93"/>
    <w:rsid w:val="00D37AD7"/>
    <w:rsid w:val="00D37B78"/>
    <w:rsid w:val="00D37BCE"/>
    <w:rsid w:val="00D37C05"/>
    <w:rsid w:val="00D37C80"/>
    <w:rsid w:val="00D37D07"/>
    <w:rsid w:val="00D37D60"/>
    <w:rsid w:val="00D37E17"/>
    <w:rsid w:val="00D37EF5"/>
    <w:rsid w:val="00D37F7E"/>
    <w:rsid w:val="00D400E4"/>
    <w:rsid w:val="00D400F8"/>
    <w:rsid w:val="00D40117"/>
    <w:rsid w:val="00D40119"/>
    <w:rsid w:val="00D401C0"/>
    <w:rsid w:val="00D40270"/>
    <w:rsid w:val="00D4030B"/>
    <w:rsid w:val="00D404B9"/>
    <w:rsid w:val="00D405C2"/>
    <w:rsid w:val="00D40691"/>
    <w:rsid w:val="00D406A7"/>
    <w:rsid w:val="00D40743"/>
    <w:rsid w:val="00D40821"/>
    <w:rsid w:val="00D4082F"/>
    <w:rsid w:val="00D40833"/>
    <w:rsid w:val="00D408EB"/>
    <w:rsid w:val="00D40901"/>
    <w:rsid w:val="00D40983"/>
    <w:rsid w:val="00D409F4"/>
    <w:rsid w:val="00D40A4A"/>
    <w:rsid w:val="00D40B63"/>
    <w:rsid w:val="00D40C73"/>
    <w:rsid w:val="00D40C96"/>
    <w:rsid w:val="00D40D1A"/>
    <w:rsid w:val="00D40D1C"/>
    <w:rsid w:val="00D40D3B"/>
    <w:rsid w:val="00D40D62"/>
    <w:rsid w:val="00D40EA4"/>
    <w:rsid w:val="00D40F37"/>
    <w:rsid w:val="00D4101B"/>
    <w:rsid w:val="00D41068"/>
    <w:rsid w:val="00D410F7"/>
    <w:rsid w:val="00D41105"/>
    <w:rsid w:val="00D41172"/>
    <w:rsid w:val="00D41175"/>
    <w:rsid w:val="00D4120B"/>
    <w:rsid w:val="00D41254"/>
    <w:rsid w:val="00D41257"/>
    <w:rsid w:val="00D4141C"/>
    <w:rsid w:val="00D41477"/>
    <w:rsid w:val="00D414BD"/>
    <w:rsid w:val="00D41591"/>
    <w:rsid w:val="00D41611"/>
    <w:rsid w:val="00D4165E"/>
    <w:rsid w:val="00D41686"/>
    <w:rsid w:val="00D4175C"/>
    <w:rsid w:val="00D417E3"/>
    <w:rsid w:val="00D41950"/>
    <w:rsid w:val="00D419C4"/>
    <w:rsid w:val="00D41B29"/>
    <w:rsid w:val="00D41B75"/>
    <w:rsid w:val="00D41B90"/>
    <w:rsid w:val="00D41BD6"/>
    <w:rsid w:val="00D41BEE"/>
    <w:rsid w:val="00D41C3E"/>
    <w:rsid w:val="00D41CDB"/>
    <w:rsid w:val="00D41CF4"/>
    <w:rsid w:val="00D41CFA"/>
    <w:rsid w:val="00D41D59"/>
    <w:rsid w:val="00D41D7F"/>
    <w:rsid w:val="00D41D91"/>
    <w:rsid w:val="00D41D9D"/>
    <w:rsid w:val="00D41E14"/>
    <w:rsid w:val="00D41E38"/>
    <w:rsid w:val="00D41E97"/>
    <w:rsid w:val="00D41EAF"/>
    <w:rsid w:val="00D41F4E"/>
    <w:rsid w:val="00D41FD6"/>
    <w:rsid w:val="00D42027"/>
    <w:rsid w:val="00D42057"/>
    <w:rsid w:val="00D4207F"/>
    <w:rsid w:val="00D4209A"/>
    <w:rsid w:val="00D420D4"/>
    <w:rsid w:val="00D4211D"/>
    <w:rsid w:val="00D4222D"/>
    <w:rsid w:val="00D42273"/>
    <w:rsid w:val="00D42398"/>
    <w:rsid w:val="00D423DE"/>
    <w:rsid w:val="00D423F5"/>
    <w:rsid w:val="00D42871"/>
    <w:rsid w:val="00D428A3"/>
    <w:rsid w:val="00D4290B"/>
    <w:rsid w:val="00D42917"/>
    <w:rsid w:val="00D42921"/>
    <w:rsid w:val="00D42950"/>
    <w:rsid w:val="00D4299F"/>
    <w:rsid w:val="00D429D0"/>
    <w:rsid w:val="00D42AAB"/>
    <w:rsid w:val="00D42BBC"/>
    <w:rsid w:val="00D42BC8"/>
    <w:rsid w:val="00D42BCA"/>
    <w:rsid w:val="00D42BF6"/>
    <w:rsid w:val="00D42C5D"/>
    <w:rsid w:val="00D42C83"/>
    <w:rsid w:val="00D42D9E"/>
    <w:rsid w:val="00D42E04"/>
    <w:rsid w:val="00D42E6A"/>
    <w:rsid w:val="00D42EF9"/>
    <w:rsid w:val="00D42F7D"/>
    <w:rsid w:val="00D42FBD"/>
    <w:rsid w:val="00D43032"/>
    <w:rsid w:val="00D4307C"/>
    <w:rsid w:val="00D4310B"/>
    <w:rsid w:val="00D431CF"/>
    <w:rsid w:val="00D432C7"/>
    <w:rsid w:val="00D433A8"/>
    <w:rsid w:val="00D43535"/>
    <w:rsid w:val="00D43540"/>
    <w:rsid w:val="00D43624"/>
    <w:rsid w:val="00D4364B"/>
    <w:rsid w:val="00D4365D"/>
    <w:rsid w:val="00D43679"/>
    <w:rsid w:val="00D43683"/>
    <w:rsid w:val="00D436A4"/>
    <w:rsid w:val="00D436AC"/>
    <w:rsid w:val="00D436DF"/>
    <w:rsid w:val="00D4372B"/>
    <w:rsid w:val="00D43779"/>
    <w:rsid w:val="00D43867"/>
    <w:rsid w:val="00D4396C"/>
    <w:rsid w:val="00D43A06"/>
    <w:rsid w:val="00D43A8A"/>
    <w:rsid w:val="00D43ACB"/>
    <w:rsid w:val="00D43B78"/>
    <w:rsid w:val="00D43B7E"/>
    <w:rsid w:val="00D43B8E"/>
    <w:rsid w:val="00D43C1F"/>
    <w:rsid w:val="00D43C43"/>
    <w:rsid w:val="00D43D0C"/>
    <w:rsid w:val="00D43D2F"/>
    <w:rsid w:val="00D43D96"/>
    <w:rsid w:val="00D43DE6"/>
    <w:rsid w:val="00D43E48"/>
    <w:rsid w:val="00D43E4E"/>
    <w:rsid w:val="00D43E6C"/>
    <w:rsid w:val="00D43EB6"/>
    <w:rsid w:val="00D43F00"/>
    <w:rsid w:val="00D43F4B"/>
    <w:rsid w:val="00D43FFA"/>
    <w:rsid w:val="00D4401D"/>
    <w:rsid w:val="00D440AD"/>
    <w:rsid w:val="00D440F9"/>
    <w:rsid w:val="00D4416D"/>
    <w:rsid w:val="00D442F1"/>
    <w:rsid w:val="00D44352"/>
    <w:rsid w:val="00D4437B"/>
    <w:rsid w:val="00D44485"/>
    <w:rsid w:val="00D444D0"/>
    <w:rsid w:val="00D44519"/>
    <w:rsid w:val="00D44527"/>
    <w:rsid w:val="00D44533"/>
    <w:rsid w:val="00D4453B"/>
    <w:rsid w:val="00D44548"/>
    <w:rsid w:val="00D4455A"/>
    <w:rsid w:val="00D445C2"/>
    <w:rsid w:val="00D446DC"/>
    <w:rsid w:val="00D44823"/>
    <w:rsid w:val="00D44902"/>
    <w:rsid w:val="00D44927"/>
    <w:rsid w:val="00D4494D"/>
    <w:rsid w:val="00D4495D"/>
    <w:rsid w:val="00D44979"/>
    <w:rsid w:val="00D44AEE"/>
    <w:rsid w:val="00D44B42"/>
    <w:rsid w:val="00D44C27"/>
    <w:rsid w:val="00D44C9A"/>
    <w:rsid w:val="00D44D1F"/>
    <w:rsid w:val="00D44D36"/>
    <w:rsid w:val="00D44D8B"/>
    <w:rsid w:val="00D44E83"/>
    <w:rsid w:val="00D44FA9"/>
    <w:rsid w:val="00D4505E"/>
    <w:rsid w:val="00D450B6"/>
    <w:rsid w:val="00D450C1"/>
    <w:rsid w:val="00D45300"/>
    <w:rsid w:val="00D45350"/>
    <w:rsid w:val="00D453F7"/>
    <w:rsid w:val="00D453F8"/>
    <w:rsid w:val="00D454AF"/>
    <w:rsid w:val="00D455C8"/>
    <w:rsid w:val="00D45724"/>
    <w:rsid w:val="00D45782"/>
    <w:rsid w:val="00D4578C"/>
    <w:rsid w:val="00D457A1"/>
    <w:rsid w:val="00D457D7"/>
    <w:rsid w:val="00D4581B"/>
    <w:rsid w:val="00D45944"/>
    <w:rsid w:val="00D459A8"/>
    <w:rsid w:val="00D45A18"/>
    <w:rsid w:val="00D45AAD"/>
    <w:rsid w:val="00D45B57"/>
    <w:rsid w:val="00D45BD4"/>
    <w:rsid w:val="00D45BEE"/>
    <w:rsid w:val="00D45C92"/>
    <w:rsid w:val="00D45D35"/>
    <w:rsid w:val="00D45D9C"/>
    <w:rsid w:val="00D45DD4"/>
    <w:rsid w:val="00D45E0E"/>
    <w:rsid w:val="00D45F05"/>
    <w:rsid w:val="00D45F30"/>
    <w:rsid w:val="00D45F3A"/>
    <w:rsid w:val="00D46014"/>
    <w:rsid w:val="00D46062"/>
    <w:rsid w:val="00D4619D"/>
    <w:rsid w:val="00D46213"/>
    <w:rsid w:val="00D464D1"/>
    <w:rsid w:val="00D46548"/>
    <w:rsid w:val="00D465DD"/>
    <w:rsid w:val="00D46601"/>
    <w:rsid w:val="00D46648"/>
    <w:rsid w:val="00D4668B"/>
    <w:rsid w:val="00D466E1"/>
    <w:rsid w:val="00D46734"/>
    <w:rsid w:val="00D46794"/>
    <w:rsid w:val="00D467E8"/>
    <w:rsid w:val="00D46877"/>
    <w:rsid w:val="00D46903"/>
    <w:rsid w:val="00D46993"/>
    <w:rsid w:val="00D46994"/>
    <w:rsid w:val="00D46B1C"/>
    <w:rsid w:val="00D46B7E"/>
    <w:rsid w:val="00D46B91"/>
    <w:rsid w:val="00D46BEF"/>
    <w:rsid w:val="00D46C45"/>
    <w:rsid w:val="00D46D6D"/>
    <w:rsid w:val="00D46D92"/>
    <w:rsid w:val="00D46DC1"/>
    <w:rsid w:val="00D46E4B"/>
    <w:rsid w:val="00D46E7F"/>
    <w:rsid w:val="00D46FFC"/>
    <w:rsid w:val="00D47178"/>
    <w:rsid w:val="00D4723C"/>
    <w:rsid w:val="00D47262"/>
    <w:rsid w:val="00D473A2"/>
    <w:rsid w:val="00D474B7"/>
    <w:rsid w:val="00D474E1"/>
    <w:rsid w:val="00D475A2"/>
    <w:rsid w:val="00D475C6"/>
    <w:rsid w:val="00D475CC"/>
    <w:rsid w:val="00D476FE"/>
    <w:rsid w:val="00D47749"/>
    <w:rsid w:val="00D477C7"/>
    <w:rsid w:val="00D477D7"/>
    <w:rsid w:val="00D477F3"/>
    <w:rsid w:val="00D4785F"/>
    <w:rsid w:val="00D47888"/>
    <w:rsid w:val="00D47899"/>
    <w:rsid w:val="00D4798F"/>
    <w:rsid w:val="00D479FC"/>
    <w:rsid w:val="00D47A26"/>
    <w:rsid w:val="00D47A49"/>
    <w:rsid w:val="00D47A59"/>
    <w:rsid w:val="00D47AB9"/>
    <w:rsid w:val="00D47ABC"/>
    <w:rsid w:val="00D47ADB"/>
    <w:rsid w:val="00D47B29"/>
    <w:rsid w:val="00D47B60"/>
    <w:rsid w:val="00D47BA8"/>
    <w:rsid w:val="00D47BAB"/>
    <w:rsid w:val="00D47C2E"/>
    <w:rsid w:val="00D47CC1"/>
    <w:rsid w:val="00D47CF5"/>
    <w:rsid w:val="00D47D3D"/>
    <w:rsid w:val="00D47D91"/>
    <w:rsid w:val="00D47DA8"/>
    <w:rsid w:val="00D47DCA"/>
    <w:rsid w:val="00D47EF2"/>
    <w:rsid w:val="00D47F38"/>
    <w:rsid w:val="00D4C78E"/>
    <w:rsid w:val="00D50047"/>
    <w:rsid w:val="00D50070"/>
    <w:rsid w:val="00D50082"/>
    <w:rsid w:val="00D50091"/>
    <w:rsid w:val="00D5017A"/>
    <w:rsid w:val="00D50262"/>
    <w:rsid w:val="00D50298"/>
    <w:rsid w:val="00D50323"/>
    <w:rsid w:val="00D50333"/>
    <w:rsid w:val="00D50349"/>
    <w:rsid w:val="00D50357"/>
    <w:rsid w:val="00D5049C"/>
    <w:rsid w:val="00D504B4"/>
    <w:rsid w:val="00D504F6"/>
    <w:rsid w:val="00D5058B"/>
    <w:rsid w:val="00D50629"/>
    <w:rsid w:val="00D50638"/>
    <w:rsid w:val="00D50642"/>
    <w:rsid w:val="00D5064D"/>
    <w:rsid w:val="00D5064F"/>
    <w:rsid w:val="00D506E7"/>
    <w:rsid w:val="00D507B5"/>
    <w:rsid w:val="00D507B6"/>
    <w:rsid w:val="00D50851"/>
    <w:rsid w:val="00D5088B"/>
    <w:rsid w:val="00D508BF"/>
    <w:rsid w:val="00D5095B"/>
    <w:rsid w:val="00D509A7"/>
    <w:rsid w:val="00D50AFD"/>
    <w:rsid w:val="00D50B08"/>
    <w:rsid w:val="00D50B77"/>
    <w:rsid w:val="00D50BDD"/>
    <w:rsid w:val="00D50BF2"/>
    <w:rsid w:val="00D50D73"/>
    <w:rsid w:val="00D50F0F"/>
    <w:rsid w:val="00D51014"/>
    <w:rsid w:val="00D51093"/>
    <w:rsid w:val="00D51094"/>
    <w:rsid w:val="00D5109B"/>
    <w:rsid w:val="00D510FF"/>
    <w:rsid w:val="00D5116F"/>
    <w:rsid w:val="00D5119D"/>
    <w:rsid w:val="00D511E6"/>
    <w:rsid w:val="00D5124A"/>
    <w:rsid w:val="00D51324"/>
    <w:rsid w:val="00D514AB"/>
    <w:rsid w:val="00D51567"/>
    <w:rsid w:val="00D515BE"/>
    <w:rsid w:val="00D515DF"/>
    <w:rsid w:val="00D515F4"/>
    <w:rsid w:val="00D51681"/>
    <w:rsid w:val="00D516AD"/>
    <w:rsid w:val="00D51730"/>
    <w:rsid w:val="00D5175D"/>
    <w:rsid w:val="00D51773"/>
    <w:rsid w:val="00D51793"/>
    <w:rsid w:val="00D517A9"/>
    <w:rsid w:val="00D517C6"/>
    <w:rsid w:val="00D5180A"/>
    <w:rsid w:val="00D51844"/>
    <w:rsid w:val="00D5194F"/>
    <w:rsid w:val="00D519F7"/>
    <w:rsid w:val="00D51A2A"/>
    <w:rsid w:val="00D51A4E"/>
    <w:rsid w:val="00D51B36"/>
    <w:rsid w:val="00D51B70"/>
    <w:rsid w:val="00D51C8A"/>
    <w:rsid w:val="00D51D62"/>
    <w:rsid w:val="00D51E19"/>
    <w:rsid w:val="00D51EA7"/>
    <w:rsid w:val="00D51F1A"/>
    <w:rsid w:val="00D51F51"/>
    <w:rsid w:val="00D520B6"/>
    <w:rsid w:val="00D52127"/>
    <w:rsid w:val="00D5213D"/>
    <w:rsid w:val="00D521DD"/>
    <w:rsid w:val="00D5223B"/>
    <w:rsid w:val="00D52244"/>
    <w:rsid w:val="00D52361"/>
    <w:rsid w:val="00D52446"/>
    <w:rsid w:val="00D52471"/>
    <w:rsid w:val="00D52485"/>
    <w:rsid w:val="00D52520"/>
    <w:rsid w:val="00D52566"/>
    <w:rsid w:val="00D52604"/>
    <w:rsid w:val="00D52606"/>
    <w:rsid w:val="00D5264B"/>
    <w:rsid w:val="00D52703"/>
    <w:rsid w:val="00D52717"/>
    <w:rsid w:val="00D527FC"/>
    <w:rsid w:val="00D5285D"/>
    <w:rsid w:val="00D5288E"/>
    <w:rsid w:val="00D528EE"/>
    <w:rsid w:val="00D52903"/>
    <w:rsid w:val="00D5295C"/>
    <w:rsid w:val="00D5299A"/>
    <w:rsid w:val="00D529E5"/>
    <w:rsid w:val="00D52A2B"/>
    <w:rsid w:val="00D52A63"/>
    <w:rsid w:val="00D52BB5"/>
    <w:rsid w:val="00D52C06"/>
    <w:rsid w:val="00D52C33"/>
    <w:rsid w:val="00D52CC9"/>
    <w:rsid w:val="00D52CF3"/>
    <w:rsid w:val="00D52D41"/>
    <w:rsid w:val="00D52DAE"/>
    <w:rsid w:val="00D52F77"/>
    <w:rsid w:val="00D52FEF"/>
    <w:rsid w:val="00D53150"/>
    <w:rsid w:val="00D5326F"/>
    <w:rsid w:val="00D532C7"/>
    <w:rsid w:val="00D532E8"/>
    <w:rsid w:val="00D53307"/>
    <w:rsid w:val="00D533D7"/>
    <w:rsid w:val="00D53546"/>
    <w:rsid w:val="00D5360E"/>
    <w:rsid w:val="00D53667"/>
    <w:rsid w:val="00D53694"/>
    <w:rsid w:val="00D536FB"/>
    <w:rsid w:val="00D53764"/>
    <w:rsid w:val="00D53782"/>
    <w:rsid w:val="00D538FD"/>
    <w:rsid w:val="00D53915"/>
    <w:rsid w:val="00D5395F"/>
    <w:rsid w:val="00D5398B"/>
    <w:rsid w:val="00D53AAD"/>
    <w:rsid w:val="00D53B2D"/>
    <w:rsid w:val="00D53B57"/>
    <w:rsid w:val="00D53C57"/>
    <w:rsid w:val="00D53C9C"/>
    <w:rsid w:val="00D53DF3"/>
    <w:rsid w:val="00D53EAB"/>
    <w:rsid w:val="00D54072"/>
    <w:rsid w:val="00D540FE"/>
    <w:rsid w:val="00D54122"/>
    <w:rsid w:val="00D54149"/>
    <w:rsid w:val="00D54156"/>
    <w:rsid w:val="00D54180"/>
    <w:rsid w:val="00D541D2"/>
    <w:rsid w:val="00D54216"/>
    <w:rsid w:val="00D54228"/>
    <w:rsid w:val="00D5428F"/>
    <w:rsid w:val="00D542A5"/>
    <w:rsid w:val="00D542B2"/>
    <w:rsid w:val="00D5433B"/>
    <w:rsid w:val="00D543C5"/>
    <w:rsid w:val="00D5443F"/>
    <w:rsid w:val="00D54508"/>
    <w:rsid w:val="00D545DE"/>
    <w:rsid w:val="00D54637"/>
    <w:rsid w:val="00D54673"/>
    <w:rsid w:val="00D5467D"/>
    <w:rsid w:val="00D5473A"/>
    <w:rsid w:val="00D54751"/>
    <w:rsid w:val="00D54773"/>
    <w:rsid w:val="00D5478D"/>
    <w:rsid w:val="00D547CE"/>
    <w:rsid w:val="00D5483A"/>
    <w:rsid w:val="00D5485D"/>
    <w:rsid w:val="00D548D7"/>
    <w:rsid w:val="00D5490E"/>
    <w:rsid w:val="00D5492F"/>
    <w:rsid w:val="00D54A4B"/>
    <w:rsid w:val="00D54A77"/>
    <w:rsid w:val="00D54C49"/>
    <w:rsid w:val="00D54D4C"/>
    <w:rsid w:val="00D54E23"/>
    <w:rsid w:val="00D54EE6"/>
    <w:rsid w:val="00D54F17"/>
    <w:rsid w:val="00D54F85"/>
    <w:rsid w:val="00D55211"/>
    <w:rsid w:val="00D553D1"/>
    <w:rsid w:val="00D5541B"/>
    <w:rsid w:val="00D5561B"/>
    <w:rsid w:val="00D55677"/>
    <w:rsid w:val="00D556AE"/>
    <w:rsid w:val="00D55798"/>
    <w:rsid w:val="00D557BE"/>
    <w:rsid w:val="00D5585F"/>
    <w:rsid w:val="00D5586D"/>
    <w:rsid w:val="00D55964"/>
    <w:rsid w:val="00D559EA"/>
    <w:rsid w:val="00D55A6A"/>
    <w:rsid w:val="00D55A6F"/>
    <w:rsid w:val="00D55B34"/>
    <w:rsid w:val="00D55B55"/>
    <w:rsid w:val="00D55BC5"/>
    <w:rsid w:val="00D55BCA"/>
    <w:rsid w:val="00D55C0A"/>
    <w:rsid w:val="00D55CBA"/>
    <w:rsid w:val="00D55D1A"/>
    <w:rsid w:val="00D55E9F"/>
    <w:rsid w:val="00D55EA8"/>
    <w:rsid w:val="00D55F74"/>
    <w:rsid w:val="00D55FE5"/>
    <w:rsid w:val="00D56005"/>
    <w:rsid w:val="00D56098"/>
    <w:rsid w:val="00D560A2"/>
    <w:rsid w:val="00D56103"/>
    <w:rsid w:val="00D56141"/>
    <w:rsid w:val="00D5621E"/>
    <w:rsid w:val="00D56250"/>
    <w:rsid w:val="00D56267"/>
    <w:rsid w:val="00D56294"/>
    <w:rsid w:val="00D5632E"/>
    <w:rsid w:val="00D56429"/>
    <w:rsid w:val="00D564F2"/>
    <w:rsid w:val="00D56515"/>
    <w:rsid w:val="00D566AD"/>
    <w:rsid w:val="00D566BC"/>
    <w:rsid w:val="00D566D4"/>
    <w:rsid w:val="00D566E9"/>
    <w:rsid w:val="00D567F4"/>
    <w:rsid w:val="00D56827"/>
    <w:rsid w:val="00D5688F"/>
    <w:rsid w:val="00D568C1"/>
    <w:rsid w:val="00D569EB"/>
    <w:rsid w:val="00D56A5E"/>
    <w:rsid w:val="00D56AF3"/>
    <w:rsid w:val="00D56B5D"/>
    <w:rsid w:val="00D56B84"/>
    <w:rsid w:val="00D56BFC"/>
    <w:rsid w:val="00D56C71"/>
    <w:rsid w:val="00D56C77"/>
    <w:rsid w:val="00D56D17"/>
    <w:rsid w:val="00D56D19"/>
    <w:rsid w:val="00D56D67"/>
    <w:rsid w:val="00D56D7F"/>
    <w:rsid w:val="00D56DB0"/>
    <w:rsid w:val="00D56E53"/>
    <w:rsid w:val="00D570D5"/>
    <w:rsid w:val="00D57239"/>
    <w:rsid w:val="00D5726A"/>
    <w:rsid w:val="00D572B3"/>
    <w:rsid w:val="00D5738E"/>
    <w:rsid w:val="00D573BA"/>
    <w:rsid w:val="00D57451"/>
    <w:rsid w:val="00D5748F"/>
    <w:rsid w:val="00D574BE"/>
    <w:rsid w:val="00D57566"/>
    <w:rsid w:val="00D575D1"/>
    <w:rsid w:val="00D57736"/>
    <w:rsid w:val="00D577C7"/>
    <w:rsid w:val="00D57888"/>
    <w:rsid w:val="00D578A3"/>
    <w:rsid w:val="00D578C4"/>
    <w:rsid w:val="00D57903"/>
    <w:rsid w:val="00D57983"/>
    <w:rsid w:val="00D579A5"/>
    <w:rsid w:val="00D579C2"/>
    <w:rsid w:val="00D57AD7"/>
    <w:rsid w:val="00D57B60"/>
    <w:rsid w:val="00D57B63"/>
    <w:rsid w:val="00D57BAB"/>
    <w:rsid w:val="00D57C48"/>
    <w:rsid w:val="00D57C83"/>
    <w:rsid w:val="00D57CCD"/>
    <w:rsid w:val="00D57DA4"/>
    <w:rsid w:val="00D57DB4"/>
    <w:rsid w:val="00D57DB6"/>
    <w:rsid w:val="00D57E0E"/>
    <w:rsid w:val="00D57E23"/>
    <w:rsid w:val="00D57E8B"/>
    <w:rsid w:val="00D57EC8"/>
    <w:rsid w:val="00D57F0A"/>
    <w:rsid w:val="00D57F5C"/>
    <w:rsid w:val="00D60011"/>
    <w:rsid w:val="00D60022"/>
    <w:rsid w:val="00D60053"/>
    <w:rsid w:val="00D60096"/>
    <w:rsid w:val="00D60113"/>
    <w:rsid w:val="00D6016B"/>
    <w:rsid w:val="00D601F8"/>
    <w:rsid w:val="00D602EA"/>
    <w:rsid w:val="00D602FD"/>
    <w:rsid w:val="00D6034D"/>
    <w:rsid w:val="00D60361"/>
    <w:rsid w:val="00D6039B"/>
    <w:rsid w:val="00D60447"/>
    <w:rsid w:val="00D604C7"/>
    <w:rsid w:val="00D6053B"/>
    <w:rsid w:val="00D60564"/>
    <w:rsid w:val="00D60566"/>
    <w:rsid w:val="00D6070B"/>
    <w:rsid w:val="00D6070F"/>
    <w:rsid w:val="00D6079A"/>
    <w:rsid w:val="00D607BD"/>
    <w:rsid w:val="00D607EE"/>
    <w:rsid w:val="00D6082C"/>
    <w:rsid w:val="00D608C9"/>
    <w:rsid w:val="00D60AAF"/>
    <w:rsid w:val="00D60AFD"/>
    <w:rsid w:val="00D60B35"/>
    <w:rsid w:val="00D60B36"/>
    <w:rsid w:val="00D60BB0"/>
    <w:rsid w:val="00D60C25"/>
    <w:rsid w:val="00D60C4D"/>
    <w:rsid w:val="00D60CBC"/>
    <w:rsid w:val="00D60D61"/>
    <w:rsid w:val="00D60DC6"/>
    <w:rsid w:val="00D60E7C"/>
    <w:rsid w:val="00D60EFC"/>
    <w:rsid w:val="00D6105B"/>
    <w:rsid w:val="00D610A4"/>
    <w:rsid w:val="00D610E7"/>
    <w:rsid w:val="00D61158"/>
    <w:rsid w:val="00D61166"/>
    <w:rsid w:val="00D6124D"/>
    <w:rsid w:val="00D61287"/>
    <w:rsid w:val="00D612C4"/>
    <w:rsid w:val="00D612FD"/>
    <w:rsid w:val="00D61379"/>
    <w:rsid w:val="00D61381"/>
    <w:rsid w:val="00D615DC"/>
    <w:rsid w:val="00D615EA"/>
    <w:rsid w:val="00D6167A"/>
    <w:rsid w:val="00D61750"/>
    <w:rsid w:val="00D61788"/>
    <w:rsid w:val="00D6178A"/>
    <w:rsid w:val="00D6181F"/>
    <w:rsid w:val="00D61831"/>
    <w:rsid w:val="00D61853"/>
    <w:rsid w:val="00D61AFE"/>
    <w:rsid w:val="00D61B23"/>
    <w:rsid w:val="00D61C8D"/>
    <w:rsid w:val="00D61C92"/>
    <w:rsid w:val="00D61D3E"/>
    <w:rsid w:val="00D61D81"/>
    <w:rsid w:val="00D61DD0"/>
    <w:rsid w:val="00D61DF0"/>
    <w:rsid w:val="00D61E17"/>
    <w:rsid w:val="00D61E99"/>
    <w:rsid w:val="00D61FBD"/>
    <w:rsid w:val="00D61FDF"/>
    <w:rsid w:val="00D61FEC"/>
    <w:rsid w:val="00D62004"/>
    <w:rsid w:val="00D62095"/>
    <w:rsid w:val="00D620D7"/>
    <w:rsid w:val="00D6215B"/>
    <w:rsid w:val="00D62209"/>
    <w:rsid w:val="00D622FA"/>
    <w:rsid w:val="00D623EB"/>
    <w:rsid w:val="00D623F9"/>
    <w:rsid w:val="00D62538"/>
    <w:rsid w:val="00D625EB"/>
    <w:rsid w:val="00D62624"/>
    <w:rsid w:val="00D62691"/>
    <w:rsid w:val="00D626EF"/>
    <w:rsid w:val="00D626FD"/>
    <w:rsid w:val="00D627EF"/>
    <w:rsid w:val="00D6281B"/>
    <w:rsid w:val="00D6289A"/>
    <w:rsid w:val="00D628DF"/>
    <w:rsid w:val="00D6290F"/>
    <w:rsid w:val="00D62A2E"/>
    <w:rsid w:val="00D62A57"/>
    <w:rsid w:val="00D62ABF"/>
    <w:rsid w:val="00D62B15"/>
    <w:rsid w:val="00D62BBF"/>
    <w:rsid w:val="00D62BE6"/>
    <w:rsid w:val="00D62C34"/>
    <w:rsid w:val="00D62CE1"/>
    <w:rsid w:val="00D62CFA"/>
    <w:rsid w:val="00D62D12"/>
    <w:rsid w:val="00D62D5F"/>
    <w:rsid w:val="00D62D61"/>
    <w:rsid w:val="00D62E72"/>
    <w:rsid w:val="00D62EEC"/>
    <w:rsid w:val="00D62F5C"/>
    <w:rsid w:val="00D630CE"/>
    <w:rsid w:val="00D63129"/>
    <w:rsid w:val="00D6319B"/>
    <w:rsid w:val="00D631D1"/>
    <w:rsid w:val="00D632E0"/>
    <w:rsid w:val="00D6346C"/>
    <w:rsid w:val="00D634DE"/>
    <w:rsid w:val="00D6350C"/>
    <w:rsid w:val="00D63526"/>
    <w:rsid w:val="00D63550"/>
    <w:rsid w:val="00D63694"/>
    <w:rsid w:val="00D6371A"/>
    <w:rsid w:val="00D6374F"/>
    <w:rsid w:val="00D637EF"/>
    <w:rsid w:val="00D6383C"/>
    <w:rsid w:val="00D6388B"/>
    <w:rsid w:val="00D63963"/>
    <w:rsid w:val="00D639B2"/>
    <w:rsid w:val="00D63A77"/>
    <w:rsid w:val="00D63AA0"/>
    <w:rsid w:val="00D63AA1"/>
    <w:rsid w:val="00D63B18"/>
    <w:rsid w:val="00D63B3E"/>
    <w:rsid w:val="00D63BBB"/>
    <w:rsid w:val="00D63BD7"/>
    <w:rsid w:val="00D63CA1"/>
    <w:rsid w:val="00D63CA3"/>
    <w:rsid w:val="00D63CBB"/>
    <w:rsid w:val="00D63D0D"/>
    <w:rsid w:val="00D63DA0"/>
    <w:rsid w:val="00D63DF9"/>
    <w:rsid w:val="00D63E0F"/>
    <w:rsid w:val="00D63E51"/>
    <w:rsid w:val="00D63E5B"/>
    <w:rsid w:val="00D63E7D"/>
    <w:rsid w:val="00D63F0A"/>
    <w:rsid w:val="00D63F9D"/>
    <w:rsid w:val="00D64056"/>
    <w:rsid w:val="00D6408F"/>
    <w:rsid w:val="00D640ED"/>
    <w:rsid w:val="00D641AE"/>
    <w:rsid w:val="00D64268"/>
    <w:rsid w:val="00D642A8"/>
    <w:rsid w:val="00D642B6"/>
    <w:rsid w:val="00D6459C"/>
    <w:rsid w:val="00D645D0"/>
    <w:rsid w:val="00D645D2"/>
    <w:rsid w:val="00D645D5"/>
    <w:rsid w:val="00D64615"/>
    <w:rsid w:val="00D64774"/>
    <w:rsid w:val="00D647B0"/>
    <w:rsid w:val="00D647ED"/>
    <w:rsid w:val="00D6484B"/>
    <w:rsid w:val="00D6486C"/>
    <w:rsid w:val="00D6495F"/>
    <w:rsid w:val="00D64965"/>
    <w:rsid w:val="00D649AB"/>
    <w:rsid w:val="00D649BA"/>
    <w:rsid w:val="00D64AFC"/>
    <w:rsid w:val="00D64B26"/>
    <w:rsid w:val="00D64B89"/>
    <w:rsid w:val="00D64BBE"/>
    <w:rsid w:val="00D64BE9"/>
    <w:rsid w:val="00D64CD8"/>
    <w:rsid w:val="00D64CEB"/>
    <w:rsid w:val="00D64D31"/>
    <w:rsid w:val="00D64D4E"/>
    <w:rsid w:val="00D64D62"/>
    <w:rsid w:val="00D64E48"/>
    <w:rsid w:val="00D64E82"/>
    <w:rsid w:val="00D64EE4"/>
    <w:rsid w:val="00D65011"/>
    <w:rsid w:val="00D650EE"/>
    <w:rsid w:val="00D65135"/>
    <w:rsid w:val="00D6517F"/>
    <w:rsid w:val="00D65433"/>
    <w:rsid w:val="00D65507"/>
    <w:rsid w:val="00D656B8"/>
    <w:rsid w:val="00D65797"/>
    <w:rsid w:val="00D657E0"/>
    <w:rsid w:val="00D6584F"/>
    <w:rsid w:val="00D658F2"/>
    <w:rsid w:val="00D659B7"/>
    <w:rsid w:val="00D65A20"/>
    <w:rsid w:val="00D65A44"/>
    <w:rsid w:val="00D65A79"/>
    <w:rsid w:val="00D65B38"/>
    <w:rsid w:val="00D65B6E"/>
    <w:rsid w:val="00D65ECB"/>
    <w:rsid w:val="00D65F6F"/>
    <w:rsid w:val="00D65FD8"/>
    <w:rsid w:val="00D660B5"/>
    <w:rsid w:val="00D660E0"/>
    <w:rsid w:val="00D660F1"/>
    <w:rsid w:val="00D6616A"/>
    <w:rsid w:val="00D6616B"/>
    <w:rsid w:val="00D661B6"/>
    <w:rsid w:val="00D661CA"/>
    <w:rsid w:val="00D661D5"/>
    <w:rsid w:val="00D662BF"/>
    <w:rsid w:val="00D663CA"/>
    <w:rsid w:val="00D664BB"/>
    <w:rsid w:val="00D66512"/>
    <w:rsid w:val="00D66572"/>
    <w:rsid w:val="00D665F1"/>
    <w:rsid w:val="00D666D7"/>
    <w:rsid w:val="00D66774"/>
    <w:rsid w:val="00D66790"/>
    <w:rsid w:val="00D66791"/>
    <w:rsid w:val="00D66830"/>
    <w:rsid w:val="00D668B3"/>
    <w:rsid w:val="00D66940"/>
    <w:rsid w:val="00D6695E"/>
    <w:rsid w:val="00D66A5C"/>
    <w:rsid w:val="00D66B39"/>
    <w:rsid w:val="00D66B93"/>
    <w:rsid w:val="00D66BC7"/>
    <w:rsid w:val="00D66BFE"/>
    <w:rsid w:val="00D66CB3"/>
    <w:rsid w:val="00D66D3F"/>
    <w:rsid w:val="00D66DF1"/>
    <w:rsid w:val="00D66E56"/>
    <w:rsid w:val="00D66E62"/>
    <w:rsid w:val="00D66F3A"/>
    <w:rsid w:val="00D66F61"/>
    <w:rsid w:val="00D66FA8"/>
    <w:rsid w:val="00D66FFC"/>
    <w:rsid w:val="00D670D3"/>
    <w:rsid w:val="00D670DF"/>
    <w:rsid w:val="00D671B8"/>
    <w:rsid w:val="00D671DD"/>
    <w:rsid w:val="00D67361"/>
    <w:rsid w:val="00D673D7"/>
    <w:rsid w:val="00D67437"/>
    <w:rsid w:val="00D674A7"/>
    <w:rsid w:val="00D67527"/>
    <w:rsid w:val="00D675C8"/>
    <w:rsid w:val="00D67639"/>
    <w:rsid w:val="00D6763A"/>
    <w:rsid w:val="00D67698"/>
    <w:rsid w:val="00D676AE"/>
    <w:rsid w:val="00D676E0"/>
    <w:rsid w:val="00D676E3"/>
    <w:rsid w:val="00D67728"/>
    <w:rsid w:val="00D67767"/>
    <w:rsid w:val="00D6776F"/>
    <w:rsid w:val="00D677A0"/>
    <w:rsid w:val="00D677A2"/>
    <w:rsid w:val="00D677B4"/>
    <w:rsid w:val="00D6791C"/>
    <w:rsid w:val="00D67945"/>
    <w:rsid w:val="00D67988"/>
    <w:rsid w:val="00D679E2"/>
    <w:rsid w:val="00D67A7C"/>
    <w:rsid w:val="00D67A84"/>
    <w:rsid w:val="00D67B29"/>
    <w:rsid w:val="00D67D11"/>
    <w:rsid w:val="00D67D32"/>
    <w:rsid w:val="00D67D51"/>
    <w:rsid w:val="00D67E16"/>
    <w:rsid w:val="00D67E2A"/>
    <w:rsid w:val="00D67F07"/>
    <w:rsid w:val="00D67FA1"/>
    <w:rsid w:val="00D70039"/>
    <w:rsid w:val="00D700B6"/>
    <w:rsid w:val="00D7010A"/>
    <w:rsid w:val="00D7024D"/>
    <w:rsid w:val="00D70372"/>
    <w:rsid w:val="00D70440"/>
    <w:rsid w:val="00D7045D"/>
    <w:rsid w:val="00D704DD"/>
    <w:rsid w:val="00D70563"/>
    <w:rsid w:val="00D7058C"/>
    <w:rsid w:val="00D705A6"/>
    <w:rsid w:val="00D705AE"/>
    <w:rsid w:val="00D705D0"/>
    <w:rsid w:val="00D7063E"/>
    <w:rsid w:val="00D70655"/>
    <w:rsid w:val="00D70679"/>
    <w:rsid w:val="00D70716"/>
    <w:rsid w:val="00D70719"/>
    <w:rsid w:val="00D70771"/>
    <w:rsid w:val="00D707C3"/>
    <w:rsid w:val="00D707FE"/>
    <w:rsid w:val="00D70870"/>
    <w:rsid w:val="00D70932"/>
    <w:rsid w:val="00D7095C"/>
    <w:rsid w:val="00D70A1E"/>
    <w:rsid w:val="00D70A98"/>
    <w:rsid w:val="00D70B0E"/>
    <w:rsid w:val="00D70BCF"/>
    <w:rsid w:val="00D70CA0"/>
    <w:rsid w:val="00D70D05"/>
    <w:rsid w:val="00D70D20"/>
    <w:rsid w:val="00D70E69"/>
    <w:rsid w:val="00D70E9E"/>
    <w:rsid w:val="00D70F62"/>
    <w:rsid w:val="00D70F9B"/>
    <w:rsid w:val="00D710EB"/>
    <w:rsid w:val="00D71105"/>
    <w:rsid w:val="00D7117E"/>
    <w:rsid w:val="00D711E4"/>
    <w:rsid w:val="00D712AF"/>
    <w:rsid w:val="00D71359"/>
    <w:rsid w:val="00D7136A"/>
    <w:rsid w:val="00D713A4"/>
    <w:rsid w:val="00D713DE"/>
    <w:rsid w:val="00D713E8"/>
    <w:rsid w:val="00D71498"/>
    <w:rsid w:val="00D71598"/>
    <w:rsid w:val="00D715A9"/>
    <w:rsid w:val="00D71618"/>
    <w:rsid w:val="00D7167F"/>
    <w:rsid w:val="00D716B1"/>
    <w:rsid w:val="00D71703"/>
    <w:rsid w:val="00D717E6"/>
    <w:rsid w:val="00D7181A"/>
    <w:rsid w:val="00D71828"/>
    <w:rsid w:val="00D7184C"/>
    <w:rsid w:val="00D71918"/>
    <w:rsid w:val="00D71AAF"/>
    <w:rsid w:val="00D71AF0"/>
    <w:rsid w:val="00D71B15"/>
    <w:rsid w:val="00D71BEB"/>
    <w:rsid w:val="00D71C39"/>
    <w:rsid w:val="00D71C46"/>
    <w:rsid w:val="00D71D1B"/>
    <w:rsid w:val="00D71D6B"/>
    <w:rsid w:val="00D71D84"/>
    <w:rsid w:val="00D71E44"/>
    <w:rsid w:val="00D71FD0"/>
    <w:rsid w:val="00D720FE"/>
    <w:rsid w:val="00D7210E"/>
    <w:rsid w:val="00D72148"/>
    <w:rsid w:val="00D721A6"/>
    <w:rsid w:val="00D72204"/>
    <w:rsid w:val="00D7220E"/>
    <w:rsid w:val="00D72274"/>
    <w:rsid w:val="00D722C4"/>
    <w:rsid w:val="00D7237F"/>
    <w:rsid w:val="00D723B3"/>
    <w:rsid w:val="00D723E7"/>
    <w:rsid w:val="00D723EC"/>
    <w:rsid w:val="00D72483"/>
    <w:rsid w:val="00D7248D"/>
    <w:rsid w:val="00D724EB"/>
    <w:rsid w:val="00D7259A"/>
    <w:rsid w:val="00D72652"/>
    <w:rsid w:val="00D726CC"/>
    <w:rsid w:val="00D726ED"/>
    <w:rsid w:val="00D72787"/>
    <w:rsid w:val="00D727F1"/>
    <w:rsid w:val="00D728F6"/>
    <w:rsid w:val="00D72930"/>
    <w:rsid w:val="00D7295C"/>
    <w:rsid w:val="00D72A42"/>
    <w:rsid w:val="00D72A7E"/>
    <w:rsid w:val="00D72B57"/>
    <w:rsid w:val="00D72B5E"/>
    <w:rsid w:val="00D72BB1"/>
    <w:rsid w:val="00D72C12"/>
    <w:rsid w:val="00D72C16"/>
    <w:rsid w:val="00D72CA6"/>
    <w:rsid w:val="00D72CB7"/>
    <w:rsid w:val="00D72D35"/>
    <w:rsid w:val="00D72DE5"/>
    <w:rsid w:val="00D72E10"/>
    <w:rsid w:val="00D72E32"/>
    <w:rsid w:val="00D72E87"/>
    <w:rsid w:val="00D72EFB"/>
    <w:rsid w:val="00D72F01"/>
    <w:rsid w:val="00D72FB3"/>
    <w:rsid w:val="00D73058"/>
    <w:rsid w:val="00D73070"/>
    <w:rsid w:val="00D73082"/>
    <w:rsid w:val="00D7312C"/>
    <w:rsid w:val="00D73138"/>
    <w:rsid w:val="00D732F9"/>
    <w:rsid w:val="00D7337C"/>
    <w:rsid w:val="00D733DA"/>
    <w:rsid w:val="00D733E6"/>
    <w:rsid w:val="00D7350F"/>
    <w:rsid w:val="00D73516"/>
    <w:rsid w:val="00D73529"/>
    <w:rsid w:val="00D73555"/>
    <w:rsid w:val="00D735C1"/>
    <w:rsid w:val="00D735E4"/>
    <w:rsid w:val="00D7362A"/>
    <w:rsid w:val="00D736BE"/>
    <w:rsid w:val="00D736EF"/>
    <w:rsid w:val="00D737ED"/>
    <w:rsid w:val="00D73800"/>
    <w:rsid w:val="00D7380B"/>
    <w:rsid w:val="00D738E5"/>
    <w:rsid w:val="00D73938"/>
    <w:rsid w:val="00D73C11"/>
    <w:rsid w:val="00D73C1A"/>
    <w:rsid w:val="00D73C23"/>
    <w:rsid w:val="00D73D85"/>
    <w:rsid w:val="00D73DE4"/>
    <w:rsid w:val="00D73EAF"/>
    <w:rsid w:val="00D73F20"/>
    <w:rsid w:val="00D73F37"/>
    <w:rsid w:val="00D73F41"/>
    <w:rsid w:val="00D74036"/>
    <w:rsid w:val="00D74041"/>
    <w:rsid w:val="00D7408C"/>
    <w:rsid w:val="00D74103"/>
    <w:rsid w:val="00D74119"/>
    <w:rsid w:val="00D74198"/>
    <w:rsid w:val="00D741C2"/>
    <w:rsid w:val="00D74265"/>
    <w:rsid w:val="00D7426D"/>
    <w:rsid w:val="00D7427A"/>
    <w:rsid w:val="00D743F7"/>
    <w:rsid w:val="00D74462"/>
    <w:rsid w:val="00D74476"/>
    <w:rsid w:val="00D74497"/>
    <w:rsid w:val="00D74506"/>
    <w:rsid w:val="00D74530"/>
    <w:rsid w:val="00D7453D"/>
    <w:rsid w:val="00D7454E"/>
    <w:rsid w:val="00D745BE"/>
    <w:rsid w:val="00D7466B"/>
    <w:rsid w:val="00D74684"/>
    <w:rsid w:val="00D746E0"/>
    <w:rsid w:val="00D74705"/>
    <w:rsid w:val="00D747B0"/>
    <w:rsid w:val="00D747C2"/>
    <w:rsid w:val="00D747E4"/>
    <w:rsid w:val="00D74833"/>
    <w:rsid w:val="00D7486A"/>
    <w:rsid w:val="00D74876"/>
    <w:rsid w:val="00D748A6"/>
    <w:rsid w:val="00D74A4B"/>
    <w:rsid w:val="00D74A7D"/>
    <w:rsid w:val="00D74BAF"/>
    <w:rsid w:val="00D74BEF"/>
    <w:rsid w:val="00D74D64"/>
    <w:rsid w:val="00D74D88"/>
    <w:rsid w:val="00D74D8D"/>
    <w:rsid w:val="00D74EBE"/>
    <w:rsid w:val="00D74F03"/>
    <w:rsid w:val="00D74F19"/>
    <w:rsid w:val="00D74F40"/>
    <w:rsid w:val="00D74F74"/>
    <w:rsid w:val="00D74FF0"/>
    <w:rsid w:val="00D75069"/>
    <w:rsid w:val="00D75130"/>
    <w:rsid w:val="00D75196"/>
    <w:rsid w:val="00D751D6"/>
    <w:rsid w:val="00D752C9"/>
    <w:rsid w:val="00D752D5"/>
    <w:rsid w:val="00D7539C"/>
    <w:rsid w:val="00D75472"/>
    <w:rsid w:val="00D754DC"/>
    <w:rsid w:val="00D75598"/>
    <w:rsid w:val="00D75662"/>
    <w:rsid w:val="00D75721"/>
    <w:rsid w:val="00D75820"/>
    <w:rsid w:val="00D7592A"/>
    <w:rsid w:val="00D7598D"/>
    <w:rsid w:val="00D759C6"/>
    <w:rsid w:val="00D759DD"/>
    <w:rsid w:val="00D75A06"/>
    <w:rsid w:val="00D75A3C"/>
    <w:rsid w:val="00D75A5B"/>
    <w:rsid w:val="00D75B74"/>
    <w:rsid w:val="00D75BDC"/>
    <w:rsid w:val="00D75BEF"/>
    <w:rsid w:val="00D75C08"/>
    <w:rsid w:val="00D75CB7"/>
    <w:rsid w:val="00D75D03"/>
    <w:rsid w:val="00D75DE7"/>
    <w:rsid w:val="00D75E0B"/>
    <w:rsid w:val="00D75E3F"/>
    <w:rsid w:val="00D75EDF"/>
    <w:rsid w:val="00D75F63"/>
    <w:rsid w:val="00D75FA1"/>
    <w:rsid w:val="00D75FD6"/>
    <w:rsid w:val="00D7602C"/>
    <w:rsid w:val="00D760B9"/>
    <w:rsid w:val="00D76149"/>
    <w:rsid w:val="00D76159"/>
    <w:rsid w:val="00D76177"/>
    <w:rsid w:val="00D761B8"/>
    <w:rsid w:val="00D762A9"/>
    <w:rsid w:val="00D76321"/>
    <w:rsid w:val="00D763C0"/>
    <w:rsid w:val="00D76461"/>
    <w:rsid w:val="00D7657D"/>
    <w:rsid w:val="00D7659A"/>
    <w:rsid w:val="00D76609"/>
    <w:rsid w:val="00D76665"/>
    <w:rsid w:val="00D766D9"/>
    <w:rsid w:val="00D76735"/>
    <w:rsid w:val="00D76740"/>
    <w:rsid w:val="00D76742"/>
    <w:rsid w:val="00D76748"/>
    <w:rsid w:val="00D76787"/>
    <w:rsid w:val="00D7679D"/>
    <w:rsid w:val="00D767C0"/>
    <w:rsid w:val="00D7680F"/>
    <w:rsid w:val="00D76867"/>
    <w:rsid w:val="00D768D8"/>
    <w:rsid w:val="00D768F5"/>
    <w:rsid w:val="00D7690A"/>
    <w:rsid w:val="00D769DB"/>
    <w:rsid w:val="00D76A3E"/>
    <w:rsid w:val="00D76A85"/>
    <w:rsid w:val="00D76B76"/>
    <w:rsid w:val="00D76BD3"/>
    <w:rsid w:val="00D76C74"/>
    <w:rsid w:val="00D76C98"/>
    <w:rsid w:val="00D76D17"/>
    <w:rsid w:val="00D76D4D"/>
    <w:rsid w:val="00D76DD7"/>
    <w:rsid w:val="00D76DDC"/>
    <w:rsid w:val="00D76E4E"/>
    <w:rsid w:val="00D76EBC"/>
    <w:rsid w:val="00D76F88"/>
    <w:rsid w:val="00D7701A"/>
    <w:rsid w:val="00D770B0"/>
    <w:rsid w:val="00D770FF"/>
    <w:rsid w:val="00D771AD"/>
    <w:rsid w:val="00D771F4"/>
    <w:rsid w:val="00D77201"/>
    <w:rsid w:val="00D77267"/>
    <w:rsid w:val="00D7726E"/>
    <w:rsid w:val="00D77295"/>
    <w:rsid w:val="00D772EA"/>
    <w:rsid w:val="00D77374"/>
    <w:rsid w:val="00D7738F"/>
    <w:rsid w:val="00D77443"/>
    <w:rsid w:val="00D77549"/>
    <w:rsid w:val="00D77583"/>
    <w:rsid w:val="00D775B5"/>
    <w:rsid w:val="00D77609"/>
    <w:rsid w:val="00D7765E"/>
    <w:rsid w:val="00D7769B"/>
    <w:rsid w:val="00D7769F"/>
    <w:rsid w:val="00D776B1"/>
    <w:rsid w:val="00D77715"/>
    <w:rsid w:val="00D77844"/>
    <w:rsid w:val="00D77847"/>
    <w:rsid w:val="00D77852"/>
    <w:rsid w:val="00D7792B"/>
    <w:rsid w:val="00D779BE"/>
    <w:rsid w:val="00D77A35"/>
    <w:rsid w:val="00D77A6E"/>
    <w:rsid w:val="00D77AA0"/>
    <w:rsid w:val="00D77BAF"/>
    <w:rsid w:val="00D77BD8"/>
    <w:rsid w:val="00D77C13"/>
    <w:rsid w:val="00D77C1E"/>
    <w:rsid w:val="00D77C98"/>
    <w:rsid w:val="00D77CCD"/>
    <w:rsid w:val="00D77D1A"/>
    <w:rsid w:val="00D77D34"/>
    <w:rsid w:val="00D77DB1"/>
    <w:rsid w:val="00D77DBE"/>
    <w:rsid w:val="00D77DE2"/>
    <w:rsid w:val="00D77DE5"/>
    <w:rsid w:val="00D77E31"/>
    <w:rsid w:val="00D77E97"/>
    <w:rsid w:val="00D77F55"/>
    <w:rsid w:val="00D7E0B4"/>
    <w:rsid w:val="00D8012D"/>
    <w:rsid w:val="00D80246"/>
    <w:rsid w:val="00D80275"/>
    <w:rsid w:val="00D80313"/>
    <w:rsid w:val="00D80337"/>
    <w:rsid w:val="00D80392"/>
    <w:rsid w:val="00D803B3"/>
    <w:rsid w:val="00D803EF"/>
    <w:rsid w:val="00D804C8"/>
    <w:rsid w:val="00D804D0"/>
    <w:rsid w:val="00D804EC"/>
    <w:rsid w:val="00D8052F"/>
    <w:rsid w:val="00D805A2"/>
    <w:rsid w:val="00D80607"/>
    <w:rsid w:val="00D80659"/>
    <w:rsid w:val="00D8067F"/>
    <w:rsid w:val="00D80683"/>
    <w:rsid w:val="00D8068D"/>
    <w:rsid w:val="00D806A6"/>
    <w:rsid w:val="00D806BC"/>
    <w:rsid w:val="00D806DF"/>
    <w:rsid w:val="00D806FE"/>
    <w:rsid w:val="00D80789"/>
    <w:rsid w:val="00D80816"/>
    <w:rsid w:val="00D8095B"/>
    <w:rsid w:val="00D8096B"/>
    <w:rsid w:val="00D80A40"/>
    <w:rsid w:val="00D80A8F"/>
    <w:rsid w:val="00D80AF6"/>
    <w:rsid w:val="00D80B02"/>
    <w:rsid w:val="00D80B19"/>
    <w:rsid w:val="00D80B55"/>
    <w:rsid w:val="00D80BBB"/>
    <w:rsid w:val="00D80C2C"/>
    <w:rsid w:val="00D80C69"/>
    <w:rsid w:val="00D80C78"/>
    <w:rsid w:val="00D80CF7"/>
    <w:rsid w:val="00D80D06"/>
    <w:rsid w:val="00D80D80"/>
    <w:rsid w:val="00D80D83"/>
    <w:rsid w:val="00D80E64"/>
    <w:rsid w:val="00D80FF9"/>
    <w:rsid w:val="00D8106C"/>
    <w:rsid w:val="00D811C4"/>
    <w:rsid w:val="00D81340"/>
    <w:rsid w:val="00D813D7"/>
    <w:rsid w:val="00D81440"/>
    <w:rsid w:val="00D81444"/>
    <w:rsid w:val="00D814D7"/>
    <w:rsid w:val="00D814D8"/>
    <w:rsid w:val="00D81512"/>
    <w:rsid w:val="00D8156E"/>
    <w:rsid w:val="00D81633"/>
    <w:rsid w:val="00D8164A"/>
    <w:rsid w:val="00D81680"/>
    <w:rsid w:val="00D816CB"/>
    <w:rsid w:val="00D8175B"/>
    <w:rsid w:val="00D817B6"/>
    <w:rsid w:val="00D8181B"/>
    <w:rsid w:val="00D81850"/>
    <w:rsid w:val="00D8188B"/>
    <w:rsid w:val="00D81A12"/>
    <w:rsid w:val="00D81A59"/>
    <w:rsid w:val="00D81ADA"/>
    <w:rsid w:val="00D81AFA"/>
    <w:rsid w:val="00D81C5B"/>
    <w:rsid w:val="00D81C80"/>
    <w:rsid w:val="00D81CC9"/>
    <w:rsid w:val="00D81E03"/>
    <w:rsid w:val="00D81E09"/>
    <w:rsid w:val="00D81EF8"/>
    <w:rsid w:val="00D81F5E"/>
    <w:rsid w:val="00D81F8D"/>
    <w:rsid w:val="00D81FD6"/>
    <w:rsid w:val="00D8201B"/>
    <w:rsid w:val="00D8201F"/>
    <w:rsid w:val="00D820E5"/>
    <w:rsid w:val="00D8219C"/>
    <w:rsid w:val="00D821D4"/>
    <w:rsid w:val="00D822B7"/>
    <w:rsid w:val="00D8231A"/>
    <w:rsid w:val="00D8234E"/>
    <w:rsid w:val="00D823A0"/>
    <w:rsid w:val="00D8244A"/>
    <w:rsid w:val="00D82528"/>
    <w:rsid w:val="00D8255A"/>
    <w:rsid w:val="00D82681"/>
    <w:rsid w:val="00D826B2"/>
    <w:rsid w:val="00D82703"/>
    <w:rsid w:val="00D8272A"/>
    <w:rsid w:val="00D8280A"/>
    <w:rsid w:val="00D8283A"/>
    <w:rsid w:val="00D82894"/>
    <w:rsid w:val="00D82913"/>
    <w:rsid w:val="00D82A70"/>
    <w:rsid w:val="00D82C0E"/>
    <w:rsid w:val="00D82C33"/>
    <w:rsid w:val="00D82D1A"/>
    <w:rsid w:val="00D82D2D"/>
    <w:rsid w:val="00D82DD3"/>
    <w:rsid w:val="00D82DF7"/>
    <w:rsid w:val="00D82E47"/>
    <w:rsid w:val="00D82E69"/>
    <w:rsid w:val="00D82ED8"/>
    <w:rsid w:val="00D82F2E"/>
    <w:rsid w:val="00D82F89"/>
    <w:rsid w:val="00D830F3"/>
    <w:rsid w:val="00D83129"/>
    <w:rsid w:val="00D83138"/>
    <w:rsid w:val="00D83182"/>
    <w:rsid w:val="00D832AA"/>
    <w:rsid w:val="00D834B8"/>
    <w:rsid w:val="00D83516"/>
    <w:rsid w:val="00D83633"/>
    <w:rsid w:val="00D83644"/>
    <w:rsid w:val="00D836A9"/>
    <w:rsid w:val="00D836F5"/>
    <w:rsid w:val="00D8377A"/>
    <w:rsid w:val="00D837B4"/>
    <w:rsid w:val="00D83811"/>
    <w:rsid w:val="00D83919"/>
    <w:rsid w:val="00D8396E"/>
    <w:rsid w:val="00D83A5E"/>
    <w:rsid w:val="00D83A6A"/>
    <w:rsid w:val="00D83B64"/>
    <w:rsid w:val="00D83B80"/>
    <w:rsid w:val="00D83B9D"/>
    <w:rsid w:val="00D83C72"/>
    <w:rsid w:val="00D83CC7"/>
    <w:rsid w:val="00D83CFE"/>
    <w:rsid w:val="00D83D00"/>
    <w:rsid w:val="00D83D27"/>
    <w:rsid w:val="00D83D47"/>
    <w:rsid w:val="00D83D6B"/>
    <w:rsid w:val="00D83D6F"/>
    <w:rsid w:val="00D83DA2"/>
    <w:rsid w:val="00D83DBD"/>
    <w:rsid w:val="00D83E31"/>
    <w:rsid w:val="00D83E60"/>
    <w:rsid w:val="00D83F44"/>
    <w:rsid w:val="00D83FD8"/>
    <w:rsid w:val="00D83FDB"/>
    <w:rsid w:val="00D84043"/>
    <w:rsid w:val="00D84208"/>
    <w:rsid w:val="00D8429E"/>
    <w:rsid w:val="00D843B3"/>
    <w:rsid w:val="00D844B0"/>
    <w:rsid w:val="00D84638"/>
    <w:rsid w:val="00D847A3"/>
    <w:rsid w:val="00D848D9"/>
    <w:rsid w:val="00D84946"/>
    <w:rsid w:val="00D8497E"/>
    <w:rsid w:val="00D849D7"/>
    <w:rsid w:val="00D84A31"/>
    <w:rsid w:val="00D84A50"/>
    <w:rsid w:val="00D84A5A"/>
    <w:rsid w:val="00D84A81"/>
    <w:rsid w:val="00D84B2B"/>
    <w:rsid w:val="00D84BB5"/>
    <w:rsid w:val="00D84BD5"/>
    <w:rsid w:val="00D84D3B"/>
    <w:rsid w:val="00D84D45"/>
    <w:rsid w:val="00D84DAD"/>
    <w:rsid w:val="00D84DD8"/>
    <w:rsid w:val="00D84EA5"/>
    <w:rsid w:val="00D84EDA"/>
    <w:rsid w:val="00D84F53"/>
    <w:rsid w:val="00D84FE8"/>
    <w:rsid w:val="00D850F7"/>
    <w:rsid w:val="00D8510E"/>
    <w:rsid w:val="00D85116"/>
    <w:rsid w:val="00D851A4"/>
    <w:rsid w:val="00D851CA"/>
    <w:rsid w:val="00D851F4"/>
    <w:rsid w:val="00D85285"/>
    <w:rsid w:val="00D85338"/>
    <w:rsid w:val="00D85365"/>
    <w:rsid w:val="00D85431"/>
    <w:rsid w:val="00D854B0"/>
    <w:rsid w:val="00D854BA"/>
    <w:rsid w:val="00D8550D"/>
    <w:rsid w:val="00D8555B"/>
    <w:rsid w:val="00D8558C"/>
    <w:rsid w:val="00D85659"/>
    <w:rsid w:val="00D856A2"/>
    <w:rsid w:val="00D856F1"/>
    <w:rsid w:val="00D857F4"/>
    <w:rsid w:val="00D85858"/>
    <w:rsid w:val="00D858CD"/>
    <w:rsid w:val="00D85912"/>
    <w:rsid w:val="00D85981"/>
    <w:rsid w:val="00D859C1"/>
    <w:rsid w:val="00D859EF"/>
    <w:rsid w:val="00D85A2B"/>
    <w:rsid w:val="00D85A30"/>
    <w:rsid w:val="00D85A72"/>
    <w:rsid w:val="00D85AC5"/>
    <w:rsid w:val="00D85BD0"/>
    <w:rsid w:val="00D85CE8"/>
    <w:rsid w:val="00D85D1E"/>
    <w:rsid w:val="00D85D32"/>
    <w:rsid w:val="00D85D7C"/>
    <w:rsid w:val="00D85E56"/>
    <w:rsid w:val="00D85FF6"/>
    <w:rsid w:val="00D86013"/>
    <w:rsid w:val="00D8603E"/>
    <w:rsid w:val="00D8615E"/>
    <w:rsid w:val="00D86192"/>
    <w:rsid w:val="00D86207"/>
    <w:rsid w:val="00D86274"/>
    <w:rsid w:val="00D864BF"/>
    <w:rsid w:val="00D86519"/>
    <w:rsid w:val="00D865A7"/>
    <w:rsid w:val="00D8662F"/>
    <w:rsid w:val="00D8666A"/>
    <w:rsid w:val="00D8680E"/>
    <w:rsid w:val="00D86945"/>
    <w:rsid w:val="00D8695C"/>
    <w:rsid w:val="00D86AB3"/>
    <w:rsid w:val="00D86C7A"/>
    <w:rsid w:val="00D86CF2"/>
    <w:rsid w:val="00D86D11"/>
    <w:rsid w:val="00D86D16"/>
    <w:rsid w:val="00D86D47"/>
    <w:rsid w:val="00D86D90"/>
    <w:rsid w:val="00D86D9F"/>
    <w:rsid w:val="00D86FF2"/>
    <w:rsid w:val="00D87004"/>
    <w:rsid w:val="00D87059"/>
    <w:rsid w:val="00D870D1"/>
    <w:rsid w:val="00D871B3"/>
    <w:rsid w:val="00D8724B"/>
    <w:rsid w:val="00D8725E"/>
    <w:rsid w:val="00D8733D"/>
    <w:rsid w:val="00D8737C"/>
    <w:rsid w:val="00D873BA"/>
    <w:rsid w:val="00D87454"/>
    <w:rsid w:val="00D8748B"/>
    <w:rsid w:val="00D874A7"/>
    <w:rsid w:val="00D874D3"/>
    <w:rsid w:val="00D874DE"/>
    <w:rsid w:val="00D87643"/>
    <w:rsid w:val="00D87649"/>
    <w:rsid w:val="00D8764F"/>
    <w:rsid w:val="00D8766D"/>
    <w:rsid w:val="00D87694"/>
    <w:rsid w:val="00D876D7"/>
    <w:rsid w:val="00D87767"/>
    <w:rsid w:val="00D87785"/>
    <w:rsid w:val="00D87819"/>
    <w:rsid w:val="00D8783D"/>
    <w:rsid w:val="00D87891"/>
    <w:rsid w:val="00D87927"/>
    <w:rsid w:val="00D87946"/>
    <w:rsid w:val="00D879A2"/>
    <w:rsid w:val="00D87A8B"/>
    <w:rsid w:val="00D87B00"/>
    <w:rsid w:val="00D87B4C"/>
    <w:rsid w:val="00D87CEF"/>
    <w:rsid w:val="00D87D53"/>
    <w:rsid w:val="00D87D5B"/>
    <w:rsid w:val="00D87D81"/>
    <w:rsid w:val="00D87DAF"/>
    <w:rsid w:val="00D87E6E"/>
    <w:rsid w:val="00D87FA1"/>
    <w:rsid w:val="00D900B7"/>
    <w:rsid w:val="00D901EB"/>
    <w:rsid w:val="00D90228"/>
    <w:rsid w:val="00D9023F"/>
    <w:rsid w:val="00D90324"/>
    <w:rsid w:val="00D90338"/>
    <w:rsid w:val="00D904D5"/>
    <w:rsid w:val="00D904E8"/>
    <w:rsid w:val="00D90601"/>
    <w:rsid w:val="00D907CE"/>
    <w:rsid w:val="00D9080C"/>
    <w:rsid w:val="00D908DB"/>
    <w:rsid w:val="00D9099A"/>
    <w:rsid w:val="00D909D5"/>
    <w:rsid w:val="00D90A07"/>
    <w:rsid w:val="00D90A82"/>
    <w:rsid w:val="00D90A9B"/>
    <w:rsid w:val="00D90ACC"/>
    <w:rsid w:val="00D90B4B"/>
    <w:rsid w:val="00D90C15"/>
    <w:rsid w:val="00D90C4C"/>
    <w:rsid w:val="00D90CEA"/>
    <w:rsid w:val="00D90D6D"/>
    <w:rsid w:val="00D90E42"/>
    <w:rsid w:val="00D90ED8"/>
    <w:rsid w:val="00D90F3D"/>
    <w:rsid w:val="00D91011"/>
    <w:rsid w:val="00D911A4"/>
    <w:rsid w:val="00D91365"/>
    <w:rsid w:val="00D9139F"/>
    <w:rsid w:val="00D913BF"/>
    <w:rsid w:val="00D91538"/>
    <w:rsid w:val="00D9157C"/>
    <w:rsid w:val="00D915DC"/>
    <w:rsid w:val="00D91626"/>
    <w:rsid w:val="00D916F3"/>
    <w:rsid w:val="00D9172B"/>
    <w:rsid w:val="00D91746"/>
    <w:rsid w:val="00D918D6"/>
    <w:rsid w:val="00D9191F"/>
    <w:rsid w:val="00D9192E"/>
    <w:rsid w:val="00D919D5"/>
    <w:rsid w:val="00D91AC3"/>
    <w:rsid w:val="00D91B6E"/>
    <w:rsid w:val="00D91BC5"/>
    <w:rsid w:val="00D91C1D"/>
    <w:rsid w:val="00D91CC9"/>
    <w:rsid w:val="00D91DB7"/>
    <w:rsid w:val="00D91E2B"/>
    <w:rsid w:val="00D91EA8"/>
    <w:rsid w:val="00D91F0E"/>
    <w:rsid w:val="00D91F9F"/>
    <w:rsid w:val="00D91FA6"/>
    <w:rsid w:val="00D91FFA"/>
    <w:rsid w:val="00D92056"/>
    <w:rsid w:val="00D921BB"/>
    <w:rsid w:val="00D9232E"/>
    <w:rsid w:val="00D92485"/>
    <w:rsid w:val="00D924AC"/>
    <w:rsid w:val="00D92582"/>
    <w:rsid w:val="00D925A0"/>
    <w:rsid w:val="00D92677"/>
    <w:rsid w:val="00D92793"/>
    <w:rsid w:val="00D928F6"/>
    <w:rsid w:val="00D92A5D"/>
    <w:rsid w:val="00D92B09"/>
    <w:rsid w:val="00D92B5E"/>
    <w:rsid w:val="00D92C0F"/>
    <w:rsid w:val="00D92C39"/>
    <w:rsid w:val="00D92D19"/>
    <w:rsid w:val="00D92D27"/>
    <w:rsid w:val="00D92D6E"/>
    <w:rsid w:val="00D92E20"/>
    <w:rsid w:val="00D92ED4"/>
    <w:rsid w:val="00D92F47"/>
    <w:rsid w:val="00D9303A"/>
    <w:rsid w:val="00D93144"/>
    <w:rsid w:val="00D93150"/>
    <w:rsid w:val="00D9316C"/>
    <w:rsid w:val="00D931E2"/>
    <w:rsid w:val="00D93320"/>
    <w:rsid w:val="00D933B3"/>
    <w:rsid w:val="00D933E1"/>
    <w:rsid w:val="00D93427"/>
    <w:rsid w:val="00D93498"/>
    <w:rsid w:val="00D934A9"/>
    <w:rsid w:val="00D93574"/>
    <w:rsid w:val="00D93613"/>
    <w:rsid w:val="00D9365D"/>
    <w:rsid w:val="00D9374D"/>
    <w:rsid w:val="00D937BA"/>
    <w:rsid w:val="00D93814"/>
    <w:rsid w:val="00D93899"/>
    <w:rsid w:val="00D938E5"/>
    <w:rsid w:val="00D93948"/>
    <w:rsid w:val="00D939B7"/>
    <w:rsid w:val="00D939E3"/>
    <w:rsid w:val="00D939F8"/>
    <w:rsid w:val="00D93B4B"/>
    <w:rsid w:val="00D93B54"/>
    <w:rsid w:val="00D93BF2"/>
    <w:rsid w:val="00D93D37"/>
    <w:rsid w:val="00D93E14"/>
    <w:rsid w:val="00D93FBF"/>
    <w:rsid w:val="00D94068"/>
    <w:rsid w:val="00D94088"/>
    <w:rsid w:val="00D940E4"/>
    <w:rsid w:val="00D940F2"/>
    <w:rsid w:val="00D94135"/>
    <w:rsid w:val="00D94141"/>
    <w:rsid w:val="00D941CD"/>
    <w:rsid w:val="00D9425B"/>
    <w:rsid w:val="00D9439E"/>
    <w:rsid w:val="00D943C0"/>
    <w:rsid w:val="00D94437"/>
    <w:rsid w:val="00D9444A"/>
    <w:rsid w:val="00D9449A"/>
    <w:rsid w:val="00D945E8"/>
    <w:rsid w:val="00D945EE"/>
    <w:rsid w:val="00D945FF"/>
    <w:rsid w:val="00D946AF"/>
    <w:rsid w:val="00D946B1"/>
    <w:rsid w:val="00D946DF"/>
    <w:rsid w:val="00D94725"/>
    <w:rsid w:val="00D9474D"/>
    <w:rsid w:val="00D94832"/>
    <w:rsid w:val="00D94875"/>
    <w:rsid w:val="00D94900"/>
    <w:rsid w:val="00D9493C"/>
    <w:rsid w:val="00D949D0"/>
    <w:rsid w:val="00D94A3E"/>
    <w:rsid w:val="00D94A5D"/>
    <w:rsid w:val="00D94A9C"/>
    <w:rsid w:val="00D94AAB"/>
    <w:rsid w:val="00D94BA9"/>
    <w:rsid w:val="00D94BC1"/>
    <w:rsid w:val="00D94D34"/>
    <w:rsid w:val="00D94E90"/>
    <w:rsid w:val="00D94F0F"/>
    <w:rsid w:val="00D94F37"/>
    <w:rsid w:val="00D94FEA"/>
    <w:rsid w:val="00D950BF"/>
    <w:rsid w:val="00D95173"/>
    <w:rsid w:val="00D95199"/>
    <w:rsid w:val="00D9525C"/>
    <w:rsid w:val="00D95395"/>
    <w:rsid w:val="00D954C2"/>
    <w:rsid w:val="00D95588"/>
    <w:rsid w:val="00D955C0"/>
    <w:rsid w:val="00D9567D"/>
    <w:rsid w:val="00D95685"/>
    <w:rsid w:val="00D95693"/>
    <w:rsid w:val="00D956EC"/>
    <w:rsid w:val="00D9573D"/>
    <w:rsid w:val="00D9576D"/>
    <w:rsid w:val="00D957BE"/>
    <w:rsid w:val="00D95915"/>
    <w:rsid w:val="00D95A4C"/>
    <w:rsid w:val="00D95B2D"/>
    <w:rsid w:val="00D95B55"/>
    <w:rsid w:val="00D95B64"/>
    <w:rsid w:val="00D95B93"/>
    <w:rsid w:val="00D95BB4"/>
    <w:rsid w:val="00D95BEB"/>
    <w:rsid w:val="00D95C1D"/>
    <w:rsid w:val="00D95C41"/>
    <w:rsid w:val="00D95C86"/>
    <w:rsid w:val="00D95CA4"/>
    <w:rsid w:val="00D95D6D"/>
    <w:rsid w:val="00D95E77"/>
    <w:rsid w:val="00D95F25"/>
    <w:rsid w:val="00D95FC9"/>
    <w:rsid w:val="00D96058"/>
    <w:rsid w:val="00D96137"/>
    <w:rsid w:val="00D96140"/>
    <w:rsid w:val="00D961B4"/>
    <w:rsid w:val="00D9625A"/>
    <w:rsid w:val="00D962DF"/>
    <w:rsid w:val="00D96452"/>
    <w:rsid w:val="00D96470"/>
    <w:rsid w:val="00D965FA"/>
    <w:rsid w:val="00D9664A"/>
    <w:rsid w:val="00D966CA"/>
    <w:rsid w:val="00D966E9"/>
    <w:rsid w:val="00D9670F"/>
    <w:rsid w:val="00D96824"/>
    <w:rsid w:val="00D9686C"/>
    <w:rsid w:val="00D9689A"/>
    <w:rsid w:val="00D968F3"/>
    <w:rsid w:val="00D9697A"/>
    <w:rsid w:val="00D96CF7"/>
    <w:rsid w:val="00D96CFC"/>
    <w:rsid w:val="00D96D18"/>
    <w:rsid w:val="00D96D49"/>
    <w:rsid w:val="00D96E0B"/>
    <w:rsid w:val="00D96E60"/>
    <w:rsid w:val="00D96F0A"/>
    <w:rsid w:val="00D96FAF"/>
    <w:rsid w:val="00D96FD6"/>
    <w:rsid w:val="00D97044"/>
    <w:rsid w:val="00D970C3"/>
    <w:rsid w:val="00D9710B"/>
    <w:rsid w:val="00D971EA"/>
    <w:rsid w:val="00D97215"/>
    <w:rsid w:val="00D97217"/>
    <w:rsid w:val="00D97231"/>
    <w:rsid w:val="00D972F6"/>
    <w:rsid w:val="00D972F9"/>
    <w:rsid w:val="00D9738E"/>
    <w:rsid w:val="00D97396"/>
    <w:rsid w:val="00D973A2"/>
    <w:rsid w:val="00D973C8"/>
    <w:rsid w:val="00D973D7"/>
    <w:rsid w:val="00D97410"/>
    <w:rsid w:val="00D97525"/>
    <w:rsid w:val="00D97593"/>
    <w:rsid w:val="00D9768C"/>
    <w:rsid w:val="00D976AA"/>
    <w:rsid w:val="00D976FC"/>
    <w:rsid w:val="00D97825"/>
    <w:rsid w:val="00D978FB"/>
    <w:rsid w:val="00D97B61"/>
    <w:rsid w:val="00D97BA7"/>
    <w:rsid w:val="00D97BAB"/>
    <w:rsid w:val="00D97C02"/>
    <w:rsid w:val="00D97C84"/>
    <w:rsid w:val="00D97D2B"/>
    <w:rsid w:val="00D97D35"/>
    <w:rsid w:val="00D97D8E"/>
    <w:rsid w:val="00D97E40"/>
    <w:rsid w:val="00D97E8A"/>
    <w:rsid w:val="00D97E94"/>
    <w:rsid w:val="00D97EB9"/>
    <w:rsid w:val="00D97F01"/>
    <w:rsid w:val="00D97F41"/>
    <w:rsid w:val="00D97F6F"/>
    <w:rsid w:val="00D97FC5"/>
    <w:rsid w:val="00DA0026"/>
    <w:rsid w:val="00DA0052"/>
    <w:rsid w:val="00DA0093"/>
    <w:rsid w:val="00DA00F3"/>
    <w:rsid w:val="00DA01A7"/>
    <w:rsid w:val="00DA0215"/>
    <w:rsid w:val="00DA0245"/>
    <w:rsid w:val="00DA027A"/>
    <w:rsid w:val="00DA0297"/>
    <w:rsid w:val="00DA02D5"/>
    <w:rsid w:val="00DA0339"/>
    <w:rsid w:val="00DA04BA"/>
    <w:rsid w:val="00DA04BD"/>
    <w:rsid w:val="00DA04F6"/>
    <w:rsid w:val="00DA051F"/>
    <w:rsid w:val="00DA05B4"/>
    <w:rsid w:val="00DA05B8"/>
    <w:rsid w:val="00DA05BF"/>
    <w:rsid w:val="00DA06CD"/>
    <w:rsid w:val="00DA07B8"/>
    <w:rsid w:val="00DA0810"/>
    <w:rsid w:val="00DA08BD"/>
    <w:rsid w:val="00DA0A60"/>
    <w:rsid w:val="00DA0ABB"/>
    <w:rsid w:val="00DA0BC3"/>
    <w:rsid w:val="00DA0BC7"/>
    <w:rsid w:val="00DA0C34"/>
    <w:rsid w:val="00DA0C78"/>
    <w:rsid w:val="00DA0DAE"/>
    <w:rsid w:val="00DA0E59"/>
    <w:rsid w:val="00DA0E7C"/>
    <w:rsid w:val="00DA0EE0"/>
    <w:rsid w:val="00DA0F26"/>
    <w:rsid w:val="00DA0FA9"/>
    <w:rsid w:val="00DA0FB2"/>
    <w:rsid w:val="00DA102A"/>
    <w:rsid w:val="00DA11D7"/>
    <w:rsid w:val="00DA11F0"/>
    <w:rsid w:val="00DA1251"/>
    <w:rsid w:val="00DA12F7"/>
    <w:rsid w:val="00DA13B5"/>
    <w:rsid w:val="00DA13BE"/>
    <w:rsid w:val="00DA150C"/>
    <w:rsid w:val="00DA1537"/>
    <w:rsid w:val="00DA1551"/>
    <w:rsid w:val="00DA1562"/>
    <w:rsid w:val="00DA15C4"/>
    <w:rsid w:val="00DA15CF"/>
    <w:rsid w:val="00DA161C"/>
    <w:rsid w:val="00DA16BE"/>
    <w:rsid w:val="00DA16E0"/>
    <w:rsid w:val="00DA1755"/>
    <w:rsid w:val="00DA1821"/>
    <w:rsid w:val="00DA18CC"/>
    <w:rsid w:val="00DA19C9"/>
    <w:rsid w:val="00DA19CC"/>
    <w:rsid w:val="00DA1A78"/>
    <w:rsid w:val="00DA1B44"/>
    <w:rsid w:val="00DA1B46"/>
    <w:rsid w:val="00DA1B68"/>
    <w:rsid w:val="00DA1C1A"/>
    <w:rsid w:val="00DA1DB3"/>
    <w:rsid w:val="00DA1DE0"/>
    <w:rsid w:val="00DA1F96"/>
    <w:rsid w:val="00DA201A"/>
    <w:rsid w:val="00DA2044"/>
    <w:rsid w:val="00DA204E"/>
    <w:rsid w:val="00DA2097"/>
    <w:rsid w:val="00DA20AE"/>
    <w:rsid w:val="00DA2121"/>
    <w:rsid w:val="00DA2142"/>
    <w:rsid w:val="00DA2283"/>
    <w:rsid w:val="00DA22A4"/>
    <w:rsid w:val="00DA2385"/>
    <w:rsid w:val="00DA2394"/>
    <w:rsid w:val="00DA2432"/>
    <w:rsid w:val="00DA246C"/>
    <w:rsid w:val="00DA2514"/>
    <w:rsid w:val="00DA253B"/>
    <w:rsid w:val="00DA25A8"/>
    <w:rsid w:val="00DA25DF"/>
    <w:rsid w:val="00DA25F7"/>
    <w:rsid w:val="00DA2621"/>
    <w:rsid w:val="00DA2717"/>
    <w:rsid w:val="00DA2833"/>
    <w:rsid w:val="00DA28C0"/>
    <w:rsid w:val="00DA2928"/>
    <w:rsid w:val="00DA29A8"/>
    <w:rsid w:val="00DA2A37"/>
    <w:rsid w:val="00DA2AB2"/>
    <w:rsid w:val="00DA2B33"/>
    <w:rsid w:val="00DA2B4A"/>
    <w:rsid w:val="00DA2B56"/>
    <w:rsid w:val="00DA2B6B"/>
    <w:rsid w:val="00DA2BEF"/>
    <w:rsid w:val="00DA2C03"/>
    <w:rsid w:val="00DA2C6B"/>
    <w:rsid w:val="00DA2D47"/>
    <w:rsid w:val="00DA2E44"/>
    <w:rsid w:val="00DA2E67"/>
    <w:rsid w:val="00DA2EA6"/>
    <w:rsid w:val="00DA2EE5"/>
    <w:rsid w:val="00DA2F33"/>
    <w:rsid w:val="00DA2FD1"/>
    <w:rsid w:val="00DA2FDA"/>
    <w:rsid w:val="00DA302D"/>
    <w:rsid w:val="00DA3036"/>
    <w:rsid w:val="00DA3093"/>
    <w:rsid w:val="00DA30A1"/>
    <w:rsid w:val="00DA3135"/>
    <w:rsid w:val="00DA3163"/>
    <w:rsid w:val="00DA329C"/>
    <w:rsid w:val="00DA3321"/>
    <w:rsid w:val="00DA3328"/>
    <w:rsid w:val="00DA3373"/>
    <w:rsid w:val="00DA33C7"/>
    <w:rsid w:val="00DA33FA"/>
    <w:rsid w:val="00DA347D"/>
    <w:rsid w:val="00DA355B"/>
    <w:rsid w:val="00DA35BD"/>
    <w:rsid w:val="00DA35E9"/>
    <w:rsid w:val="00DA366F"/>
    <w:rsid w:val="00DA369F"/>
    <w:rsid w:val="00DA3707"/>
    <w:rsid w:val="00DA376F"/>
    <w:rsid w:val="00DA3773"/>
    <w:rsid w:val="00DA377B"/>
    <w:rsid w:val="00DA37DF"/>
    <w:rsid w:val="00DA383F"/>
    <w:rsid w:val="00DA3867"/>
    <w:rsid w:val="00DA388D"/>
    <w:rsid w:val="00DA39DE"/>
    <w:rsid w:val="00DA3A0A"/>
    <w:rsid w:val="00DA3A77"/>
    <w:rsid w:val="00DA3B5C"/>
    <w:rsid w:val="00DA3C47"/>
    <w:rsid w:val="00DA3E02"/>
    <w:rsid w:val="00DA3E20"/>
    <w:rsid w:val="00DA3F13"/>
    <w:rsid w:val="00DA3F50"/>
    <w:rsid w:val="00DA3FD8"/>
    <w:rsid w:val="00DA3FDB"/>
    <w:rsid w:val="00DA3FE5"/>
    <w:rsid w:val="00DA40E8"/>
    <w:rsid w:val="00DA4103"/>
    <w:rsid w:val="00DA4180"/>
    <w:rsid w:val="00DA41AF"/>
    <w:rsid w:val="00DA420F"/>
    <w:rsid w:val="00DA4224"/>
    <w:rsid w:val="00DA4247"/>
    <w:rsid w:val="00DA4279"/>
    <w:rsid w:val="00DA42AC"/>
    <w:rsid w:val="00DA42EC"/>
    <w:rsid w:val="00DA43F4"/>
    <w:rsid w:val="00DA4403"/>
    <w:rsid w:val="00DA44F8"/>
    <w:rsid w:val="00DA4570"/>
    <w:rsid w:val="00DA4652"/>
    <w:rsid w:val="00DA47D0"/>
    <w:rsid w:val="00DA47D9"/>
    <w:rsid w:val="00DA48C1"/>
    <w:rsid w:val="00DA48D2"/>
    <w:rsid w:val="00DA48D7"/>
    <w:rsid w:val="00DA4A72"/>
    <w:rsid w:val="00DA4AA7"/>
    <w:rsid w:val="00DA4B86"/>
    <w:rsid w:val="00DA4B87"/>
    <w:rsid w:val="00DA4BFE"/>
    <w:rsid w:val="00DA4C22"/>
    <w:rsid w:val="00DA4C75"/>
    <w:rsid w:val="00DA4CAC"/>
    <w:rsid w:val="00DA4CCF"/>
    <w:rsid w:val="00DA4CF1"/>
    <w:rsid w:val="00DA4D49"/>
    <w:rsid w:val="00DA4E4B"/>
    <w:rsid w:val="00DA4ED5"/>
    <w:rsid w:val="00DA4EF4"/>
    <w:rsid w:val="00DA4F6C"/>
    <w:rsid w:val="00DA5018"/>
    <w:rsid w:val="00DA513A"/>
    <w:rsid w:val="00DA5209"/>
    <w:rsid w:val="00DA52C0"/>
    <w:rsid w:val="00DA52C2"/>
    <w:rsid w:val="00DA53E7"/>
    <w:rsid w:val="00DA541C"/>
    <w:rsid w:val="00DA549E"/>
    <w:rsid w:val="00DA5508"/>
    <w:rsid w:val="00DA55A8"/>
    <w:rsid w:val="00DA56F2"/>
    <w:rsid w:val="00DA5702"/>
    <w:rsid w:val="00DA5710"/>
    <w:rsid w:val="00DA575B"/>
    <w:rsid w:val="00DA5846"/>
    <w:rsid w:val="00DA58E0"/>
    <w:rsid w:val="00DA5904"/>
    <w:rsid w:val="00DA59C0"/>
    <w:rsid w:val="00DA59E5"/>
    <w:rsid w:val="00DA5A61"/>
    <w:rsid w:val="00DA5B12"/>
    <w:rsid w:val="00DA5B6B"/>
    <w:rsid w:val="00DA5C91"/>
    <w:rsid w:val="00DA5D28"/>
    <w:rsid w:val="00DA5D4B"/>
    <w:rsid w:val="00DA5E10"/>
    <w:rsid w:val="00DA5E17"/>
    <w:rsid w:val="00DA5EB0"/>
    <w:rsid w:val="00DA5EDB"/>
    <w:rsid w:val="00DA5F0C"/>
    <w:rsid w:val="00DA5F57"/>
    <w:rsid w:val="00DA5FDB"/>
    <w:rsid w:val="00DA60BE"/>
    <w:rsid w:val="00DA61CD"/>
    <w:rsid w:val="00DA624C"/>
    <w:rsid w:val="00DA6561"/>
    <w:rsid w:val="00DA65D9"/>
    <w:rsid w:val="00DA65F5"/>
    <w:rsid w:val="00DA65F6"/>
    <w:rsid w:val="00DA6654"/>
    <w:rsid w:val="00DA666E"/>
    <w:rsid w:val="00DA6689"/>
    <w:rsid w:val="00DA66BC"/>
    <w:rsid w:val="00DA66E2"/>
    <w:rsid w:val="00DA6782"/>
    <w:rsid w:val="00DA67A0"/>
    <w:rsid w:val="00DA6861"/>
    <w:rsid w:val="00DA693C"/>
    <w:rsid w:val="00DA69F0"/>
    <w:rsid w:val="00DA69F8"/>
    <w:rsid w:val="00DA6A93"/>
    <w:rsid w:val="00DA6ADC"/>
    <w:rsid w:val="00DA6B11"/>
    <w:rsid w:val="00DA6B54"/>
    <w:rsid w:val="00DA6B9D"/>
    <w:rsid w:val="00DA6BA6"/>
    <w:rsid w:val="00DA6C1A"/>
    <w:rsid w:val="00DA6C70"/>
    <w:rsid w:val="00DA6C82"/>
    <w:rsid w:val="00DA6CCE"/>
    <w:rsid w:val="00DA6DEC"/>
    <w:rsid w:val="00DA6F6C"/>
    <w:rsid w:val="00DA6FF7"/>
    <w:rsid w:val="00DA7062"/>
    <w:rsid w:val="00DA70C4"/>
    <w:rsid w:val="00DA70C7"/>
    <w:rsid w:val="00DA7122"/>
    <w:rsid w:val="00DA7129"/>
    <w:rsid w:val="00DA7162"/>
    <w:rsid w:val="00DA71A9"/>
    <w:rsid w:val="00DA71F4"/>
    <w:rsid w:val="00DA7207"/>
    <w:rsid w:val="00DA724B"/>
    <w:rsid w:val="00DA725B"/>
    <w:rsid w:val="00DA72D2"/>
    <w:rsid w:val="00DA72DE"/>
    <w:rsid w:val="00DA7308"/>
    <w:rsid w:val="00DA733E"/>
    <w:rsid w:val="00DA738F"/>
    <w:rsid w:val="00DA7460"/>
    <w:rsid w:val="00DA7470"/>
    <w:rsid w:val="00DA748F"/>
    <w:rsid w:val="00DA74E2"/>
    <w:rsid w:val="00DA7539"/>
    <w:rsid w:val="00DA7696"/>
    <w:rsid w:val="00DA769D"/>
    <w:rsid w:val="00DA76D0"/>
    <w:rsid w:val="00DA7762"/>
    <w:rsid w:val="00DA77B4"/>
    <w:rsid w:val="00DA7834"/>
    <w:rsid w:val="00DA784C"/>
    <w:rsid w:val="00DA785C"/>
    <w:rsid w:val="00DA789E"/>
    <w:rsid w:val="00DA78DB"/>
    <w:rsid w:val="00DA799F"/>
    <w:rsid w:val="00DA7AEA"/>
    <w:rsid w:val="00DA7CF1"/>
    <w:rsid w:val="00DA7D06"/>
    <w:rsid w:val="00DA7E1C"/>
    <w:rsid w:val="00DA7E47"/>
    <w:rsid w:val="00DA7F1B"/>
    <w:rsid w:val="00DA7F3E"/>
    <w:rsid w:val="00DB0005"/>
    <w:rsid w:val="00DB008A"/>
    <w:rsid w:val="00DB00DB"/>
    <w:rsid w:val="00DB0232"/>
    <w:rsid w:val="00DB0239"/>
    <w:rsid w:val="00DB0258"/>
    <w:rsid w:val="00DB0262"/>
    <w:rsid w:val="00DB029C"/>
    <w:rsid w:val="00DB030B"/>
    <w:rsid w:val="00DB0421"/>
    <w:rsid w:val="00DB04FD"/>
    <w:rsid w:val="00DB0539"/>
    <w:rsid w:val="00DB0541"/>
    <w:rsid w:val="00DB05A3"/>
    <w:rsid w:val="00DB0623"/>
    <w:rsid w:val="00DB0847"/>
    <w:rsid w:val="00DB098D"/>
    <w:rsid w:val="00DB0A07"/>
    <w:rsid w:val="00DB0A33"/>
    <w:rsid w:val="00DB0A5B"/>
    <w:rsid w:val="00DB0AE6"/>
    <w:rsid w:val="00DB0B71"/>
    <w:rsid w:val="00DB0B9C"/>
    <w:rsid w:val="00DB0C76"/>
    <w:rsid w:val="00DB0CA4"/>
    <w:rsid w:val="00DB0CCB"/>
    <w:rsid w:val="00DB0CF4"/>
    <w:rsid w:val="00DB0D47"/>
    <w:rsid w:val="00DB0E2A"/>
    <w:rsid w:val="00DB0E81"/>
    <w:rsid w:val="00DB0EA0"/>
    <w:rsid w:val="00DB0EB9"/>
    <w:rsid w:val="00DB0F27"/>
    <w:rsid w:val="00DB10B9"/>
    <w:rsid w:val="00DB1188"/>
    <w:rsid w:val="00DB11F4"/>
    <w:rsid w:val="00DB12C9"/>
    <w:rsid w:val="00DB1301"/>
    <w:rsid w:val="00DB1335"/>
    <w:rsid w:val="00DB1377"/>
    <w:rsid w:val="00DB13B8"/>
    <w:rsid w:val="00DB1405"/>
    <w:rsid w:val="00DB140E"/>
    <w:rsid w:val="00DB1466"/>
    <w:rsid w:val="00DB1576"/>
    <w:rsid w:val="00DB157A"/>
    <w:rsid w:val="00DB1745"/>
    <w:rsid w:val="00DB1792"/>
    <w:rsid w:val="00DB17D0"/>
    <w:rsid w:val="00DB17F7"/>
    <w:rsid w:val="00DB1839"/>
    <w:rsid w:val="00DB18E2"/>
    <w:rsid w:val="00DB198D"/>
    <w:rsid w:val="00DB1B38"/>
    <w:rsid w:val="00DB1B3C"/>
    <w:rsid w:val="00DB1BE4"/>
    <w:rsid w:val="00DB1C67"/>
    <w:rsid w:val="00DB1CCD"/>
    <w:rsid w:val="00DB1E6A"/>
    <w:rsid w:val="00DB1EE7"/>
    <w:rsid w:val="00DB1F01"/>
    <w:rsid w:val="00DB1FAF"/>
    <w:rsid w:val="00DB2042"/>
    <w:rsid w:val="00DB20A5"/>
    <w:rsid w:val="00DB2161"/>
    <w:rsid w:val="00DB2178"/>
    <w:rsid w:val="00DB21BF"/>
    <w:rsid w:val="00DB2209"/>
    <w:rsid w:val="00DB2286"/>
    <w:rsid w:val="00DB2335"/>
    <w:rsid w:val="00DB23F1"/>
    <w:rsid w:val="00DB245D"/>
    <w:rsid w:val="00DB248A"/>
    <w:rsid w:val="00DB259C"/>
    <w:rsid w:val="00DB25C4"/>
    <w:rsid w:val="00DB277F"/>
    <w:rsid w:val="00DB27C5"/>
    <w:rsid w:val="00DB28D8"/>
    <w:rsid w:val="00DB291D"/>
    <w:rsid w:val="00DB2A15"/>
    <w:rsid w:val="00DB2A43"/>
    <w:rsid w:val="00DB2AC5"/>
    <w:rsid w:val="00DB2ADD"/>
    <w:rsid w:val="00DB2B82"/>
    <w:rsid w:val="00DB2CCB"/>
    <w:rsid w:val="00DB2DA2"/>
    <w:rsid w:val="00DB2E10"/>
    <w:rsid w:val="00DB2E2C"/>
    <w:rsid w:val="00DB2E32"/>
    <w:rsid w:val="00DB2ED7"/>
    <w:rsid w:val="00DB2EF0"/>
    <w:rsid w:val="00DB3079"/>
    <w:rsid w:val="00DB3080"/>
    <w:rsid w:val="00DB3299"/>
    <w:rsid w:val="00DB342D"/>
    <w:rsid w:val="00DB3639"/>
    <w:rsid w:val="00DB37C2"/>
    <w:rsid w:val="00DB37CF"/>
    <w:rsid w:val="00DB37E9"/>
    <w:rsid w:val="00DB3820"/>
    <w:rsid w:val="00DB38C1"/>
    <w:rsid w:val="00DB38E0"/>
    <w:rsid w:val="00DB39C8"/>
    <w:rsid w:val="00DB3A15"/>
    <w:rsid w:val="00DB3A81"/>
    <w:rsid w:val="00DB3BEA"/>
    <w:rsid w:val="00DB3C53"/>
    <w:rsid w:val="00DB3C66"/>
    <w:rsid w:val="00DB3D65"/>
    <w:rsid w:val="00DB3D76"/>
    <w:rsid w:val="00DB3DC7"/>
    <w:rsid w:val="00DB3DEB"/>
    <w:rsid w:val="00DB3E5D"/>
    <w:rsid w:val="00DB3EB2"/>
    <w:rsid w:val="00DB3EFC"/>
    <w:rsid w:val="00DB3F6B"/>
    <w:rsid w:val="00DB3FBF"/>
    <w:rsid w:val="00DB407A"/>
    <w:rsid w:val="00DB4094"/>
    <w:rsid w:val="00DB40AD"/>
    <w:rsid w:val="00DB4112"/>
    <w:rsid w:val="00DB415C"/>
    <w:rsid w:val="00DB4202"/>
    <w:rsid w:val="00DB4223"/>
    <w:rsid w:val="00DB4260"/>
    <w:rsid w:val="00DB42FB"/>
    <w:rsid w:val="00DB4351"/>
    <w:rsid w:val="00DB437F"/>
    <w:rsid w:val="00DB43C8"/>
    <w:rsid w:val="00DB44C7"/>
    <w:rsid w:val="00DB44F5"/>
    <w:rsid w:val="00DB4504"/>
    <w:rsid w:val="00DB45AC"/>
    <w:rsid w:val="00DB45F1"/>
    <w:rsid w:val="00DB46A2"/>
    <w:rsid w:val="00DB46C3"/>
    <w:rsid w:val="00DB46F7"/>
    <w:rsid w:val="00DB474E"/>
    <w:rsid w:val="00DB47B9"/>
    <w:rsid w:val="00DB48E7"/>
    <w:rsid w:val="00DB4952"/>
    <w:rsid w:val="00DB49BD"/>
    <w:rsid w:val="00DB4A0F"/>
    <w:rsid w:val="00DB4B4C"/>
    <w:rsid w:val="00DB4B6B"/>
    <w:rsid w:val="00DB4B84"/>
    <w:rsid w:val="00DB4BEC"/>
    <w:rsid w:val="00DB4C8C"/>
    <w:rsid w:val="00DB4CAE"/>
    <w:rsid w:val="00DB4F19"/>
    <w:rsid w:val="00DB4F1C"/>
    <w:rsid w:val="00DB4F2F"/>
    <w:rsid w:val="00DB4F51"/>
    <w:rsid w:val="00DB4FD0"/>
    <w:rsid w:val="00DB502B"/>
    <w:rsid w:val="00DB506F"/>
    <w:rsid w:val="00DB50DF"/>
    <w:rsid w:val="00DB5115"/>
    <w:rsid w:val="00DB51EC"/>
    <w:rsid w:val="00DB5203"/>
    <w:rsid w:val="00DB5204"/>
    <w:rsid w:val="00DB527D"/>
    <w:rsid w:val="00DB5326"/>
    <w:rsid w:val="00DB53A3"/>
    <w:rsid w:val="00DB551B"/>
    <w:rsid w:val="00DB55FE"/>
    <w:rsid w:val="00DB5677"/>
    <w:rsid w:val="00DB56A7"/>
    <w:rsid w:val="00DB571A"/>
    <w:rsid w:val="00DB5738"/>
    <w:rsid w:val="00DB574A"/>
    <w:rsid w:val="00DB58B9"/>
    <w:rsid w:val="00DB58E4"/>
    <w:rsid w:val="00DB5928"/>
    <w:rsid w:val="00DB5ACF"/>
    <w:rsid w:val="00DB5D06"/>
    <w:rsid w:val="00DB5D3C"/>
    <w:rsid w:val="00DB5DF7"/>
    <w:rsid w:val="00DB5E90"/>
    <w:rsid w:val="00DB5E97"/>
    <w:rsid w:val="00DB5EA2"/>
    <w:rsid w:val="00DB5EEF"/>
    <w:rsid w:val="00DB5F17"/>
    <w:rsid w:val="00DB5F63"/>
    <w:rsid w:val="00DB5F73"/>
    <w:rsid w:val="00DB5FD2"/>
    <w:rsid w:val="00DB5FDF"/>
    <w:rsid w:val="00DB61A3"/>
    <w:rsid w:val="00DB623D"/>
    <w:rsid w:val="00DB625D"/>
    <w:rsid w:val="00DB628D"/>
    <w:rsid w:val="00DB62B8"/>
    <w:rsid w:val="00DB630F"/>
    <w:rsid w:val="00DB63AF"/>
    <w:rsid w:val="00DB63E8"/>
    <w:rsid w:val="00DB6401"/>
    <w:rsid w:val="00DB656B"/>
    <w:rsid w:val="00DB6591"/>
    <w:rsid w:val="00DB6592"/>
    <w:rsid w:val="00DB65FC"/>
    <w:rsid w:val="00DB667B"/>
    <w:rsid w:val="00DB6691"/>
    <w:rsid w:val="00DB66E1"/>
    <w:rsid w:val="00DB683D"/>
    <w:rsid w:val="00DB68B6"/>
    <w:rsid w:val="00DB6950"/>
    <w:rsid w:val="00DB6993"/>
    <w:rsid w:val="00DB6A0C"/>
    <w:rsid w:val="00DB6AAC"/>
    <w:rsid w:val="00DB6ABD"/>
    <w:rsid w:val="00DB6B00"/>
    <w:rsid w:val="00DB6C1E"/>
    <w:rsid w:val="00DB6C49"/>
    <w:rsid w:val="00DB6D53"/>
    <w:rsid w:val="00DB6DD3"/>
    <w:rsid w:val="00DB6DD6"/>
    <w:rsid w:val="00DB6EA0"/>
    <w:rsid w:val="00DB6EAE"/>
    <w:rsid w:val="00DB6FA4"/>
    <w:rsid w:val="00DB7269"/>
    <w:rsid w:val="00DB72DD"/>
    <w:rsid w:val="00DB735F"/>
    <w:rsid w:val="00DB74D4"/>
    <w:rsid w:val="00DB7520"/>
    <w:rsid w:val="00DB75A3"/>
    <w:rsid w:val="00DB75CE"/>
    <w:rsid w:val="00DB7640"/>
    <w:rsid w:val="00DB7732"/>
    <w:rsid w:val="00DB77B9"/>
    <w:rsid w:val="00DB77BE"/>
    <w:rsid w:val="00DB7834"/>
    <w:rsid w:val="00DB7936"/>
    <w:rsid w:val="00DB794D"/>
    <w:rsid w:val="00DB794E"/>
    <w:rsid w:val="00DB7ABB"/>
    <w:rsid w:val="00DB7BBD"/>
    <w:rsid w:val="00DB7C3C"/>
    <w:rsid w:val="00DB7CAE"/>
    <w:rsid w:val="00DB7CF9"/>
    <w:rsid w:val="00DB7D4E"/>
    <w:rsid w:val="00DB7D8D"/>
    <w:rsid w:val="00DB7E4D"/>
    <w:rsid w:val="00DB7F3F"/>
    <w:rsid w:val="00DB7FB0"/>
    <w:rsid w:val="00DC0019"/>
    <w:rsid w:val="00DC006A"/>
    <w:rsid w:val="00DC00AC"/>
    <w:rsid w:val="00DC00BF"/>
    <w:rsid w:val="00DC016A"/>
    <w:rsid w:val="00DC018A"/>
    <w:rsid w:val="00DC01FC"/>
    <w:rsid w:val="00DC0222"/>
    <w:rsid w:val="00DC02DE"/>
    <w:rsid w:val="00DC02E2"/>
    <w:rsid w:val="00DC02E9"/>
    <w:rsid w:val="00DC03D2"/>
    <w:rsid w:val="00DC042F"/>
    <w:rsid w:val="00DC0522"/>
    <w:rsid w:val="00DC0537"/>
    <w:rsid w:val="00DC0574"/>
    <w:rsid w:val="00DC05AE"/>
    <w:rsid w:val="00DC063E"/>
    <w:rsid w:val="00DC06A7"/>
    <w:rsid w:val="00DC06AE"/>
    <w:rsid w:val="00DC06B8"/>
    <w:rsid w:val="00DC06C1"/>
    <w:rsid w:val="00DC06D1"/>
    <w:rsid w:val="00DC083D"/>
    <w:rsid w:val="00DC0856"/>
    <w:rsid w:val="00DC086B"/>
    <w:rsid w:val="00DC08B7"/>
    <w:rsid w:val="00DC0911"/>
    <w:rsid w:val="00DC0961"/>
    <w:rsid w:val="00DC09CE"/>
    <w:rsid w:val="00DC0A07"/>
    <w:rsid w:val="00DC0A39"/>
    <w:rsid w:val="00DC0B8D"/>
    <w:rsid w:val="00DC0C39"/>
    <w:rsid w:val="00DC0D8D"/>
    <w:rsid w:val="00DC0D98"/>
    <w:rsid w:val="00DC0DD6"/>
    <w:rsid w:val="00DC0E9E"/>
    <w:rsid w:val="00DC0F3B"/>
    <w:rsid w:val="00DC0F63"/>
    <w:rsid w:val="00DC11B2"/>
    <w:rsid w:val="00DC11EF"/>
    <w:rsid w:val="00DC124D"/>
    <w:rsid w:val="00DC1367"/>
    <w:rsid w:val="00DC14B6"/>
    <w:rsid w:val="00DC14ED"/>
    <w:rsid w:val="00DC1518"/>
    <w:rsid w:val="00DC1540"/>
    <w:rsid w:val="00DC1597"/>
    <w:rsid w:val="00DC15AD"/>
    <w:rsid w:val="00DC1606"/>
    <w:rsid w:val="00DC171C"/>
    <w:rsid w:val="00DC181F"/>
    <w:rsid w:val="00DC1857"/>
    <w:rsid w:val="00DC18BC"/>
    <w:rsid w:val="00DC195A"/>
    <w:rsid w:val="00DC1960"/>
    <w:rsid w:val="00DC1BC1"/>
    <w:rsid w:val="00DC1BF7"/>
    <w:rsid w:val="00DC1C98"/>
    <w:rsid w:val="00DC1CCF"/>
    <w:rsid w:val="00DC1D00"/>
    <w:rsid w:val="00DC1D3A"/>
    <w:rsid w:val="00DC1D82"/>
    <w:rsid w:val="00DC1DFC"/>
    <w:rsid w:val="00DC1E1C"/>
    <w:rsid w:val="00DC1E41"/>
    <w:rsid w:val="00DC1E4E"/>
    <w:rsid w:val="00DC1EBB"/>
    <w:rsid w:val="00DC1F21"/>
    <w:rsid w:val="00DC1F49"/>
    <w:rsid w:val="00DC1F7F"/>
    <w:rsid w:val="00DC1F89"/>
    <w:rsid w:val="00DC1FBA"/>
    <w:rsid w:val="00DC1FD1"/>
    <w:rsid w:val="00DC2040"/>
    <w:rsid w:val="00DC2082"/>
    <w:rsid w:val="00DC2091"/>
    <w:rsid w:val="00DC218C"/>
    <w:rsid w:val="00DC21AA"/>
    <w:rsid w:val="00DC21D4"/>
    <w:rsid w:val="00DC2270"/>
    <w:rsid w:val="00DC2271"/>
    <w:rsid w:val="00DC22AE"/>
    <w:rsid w:val="00DC231C"/>
    <w:rsid w:val="00DC2397"/>
    <w:rsid w:val="00DC23E8"/>
    <w:rsid w:val="00DC241A"/>
    <w:rsid w:val="00DC24B8"/>
    <w:rsid w:val="00DC2544"/>
    <w:rsid w:val="00DC25AE"/>
    <w:rsid w:val="00DC25B0"/>
    <w:rsid w:val="00DC2687"/>
    <w:rsid w:val="00DC26A4"/>
    <w:rsid w:val="00DC26DA"/>
    <w:rsid w:val="00DC2806"/>
    <w:rsid w:val="00DC2811"/>
    <w:rsid w:val="00DC287A"/>
    <w:rsid w:val="00DC288F"/>
    <w:rsid w:val="00DC28AF"/>
    <w:rsid w:val="00DC290C"/>
    <w:rsid w:val="00DC29AE"/>
    <w:rsid w:val="00DC29E8"/>
    <w:rsid w:val="00DC2A00"/>
    <w:rsid w:val="00DC2AA3"/>
    <w:rsid w:val="00DC2BCB"/>
    <w:rsid w:val="00DC2C57"/>
    <w:rsid w:val="00DC2CCB"/>
    <w:rsid w:val="00DC2E68"/>
    <w:rsid w:val="00DC2F94"/>
    <w:rsid w:val="00DC2FF5"/>
    <w:rsid w:val="00DC32C6"/>
    <w:rsid w:val="00DC336D"/>
    <w:rsid w:val="00DC33B5"/>
    <w:rsid w:val="00DC384B"/>
    <w:rsid w:val="00DC396D"/>
    <w:rsid w:val="00DC3A5E"/>
    <w:rsid w:val="00DC3CC7"/>
    <w:rsid w:val="00DC3CFA"/>
    <w:rsid w:val="00DC3D74"/>
    <w:rsid w:val="00DC3D8E"/>
    <w:rsid w:val="00DC3E87"/>
    <w:rsid w:val="00DC3F56"/>
    <w:rsid w:val="00DC3FBA"/>
    <w:rsid w:val="00DC4134"/>
    <w:rsid w:val="00DC418E"/>
    <w:rsid w:val="00DC4355"/>
    <w:rsid w:val="00DC4360"/>
    <w:rsid w:val="00DC43E5"/>
    <w:rsid w:val="00DC4469"/>
    <w:rsid w:val="00DC45B6"/>
    <w:rsid w:val="00DC4644"/>
    <w:rsid w:val="00DC4687"/>
    <w:rsid w:val="00DC4781"/>
    <w:rsid w:val="00DC4850"/>
    <w:rsid w:val="00DC486D"/>
    <w:rsid w:val="00DC48D1"/>
    <w:rsid w:val="00DC4936"/>
    <w:rsid w:val="00DC494B"/>
    <w:rsid w:val="00DC4AD0"/>
    <w:rsid w:val="00DC4AE2"/>
    <w:rsid w:val="00DC4FDC"/>
    <w:rsid w:val="00DC4FFF"/>
    <w:rsid w:val="00DC51FF"/>
    <w:rsid w:val="00DC5223"/>
    <w:rsid w:val="00DC5240"/>
    <w:rsid w:val="00DC527B"/>
    <w:rsid w:val="00DC527E"/>
    <w:rsid w:val="00DC52A6"/>
    <w:rsid w:val="00DC531D"/>
    <w:rsid w:val="00DC536C"/>
    <w:rsid w:val="00DC5384"/>
    <w:rsid w:val="00DC538B"/>
    <w:rsid w:val="00DC53D8"/>
    <w:rsid w:val="00DC5577"/>
    <w:rsid w:val="00DC558E"/>
    <w:rsid w:val="00DC55BE"/>
    <w:rsid w:val="00DC56E9"/>
    <w:rsid w:val="00DC5724"/>
    <w:rsid w:val="00DC5725"/>
    <w:rsid w:val="00DC5743"/>
    <w:rsid w:val="00DC58C3"/>
    <w:rsid w:val="00DC58DE"/>
    <w:rsid w:val="00DC5A3F"/>
    <w:rsid w:val="00DC5B2A"/>
    <w:rsid w:val="00DC5BA6"/>
    <w:rsid w:val="00DC5C8A"/>
    <w:rsid w:val="00DC5CDE"/>
    <w:rsid w:val="00DC5DEC"/>
    <w:rsid w:val="00DC5EDA"/>
    <w:rsid w:val="00DC5F03"/>
    <w:rsid w:val="00DC5F76"/>
    <w:rsid w:val="00DC5FC6"/>
    <w:rsid w:val="00DC5FFC"/>
    <w:rsid w:val="00DC609C"/>
    <w:rsid w:val="00DC6258"/>
    <w:rsid w:val="00DC62F8"/>
    <w:rsid w:val="00DC6436"/>
    <w:rsid w:val="00DC64B3"/>
    <w:rsid w:val="00DC6519"/>
    <w:rsid w:val="00DC6668"/>
    <w:rsid w:val="00DC66A9"/>
    <w:rsid w:val="00DC66D8"/>
    <w:rsid w:val="00DC6816"/>
    <w:rsid w:val="00DC68A5"/>
    <w:rsid w:val="00DC690C"/>
    <w:rsid w:val="00DC6A0C"/>
    <w:rsid w:val="00DC6A3C"/>
    <w:rsid w:val="00DC6AB7"/>
    <w:rsid w:val="00DC6AFA"/>
    <w:rsid w:val="00DC6B51"/>
    <w:rsid w:val="00DC6B78"/>
    <w:rsid w:val="00DC6BDC"/>
    <w:rsid w:val="00DC6C08"/>
    <w:rsid w:val="00DC6C69"/>
    <w:rsid w:val="00DC6DA8"/>
    <w:rsid w:val="00DC6E51"/>
    <w:rsid w:val="00DC6E84"/>
    <w:rsid w:val="00DC6F06"/>
    <w:rsid w:val="00DC6FA0"/>
    <w:rsid w:val="00DC6FB6"/>
    <w:rsid w:val="00DC6FC9"/>
    <w:rsid w:val="00DC704D"/>
    <w:rsid w:val="00DC70D0"/>
    <w:rsid w:val="00DC7108"/>
    <w:rsid w:val="00DC7110"/>
    <w:rsid w:val="00DC7140"/>
    <w:rsid w:val="00DC717F"/>
    <w:rsid w:val="00DC7273"/>
    <w:rsid w:val="00DC72C8"/>
    <w:rsid w:val="00DC73C2"/>
    <w:rsid w:val="00DC73D3"/>
    <w:rsid w:val="00DC747B"/>
    <w:rsid w:val="00DC748D"/>
    <w:rsid w:val="00DC7490"/>
    <w:rsid w:val="00DC74C6"/>
    <w:rsid w:val="00DC752C"/>
    <w:rsid w:val="00DC75CD"/>
    <w:rsid w:val="00DC75EB"/>
    <w:rsid w:val="00DC7636"/>
    <w:rsid w:val="00DC7677"/>
    <w:rsid w:val="00DC771C"/>
    <w:rsid w:val="00DC7723"/>
    <w:rsid w:val="00DC7730"/>
    <w:rsid w:val="00DC7788"/>
    <w:rsid w:val="00DC77F1"/>
    <w:rsid w:val="00DC780B"/>
    <w:rsid w:val="00DC7828"/>
    <w:rsid w:val="00DC784A"/>
    <w:rsid w:val="00DC78A9"/>
    <w:rsid w:val="00DC7913"/>
    <w:rsid w:val="00DC7954"/>
    <w:rsid w:val="00DC79DD"/>
    <w:rsid w:val="00DC7A47"/>
    <w:rsid w:val="00DC7AC4"/>
    <w:rsid w:val="00DC7AC8"/>
    <w:rsid w:val="00DC7C59"/>
    <w:rsid w:val="00DC7D69"/>
    <w:rsid w:val="00DC7EAB"/>
    <w:rsid w:val="00DC7F34"/>
    <w:rsid w:val="00DD001C"/>
    <w:rsid w:val="00DD00DB"/>
    <w:rsid w:val="00DD00E9"/>
    <w:rsid w:val="00DD00FE"/>
    <w:rsid w:val="00DD0190"/>
    <w:rsid w:val="00DD023C"/>
    <w:rsid w:val="00DD029C"/>
    <w:rsid w:val="00DD02E9"/>
    <w:rsid w:val="00DD03A8"/>
    <w:rsid w:val="00DD0462"/>
    <w:rsid w:val="00DD0571"/>
    <w:rsid w:val="00DD0596"/>
    <w:rsid w:val="00DD062D"/>
    <w:rsid w:val="00DD0649"/>
    <w:rsid w:val="00DD06CE"/>
    <w:rsid w:val="00DD0767"/>
    <w:rsid w:val="00DD07FB"/>
    <w:rsid w:val="00DD08CF"/>
    <w:rsid w:val="00DD08D9"/>
    <w:rsid w:val="00DD08EA"/>
    <w:rsid w:val="00DD0913"/>
    <w:rsid w:val="00DD091F"/>
    <w:rsid w:val="00DD092D"/>
    <w:rsid w:val="00DD0970"/>
    <w:rsid w:val="00DD0971"/>
    <w:rsid w:val="00DD09AE"/>
    <w:rsid w:val="00DD09FA"/>
    <w:rsid w:val="00DD0B8F"/>
    <w:rsid w:val="00DD0B9B"/>
    <w:rsid w:val="00DD0CB7"/>
    <w:rsid w:val="00DD0D0D"/>
    <w:rsid w:val="00DD0DBA"/>
    <w:rsid w:val="00DD0E1C"/>
    <w:rsid w:val="00DD0E2B"/>
    <w:rsid w:val="00DD0EE9"/>
    <w:rsid w:val="00DD0EFA"/>
    <w:rsid w:val="00DD1123"/>
    <w:rsid w:val="00DD116E"/>
    <w:rsid w:val="00DD1203"/>
    <w:rsid w:val="00DD121E"/>
    <w:rsid w:val="00DD1279"/>
    <w:rsid w:val="00DD12CF"/>
    <w:rsid w:val="00DD1349"/>
    <w:rsid w:val="00DD1466"/>
    <w:rsid w:val="00DD1472"/>
    <w:rsid w:val="00DD148E"/>
    <w:rsid w:val="00DD1519"/>
    <w:rsid w:val="00DD160E"/>
    <w:rsid w:val="00DD163E"/>
    <w:rsid w:val="00DD1670"/>
    <w:rsid w:val="00DD179C"/>
    <w:rsid w:val="00DD19C1"/>
    <w:rsid w:val="00DD19D2"/>
    <w:rsid w:val="00DD1A1A"/>
    <w:rsid w:val="00DD1A32"/>
    <w:rsid w:val="00DD1AE0"/>
    <w:rsid w:val="00DD1C55"/>
    <w:rsid w:val="00DD1CB6"/>
    <w:rsid w:val="00DD1CBC"/>
    <w:rsid w:val="00DD1E4F"/>
    <w:rsid w:val="00DD1ECA"/>
    <w:rsid w:val="00DD1FC5"/>
    <w:rsid w:val="00DD2000"/>
    <w:rsid w:val="00DD2008"/>
    <w:rsid w:val="00DD2025"/>
    <w:rsid w:val="00DD204E"/>
    <w:rsid w:val="00DD20AC"/>
    <w:rsid w:val="00DD2108"/>
    <w:rsid w:val="00DD214F"/>
    <w:rsid w:val="00DD21EA"/>
    <w:rsid w:val="00DD21FB"/>
    <w:rsid w:val="00DD2211"/>
    <w:rsid w:val="00DD224D"/>
    <w:rsid w:val="00DD22F2"/>
    <w:rsid w:val="00DD2356"/>
    <w:rsid w:val="00DD2368"/>
    <w:rsid w:val="00DD2598"/>
    <w:rsid w:val="00DD25D9"/>
    <w:rsid w:val="00DD269B"/>
    <w:rsid w:val="00DD26DE"/>
    <w:rsid w:val="00DD271F"/>
    <w:rsid w:val="00DD27C0"/>
    <w:rsid w:val="00DD27C1"/>
    <w:rsid w:val="00DD27CC"/>
    <w:rsid w:val="00DD2877"/>
    <w:rsid w:val="00DD28C8"/>
    <w:rsid w:val="00DD2995"/>
    <w:rsid w:val="00DD29B1"/>
    <w:rsid w:val="00DD2A8D"/>
    <w:rsid w:val="00DD2B3C"/>
    <w:rsid w:val="00DD2B98"/>
    <w:rsid w:val="00DD2BDF"/>
    <w:rsid w:val="00DD2BF7"/>
    <w:rsid w:val="00DD2C69"/>
    <w:rsid w:val="00DD2C9F"/>
    <w:rsid w:val="00DD2CBE"/>
    <w:rsid w:val="00DD2CBF"/>
    <w:rsid w:val="00DD2CEE"/>
    <w:rsid w:val="00DD2D72"/>
    <w:rsid w:val="00DD2E74"/>
    <w:rsid w:val="00DD2F5F"/>
    <w:rsid w:val="00DD3033"/>
    <w:rsid w:val="00DD3165"/>
    <w:rsid w:val="00DD3177"/>
    <w:rsid w:val="00DD3295"/>
    <w:rsid w:val="00DD330F"/>
    <w:rsid w:val="00DD3385"/>
    <w:rsid w:val="00DD35FA"/>
    <w:rsid w:val="00DD369E"/>
    <w:rsid w:val="00DD36DF"/>
    <w:rsid w:val="00DD3737"/>
    <w:rsid w:val="00DD383D"/>
    <w:rsid w:val="00DD384A"/>
    <w:rsid w:val="00DD3939"/>
    <w:rsid w:val="00DD3966"/>
    <w:rsid w:val="00DD3A66"/>
    <w:rsid w:val="00DD3BA1"/>
    <w:rsid w:val="00DD3BE0"/>
    <w:rsid w:val="00DD3C20"/>
    <w:rsid w:val="00DD3D12"/>
    <w:rsid w:val="00DD3DEB"/>
    <w:rsid w:val="00DD3E2A"/>
    <w:rsid w:val="00DD3EAB"/>
    <w:rsid w:val="00DD3EB1"/>
    <w:rsid w:val="00DD405C"/>
    <w:rsid w:val="00DD40C4"/>
    <w:rsid w:val="00DD4100"/>
    <w:rsid w:val="00DD4135"/>
    <w:rsid w:val="00DD4142"/>
    <w:rsid w:val="00DD41A5"/>
    <w:rsid w:val="00DD4266"/>
    <w:rsid w:val="00DD428E"/>
    <w:rsid w:val="00DD42CD"/>
    <w:rsid w:val="00DD42F2"/>
    <w:rsid w:val="00DD431C"/>
    <w:rsid w:val="00DD4356"/>
    <w:rsid w:val="00DD43B2"/>
    <w:rsid w:val="00DD43F2"/>
    <w:rsid w:val="00DD4496"/>
    <w:rsid w:val="00DD44ED"/>
    <w:rsid w:val="00DD454B"/>
    <w:rsid w:val="00DD45E0"/>
    <w:rsid w:val="00DD45F2"/>
    <w:rsid w:val="00DD462C"/>
    <w:rsid w:val="00DD46D7"/>
    <w:rsid w:val="00DD46FC"/>
    <w:rsid w:val="00DD4740"/>
    <w:rsid w:val="00DD4848"/>
    <w:rsid w:val="00DD4925"/>
    <w:rsid w:val="00DD49D9"/>
    <w:rsid w:val="00DD4A22"/>
    <w:rsid w:val="00DD4A91"/>
    <w:rsid w:val="00DD4AB8"/>
    <w:rsid w:val="00DD4B3C"/>
    <w:rsid w:val="00DD4B9D"/>
    <w:rsid w:val="00DD4C08"/>
    <w:rsid w:val="00DD4C21"/>
    <w:rsid w:val="00DD4C76"/>
    <w:rsid w:val="00DD4C8A"/>
    <w:rsid w:val="00DD4CCA"/>
    <w:rsid w:val="00DD4D0E"/>
    <w:rsid w:val="00DD4E1A"/>
    <w:rsid w:val="00DD4E35"/>
    <w:rsid w:val="00DD4E3D"/>
    <w:rsid w:val="00DD4F21"/>
    <w:rsid w:val="00DD4F48"/>
    <w:rsid w:val="00DD4FC9"/>
    <w:rsid w:val="00DD4FE0"/>
    <w:rsid w:val="00DD4FE2"/>
    <w:rsid w:val="00DD500A"/>
    <w:rsid w:val="00DD501A"/>
    <w:rsid w:val="00DD5185"/>
    <w:rsid w:val="00DD519D"/>
    <w:rsid w:val="00DD53C2"/>
    <w:rsid w:val="00DD53F5"/>
    <w:rsid w:val="00DD5487"/>
    <w:rsid w:val="00DD54E0"/>
    <w:rsid w:val="00DD56D4"/>
    <w:rsid w:val="00DD5730"/>
    <w:rsid w:val="00DD5731"/>
    <w:rsid w:val="00DD575A"/>
    <w:rsid w:val="00DD57A6"/>
    <w:rsid w:val="00DD57C9"/>
    <w:rsid w:val="00DD57ED"/>
    <w:rsid w:val="00DD5875"/>
    <w:rsid w:val="00DD587F"/>
    <w:rsid w:val="00DD58B7"/>
    <w:rsid w:val="00DD58F0"/>
    <w:rsid w:val="00DD59AC"/>
    <w:rsid w:val="00DD5A9A"/>
    <w:rsid w:val="00DD5B5D"/>
    <w:rsid w:val="00DD5B89"/>
    <w:rsid w:val="00DD5CC9"/>
    <w:rsid w:val="00DD5D24"/>
    <w:rsid w:val="00DD5DEC"/>
    <w:rsid w:val="00DD5E17"/>
    <w:rsid w:val="00DD5E74"/>
    <w:rsid w:val="00DD5EBE"/>
    <w:rsid w:val="00DD5F83"/>
    <w:rsid w:val="00DD5FEE"/>
    <w:rsid w:val="00DD5FEF"/>
    <w:rsid w:val="00DD604A"/>
    <w:rsid w:val="00DD60FC"/>
    <w:rsid w:val="00DD6199"/>
    <w:rsid w:val="00DD6225"/>
    <w:rsid w:val="00DD626D"/>
    <w:rsid w:val="00DD6287"/>
    <w:rsid w:val="00DD6332"/>
    <w:rsid w:val="00DD639B"/>
    <w:rsid w:val="00DD63A4"/>
    <w:rsid w:val="00DD6487"/>
    <w:rsid w:val="00DD6535"/>
    <w:rsid w:val="00DD6549"/>
    <w:rsid w:val="00DD6552"/>
    <w:rsid w:val="00DD6562"/>
    <w:rsid w:val="00DD6733"/>
    <w:rsid w:val="00DD6760"/>
    <w:rsid w:val="00DD67E9"/>
    <w:rsid w:val="00DD6826"/>
    <w:rsid w:val="00DD694B"/>
    <w:rsid w:val="00DD6950"/>
    <w:rsid w:val="00DD69DB"/>
    <w:rsid w:val="00DD6ACF"/>
    <w:rsid w:val="00DD6AE8"/>
    <w:rsid w:val="00DD6BE7"/>
    <w:rsid w:val="00DD6C11"/>
    <w:rsid w:val="00DD6D07"/>
    <w:rsid w:val="00DD6DBE"/>
    <w:rsid w:val="00DD6DC3"/>
    <w:rsid w:val="00DD6DDA"/>
    <w:rsid w:val="00DD6E00"/>
    <w:rsid w:val="00DD6E7E"/>
    <w:rsid w:val="00DD6EA7"/>
    <w:rsid w:val="00DD6ECA"/>
    <w:rsid w:val="00DD6F92"/>
    <w:rsid w:val="00DD7038"/>
    <w:rsid w:val="00DD70E7"/>
    <w:rsid w:val="00DD7186"/>
    <w:rsid w:val="00DD71B2"/>
    <w:rsid w:val="00DD71C1"/>
    <w:rsid w:val="00DD7242"/>
    <w:rsid w:val="00DD727A"/>
    <w:rsid w:val="00DD73E2"/>
    <w:rsid w:val="00DD74A6"/>
    <w:rsid w:val="00DD7593"/>
    <w:rsid w:val="00DD75A1"/>
    <w:rsid w:val="00DD7662"/>
    <w:rsid w:val="00DD76F9"/>
    <w:rsid w:val="00DD776E"/>
    <w:rsid w:val="00DD77B2"/>
    <w:rsid w:val="00DD791A"/>
    <w:rsid w:val="00DD7AB4"/>
    <w:rsid w:val="00DD7C08"/>
    <w:rsid w:val="00DD7C8C"/>
    <w:rsid w:val="00DD7D40"/>
    <w:rsid w:val="00DD7E20"/>
    <w:rsid w:val="00DD7EA8"/>
    <w:rsid w:val="00DD7EE7"/>
    <w:rsid w:val="00DD7FE5"/>
    <w:rsid w:val="00DE001F"/>
    <w:rsid w:val="00DE00F9"/>
    <w:rsid w:val="00DE0161"/>
    <w:rsid w:val="00DE01AA"/>
    <w:rsid w:val="00DE02B5"/>
    <w:rsid w:val="00DE02FB"/>
    <w:rsid w:val="00DE0328"/>
    <w:rsid w:val="00DE0385"/>
    <w:rsid w:val="00DE05FD"/>
    <w:rsid w:val="00DE066D"/>
    <w:rsid w:val="00DE0687"/>
    <w:rsid w:val="00DE0716"/>
    <w:rsid w:val="00DE07A5"/>
    <w:rsid w:val="00DE08BD"/>
    <w:rsid w:val="00DE09C2"/>
    <w:rsid w:val="00DE0A27"/>
    <w:rsid w:val="00DE0A4C"/>
    <w:rsid w:val="00DE0B29"/>
    <w:rsid w:val="00DE0B86"/>
    <w:rsid w:val="00DE0B8F"/>
    <w:rsid w:val="00DE0B94"/>
    <w:rsid w:val="00DE0BB3"/>
    <w:rsid w:val="00DE0CD6"/>
    <w:rsid w:val="00DE0E2C"/>
    <w:rsid w:val="00DE0F40"/>
    <w:rsid w:val="00DE1013"/>
    <w:rsid w:val="00DE1322"/>
    <w:rsid w:val="00DE13AF"/>
    <w:rsid w:val="00DE1463"/>
    <w:rsid w:val="00DE14BC"/>
    <w:rsid w:val="00DE14BF"/>
    <w:rsid w:val="00DE1534"/>
    <w:rsid w:val="00DE1672"/>
    <w:rsid w:val="00DE16AA"/>
    <w:rsid w:val="00DE16BA"/>
    <w:rsid w:val="00DE16F7"/>
    <w:rsid w:val="00DE170C"/>
    <w:rsid w:val="00DE1756"/>
    <w:rsid w:val="00DE1781"/>
    <w:rsid w:val="00DE18A1"/>
    <w:rsid w:val="00DE18B0"/>
    <w:rsid w:val="00DE1982"/>
    <w:rsid w:val="00DE19EE"/>
    <w:rsid w:val="00DE1B50"/>
    <w:rsid w:val="00DE1BA7"/>
    <w:rsid w:val="00DE1BAC"/>
    <w:rsid w:val="00DE1BE1"/>
    <w:rsid w:val="00DE1C86"/>
    <w:rsid w:val="00DE1CAC"/>
    <w:rsid w:val="00DE1CD6"/>
    <w:rsid w:val="00DE1D2F"/>
    <w:rsid w:val="00DE1D38"/>
    <w:rsid w:val="00DE1D45"/>
    <w:rsid w:val="00DE1E6C"/>
    <w:rsid w:val="00DE1F08"/>
    <w:rsid w:val="00DE1F7E"/>
    <w:rsid w:val="00DE1FA9"/>
    <w:rsid w:val="00DE1FE2"/>
    <w:rsid w:val="00DE200F"/>
    <w:rsid w:val="00DE203E"/>
    <w:rsid w:val="00DE2191"/>
    <w:rsid w:val="00DE236D"/>
    <w:rsid w:val="00DE23F5"/>
    <w:rsid w:val="00DE2412"/>
    <w:rsid w:val="00DE24DC"/>
    <w:rsid w:val="00DE2561"/>
    <w:rsid w:val="00DE26D6"/>
    <w:rsid w:val="00DE26DB"/>
    <w:rsid w:val="00DE275E"/>
    <w:rsid w:val="00DE2766"/>
    <w:rsid w:val="00DE2770"/>
    <w:rsid w:val="00DE2781"/>
    <w:rsid w:val="00DE278D"/>
    <w:rsid w:val="00DE287F"/>
    <w:rsid w:val="00DE2899"/>
    <w:rsid w:val="00DE2953"/>
    <w:rsid w:val="00DE29BE"/>
    <w:rsid w:val="00DE2A40"/>
    <w:rsid w:val="00DE2A84"/>
    <w:rsid w:val="00DE2AF2"/>
    <w:rsid w:val="00DE2BBB"/>
    <w:rsid w:val="00DE2C07"/>
    <w:rsid w:val="00DE2C6E"/>
    <w:rsid w:val="00DE2CFE"/>
    <w:rsid w:val="00DE2DD7"/>
    <w:rsid w:val="00DE2DEF"/>
    <w:rsid w:val="00DE2E2F"/>
    <w:rsid w:val="00DE2EC8"/>
    <w:rsid w:val="00DE2F8E"/>
    <w:rsid w:val="00DE2F93"/>
    <w:rsid w:val="00DE2FA6"/>
    <w:rsid w:val="00DE3018"/>
    <w:rsid w:val="00DE30B6"/>
    <w:rsid w:val="00DE3155"/>
    <w:rsid w:val="00DE321E"/>
    <w:rsid w:val="00DE3244"/>
    <w:rsid w:val="00DE3246"/>
    <w:rsid w:val="00DE326C"/>
    <w:rsid w:val="00DE32F7"/>
    <w:rsid w:val="00DE3314"/>
    <w:rsid w:val="00DE3365"/>
    <w:rsid w:val="00DE337D"/>
    <w:rsid w:val="00DE339B"/>
    <w:rsid w:val="00DE33BC"/>
    <w:rsid w:val="00DE33E1"/>
    <w:rsid w:val="00DE34F8"/>
    <w:rsid w:val="00DE34FF"/>
    <w:rsid w:val="00DE3547"/>
    <w:rsid w:val="00DE3554"/>
    <w:rsid w:val="00DE36E7"/>
    <w:rsid w:val="00DE3749"/>
    <w:rsid w:val="00DE375D"/>
    <w:rsid w:val="00DE3789"/>
    <w:rsid w:val="00DE37BC"/>
    <w:rsid w:val="00DE382E"/>
    <w:rsid w:val="00DE3B64"/>
    <w:rsid w:val="00DE3B7B"/>
    <w:rsid w:val="00DE3BE5"/>
    <w:rsid w:val="00DE3C1D"/>
    <w:rsid w:val="00DE3CE1"/>
    <w:rsid w:val="00DE3DD8"/>
    <w:rsid w:val="00DE3EE8"/>
    <w:rsid w:val="00DE3F8C"/>
    <w:rsid w:val="00DE3FB3"/>
    <w:rsid w:val="00DE3FE5"/>
    <w:rsid w:val="00DE40A4"/>
    <w:rsid w:val="00DE41FE"/>
    <w:rsid w:val="00DE426C"/>
    <w:rsid w:val="00DE42AB"/>
    <w:rsid w:val="00DE42E5"/>
    <w:rsid w:val="00DE4339"/>
    <w:rsid w:val="00DE4439"/>
    <w:rsid w:val="00DE4576"/>
    <w:rsid w:val="00DE4577"/>
    <w:rsid w:val="00DE45B5"/>
    <w:rsid w:val="00DE45C5"/>
    <w:rsid w:val="00DE4667"/>
    <w:rsid w:val="00DE469D"/>
    <w:rsid w:val="00DE470B"/>
    <w:rsid w:val="00DE4979"/>
    <w:rsid w:val="00DE49E3"/>
    <w:rsid w:val="00DE49EC"/>
    <w:rsid w:val="00DE4A2E"/>
    <w:rsid w:val="00DE4A6F"/>
    <w:rsid w:val="00DE4A93"/>
    <w:rsid w:val="00DE4B0C"/>
    <w:rsid w:val="00DE4B31"/>
    <w:rsid w:val="00DE4B77"/>
    <w:rsid w:val="00DE4E95"/>
    <w:rsid w:val="00DE4F3D"/>
    <w:rsid w:val="00DE4F3E"/>
    <w:rsid w:val="00DE4FA2"/>
    <w:rsid w:val="00DE5120"/>
    <w:rsid w:val="00DE516E"/>
    <w:rsid w:val="00DE5217"/>
    <w:rsid w:val="00DE5286"/>
    <w:rsid w:val="00DE52FC"/>
    <w:rsid w:val="00DE531D"/>
    <w:rsid w:val="00DE5324"/>
    <w:rsid w:val="00DE539C"/>
    <w:rsid w:val="00DE5418"/>
    <w:rsid w:val="00DE5469"/>
    <w:rsid w:val="00DE54A0"/>
    <w:rsid w:val="00DE5594"/>
    <w:rsid w:val="00DE564A"/>
    <w:rsid w:val="00DE566F"/>
    <w:rsid w:val="00DE56AD"/>
    <w:rsid w:val="00DE56EB"/>
    <w:rsid w:val="00DE5719"/>
    <w:rsid w:val="00DE57B3"/>
    <w:rsid w:val="00DE57F5"/>
    <w:rsid w:val="00DE584D"/>
    <w:rsid w:val="00DE587D"/>
    <w:rsid w:val="00DE5931"/>
    <w:rsid w:val="00DE59AF"/>
    <w:rsid w:val="00DE59B1"/>
    <w:rsid w:val="00DE59B7"/>
    <w:rsid w:val="00DE59F3"/>
    <w:rsid w:val="00DE5A2A"/>
    <w:rsid w:val="00DE5B1E"/>
    <w:rsid w:val="00DE5B93"/>
    <w:rsid w:val="00DE5BB0"/>
    <w:rsid w:val="00DE5C9F"/>
    <w:rsid w:val="00DE5D5B"/>
    <w:rsid w:val="00DE5E58"/>
    <w:rsid w:val="00DE5E81"/>
    <w:rsid w:val="00DE5F44"/>
    <w:rsid w:val="00DE5FC2"/>
    <w:rsid w:val="00DE5FE1"/>
    <w:rsid w:val="00DE6006"/>
    <w:rsid w:val="00DE6088"/>
    <w:rsid w:val="00DE60AC"/>
    <w:rsid w:val="00DE6104"/>
    <w:rsid w:val="00DE6139"/>
    <w:rsid w:val="00DE6158"/>
    <w:rsid w:val="00DE617A"/>
    <w:rsid w:val="00DE618F"/>
    <w:rsid w:val="00DE61D1"/>
    <w:rsid w:val="00DE61D7"/>
    <w:rsid w:val="00DE61FB"/>
    <w:rsid w:val="00DE6213"/>
    <w:rsid w:val="00DE6350"/>
    <w:rsid w:val="00DE6383"/>
    <w:rsid w:val="00DE6394"/>
    <w:rsid w:val="00DE6436"/>
    <w:rsid w:val="00DE6506"/>
    <w:rsid w:val="00DE6518"/>
    <w:rsid w:val="00DE65EE"/>
    <w:rsid w:val="00DE6620"/>
    <w:rsid w:val="00DE6764"/>
    <w:rsid w:val="00DE67A9"/>
    <w:rsid w:val="00DE69A7"/>
    <w:rsid w:val="00DE69A9"/>
    <w:rsid w:val="00DE69C0"/>
    <w:rsid w:val="00DE69C8"/>
    <w:rsid w:val="00DE69FA"/>
    <w:rsid w:val="00DE6A13"/>
    <w:rsid w:val="00DE6A5B"/>
    <w:rsid w:val="00DE6ADE"/>
    <w:rsid w:val="00DE6B55"/>
    <w:rsid w:val="00DE6B98"/>
    <w:rsid w:val="00DE6CE8"/>
    <w:rsid w:val="00DE6D67"/>
    <w:rsid w:val="00DE6E06"/>
    <w:rsid w:val="00DE6E13"/>
    <w:rsid w:val="00DE6EB3"/>
    <w:rsid w:val="00DE6FBA"/>
    <w:rsid w:val="00DE6FC1"/>
    <w:rsid w:val="00DE6FD0"/>
    <w:rsid w:val="00DE7002"/>
    <w:rsid w:val="00DE703B"/>
    <w:rsid w:val="00DE7044"/>
    <w:rsid w:val="00DE7055"/>
    <w:rsid w:val="00DE7060"/>
    <w:rsid w:val="00DE7078"/>
    <w:rsid w:val="00DE70D6"/>
    <w:rsid w:val="00DE726B"/>
    <w:rsid w:val="00DE72B2"/>
    <w:rsid w:val="00DE72E4"/>
    <w:rsid w:val="00DE7385"/>
    <w:rsid w:val="00DE73E2"/>
    <w:rsid w:val="00DE7440"/>
    <w:rsid w:val="00DE7478"/>
    <w:rsid w:val="00DE7493"/>
    <w:rsid w:val="00DE74B2"/>
    <w:rsid w:val="00DE74C1"/>
    <w:rsid w:val="00DE74E2"/>
    <w:rsid w:val="00DE74E5"/>
    <w:rsid w:val="00DE753F"/>
    <w:rsid w:val="00DE7613"/>
    <w:rsid w:val="00DE7626"/>
    <w:rsid w:val="00DE7649"/>
    <w:rsid w:val="00DE766B"/>
    <w:rsid w:val="00DE771E"/>
    <w:rsid w:val="00DE7774"/>
    <w:rsid w:val="00DE7805"/>
    <w:rsid w:val="00DE780B"/>
    <w:rsid w:val="00DE7913"/>
    <w:rsid w:val="00DE799E"/>
    <w:rsid w:val="00DE79A7"/>
    <w:rsid w:val="00DE7A16"/>
    <w:rsid w:val="00DE7A7B"/>
    <w:rsid w:val="00DE7B4F"/>
    <w:rsid w:val="00DE7BB8"/>
    <w:rsid w:val="00DE7BD7"/>
    <w:rsid w:val="00DE7C0E"/>
    <w:rsid w:val="00DE7D1E"/>
    <w:rsid w:val="00DE7D57"/>
    <w:rsid w:val="00DE7DD2"/>
    <w:rsid w:val="00DE7E4B"/>
    <w:rsid w:val="00DE7EAB"/>
    <w:rsid w:val="00DE7F63"/>
    <w:rsid w:val="00DE7F7F"/>
    <w:rsid w:val="00DE7FCA"/>
    <w:rsid w:val="00DF00F4"/>
    <w:rsid w:val="00DF01A6"/>
    <w:rsid w:val="00DF01EB"/>
    <w:rsid w:val="00DF02BD"/>
    <w:rsid w:val="00DF0348"/>
    <w:rsid w:val="00DF04D9"/>
    <w:rsid w:val="00DF056E"/>
    <w:rsid w:val="00DF0573"/>
    <w:rsid w:val="00DF06FD"/>
    <w:rsid w:val="00DF0801"/>
    <w:rsid w:val="00DF089B"/>
    <w:rsid w:val="00DF0978"/>
    <w:rsid w:val="00DF0A96"/>
    <w:rsid w:val="00DF0A97"/>
    <w:rsid w:val="00DF0AD1"/>
    <w:rsid w:val="00DF0AE6"/>
    <w:rsid w:val="00DF0AFD"/>
    <w:rsid w:val="00DF0B3F"/>
    <w:rsid w:val="00DF0B88"/>
    <w:rsid w:val="00DF0BB2"/>
    <w:rsid w:val="00DF0BCF"/>
    <w:rsid w:val="00DF0BF1"/>
    <w:rsid w:val="00DF0C07"/>
    <w:rsid w:val="00DF0C14"/>
    <w:rsid w:val="00DF0DFA"/>
    <w:rsid w:val="00DF0E48"/>
    <w:rsid w:val="00DF0EA5"/>
    <w:rsid w:val="00DF0F04"/>
    <w:rsid w:val="00DF0F2D"/>
    <w:rsid w:val="00DF0F34"/>
    <w:rsid w:val="00DF0F93"/>
    <w:rsid w:val="00DF107F"/>
    <w:rsid w:val="00DF1083"/>
    <w:rsid w:val="00DF1168"/>
    <w:rsid w:val="00DF129E"/>
    <w:rsid w:val="00DF1313"/>
    <w:rsid w:val="00DF14A5"/>
    <w:rsid w:val="00DF1544"/>
    <w:rsid w:val="00DF15B8"/>
    <w:rsid w:val="00DF1604"/>
    <w:rsid w:val="00DF166A"/>
    <w:rsid w:val="00DF1786"/>
    <w:rsid w:val="00DF17ED"/>
    <w:rsid w:val="00DF18DB"/>
    <w:rsid w:val="00DF1911"/>
    <w:rsid w:val="00DF197B"/>
    <w:rsid w:val="00DF1A15"/>
    <w:rsid w:val="00DF1A8C"/>
    <w:rsid w:val="00DF1AEA"/>
    <w:rsid w:val="00DF1B96"/>
    <w:rsid w:val="00DF1BC9"/>
    <w:rsid w:val="00DF1BF1"/>
    <w:rsid w:val="00DF1C46"/>
    <w:rsid w:val="00DF1CDA"/>
    <w:rsid w:val="00DF1CE3"/>
    <w:rsid w:val="00DF1CF6"/>
    <w:rsid w:val="00DF1D24"/>
    <w:rsid w:val="00DF1D87"/>
    <w:rsid w:val="00DF1DB2"/>
    <w:rsid w:val="00DF1DD2"/>
    <w:rsid w:val="00DF1F17"/>
    <w:rsid w:val="00DF1F5D"/>
    <w:rsid w:val="00DF2139"/>
    <w:rsid w:val="00DF21A2"/>
    <w:rsid w:val="00DF2239"/>
    <w:rsid w:val="00DF2312"/>
    <w:rsid w:val="00DF2424"/>
    <w:rsid w:val="00DF2454"/>
    <w:rsid w:val="00DF2489"/>
    <w:rsid w:val="00DF2492"/>
    <w:rsid w:val="00DF24DF"/>
    <w:rsid w:val="00DF254F"/>
    <w:rsid w:val="00DF25E3"/>
    <w:rsid w:val="00DF2693"/>
    <w:rsid w:val="00DF26EB"/>
    <w:rsid w:val="00DF2785"/>
    <w:rsid w:val="00DF27AF"/>
    <w:rsid w:val="00DF2836"/>
    <w:rsid w:val="00DF285A"/>
    <w:rsid w:val="00DF2895"/>
    <w:rsid w:val="00DF28DC"/>
    <w:rsid w:val="00DF2915"/>
    <w:rsid w:val="00DF2A82"/>
    <w:rsid w:val="00DF2B3F"/>
    <w:rsid w:val="00DF2B43"/>
    <w:rsid w:val="00DF2BEF"/>
    <w:rsid w:val="00DF2C0E"/>
    <w:rsid w:val="00DF2CF4"/>
    <w:rsid w:val="00DF2D3E"/>
    <w:rsid w:val="00DF2D63"/>
    <w:rsid w:val="00DF2D8B"/>
    <w:rsid w:val="00DF2E0E"/>
    <w:rsid w:val="00DF2E33"/>
    <w:rsid w:val="00DF2E89"/>
    <w:rsid w:val="00DF2FAD"/>
    <w:rsid w:val="00DF301E"/>
    <w:rsid w:val="00DF3058"/>
    <w:rsid w:val="00DF3065"/>
    <w:rsid w:val="00DF30C1"/>
    <w:rsid w:val="00DF30DA"/>
    <w:rsid w:val="00DF3192"/>
    <w:rsid w:val="00DF31B0"/>
    <w:rsid w:val="00DF31F2"/>
    <w:rsid w:val="00DF321A"/>
    <w:rsid w:val="00DF3266"/>
    <w:rsid w:val="00DF32D2"/>
    <w:rsid w:val="00DF32EA"/>
    <w:rsid w:val="00DF335A"/>
    <w:rsid w:val="00DF33AA"/>
    <w:rsid w:val="00DF341A"/>
    <w:rsid w:val="00DF35B0"/>
    <w:rsid w:val="00DF3625"/>
    <w:rsid w:val="00DF3671"/>
    <w:rsid w:val="00DF36D4"/>
    <w:rsid w:val="00DF3704"/>
    <w:rsid w:val="00DF3718"/>
    <w:rsid w:val="00DF3780"/>
    <w:rsid w:val="00DF38F0"/>
    <w:rsid w:val="00DF393E"/>
    <w:rsid w:val="00DF396B"/>
    <w:rsid w:val="00DF3986"/>
    <w:rsid w:val="00DF39E2"/>
    <w:rsid w:val="00DF3A5E"/>
    <w:rsid w:val="00DF3B50"/>
    <w:rsid w:val="00DF3C93"/>
    <w:rsid w:val="00DF3D79"/>
    <w:rsid w:val="00DF3DA9"/>
    <w:rsid w:val="00DF3DE9"/>
    <w:rsid w:val="00DF3E9D"/>
    <w:rsid w:val="00DF3EBD"/>
    <w:rsid w:val="00DF3EF1"/>
    <w:rsid w:val="00DF3F69"/>
    <w:rsid w:val="00DF3FBE"/>
    <w:rsid w:val="00DF4055"/>
    <w:rsid w:val="00DF411E"/>
    <w:rsid w:val="00DF4168"/>
    <w:rsid w:val="00DF41D9"/>
    <w:rsid w:val="00DF42B4"/>
    <w:rsid w:val="00DF43B6"/>
    <w:rsid w:val="00DF4400"/>
    <w:rsid w:val="00DF4409"/>
    <w:rsid w:val="00DF442A"/>
    <w:rsid w:val="00DF4516"/>
    <w:rsid w:val="00DF45EF"/>
    <w:rsid w:val="00DF45F3"/>
    <w:rsid w:val="00DF4657"/>
    <w:rsid w:val="00DF4749"/>
    <w:rsid w:val="00DF47D0"/>
    <w:rsid w:val="00DF4805"/>
    <w:rsid w:val="00DF485D"/>
    <w:rsid w:val="00DF494F"/>
    <w:rsid w:val="00DF49E6"/>
    <w:rsid w:val="00DF49E7"/>
    <w:rsid w:val="00DF4B8E"/>
    <w:rsid w:val="00DF4BFF"/>
    <w:rsid w:val="00DF4CA6"/>
    <w:rsid w:val="00DF4CB0"/>
    <w:rsid w:val="00DF4D2F"/>
    <w:rsid w:val="00DF4D46"/>
    <w:rsid w:val="00DF4DC4"/>
    <w:rsid w:val="00DF4E65"/>
    <w:rsid w:val="00DF4E76"/>
    <w:rsid w:val="00DF4EFC"/>
    <w:rsid w:val="00DF4F1E"/>
    <w:rsid w:val="00DF4FAD"/>
    <w:rsid w:val="00DF4FC2"/>
    <w:rsid w:val="00DF502D"/>
    <w:rsid w:val="00DF5055"/>
    <w:rsid w:val="00DF50B4"/>
    <w:rsid w:val="00DF517F"/>
    <w:rsid w:val="00DF5229"/>
    <w:rsid w:val="00DF5249"/>
    <w:rsid w:val="00DF529D"/>
    <w:rsid w:val="00DF5454"/>
    <w:rsid w:val="00DF554B"/>
    <w:rsid w:val="00DF556A"/>
    <w:rsid w:val="00DF5577"/>
    <w:rsid w:val="00DF56E1"/>
    <w:rsid w:val="00DF5711"/>
    <w:rsid w:val="00DF5776"/>
    <w:rsid w:val="00DF5792"/>
    <w:rsid w:val="00DF57B5"/>
    <w:rsid w:val="00DF57DE"/>
    <w:rsid w:val="00DF5865"/>
    <w:rsid w:val="00DF58F8"/>
    <w:rsid w:val="00DF5929"/>
    <w:rsid w:val="00DF592D"/>
    <w:rsid w:val="00DF5942"/>
    <w:rsid w:val="00DF596B"/>
    <w:rsid w:val="00DF5A4D"/>
    <w:rsid w:val="00DF5C00"/>
    <w:rsid w:val="00DF5C15"/>
    <w:rsid w:val="00DF5D09"/>
    <w:rsid w:val="00DF5DA5"/>
    <w:rsid w:val="00DF5E26"/>
    <w:rsid w:val="00DF5ED6"/>
    <w:rsid w:val="00DF5F73"/>
    <w:rsid w:val="00DF5FBA"/>
    <w:rsid w:val="00DF603B"/>
    <w:rsid w:val="00DF60EA"/>
    <w:rsid w:val="00DF6165"/>
    <w:rsid w:val="00DF6193"/>
    <w:rsid w:val="00DF61A0"/>
    <w:rsid w:val="00DF62E2"/>
    <w:rsid w:val="00DF646F"/>
    <w:rsid w:val="00DF65DC"/>
    <w:rsid w:val="00DF6726"/>
    <w:rsid w:val="00DF67BE"/>
    <w:rsid w:val="00DF6805"/>
    <w:rsid w:val="00DF6818"/>
    <w:rsid w:val="00DF683B"/>
    <w:rsid w:val="00DF6892"/>
    <w:rsid w:val="00DF69B1"/>
    <w:rsid w:val="00DF69C7"/>
    <w:rsid w:val="00DF6A7C"/>
    <w:rsid w:val="00DF6AAF"/>
    <w:rsid w:val="00DF6B22"/>
    <w:rsid w:val="00DF6B62"/>
    <w:rsid w:val="00DF6B7A"/>
    <w:rsid w:val="00DF6BBC"/>
    <w:rsid w:val="00DF6BE4"/>
    <w:rsid w:val="00DF6E0C"/>
    <w:rsid w:val="00DF6E22"/>
    <w:rsid w:val="00DF6E81"/>
    <w:rsid w:val="00DF6F01"/>
    <w:rsid w:val="00DF703E"/>
    <w:rsid w:val="00DF7070"/>
    <w:rsid w:val="00DF7086"/>
    <w:rsid w:val="00DF7145"/>
    <w:rsid w:val="00DF7154"/>
    <w:rsid w:val="00DF7191"/>
    <w:rsid w:val="00DF7389"/>
    <w:rsid w:val="00DF7400"/>
    <w:rsid w:val="00DF740A"/>
    <w:rsid w:val="00DF74A6"/>
    <w:rsid w:val="00DF7569"/>
    <w:rsid w:val="00DF75B5"/>
    <w:rsid w:val="00DF777A"/>
    <w:rsid w:val="00DF7799"/>
    <w:rsid w:val="00DF77FC"/>
    <w:rsid w:val="00DF78C4"/>
    <w:rsid w:val="00DF78CB"/>
    <w:rsid w:val="00DF7944"/>
    <w:rsid w:val="00DF7962"/>
    <w:rsid w:val="00DF797F"/>
    <w:rsid w:val="00DF79D4"/>
    <w:rsid w:val="00DF7A1E"/>
    <w:rsid w:val="00DF7A5E"/>
    <w:rsid w:val="00DF7AE2"/>
    <w:rsid w:val="00DF7B4A"/>
    <w:rsid w:val="00DF7B5D"/>
    <w:rsid w:val="00DF7BB6"/>
    <w:rsid w:val="00DF7BF7"/>
    <w:rsid w:val="00DF7C30"/>
    <w:rsid w:val="00DF7C6E"/>
    <w:rsid w:val="00DF7CF4"/>
    <w:rsid w:val="00DF7D23"/>
    <w:rsid w:val="00DF7DAC"/>
    <w:rsid w:val="00DF7DC5"/>
    <w:rsid w:val="00DF7DE6"/>
    <w:rsid w:val="00DF7F0F"/>
    <w:rsid w:val="00DF7FFE"/>
    <w:rsid w:val="00E00032"/>
    <w:rsid w:val="00E000EE"/>
    <w:rsid w:val="00E00156"/>
    <w:rsid w:val="00E001AA"/>
    <w:rsid w:val="00E00263"/>
    <w:rsid w:val="00E002F5"/>
    <w:rsid w:val="00E0042F"/>
    <w:rsid w:val="00E0055E"/>
    <w:rsid w:val="00E00576"/>
    <w:rsid w:val="00E005B8"/>
    <w:rsid w:val="00E005F2"/>
    <w:rsid w:val="00E0067E"/>
    <w:rsid w:val="00E00712"/>
    <w:rsid w:val="00E00832"/>
    <w:rsid w:val="00E00863"/>
    <w:rsid w:val="00E00911"/>
    <w:rsid w:val="00E009B0"/>
    <w:rsid w:val="00E00A51"/>
    <w:rsid w:val="00E00A8C"/>
    <w:rsid w:val="00E00A95"/>
    <w:rsid w:val="00E00B39"/>
    <w:rsid w:val="00E00C75"/>
    <w:rsid w:val="00E00C93"/>
    <w:rsid w:val="00E00CB1"/>
    <w:rsid w:val="00E00D17"/>
    <w:rsid w:val="00E00DA4"/>
    <w:rsid w:val="00E00E0E"/>
    <w:rsid w:val="00E00ED3"/>
    <w:rsid w:val="00E00EE8"/>
    <w:rsid w:val="00E00F72"/>
    <w:rsid w:val="00E00F7E"/>
    <w:rsid w:val="00E00FF3"/>
    <w:rsid w:val="00E010D6"/>
    <w:rsid w:val="00E01120"/>
    <w:rsid w:val="00E011AB"/>
    <w:rsid w:val="00E01254"/>
    <w:rsid w:val="00E01277"/>
    <w:rsid w:val="00E0128F"/>
    <w:rsid w:val="00E012ED"/>
    <w:rsid w:val="00E01312"/>
    <w:rsid w:val="00E013C1"/>
    <w:rsid w:val="00E014A0"/>
    <w:rsid w:val="00E014B6"/>
    <w:rsid w:val="00E014E8"/>
    <w:rsid w:val="00E01579"/>
    <w:rsid w:val="00E01596"/>
    <w:rsid w:val="00E0167D"/>
    <w:rsid w:val="00E01801"/>
    <w:rsid w:val="00E0187F"/>
    <w:rsid w:val="00E018DD"/>
    <w:rsid w:val="00E018E7"/>
    <w:rsid w:val="00E018F5"/>
    <w:rsid w:val="00E0194D"/>
    <w:rsid w:val="00E01A22"/>
    <w:rsid w:val="00E01A4B"/>
    <w:rsid w:val="00E01A55"/>
    <w:rsid w:val="00E01C3D"/>
    <w:rsid w:val="00E01C47"/>
    <w:rsid w:val="00E01E64"/>
    <w:rsid w:val="00E01ECF"/>
    <w:rsid w:val="00E01ED5"/>
    <w:rsid w:val="00E01EFE"/>
    <w:rsid w:val="00E01F4D"/>
    <w:rsid w:val="00E01FC0"/>
    <w:rsid w:val="00E0200C"/>
    <w:rsid w:val="00E02125"/>
    <w:rsid w:val="00E021AC"/>
    <w:rsid w:val="00E021F8"/>
    <w:rsid w:val="00E021FB"/>
    <w:rsid w:val="00E0231D"/>
    <w:rsid w:val="00E02386"/>
    <w:rsid w:val="00E023DE"/>
    <w:rsid w:val="00E0250E"/>
    <w:rsid w:val="00E02567"/>
    <w:rsid w:val="00E025FF"/>
    <w:rsid w:val="00E02907"/>
    <w:rsid w:val="00E0298F"/>
    <w:rsid w:val="00E02AB2"/>
    <w:rsid w:val="00E02B13"/>
    <w:rsid w:val="00E02C19"/>
    <w:rsid w:val="00E02C57"/>
    <w:rsid w:val="00E02CB3"/>
    <w:rsid w:val="00E02CB9"/>
    <w:rsid w:val="00E02D30"/>
    <w:rsid w:val="00E02D66"/>
    <w:rsid w:val="00E02D9E"/>
    <w:rsid w:val="00E02DB3"/>
    <w:rsid w:val="00E02E24"/>
    <w:rsid w:val="00E02E9C"/>
    <w:rsid w:val="00E02EB4"/>
    <w:rsid w:val="00E02EC3"/>
    <w:rsid w:val="00E02ED3"/>
    <w:rsid w:val="00E02EFB"/>
    <w:rsid w:val="00E03070"/>
    <w:rsid w:val="00E030BC"/>
    <w:rsid w:val="00E030E2"/>
    <w:rsid w:val="00E03100"/>
    <w:rsid w:val="00E031A8"/>
    <w:rsid w:val="00E03237"/>
    <w:rsid w:val="00E03241"/>
    <w:rsid w:val="00E03494"/>
    <w:rsid w:val="00E034A5"/>
    <w:rsid w:val="00E034B9"/>
    <w:rsid w:val="00E034FA"/>
    <w:rsid w:val="00E035BC"/>
    <w:rsid w:val="00E0362A"/>
    <w:rsid w:val="00E0378F"/>
    <w:rsid w:val="00E037C9"/>
    <w:rsid w:val="00E0390A"/>
    <w:rsid w:val="00E039CE"/>
    <w:rsid w:val="00E039D1"/>
    <w:rsid w:val="00E03A02"/>
    <w:rsid w:val="00E03A2E"/>
    <w:rsid w:val="00E03A37"/>
    <w:rsid w:val="00E03C73"/>
    <w:rsid w:val="00E03DC5"/>
    <w:rsid w:val="00E03E3C"/>
    <w:rsid w:val="00E03E65"/>
    <w:rsid w:val="00E03E99"/>
    <w:rsid w:val="00E03EE9"/>
    <w:rsid w:val="00E03F3B"/>
    <w:rsid w:val="00E03FEF"/>
    <w:rsid w:val="00E0407E"/>
    <w:rsid w:val="00E040D0"/>
    <w:rsid w:val="00E0410B"/>
    <w:rsid w:val="00E042FD"/>
    <w:rsid w:val="00E043C3"/>
    <w:rsid w:val="00E04410"/>
    <w:rsid w:val="00E04423"/>
    <w:rsid w:val="00E04424"/>
    <w:rsid w:val="00E0445E"/>
    <w:rsid w:val="00E044C7"/>
    <w:rsid w:val="00E044F3"/>
    <w:rsid w:val="00E04560"/>
    <w:rsid w:val="00E045FF"/>
    <w:rsid w:val="00E0468B"/>
    <w:rsid w:val="00E046B6"/>
    <w:rsid w:val="00E046CA"/>
    <w:rsid w:val="00E0473F"/>
    <w:rsid w:val="00E0479F"/>
    <w:rsid w:val="00E047C3"/>
    <w:rsid w:val="00E048C1"/>
    <w:rsid w:val="00E04990"/>
    <w:rsid w:val="00E04A9C"/>
    <w:rsid w:val="00E04ABA"/>
    <w:rsid w:val="00E04C86"/>
    <w:rsid w:val="00E04CA0"/>
    <w:rsid w:val="00E04CA3"/>
    <w:rsid w:val="00E04CDE"/>
    <w:rsid w:val="00E04D92"/>
    <w:rsid w:val="00E04DF6"/>
    <w:rsid w:val="00E04E72"/>
    <w:rsid w:val="00E04F07"/>
    <w:rsid w:val="00E04F25"/>
    <w:rsid w:val="00E04FFF"/>
    <w:rsid w:val="00E050D2"/>
    <w:rsid w:val="00E0513C"/>
    <w:rsid w:val="00E051A3"/>
    <w:rsid w:val="00E051B6"/>
    <w:rsid w:val="00E051EE"/>
    <w:rsid w:val="00E052B3"/>
    <w:rsid w:val="00E053D4"/>
    <w:rsid w:val="00E053F6"/>
    <w:rsid w:val="00E05433"/>
    <w:rsid w:val="00E055A2"/>
    <w:rsid w:val="00E056EC"/>
    <w:rsid w:val="00E0574D"/>
    <w:rsid w:val="00E057A5"/>
    <w:rsid w:val="00E05800"/>
    <w:rsid w:val="00E05849"/>
    <w:rsid w:val="00E05A89"/>
    <w:rsid w:val="00E05AE1"/>
    <w:rsid w:val="00E05B22"/>
    <w:rsid w:val="00E05BB0"/>
    <w:rsid w:val="00E05BC2"/>
    <w:rsid w:val="00E05C8B"/>
    <w:rsid w:val="00E05D30"/>
    <w:rsid w:val="00E05D39"/>
    <w:rsid w:val="00E05D72"/>
    <w:rsid w:val="00E05E97"/>
    <w:rsid w:val="00E05ED2"/>
    <w:rsid w:val="00E05F0B"/>
    <w:rsid w:val="00E05F31"/>
    <w:rsid w:val="00E05FAA"/>
    <w:rsid w:val="00E06006"/>
    <w:rsid w:val="00E0607D"/>
    <w:rsid w:val="00E06096"/>
    <w:rsid w:val="00E060B4"/>
    <w:rsid w:val="00E060B5"/>
    <w:rsid w:val="00E0612F"/>
    <w:rsid w:val="00E0618F"/>
    <w:rsid w:val="00E06217"/>
    <w:rsid w:val="00E0623D"/>
    <w:rsid w:val="00E06307"/>
    <w:rsid w:val="00E0630C"/>
    <w:rsid w:val="00E0634B"/>
    <w:rsid w:val="00E0636D"/>
    <w:rsid w:val="00E064F0"/>
    <w:rsid w:val="00E065E9"/>
    <w:rsid w:val="00E0666D"/>
    <w:rsid w:val="00E06768"/>
    <w:rsid w:val="00E067B3"/>
    <w:rsid w:val="00E06877"/>
    <w:rsid w:val="00E068AE"/>
    <w:rsid w:val="00E0691B"/>
    <w:rsid w:val="00E069CF"/>
    <w:rsid w:val="00E06A4B"/>
    <w:rsid w:val="00E06A8C"/>
    <w:rsid w:val="00E06C96"/>
    <w:rsid w:val="00E06CCD"/>
    <w:rsid w:val="00E06CEE"/>
    <w:rsid w:val="00E06D17"/>
    <w:rsid w:val="00E06E51"/>
    <w:rsid w:val="00E06FA0"/>
    <w:rsid w:val="00E0711B"/>
    <w:rsid w:val="00E07123"/>
    <w:rsid w:val="00E0718A"/>
    <w:rsid w:val="00E071DE"/>
    <w:rsid w:val="00E071E6"/>
    <w:rsid w:val="00E071F9"/>
    <w:rsid w:val="00E073A7"/>
    <w:rsid w:val="00E073EA"/>
    <w:rsid w:val="00E074F3"/>
    <w:rsid w:val="00E075B1"/>
    <w:rsid w:val="00E075F3"/>
    <w:rsid w:val="00E07606"/>
    <w:rsid w:val="00E0760F"/>
    <w:rsid w:val="00E07619"/>
    <w:rsid w:val="00E07689"/>
    <w:rsid w:val="00E07703"/>
    <w:rsid w:val="00E07742"/>
    <w:rsid w:val="00E0778B"/>
    <w:rsid w:val="00E07872"/>
    <w:rsid w:val="00E078A0"/>
    <w:rsid w:val="00E07900"/>
    <w:rsid w:val="00E079F9"/>
    <w:rsid w:val="00E07A5C"/>
    <w:rsid w:val="00E07AD3"/>
    <w:rsid w:val="00E07B54"/>
    <w:rsid w:val="00E07C3C"/>
    <w:rsid w:val="00E07C6E"/>
    <w:rsid w:val="00E07CD5"/>
    <w:rsid w:val="00E07E0C"/>
    <w:rsid w:val="00E07E10"/>
    <w:rsid w:val="00E07EBA"/>
    <w:rsid w:val="00E07EC4"/>
    <w:rsid w:val="00E07EC9"/>
    <w:rsid w:val="00E07ED9"/>
    <w:rsid w:val="00E07EF7"/>
    <w:rsid w:val="00E07FB2"/>
    <w:rsid w:val="00E07FF5"/>
    <w:rsid w:val="00E1002B"/>
    <w:rsid w:val="00E1004D"/>
    <w:rsid w:val="00E10079"/>
    <w:rsid w:val="00E1018D"/>
    <w:rsid w:val="00E10220"/>
    <w:rsid w:val="00E102B9"/>
    <w:rsid w:val="00E1035D"/>
    <w:rsid w:val="00E1035E"/>
    <w:rsid w:val="00E1036F"/>
    <w:rsid w:val="00E104B4"/>
    <w:rsid w:val="00E104C0"/>
    <w:rsid w:val="00E10584"/>
    <w:rsid w:val="00E10596"/>
    <w:rsid w:val="00E105E5"/>
    <w:rsid w:val="00E10629"/>
    <w:rsid w:val="00E1066B"/>
    <w:rsid w:val="00E106C9"/>
    <w:rsid w:val="00E106D1"/>
    <w:rsid w:val="00E106EA"/>
    <w:rsid w:val="00E106EF"/>
    <w:rsid w:val="00E10955"/>
    <w:rsid w:val="00E10999"/>
    <w:rsid w:val="00E10A54"/>
    <w:rsid w:val="00E10BEE"/>
    <w:rsid w:val="00E10C67"/>
    <w:rsid w:val="00E10D6E"/>
    <w:rsid w:val="00E10DBF"/>
    <w:rsid w:val="00E10E0F"/>
    <w:rsid w:val="00E10F20"/>
    <w:rsid w:val="00E10F6D"/>
    <w:rsid w:val="00E10FB1"/>
    <w:rsid w:val="00E10FD5"/>
    <w:rsid w:val="00E10FDC"/>
    <w:rsid w:val="00E10FDF"/>
    <w:rsid w:val="00E11091"/>
    <w:rsid w:val="00E111B3"/>
    <w:rsid w:val="00E11245"/>
    <w:rsid w:val="00E1126B"/>
    <w:rsid w:val="00E112BF"/>
    <w:rsid w:val="00E11351"/>
    <w:rsid w:val="00E1146E"/>
    <w:rsid w:val="00E114C9"/>
    <w:rsid w:val="00E114EB"/>
    <w:rsid w:val="00E1158E"/>
    <w:rsid w:val="00E11649"/>
    <w:rsid w:val="00E1169F"/>
    <w:rsid w:val="00E116FE"/>
    <w:rsid w:val="00E117A4"/>
    <w:rsid w:val="00E1184C"/>
    <w:rsid w:val="00E118AD"/>
    <w:rsid w:val="00E118CF"/>
    <w:rsid w:val="00E118FA"/>
    <w:rsid w:val="00E11995"/>
    <w:rsid w:val="00E11A53"/>
    <w:rsid w:val="00E11A99"/>
    <w:rsid w:val="00E11AC4"/>
    <w:rsid w:val="00E11B19"/>
    <w:rsid w:val="00E11B70"/>
    <w:rsid w:val="00E11CB0"/>
    <w:rsid w:val="00E11CD8"/>
    <w:rsid w:val="00E11CEA"/>
    <w:rsid w:val="00E11D85"/>
    <w:rsid w:val="00E11D97"/>
    <w:rsid w:val="00E11E45"/>
    <w:rsid w:val="00E11E6C"/>
    <w:rsid w:val="00E11E76"/>
    <w:rsid w:val="00E11FB7"/>
    <w:rsid w:val="00E1200D"/>
    <w:rsid w:val="00E1203C"/>
    <w:rsid w:val="00E12051"/>
    <w:rsid w:val="00E12077"/>
    <w:rsid w:val="00E1207F"/>
    <w:rsid w:val="00E12104"/>
    <w:rsid w:val="00E12146"/>
    <w:rsid w:val="00E12149"/>
    <w:rsid w:val="00E121E1"/>
    <w:rsid w:val="00E1220D"/>
    <w:rsid w:val="00E1221C"/>
    <w:rsid w:val="00E1225A"/>
    <w:rsid w:val="00E123A2"/>
    <w:rsid w:val="00E123B0"/>
    <w:rsid w:val="00E12456"/>
    <w:rsid w:val="00E124DE"/>
    <w:rsid w:val="00E1252F"/>
    <w:rsid w:val="00E12549"/>
    <w:rsid w:val="00E12573"/>
    <w:rsid w:val="00E1260D"/>
    <w:rsid w:val="00E12658"/>
    <w:rsid w:val="00E126A3"/>
    <w:rsid w:val="00E126F6"/>
    <w:rsid w:val="00E12794"/>
    <w:rsid w:val="00E127B1"/>
    <w:rsid w:val="00E127BD"/>
    <w:rsid w:val="00E127FB"/>
    <w:rsid w:val="00E12814"/>
    <w:rsid w:val="00E1285A"/>
    <w:rsid w:val="00E1286E"/>
    <w:rsid w:val="00E128C7"/>
    <w:rsid w:val="00E12900"/>
    <w:rsid w:val="00E12955"/>
    <w:rsid w:val="00E129B6"/>
    <w:rsid w:val="00E129FF"/>
    <w:rsid w:val="00E12A0A"/>
    <w:rsid w:val="00E12A2E"/>
    <w:rsid w:val="00E12B20"/>
    <w:rsid w:val="00E12B21"/>
    <w:rsid w:val="00E12B57"/>
    <w:rsid w:val="00E12B72"/>
    <w:rsid w:val="00E12C1B"/>
    <w:rsid w:val="00E12C2B"/>
    <w:rsid w:val="00E12CDC"/>
    <w:rsid w:val="00E12D4B"/>
    <w:rsid w:val="00E12DC4"/>
    <w:rsid w:val="00E12DF8"/>
    <w:rsid w:val="00E12E45"/>
    <w:rsid w:val="00E12F27"/>
    <w:rsid w:val="00E12F4D"/>
    <w:rsid w:val="00E12FBF"/>
    <w:rsid w:val="00E12FD4"/>
    <w:rsid w:val="00E1300F"/>
    <w:rsid w:val="00E130AE"/>
    <w:rsid w:val="00E1342C"/>
    <w:rsid w:val="00E13547"/>
    <w:rsid w:val="00E13564"/>
    <w:rsid w:val="00E13581"/>
    <w:rsid w:val="00E13591"/>
    <w:rsid w:val="00E135A7"/>
    <w:rsid w:val="00E1363E"/>
    <w:rsid w:val="00E13641"/>
    <w:rsid w:val="00E1364D"/>
    <w:rsid w:val="00E13676"/>
    <w:rsid w:val="00E137CC"/>
    <w:rsid w:val="00E1383B"/>
    <w:rsid w:val="00E1384E"/>
    <w:rsid w:val="00E1398D"/>
    <w:rsid w:val="00E13A0F"/>
    <w:rsid w:val="00E13A18"/>
    <w:rsid w:val="00E13ADF"/>
    <w:rsid w:val="00E13B75"/>
    <w:rsid w:val="00E13BA8"/>
    <w:rsid w:val="00E13C18"/>
    <w:rsid w:val="00E13CBA"/>
    <w:rsid w:val="00E13DD5"/>
    <w:rsid w:val="00E13E3B"/>
    <w:rsid w:val="00E13E71"/>
    <w:rsid w:val="00E13FB8"/>
    <w:rsid w:val="00E1404B"/>
    <w:rsid w:val="00E1406E"/>
    <w:rsid w:val="00E14094"/>
    <w:rsid w:val="00E140F6"/>
    <w:rsid w:val="00E14174"/>
    <w:rsid w:val="00E141F9"/>
    <w:rsid w:val="00E142E0"/>
    <w:rsid w:val="00E14342"/>
    <w:rsid w:val="00E14348"/>
    <w:rsid w:val="00E1435B"/>
    <w:rsid w:val="00E143F3"/>
    <w:rsid w:val="00E144C6"/>
    <w:rsid w:val="00E144DA"/>
    <w:rsid w:val="00E14552"/>
    <w:rsid w:val="00E14646"/>
    <w:rsid w:val="00E1469F"/>
    <w:rsid w:val="00E147E7"/>
    <w:rsid w:val="00E147F7"/>
    <w:rsid w:val="00E147FC"/>
    <w:rsid w:val="00E148C6"/>
    <w:rsid w:val="00E149F0"/>
    <w:rsid w:val="00E14A42"/>
    <w:rsid w:val="00E14B1D"/>
    <w:rsid w:val="00E14B61"/>
    <w:rsid w:val="00E14C7E"/>
    <w:rsid w:val="00E14C9B"/>
    <w:rsid w:val="00E14D05"/>
    <w:rsid w:val="00E14D1C"/>
    <w:rsid w:val="00E14D4B"/>
    <w:rsid w:val="00E14E05"/>
    <w:rsid w:val="00E14EE2"/>
    <w:rsid w:val="00E14F3E"/>
    <w:rsid w:val="00E14F54"/>
    <w:rsid w:val="00E14F6D"/>
    <w:rsid w:val="00E14FCC"/>
    <w:rsid w:val="00E1502C"/>
    <w:rsid w:val="00E1515A"/>
    <w:rsid w:val="00E15231"/>
    <w:rsid w:val="00E152D8"/>
    <w:rsid w:val="00E15342"/>
    <w:rsid w:val="00E15371"/>
    <w:rsid w:val="00E153C2"/>
    <w:rsid w:val="00E15467"/>
    <w:rsid w:val="00E154C3"/>
    <w:rsid w:val="00E154C7"/>
    <w:rsid w:val="00E154FF"/>
    <w:rsid w:val="00E15536"/>
    <w:rsid w:val="00E15566"/>
    <w:rsid w:val="00E15678"/>
    <w:rsid w:val="00E15784"/>
    <w:rsid w:val="00E157A4"/>
    <w:rsid w:val="00E15808"/>
    <w:rsid w:val="00E158E7"/>
    <w:rsid w:val="00E15A18"/>
    <w:rsid w:val="00E15AAB"/>
    <w:rsid w:val="00E15B62"/>
    <w:rsid w:val="00E15D11"/>
    <w:rsid w:val="00E15DBD"/>
    <w:rsid w:val="00E15E60"/>
    <w:rsid w:val="00E15E97"/>
    <w:rsid w:val="00E15E9D"/>
    <w:rsid w:val="00E16021"/>
    <w:rsid w:val="00E1609A"/>
    <w:rsid w:val="00E160DF"/>
    <w:rsid w:val="00E16145"/>
    <w:rsid w:val="00E161E5"/>
    <w:rsid w:val="00E16207"/>
    <w:rsid w:val="00E16309"/>
    <w:rsid w:val="00E163AB"/>
    <w:rsid w:val="00E163DF"/>
    <w:rsid w:val="00E1645C"/>
    <w:rsid w:val="00E164E4"/>
    <w:rsid w:val="00E1656C"/>
    <w:rsid w:val="00E16575"/>
    <w:rsid w:val="00E165F9"/>
    <w:rsid w:val="00E1674B"/>
    <w:rsid w:val="00E1686D"/>
    <w:rsid w:val="00E168B8"/>
    <w:rsid w:val="00E16962"/>
    <w:rsid w:val="00E16A71"/>
    <w:rsid w:val="00E16A9D"/>
    <w:rsid w:val="00E16AC6"/>
    <w:rsid w:val="00E16ACF"/>
    <w:rsid w:val="00E16B28"/>
    <w:rsid w:val="00E16B9E"/>
    <w:rsid w:val="00E16C84"/>
    <w:rsid w:val="00E16D69"/>
    <w:rsid w:val="00E16D72"/>
    <w:rsid w:val="00E16D75"/>
    <w:rsid w:val="00E16DE6"/>
    <w:rsid w:val="00E16E0F"/>
    <w:rsid w:val="00E16E81"/>
    <w:rsid w:val="00E16E8C"/>
    <w:rsid w:val="00E16F01"/>
    <w:rsid w:val="00E16FED"/>
    <w:rsid w:val="00E17019"/>
    <w:rsid w:val="00E170B5"/>
    <w:rsid w:val="00E1722A"/>
    <w:rsid w:val="00E1724E"/>
    <w:rsid w:val="00E172C3"/>
    <w:rsid w:val="00E172D0"/>
    <w:rsid w:val="00E17360"/>
    <w:rsid w:val="00E17454"/>
    <w:rsid w:val="00E17457"/>
    <w:rsid w:val="00E17536"/>
    <w:rsid w:val="00E17628"/>
    <w:rsid w:val="00E17635"/>
    <w:rsid w:val="00E17649"/>
    <w:rsid w:val="00E177A1"/>
    <w:rsid w:val="00E177AD"/>
    <w:rsid w:val="00E177C8"/>
    <w:rsid w:val="00E177D0"/>
    <w:rsid w:val="00E177F6"/>
    <w:rsid w:val="00E1783B"/>
    <w:rsid w:val="00E179B6"/>
    <w:rsid w:val="00E17A39"/>
    <w:rsid w:val="00E17AC8"/>
    <w:rsid w:val="00E17B20"/>
    <w:rsid w:val="00E17B93"/>
    <w:rsid w:val="00E17BAD"/>
    <w:rsid w:val="00E17BB9"/>
    <w:rsid w:val="00E17BE7"/>
    <w:rsid w:val="00E17C4E"/>
    <w:rsid w:val="00E17D26"/>
    <w:rsid w:val="00E17D59"/>
    <w:rsid w:val="00E17DBA"/>
    <w:rsid w:val="00E17E33"/>
    <w:rsid w:val="00E17E9E"/>
    <w:rsid w:val="00E17ED2"/>
    <w:rsid w:val="00E17F12"/>
    <w:rsid w:val="00E17F83"/>
    <w:rsid w:val="00E200B1"/>
    <w:rsid w:val="00E200E2"/>
    <w:rsid w:val="00E200F5"/>
    <w:rsid w:val="00E2011D"/>
    <w:rsid w:val="00E202ED"/>
    <w:rsid w:val="00E20332"/>
    <w:rsid w:val="00E20373"/>
    <w:rsid w:val="00E204C6"/>
    <w:rsid w:val="00E205BE"/>
    <w:rsid w:val="00E205F9"/>
    <w:rsid w:val="00E2060A"/>
    <w:rsid w:val="00E20657"/>
    <w:rsid w:val="00E2065D"/>
    <w:rsid w:val="00E20668"/>
    <w:rsid w:val="00E2074A"/>
    <w:rsid w:val="00E207E3"/>
    <w:rsid w:val="00E207F2"/>
    <w:rsid w:val="00E20910"/>
    <w:rsid w:val="00E2093C"/>
    <w:rsid w:val="00E2096B"/>
    <w:rsid w:val="00E209B2"/>
    <w:rsid w:val="00E20A5A"/>
    <w:rsid w:val="00E20B30"/>
    <w:rsid w:val="00E20B3E"/>
    <w:rsid w:val="00E20C0C"/>
    <w:rsid w:val="00E20C13"/>
    <w:rsid w:val="00E20C3E"/>
    <w:rsid w:val="00E20D11"/>
    <w:rsid w:val="00E20D38"/>
    <w:rsid w:val="00E20D46"/>
    <w:rsid w:val="00E20DB7"/>
    <w:rsid w:val="00E20DFB"/>
    <w:rsid w:val="00E20E1B"/>
    <w:rsid w:val="00E20E40"/>
    <w:rsid w:val="00E20EB0"/>
    <w:rsid w:val="00E20F0B"/>
    <w:rsid w:val="00E2101D"/>
    <w:rsid w:val="00E21067"/>
    <w:rsid w:val="00E2109F"/>
    <w:rsid w:val="00E210C7"/>
    <w:rsid w:val="00E210D8"/>
    <w:rsid w:val="00E2119B"/>
    <w:rsid w:val="00E211D4"/>
    <w:rsid w:val="00E21250"/>
    <w:rsid w:val="00E21297"/>
    <w:rsid w:val="00E212A6"/>
    <w:rsid w:val="00E212E5"/>
    <w:rsid w:val="00E21332"/>
    <w:rsid w:val="00E21355"/>
    <w:rsid w:val="00E213C5"/>
    <w:rsid w:val="00E214CA"/>
    <w:rsid w:val="00E21513"/>
    <w:rsid w:val="00E21519"/>
    <w:rsid w:val="00E21554"/>
    <w:rsid w:val="00E21559"/>
    <w:rsid w:val="00E2156E"/>
    <w:rsid w:val="00E21572"/>
    <w:rsid w:val="00E215A8"/>
    <w:rsid w:val="00E21671"/>
    <w:rsid w:val="00E216CB"/>
    <w:rsid w:val="00E2174A"/>
    <w:rsid w:val="00E21772"/>
    <w:rsid w:val="00E2197B"/>
    <w:rsid w:val="00E219B4"/>
    <w:rsid w:val="00E219DD"/>
    <w:rsid w:val="00E21A33"/>
    <w:rsid w:val="00E21A6F"/>
    <w:rsid w:val="00E21AAA"/>
    <w:rsid w:val="00E21B47"/>
    <w:rsid w:val="00E21CC2"/>
    <w:rsid w:val="00E21D4E"/>
    <w:rsid w:val="00E21D75"/>
    <w:rsid w:val="00E21E13"/>
    <w:rsid w:val="00E21E40"/>
    <w:rsid w:val="00E21E69"/>
    <w:rsid w:val="00E21E8A"/>
    <w:rsid w:val="00E21F1A"/>
    <w:rsid w:val="00E21F1F"/>
    <w:rsid w:val="00E21F37"/>
    <w:rsid w:val="00E22061"/>
    <w:rsid w:val="00E2207B"/>
    <w:rsid w:val="00E221AB"/>
    <w:rsid w:val="00E22318"/>
    <w:rsid w:val="00E22392"/>
    <w:rsid w:val="00E2244A"/>
    <w:rsid w:val="00E225FD"/>
    <w:rsid w:val="00E2270F"/>
    <w:rsid w:val="00E22711"/>
    <w:rsid w:val="00E22754"/>
    <w:rsid w:val="00E22778"/>
    <w:rsid w:val="00E2278E"/>
    <w:rsid w:val="00E227B3"/>
    <w:rsid w:val="00E227B7"/>
    <w:rsid w:val="00E228F3"/>
    <w:rsid w:val="00E22971"/>
    <w:rsid w:val="00E229E4"/>
    <w:rsid w:val="00E22A38"/>
    <w:rsid w:val="00E22AC7"/>
    <w:rsid w:val="00E22B2A"/>
    <w:rsid w:val="00E22C58"/>
    <w:rsid w:val="00E22CF3"/>
    <w:rsid w:val="00E22F2A"/>
    <w:rsid w:val="00E22F82"/>
    <w:rsid w:val="00E23136"/>
    <w:rsid w:val="00E23147"/>
    <w:rsid w:val="00E231DD"/>
    <w:rsid w:val="00E2329F"/>
    <w:rsid w:val="00E232BC"/>
    <w:rsid w:val="00E23367"/>
    <w:rsid w:val="00E23444"/>
    <w:rsid w:val="00E2354B"/>
    <w:rsid w:val="00E235D9"/>
    <w:rsid w:val="00E235E5"/>
    <w:rsid w:val="00E23693"/>
    <w:rsid w:val="00E23743"/>
    <w:rsid w:val="00E2374E"/>
    <w:rsid w:val="00E237DB"/>
    <w:rsid w:val="00E237EB"/>
    <w:rsid w:val="00E2380E"/>
    <w:rsid w:val="00E2383D"/>
    <w:rsid w:val="00E2385D"/>
    <w:rsid w:val="00E23929"/>
    <w:rsid w:val="00E23991"/>
    <w:rsid w:val="00E239CA"/>
    <w:rsid w:val="00E239D3"/>
    <w:rsid w:val="00E23A38"/>
    <w:rsid w:val="00E23A49"/>
    <w:rsid w:val="00E23AB4"/>
    <w:rsid w:val="00E23B0E"/>
    <w:rsid w:val="00E23B29"/>
    <w:rsid w:val="00E23C0D"/>
    <w:rsid w:val="00E23C9B"/>
    <w:rsid w:val="00E23CC6"/>
    <w:rsid w:val="00E23D87"/>
    <w:rsid w:val="00E23DD6"/>
    <w:rsid w:val="00E23E65"/>
    <w:rsid w:val="00E23E9F"/>
    <w:rsid w:val="00E23EBA"/>
    <w:rsid w:val="00E24004"/>
    <w:rsid w:val="00E24055"/>
    <w:rsid w:val="00E240DF"/>
    <w:rsid w:val="00E24200"/>
    <w:rsid w:val="00E244EA"/>
    <w:rsid w:val="00E244EE"/>
    <w:rsid w:val="00E24517"/>
    <w:rsid w:val="00E24524"/>
    <w:rsid w:val="00E24543"/>
    <w:rsid w:val="00E2454A"/>
    <w:rsid w:val="00E24550"/>
    <w:rsid w:val="00E24647"/>
    <w:rsid w:val="00E246CD"/>
    <w:rsid w:val="00E246F0"/>
    <w:rsid w:val="00E24702"/>
    <w:rsid w:val="00E2472D"/>
    <w:rsid w:val="00E24750"/>
    <w:rsid w:val="00E247A5"/>
    <w:rsid w:val="00E24828"/>
    <w:rsid w:val="00E248A8"/>
    <w:rsid w:val="00E248D6"/>
    <w:rsid w:val="00E248E8"/>
    <w:rsid w:val="00E24921"/>
    <w:rsid w:val="00E2493F"/>
    <w:rsid w:val="00E249A1"/>
    <w:rsid w:val="00E249C2"/>
    <w:rsid w:val="00E24A05"/>
    <w:rsid w:val="00E24B14"/>
    <w:rsid w:val="00E24C48"/>
    <w:rsid w:val="00E24E6A"/>
    <w:rsid w:val="00E24F38"/>
    <w:rsid w:val="00E24F5D"/>
    <w:rsid w:val="00E24FBF"/>
    <w:rsid w:val="00E2507D"/>
    <w:rsid w:val="00E2508B"/>
    <w:rsid w:val="00E250C5"/>
    <w:rsid w:val="00E250D7"/>
    <w:rsid w:val="00E25122"/>
    <w:rsid w:val="00E2515B"/>
    <w:rsid w:val="00E25173"/>
    <w:rsid w:val="00E25198"/>
    <w:rsid w:val="00E251F0"/>
    <w:rsid w:val="00E25392"/>
    <w:rsid w:val="00E253A1"/>
    <w:rsid w:val="00E254C7"/>
    <w:rsid w:val="00E25537"/>
    <w:rsid w:val="00E255F0"/>
    <w:rsid w:val="00E25660"/>
    <w:rsid w:val="00E25673"/>
    <w:rsid w:val="00E25697"/>
    <w:rsid w:val="00E256A3"/>
    <w:rsid w:val="00E256ED"/>
    <w:rsid w:val="00E25741"/>
    <w:rsid w:val="00E2580B"/>
    <w:rsid w:val="00E25871"/>
    <w:rsid w:val="00E2588D"/>
    <w:rsid w:val="00E25993"/>
    <w:rsid w:val="00E259AB"/>
    <w:rsid w:val="00E25A4D"/>
    <w:rsid w:val="00E25BC2"/>
    <w:rsid w:val="00E25C0B"/>
    <w:rsid w:val="00E25C85"/>
    <w:rsid w:val="00E25D7B"/>
    <w:rsid w:val="00E25D7F"/>
    <w:rsid w:val="00E25E5E"/>
    <w:rsid w:val="00E25E6C"/>
    <w:rsid w:val="00E25F16"/>
    <w:rsid w:val="00E25F8D"/>
    <w:rsid w:val="00E26087"/>
    <w:rsid w:val="00E260A3"/>
    <w:rsid w:val="00E260AB"/>
    <w:rsid w:val="00E26134"/>
    <w:rsid w:val="00E2615E"/>
    <w:rsid w:val="00E26244"/>
    <w:rsid w:val="00E262C0"/>
    <w:rsid w:val="00E26322"/>
    <w:rsid w:val="00E263E5"/>
    <w:rsid w:val="00E26413"/>
    <w:rsid w:val="00E2643C"/>
    <w:rsid w:val="00E26440"/>
    <w:rsid w:val="00E264B0"/>
    <w:rsid w:val="00E26667"/>
    <w:rsid w:val="00E267A4"/>
    <w:rsid w:val="00E267FF"/>
    <w:rsid w:val="00E26926"/>
    <w:rsid w:val="00E269A7"/>
    <w:rsid w:val="00E26A53"/>
    <w:rsid w:val="00E26B0F"/>
    <w:rsid w:val="00E26B6B"/>
    <w:rsid w:val="00E26BAB"/>
    <w:rsid w:val="00E26BAC"/>
    <w:rsid w:val="00E26CC8"/>
    <w:rsid w:val="00E26CDA"/>
    <w:rsid w:val="00E26D0F"/>
    <w:rsid w:val="00E26DDA"/>
    <w:rsid w:val="00E26E05"/>
    <w:rsid w:val="00E26E4D"/>
    <w:rsid w:val="00E26F5E"/>
    <w:rsid w:val="00E27097"/>
    <w:rsid w:val="00E270A3"/>
    <w:rsid w:val="00E270AF"/>
    <w:rsid w:val="00E270FB"/>
    <w:rsid w:val="00E27147"/>
    <w:rsid w:val="00E2717D"/>
    <w:rsid w:val="00E271AC"/>
    <w:rsid w:val="00E27229"/>
    <w:rsid w:val="00E272E1"/>
    <w:rsid w:val="00E273C5"/>
    <w:rsid w:val="00E273E5"/>
    <w:rsid w:val="00E273F3"/>
    <w:rsid w:val="00E2752B"/>
    <w:rsid w:val="00E2753E"/>
    <w:rsid w:val="00E2758F"/>
    <w:rsid w:val="00E275A2"/>
    <w:rsid w:val="00E275A6"/>
    <w:rsid w:val="00E2774B"/>
    <w:rsid w:val="00E27769"/>
    <w:rsid w:val="00E27783"/>
    <w:rsid w:val="00E277F8"/>
    <w:rsid w:val="00E277FA"/>
    <w:rsid w:val="00E27877"/>
    <w:rsid w:val="00E2789C"/>
    <w:rsid w:val="00E278C3"/>
    <w:rsid w:val="00E278CC"/>
    <w:rsid w:val="00E278F3"/>
    <w:rsid w:val="00E27995"/>
    <w:rsid w:val="00E279EC"/>
    <w:rsid w:val="00E27A79"/>
    <w:rsid w:val="00E27AEB"/>
    <w:rsid w:val="00E27C5F"/>
    <w:rsid w:val="00E27D26"/>
    <w:rsid w:val="00E27D6D"/>
    <w:rsid w:val="00E27DA1"/>
    <w:rsid w:val="00E27DFE"/>
    <w:rsid w:val="00E27E05"/>
    <w:rsid w:val="00E27E84"/>
    <w:rsid w:val="00E27F80"/>
    <w:rsid w:val="00E3031A"/>
    <w:rsid w:val="00E3031D"/>
    <w:rsid w:val="00E30340"/>
    <w:rsid w:val="00E3036D"/>
    <w:rsid w:val="00E30394"/>
    <w:rsid w:val="00E303CC"/>
    <w:rsid w:val="00E303ED"/>
    <w:rsid w:val="00E30413"/>
    <w:rsid w:val="00E30457"/>
    <w:rsid w:val="00E30590"/>
    <w:rsid w:val="00E30646"/>
    <w:rsid w:val="00E3065F"/>
    <w:rsid w:val="00E30688"/>
    <w:rsid w:val="00E306EA"/>
    <w:rsid w:val="00E30749"/>
    <w:rsid w:val="00E307C3"/>
    <w:rsid w:val="00E307C9"/>
    <w:rsid w:val="00E30871"/>
    <w:rsid w:val="00E308BB"/>
    <w:rsid w:val="00E308D4"/>
    <w:rsid w:val="00E3091A"/>
    <w:rsid w:val="00E30A99"/>
    <w:rsid w:val="00E30ACA"/>
    <w:rsid w:val="00E30AD1"/>
    <w:rsid w:val="00E30B46"/>
    <w:rsid w:val="00E30B95"/>
    <w:rsid w:val="00E30B97"/>
    <w:rsid w:val="00E30BA1"/>
    <w:rsid w:val="00E30BEC"/>
    <w:rsid w:val="00E30D66"/>
    <w:rsid w:val="00E30D68"/>
    <w:rsid w:val="00E30D73"/>
    <w:rsid w:val="00E30E81"/>
    <w:rsid w:val="00E30EA2"/>
    <w:rsid w:val="00E30FC7"/>
    <w:rsid w:val="00E30FDD"/>
    <w:rsid w:val="00E31004"/>
    <w:rsid w:val="00E31021"/>
    <w:rsid w:val="00E310D0"/>
    <w:rsid w:val="00E310F7"/>
    <w:rsid w:val="00E31206"/>
    <w:rsid w:val="00E31267"/>
    <w:rsid w:val="00E31314"/>
    <w:rsid w:val="00E3156D"/>
    <w:rsid w:val="00E315B9"/>
    <w:rsid w:val="00E315BD"/>
    <w:rsid w:val="00E3166A"/>
    <w:rsid w:val="00E316E4"/>
    <w:rsid w:val="00E316FB"/>
    <w:rsid w:val="00E317A9"/>
    <w:rsid w:val="00E3183F"/>
    <w:rsid w:val="00E3196E"/>
    <w:rsid w:val="00E319B7"/>
    <w:rsid w:val="00E31A55"/>
    <w:rsid w:val="00E31B2A"/>
    <w:rsid w:val="00E31B5F"/>
    <w:rsid w:val="00E31C06"/>
    <w:rsid w:val="00E31C7D"/>
    <w:rsid w:val="00E31C8D"/>
    <w:rsid w:val="00E31CAD"/>
    <w:rsid w:val="00E31DF5"/>
    <w:rsid w:val="00E31E4B"/>
    <w:rsid w:val="00E3202F"/>
    <w:rsid w:val="00E3209D"/>
    <w:rsid w:val="00E32111"/>
    <w:rsid w:val="00E32164"/>
    <w:rsid w:val="00E32195"/>
    <w:rsid w:val="00E321AD"/>
    <w:rsid w:val="00E321C5"/>
    <w:rsid w:val="00E321CB"/>
    <w:rsid w:val="00E3228F"/>
    <w:rsid w:val="00E3229F"/>
    <w:rsid w:val="00E32425"/>
    <w:rsid w:val="00E3243C"/>
    <w:rsid w:val="00E324D1"/>
    <w:rsid w:val="00E325C5"/>
    <w:rsid w:val="00E3264A"/>
    <w:rsid w:val="00E32675"/>
    <w:rsid w:val="00E3273B"/>
    <w:rsid w:val="00E32776"/>
    <w:rsid w:val="00E32793"/>
    <w:rsid w:val="00E327B2"/>
    <w:rsid w:val="00E327F0"/>
    <w:rsid w:val="00E32936"/>
    <w:rsid w:val="00E32A92"/>
    <w:rsid w:val="00E32B0B"/>
    <w:rsid w:val="00E32B4A"/>
    <w:rsid w:val="00E32B6C"/>
    <w:rsid w:val="00E32C66"/>
    <w:rsid w:val="00E32C81"/>
    <w:rsid w:val="00E32CC8"/>
    <w:rsid w:val="00E32D37"/>
    <w:rsid w:val="00E32EAC"/>
    <w:rsid w:val="00E33004"/>
    <w:rsid w:val="00E330C5"/>
    <w:rsid w:val="00E3311A"/>
    <w:rsid w:val="00E33174"/>
    <w:rsid w:val="00E33190"/>
    <w:rsid w:val="00E331F3"/>
    <w:rsid w:val="00E3320C"/>
    <w:rsid w:val="00E3322B"/>
    <w:rsid w:val="00E3322E"/>
    <w:rsid w:val="00E33248"/>
    <w:rsid w:val="00E33285"/>
    <w:rsid w:val="00E33321"/>
    <w:rsid w:val="00E3342E"/>
    <w:rsid w:val="00E334FA"/>
    <w:rsid w:val="00E33508"/>
    <w:rsid w:val="00E3366E"/>
    <w:rsid w:val="00E3370A"/>
    <w:rsid w:val="00E3371A"/>
    <w:rsid w:val="00E33805"/>
    <w:rsid w:val="00E338DE"/>
    <w:rsid w:val="00E3390D"/>
    <w:rsid w:val="00E339E9"/>
    <w:rsid w:val="00E33A52"/>
    <w:rsid w:val="00E33A9C"/>
    <w:rsid w:val="00E33ACE"/>
    <w:rsid w:val="00E33B9B"/>
    <w:rsid w:val="00E33BBA"/>
    <w:rsid w:val="00E33BDE"/>
    <w:rsid w:val="00E33CF2"/>
    <w:rsid w:val="00E33D07"/>
    <w:rsid w:val="00E33E07"/>
    <w:rsid w:val="00E33EE0"/>
    <w:rsid w:val="00E33F56"/>
    <w:rsid w:val="00E33FA7"/>
    <w:rsid w:val="00E33FE3"/>
    <w:rsid w:val="00E341EB"/>
    <w:rsid w:val="00E34226"/>
    <w:rsid w:val="00E34259"/>
    <w:rsid w:val="00E34300"/>
    <w:rsid w:val="00E34319"/>
    <w:rsid w:val="00E34373"/>
    <w:rsid w:val="00E344D1"/>
    <w:rsid w:val="00E344D4"/>
    <w:rsid w:val="00E34529"/>
    <w:rsid w:val="00E3454C"/>
    <w:rsid w:val="00E34642"/>
    <w:rsid w:val="00E3467E"/>
    <w:rsid w:val="00E34690"/>
    <w:rsid w:val="00E346F7"/>
    <w:rsid w:val="00E3473A"/>
    <w:rsid w:val="00E347E9"/>
    <w:rsid w:val="00E34918"/>
    <w:rsid w:val="00E3498B"/>
    <w:rsid w:val="00E34AD9"/>
    <w:rsid w:val="00E34B46"/>
    <w:rsid w:val="00E34B9A"/>
    <w:rsid w:val="00E34C62"/>
    <w:rsid w:val="00E34CD1"/>
    <w:rsid w:val="00E34CFF"/>
    <w:rsid w:val="00E34D05"/>
    <w:rsid w:val="00E34D66"/>
    <w:rsid w:val="00E34E5D"/>
    <w:rsid w:val="00E34EAE"/>
    <w:rsid w:val="00E34EF2"/>
    <w:rsid w:val="00E34F1E"/>
    <w:rsid w:val="00E34FDD"/>
    <w:rsid w:val="00E34FF0"/>
    <w:rsid w:val="00E35065"/>
    <w:rsid w:val="00E350A9"/>
    <w:rsid w:val="00E35103"/>
    <w:rsid w:val="00E35183"/>
    <w:rsid w:val="00E3518C"/>
    <w:rsid w:val="00E351B5"/>
    <w:rsid w:val="00E3520C"/>
    <w:rsid w:val="00E35248"/>
    <w:rsid w:val="00E35283"/>
    <w:rsid w:val="00E352FB"/>
    <w:rsid w:val="00E353FD"/>
    <w:rsid w:val="00E3549E"/>
    <w:rsid w:val="00E355C8"/>
    <w:rsid w:val="00E3563B"/>
    <w:rsid w:val="00E3569D"/>
    <w:rsid w:val="00E356ED"/>
    <w:rsid w:val="00E35703"/>
    <w:rsid w:val="00E35713"/>
    <w:rsid w:val="00E35747"/>
    <w:rsid w:val="00E3577E"/>
    <w:rsid w:val="00E35795"/>
    <w:rsid w:val="00E358C2"/>
    <w:rsid w:val="00E35926"/>
    <w:rsid w:val="00E35930"/>
    <w:rsid w:val="00E35AF5"/>
    <w:rsid w:val="00E35AFE"/>
    <w:rsid w:val="00E35BC8"/>
    <w:rsid w:val="00E35C60"/>
    <w:rsid w:val="00E35C68"/>
    <w:rsid w:val="00E35C71"/>
    <w:rsid w:val="00E35CF6"/>
    <w:rsid w:val="00E35E9F"/>
    <w:rsid w:val="00E35F13"/>
    <w:rsid w:val="00E35FD1"/>
    <w:rsid w:val="00E360DD"/>
    <w:rsid w:val="00E36277"/>
    <w:rsid w:val="00E3627E"/>
    <w:rsid w:val="00E362E2"/>
    <w:rsid w:val="00E36392"/>
    <w:rsid w:val="00E363C8"/>
    <w:rsid w:val="00E3645E"/>
    <w:rsid w:val="00E36462"/>
    <w:rsid w:val="00E36526"/>
    <w:rsid w:val="00E3659B"/>
    <w:rsid w:val="00E365DF"/>
    <w:rsid w:val="00E36678"/>
    <w:rsid w:val="00E3667E"/>
    <w:rsid w:val="00E36680"/>
    <w:rsid w:val="00E366E1"/>
    <w:rsid w:val="00E366F2"/>
    <w:rsid w:val="00E3670F"/>
    <w:rsid w:val="00E36722"/>
    <w:rsid w:val="00E3681C"/>
    <w:rsid w:val="00E3685B"/>
    <w:rsid w:val="00E36930"/>
    <w:rsid w:val="00E3699B"/>
    <w:rsid w:val="00E369AC"/>
    <w:rsid w:val="00E369BD"/>
    <w:rsid w:val="00E36A68"/>
    <w:rsid w:val="00E36BE8"/>
    <w:rsid w:val="00E36BE9"/>
    <w:rsid w:val="00E36C55"/>
    <w:rsid w:val="00E36C6C"/>
    <w:rsid w:val="00E36CDF"/>
    <w:rsid w:val="00E36CFE"/>
    <w:rsid w:val="00E36D1C"/>
    <w:rsid w:val="00E36EA7"/>
    <w:rsid w:val="00E36EEE"/>
    <w:rsid w:val="00E37025"/>
    <w:rsid w:val="00E37038"/>
    <w:rsid w:val="00E370B3"/>
    <w:rsid w:val="00E37132"/>
    <w:rsid w:val="00E37152"/>
    <w:rsid w:val="00E371B4"/>
    <w:rsid w:val="00E37250"/>
    <w:rsid w:val="00E372C1"/>
    <w:rsid w:val="00E372CB"/>
    <w:rsid w:val="00E37309"/>
    <w:rsid w:val="00E37310"/>
    <w:rsid w:val="00E374CB"/>
    <w:rsid w:val="00E375D1"/>
    <w:rsid w:val="00E3760F"/>
    <w:rsid w:val="00E37631"/>
    <w:rsid w:val="00E3763D"/>
    <w:rsid w:val="00E376AD"/>
    <w:rsid w:val="00E37749"/>
    <w:rsid w:val="00E3779A"/>
    <w:rsid w:val="00E377AD"/>
    <w:rsid w:val="00E377C9"/>
    <w:rsid w:val="00E37801"/>
    <w:rsid w:val="00E37824"/>
    <w:rsid w:val="00E379B6"/>
    <w:rsid w:val="00E379BD"/>
    <w:rsid w:val="00E37A57"/>
    <w:rsid w:val="00E37A5D"/>
    <w:rsid w:val="00E37B35"/>
    <w:rsid w:val="00E37CDD"/>
    <w:rsid w:val="00E37D3E"/>
    <w:rsid w:val="00E37D42"/>
    <w:rsid w:val="00E37DA6"/>
    <w:rsid w:val="00E37DDB"/>
    <w:rsid w:val="00E37DE1"/>
    <w:rsid w:val="00E37E89"/>
    <w:rsid w:val="00E37F92"/>
    <w:rsid w:val="00E400A4"/>
    <w:rsid w:val="00E400AA"/>
    <w:rsid w:val="00E400E3"/>
    <w:rsid w:val="00E40217"/>
    <w:rsid w:val="00E4023A"/>
    <w:rsid w:val="00E402CD"/>
    <w:rsid w:val="00E402E9"/>
    <w:rsid w:val="00E403A3"/>
    <w:rsid w:val="00E4045C"/>
    <w:rsid w:val="00E40488"/>
    <w:rsid w:val="00E40510"/>
    <w:rsid w:val="00E4056F"/>
    <w:rsid w:val="00E4062D"/>
    <w:rsid w:val="00E4064C"/>
    <w:rsid w:val="00E406C0"/>
    <w:rsid w:val="00E406E1"/>
    <w:rsid w:val="00E407A4"/>
    <w:rsid w:val="00E4083F"/>
    <w:rsid w:val="00E4085A"/>
    <w:rsid w:val="00E40896"/>
    <w:rsid w:val="00E408D7"/>
    <w:rsid w:val="00E4091E"/>
    <w:rsid w:val="00E40924"/>
    <w:rsid w:val="00E4094F"/>
    <w:rsid w:val="00E4099A"/>
    <w:rsid w:val="00E40A3D"/>
    <w:rsid w:val="00E40B0B"/>
    <w:rsid w:val="00E40B37"/>
    <w:rsid w:val="00E40BA4"/>
    <w:rsid w:val="00E40BAC"/>
    <w:rsid w:val="00E40BC0"/>
    <w:rsid w:val="00E40BD5"/>
    <w:rsid w:val="00E40C5E"/>
    <w:rsid w:val="00E40CA6"/>
    <w:rsid w:val="00E40D1F"/>
    <w:rsid w:val="00E40D4C"/>
    <w:rsid w:val="00E40DD2"/>
    <w:rsid w:val="00E40E3C"/>
    <w:rsid w:val="00E40E9D"/>
    <w:rsid w:val="00E40F0B"/>
    <w:rsid w:val="00E40F3D"/>
    <w:rsid w:val="00E40F75"/>
    <w:rsid w:val="00E40FA3"/>
    <w:rsid w:val="00E410C7"/>
    <w:rsid w:val="00E410E4"/>
    <w:rsid w:val="00E4113C"/>
    <w:rsid w:val="00E41169"/>
    <w:rsid w:val="00E41187"/>
    <w:rsid w:val="00E411E4"/>
    <w:rsid w:val="00E412D6"/>
    <w:rsid w:val="00E412F3"/>
    <w:rsid w:val="00E412F6"/>
    <w:rsid w:val="00E4144C"/>
    <w:rsid w:val="00E41461"/>
    <w:rsid w:val="00E41499"/>
    <w:rsid w:val="00E414A7"/>
    <w:rsid w:val="00E415CB"/>
    <w:rsid w:val="00E415D4"/>
    <w:rsid w:val="00E416B7"/>
    <w:rsid w:val="00E416E6"/>
    <w:rsid w:val="00E41760"/>
    <w:rsid w:val="00E417B8"/>
    <w:rsid w:val="00E417C6"/>
    <w:rsid w:val="00E41805"/>
    <w:rsid w:val="00E4193D"/>
    <w:rsid w:val="00E4194F"/>
    <w:rsid w:val="00E4199E"/>
    <w:rsid w:val="00E41A3E"/>
    <w:rsid w:val="00E41AA5"/>
    <w:rsid w:val="00E41B80"/>
    <w:rsid w:val="00E41B88"/>
    <w:rsid w:val="00E41C79"/>
    <w:rsid w:val="00E41CA4"/>
    <w:rsid w:val="00E41CAB"/>
    <w:rsid w:val="00E41CB7"/>
    <w:rsid w:val="00E41DF9"/>
    <w:rsid w:val="00E41E01"/>
    <w:rsid w:val="00E41E25"/>
    <w:rsid w:val="00E41F34"/>
    <w:rsid w:val="00E41F3B"/>
    <w:rsid w:val="00E42007"/>
    <w:rsid w:val="00E421AC"/>
    <w:rsid w:val="00E421F2"/>
    <w:rsid w:val="00E42215"/>
    <w:rsid w:val="00E4231A"/>
    <w:rsid w:val="00E42340"/>
    <w:rsid w:val="00E42444"/>
    <w:rsid w:val="00E42457"/>
    <w:rsid w:val="00E42460"/>
    <w:rsid w:val="00E42617"/>
    <w:rsid w:val="00E4263F"/>
    <w:rsid w:val="00E426B1"/>
    <w:rsid w:val="00E42704"/>
    <w:rsid w:val="00E42706"/>
    <w:rsid w:val="00E4286F"/>
    <w:rsid w:val="00E42884"/>
    <w:rsid w:val="00E428FD"/>
    <w:rsid w:val="00E4297C"/>
    <w:rsid w:val="00E429E9"/>
    <w:rsid w:val="00E42A8F"/>
    <w:rsid w:val="00E42AB3"/>
    <w:rsid w:val="00E42B03"/>
    <w:rsid w:val="00E42C56"/>
    <w:rsid w:val="00E42C78"/>
    <w:rsid w:val="00E42CDE"/>
    <w:rsid w:val="00E42CEC"/>
    <w:rsid w:val="00E42D85"/>
    <w:rsid w:val="00E42EBF"/>
    <w:rsid w:val="00E42ED8"/>
    <w:rsid w:val="00E42F2D"/>
    <w:rsid w:val="00E42FF4"/>
    <w:rsid w:val="00E4302B"/>
    <w:rsid w:val="00E430E4"/>
    <w:rsid w:val="00E430E5"/>
    <w:rsid w:val="00E430E9"/>
    <w:rsid w:val="00E4310E"/>
    <w:rsid w:val="00E431ED"/>
    <w:rsid w:val="00E43246"/>
    <w:rsid w:val="00E432BC"/>
    <w:rsid w:val="00E432C8"/>
    <w:rsid w:val="00E4334C"/>
    <w:rsid w:val="00E43386"/>
    <w:rsid w:val="00E4340B"/>
    <w:rsid w:val="00E4345E"/>
    <w:rsid w:val="00E43460"/>
    <w:rsid w:val="00E434C5"/>
    <w:rsid w:val="00E434DB"/>
    <w:rsid w:val="00E434F0"/>
    <w:rsid w:val="00E436CA"/>
    <w:rsid w:val="00E43752"/>
    <w:rsid w:val="00E43756"/>
    <w:rsid w:val="00E437C9"/>
    <w:rsid w:val="00E43824"/>
    <w:rsid w:val="00E439A1"/>
    <w:rsid w:val="00E43A23"/>
    <w:rsid w:val="00E43A2E"/>
    <w:rsid w:val="00E43A55"/>
    <w:rsid w:val="00E43A63"/>
    <w:rsid w:val="00E43A80"/>
    <w:rsid w:val="00E43A84"/>
    <w:rsid w:val="00E43B5D"/>
    <w:rsid w:val="00E43BF8"/>
    <w:rsid w:val="00E43C0B"/>
    <w:rsid w:val="00E43C29"/>
    <w:rsid w:val="00E43C48"/>
    <w:rsid w:val="00E43E01"/>
    <w:rsid w:val="00E43E5B"/>
    <w:rsid w:val="00E43EE1"/>
    <w:rsid w:val="00E44082"/>
    <w:rsid w:val="00E44171"/>
    <w:rsid w:val="00E44188"/>
    <w:rsid w:val="00E4420D"/>
    <w:rsid w:val="00E44238"/>
    <w:rsid w:val="00E442F4"/>
    <w:rsid w:val="00E443A0"/>
    <w:rsid w:val="00E444B0"/>
    <w:rsid w:val="00E444D2"/>
    <w:rsid w:val="00E444D7"/>
    <w:rsid w:val="00E444E7"/>
    <w:rsid w:val="00E4459F"/>
    <w:rsid w:val="00E4464D"/>
    <w:rsid w:val="00E4476D"/>
    <w:rsid w:val="00E4476F"/>
    <w:rsid w:val="00E44818"/>
    <w:rsid w:val="00E44826"/>
    <w:rsid w:val="00E449FF"/>
    <w:rsid w:val="00E44ACD"/>
    <w:rsid w:val="00E44B1C"/>
    <w:rsid w:val="00E44B8F"/>
    <w:rsid w:val="00E44B9C"/>
    <w:rsid w:val="00E44BD8"/>
    <w:rsid w:val="00E44C32"/>
    <w:rsid w:val="00E44CA6"/>
    <w:rsid w:val="00E44CCD"/>
    <w:rsid w:val="00E44CD0"/>
    <w:rsid w:val="00E44D14"/>
    <w:rsid w:val="00E44D37"/>
    <w:rsid w:val="00E44D70"/>
    <w:rsid w:val="00E44D7C"/>
    <w:rsid w:val="00E44E0E"/>
    <w:rsid w:val="00E44E91"/>
    <w:rsid w:val="00E44F5C"/>
    <w:rsid w:val="00E44F9D"/>
    <w:rsid w:val="00E45094"/>
    <w:rsid w:val="00E450E6"/>
    <w:rsid w:val="00E4511F"/>
    <w:rsid w:val="00E45131"/>
    <w:rsid w:val="00E4518C"/>
    <w:rsid w:val="00E451EE"/>
    <w:rsid w:val="00E45220"/>
    <w:rsid w:val="00E4527A"/>
    <w:rsid w:val="00E45435"/>
    <w:rsid w:val="00E45493"/>
    <w:rsid w:val="00E454CC"/>
    <w:rsid w:val="00E454D8"/>
    <w:rsid w:val="00E455EA"/>
    <w:rsid w:val="00E456D5"/>
    <w:rsid w:val="00E456F9"/>
    <w:rsid w:val="00E45763"/>
    <w:rsid w:val="00E457F1"/>
    <w:rsid w:val="00E4581E"/>
    <w:rsid w:val="00E4588A"/>
    <w:rsid w:val="00E458A8"/>
    <w:rsid w:val="00E458D5"/>
    <w:rsid w:val="00E458EA"/>
    <w:rsid w:val="00E4596E"/>
    <w:rsid w:val="00E4599A"/>
    <w:rsid w:val="00E45A64"/>
    <w:rsid w:val="00E45BDF"/>
    <w:rsid w:val="00E45C9D"/>
    <w:rsid w:val="00E45CF7"/>
    <w:rsid w:val="00E45D1C"/>
    <w:rsid w:val="00E45DA5"/>
    <w:rsid w:val="00E45DE6"/>
    <w:rsid w:val="00E45F6F"/>
    <w:rsid w:val="00E45FB0"/>
    <w:rsid w:val="00E46125"/>
    <w:rsid w:val="00E46166"/>
    <w:rsid w:val="00E46187"/>
    <w:rsid w:val="00E4628C"/>
    <w:rsid w:val="00E462A9"/>
    <w:rsid w:val="00E463B3"/>
    <w:rsid w:val="00E46478"/>
    <w:rsid w:val="00E464EC"/>
    <w:rsid w:val="00E46508"/>
    <w:rsid w:val="00E4652F"/>
    <w:rsid w:val="00E46570"/>
    <w:rsid w:val="00E466F8"/>
    <w:rsid w:val="00E46818"/>
    <w:rsid w:val="00E46860"/>
    <w:rsid w:val="00E4693A"/>
    <w:rsid w:val="00E4694E"/>
    <w:rsid w:val="00E469B1"/>
    <w:rsid w:val="00E469C2"/>
    <w:rsid w:val="00E46AC6"/>
    <w:rsid w:val="00E46ACA"/>
    <w:rsid w:val="00E46B11"/>
    <w:rsid w:val="00E46C6B"/>
    <w:rsid w:val="00E46C93"/>
    <w:rsid w:val="00E46D19"/>
    <w:rsid w:val="00E46D52"/>
    <w:rsid w:val="00E46D54"/>
    <w:rsid w:val="00E46DD0"/>
    <w:rsid w:val="00E46E19"/>
    <w:rsid w:val="00E46E46"/>
    <w:rsid w:val="00E46F26"/>
    <w:rsid w:val="00E46F5C"/>
    <w:rsid w:val="00E46FCC"/>
    <w:rsid w:val="00E46FDC"/>
    <w:rsid w:val="00E47104"/>
    <w:rsid w:val="00E47231"/>
    <w:rsid w:val="00E472AB"/>
    <w:rsid w:val="00E473A0"/>
    <w:rsid w:val="00E474C9"/>
    <w:rsid w:val="00E474E4"/>
    <w:rsid w:val="00E475D1"/>
    <w:rsid w:val="00E4761D"/>
    <w:rsid w:val="00E4782C"/>
    <w:rsid w:val="00E47879"/>
    <w:rsid w:val="00E478B5"/>
    <w:rsid w:val="00E478B6"/>
    <w:rsid w:val="00E47A0B"/>
    <w:rsid w:val="00E47AB1"/>
    <w:rsid w:val="00E47AFA"/>
    <w:rsid w:val="00E47B23"/>
    <w:rsid w:val="00E47B2A"/>
    <w:rsid w:val="00E47B95"/>
    <w:rsid w:val="00E47BE6"/>
    <w:rsid w:val="00E47C4A"/>
    <w:rsid w:val="00E47C56"/>
    <w:rsid w:val="00E47C6A"/>
    <w:rsid w:val="00E47CD4"/>
    <w:rsid w:val="00E47D54"/>
    <w:rsid w:val="00E47D71"/>
    <w:rsid w:val="00E47DB3"/>
    <w:rsid w:val="00E47E09"/>
    <w:rsid w:val="00E47EBD"/>
    <w:rsid w:val="00E47FBE"/>
    <w:rsid w:val="00E50009"/>
    <w:rsid w:val="00E500A3"/>
    <w:rsid w:val="00E5013D"/>
    <w:rsid w:val="00E50194"/>
    <w:rsid w:val="00E50196"/>
    <w:rsid w:val="00E501BF"/>
    <w:rsid w:val="00E501EF"/>
    <w:rsid w:val="00E50235"/>
    <w:rsid w:val="00E502E4"/>
    <w:rsid w:val="00E50315"/>
    <w:rsid w:val="00E50343"/>
    <w:rsid w:val="00E50345"/>
    <w:rsid w:val="00E503B9"/>
    <w:rsid w:val="00E50420"/>
    <w:rsid w:val="00E504F9"/>
    <w:rsid w:val="00E5055D"/>
    <w:rsid w:val="00E5057D"/>
    <w:rsid w:val="00E50596"/>
    <w:rsid w:val="00E5064B"/>
    <w:rsid w:val="00E50719"/>
    <w:rsid w:val="00E507EE"/>
    <w:rsid w:val="00E50809"/>
    <w:rsid w:val="00E50836"/>
    <w:rsid w:val="00E5084D"/>
    <w:rsid w:val="00E508E7"/>
    <w:rsid w:val="00E50936"/>
    <w:rsid w:val="00E50AAB"/>
    <w:rsid w:val="00E50B3B"/>
    <w:rsid w:val="00E50B65"/>
    <w:rsid w:val="00E50B7A"/>
    <w:rsid w:val="00E50C28"/>
    <w:rsid w:val="00E50CD6"/>
    <w:rsid w:val="00E50D2C"/>
    <w:rsid w:val="00E50D3D"/>
    <w:rsid w:val="00E50E33"/>
    <w:rsid w:val="00E50E8C"/>
    <w:rsid w:val="00E50FD9"/>
    <w:rsid w:val="00E50FE9"/>
    <w:rsid w:val="00E51056"/>
    <w:rsid w:val="00E51073"/>
    <w:rsid w:val="00E51096"/>
    <w:rsid w:val="00E510D8"/>
    <w:rsid w:val="00E5115D"/>
    <w:rsid w:val="00E511DD"/>
    <w:rsid w:val="00E5121A"/>
    <w:rsid w:val="00E51227"/>
    <w:rsid w:val="00E51246"/>
    <w:rsid w:val="00E5127D"/>
    <w:rsid w:val="00E51323"/>
    <w:rsid w:val="00E513C4"/>
    <w:rsid w:val="00E5141D"/>
    <w:rsid w:val="00E51446"/>
    <w:rsid w:val="00E51495"/>
    <w:rsid w:val="00E51572"/>
    <w:rsid w:val="00E5159E"/>
    <w:rsid w:val="00E515BE"/>
    <w:rsid w:val="00E516C6"/>
    <w:rsid w:val="00E516CB"/>
    <w:rsid w:val="00E51722"/>
    <w:rsid w:val="00E5175C"/>
    <w:rsid w:val="00E5188A"/>
    <w:rsid w:val="00E518C3"/>
    <w:rsid w:val="00E518D3"/>
    <w:rsid w:val="00E51A1D"/>
    <w:rsid w:val="00E51A8C"/>
    <w:rsid w:val="00E51B2D"/>
    <w:rsid w:val="00E51C17"/>
    <w:rsid w:val="00E51C4C"/>
    <w:rsid w:val="00E51C73"/>
    <w:rsid w:val="00E51D01"/>
    <w:rsid w:val="00E51D4C"/>
    <w:rsid w:val="00E51DAE"/>
    <w:rsid w:val="00E51E68"/>
    <w:rsid w:val="00E51EBE"/>
    <w:rsid w:val="00E51F36"/>
    <w:rsid w:val="00E52075"/>
    <w:rsid w:val="00E520D5"/>
    <w:rsid w:val="00E520F1"/>
    <w:rsid w:val="00E521DE"/>
    <w:rsid w:val="00E5223D"/>
    <w:rsid w:val="00E5247C"/>
    <w:rsid w:val="00E5248D"/>
    <w:rsid w:val="00E524D3"/>
    <w:rsid w:val="00E52575"/>
    <w:rsid w:val="00E526AF"/>
    <w:rsid w:val="00E526B5"/>
    <w:rsid w:val="00E52712"/>
    <w:rsid w:val="00E5282D"/>
    <w:rsid w:val="00E528B1"/>
    <w:rsid w:val="00E528D6"/>
    <w:rsid w:val="00E528DA"/>
    <w:rsid w:val="00E5299F"/>
    <w:rsid w:val="00E529D5"/>
    <w:rsid w:val="00E52A2A"/>
    <w:rsid w:val="00E52A62"/>
    <w:rsid w:val="00E52A7A"/>
    <w:rsid w:val="00E52AA2"/>
    <w:rsid w:val="00E52C8A"/>
    <w:rsid w:val="00E52CBC"/>
    <w:rsid w:val="00E52CFC"/>
    <w:rsid w:val="00E52D9B"/>
    <w:rsid w:val="00E52E1C"/>
    <w:rsid w:val="00E52E99"/>
    <w:rsid w:val="00E52EC9"/>
    <w:rsid w:val="00E52EFB"/>
    <w:rsid w:val="00E52F40"/>
    <w:rsid w:val="00E52F89"/>
    <w:rsid w:val="00E52FA4"/>
    <w:rsid w:val="00E53083"/>
    <w:rsid w:val="00E53175"/>
    <w:rsid w:val="00E531BE"/>
    <w:rsid w:val="00E5322F"/>
    <w:rsid w:val="00E53243"/>
    <w:rsid w:val="00E5325A"/>
    <w:rsid w:val="00E5330A"/>
    <w:rsid w:val="00E5331A"/>
    <w:rsid w:val="00E533C3"/>
    <w:rsid w:val="00E533C6"/>
    <w:rsid w:val="00E5343E"/>
    <w:rsid w:val="00E5344C"/>
    <w:rsid w:val="00E53450"/>
    <w:rsid w:val="00E534A3"/>
    <w:rsid w:val="00E53597"/>
    <w:rsid w:val="00E535C1"/>
    <w:rsid w:val="00E53606"/>
    <w:rsid w:val="00E5365A"/>
    <w:rsid w:val="00E536A1"/>
    <w:rsid w:val="00E536E4"/>
    <w:rsid w:val="00E53827"/>
    <w:rsid w:val="00E53839"/>
    <w:rsid w:val="00E53852"/>
    <w:rsid w:val="00E5385A"/>
    <w:rsid w:val="00E5387B"/>
    <w:rsid w:val="00E538F4"/>
    <w:rsid w:val="00E53926"/>
    <w:rsid w:val="00E5393E"/>
    <w:rsid w:val="00E5394B"/>
    <w:rsid w:val="00E53957"/>
    <w:rsid w:val="00E53A0B"/>
    <w:rsid w:val="00E53A7B"/>
    <w:rsid w:val="00E53B6B"/>
    <w:rsid w:val="00E53BA3"/>
    <w:rsid w:val="00E53BE4"/>
    <w:rsid w:val="00E53C1B"/>
    <w:rsid w:val="00E53C35"/>
    <w:rsid w:val="00E53E35"/>
    <w:rsid w:val="00E53F4B"/>
    <w:rsid w:val="00E53F96"/>
    <w:rsid w:val="00E53FA9"/>
    <w:rsid w:val="00E53FB0"/>
    <w:rsid w:val="00E53FE1"/>
    <w:rsid w:val="00E54158"/>
    <w:rsid w:val="00E54186"/>
    <w:rsid w:val="00E54189"/>
    <w:rsid w:val="00E5429F"/>
    <w:rsid w:val="00E5433E"/>
    <w:rsid w:val="00E543CC"/>
    <w:rsid w:val="00E54443"/>
    <w:rsid w:val="00E544F2"/>
    <w:rsid w:val="00E54545"/>
    <w:rsid w:val="00E5462D"/>
    <w:rsid w:val="00E54675"/>
    <w:rsid w:val="00E54708"/>
    <w:rsid w:val="00E54717"/>
    <w:rsid w:val="00E547A5"/>
    <w:rsid w:val="00E549A5"/>
    <w:rsid w:val="00E549B3"/>
    <w:rsid w:val="00E54A6D"/>
    <w:rsid w:val="00E54A9E"/>
    <w:rsid w:val="00E54AA2"/>
    <w:rsid w:val="00E54ACC"/>
    <w:rsid w:val="00E54B8D"/>
    <w:rsid w:val="00E54E0D"/>
    <w:rsid w:val="00E54E24"/>
    <w:rsid w:val="00E54F0A"/>
    <w:rsid w:val="00E54F56"/>
    <w:rsid w:val="00E54F9A"/>
    <w:rsid w:val="00E54FC3"/>
    <w:rsid w:val="00E55033"/>
    <w:rsid w:val="00E550A9"/>
    <w:rsid w:val="00E550E7"/>
    <w:rsid w:val="00E550F3"/>
    <w:rsid w:val="00E55160"/>
    <w:rsid w:val="00E55200"/>
    <w:rsid w:val="00E5524A"/>
    <w:rsid w:val="00E552AF"/>
    <w:rsid w:val="00E553E8"/>
    <w:rsid w:val="00E55418"/>
    <w:rsid w:val="00E5541D"/>
    <w:rsid w:val="00E55473"/>
    <w:rsid w:val="00E554B5"/>
    <w:rsid w:val="00E555FD"/>
    <w:rsid w:val="00E5570D"/>
    <w:rsid w:val="00E55741"/>
    <w:rsid w:val="00E557DD"/>
    <w:rsid w:val="00E55818"/>
    <w:rsid w:val="00E55865"/>
    <w:rsid w:val="00E55B09"/>
    <w:rsid w:val="00E55B10"/>
    <w:rsid w:val="00E55B13"/>
    <w:rsid w:val="00E55B53"/>
    <w:rsid w:val="00E55B57"/>
    <w:rsid w:val="00E55CEE"/>
    <w:rsid w:val="00E55CEF"/>
    <w:rsid w:val="00E55E1D"/>
    <w:rsid w:val="00E55E25"/>
    <w:rsid w:val="00E55E8C"/>
    <w:rsid w:val="00E55F30"/>
    <w:rsid w:val="00E55F3E"/>
    <w:rsid w:val="00E55FA2"/>
    <w:rsid w:val="00E56039"/>
    <w:rsid w:val="00E56116"/>
    <w:rsid w:val="00E56152"/>
    <w:rsid w:val="00E56205"/>
    <w:rsid w:val="00E5622F"/>
    <w:rsid w:val="00E5630E"/>
    <w:rsid w:val="00E5633F"/>
    <w:rsid w:val="00E563F6"/>
    <w:rsid w:val="00E56456"/>
    <w:rsid w:val="00E56469"/>
    <w:rsid w:val="00E56478"/>
    <w:rsid w:val="00E564A6"/>
    <w:rsid w:val="00E564EE"/>
    <w:rsid w:val="00E565C2"/>
    <w:rsid w:val="00E565E7"/>
    <w:rsid w:val="00E56684"/>
    <w:rsid w:val="00E566EE"/>
    <w:rsid w:val="00E5670E"/>
    <w:rsid w:val="00E56757"/>
    <w:rsid w:val="00E56769"/>
    <w:rsid w:val="00E56783"/>
    <w:rsid w:val="00E567CF"/>
    <w:rsid w:val="00E56884"/>
    <w:rsid w:val="00E569D6"/>
    <w:rsid w:val="00E56AF5"/>
    <w:rsid w:val="00E56B83"/>
    <w:rsid w:val="00E56B8B"/>
    <w:rsid w:val="00E56B90"/>
    <w:rsid w:val="00E56BBD"/>
    <w:rsid w:val="00E56C05"/>
    <w:rsid w:val="00E56C06"/>
    <w:rsid w:val="00E56C4B"/>
    <w:rsid w:val="00E56C93"/>
    <w:rsid w:val="00E56CBF"/>
    <w:rsid w:val="00E56F9E"/>
    <w:rsid w:val="00E5706D"/>
    <w:rsid w:val="00E57198"/>
    <w:rsid w:val="00E571E9"/>
    <w:rsid w:val="00E57227"/>
    <w:rsid w:val="00E57292"/>
    <w:rsid w:val="00E57364"/>
    <w:rsid w:val="00E57481"/>
    <w:rsid w:val="00E574A0"/>
    <w:rsid w:val="00E57547"/>
    <w:rsid w:val="00E57558"/>
    <w:rsid w:val="00E57647"/>
    <w:rsid w:val="00E57676"/>
    <w:rsid w:val="00E57738"/>
    <w:rsid w:val="00E57783"/>
    <w:rsid w:val="00E578AF"/>
    <w:rsid w:val="00E5793D"/>
    <w:rsid w:val="00E579F6"/>
    <w:rsid w:val="00E579FD"/>
    <w:rsid w:val="00E57A2D"/>
    <w:rsid w:val="00E57AC0"/>
    <w:rsid w:val="00E57BF4"/>
    <w:rsid w:val="00E57C9F"/>
    <w:rsid w:val="00E57D48"/>
    <w:rsid w:val="00E57E78"/>
    <w:rsid w:val="00E57E8B"/>
    <w:rsid w:val="00E57EC6"/>
    <w:rsid w:val="00E57F3E"/>
    <w:rsid w:val="00E60001"/>
    <w:rsid w:val="00E60122"/>
    <w:rsid w:val="00E6012E"/>
    <w:rsid w:val="00E6018D"/>
    <w:rsid w:val="00E60190"/>
    <w:rsid w:val="00E601F8"/>
    <w:rsid w:val="00E6020B"/>
    <w:rsid w:val="00E60256"/>
    <w:rsid w:val="00E602BB"/>
    <w:rsid w:val="00E6030F"/>
    <w:rsid w:val="00E6032F"/>
    <w:rsid w:val="00E60338"/>
    <w:rsid w:val="00E6038B"/>
    <w:rsid w:val="00E603E0"/>
    <w:rsid w:val="00E603E7"/>
    <w:rsid w:val="00E60472"/>
    <w:rsid w:val="00E60507"/>
    <w:rsid w:val="00E60587"/>
    <w:rsid w:val="00E60606"/>
    <w:rsid w:val="00E606A0"/>
    <w:rsid w:val="00E606A8"/>
    <w:rsid w:val="00E60761"/>
    <w:rsid w:val="00E607C0"/>
    <w:rsid w:val="00E6091E"/>
    <w:rsid w:val="00E60A07"/>
    <w:rsid w:val="00E60A2A"/>
    <w:rsid w:val="00E60A66"/>
    <w:rsid w:val="00E60A7C"/>
    <w:rsid w:val="00E60B87"/>
    <w:rsid w:val="00E60C0B"/>
    <w:rsid w:val="00E60C2C"/>
    <w:rsid w:val="00E60C91"/>
    <w:rsid w:val="00E60CA6"/>
    <w:rsid w:val="00E60D2F"/>
    <w:rsid w:val="00E60D96"/>
    <w:rsid w:val="00E60DDD"/>
    <w:rsid w:val="00E60E49"/>
    <w:rsid w:val="00E60EB0"/>
    <w:rsid w:val="00E60F27"/>
    <w:rsid w:val="00E60F32"/>
    <w:rsid w:val="00E61007"/>
    <w:rsid w:val="00E6100E"/>
    <w:rsid w:val="00E610B1"/>
    <w:rsid w:val="00E611A5"/>
    <w:rsid w:val="00E611A7"/>
    <w:rsid w:val="00E611AD"/>
    <w:rsid w:val="00E611F5"/>
    <w:rsid w:val="00E61214"/>
    <w:rsid w:val="00E6128D"/>
    <w:rsid w:val="00E612D1"/>
    <w:rsid w:val="00E612E2"/>
    <w:rsid w:val="00E61365"/>
    <w:rsid w:val="00E6143F"/>
    <w:rsid w:val="00E61474"/>
    <w:rsid w:val="00E6147B"/>
    <w:rsid w:val="00E614D5"/>
    <w:rsid w:val="00E61548"/>
    <w:rsid w:val="00E61554"/>
    <w:rsid w:val="00E6159B"/>
    <w:rsid w:val="00E615F1"/>
    <w:rsid w:val="00E61602"/>
    <w:rsid w:val="00E6160B"/>
    <w:rsid w:val="00E6160C"/>
    <w:rsid w:val="00E61780"/>
    <w:rsid w:val="00E61787"/>
    <w:rsid w:val="00E61804"/>
    <w:rsid w:val="00E618B0"/>
    <w:rsid w:val="00E618F3"/>
    <w:rsid w:val="00E6196E"/>
    <w:rsid w:val="00E619AA"/>
    <w:rsid w:val="00E61A90"/>
    <w:rsid w:val="00E61A9A"/>
    <w:rsid w:val="00E61AA5"/>
    <w:rsid w:val="00E61BBC"/>
    <w:rsid w:val="00E61C1E"/>
    <w:rsid w:val="00E61C28"/>
    <w:rsid w:val="00E61CE7"/>
    <w:rsid w:val="00E61D36"/>
    <w:rsid w:val="00E61DCA"/>
    <w:rsid w:val="00E61DED"/>
    <w:rsid w:val="00E61E5F"/>
    <w:rsid w:val="00E61EE1"/>
    <w:rsid w:val="00E61F9D"/>
    <w:rsid w:val="00E61FA0"/>
    <w:rsid w:val="00E62093"/>
    <w:rsid w:val="00E621E6"/>
    <w:rsid w:val="00E621F1"/>
    <w:rsid w:val="00E62324"/>
    <w:rsid w:val="00E62566"/>
    <w:rsid w:val="00E62576"/>
    <w:rsid w:val="00E625AB"/>
    <w:rsid w:val="00E6260F"/>
    <w:rsid w:val="00E6263F"/>
    <w:rsid w:val="00E62669"/>
    <w:rsid w:val="00E62671"/>
    <w:rsid w:val="00E6267C"/>
    <w:rsid w:val="00E626B4"/>
    <w:rsid w:val="00E626CE"/>
    <w:rsid w:val="00E626D5"/>
    <w:rsid w:val="00E627B5"/>
    <w:rsid w:val="00E627BC"/>
    <w:rsid w:val="00E6283B"/>
    <w:rsid w:val="00E62851"/>
    <w:rsid w:val="00E6285A"/>
    <w:rsid w:val="00E62866"/>
    <w:rsid w:val="00E6295D"/>
    <w:rsid w:val="00E62A17"/>
    <w:rsid w:val="00E62B2E"/>
    <w:rsid w:val="00E62BE6"/>
    <w:rsid w:val="00E62C4F"/>
    <w:rsid w:val="00E62C75"/>
    <w:rsid w:val="00E62CDA"/>
    <w:rsid w:val="00E62D09"/>
    <w:rsid w:val="00E62DE9"/>
    <w:rsid w:val="00E62E12"/>
    <w:rsid w:val="00E62E92"/>
    <w:rsid w:val="00E62ECF"/>
    <w:rsid w:val="00E62EEA"/>
    <w:rsid w:val="00E62EEF"/>
    <w:rsid w:val="00E62F19"/>
    <w:rsid w:val="00E62F49"/>
    <w:rsid w:val="00E63048"/>
    <w:rsid w:val="00E6305F"/>
    <w:rsid w:val="00E63144"/>
    <w:rsid w:val="00E63251"/>
    <w:rsid w:val="00E632FF"/>
    <w:rsid w:val="00E63325"/>
    <w:rsid w:val="00E633D2"/>
    <w:rsid w:val="00E6342B"/>
    <w:rsid w:val="00E6343C"/>
    <w:rsid w:val="00E63570"/>
    <w:rsid w:val="00E635FB"/>
    <w:rsid w:val="00E63665"/>
    <w:rsid w:val="00E63673"/>
    <w:rsid w:val="00E6367C"/>
    <w:rsid w:val="00E6368A"/>
    <w:rsid w:val="00E63710"/>
    <w:rsid w:val="00E63744"/>
    <w:rsid w:val="00E637D8"/>
    <w:rsid w:val="00E63830"/>
    <w:rsid w:val="00E63A8C"/>
    <w:rsid w:val="00E63B2A"/>
    <w:rsid w:val="00E63B7F"/>
    <w:rsid w:val="00E63C9F"/>
    <w:rsid w:val="00E63D5E"/>
    <w:rsid w:val="00E63DC7"/>
    <w:rsid w:val="00E63E84"/>
    <w:rsid w:val="00E63EBF"/>
    <w:rsid w:val="00E63EC2"/>
    <w:rsid w:val="00E63F31"/>
    <w:rsid w:val="00E63F41"/>
    <w:rsid w:val="00E63F62"/>
    <w:rsid w:val="00E63F76"/>
    <w:rsid w:val="00E63F77"/>
    <w:rsid w:val="00E63F8F"/>
    <w:rsid w:val="00E640D6"/>
    <w:rsid w:val="00E640DE"/>
    <w:rsid w:val="00E6411A"/>
    <w:rsid w:val="00E64166"/>
    <w:rsid w:val="00E642B2"/>
    <w:rsid w:val="00E642DC"/>
    <w:rsid w:val="00E64359"/>
    <w:rsid w:val="00E6437B"/>
    <w:rsid w:val="00E6441A"/>
    <w:rsid w:val="00E644BE"/>
    <w:rsid w:val="00E644FD"/>
    <w:rsid w:val="00E64539"/>
    <w:rsid w:val="00E64545"/>
    <w:rsid w:val="00E6455A"/>
    <w:rsid w:val="00E6456A"/>
    <w:rsid w:val="00E645F1"/>
    <w:rsid w:val="00E64611"/>
    <w:rsid w:val="00E646CE"/>
    <w:rsid w:val="00E646E9"/>
    <w:rsid w:val="00E64709"/>
    <w:rsid w:val="00E64783"/>
    <w:rsid w:val="00E64784"/>
    <w:rsid w:val="00E647C4"/>
    <w:rsid w:val="00E647E9"/>
    <w:rsid w:val="00E6481D"/>
    <w:rsid w:val="00E64898"/>
    <w:rsid w:val="00E6489B"/>
    <w:rsid w:val="00E648DF"/>
    <w:rsid w:val="00E649CF"/>
    <w:rsid w:val="00E64A1D"/>
    <w:rsid w:val="00E64A53"/>
    <w:rsid w:val="00E64AB6"/>
    <w:rsid w:val="00E64B66"/>
    <w:rsid w:val="00E64BC3"/>
    <w:rsid w:val="00E64D4B"/>
    <w:rsid w:val="00E64EA4"/>
    <w:rsid w:val="00E64F35"/>
    <w:rsid w:val="00E64F73"/>
    <w:rsid w:val="00E64FB4"/>
    <w:rsid w:val="00E65022"/>
    <w:rsid w:val="00E6505E"/>
    <w:rsid w:val="00E650A8"/>
    <w:rsid w:val="00E65154"/>
    <w:rsid w:val="00E6517E"/>
    <w:rsid w:val="00E651C3"/>
    <w:rsid w:val="00E651C8"/>
    <w:rsid w:val="00E65271"/>
    <w:rsid w:val="00E652D6"/>
    <w:rsid w:val="00E6532C"/>
    <w:rsid w:val="00E6532F"/>
    <w:rsid w:val="00E6534E"/>
    <w:rsid w:val="00E653A5"/>
    <w:rsid w:val="00E654A2"/>
    <w:rsid w:val="00E654CA"/>
    <w:rsid w:val="00E65546"/>
    <w:rsid w:val="00E6555D"/>
    <w:rsid w:val="00E65587"/>
    <w:rsid w:val="00E65588"/>
    <w:rsid w:val="00E6558F"/>
    <w:rsid w:val="00E6560A"/>
    <w:rsid w:val="00E656BA"/>
    <w:rsid w:val="00E656CF"/>
    <w:rsid w:val="00E6571B"/>
    <w:rsid w:val="00E65890"/>
    <w:rsid w:val="00E65929"/>
    <w:rsid w:val="00E65A49"/>
    <w:rsid w:val="00E65B90"/>
    <w:rsid w:val="00E65C9F"/>
    <w:rsid w:val="00E65CFF"/>
    <w:rsid w:val="00E65DC0"/>
    <w:rsid w:val="00E65E7F"/>
    <w:rsid w:val="00E65EE9"/>
    <w:rsid w:val="00E65F4C"/>
    <w:rsid w:val="00E65FE0"/>
    <w:rsid w:val="00E66012"/>
    <w:rsid w:val="00E6624B"/>
    <w:rsid w:val="00E6625B"/>
    <w:rsid w:val="00E66284"/>
    <w:rsid w:val="00E662A4"/>
    <w:rsid w:val="00E662CF"/>
    <w:rsid w:val="00E662EE"/>
    <w:rsid w:val="00E66386"/>
    <w:rsid w:val="00E6639F"/>
    <w:rsid w:val="00E66436"/>
    <w:rsid w:val="00E664D0"/>
    <w:rsid w:val="00E66556"/>
    <w:rsid w:val="00E665F4"/>
    <w:rsid w:val="00E66620"/>
    <w:rsid w:val="00E66642"/>
    <w:rsid w:val="00E666EC"/>
    <w:rsid w:val="00E666ED"/>
    <w:rsid w:val="00E6673F"/>
    <w:rsid w:val="00E6677F"/>
    <w:rsid w:val="00E667D6"/>
    <w:rsid w:val="00E667FF"/>
    <w:rsid w:val="00E66857"/>
    <w:rsid w:val="00E668E7"/>
    <w:rsid w:val="00E66AB2"/>
    <w:rsid w:val="00E66BA8"/>
    <w:rsid w:val="00E66BBC"/>
    <w:rsid w:val="00E66C8B"/>
    <w:rsid w:val="00E66D4C"/>
    <w:rsid w:val="00E66E05"/>
    <w:rsid w:val="00E66ECB"/>
    <w:rsid w:val="00E66FAF"/>
    <w:rsid w:val="00E66FEF"/>
    <w:rsid w:val="00E67089"/>
    <w:rsid w:val="00E67091"/>
    <w:rsid w:val="00E67199"/>
    <w:rsid w:val="00E67279"/>
    <w:rsid w:val="00E67320"/>
    <w:rsid w:val="00E67465"/>
    <w:rsid w:val="00E674D8"/>
    <w:rsid w:val="00E6752D"/>
    <w:rsid w:val="00E6757B"/>
    <w:rsid w:val="00E67586"/>
    <w:rsid w:val="00E67615"/>
    <w:rsid w:val="00E676AD"/>
    <w:rsid w:val="00E676DD"/>
    <w:rsid w:val="00E677A0"/>
    <w:rsid w:val="00E677D6"/>
    <w:rsid w:val="00E67833"/>
    <w:rsid w:val="00E678B1"/>
    <w:rsid w:val="00E6792B"/>
    <w:rsid w:val="00E6798F"/>
    <w:rsid w:val="00E679A5"/>
    <w:rsid w:val="00E679DC"/>
    <w:rsid w:val="00E679DD"/>
    <w:rsid w:val="00E67A4A"/>
    <w:rsid w:val="00E67AC1"/>
    <w:rsid w:val="00E67AE0"/>
    <w:rsid w:val="00E67AF9"/>
    <w:rsid w:val="00E67B7C"/>
    <w:rsid w:val="00E67BDA"/>
    <w:rsid w:val="00E67C0E"/>
    <w:rsid w:val="00E67CF3"/>
    <w:rsid w:val="00E67D31"/>
    <w:rsid w:val="00E67EA6"/>
    <w:rsid w:val="00E67F87"/>
    <w:rsid w:val="00E67FE9"/>
    <w:rsid w:val="00E70008"/>
    <w:rsid w:val="00E70056"/>
    <w:rsid w:val="00E70091"/>
    <w:rsid w:val="00E70094"/>
    <w:rsid w:val="00E701BD"/>
    <w:rsid w:val="00E702F0"/>
    <w:rsid w:val="00E70345"/>
    <w:rsid w:val="00E70497"/>
    <w:rsid w:val="00E70603"/>
    <w:rsid w:val="00E706D4"/>
    <w:rsid w:val="00E706E3"/>
    <w:rsid w:val="00E70706"/>
    <w:rsid w:val="00E7071D"/>
    <w:rsid w:val="00E707BB"/>
    <w:rsid w:val="00E70893"/>
    <w:rsid w:val="00E7097F"/>
    <w:rsid w:val="00E70A43"/>
    <w:rsid w:val="00E70A8F"/>
    <w:rsid w:val="00E70AD2"/>
    <w:rsid w:val="00E70B02"/>
    <w:rsid w:val="00E70B05"/>
    <w:rsid w:val="00E70B2F"/>
    <w:rsid w:val="00E70BB7"/>
    <w:rsid w:val="00E70CAC"/>
    <w:rsid w:val="00E70CB9"/>
    <w:rsid w:val="00E70CE6"/>
    <w:rsid w:val="00E70D34"/>
    <w:rsid w:val="00E70D3A"/>
    <w:rsid w:val="00E70D41"/>
    <w:rsid w:val="00E70D4B"/>
    <w:rsid w:val="00E70E19"/>
    <w:rsid w:val="00E70E36"/>
    <w:rsid w:val="00E70EAF"/>
    <w:rsid w:val="00E70F1C"/>
    <w:rsid w:val="00E70F5F"/>
    <w:rsid w:val="00E70F75"/>
    <w:rsid w:val="00E7100F"/>
    <w:rsid w:val="00E710A9"/>
    <w:rsid w:val="00E711B6"/>
    <w:rsid w:val="00E711D6"/>
    <w:rsid w:val="00E71238"/>
    <w:rsid w:val="00E71306"/>
    <w:rsid w:val="00E7130A"/>
    <w:rsid w:val="00E713A9"/>
    <w:rsid w:val="00E713DC"/>
    <w:rsid w:val="00E715BB"/>
    <w:rsid w:val="00E715D9"/>
    <w:rsid w:val="00E715DD"/>
    <w:rsid w:val="00E716CE"/>
    <w:rsid w:val="00E7187F"/>
    <w:rsid w:val="00E718B2"/>
    <w:rsid w:val="00E7190E"/>
    <w:rsid w:val="00E71922"/>
    <w:rsid w:val="00E71925"/>
    <w:rsid w:val="00E71926"/>
    <w:rsid w:val="00E719E6"/>
    <w:rsid w:val="00E719F0"/>
    <w:rsid w:val="00E71A60"/>
    <w:rsid w:val="00E71ACE"/>
    <w:rsid w:val="00E71BF5"/>
    <w:rsid w:val="00E71C5C"/>
    <w:rsid w:val="00E71CDB"/>
    <w:rsid w:val="00E71D08"/>
    <w:rsid w:val="00E71E09"/>
    <w:rsid w:val="00E71ECA"/>
    <w:rsid w:val="00E71ED5"/>
    <w:rsid w:val="00E71F47"/>
    <w:rsid w:val="00E7205C"/>
    <w:rsid w:val="00E720A2"/>
    <w:rsid w:val="00E720AE"/>
    <w:rsid w:val="00E721A8"/>
    <w:rsid w:val="00E722E8"/>
    <w:rsid w:val="00E72406"/>
    <w:rsid w:val="00E72445"/>
    <w:rsid w:val="00E72459"/>
    <w:rsid w:val="00E7249C"/>
    <w:rsid w:val="00E724CA"/>
    <w:rsid w:val="00E724E4"/>
    <w:rsid w:val="00E724F4"/>
    <w:rsid w:val="00E724F7"/>
    <w:rsid w:val="00E72506"/>
    <w:rsid w:val="00E72539"/>
    <w:rsid w:val="00E7253C"/>
    <w:rsid w:val="00E725BC"/>
    <w:rsid w:val="00E727B2"/>
    <w:rsid w:val="00E72A16"/>
    <w:rsid w:val="00E72A54"/>
    <w:rsid w:val="00E72AE5"/>
    <w:rsid w:val="00E72AF8"/>
    <w:rsid w:val="00E72B82"/>
    <w:rsid w:val="00E72CCB"/>
    <w:rsid w:val="00E72EB7"/>
    <w:rsid w:val="00E72F84"/>
    <w:rsid w:val="00E73097"/>
    <w:rsid w:val="00E73105"/>
    <w:rsid w:val="00E731B0"/>
    <w:rsid w:val="00E73218"/>
    <w:rsid w:val="00E732D2"/>
    <w:rsid w:val="00E7330E"/>
    <w:rsid w:val="00E73315"/>
    <w:rsid w:val="00E73343"/>
    <w:rsid w:val="00E73345"/>
    <w:rsid w:val="00E733AD"/>
    <w:rsid w:val="00E7350A"/>
    <w:rsid w:val="00E73566"/>
    <w:rsid w:val="00E735B8"/>
    <w:rsid w:val="00E735D0"/>
    <w:rsid w:val="00E73632"/>
    <w:rsid w:val="00E736C4"/>
    <w:rsid w:val="00E73714"/>
    <w:rsid w:val="00E737B4"/>
    <w:rsid w:val="00E737E4"/>
    <w:rsid w:val="00E73803"/>
    <w:rsid w:val="00E7384F"/>
    <w:rsid w:val="00E73871"/>
    <w:rsid w:val="00E7390F"/>
    <w:rsid w:val="00E73929"/>
    <w:rsid w:val="00E73945"/>
    <w:rsid w:val="00E739FD"/>
    <w:rsid w:val="00E73B9E"/>
    <w:rsid w:val="00E73BE9"/>
    <w:rsid w:val="00E73C5D"/>
    <w:rsid w:val="00E73C85"/>
    <w:rsid w:val="00E73CE7"/>
    <w:rsid w:val="00E73E5F"/>
    <w:rsid w:val="00E73F50"/>
    <w:rsid w:val="00E73F91"/>
    <w:rsid w:val="00E73FD1"/>
    <w:rsid w:val="00E73FDA"/>
    <w:rsid w:val="00E7403F"/>
    <w:rsid w:val="00E74160"/>
    <w:rsid w:val="00E74242"/>
    <w:rsid w:val="00E7426B"/>
    <w:rsid w:val="00E74328"/>
    <w:rsid w:val="00E743C4"/>
    <w:rsid w:val="00E744F5"/>
    <w:rsid w:val="00E7453E"/>
    <w:rsid w:val="00E74645"/>
    <w:rsid w:val="00E74648"/>
    <w:rsid w:val="00E74713"/>
    <w:rsid w:val="00E747CC"/>
    <w:rsid w:val="00E747D2"/>
    <w:rsid w:val="00E747EF"/>
    <w:rsid w:val="00E7486D"/>
    <w:rsid w:val="00E748BF"/>
    <w:rsid w:val="00E74991"/>
    <w:rsid w:val="00E749BD"/>
    <w:rsid w:val="00E74A00"/>
    <w:rsid w:val="00E74A88"/>
    <w:rsid w:val="00E74A8D"/>
    <w:rsid w:val="00E74AA2"/>
    <w:rsid w:val="00E74BB1"/>
    <w:rsid w:val="00E74C25"/>
    <w:rsid w:val="00E74C85"/>
    <w:rsid w:val="00E74CEE"/>
    <w:rsid w:val="00E74D7A"/>
    <w:rsid w:val="00E74DC1"/>
    <w:rsid w:val="00E74E27"/>
    <w:rsid w:val="00E74E33"/>
    <w:rsid w:val="00E74E42"/>
    <w:rsid w:val="00E74E69"/>
    <w:rsid w:val="00E74EBC"/>
    <w:rsid w:val="00E74EC6"/>
    <w:rsid w:val="00E74F24"/>
    <w:rsid w:val="00E74F5F"/>
    <w:rsid w:val="00E75023"/>
    <w:rsid w:val="00E75077"/>
    <w:rsid w:val="00E750EC"/>
    <w:rsid w:val="00E750FB"/>
    <w:rsid w:val="00E75161"/>
    <w:rsid w:val="00E7518C"/>
    <w:rsid w:val="00E75411"/>
    <w:rsid w:val="00E7544A"/>
    <w:rsid w:val="00E75596"/>
    <w:rsid w:val="00E755B2"/>
    <w:rsid w:val="00E75639"/>
    <w:rsid w:val="00E75656"/>
    <w:rsid w:val="00E756C6"/>
    <w:rsid w:val="00E7570B"/>
    <w:rsid w:val="00E75716"/>
    <w:rsid w:val="00E75805"/>
    <w:rsid w:val="00E75831"/>
    <w:rsid w:val="00E758B2"/>
    <w:rsid w:val="00E758F9"/>
    <w:rsid w:val="00E75914"/>
    <w:rsid w:val="00E75968"/>
    <w:rsid w:val="00E759AB"/>
    <w:rsid w:val="00E759B9"/>
    <w:rsid w:val="00E75AA8"/>
    <w:rsid w:val="00E75AE5"/>
    <w:rsid w:val="00E75B0F"/>
    <w:rsid w:val="00E75C4D"/>
    <w:rsid w:val="00E75C60"/>
    <w:rsid w:val="00E75CA4"/>
    <w:rsid w:val="00E75CD5"/>
    <w:rsid w:val="00E75D6E"/>
    <w:rsid w:val="00E75E89"/>
    <w:rsid w:val="00E75F59"/>
    <w:rsid w:val="00E75F5D"/>
    <w:rsid w:val="00E763CF"/>
    <w:rsid w:val="00E764D1"/>
    <w:rsid w:val="00E7661E"/>
    <w:rsid w:val="00E76622"/>
    <w:rsid w:val="00E76679"/>
    <w:rsid w:val="00E766A2"/>
    <w:rsid w:val="00E76709"/>
    <w:rsid w:val="00E76722"/>
    <w:rsid w:val="00E7674E"/>
    <w:rsid w:val="00E7677F"/>
    <w:rsid w:val="00E76815"/>
    <w:rsid w:val="00E7689B"/>
    <w:rsid w:val="00E7690D"/>
    <w:rsid w:val="00E76947"/>
    <w:rsid w:val="00E7694C"/>
    <w:rsid w:val="00E7695F"/>
    <w:rsid w:val="00E769B5"/>
    <w:rsid w:val="00E769CF"/>
    <w:rsid w:val="00E76A3A"/>
    <w:rsid w:val="00E76A77"/>
    <w:rsid w:val="00E76AD6"/>
    <w:rsid w:val="00E76B30"/>
    <w:rsid w:val="00E76B66"/>
    <w:rsid w:val="00E76BB5"/>
    <w:rsid w:val="00E76BC7"/>
    <w:rsid w:val="00E76C5B"/>
    <w:rsid w:val="00E76CDC"/>
    <w:rsid w:val="00E76E0E"/>
    <w:rsid w:val="00E76E12"/>
    <w:rsid w:val="00E76E45"/>
    <w:rsid w:val="00E7705E"/>
    <w:rsid w:val="00E771A3"/>
    <w:rsid w:val="00E771BD"/>
    <w:rsid w:val="00E771C6"/>
    <w:rsid w:val="00E7724B"/>
    <w:rsid w:val="00E77324"/>
    <w:rsid w:val="00E77351"/>
    <w:rsid w:val="00E77377"/>
    <w:rsid w:val="00E77411"/>
    <w:rsid w:val="00E77472"/>
    <w:rsid w:val="00E7749B"/>
    <w:rsid w:val="00E774B1"/>
    <w:rsid w:val="00E774D8"/>
    <w:rsid w:val="00E77507"/>
    <w:rsid w:val="00E77563"/>
    <w:rsid w:val="00E77566"/>
    <w:rsid w:val="00E775FD"/>
    <w:rsid w:val="00E77607"/>
    <w:rsid w:val="00E77656"/>
    <w:rsid w:val="00E77734"/>
    <w:rsid w:val="00E7774B"/>
    <w:rsid w:val="00E7778A"/>
    <w:rsid w:val="00E77817"/>
    <w:rsid w:val="00E77851"/>
    <w:rsid w:val="00E778C0"/>
    <w:rsid w:val="00E778D3"/>
    <w:rsid w:val="00E779B5"/>
    <w:rsid w:val="00E77A1C"/>
    <w:rsid w:val="00E77A54"/>
    <w:rsid w:val="00E77A80"/>
    <w:rsid w:val="00E77ADF"/>
    <w:rsid w:val="00E77B43"/>
    <w:rsid w:val="00E77B8F"/>
    <w:rsid w:val="00E77C7B"/>
    <w:rsid w:val="00E77CF5"/>
    <w:rsid w:val="00E77D01"/>
    <w:rsid w:val="00E77D11"/>
    <w:rsid w:val="00E77D3E"/>
    <w:rsid w:val="00E77D5E"/>
    <w:rsid w:val="00E77E4F"/>
    <w:rsid w:val="00E77E95"/>
    <w:rsid w:val="00E77EC7"/>
    <w:rsid w:val="00E77EFB"/>
    <w:rsid w:val="00E77F6D"/>
    <w:rsid w:val="00E77FA3"/>
    <w:rsid w:val="00E77FB0"/>
    <w:rsid w:val="00E77FCC"/>
    <w:rsid w:val="00E80023"/>
    <w:rsid w:val="00E80042"/>
    <w:rsid w:val="00E800E9"/>
    <w:rsid w:val="00E801E4"/>
    <w:rsid w:val="00E80229"/>
    <w:rsid w:val="00E8025A"/>
    <w:rsid w:val="00E8031A"/>
    <w:rsid w:val="00E803D1"/>
    <w:rsid w:val="00E804FF"/>
    <w:rsid w:val="00E80512"/>
    <w:rsid w:val="00E80547"/>
    <w:rsid w:val="00E8061C"/>
    <w:rsid w:val="00E8067F"/>
    <w:rsid w:val="00E80700"/>
    <w:rsid w:val="00E8077B"/>
    <w:rsid w:val="00E807B7"/>
    <w:rsid w:val="00E807EB"/>
    <w:rsid w:val="00E80832"/>
    <w:rsid w:val="00E80883"/>
    <w:rsid w:val="00E808C2"/>
    <w:rsid w:val="00E80936"/>
    <w:rsid w:val="00E80982"/>
    <w:rsid w:val="00E8099A"/>
    <w:rsid w:val="00E809D0"/>
    <w:rsid w:val="00E809EC"/>
    <w:rsid w:val="00E80A79"/>
    <w:rsid w:val="00E80BD4"/>
    <w:rsid w:val="00E80BE5"/>
    <w:rsid w:val="00E80BFB"/>
    <w:rsid w:val="00E80EC0"/>
    <w:rsid w:val="00E80EFC"/>
    <w:rsid w:val="00E8110C"/>
    <w:rsid w:val="00E8110E"/>
    <w:rsid w:val="00E812B4"/>
    <w:rsid w:val="00E812BD"/>
    <w:rsid w:val="00E812C9"/>
    <w:rsid w:val="00E81388"/>
    <w:rsid w:val="00E813AB"/>
    <w:rsid w:val="00E81456"/>
    <w:rsid w:val="00E814D7"/>
    <w:rsid w:val="00E817AA"/>
    <w:rsid w:val="00E8190A"/>
    <w:rsid w:val="00E81974"/>
    <w:rsid w:val="00E81A95"/>
    <w:rsid w:val="00E81B04"/>
    <w:rsid w:val="00E81C13"/>
    <w:rsid w:val="00E81C3D"/>
    <w:rsid w:val="00E81CC0"/>
    <w:rsid w:val="00E81DA9"/>
    <w:rsid w:val="00E81DB0"/>
    <w:rsid w:val="00E81F12"/>
    <w:rsid w:val="00E81F15"/>
    <w:rsid w:val="00E81F1F"/>
    <w:rsid w:val="00E81F57"/>
    <w:rsid w:val="00E81F6A"/>
    <w:rsid w:val="00E81F9C"/>
    <w:rsid w:val="00E82070"/>
    <w:rsid w:val="00E821C2"/>
    <w:rsid w:val="00E821CA"/>
    <w:rsid w:val="00E82344"/>
    <w:rsid w:val="00E8235D"/>
    <w:rsid w:val="00E82381"/>
    <w:rsid w:val="00E82398"/>
    <w:rsid w:val="00E823FD"/>
    <w:rsid w:val="00E8248A"/>
    <w:rsid w:val="00E8249E"/>
    <w:rsid w:val="00E824AF"/>
    <w:rsid w:val="00E827D2"/>
    <w:rsid w:val="00E8286D"/>
    <w:rsid w:val="00E82878"/>
    <w:rsid w:val="00E8287B"/>
    <w:rsid w:val="00E828D9"/>
    <w:rsid w:val="00E82977"/>
    <w:rsid w:val="00E829EC"/>
    <w:rsid w:val="00E82B76"/>
    <w:rsid w:val="00E82BF6"/>
    <w:rsid w:val="00E82BFB"/>
    <w:rsid w:val="00E82C37"/>
    <w:rsid w:val="00E82D16"/>
    <w:rsid w:val="00E82E6E"/>
    <w:rsid w:val="00E82EE5"/>
    <w:rsid w:val="00E82EFB"/>
    <w:rsid w:val="00E83040"/>
    <w:rsid w:val="00E8308C"/>
    <w:rsid w:val="00E83098"/>
    <w:rsid w:val="00E830B8"/>
    <w:rsid w:val="00E83209"/>
    <w:rsid w:val="00E83358"/>
    <w:rsid w:val="00E8338A"/>
    <w:rsid w:val="00E833D9"/>
    <w:rsid w:val="00E83464"/>
    <w:rsid w:val="00E83471"/>
    <w:rsid w:val="00E83530"/>
    <w:rsid w:val="00E83542"/>
    <w:rsid w:val="00E835DB"/>
    <w:rsid w:val="00E835ED"/>
    <w:rsid w:val="00E83651"/>
    <w:rsid w:val="00E83696"/>
    <w:rsid w:val="00E836C4"/>
    <w:rsid w:val="00E83798"/>
    <w:rsid w:val="00E838BB"/>
    <w:rsid w:val="00E83905"/>
    <w:rsid w:val="00E839A9"/>
    <w:rsid w:val="00E83A3A"/>
    <w:rsid w:val="00E83AEC"/>
    <w:rsid w:val="00E83B80"/>
    <w:rsid w:val="00E83BC6"/>
    <w:rsid w:val="00E83C89"/>
    <w:rsid w:val="00E83C8C"/>
    <w:rsid w:val="00E83CF7"/>
    <w:rsid w:val="00E83CFA"/>
    <w:rsid w:val="00E83D2C"/>
    <w:rsid w:val="00E83D79"/>
    <w:rsid w:val="00E83E58"/>
    <w:rsid w:val="00E83F35"/>
    <w:rsid w:val="00E83FC5"/>
    <w:rsid w:val="00E84000"/>
    <w:rsid w:val="00E84260"/>
    <w:rsid w:val="00E8427D"/>
    <w:rsid w:val="00E84397"/>
    <w:rsid w:val="00E84408"/>
    <w:rsid w:val="00E8458A"/>
    <w:rsid w:val="00E8458D"/>
    <w:rsid w:val="00E845A6"/>
    <w:rsid w:val="00E846F9"/>
    <w:rsid w:val="00E84751"/>
    <w:rsid w:val="00E847D0"/>
    <w:rsid w:val="00E84869"/>
    <w:rsid w:val="00E8487D"/>
    <w:rsid w:val="00E849E8"/>
    <w:rsid w:val="00E84A14"/>
    <w:rsid w:val="00E84A93"/>
    <w:rsid w:val="00E84B23"/>
    <w:rsid w:val="00E84B58"/>
    <w:rsid w:val="00E84B84"/>
    <w:rsid w:val="00E84C46"/>
    <w:rsid w:val="00E84C54"/>
    <w:rsid w:val="00E84C79"/>
    <w:rsid w:val="00E84CCB"/>
    <w:rsid w:val="00E84D20"/>
    <w:rsid w:val="00E84D8D"/>
    <w:rsid w:val="00E84D98"/>
    <w:rsid w:val="00E84D9F"/>
    <w:rsid w:val="00E84E1C"/>
    <w:rsid w:val="00E84E4E"/>
    <w:rsid w:val="00E84EC4"/>
    <w:rsid w:val="00E84EF7"/>
    <w:rsid w:val="00E84F2B"/>
    <w:rsid w:val="00E84FA4"/>
    <w:rsid w:val="00E8500A"/>
    <w:rsid w:val="00E85066"/>
    <w:rsid w:val="00E8507E"/>
    <w:rsid w:val="00E850E7"/>
    <w:rsid w:val="00E85188"/>
    <w:rsid w:val="00E851C6"/>
    <w:rsid w:val="00E851E1"/>
    <w:rsid w:val="00E851F0"/>
    <w:rsid w:val="00E85229"/>
    <w:rsid w:val="00E8523E"/>
    <w:rsid w:val="00E852E6"/>
    <w:rsid w:val="00E85307"/>
    <w:rsid w:val="00E854AF"/>
    <w:rsid w:val="00E854EB"/>
    <w:rsid w:val="00E8555D"/>
    <w:rsid w:val="00E85595"/>
    <w:rsid w:val="00E856A6"/>
    <w:rsid w:val="00E856B8"/>
    <w:rsid w:val="00E856D1"/>
    <w:rsid w:val="00E8576B"/>
    <w:rsid w:val="00E857BF"/>
    <w:rsid w:val="00E8589D"/>
    <w:rsid w:val="00E85993"/>
    <w:rsid w:val="00E85A51"/>
    <w:rsid w:val="00E85B0A"/>
    <w:rsid w:val="00E85CE2"/>
    <w:rsid w:val="00E85CE9"/>
    <w:rsid w:val="00E85D38"/>
    <w:rsid w:val="00E85E5B"/>
    <w:rsid w:val="00E85E7E"/>
    <w:rsid w:val="00E85EE4"/>
    <w:rsid w:val="00E85EF0"/>
    <w:rsid w:val="00E85FCB"/>
    <w:rsid w:val="00E85FE3"/>
    <w:rsid w:val="00E86008"/>
    <w:rsid w:val="00E8608C"/>
    <w:rsid w:val="00E86105"/>
    <w:rsid w:val="00E8614A"/>
    <w:rsid w:val="00E86166"/>
    <w:rsid w:val="00E861A9"/>
    <w:rsid w:val="00E86254"/>
    <w:rsid w:val="00E86326"/>
    <w:rsid w:val="00E863C8"/>
    <w:rsid w:val="00E86409"/>
    <w:rsid w:val="00E86493"/>
    <w:rsid w:val="00E865B7"/>
    <w:rsid w:val="00E8674C"/>
    <w:rsid w:val="00E86796"/>
    <w:rsid w:val="00E8683C"/>
    <w:rsid w:val="00E868FE"/>
    <w:rsid w:val="00E86944"/>
    <w:rsid w:val="00E86959"/>
    <w:rsid w:val="00E86970"/>
    <w:rsid w:val="00E869D1"/>
    <w:rsid w:val="00E86A76"/>
    <w:rsid w:val="00E86A77"/>
    <w:rsid w:val="00E86AD7"/>
    <w:rsid w:val="00E86AE7"/>
    <w:rsid w:val="00E86C4F"/>
    <w:rsid w:val="00E86D28"/>
    <w:rsid w:val="00E86D65"/>
    <w:rsid w:val="00E86D7E"/>
    <w:rsid w:val="00E86E9E"/>
    <w:rsid w:val="00E86EE8"/>
    <w:rsid w:val="00E86FB9"/>
    <w:rsid w:val="00E8704A"/>
    <w:rsid w:val="00E87053"/>
    <w:rsid w:val="00E87212"/>
    <w:rsid w:val="00E87240"/>
    <w:rsid w:val="00E8724F"/>
    <w:rsid w:val="00E872FF"/>
    <w:rsid w:val="00E8732E"/>
    <w:rsid w:val="00E8748B"/>
    <w:rsid w:val="00E8758B"/>
    <w:rsid w:val="00E876CE"/>
    <w:rsid w:val="00E87738"/>
    <w:rsid w:val="00E877F3"/>
    <w:rsid w:val="00E87842"/>
    <w:rsid w:val="00E878E5"/>
    <w:rsid w:val="00E8798B"/>
    <w:rsid w:val="00E87A40"/>
    <w:rsid w:val="00E87A9E"/>
    <w:rsid w:val="00E87AAE"/>
    <w:rsid w:val="00E87B3A"/>
    <w:rsid w:val="00E87BE1"/>
    <w:rsid w:val="00E87EE9"/>
    <w:rsid w:val="00E87FA3"/>
    <w:rsid w:val="00E87FF4"/>
    <w:rsid w:val="00E900DB"/>
    <w:rsid w:val="00E9017F"/>
    <w:rsid w:val="00E90185"/>
    <w:rsid w:val="00E9024E"/>
    <w:rsid w:val="00E9026F"/>
    <w:rsid w:val="00E902B2"/>
    <w:rsid w:val="00E903C2"/>
    <w:rsid w:val="00E9045D"/>
    <w:rsid w:val="00E904FC"/>
    <w:rsid w:val="00E90517"/>
    <w:rsid w:val="00E9052C"/>
    <w:rsid w:val="00E905B5"/>
    <w:rsid w:val="00E906A2"/>
    <w:rsid w:val="00E90857"/>
    <w:rsid w:val="00E90860"/>
    <w:rsid w:val="00E90862"/>
    <w:rsid w:val="00E908D2"/>
    <w:rsid w:val="00E909B2"/>
    <w:rsid w:val="00E909E0"/>
    <w:rsid w:val="00E90AB8"/>
    <w:rsid w:val="00E90AEA"/>
    <w:rsid w:val="00E90B1C"/>
    <w:rsid w:val="00E90C12"/>
    <w:rsid w:val="00E90C30"/>
    <w:rsid w:val="00E90C53"/>
    <w:rsid w:val="00E90DA3"/>
    <w:rsid w:val="00E90DD9"/>
    <w:rsid w:val="00E90E31"/>
    <w:rsid w:val="00E90F2A"/>
    <w:rsid w:val="00E90F75"/>
    <w:rsid w:val="00E91082"/>
    <w:rsid w:val="00E91098"/>
    <w:rsid w:val="00E91179"/>
    <w:rsid w:val="00E911E6"/>
    <w:rsid w:val="00E912E3"/>
    <w:rsid w:val="00E91350"/>
    <w:rsid w:val="00E9135A"/>
    <w:rsid w:val="00E91398"/>
    <w:rsid w:val="00E91408"/>
    <w:rsid w:val="00E91425"/>
    <w:rsid w:val="00E9150E"/>
    <w:rsid w:val="00E91608"/>
    <w:rsid w:val="00E9162B"/>
    <w:rsid w:val="00E9164A"/>
    <w:rsid w:val="00E91706"/>
    <w:rsid w:val="00E91793"/>
    <w:rsid w:val="00E91897"/>
    <w:rsid w:val="00E918D3"/>
    <w:rsid w:val="00E91943"/>
    <w:rsid w:val="00E91A80"/>
    <w:rsid w:val="00E91AAE"/>
    <w:rsid w:val="00E91AFE"/>
    <w:rsid w:val="00E91B29"/>
    <w:rsid w:val="00E91B92"/>
    <w:rsid w:val="00E91BD4"/>
    <w:rsid w:val="00E91D8F"/>
    <w:rsid w:val="00E91E03"/>
    <w:rsid w:val="00E91E8F"/>
    <w:rsid w:val="00E91EB9"/>
    <w:rsid w:val="00E91EC5"/>
    <w:rsid w:val="00E91FBB"/>
    <w:rsid w:val="00E9202D"/>
    <w:rsid w:val="00E9202F"/>
    <w:rsid w:val="00E92039"/>
    <w:rsid w:val="00E920DC"/>
    <w:rsid w:val="00E92136"/>
    <w:rsid w:val="00E9219D"/>
    <w:rsid w:val="00E921C3"/>
    <w:rsid w:val="00E922EF"/>
    <w:rsid w:val="00E92316"/>
    <w:rsid w:val="00E924A6"/>
    <w:rsid w:val="00E924A9"/>
    <w:rsid w:val="00E9256D"/>
    <w:rsid w:val="00E92577"/>
    <w:rsid w:val="00E9258F"/>
    <w:rsid w:val="00E92593"/>
    <w:rsid w:val="00E9268A"/>
    <w:rsid w:val="00E926F3"/>
    <w:rsid w:val="00E9270D"/>
    <w:rsid w:val="00E92763"/>
    <w:rsid w:val="00E92798"/>
    <w:rsid w:val="00E927AB"/>
    <w:rsid w:val="00E92834"/>
    <w:rsid w:val="00E928B7"/>
    <w:rsid w:val="00E928DE"/>
    <w:rsid w:val="00E9292E"/>
    <w:rsid w:val="00E92975"/>
    <w:rsid w:val="00E92988"/>
    <w:rsid w:val="00E92992"/>
    <w:rsid w:val="00E929B7"/>
    <w:rsid w:val="00E929FE"/>
    <w:rsid w:val="00E92A3E"/>
    <w:rsid w:val="00E92A50"/>
    <w:rsid w:val="00E92AC2"/>
    <w:rsid w:val="00E92B10"/>
    <w:rsid w:val="00E92BF3"/>
    <w:rsid w:val="00E92C1A"/>
    <w:rsid w:val="00E92C7D"/>
    <w:rsid w:val="00E92C8F"/>
    <w:rsid w:val="00E92C99"/>
    <w:rsid w:val="00E92CAE"/>
    <w:rsid w:val="00E92D18"/>
    <w:rsid w:val="00E92D61"/>
    <w:rsid w:val="00E92D83"/>
    <w:rsid w:val="00E92E07"/>
    <w:rsid w:val="00E92E80"/>
    <w:rsid w:val="00E93009"/>
    <w:rsid w:val="00E9318A"/>
    <w:rsid w:val="00E931A6"/>
    <w:rsid w:val="00E9324E"/>
    <w:rsid w:val="00E9333C"/>
    <w:rsid w:val="00E933A5"/>
    <w:rsid w:val="00E933CD"/>
    <w:rsid w:val="00E93475"/>
    <w:rsid w:val="00E93488"/>
    <w:rsid w:val="00E93536"/>
    <w:rsid w:val="00E93565"/>
    <w:rsid w:val="00E935F8"/>
    <w:rsid w:val="00E935FA"/>
    <w:rsid w:val="00E93629"/>
    <w:rsid w:val="00E9362B"/>
    <w:rsid w:val="00E93730"/>
    <w:rsid w:val="00E93746"/>
    <w:rsid w:val="00E9382F"/>
    <w:rsid w:val="00E93887"/>
    <w:rsid w:val="00E938A6"/>
    <w:rsid w:val="00E93956"/>
    <w:rsid w:val="00E939FA"/>
    <w:rsid w:val="00E93ABD"/>
    <w:rsid w:val="00E93B31"/>
    <w:rsid w:val="00E93B5D"/>
    <w:rsid w:val="00E93BAB"/>
    <w:rsid w:val="00E93C3B"/>
    <w:rsid w:val="00E93CE6"/>
    <w:rsid w:val="00E93D06"/>
    <w:rsid w:val="00E93D85"/>
    <w:rsid w:val="00E93D90"/>
    <w:rsid w:val="00E93DE9"/>
    <w:rsid w:val="00E93E39"/>
    <w:rsid w:val="00E93E98"/>
    <w:rsid w:val="00E93F15"/>
    <w:rsid w:val="00E93FCC"/>
    <w:rsid w:val="00E940DB"/>
    <w:rsid w:val="00E9410F"/>
    <w:rsid w:val="00E94139"/>
    <w:rsid w:val="00E94176"/>
    <w:rsid w:val="00E941C0"/>
    <w:rsid w:val="00E941CE"/>
    <w:rsid w:val="00E942B0"/>
    <w:rsid w:val="00E9430A"/>
    <w:rsid w:val="00E9430E"/>
    <w:rsid w:val="00E94325"/>
    <w:rsid w:val="00E94389"/>
    <w:rsid w:val="00E943E8"/>
    <w:rsid w:val="00E944E4"/>
    <w:rsid w:val="00E9452F"/>
    <w:rsid w:val="00E9461C"/>
    <w:rsid w:val="00E94751"/>
    <w:rsid w:val="00E94791"/>
    <w:rsid w:val="00E947B4"/>
    <w:rsid w:val="00E947BA"/>
    <w:rsid w:val="00E947C7"/>
    <w:rsid w:val="00E947D2"/>
    <w:rsid w:val="00E947E9"/>
    <w:rsid w:val="00E94848"/>
    <w:rsid w:val="00E948D4"/>
    <w:rsid w:val="00E94972"/>
    <w:rsid w:val="00E949CD"/>
    <w:rsid w:val="00E94A24"/>
    <w:rsid w:val="00E94ABA"/>
    <w:rsid w:val="00E94BE1"/>
    <w:rsid w:val="00E94BE6"/>
    <w:rsid w:val="00E94CAC"/>
    <w:rsid w:val="00E94D8F"/>
    <w:rsid w:val="00E94DBD"/>
    <w:rsid w:val="00E94E1E"/>
    <w:rsid w:val="00E94F7C"/>
    <w:rsid w:val="00E94FB6"/>
    <w:rsid w:val="00E95038"/>
    <w:rsid w:val="00E9513B"/>
    <w:rsid w:val="00E9517F"/>
    <w:rsid w:val="00E9518A"/>
    <w:rsid w:val="00E951B3"/>
    <w:rsid w:val="00E951B4"/>
    <w:rsid w:val="00E9522E"/>
    <w:rsid w:val="00E9527A"/>
    <w:rsid w:val="00E9533A"/>
    <w:rsid w:val="00E9535C"/>
    <w:rsid w:val="00E9544E"/>
    <w:rsid w:val="00E9565C"/>
    <w:rsid w:val="00E95727"/>
    <w:rsid w:val="00E95771"/>
    <w:rsid w:val="00E957B3"/>
    <w:rsid w:val="00E957C6"/>
    <w:rsid w:val="00E957D4"/>
    <w:rsid w:val="00E9585E"/>
    <w:rsid w:val="00E95886"/>
    <w:rsid w:val="00E958E9"/>
    <w:rsid w:val="00E95946"/>
    <w:rsid w:val="00E95979"/>
    <w:rsid w:val="00E9598C"/>
    <w:rsid w:val="00E95A98"/>
    <w:rsid w:val="00E95B28"/>
    <w:rsid w:val="00E95D19"/>
    <w:rsid w:val="00E95DA1"/>
    <w:rsid w:val="00E95DA7"/>
    <w:rsid w:val="00E95E34"/>
    <w:rsid w:val="00E95EF7"/>
    <w:rsid w:val="00E95F69"/>
    <w:rsid w:val="00E95F76"/>
    <w:rsid w:val="00E9600E"/>
    <w:rsid w:val="00E96037"/>
    <w:rsid w:val="00E96125"/>
    <w:rsid w:val="00E96222"/>
    <w:rsid w:val="00E962B8"/>
    <w:rsid w:val="00E96331"/>
    <w:rsid w:val="00E9644D"/>
    <w:rsid w:val="00E964D8"/>
    <w:rsid w:val="00E9654D"/>
    <w:rsid w:val="00E96689"/>
    <w:rsid w:val="00E966A9"/>
    <w:rsid w:val="00E96808"/>
    <w:rsid w:val="00E9682D"/>
    <w:rsid w:val="00E9683F"/>
    <w:rsid w:val="00E96890"/>
    <w:rsid w:val="00E96950"/>
    <w:rsid w:val="00E969DD"/>
    <w:rsid w:val="00E96A57"/>
    <w:rsid w:val="00E96B54"/>
    <w:rsid w:val="00E96CB9"/>
    <w:rsid w:val="00E96D3D"/>
    <w:rsid w:val="00E96D5D"/>
    <w:rsid w:val="00E96DBD"/>
    <w:rsid w:val="00E96E87"/>
    <w:rsid w:val="00E96EB9"/>
    <w:rsid w:val="00E96F93"/>
    <w:rsid w:val="00E96FCF"/>
    <w:rsid w:val="00E9701B"/>
    <w:rsid w:val="00E9706A"/>
    <w:rsid w:val="00E9709E"/>
    <w:rsid w:val="00E971AC"/>
    <w:rsid w:val="00E97287"/>
    <w:rsid w:val="00E972AD"/>
    <w:rsid w:val="00E97315"/>
    <w:rsid w:val="00E9731E"/>
    <w:rsid w:val="00E9733D"/>
    <w:rsid w:val="00E97451"/>
    <w:rsid w:val="00E975A1"/>
    <w:rsid w:val="00E97607"/>
    <w:rsid w:val="00E97627"/>
    <w:rsid w:val="00E977D5"/>
    <w:rsid w:val="00E977E6"/>
    <w:rsid w:val="00E97835"/>
    <w:rsid w:val="00E978BF"/>
    <w:rsid w:val="00E978EA"/>
    <w:rsid w:val="00E97910"/>
    <w:rsid w:val="00E97A41"/>
    <w:rsid w:val="00E97A5D"/>
    <w:rsid w:val="00E97A82"/>
    <w:rsid w:val="00E97ACC"/>
    <w:rsid w:val="00E97BDC"/>
    <w:rsid w:val="00E97C35"/>
    <w:rsid w:val="00E97CF5"/>
    <w:rsid w:val="00E97D23"/>
    <w:rsid w:val="00E97E61"/>
    <w:rsid w:val="00E97FA1"/>
    <w:rsid w:val="00E97FB9"/>
    <w:rsid w:val="00E984AD"/>
    <w:rsid w:val="00EA00C9"/>
    <w:rsid w:val="00EA0200"/>
    <w:rsid w:val="00EA0205"/>
    <w:rsid w:val="00EA0275"/>
    <w:rsid w:val="00EA02D4"/>
    <w:rsid w:val="00EA02FB"/>
    <w:rsid w:val="00EA042B"/>
    <w:rsid w:val="00EA04CC"/>
    <w:rsid w:val="00EA04D5"/>
    <w:rsid w:val="00EA054B"/>
    <w:rsid w:val="00EA0615"/>
    <w:rsid w:val="00EA064B"/>
    <w:rsid w:val="00EA07C8"/>
    <w:rsid w:val="00EA07CB"/>
    <w:rsid w:val="00EA07E1"/>
    <w:rsid w:val="00EA07FA"/>
    <w:rsid w:val="00EA0808"/>
    <w:rsid w:val="00EA084C"/>
    <w:rsid w:val="00EA0886"/>
    <w:rsid w:val="00EA0891"/>
    <w:rsid w:val="00EA0991"/>
    <w:rsid w:val="00EA09CB"/>
    <w:rsid w:val="00EA0A04"/>
    <w:rsid w:val="00EA0A24"/>
    <w:rsid w:val="00EA0B15"/>
    <w:rsid w:val="00EA0B60"/>
    <w:rsid w:val="00EA0C30"/>
    <w:rsid w:val="00EA0C6E"/>
    <w:rsid w:val="00EA0C91"/>
    <w:rsid w:val="00EA0E0D"/>
    <w:rsid w:val="00EA0E1A"/>
    <w:rsid w:val="00EA0E50"/>
    <w:rsid w:val="00EA0F7C"/>
    <w:rsid w:val="00EA0FC9"/>
    <w:rsid w:val="00EA0FFF"/>
    <w:rsid w:val="00EA1004"/>
    <w:rsid w:val="00EA1007"/>
    <w:rsid w:val="00EA1124"/>
    <w:rsid w:val="00EA1157"/>
    <w:rsid w:val="00EA1167"/>
    <w:rsid w:val="00EA11B7"/>
    <w:rsid w:val="00EA1299"/>
    <w:rsid w:val="00EA12E3"/>
    <w:rsid w:val="00EA13E8"/>
    <w:rsid w:val="00EA14AF"/>
    <w:rsid w:val="00EA14C5"/>
    <w:rsid w:val="00EA1537"/>
    <w:rsid w:val="00EA15A4"/>
    <w:rsid w:val="00EA15BF"/>
    <w:rsid w:val="00EA15EC"/>
    <w:rsid w:val="00EA161D"/>
    <w:rsid w:val="00EA164D"/>
    <w:rsid w:val="00EA1684"/>
    <w:rsid w:val="00EA16F9"/>
    <w:rsid w:val="00EA1703"/>
    <w:rsid w:val="00EA1786"/>
    <w:rsid w:val="00EA17AA"/>
    <w:rsid w:val="00EA17E0"/>
    <w:rsid w:val="00EA186F"/>
    <w:rsid w:val="00EA1911"/>
    <w:rsid w:val="00EA1AEB"/>
    <w:rsid w:val="00EA1B39"/>
    <w:rsid w:val="00EA1B42"/>
    <w:rsid w:val="00EA1BB0"/>
    <w:rsid w:val="00EA1CC3"/>
    <w:rsid w:val="00EA1DD2"/>
    <w:rsid w:val="00EA1E09"/>
    <w:rsid w:val="00EA1E3C"/>
    <w:rsid w:val="00EA1FC8"/>
    <w:rsid w:val="00EA2031"/>
    <w:rsid w:val="00EA20C6"/>
    <w:rsid w:val="00EA2114"/>
    <w:rsid w:val="00EA219F"/>
    <w:rsid w:val="00EA227E"/>
    <w:rsid w:val="00EA227F"/>
    <w:rsid w:val="00EA22C8"/>
    <w:rsid w:val="00EA245E"/>
    <w:rsid w:val="00EA24EF"/>
    <w:rsid w:val="00EA258B"/>
    <w:rsid w:val="00EA25E7"/>
    <w:rsid w:val="00EA25F9"/>
    <w:rsid w:val="00EA26CC"/>
    <w:rsid w:val="00EA2751"/>
    <w:rsid w:val="00EA27EC"/>
    <w:rsid w:val="00EA28FC"/>
    <w:rsid w:val="00EA2925"/>
    <w:rsid w:val="00EA299F"/>
    <w:rsid w:val="00EA29DA"/>
    <w:rsid w:val="00EA2A6C"/>
    <w:rsid w:val="00EA2C56"/>
    <w:rsid w:val="00EA2C64"/>
    <w:rsid w:val="00EA2C84"/>
    <w:rsid w:val="00EA2CDF"/>
    <w:rsid w:val="00EA2E5A"/>
    <w:rsid w:val="00EA2E77"/>
    <w:rsid w:val="00EA2F49"/>
    <w:rsid w:val="00EA2FC9"/>
    <w:rsid w:val="00EA2FD2"/>
    <w:rsid w:val="00EA3181"/>
    <w:rsid w:val="00EA3190"/>
    <w:rsid w:val="00EA31CE"/>
    <w:rsid w:val="00EA31E4"/>
    <w:rsid w:val="00EA325C"/>
    <w:rsid w:val="00EA3269"/>
    <w:rsid w:val="00EA32B3"/>
    <w:rsid w:val="00EA336F"/>
    <w:rsid w:val="00EA33C4"/>
    <w:rsid w:val="00EA33F2"/>
    <w:rsid w:val="00EA341D"/>
    <w:rsid w:val="00EA3473"/>
    <w:rsid w:val="00EA348E"/>
    <w:rsid w:val="00EA34C9"/>
    <w:rsid w:val="00EA3504"/>
    <w:rsid w:val="00EA3632"/>
    <w:rsid w:val="00EA367E"/>
    <w:rsid w:val="00EA368B"/>
    <w:rsid w:val="00EA369D"/>
    <w:rsid w:val="00EA370D"/>
    <w:rsid w:val="00EA37ED"/>
    <w:rsid w:val="00EA38B2"/>
    <w:rsid w:val="00EA38B5"/>
    <w:rsid w:val="00EA38CF"/>
    <w:rsid w:val="00EA39CA"/>
    <w:rsid w:val="00EA3AB9"/>
    <w:rsid w:val="00EA3B6D"/>
    <w:rsid w:val="00EA3C50"/>
    <w:rsid w:val="00EA3D5E"/>
    <w:rsid w:val="00EA3D69"/>
    <w:rsid w:val="00EA3E73"/>
    <w:rsid w:val="00EA3EFD"/>
    <w:rsid w:val="00EA3F3B"/>
    <w:rsid w:val="00EA4179"/>
    <w:rsid w:val="00EA425E"/>
    <w:rsid w:val="00EA4265"/>
    <w:rsid w:val="00EA4283"/>
    <w:rsid w:val="00EA4336"/>
    <w:rsid w:val="00EA43C2"/>
    <w:rsid w:val="00EA451D"/>
    <w:rsid w:val="00EA4536"/>
    <w:rsid w:val="00EA465A"/>
    <w:rsid w:val="00EA4677"/>
    <w:rsid w:val="00EA46B5"/>
    <w:rsid w:val="00EA46C2"/>
    <w:rsid w:val="00EA46E9"/>
    <w:rsid w:val="00EA487B"/>
    <w:rsid w:val="00EA4941"/>
    <w:rsid w:val="00EA4A51"/>
    <w:rsid w:val="00EA4ABC"/>
    <w:rsid w:val="00EA4AE2"/>
    <w:rsid w:val="00EA4B32"/>
    <w:rsid w:val="00EA4B60"/>
    <w:rsid w:val="00EA4B61"/>
    <w:rsid w:val="00EA4C1E"/>
    <w:rsid w:val="00EA4C57"/>
    <w:rsid w:val="00EA4C5C"/>
    <w:rsid w:val="00EA4CC8"/>
    <w:rsid w:val="00EA4CE5"/>
    <w:rsid w:val="00EA4D6A"/>
    <w:rsid w:val="00EA4E4A"/>
    <w:rsid w:val="00EA4E6E"/>
    <w:rsid w:val="00EA4F11"/>
    <w:rsid w:val="00EA4F3F"/>
    <w:rsid w:val="00EA4F99"/>
    <w:rsid w:val="00EA4FA5"/>
    <w:rsid w:val="00EA50E4"/>
    <w:rsid w:val="00EA5103"/>
    <w:rsid w:val="00EA51AC"/>
    <w:rsid w:val="00EA51E0"/>
    <w:rsid w:val="00EA521B"/>
    <w:rsid w:val="00EA54D9"/>
    <w:rsid w:val="00EA54F3"/>
    <w:rsid w:val="00EA55BC"/>
    <w:rsid w:val="00EA5693"/>
    <w:rsid w:val="00EA5696"/>
    <w:rsid w:val="00EA56EA"/>
    <w:rsid w:val="00EA5703"/>
    <w:rsid w:val="00EA57AF"/>
    <w:rsid w:val="00EA580D"/>
    <w:rsid w:val="00EA5981"/>
    <w:rsid w:val="00EA59F8"/>
    <w:rsid w:val="00EA5A4E"/>
    <w:rsid w:val="00EA5A73"/>
    <w:rsid w:val="00EA5AC4"/>
    <w:rsid w:val="00EA5AD0"/>
    <w:rsid w:val="00EA5C1D"/>
    <w:rsid w:val="00EA5C65"/>
    <w:rsid w:val="00EA5CA3"/>
    <w:rsid w:val="00EA5D1D"/>
    <w:rsid w:val="00EA5D90"/>
    <w:rsid w:val="00EA5E6E"/>
    <w:rsid w:val="00EA5E8E"/>
    <w:rsid w:val="00EA5EB9"/>
    <w:rsid w:val="00EA5FD0"/>
    <w:rsid w:val="00EA6026"/>
    <w:rsid w:val="00EA60FE"/>
    <w:rsid w:val="00EA618E"/>
    <w:rsid w:val="00EA6276"/>
    <w:rsid w:val="00EA6388"/>
    <w:rsid w:val="00EA63D8"/>
    <w:rsid w:val="00EA6429"/>
    <w:rsid w:val="00EA644A"/>
    <w:rsid w:val="00EA64CD"/>
    <w:rsid w:val="00EA6550"/>
    <w:rsid w:val="00EA655E"/>
    <w:rsid w:val="00EA6712"/>
    <w:rsid w:val="00EA672E"/>
    <w:rsid w:val="00EA676C"/>
    <w:rsid w:val="00EA6A6C"/>
    <w:rsid w:val="00EA6A77"/>
    <w:rsid w:val="00EA6AEC"/>
    <w:rsid w:val="00EA6B3E"/>
    <w:rsid w:val="00EA6B58"/>
    <w:rsid w:val="00EA6C37"/>
    <w:rsid w:val="00EA6C3A"/>
    <w:rsid w:val="00EA6CB6"/>
    <w:rsid w:val="00EA6CD9"/>
    <w:rsid w:val="00EA6CE1"/>
    <w:rsid w:val="00EA6DF5"/>
    <w:rsid w:val="00EA6F0E"/>
    <w:rsid w:val="00EA6F7C"/>
    <w:rsid w:val="00EA70D8"/>
    <w:rsid w:val="00EA7118"/>
    <w:rsid w:val="00EA7158"/>
    <w:rsid w:val="00EA7187"/>
    <w:rsid w:val="00EA7247"/>
    <w:rsid w:val="00EA72D5"/>
    <w:rsid w:val="00EA7354"/>
    <w:rsid w:val="00EA7372"/>
    <w:rsid w:val="00EA741F"/>
    <w:rsid w:val="00EA7465"/>
    <w:rsid w:val="00EA7519"/>
    <w:rsid w:val="00EA752D"/>
    <w:rsid w:val="00EA7534"/>
    <w:rsid w:val="00EA7630"/>
    <w:rsid w:val="00EA7636"/>
    <w:rsid w:val="00EA76D9"/>
    <w:rsid w:val="00EA76F0"/>
    <w:rsid w:val="00EA7700"/>
    <w:rsid w:val="00EA7708"/>
    <w:rsid w:val="00EA771F"/>
    <w:rsid w:val="00EA772A"/>
    <w:rsid w:val="00EA7770"/>
    <w:rsid w:val="00EA77AC"/>
    <w:rsid w:val="00EA78F8"/>
    <w:rsid w:val="00EA7929"/>
    <w:rsid w:val="00EA7937"/>
    <w:rsid w:val="00EA7978"/>
    <w:rsid w:val="00EA79EE"/>
    <w:rsid w:val="00EA7A18"/>
    <w:rsid w:val="00EA7ACE"/>
    <w:rsid w:val="00EA7AE4"/>
    <w:rsid w:val="00EA7C20"/>
    <w:rsid w:val="00EA7CB2"/>
    <w:rsid w:val="00EA7D1E"/>
    <w:rsid w:val="00EA7D20"/>
    <w:rsid w:val="00EA7D84"/>
    <w:rsid w:val="00EA7E3B"/>
    <w:rsid w:val="00EA7E42"/>
    <w:rsid w:val="00EA7E49"/>
    <w:rsid w:val="00EA7F0C"/>
    <w:rsid w:val="00EA7F37"/>
    <w:rsid w:val="00EA7FD9"/>
    <w:rsid w:val="00EAF7A0"/>
    <w:rsid w:val="00EB0046"/>
    <w:rsid w:val="00EB005C"/>
    <w:rsid w:val="00EB0126"/>
    <w:rsid w:val="00EB0194"/>
    <w:rsid w:val="00EB0205"/>
    <w:rsid w:val="00EB0210"/>
    <w:rsid w:val="00EB039F"/>
    <w:rsid w:val="00EB03B4"/>
    <w:rsid w:val="00EB03B9"/>
    <w:rsid w:val="00EB0400"/>
    <w:rsid w:val="00EB046C"/>
    <w:rsid w:val="00EB04E8"/>
    <w:rsid w:val="00EB059D"/>
    <w:rsid w:val="00EB05AB"/>
    <w:rsid w:val="00EB05C9"/>
    <w:rsid w:val="00EB060A"/>
    <w:rsid w:val="00EB070B"/>
    <w:rsid w:val="00EB0791"/>
    <w:rsid w:val="00EB07A4"/>
    <w:rsid w:val="00EB0868"/>
    <w:rsid w:val="00EB08D3"/>
    <w:rsid w:val="00EB0949"/>
    <w:rsid w:val="00EB09E2"/>
    <w:rsid w:val="00EB0A32"/>
    <w:rsid w:val="00EB0B22"/>
    <w:rsid w:val="00EB0BB6"/>
    <w:rsid w:val="00EB0C03"/>
    <w:rsid w:val="00EB0C24"/>
    <w:rsid w:val="00EB0D4A"/>
    <w:rsid w:val="00EB0E5F"/>
    <w:rsid w:val="00EB0EB2"/>
    <w:rsid w:val="00EB0F78"/>
    <w:rsid w:val="00EB0FFE"/>
    <w:rsid w:val="00EB11A8"/>
    <w:rsid w:val="00EB11B9"/>
    <w:rsid w:val="00EB11F6"/>
    <w:rsid w:val="00EB1322"/>
    <w:rsid w:val="00EB135C"/>
    <w:rsid w:val="00EB1360"/>
    <w:rsid w:val="00EB13EF"/>
    <w:rsid w:val="00EB1404"/>
    <w:rsid w:val="00EB1416"/>
    <w:rsid w:val="00EB143C"/>
    <w:rsid w:val="00EB1570"/>
    <w:rsid w:val="00EB15AF"/>
    <w:rsid w:val="00EB1652"/>
    <w:rsid w:val="00EB1659"/>
    <w:rsid w:val="00EB1718"/>
    <w:rsid w:val="00EB1758"/>
    <w:rsid w:val="00EB193B"/>
    <w:rsid w:val="00EB19A1"/>
    <w:rsid w:val="00EB19F0"/>
    <w:rsid w:val="00EB19FC"/>
    <w:rsid w:val="00EB1B23"/>
    <w:rsid w:val="00EB1BC1"/>
    <w:rsid w:val="00EB1C7C"/>
    <w:rsid w:val="00EB1CF8"/>
    <w:rsid w:val="00EB1D01"/>
    <w:rsid w:val="00EB1D6E"/>
    <w:rsid w:val="00EB1D9A"/>
    <w:rsid w:val="00EB1E03"/>
    <w:rsid w:val="00EB1E7D"/>
    <w:rsid w:val="00EB1E8C"/>
    <w:rsid w:val="00EB1F27"/>
    <w:rsid w:val="00EB1FCB"/>
    <w:rsid w:val="00EB2071"/>
    <w:rsid w:val="00EB20DF"/>
    <w:rsid w:val="00EB2278"/>
    <w:rsid w:val="00EB227F"/>
    <w:rsid w:val="00EB22A2"/>
    <w:rsid w:val="00EB22CF"/>
    <w:rsid w:val="00EB2317"/>
    <w:rsid w:val="00EB23C0"/>
    <w:rsid w:val="00EB23C1"/>
    <w:rsid w:val="00EB24CD"/>
    <w:rsid w:val="00EB2520"/>
    <w:rsid w:val="00EB2537"/>
    <w:rsid w:val="00EB258C"/>
    <w:rsid w:val="00EB2593"/>
    <w:rsid w:val="00EB25A6"/>
    <w:rsid w:val="00EB25E1"/>
    <w:rsid w:val="00EB2690"/>
    <w:rsid w:val="00EB26AF"/>
    <w:rsid w:val="00EB26B7"/>
    <w:rsid w:val="00EB27CC"/>
    <w:rsid w:val="00EB28AC"/>
    <w:rsid w:val="00EB29B7"/>
    <w:rsid w:val="00EB2B02"/>
    <w:rsid w:val="00EB2B7D"/>
    <w:rsid w:val="00EB2BB7"/>
    <w:rsid w:val="00EB2C06"/>
    <w:rsid w:val="00EB2C3E"/>
    <w:rsid w:val="00EB2C87"/>
    <w:rsid w:val="00EB2CD8"/>
    <w:rsid w:val="00EB2DE4"/>
    <w:rsid w:val="00EB2E59"/>
    <w:rsid w:val="00EB2E5F"/>
    <w:rsid w:val="00EB2E7E"/>
    <w:rsid w:val="00EB2EA5"/>
    <w:rsid w:val="00EB2F0E"/>
    <w:rsid w:val="00EB2FAA"/>
    <w:rsid w:val="00EB302B"/>
    <w:rsid w:val="00EB30B6"/>
    <w:rsid w:val="00EB3141"/>
    <w:rsid w:val="00EB3265"/>
    <w:rsid w:val="00EB33E8"/>
    <w:rsid w:val="00EB344A"/>
    <w:rsid w:val="00EB34DB"/>
    <w:rsid w:val="00EB34DC"/>
    <w:rsid w:val="00EB350B"/>
    <w:rsid w:val="00EB3515"/>
    <w:rsid w:val="00EB351C"/>
    <w:rsid w:val="00EB356A"/>
    <w:rsid w:val="00EB3577"/>
    <w:rsid w:val="00EB359E"/>
    <w:rsid w:val="00EB35AA"/>
    <w:rsid w:val="00EB35C3"/>
    <w:rsid w:val="00EB3665"/>
    <w:rsid w:val="00EB36BF"/>
    <w:rsid w:val="00EB3729"/>
    <w:rsid w:val="00EB37E9"/>
    <w:rsid w:val="00EB3812"/>
    <w:rsid w:val="00EB38EB"/>
    <w:rsid w:val="00EB3921"/>
    <w:rsid w:val="00EB3961"/>
    <w:rsid w:val="00EB3989"/>
    <w:rsid w:val="00EB39A4"/>
    <w:rsid w:val="00EB3A1B"/>
    <w:rsid w:val="00EB3A25"/>
    <w:rsid w:val="00EB3A92"/>
    <w:rsid w:val="00EB3AC8"/>
    <w:rsid w:val="00EB3AEC"/>
    <w:rsid w:val="00EB3B49"/>
    <w:rsid w:val="00EB3B6C"/>
    <w:rsid w:val="00EB3B8C"/>
    <w:rsid w:val="00EB3BAD"/>
    <w:rsid w:val="00EB3BB5"/>
    <w:rsid w:val="00EB3BE9"/>
    <w:rsid w:val="00EB3C27"/>
    <w:rsid w:val="00EB3C5F"/>
    <w:rsid w:val="00EB3C71"/>
    <w:rsid w:val="00EB3CBE"/>
    <w:rsid w:val="00EB400C"/>
    <w:rsid w:val="00EB4012"/>
    <w:rsid w:val="00EB4017"/>
    <w:rsid w:val="00EB4029"/>
    <w:rsid w:val="00EB4088"/>
    <w:rsid w:val="00EB409D"/>
    <w:rsid w:val="00EB40B2"/>
    <w:rsid w:val="00EB41C8"/>
    <w:rsid w:val="00EB41F3"/>
    <w:rsid w:val="00EB42F4"/>
    <w:rsid w:val="00EB4362"/>
    <w:rsid w:val="00EB4390"/>
    <w:rsid w:val="00EB4439"/>
    <w:rsid w:val="00EB45E4"/>
    <w:rsid w:val="00EB460F"/>
    <w:rsid w:val="00EB4671"/>
    <w:rsid w:val="00EB46E8"/>
    <w:rsid w:val="00EB4749"/>
    <w:rsid w:val="00EB475E"/>
    <w:rsid w:val="00EB47B0"/>
    <w:rsid w:val="00EB47EF"/>
    <w:rsid w:val="00EB4839"/>
    <w:rsid w:val="00EB4A8C"/>
    <w:rsid w:val="00EB4AB6"/>
    <w:rsid w:val="00EB4AEF"/>
    <w:rsid w:val="00EB4B32"/>
    <w:rsid w:val="00EB4B44"/>
    <w:rsid w:val="00EB4B54"/>
    <w:rsid w:val="00EB4BCC"/>
    <w:rsid w:val="00EB4BEC"/>
    <w:rsid w:val="00EB4C0F"/>
    <w:rsid w:val="00EB4D84"/>
    <w:rsid w:val="00EB4ED6"/>
    <w:rsid w:val="00EB50B8"/>
    <w:rsid w:val="00EB50CA"/>
    <w:rsid w:val="00EB516C"/>
    <w:rsid w:val="00EB5190"/>
    <w:rsid w:val="00EB52EA"/>
    <w:rsid w:val="00EB5334"/>
    <w:rsid w:val="00EB534D"/>
    <w:rsid w:val="00EB53BA"/>
    <w:rsid w:val="00EB53EA"/>
    <w:rsid w:val="00EB54F1"/>
    <w:rsid w:val="00EB5531"/>
    <w:rsid w:val="00EB56C7"/>
    <w:rsid w:val="00EB56CD"/>
    <w:rsid w:val="00EB5722"/>
    <w:rsid w:val="00EB575B"/>
    <w:rsid w:val="00EB57D6"/>
    <w:rsid w:val="00EB5909"/>
    <w:rsid w:val="00EB592A"/>
    <w:rsid w:val="00EB59BA"/>
    <w:rsid w:val="00EB59CD"/>
    <w:rsid w:val="00EB5A21"/>
    <w:rsid w:val="00EB5A30"/>
    <w:rsid w:val="00EB5A43"/>
    <w:rsid w:val="00EB5A68"/>
    <w:rsid w:val="00EB5AB4"/>
    <w:rsid w:val="00EB5B8D"/>
    <w:rsid w:val="00EB5C4E"/>
    <w:rsid w:val="00EB5C66"/>
    <w:rsid w:val="00EB5C9F"/>
    <w:rsid w:val="00EB5CA6"/>
    <w:rsid w:val="00EB5D50"/>
    <w:rsid w:val="00EB5EEF"/>
    <w:rsid w:val="00EB5F1B"/>
    <w:rsid w:val="00EB5F5F"/>
    <w:rsid w:val="00EB6000"/>
    <w:rsid w:val="00EB6078"/>
    <w:rsid w:val="00EB60EE"/>
    <w:rsid w:val="00EB617C"/>
    <w:rsid w:val="00EB6193"/>
    <w:rsid w:val="00EB61B0"/>
    <w:rsid w:val="00EB61BF"/>
    <w:rsid w:val="00EB6202"/>
    <w:rsid w:val="00EB6210"/>
    <w:rsid w:val="00EB6237"/>
    <w:rsid w:val="00EB625B"/>
    <w:rsid w:val="00EB6299"/>
    <w:rsid w:val="00EB6366"/>
    <w:rsid w:val="00EB63BF"/>
    <w:rsid w:val="00EB6405"/>
    <w:rsid w:val="00EB6434"/>
    <w:rsid w:val="00EB6532"/>
    <w:rsid w:val="00EB68CE"/>
    <w:rsid w:val="00EB68E3"/>
    <w:rsid w:val="00EB69CB"/>
    <w:rsid w:val="00EB69EF"/>
    <w:rsid w:val="00EB6B4F"/>
    <w:rsid w:val="00EB6BEA"/>
    <w:rsid w:val="00EB6C4E"/>
    <w:rsid w:val="00EB6ECA"/>
    <w:rsid w:val="00EB6ECD"/>
    <w:rsid w:val="00EB6F06"/>
    <w:rsid w:val="00EB6FB1"/>
    <w:rsid w:val="00EB7061"/>
    <w:rsid w:val="00EB70D5"/>
    <w:rsid w:val="00EB7109"/>
    <w:rsid w:val="00EB71C9"/>
    <w:rsid w:val="00EB71E5"/>
    <w:rsid w:val="00EB726B"/>
    <w:rsid w:val="00EB727B"/>
    <w:rsid w:val="00EB72A7"/>
    <w:rsid w:val="00EB72C4"/>
    <w:rsid w:val="00EB72D9"/>
    <w:rsid w:val="00EB73B9"/>
    <w:rsid w:val="00EB7434"/>
    <w:rsid w:val="00EB74D3"/>
    <w:rsid w:val="00EB74F8"/>
    <w:rsid w:val="00EB751C"/>
    <w:rsid w:val="00EB7565"/>
    <w:rsid w:val="00EB75E3"/>
    <w:rsid w:val="00EB7626"/>
    <w:rsid w:val="00EB7653"/>
    <w:rsid w:val="00EB774F"/>
    <w:rsid w:val="00EB7752"/>
    <w:rsid w:val="00EB7781"/>
    <w:rsid w:val="00EB77B9"/>
    <w:rsid w:val="00EB780D"/>
    <w:rsid w:val="00EB780F"/>
    <w:rsid w:val="00EB783E"/>
    <w:rsid w:val="00EB79B1"/>
    <w:rsid w:val="00EB7C22"/>
    <w:rsid w:val="00EB7C54"/>
    <w:rsid w:val="00EB7D34"/>
    <w:rsid w:val="00EB7E18"/>
    <w:rsid w:val="00EB7E1F"/>
    <w:rsid w:val="00EB7E6F"/>
    <w:rsid w:val="00EB7E9D"/>
    <w:rsid w:val="00EB7EE7"/>
    <w:rsid w:val="00EB7F48"/>
    <w:rsid w:val="00EB7F8F"/>
    <w:rsid w:val="00EB7F99"/>
    <w:rsid w:val="00EC001F"/>
    <w:rsid w:val="00EC0119"/>
    <w:rsid w:val="00EC0178"/>
    <w:rsid w:val="00EC01A3"/>
    <w:rsid w:val="00EC01E1"/>
    <w:rsid w:val="00EC022C"/>
    <w:rsid w:val="00EC041E"/>
    <w:rsid w:val="00EC04F4"/>
    <w:rsid w:val="00EC050A"/>
    <w:rsid w:val="00EC0574"/>
    <w:rsid w:val="00EC0725"/>
    <w:rsid w:val="00EC07E9"/>
    <w:rsid w:val="00EC0848"/>
    <w:rsid w:val="00EC0910"/>
    <w:rsid w:val="00EC09E7"/>
    <w:rsid w:val="00EC0A9E"/>
    <w:rsid w:val="00EC0AFF"/>
    <w:rsid w:val="00EC0C06"/>
    <w:rsid w:val="00EC0C83"/>
    <w:rsid w:val="00EC0C8C"/>
    <w:rsid w:val="00EC0C90"/>
    <w:rsid w:val="00EC0D5C"/>
    <w:rsid w:val="00EC0E24"/>
    <w:rsid w:val="00EC0EC8"/>
    <w:rsid w:val="00EC0FC9"/>
    <w:rsid w:val="00EC0FD4"/>
    <w:rsid w:val="00EC1015"/>
    <w:rsid w:val="00EC10BF"/>
    <w:rsid w:val="00EC11CF"/>
    <w:rsid w:val="00EC1264"/>
    <w:rsid w:val="00EC132D"/>
    <w:rsid w:val="00EC134E"/>
    <w:rsid w:val="00EC136D"/>
    <w:rsid w:val="00EC1398"/>
    <w:rsid w:val="00EC139C"/>
    <w:rsid w:val="00EC13F7"/>
    <w:rsid w:val="00EC13FE"/>
    <w:rsid w:val="00EC1400"/>
    <w:rsid w:val="00EC14B3"/>
    <w:rsid w:val="00EC14C2"/>
    <w:rsid w:val="00EC14DB"/>
    <w:rsid w:val="00EC1586"/>
    <w:rsid w:val="00EC16A2"/>
    <w:rsid w:val="00EC1899"/>
    <w:rsid w:val="00EC18A6"/>
    <w:rsid w:val="00EC19D3"/>
    <w:rsid w:val="00EC1A9D"/>
    <w:rsid w:val="00EC1AC1"/>
    <w:rsid w:val="00EC1ADE"/>
    <w:rsid w:val="00EC1B03"/>
    <w:rsid w:val="00EC1B79"/>
    <w:rsid w:val="00EC1BAD"/>
    <w:rsid w:val="00EC1C2A"/>
    <w:rsid w:val="00EC1C4E"/>
    <w:rsid w:val="00EC1D30"/>
    <w:rsid w:val="00EC1DCE"/>
    <w:rsid w:val="00EC1DDD"/>
    <w:rsid w:val="00EC1E18"/>
    <w:rsid w:val="00EC1E36"/>
    <w:rsid w:val="00EC1FA5"/>
    <w:rsid w:val="00EC1FB0"/>
    <w:rsid w:val="00EC1FEB"/>
    <w:rsid w:val="00EC2047"/>
    <w:rsid w:val="00EC2086"/>
    <w:rsid w:val="00EC214D"/>
    <w:rsid w:val="00EC21B3"/>
    <w:rsid w:val="00EC21CA"/>
    <w:rsid w:val="00EC2236"/>
    <w:rsid w:val="00EC2264"/>
    <w:rsid w:val="00EC2405"/>
    <w:rsid w:val="00EC240D"/>
    <w:rsid w:val="00EC2476"/>
    <w:rsid w:val="00EC2488"/>
    <w:rsid w:val="00EC2517"/>
    <w:rsid w:val="00EC266F"/>
    <w:rsid w:val="00EC2732"/>
    <w:rsid w:val="00EC2775"/>
    <w:rsid w:val="00EC27D8"/>
    <w:rsid w:val="00EC297E"/>
    <w:rsid w:val="00EC29D4"/>
    <w:rsid w:val="00EC2A0C"/>
    <w:rsid w:val="00EC2A39"/>
    <w:rsid w:val="00EC2AC9"/>
    <w:rsid w:val="00EC2B1D"/>
    <w:rsid w:val="00EC2BA8"/>
    <w:rsid w:val="00EC2BD7"/>
    <w:rsid w:val="00EC2D3C"/>
    <w:rsid w:val="00EC2D57"/>
    <w:rsid w:val="00EC2DB4"/>
    <w:rsid w:val="00EC2EA3"/>
    <w:rsid w:val="00EC3186"/>
    <w:rsid w:val="00EC31A1"/>
    <w:rsid w:val="00EC32CC"/>
    <w:rsid w:val="00EC32D2"/>
    <w:rsid w:val="00EC3364"/>
    <w:rsid w:val="00EC357C"/>
    <w:rsid w:val="00EC3580"/>
    <w:rsid w:val="00EC3624"/>
    <w:rsid w:val="00EC3643"/>
    <w:rsid w:val="00EC3687"/>
    <w:rsid w:val="00EC3699"/>
    <w:rsid w:val="00EC36A4"/>
    <w:rsid w:val="00EC375D"/>
    <w:rsid w:val="00EC3763"/>
    <w:rsid w:val="00EC3766"/>
    <w:rsid w:val="00EC3785"/>
    <w:rsid w:val="00EC37F4"/>
    <w:rsid w:val="00EC3895"/>
    <w:rsid w:val="00EC389E"/>
    <w:rsid w:val="00EC38A2"/>
    <w:rsid w:val="00EC38E1"/>
    <w:rsid w:val="00EC39CB"/>
    <w:rsid w:val="00EC3AFA"/>
    <w:rsid w:val="00EC3B19"/>
    <w:rsid w:val="00EC3B81"/>
    <w:rsid w:val="00EC3D11"/>
    <w:rsid w:val="00EC3D5A"/>
    <w:rsid w:val="00EC3D7E"/>
    <w:rsid w:val="00EC3E7B"/>
    <w:rsid w:val="00EC3F4C"/>
    <w:rsid w:val="00EC400E"/>
    <w:rsid w:val="00EC41B0"/>
    <w:rsid w:val="00EC42D3"/>
    <w:rsid w:val="00EC42F9"/>
    <w:rsid w:val="00EC4365"/>
    <w:rsid w:val="00EC43E5"/>
    <w:rsid w:val="00EC44FA"/>
    <w:rsid w:val="00EC452A"/>
    <w:rsid w:val="00EC4531"/>
    <w:rsid w:val="00EC454E"/>
    <w:rsid w:val="00EC4580"/>
    <w:rsid w:val="00EC46D2"/>
    <w:rsid w:val="00EC4733"/>
    <w:rsid w:val="00EC4785"/>
    <w:rsid w:val="00EC47E3"/>
    <w:rsid w:val="00EC4885"/>
    <w:rsid w:val="00EC49E6"/>
    <w:rsid w:val="00EC4B3D"/>
    <w:rsid w:val="00EC4B6F"/>
    <w:rsid w:val="00EC4C3D"/>
    <w:rsid w:val="00EC4CEB"/>
    <w:rsid w:val="00EC4D42"/>
    <w:rsid w:val="00EC4DC0"/>
    <w:rsid w:val="00EC4E1F"/>
    <w:rsid w:val="00EC4EC7"/>
    <w:rsid w:val="00EC4EDF"/>
    <w:rsid w:val="00EC4F43"/>
    <w:rsid w:val="00EC4F5F"/>
    <w:rsid w:val="00EC4FD5"/>
    <w:rsid w:val="00EC5077"/>
    <w:rsid w:val="00EC5102"/>
    <w:rsid w:val="00EC51F7"/>
    <w:rsid w:val="00EC5222"/>
    <w:rsid w:val="00EC527D"/>
    <w:rsid w:val="00EC537C"/>
    <w:rsid w:val="00EC5380"/>
    <w:rsid w:val="00EC53C4"/>
    <w:rsid w:val="00EC544B"/>
    <w:rsid w:val="00EC545B"/>
    <w:rsid w:val="00EC545C"/>
    <w:rsid w:val="00EC5466"/>
    <w:rsid w:val="00EC5478"/>
    <w:rsid w:val="00EC558A"/>
    <w:rsid w:val="00EC5600"/>
    <w:rsid w:val="00EC5646"/>
    <w:rsid w:val="00EC5704"/>
    <w:rsid w:val="00EC5750"/>
    <w:rsid w:val="00EC57DD"/>
    <w:rsid w:val="00EC58B6"/>
    <w:rsid w:val="00EC5905"/>
    <w:rsid w:val="00EC5958"/>
    <w:rsid w:val="00EC59DE"/>
    <w:rsid w:val="00EC59EC"/>
    <w:rsid w:val="00EC5A7E"/>
    <w:rsid w:val="00EC5B60"/>
    <w:rsid w:val="00EC5B88"/>
    <w:rsid w:val="00EC5B8F"/>
    <w:rsid w:val="00EC5BD3"/>
    <w:rsid w:val="00EC5DCF"/>
    <w:rsid w:val="00EC5EF4"/>
    <w:rsid w:val="00EC5F5E"/>
    <w:rsid w:val="00EC6058"/>
    <w:rsid w:val="00EC606D"/>
    <w:rsid w:val="00EC60EF"/>
    <w:rsid w:val="00EC6155"/>
    <w:rsid w:val="00EC615D"/>
    <w:rsid w:val="00EC6169"/>
    <w:rsid w:val="00EC61AF"/>
    <w:rsid w:val="00EC61B3"/>
    <w:rsid w:val="00EC61F5"/>
    <w:rsid w:val="00EC6295"/>
    <w:rsid w:val="00EC6426"/>
    <w:rsid w:val="00EC6449"/>
    <w:rsid w:val="00EC6459"/>
    <w:rsid w:val="00EC64A0"/>
    <w:rsid w:val="00EC64AC"/>
    <w:rsid w:val="00EC6531"/>
    <w:rsid w:val="00EC6550"/>
    <w:rsid w:val="00EC6599"/>
    <w:rsid w:val="00EC65BE"/>
    <w:rsid w:val="00EC6692"/>
    <w:rsid w:val="00EC66DF"/>
    <w:rsid w:val="00EC6821"/>
    <w:rsid w:val="00EC6839"/>
    <w:rsid w:val="00EC6881"/>
    <w:rsid w:val="00EC68F2"/>
    <w:rsid w:val="00EC6945"/>
    <w:rsid w:val="00EC694A"/>
    <w:rsid w:val="00EC69BB"/>
    <w:rsid w:val="00EC6BB8"/>
    <w:rsid w:val="00EC6BF5"/>
    <w:rsid w:val="00EC6CC4"/>
    <w:rsid w:val="00EC6D60"/>
    <w:rsid w:val="00EC6D7E"/>
    <w:rsid w:val="00EC6DC2"/>
    <w:rsid w:val="00EC710B"/>
    <w:rsid w:val="00EC7142"/>
    <w:rsid w:val="00EC718E"/>
    <w:rsid w:val="00EC725F"/>
    <w:rsid w:val="00EC7294"/>
    <w:rsid w:val="00EC7392"/>
    <w:rsid w:val="00EC739C"/>
    <w:rsid w:val="00EC7421"/>
    <w:rsid w:val="00EC7445"/>
    <w:rsid w:val="00EC74A1"/>
    <w:rsid w:val="00EC752E"/>
    <w:rsid w:val="00EC75A7"/>
    <w:rsid w:val="00EC769D"/>
    <w:rsid w:val="00EC76FE"/>
    <w:rsid w:val="00EC7760"/>
    <w:rsid w:val="00EC7799"/>
    <w:rsid w:val="00EC77D2"/>
    <w:rsid w:val="00EC784A"/>
    <w:rsid w:val="00EC785A"/>
    <w:rsid w:val="00EC78A4"/>
    <w:rsid w:val="00EC78D8"/>
    <w:rsid w:val="00EC7903"/>
    <w:rsid w:val="00EC7A26"/>
    <w:rsid w:val="00EC7B4E"/>
    <w:rsid w:val="00EC7BF5"/>
    <w:rsid w:val="00EC7C09"/>
    <w:rsid w:val="00EC7C23"/>
    <w:rsid w:val="00EC7C6B"/>
    <w:rsid w:val="00EC7C7E"/>
    <w:rsid w:val="00EC7CAF"/>
    <w:rsid w:val="00EC7CE4"/>
    <w:rsid w:val="00EC7D65"/>
    <w:rsid w:val="00EC7D72"/>
    <w:rsid w:val="00EC7DBD"/>
    <w:rsid w:val="00EC7DDD"/>
    <w:rsid w:val="00EC7DEA"/>
    <w:rsid w:val="00EC7E3F"/>
    <w:rsid w:val="00EC7E84"/>
    <w:rsid w:val="00EC7F06"/>
    <w:rsid w:val="00EC7F11"/>
    <w:rsid w:val="00EC7FD7"/>
    <w:rsid w:val="00ED0004"/>
    <w:rsid w:val="00ED002C"/>
    <w:rsid w:val="00ED0092"/>
    <w:rsid w:val="00ED011B"/>
    <w:rsid w:val="00ED0155"/>
    <w:rsid w:val="00ED0170"/>
    <w:rsid w:val="00ED01C5"/>
    <w:rsid w:val="00ED0232"/>
    <w:rsid w:val="00ED028E"/>
    <w:rsid w:val="00ED02D4"/>
    <w:rsid w:val="00ED02EC"/>
    <w:rsid w:val="00ED0306"/>
    <w:rsid w:val="00ED0327"/>
    <w:rsid w:val="00ED034F"/>
    <w:rsid w:val="00ED03E0"/>
    <w:rsid w:val="00ED03FE"/>
    <w:rsid w:val="00ED048F"/>
    <w:rsid w:val="00ED053B"/>
    <w:rsid w:val="00ED05ED"/>
    <w:rsid w:val="00ED06FD"/>
    <w:rsid w:val="00ED072C"/>
    <w:rsid w:val="00ED072E"/>
    <w:rsid w:val="00ED0789"/>
    <w:rsid w:val="00ED0853"/>
    <w:rsid w:val="00ED087A"/>
    <w:rsid w:val="00ED08B8"/>
    <w:rsid w:val="00ED093D"/>
    <w:rsid w:val="00ED0A54"/>
    <w:rsid w:val="00ED0BF0"/>
    <w:rsid w:val="00ED0C04"/>
    <w:rsid w:val="00ED0D6D"/>
    <w:rsid w:val="00ED0EF5"/>
    <w:rsid w:val="00ED0F0D"/>
    <w:rsid w:val="00ED0F29"/>
    <w:rsid w:val="00ED0F48"/>
    <w:rsid w:val="00ED0FBC"/>
    <w:rsid w:val="00ED100A"/>
    <w:rsid w:val="00ED107D"/>
    <w:rsid w:val="00ED1142"/>
    <w:rsid w:val="00ED124B"/>
    <w:rsid w:val="00ED131C"/>
    <w:rsid w:val="00ED133F"/>
    <w:rsid w:val="00ED145A"/>
    <w:rsid w:val="00ED14EF"/>
    <w:rsid w:val="00ED14FB"/>
    <w:rsid w:val="00ED161D"/>
    <w:rsid w:val="00ED16BF"/>
    <w:rsid w:val="00ED171C"/>
    <w:rsid w:val="00ED178C"/>
    <w:rsid w:val="00ED17F3"/>
    <w:rsid w:val="00ED181B"/>
    <w:rsid w:val="00ED1822"/>
    <w:rsid w:val="00ED18DF"/>
    <w:rsid w:val="00ED1915"/>
    <w:rsid w:val="00ED1A44"/>
    <w:rsid w:val="00ED1AD7"/>
    <w:rsid w:val="00ED1B46"/>
    <w:rsid w:val="00ED1C5C"/>
    <w:rsid w:val="00ED1CA9"/>
    <w:rsid w:val="00ED1D08"/>
    <w:rsid w:val="00ED1DA8"/>
    <w:rsid w:val="00ED1E08"/>
    <w:rsid w:val="00ED1E29"/>
    <w:rsid w:val="00ED1EC0"/>
    <w:rsid w:val="00ED1EE2"/>
    <w:rsid w:val="00ED1FE0"/>
    <w:rsid w:val="00ED2122"/>
    <w:rsid w:val="00ED219D"/>
    <w:rsid w:val="00ED21BD"/>
    <w:rsid w:val="00ED21E4"/>
    <w:rsid w:val="00ED2204"/>
    <w:rsid w:val="00ED2227"/>
    <w:rsid w:val="00ED22E1"/>
    <w:rsid w:val="00ED23BB"/>
    <w:rsid w:val="00ED23CC"/>
    <w:rsid w:val="00ED2429"/>
    <w:rsid w:val="00ED24F3"/>
    <w:rsid w:val="00ED2526"/>
    <w:rsid w:val="00ED25AA"/>
    <w:rsid w:val="00ED25CA"/>
    <w:rsid w:val="00ED2609"/>
    <w:rsid w:val="00ED26BC"/>
    <w:rsid w:val="00ED26D0"/>
    <w:rsid w:val="00ED270E"/>
    <w:rsid w:val="00ED278D"/>
    <w:rsid w:val="00ED27A2"/>
    <w:rsid w:val="00ED2841"/>
    <w:rsid w:val="00ED2B87"/>
    <w:rsid w:val="00ED2B9A"/>
    <w:rsid w:val="00ED2C7F"/>
    <w:rsid w:val="00ED2CA0"/>
    <w:rsid w:val="00ED2CE6"/>
    <w:rsid w:val="00ED2D89"/>
    <w:rsid w:val="00ED2DF6"/>
    <w:rsid w:val="00ED2F14"/>
    <w:rsid w:val="00ED3075"/>
    <w:rsid w:val="00ED30B0"/>
    <w:rsid w:val="00ED32C8"/>
    <w:rsid w:val="00ED32C9"/>
    <w:rsid w:val="00ED3315"/>
    <w:rsid w:val="00ED345D"/>
    <w:rsid w:val="00ED347A"/>
    <w:rsid w:val="00ED34A1"/>
    <w:rsid w:val="00ED34BE"/>
    <w:rsid w:val="00ED354A"/>
    <w:rsid w:val="00ED359E"/>
    <w:rsid w:val="00ED35A5"/>
    <w:rsid w:val="00ED3674"/>
    <w:rsid w:val="00ED3688"/>
    <w:rsid w:val="00ED372E"/>
    <w:rsid w:val="00ED3744"/>
    <w:rsid w:val="00ED38E4"/>
    <w:rsid w:val="00ED3994"/>
    <w:rsid w:val="00ED39C4"/>
    <w:rsid w:val="00ED39E2"/>
    <w:rsid w:val="00ED3A6A"/>
    <w:rsid w:val="00ED3A74"/>
    <w:rsid w:val="00ED3B36"/>
    <w:rsid w:val="00ED3BC1"/>
    <w:rsid w:val="00ED3C42"/>
    <w:rsid w:val="00ED3DF6"/>
    <w:rsid w:val="00ED3DFE"/>
    <w:rsid w:val="00ED3E08"/>
    <w:rsid w:val="00ED3E87"/>
    <w:rsid w:val="00ED3EEC"/>
    <w:rsid w:val="00ED3F4F"/>
    <w:rsid w:val="00ED3F51"/>
    <w:rsid w:val="00ED408F"/>
    <w:rsid w:val="00ED40D1"/>
    <w:rsid w:val="00ED4112"/>
    <w:rsid w:val="00ED4120"/>
    <w:rsid w:val="00ED4131"/>
    <w:rsid w:val="00ED414C"/>
    <w:rsid w:val="00ED416A"/>
    <w:rsid w:val="00ED4194"/>
    <w:rsid w:val="00ED423F"/>
    <w:rsid w:val="00ED4285"/>
    <w:rsid w:val="00ED42B5"/>
    <w:rsid w:val="00ED4327"/>
    <w:rsid w:val="00ED43BF"/>
    <w:rsid w:val="00ED43C9"/>
    <w:rsid w:val="00ED4410"/>
    <w:rsid w:val="00ED44B2"/>
    <w:rsid w:val="00ED4508"/>
    <w:rsid w:val="00ED4583"/>
    <w:rsid w:val="00ED45D4"/>
    <w:rsid w:val="00ED4635"/>
    <w:rsid w:val="00ED4640"/>
    <w:rsid w:val="00ED46D9"/>
    <w:rsid w:val="00ED4760"/>
    <w:rsid w:val="00ED480F"/>
    <w:rsid w:val="00ED496C"/>
    <w:rsid w:val="00ED4A4A"/>
    <w:rsid w:val="00ED4A7F"/>
    <w:rsid w:val="00ED4A8C"/>
    <w:rsid w:val="00ED4A90"/>
    <w:rsid w:val="00ED4B03"/>
    <w:rsid w:val="00ED4BCF"/>
    <w:rsid w:val="00ED4BE7"/>
    <w:rsid w:val="00ED4C68"/>
    <w:rsid w:val="00ED4D0E"/>
    <w:rsid w:val="00ED4EF6"/>
    <w:rsid w:val="00ED4F16"/>
    <w:rsid w:val="00ED4F77"/>
    <w:rsid w:val="00ED4F7D"/>
    <w:rsid w:val="00ED4F8C"/>
    <w:rsid w:val="00ED4FA0"/>
    <w:rsid w:val="00ED4FD7"/>
    <w:rsid w:val="00ED501C"/>
    <w:rsid w:val="00ED5080"/>
    <w:rsid w:val="00ED51DD"/>
    <w:rsid w:val="00ED52D7"/>
    <w:rsid w:val="00ED52E7"/>
    <w:rsid w:val="00ED5373"/>
    <w:rsid w:val="00ED53A4"/>
    <w:rsid w:val="00ED54DA"/>
    <w:rsid w:val="00ED54FD"/>
    <w:rsid w:val="00ED5508"/>
    <w:rsid w:val="00ED551C"/>
    <w:rsid w:val="00ED55CD"/>
    <w:rsid w:val="00ED5870"/>
    <w:rsid w:val="00ED58BA"/>
    <w:rsid w:val="00ED58FB"/>
    <w:rsid w:val="00ED595E"/>
    <w:rsid w:val="00ED59BC"/>
    <w:rsid w:val="00ED59EE"/>
    <w:rsid w:val="00ED5A27"/>
    <w:rsid w:val="00ED5AEF"/>
    <w:rsid w:val="00ED5C79"/>
    <w:rsid w:val="00ED5D6F"/>
    <w:rsid w:val="00ED5DD5"/>
    <w:rsid w:val="00ED5E05"/>
    <w:rsid w:val="00ED5E52"/>
    <w:rsid w:val="00ED5FBB"/>
    <w:rsid w:val="00ED6011"/>
    <w:rsid w:val="00ED60B0"/>
    <w:rsid w:val="00ED614E"/>
    <w:rsid w:val="00ED61A9"/>
    <w:rsid w:val="00ED6286"/>
    <w:rsid w:val="00ED62BB"/>
    <w:rsid w:val="00ED62C7"/>
    <w:rsid w:val="00ED640E"/>
    <w:rsid w:val="00ED6415"/>
    <w:rsid w:val="00ED6484"/>
    <w:rsid w:val="00ED64D9"/>
    <w:rsid w:val="00ED64E6"/>
    <w:rsid w:val="00ED64F2"/>
    <w:rsid w:val="00ED6550"/>
    <w:rsid w:val="00ED65B4"/>
    <w:rsid w:val="00ED6695"/>
    <w:rsid w:val="00ED66F1"/>
    <w:rsid w:val="00ED67F0"/>
    <w:rsid w:val="00ED6821"/>
    <w:rsid w:val="00ED68C3"/>
    <w:rsid w:val="00ED6919"/>
    <w:rsid w:val="00ED6A0A"/>
    <w:rsid w:val="00ED6A0D"/>
    <w:rsid w:val="00ED6A0E"/>
    <w:rsid w:val="00ED6A23"/>
    <w:rsid w:val="00ED6A4A"/>
    <w:rsid w:val="00ED6AA6"/>
    <w:rsid w:val="00ED6B71"/>
    <w:rsid w:val="00ED6C6F"/>
    <w:rsid w:val="00ED6D69"/>
    <w:rsid w:val="00ED6D77"/>
    <w:rsid w:val="00ED6D92"/>
    <w:rsid w:val="00ED6DA1"/>
    <w:rsid w:val="00ED6DBC"/>
    <w:rsid w:val="00ED6E27"/>
    <w:rsid w:val="00ED6EAD"/>
    <w:rsid w:val="00ED6EB6"/>
    <w:rsid w:val="00ED6EB7"/>
    <w:rsid w:val="00ED6EDC"/>
    <w:rsid w:val="00ED6EDD"/>
    <w:rsid w:val="00ED6EF3"/>
    <w:rsid w:val="00ED6FC3"/>
    <w:rsid w:val="00ED70B6"/>
    <w:rsid w:val="00ED7130"/>
    <w:rsid w:val="00ED717E"/>
    <w:rsid w:val="00ED72D2"/>
    <w:rsid w:val="00ED73E9"/>
    <w:rsid w:val="00ED7482"/>
    <w:rsid w:val="00ED74A8"/>
    <w:rsid w:val="00ED75AE"/>
    <w:rsid w:val="00ED75AF"/>
    <w:rsid w:val="00ED760B"/>
    <w:rsid w:val="00ED769D"/>
    <w:rsid w:val="00ED76E8"/>
    <w:rsid w:val="00ED7753"/>
    <w:rsid w:val="00ED7815"/>
    <w:rsid w:val="00ED792E"/>
    <w:rsid w:val="00ED7A4C"/>
    <w:rsid w:val="00ED7A90"/>
    <w:rsid w:val="00ED7B05"/>
    <w:rsid w:val="00ED7B2B"/>
    <w:rsid w:val="00ED7B31"/>
    <w:rsid w:val="00ED7B7B"/>
    <w:rsid w:val="00ED7C13"/>
    <w:rsid w:val="00ED7C73"/>
    <w:rsid w:val="00ED7CD9"/>
    <w:rsid w:val="00ED7E2C"/>
    <w:rsid w:val="00ED7FED"/>
    <w:rsid w:val="00EE005C"/>
    <w:rsid w:val="00EE0190"/>
    <w:rsid w:val="00EE0207"/>
    <w:rsid w:val="00EE030B"/>
    <w:rsid w:val="00EE03CB"/>
    <w:rsid w:val="00EE03D2"/>
    <w:rsid w:val="00EE03FB"/>
    <w:rsid w:val="00EE040C"/>
    <w:rsid w:val="00EE0435"/>
    <w:rsid w:val="00EE04D3"/>
    <w:rsid w:val="00EE04ED"/>
    <w:rsid w:val="00EE050F"/>
    <w:rsid w:val="00EE05B5"/>
    <w:rsid w:val="00EE089D"/>
    <w:rsid w:val="00EE0971"/>
    <w:rsid w:val="00EE09DE"/>
    <w:rsid w:val="00EE0A08"/>
    <w:rsid w:val="00EE0A67"/>
    <w:rsid w:val="00EE0B0F"/>
    <w:rsid w:val="00EE0BF1"/>
    <w:rsid w:val="00EE0D51"/>
    <w:rsid w:val="00EE0DD2"/>
    <w:rsid w:val="00EE0E28"/>
    <w:rsid w:val="00EE0E5E"/>
    <w:rsid w:val="00EE0E9A"/>
    <w:rsid w:val="00EE0EC4"/>
    <w:rsid w:val="00EE0EE5"/>
    <w:rsid w:val="00EE0EF6"/>
    <w:rsid w:val="00EE0F0C"/>
    <w:rsid w:val="00EE0F64"/>
    <w:rsid w:val="00EE0F8F"/>
    <w:rsid w:val="00EE0FDD"/>
    <w:rsid w:val="00EE0FE8"/>
    <w:rsid w:val="00EE1007"/>
    <w:rsid w:val="00EE102F"/>
    <w:rsid w:val="00EE105C"/>
    <w:rsid w:val="00EE10BD"/>
    <w:rsid w:val="00EE1103"/>
    <w:rsid w:val="00EE1176"/>
    <w:rsid w:val="00EE11FC"/>
    <w:rsid w:val="00EE127F"/>
    <w:rsid w:val="00EE12C0"/>
    <w:rsid w:val="00EE12FA"/>
    <w:rsid w:val="00EE1344"/>
    <w:rsid w:val="00EE138F"/>
    <w:rsid w:val="00EE14A4"/>
    <w:rsid w:val="00EE1503"/>
    <w:rsid w:val="00EE151F"/>
    <w:rsid w:val="00EE15B6"/>
    <w:rsid w:val="00EE15C5"/>
    <w:rsid w:val="00EE1649"/>
    <w:rsid w:val="00EE1659"/>
    <w:rsid w:val="00EE1679"/>
    <w:rsid w:val="00EE1789"/>
    <w:rsid w:val="00EE17CA"/>
    <w:rsid w:val="00EE1835"/>
    <w:rsid w:val="00EE185A"/>
    <w:rsid w:val="00EE18E0"/>
    <w:rsid w:val="00EE198C"/>
    <w:rsid w:val="00EE1ADF"/>
    <w:rsid w:val="00EE1AE0"/>
    <w:rsid w:val="00EE1B50"/>
    <w:rsid w:val="00EE1B93"/>
    <w:rsid w:val="00EE1C08"/>
    <w:rsid w:val="00EE1C92"/>
    <w:rsid w:val="00EE1D57"/>
    <w:rsid w:val="00EE1D63"/>
    <w:rsid w:val="00EE1EBC"/>
    <w:rsid w:val="00EE2031"/>
    <w:rsid w:val="00EE2083"/>
    <w:rsid w:val="00EE20A5"/>
    <w:rsid w:val="00EE20BA"/>
    <w:rsid w:val="00EE2230"/>
    <w:rsid w:val="00EE2288"/>
    <w:rsid w:val="00EE22A2"/>
    <w:rsid w:val="00EE22AC"/>
    <w:rsid w:val="00EE2426"/>
    <w:rsid w:val="00EE2451"/>
    <w:rsid w:val="00EE2490"/>
    <w:rsid w:val="00EE24B0"/>
    <w:rsid w:val="00EE24D2"/>
    <w:rsid w:val="00EE24E1"/>
    <w:rsid w:val="00EE24ED"/>
    <w:rsid w:val="00EE259E"/>
    <w:rsid w:val="00EE25E5"/>
    <w:rsid w:val="00EE25E6"/>
    <w:rsid w:val="00EE2680"/>
    <w:rsid w:val="00EE26BC"/>
    <w:rsid w:val="00EE26D3"/>
    <w:rsid w:val="00EE28EC"/>
    <w:rsid w:val="00EE2939"/>
    <w:rsid w:val="00EE2971"/>
    <w:rsid w:val="00EE297F"/>
    <w:rsid w:val="00EE2A76"/>
    <w:rsid w:val="00EE2A96"/>
    <w:rsid w:val="00EE2BF9"/>
    <w:rsid w:val="00EE2C65"/>
    <w:rsid w:val="00EE2C98"/>
    <w:rsid w:val="00EE2DAD"/>
    <w:rsid w:val="00EE2EE8"/>
    <w:rsid w:val="00EE2EF3"/>
    <w:rsid w:val="00EE302C"/>
    <w:rsid w:val="00EE30E4"/>
    <w:rsid w:val="00EE326B"/>
    <w:rsid w:val="00EE327C"/>
    <w:rsid w:val="00EE3356"/>
    <w:rsid w:val="00EE33DC"/>
    <w:rsid w:val="00EE33E1"/>
    <w:rsid w:val="00EE348B"/>
    <w:rsid w:val="00EE348F"/>
    <w:rsid w:val="00EE34F8"/>
    <w:rsid w:val="00EE3530"/>
    <w:rsid w:val="00EE3697"/>
    <w:rsid w:val="00EE36B1"/>
    <w:rsid w:val="00EE3732"/>
    <w:rsid w:val="00EE3737"/>
    <w:rsid w:val="00EE37FB"/>
    <w:rsid w:val="00EE3803"/>
    <w:rsid w:val="00EE384C"/>
    <w:rsid w:val="00EE39F2"/>
    <w:rsid w:val="00EE3A0F"/>
    <w:rsid w:val="00EE3A20"/>
    <w:rsid w:val="00EE3A49"/>
    <w:rsid w:val="00EE3A5A"/>
    <w:rsid w:val="00EE3AFD"/>
    <w:rsid w:val="00EE3B4F"/>
    <w:rsid w:val="00EE3B72"/>
    <w:rsid w:val="00EE3B89"/>
    <w:rsid w:val="00EE3CFB"/>
    <w:rsid w:val="00EE3D17"/>
    <w:rsid w:val="00EE3DF7"/>
    <w:rsid w:val="00EE3E6B"/>
    <w:rsid w:val="00EE3E71"/>
    <w:rsid w:val="00EE3F48"/>
    <w:rsid w:val="00EE3F8F"/>
    <w:rsid w:val="00EE3FE5"/>
    <w:rsid w:val="00EE3FF1"/>
    <w:rsid w:val="00EE403A"/>
    <w:rsid w:val="00EE40BB"/>
    <w:rsid w:val="00EE4116"/>
    <w:rsid w:val="00EE415A"/>
    <w:rsid w:val="00EE4271"/>
    <w:rsid w:val="00EE4319"/>
    <w:rsid w:val="00EE4366"/>
    <w:rsid w:val="00EE445D"/>
    <w:rsid w:val="00EE4517"/>
    <w:rsid w:val="00EE4530"/>
    <w:rsid w:val="00EE4539"/>
    <w:rsid w:val="00EE4593"/>
    <w:rsid w:val="00EE45A5"/>
    <w:rsid w:val="00EE45AF"/>
    <w:rsid w:val="00EE4622"/>
    <w:rsid w:val="00EE46B8"/>
    <w:rsid w:val="00EE46D6"/>
    <w:rsid w:val="00EE47FD"/>
    <w:rsid w:val="00EE48FC"/>
    <w:rsid w:val="00EE4930"/>
    <w:rsid w:val="00EE497A"/>
    <w:rsid w:val="00EE4A4E"/>
    <w:rsid w:val="00EE4AD4"/>
    <w:rsid w:val="00EE4C95"/>
    <w:rsid w:val="00EE4C9D"/>
    <w:rsid w:val="00EE4CCE"/>
    <w:rsid w:val="00EE4D45"/>
    <w:rsid w:val="00EE4DCE"/>
    <w:rsid w:val="00EE4DE6"/>
    <w:rsid w:val="00EE4E71"/>
    <w:rsid w:val="00EE4E75"/>
    <w:rsid w:val="00EE4EEB"/>
    <w:rsid w:val="00EE4F8F"/>
    <w:rsid w:val="00EE502D"/>
    <w:rsid w:val="00EE5039"/>
    <w:rsid w:val="00EE5071"/>
    <w:rsid w:val="00EE50AE"/>
    <w:rsid w:val="00EE50B2"/>
    <w:rsid w:val="00EE50BA"/>
    <w:rsid w:val="00EE51C2"/>
    <w:rsid w:val="00EE5321"/>
    <w:rsid w:val="00EE5333"/>
    <w:rsid w:val="00EE5340"/>
    <w:rsid w:val="00EE54DE"/>
    <w:rsid w:val="00EE5551"/>
    <w:rsid w:val="00EE56B3"/>
    <w:rsid w:val="00EE56BE"/>
    <w:rsid w:val="00EE56C5"/>
    <w:rsid w:val="00EE5707"/>
    <w:rsid w:val="00EE59CE"/>
    <w:rsid w:val="00EE59D2"/>
    <w:rsid w:val="00EE5A1A"/>
    <w:rsid w:val="00EE5AA0"/>
    <w:rsid w:val="00EE5AF0"/>
    <w:rsid w:val="00EE5C1F"/>
    <w:rsid w:val="00EE5C97"/>
    <w:rsid w:val="00EE5CDE"/>
    <w:rsid w:val="00EE5CF3"/>
    <w:rsid w:val="00EE5D0B"/>
    <w:rsid w:val="00EE5D2A"/>
    <w:rsid w:val="00EE5E4C"/>
    <w:rsid w:val="00EE5ECE"/>
    <w:rsid w:val="00EE5FB5"/>
    <w:rsid w:val="00EE6039"/>
    <w:rsid w:val="00EE6087"/>
    <w:rsid w:val="00EE60DB"/>
    <w:rsid w:val="00EE615D"/>
    <w:rsid w:val="00EE615F"/>
    <w:rsid w:val="00EE6196"/>
    <w:rsid w:val="00EE62CC"/>
    <w:rsid w:val="00EE62DA"/>
    <w:rsid w:val="00EE6555"/>
    <w:rsid w:val="00EE657A"/>
    <w:rsid w:val="00EE6700"/>
    <w:rsid w:val="00EE676C"/>
    <w:rsid w:val="00EE678F"/>
    <w:rsid w:val="00EE67F0"/>
    <w:rsid w:val="00EE6887"/>
    <w:rsid w:val="00EE693D"/>
    <w:rsid w:val="00EE6AEB"/>
    <w:rsid w:val="00EE6B00"/>
    <w:rsid w:val="00EE6B4A"/>
    <w:rsid w:val="00EE6BB3"/>
    <w:rsid w:val="00EE6CBB"/>
    <w:rsid w:val="00EE6D16"/>
    <w:rsid w:val="00EE6E94"/>
    <w:rsid w:val="00EE6F01"/>
    <w:rsid w:val="00EE6F74"/>
    <w:rsid w:val="00EE6F89"/>
    <w:rsid w:val="00EE6FDE"/>
    <w:rsid w:val="00EE70CB"/>
    <w:rsid w:val="00EE70D0"/>
    <w:rsid w:val="00EE7119"/>
    <w:rsid w:val="00EE71BD"/>
    <w:rsid w:val="00EE72B2"/>
    <w:rsid w:val="00EE72FF"/>
    <w:rsid w:val="00EE7418"/>
    <w:rsid w:val="00EE743E"/>
    <w:rsid w:val="00EE74F3"/>
    <w:rsid w:val="00EE7557"/>
    <w:rsid w:val="00EE756D"/>
    <w:rsid w:val="00EE75F9"/>
    <w:rsid w:val="00EE7667"/>
    <w:rsid w:val="00EE7670"/>
    <w:rsid w:val="00EE76BA"/>
    <w:rsid w:val="00EE77C9"/>
    <w:rsid w:val="00EE7880"/>
    <w:rsid w:val="00EE78A1"/>
    <w:rsid w:val="00EE78CC"/>
    <w:rsid w:val="00EE7A03"/>
    <w:rsid w:val="00EE7A34"/>
    <w:rsid w:val="00EE7A59"/>
    <w:rsid w:val="00EE7B43"/>
    <w:rsid w:val="00EE7BB1"/>
    <w:rsid w:val="00EE7C1E"/>
    <w:rsid w:val="00EE7C89"/>
    <w:rsid w:val="00EE7CD0"/>
    <w:rsid w:val="00EE7D3A"/>
    <w:rsid w:val="00EE7DBE"/>
    <w:rsid w:val="00EE7E52"/>
    <w:rsid w:val="00EE7E6C"/>
    <w:rsid w:val="00EE7EEA"/>
    <w:rsid w:val="00EEE1B2"/>
    <w:rsid w:val="00EF0052"/>
    <w:rsid w:val="00EF0130"/>
    <w:rsid w:val="00EF0134"/>
    <w:rsid w:val="00EF0216"/>
    <w:rsid w:val="00EF0333"/>
    <w:rsid w:val="00EF033B"/>
    <w:rsid w:val="00EF0382"/>
    <w:rsid w:val="00EF044D"/>
    <w:rsid w:val="00EF04CD"/>
    <w:rsid w:val="00EF0545"/>
    <w:rsid w:val="00EF05A1"/>
    <w:rsid w:val="00EF0637"/>
    <w:rsid w:val="00EF0691"/>
    <w:rsid w:val="00EF071B"/>
    <w:rsid w:val="00EF07E4"/>
    <w:rsid w:val="00EF0827"/>
    <w:rsid w:val="00EF083C"/>
    <w:rsid w:val="00EF0947"/>
    <w:rsid w:val="00EF0A00"/>
    <w:rsid w:val="00EF0A04"/>
    <w:rsid w:val="00EF0A18"/>
    <w:rsid w:val="00EF0A59"/>
    <w:rsid w:val="00EF0BF4"/>
    <w:rsid w:val="00EF0CA1"/>
    <w:rsid w:val="00EF0CB6"/>
    <w:rsid w:val="00EF0DA2"/>
    <w:rsid w:val="00EF0ED8"/>
    <w:rsid w:val="00EF0F1D"/>
    <w:rsid w:val="00EF0FEF"/>
    <w:rsid w:val="00EF105E"/>
    <w:rsid w:val="00EF1068"/>
    <w:rsid w:val="00EF1105"/>
    <w:rsid w:val="00EF123F"/>
    <w:rsid w:val="00EF1269"/>
    <w:rsid w:val="00EF133D"/>
    <w:rsid w:val="00EF1405"/>
    <w:rsid w:val="00EF14FA"/>
    <w:rsid w:val="00EF154B"/>
    <w:rsid w:val="00EF16E6"/>
    <w:rsid w:val="00EF17C6"/>
    <w:rsid w:val="00EF1847"/>
    <w:rsid w:val="00EF1861"/>
    <w:rsid w:val="00EF1868"/>
    <w:rsid w:val="00EF1922"/>
    <w:rsid w:val="00EF1968"/>
    <w:rsid w:val="00EF19DF"/>
    <w:rsid w:val="00EF1A02"/>
    <w:rsid w:val="00EF1A3E"/>
    <w:rsid w:val="00EF1A68"/>
    <w:rsid w:val="00EF1A69"/>
    <w:rsid w:val="00EF1B9C"/>
    <w:rsid w:val="00EF1BB7"/>
    <w:rsid w:val="00EF1BEC"/>
    <w:rsid w:val="00EF1C3E"/>
    <w:rsid w:val="00EF1C61"/>
    <w:rsid w:val="00EF1D78"/>
    <w:rsid w:val="00EF1DD2"/>
    <w:rsid w:val="00EF1DF9"/>
    <w:rsid w:val="00EF1F01"/>
    <w:rsid w:val="00EF2036"/>
    <w:rsid w:val="00EF205E"/>
    <w:rsid w:val="00EF2095"/>
    <w:rsid w:val="00EF20F9"/>
    <w:rsid w:val="00EF2192"/>
    <w:rsid w:val="00EF2257"/>
    <w:rsid w:val="00EF2258"/>
    <w:rsid w:val="00EF2284"/>
    <w:rsid w:val="00EF22CA"/>
    <w:rsid w:val="00EF23A7"/>
    <w:rsid w:val="00EF241A"/>
    <w:rsid w:val="00EF2463"/>
    <w:rsid w:val="00EF24FB"/>
    <w:rsid w:val="00EF2516"/>
    <w:rsid w:val="00EF2540"/>
    <w:rsid w:val="00EF25D1"/>
    <w:rsid w:val="00EF25DF"/>
    <w:rsid w:val="00EF25F1"/>
    <w:rsid w:val="00EF2696"/>
    <w:rsid w:val="00EF2758"/>
    <w:rsid w:val="00EF276E"/>
    <w:rsid w:val="00EF2779"/>
    <w:rsid w:val="00EF2795"/>
    <w:rsid w:val="00EF27B5"/>
    <w:rsid w:val="00EF280B"/>
    <w:rsid w:val="00EF290F"/>
    <w:rsid w:val="00EF2911"/>
    <w:rsid w:val="00EF2919"/>
    <w:rsid w:val="00EF2940"/>
    <w:rsid w:val="00EF2950"/>
    <w:rsid w:val="00EF296A"/>
    <w:rsid w:val="00EF2985"/>
    <w:rsid w:val="00EF2A16"/>
    <w:rsid w:val="00EF2AEF"/>
    <w:rsid w:val="00EF2BB6"/>
    <w:rsid w:val="00EF2C67"/>
    <w:rsid w:val="00EF2C94"/>
    <w:rsid w:val="00EF2D3B"/>
    <w:rsid w:val="00EF2DCD"/>
    <w:rsid w:val="00EF2DFC"/>
    <w:rsid w:val="00EF303F"/>
    <w:rsid w:val="00EF3064"/>
    <w:rsid w:val="00EF3079"/>
    <w:rsid w:val="00EF3106"/>
    <w:rsid w:val="00EF3209"/>
    <w:rsid w:val="00EF325C"/>
    <w:rsid w:val="00EF33DE"/>
    <w:rsid w:val="00EF3406"/>
    <w:rsid w:val="00EF3468"/>
    <w:rsid w:val="00EF3495"/>
    <w:rsid w:val="00EF34F5"/>
    <w:rsid w:val="00EF3654"/>
    <w:rsid w:val="00EF3665"/>
    <w:rsid w:val="00EF368F"/>
    <w:rsid w:val="00EF36C2"/>
    <w:rsid w:val="00EF37EF"/>
    <w:rsid w:val="00EF3877"/>
    <w:rsid w:val="00EF388B"/>
    <w:rsid w:val="00EF39A3"/>
    <w:rsid w:val="00EF39A7"/>
    <w:rsid w:val="00EF3A4A"/>
    <w:rsid w:val="00EF3B32"/>
    <w:rsid w:val="00EF3B54"/>
    <w:rsid w:val="00EF3BC0"/>
    <w:rsid w:val="00EF3C22"/>
    <w:rsid w:val="00EF3CA2"/>
    <w:rsid w:val="00EF3D33"/>
    <w:rsid w:val="00EF3D95"/>
    <w:rsid w:val="00EF3E65"/>
    <w:rsid w:val="00EF3EB1"/>
    <w:rsid w:val="00EF3F15"/>
    <w:rsid w:val="00EF4046"/>
    <w:rsid w:val="00EF40A4"/>
    <w:rsid w:val="00EF40FB"/>
    <w:rsid w:val="00EF415B"/>
    <w:rsid w:val="00EF4174"/>
    <w:rsid w:val="00EF4279"/>
    <w:rsid w:val="00EF42BB"/>
    <w:rsid w:val="00EF4338"/>
    <w:rsid w:val="00EF433D"/>
    <w:rsid w:val="00EF4403"/>
    <w:rsid w:val="00EF4416"/>
    <w:rsid w:val="00EF4485"/>
    <w:rsid w:val="00EF4665"/>
    <w:rsid w:val="00EF4674"/>
    <w:rsid w:val="00EF46A6"/>
    <w:rsid w:val="00EF46C7"/>
    <w:rsid w:val="00EF46DD"/>
    <w:rsid w:val="00EF4701"/>
    <w:rsid w:val="00EF4764"/>
    <w:rsid w:val="00EF47F2"/>
    <w:rsid w:val="00EF48A5"/>
    <w:rsid w:val="00EF48EB"/>
    <w:rsid w:val="00EF495E"/>
    <w:rsid w:val="00EF4A59"/>
    <w:rsid w:val="00EF4BD6"/>
    <w:rsid w:val="00EF4C03"/>
    <w:rsid w:val="00EF4C38"/>
    <w:rsid w:val="00EF4CA3"/>
    <w:rsid w:val="00EF4CB1"/>
    <w:rsid w:val="00EF4CB3"/>
    <w:rsid w:val="00EF4DB7"/>
    <w:rsid w:val="00EF4DD0"/>
    <w:rsid w:val="00EF4EE2"/>
    <w:rsid w:val="00EF5035"/>
    <w:rsid w:val="00EF50F5"/>
    <w:rsid w:val="00EF511B"/>
    <w:rsid w:val="00EF5177"/>
    <w:rsid w:val="00EF524E"/>
    <w:rsid w:val="00EF5292"/>
    <w:rsid w:val="00EF5294"/>
    <w:rsid w:val="00EF5320"/>
    <w:rsid w:val="00EF537C"/>
    <w:rsid w:val="00EF53D6"/>
    <w:rsid w:val="00EF541B"/>
    <w:rsid w:val="00EF5453"/>
    <w:rsid w:val="00EF54C2"/>
    <w:rsid w:val="00EF55DD"/>
    <w:rsid w:val="00EF5670"/>
    <w:rsid w:val="00EF56D4"/>
    <w:rsid w:val="00EF58D4"/>
    <w:rsid w:val="00EF58D9"/>
    <w:rsid w:val="00EF59B4"/>
    <w:rsid w:val="00EF5ADD"/>
    <w:rsid w:val="00EF5B05"/>
    <w:rsid w:val="00EF5B4C"/>
    <w:rsid w:val="00EF5CE0"/>
    <w:rsid w:val="00EF5CE9"/>
    <w:rsid w:val="00EF5D4B"/>
    <w:rsid w:val="00EF5DFD"/>
    <w:rsid w:val="00EF5E0B"/>
    <w:rsid w:val="00EF5E90"/>
    <w:rsid w:val="00EF5F16"/>
    <w:rsid w:val="00EF5FD2"/>
    <w:rsid w:val="00EF5FF5"/>
    <w:rsid w:val="00EF6006"/>
    <w:rsid w:val="00EF607E"/>
    <w:rsid w:val="00EF6082"/>
    <w:rsid w:val="00EF608E"/>
    <w:rsid w:val="00EF60E0"/>
    <w:rsid w:val="00EF6214"/>
    <w:rsid w:val="00EF623D"/>
    <w:rsid w:val="00EF62E2"/>
    <w:rsid w:val="00EF6441"/>
    <w:rsid w:val="00EF6467"/>
    <w:rsid w:val="00EF6537"/>
    <w:rsid w:val="00EF654A"/>
    <w:rsid w:val="00EF6573"/>
    <w:rsid w:val="00EF65DA"/>
    <w:rsid w:val="00EF6617"/>
    <w:rsid w:val="00EF6618"/>
    <w:rsid w:val="00EF669A"/>
    <w:rsid w:val="00EF66CF"/>
    <w:rsid w:val="00EF68E0"/>
    <w:rsid w:val="00EF69A8"/>
    <w:rsid w:val="00EF6A77"/>
    <w:rsid w:val="00EF6AD3"/>
    <w:rsid w:val="00EF6AE3"/>
    <w:rsid w:val="00EF6B75"/>
    <w:rsid w:val="00EF6BA1"/>
    <w:rsid w:val="00EF6BB4"/>
    <w:rsid w:val="00EF6C5E"/>
    <w:rsid w:val="00EF6C7D"/>
    <w:rsid w:val="00EF6CF5"/>
    <w:rsid w:val="00EF6D08"/>
    <w:rsid w:val="00EF6D54"/>
    <w:rsid w:val="00EF6E17"/>
    <w:rsid w:val="00EF6E51"/>
    <w:rsid w:val="00EF6E66"/>
    <w:rsid w:val="00EF6EBF"/>
    <w:rsid w:val="00EF6F06"/>
    <w:rsid w:val="00EF6FD5"/>
    <w:rsid w:val="00EF7017"/>
    <w:rsid w:val="00EF7042"/>
    <w:rsid w:val="00EF7058"/>
    <w:rsid w:val="00EF70CC"/>
    <w:rsid w:val="00EF70D3"/>
    <w:rsid w:val="00EF7153"/>
    <w:rsid w:val="00EF71EF"/>
    <w:rsid w:val="00EF7201"/>
    <w:rsid w:val="00EF7247"/>
    <w:rsid w:val="00EF72CD"/>
    <w:rsid w:val="00EF7335"/>
    <w:rsid w:val="00EF744D"/>
    <w:rsid w:val="00EF745C"/>
    <w:rsid w:val="00EF74BA"/>
    <w:rsid w:val="00EF74FC"/>
    <w:rsid w:val="00EF751F"/>
    <w:rsid w:val="00EF755E"/>
    <w:rsid w:val="00EF7589"/>
    <w:rsid w:val="00EF75EE"/>
    <w:rsid w:val="00EF7730"/>
    <w:rsid w:val="00EF77BE"/>
    <w:rsid w:val="00EF791D"/>
    <w:rsid w:val="00EF7959"/>
    <w:rsid w:val="00EF799A"/>
    <w:rsid w:val="00EF79E5"/>
    <w:rsid w:val="00EF7A16"/>
    <w:rsid w:val="00EF7A28"/>
    <w:rsid w:val="00EF7C26"/>
    <w:rsid w:val="00EF7C7F"/>
    <w:rsid w:val="00EF7D40"/>
    <w:rsid w:val="00EF7D63"/>
    <w:rsid w:val="00EF7D79"/>
    <w:rsid w:val="00EF7D90"/>
    <w:rsid w:val="00EF7ECB"/>
    <w:rsid w:val="00EF7FDF"/>
    <w:rsid w:val="00F00006"/>
    <w:rsid w:val="00F00075"/>
    <w:rsid w:val="00F000EC"/>
    <w:rsid w:val="00F001AE"/>
    <w:rsid w:val="00F002AB"/>
    <w:rsid w:val="00F00348"/>
    <w:rsid w:val="00F003CA"/>
    <w:rsid w:val="00F004D5"/>
    <w:rsid w:val="00F004D7"/>
    <w:rsid w:val="00F00531"/>
    <w:rsid w:val="00F0056D"/>
    <w:rsid w:val="00F00579"/>
    <w:rsid w:val="00F00594"/>
    <w:rsid w:val="00F00692"/>
    <w:rsid w:val="00F006BA"/>
    <w:rsid w:val="00F006F3"/>
    <w:rsid w:val="00F0072B"/>
    <w:rsid w:val="00F00792"/>
    <w:rsid w:val="00F007FF"/>
    <w:rsid w:val="00F00843"/>
    <w:rsid w:val="00F0085E"/>
    <w:rsid w:val="00F009CD"/>
    <w:rsid w:val="00F009CF"/>
    <w:rsid w:val="00F00BB8"/>
    <w:rsid w:val="00F00BD0"/>
    <w:rsid w:val="00F00BDF"/>
    <w:rsid w:val="00F00BED"/>
    <w:rsid w:val="00F00C3B"/>
    <w:rsid w:val="00F00CDF"/>
    <w:rsid w:val="00F00EF4"/>
    <w:rsid w:val="00F00EF9"/>
    <w:rsid w:val="00F00F24"/>
    <w:rsid w:val="00F00F97"/>
    <w:rsid w:val="00F00FE9"/>
    <w:rsid w:val="00F01130"/>
    <w:rsid w:val="00F01149"/>
    <w:rsid w:val="00F011EA"/>
    <w:rsid w:val="00F011F9"/>
    <w:rsid w:val="00F01212"/>
    <w:rsid w:val="00F0124B"/>
    <w:rsid w:val="00F01417"/>
    <w:rsid w:val="00F01472"/>
    <w:rsid w:val="00F0147C"/>
    <w:rsid w:val="00F014D9"/>
    <w:rsid w:val="00F014EE"/>
    <w:rsid w:val="00F01509"/>
    <w:rsid w:val="00F01535"/>
    <w:rsid w:val="00F015C0"/>
    <w:rsid w:val="00F015EB"/>
    <w:rsid w:val="00F01B1E"/>
    <w:rsid w:val="00F01BDD"/>
    <w:rsid w:val="00F01BDE"/>
    <w:rsid w:val="00F01BF0"/>
    <w:rsid w:val="00F01C26"/>
    <w:rsid w:val="00F01C82"/>
    <w:rsid w:val="00F01DA4"/>
    <w:rsid w:val="00F01DFC"/>
    <w:rsid w:val="00F01E4B"/>
    <w:rsid w:val="00F01EBF"/>
    <w:rsid w:val="00F01FF5"/>
    <w:rsid w:val="00F0200E"/>
    <w:rsid w:val="00F0206F"/>
    <w:rsid w:val="00F02188"/>
    <w:rsid w:val="00F021B6"/>
    <w:rsid w:val="00F021CA"/>
    <w:rsid w:val="00F021F7"/>
    <w:rsid w:val="00F02203"/>
    <w:rsid w:val="00F0224E"/>
    <w:rsid w:val="00F02258"/>
    <w:rsid w:val="00F02297"/>
    <w:rsid w:val="00F022BC"/>
    <w:rsid w:val="00F02410"/>
    <w:rsid w:val="00F024E5"/>
    <w:rsid w:val="00F024F7"/>
    <w:rsid w:val="00F025BE"/>
    <w:rsid w:val="00F026A9"/>
    <w:rsid w:val="00F02854"/>
    <w:rsid w:val="00F0288A"/>
    <w:rsid w:val="00F0297B"/>
    <w:rsid w:val="00F02A41"/>
    <w:rsid w:val="00F02A42"/>
    <w:rsid w:val="00F02A48"/>
    <w:rsid w:val="00F02A5B"/>
    <w:rsid w:val="00F02A72"/>
    <w:rsid w:val="00F02B00"/>
    <w:rsid w:val="00F02B01"/>
    <w:rsid w:val="00F02B0C"/>
    <w:rsid w:val="00F02B99"/>
    <w:rsid w:val="00F02C1D"/>
    <w:rsid w:val="00F02C60"/>
    <w:rsid w:val="00F02C97"/>
    <w:rsid w:val="00F02C9F"/>
    <w:rsid w:val="00F02E49"/>
    <w:rsid w:val="00F02EAC"/>
    <w:rsid w:val="00F02F98"/>
    <w:rsid w:val="00F02FC3"/>
    <w:rsid w:val="00F02FE1"/>
    <w:rsid w:val="00F03076"/>
    <w:rsid w:val="00F03078"/>
    <w:rsid w:val="00F03121"/>
    <w:rsid w:val="00F03187"/>
    <w:rsid w:val="00F0318B"/>
    <w:rsid w:val="00F0328C"/>
    <w:rsid w:val="00F032B3"/>
    <w:rsid w:val="00F03361"/>
    <w:rsid w:val="00F0343B"/>
    <w:rsid w:val="00F0344D"/>
    <w:rsid w:val="00F034E0"/>
    <w:rsid w:val="00F036D5"/>
    <w:rsid w:val="00F0373F"/>
    <w:rsid w:val="00F03745"/>
    <w:rsid w:val="00F0377F"/>
    <w:rsid w:val="00F037AA"/>
    <w:rsid w:val="00F039C8"/>
    <w:rsid w:val="00F03A2A"/>
    <w:rsid w:val="00F03A71"/>
    <w:rsid w:val="00F03A98"/>
    <w:rsid w:val="00F03BC4"/>
    <w:rsid w:val="00F03BDD"/>
    <w:rsid w:val="00F03D0F"/>
    <w:rsid w:val="00F03D2F"/>
    <w:rsid w:val="00F03D38"/>
    <w:rsid w:val="00F03D68"/>
    <w:rsid w:val="00F03DDA"/>
    <w:rsid w:val="00F03E5E"/>
    <w:rsid w:val="00F03E91"/>
    <w:rsid w:val="00F03F64"/>
    <w:rsid w:val="00F0400A"/>
    <w:rsid w:val="00F0419B"/>
    <w:rsid w:val="00F04360"/>
    <w:rsid w:val="00F043AC"/>
    <w:rsid w:val="00F043B1"/>
    <w:rsid w:val="00F04434"/>
    <w:rsid w:val="00F04502"/>
    <w:rsid w:val="00F0460E"/>
    <w:rsid w:val="00F046DB"/>
    <w:rsid w:val="00F0470F"/>
    <w:rsid w:val="00F04733"/>
    <w:rsid w:val="00F0478A"/>
    <w:rsid w:val="00F0478B"/>
    <w:rsid w:val="00F047B0"/>
    <w:rsid w:val="00F04827"/>
    <w:rsid w:val="00F0487B"/>
    <w:rsid w:val="00F04895"/>
    <w:rsid w:val="00F04942"/>
    <w:rsid w:val="00F04986"/>
    <w:rsid w:val="00F04A5F"/>
    <w:rsid w:val="00F04B06"/>
    <w:rsid w:val="00F04B36"/>
    <w:rsid w:val="00F04BBC"/>
    <w:rsid w:val="00F04CE9"/>
    <w:rsid w:val="00F04CFF"/>
    <w:rsid w:val="00F04D47"/>
    <w:rsid w:val="00F04D74"/>
    <w:rsid w:val="00F04D8E"/>
    <w:rsid w:val="00F04F26"/>
    <w:rsid w:val="00F050C0"/>
    <w:rsid w:val="00F0517D"/>
    <w:rsid w:val="00F051B0"/>
    <w:rsid w:val="00F051C4"/>
    <w:rsid w:val="00F0520F"/>
    <w:rsid w:val="00F052B5"/>
    <w:rsid w:val="00F05302"/>
    <w:rsid w:val="00F0537C"/>
    <w:rsid w:val="00F053A2"/>
    <w:rsid w:val="00F053EA"/>
    <w:rsid w:val="00F05434"/>
    <w:rsid w:val="00F05487"/>
    <w:rsid w:val="00F054D7"/>
    <w:rsid w:val="00F05684"/>
    <w:rsid w:val="00F056BE"/>
    <w:rsid w:val="00F05800"/>
    <w:rsid w:val="00F058AD"/>
    <w:rsid w:val="00F0591E"/>
    <w:rsid w:val="00F05927"/>
    <w:rsid w:val="00F059A1"/>
    <w:rsid w:val="00F05AB4"/>
    <w:rsid w:val="00F05B05"/>
    <w:rsid w:val="00F05BCE"/>
    <w:rsid w:val="00F05BD6"/>
    <w:rsid w:val="00F05C18"/>
    <w:rsid w:val="00F05DA2"/>
    <w:rsid w:val="00F05DEA"/>
    <w:rsid w:val="00F05E15"/>
    <w:rsid w:val="00F05E80"/>
    <w:rsid w:val="00F05ED5"/>
    <w:rsid w:val="00F05F20"/>
    <w:rsid w:val="00F05F4C"/>
    <w:rsid w:val="00F05F61"/>
    <w:rsid w:val="00F05FF9"/>
    <w:rsid w:val="00F06061"/>
    <w:rsid w:val="00F0611C"/>
    <w:rsid w:val="00F06199"/>
    <w:rsid w:val="00F06217"/>
    <w:rsid w:val="00F06244"/>
    <w:rsid w:val="00F062B0"/>
    <w:rsid w:val="00F06360"/>
    <w:rsid w:val="00F063BC"/>
    <w:rsid w:val="00F063C0"/>
    <w:rsid w:val="00F063DC"/>
    <w:rsid w:val="00F063F6"/>
    <w:rsid w:val="00F0640A"/>
    <w:rsid w:val="00F0644B"/>
    <w:rsid w:val="00F0668C"/>
    <w:rsid w:val="00F066C9"/>
    <w:rsid w:val="00F06703"/>
    <w:rsid w:val="00F06782"/>
    <w:rsid w:val="00F06828"/>
    <w:rsid w:val="00F06843"/>
    <w:rsid w:val="00F069BF"/>
    <w:rsid w:val="00F06A1F"/>
    <w:rsid w:val="00F06A53"/>
    <w:rsid w:val="00F06A99"/>
    <w:rsid w:val="00F06B46"/>
    <w:rsid w:val="00F06B93"/>
    <w:rsid w:val="00F06BA1"/>
    <w:rsid w:val="00F06BB1"/>
    <w:rsid w:val="00F06BCD"/>
    <w:rsid w:val="00F06BE0"/>
    <w:rsid w:val="00F06C0E"/>
    <w:rsid w:val="00F06C1F"/>
    <w:rsid w:val="00F06CF2"/>
    <w:rsid w:val="00F06D1D"/>
    <w:rsid w:val="00F06D26"/>
    <w:rsid w:val="00F06DDB"/>
    <w:rsid w:val="00F06EE1"/>
    <w:rsid w:val="00F06F3F"/>
    <w:rsid w:val="00F06F87"/>
    <w:rsid w:val="00F06F9B"/>
    <w:rsid w:val="00F06FD1"/>
    <w:rsid w:val="00F07062"/>
    <w:rsid w:val="00F07128"/>
    <w:rsid w:val="00F07230"/>
    <w:rsid w:val="00F07236"/>
    <w:rsid w:val="00F07246"/>
    <w:rsid w:val="00F0736F"/>
    <w:rsid w:val="00F0737E"/>
    <w:rsid w:val="00F073B3"/>
    <w:rsid w:val="00F075A9"/>
    <w:rsid w:val="00F075EA"/>
    <w:rsid w:val="00F0766F"/>
    <w:rsid w:val="00F076E8"/>
    <w:rsid w:val="00F07708"/>
    <w:rsid w:val="00F0772F"/>
    <w:rsid w:val="00F0779C"/>
    <w:rsid w:val="00F0779D"/>
    <w:rsid w:val="00F077E4"/>
    <w:rsid w:val="00F0791A"/>
    <w:rsid w:val="00F07A77"/>
    <w:rsid w:val="00F07AC7"/>
    <w:rsid w:val="00F07B0F"/>
    <w:rsid w:val="00F07B7C"/>
    <w:rsid w:val="00F07B87"/>
    <w:rsid w:val="00F07BFD"/>
    <w:rsid w:val="00F07D6F"/>
    <w:rsid w:val="00F07E1E"/>
    <w:rsid w:val="00F07E7D"/>
    <w:rsid w:val="00F07EA1"/>
    <w:rsid w:val="00F07F3B"/>
    <w:rsid w:val="00F07F50"/>
    <w:rsid w:val="00F1015E"/>
    <w:rsid w:val="00F10170"/>
    <w:rsid w:val="00F101DB"/>
    <w:rsid w:val="00F10226"/>
    <w:rsid w:val="00F10261"/>
    <w:rsid w:val="00F10269"/>
    <w:rsid w:val="00F102EC"/>
    <w:rsid w:val="00F10337"/>
    <w:rsid w:val="00F103B8"/>
    <w:rsid w:val="00F103D0"/>
    <w:rsid w:val="00F10439"/>
    <w:rsid w:val="00F10510"/>
    <w:rsid w:val="00F10546"/>
    <w:rsid w:val="00F105BF"/>
    <w:rsid w:val="00F105DD"/>
    <w:rsid w:val="00F10762"/>
    <w:rsid w:val="00F1076F"/>
    <w:rsid w:val="00F107D1"/>
    <w:rsid w:val="00F109A7"/>
    <w:rsid w:val="00F10A73"/>
    <w:rsid w:val="00F10B4A"/>
    <w:rsid w:val="00F10B97"/>
    <w:rsid w:val="00F10BE9"/>
    <w:rsid w:val="00F10C97"/>
    <w:rsid w:val="00F10CC6"/>
    <w:rsid w:val="00F10CFE"/>
    <w:rsid w:val="00F10D9F"/>
    <w:rsid w:val="00F10E06"/>
    <w:rsid w:val="00F10E12"/>
    <w:rsid w:val="00F10E2A"/>
    <w:rsid w:val="00F10EFC"/>
    <w:rsid w:val="00F10FBD"/>
    <w:rsid w:val="00F10FEF"/>
    <w:rsid w:val="00F1103A"/>
    <w:rsid w:val="00F11066"/>
    <w:rsid w:val="00F1109E"/>
    <w:rsid w:val="00F11127"/>
    <w:rsid w:val="00F11181"/>
    <w:rsid w:val="00F11189"/>
    <w:rsid w:val="00F111EE"/>
    <w:rsid w:val="00F11214"/>
    <w:rsid w:val="00F11306"/>
    <w:rsid w:val="00F1149D"/>
    <w:rsid w:val="00F114CB"/>
    <w:rsid w:val="00F114D8"/>
    <w:rsid w:val="00F11537"/>
    <w:rsid w:val="00F116C9"/>
    <w:rsid w:val="00F11704"/>
    <w:rsid w:val="00F11725"/>
    <w:rsid w:val="00F11727"/>
    <w:rsid w:val="00F11737"/>
    <w:rsid w:val="00F1182C"/>
    <w:rsid w:val="00F11833"/>
    <w:rsid w:val="00F1186F"/>
    <w:rsid w:val="00F11894"/>
    <w:rsid w:val="00F118B8"/>
    <w:rsid w:val="00F118DD"/>
    <w:rsid w:val="00F118EC"/>
    <w:rsid w:val="00F1192E"/>
    <w:rsid w:val="00F119AB"/>
    <w:rsid w:val="00F119FC"/>
    <w:rsid w:val="00F11A8D"/>
    <w:rsid w:val="00F11ADE"/>
    <w:rsid w:val="00F11C04"/>
    <w:rsid w:val="00F11C2A"/>
    <w:rsid w:val="00F11CB8"/>
    <w:rsid w:val="00F11CE1"/>
    <w:rsid w:val="00F11D2A"/>
    <w:rsid w:val="00F11D79"/>
    <w:rsid w:val="00F11D7B"/>
    <w:rsid w:val="00F11DD2"/>
    <w:rsid w:val="00F11E08"/>
    <w:rsid w:val="00F11E6A"/>
    <w:rsid w:val="00F11E6B"/>
    <w:rsid w:val="00F11EA0"/>
    <w:rsid w:val="00F12037"/>
    <w:rsid w:val="00F1205F"/>
    <w:rsid w:val="00F120B4"/>
    <w:rsid w:val="00F1221B"/>
    <w:rsid w:val="00F122C3"/>
    <w:rsid w:val="00F12347"/>
    <w:rsid w:val="00F123AE"/>
    <w:rsid w:val="00F1240B"/>
    <w:rsid w:val="00F12431"/>
    <w:rsid w:val="00F12516"/>
    <w:rsid w:val="00F1253C"/>
    <w:rsid w:val="00F12617"/>
    <w:rsid w:val="00F12710"/>
    <w:rsid w:val="00F1285F"/>
    <w:rsid w:val="00F12864"/>
    <w:rsid w:val="00F1293C"/>
    <w:rsid w:val="00F129DA"/>
    <w:rsid w:val="00F12A6B"/>
    <w:rsid w:val="00F12A81"/>
    <w:rsid w:val="00F12B09"/>
    <w:rsid w:val="00F12B1E"/>
    <w:rsid w:val="00F12B84"/>
    <w:rsid w:val="00F12BE6"/>
    <w:rsid w:val="00F12C5B"/>
    <w:rsid w:val="00F12C60"/>
    <w:rsid w:val="00F12CE4"/>
    <w:rsid w:val="00F12D3A"/>
    <w:rsid w:val="00F12D61"/>
    <w:rsid w:val="00F12DB6"/>
    <w:rsid w:val="00F12E21"/>
    <w:rsid w:val="00F1300E"/>
    <w:rsid w:val="00F13047"/>
    <w:rsid w:val="00F130AF"/>
    <w:rsid w:val="00F1323D"/>
    <w:rsid w:val="00F13261"/>
    <w:rsid w:val="00F132B8"/>
    <w:rsid w:val="00F132D7"/>
    <w:rsid w:val="00F132DE"/>
    <w:rsid w:val="00F13351"/>
    <w:rsid w:val="00F133A8"/>
    <w:rsid w:val="00F133A9"/>
    <w:rsid w:val="00F133AB"/>
    <w:rsid w:val="00F13463"/>
    <w:rsid w:val="00F13477"/>
    <w:rsid w:val="00F134D2"/>
    <w:rsid w:val="00F13553"/>
    <w:rsid w:val="00F1355E"/>
    <w:rsid w:val="00F13578"/>
    <w:rsid w:val="00F1359A"/>
    <w:rsid w:val="00F13600"/>
    <w:rsid w:val="00F13645"/>
    <w:rsid w:val="00F13649"/>
    <w:rsid w:val="00F1369E"/>
    <w:rsid w:val="00F136DE"/>
    <w:rsid w:val="00F136FD"/>
    <w:rsid w:val="00F13881"/>
    <w:rsid w:val="00F139C2"/>
    <w:rsid w:val="00F13A51"/>
    <w:rsid w:val="00F13A92"/>
    <w:rsid w:val="00F13D12"/>
    <w:rsid w:val="00F13D7F"/>
    <w:rsid w:val="00F13E1A"/>
    <w:rsid w:val="00F13E2D"/>
    <w:rsid w:val="00F13E6C"/>
    <w:rsid w:val="00F13F2C"/>
    <w:rsid w:val="00F13F59"/>
    <w:rsid w:val="00F140BB"/>
    <w:rsid w:val="00F14179"/>
    <w:rsid w:val="00F141B8"/>
    <w:rsid w:val="00F14279"/>
    <w:rsid w:val="00F1436C"/>
    <w:rsid w:val="00F1437D"/>
    <w:rsid w:val="00F143A1"/>
    <w:rsid w:val="00F143C4"/>
    <w:rsid w:val="00F1443F"/>
    <w:rsid w:val="00F14442"/>
    <w:rsid w:val="00F1445B"/>
    <w:rsid w:val="00F1449E"/>
    <w:rsid w:val="00F144D3"/>
    <w:rsid w:val="00F14522"/>
    <w:rsid w:val="00F1464E"/>
    <w:rsid w:val="00F146B2"/>
    <w:rsid w:val="00F146CA"/>
    <w:rsid w:val="00F14714"/>
    <w:rsid w:val="00F1472F"/>
    <w:rsid w:val="00F14731"/>
    <w:rsid w:val="00F14792"/>
    <w:rsid w:val="00F1479C"/>
    <w:rsid w:val="00F147DD"/>
    <w:rsid w:val="00F147F0"/>
    <w:rsid w:val="00F148DC"/>
    <w:rsid w:val="00F148ED"/>
    <w:rsid w:val="00F14999"/>
    <w:rsid w:val="00F14A3D"/>
    <w:rsid w:val="00F14B5C"/>
    <w:rsid w:val="00F14BEE"/>
    <w:rsid w:val="00F14C11"/>
    <w:rsid w:val="00F14C29"/>
    <w:rsid w:val="00F14C3B"/>
    <w:rsid w:val="00F14C8E"/>
    <w:rsid w:val="00F14E27"/>
    <w:rsid w:val="00F14E78"/>
    <w:rsid w:val="00F14EC6"/>
    <w:rsid w:val="00F14EF2"/>
    <w:rsid w:val="00F14F85"/>
    <w:rsid w:val="00F14FC6"/>
    <w:rsid w:val="00F14FD0"/>
    <w:rsid w:val="00F150A2"/>
    <w:rsid w:val="00F15121"/>
    <w:rsid w:val="00F15123"/>
    <w:rsid w:val="00F15146"/>
    <w:rsid w:val="00F15154"/>
    <w:rsid w:val="00F15258"/>
    <w:rsid w:val="00F152F3"/>
    <w:rsid w:val="00F15339"/>
    <w:rsid w:val="00F15357"/>
    <w:rsid w:val="00F15401"/>
    <w:rsid w:val="00F1543D"/>
    <w:rsid w:val="00F15474"/>
    <w:rsid w:val="00F154FA"/>
    <w:rsid w:val="00F15501"/>
    <w:rsid w:val="00F155E3"/>
    <w:rsid w:val="00F1560C"/>
    <w:rsid w:val="00F15644"/>
    <w:rsid w:val="00F15672"/>
    <w:rsid w:val="00F156C5"/>
    <w:rsid w:val="00F15747"/>
    <w:rsid w:val="00F1582F"/>
    <w:rsid w:val="00F158F2"/>
    <w:rsid w:val="00F15940"/>
    <w:rsid w:val="00F159A1"/>
    <w:rsid w:val="00F15B8B"/>
    <w:rsid w:val="00F15CB6"/>
    <w:rsid w:val="00F15D55"/>
    <w:rsid w:val="00F15D77"/>
    <w:rsid w:val="00F15DB6"/>
    <w:rsid w:val="00F15EC2"/>
    <w:rsid w:val="00F15ED2"/>
    <w:rsid w:val="00F15F4E"/>
    <w:rsid w:val="00F15F95"/>
    <w:rsid w:val="00F15FA8"/>
    <w:rsid w:val="00F1607D"/>
    <w:rsid w:val="00F16114"/>
    <w:rsid w:val="00F16172"/>
    <w:rsid w:val="00F1622A"/>
    <w:rsid w:val="00F163B3"/>
    <w:rsid w:val="00F1641D"/>
    <w:rsid w:val="00F16474"/>
    <w:rsid w:val="00F16500"/>
    <w:rsid w:val="00F16506"/>
    <w:rsid w:val="00F16583"/>
    <w:rsid w:val="00F1661A"/>
    <w:rsid w:val="00F16669"/>
    <w:rsid w:val="00F166DF"/>
    <w:rsid w:val="00F166F6"/>
    <w:rsid w:val="00F16709"/>
    <w:rsid w:val="00F16715"/>
    <w:rsid w:val="00F1678D"/>
    <w:rsid w:val="00F1683D"/>
    <w:rsid w:val="00F1691E"/>
    <w:rsid w:val="00F1692E"/>
    <w:rsid w:val="00F16935"/>
    <w:rsid w:val="00F169A4"/>
    <w:rsid w:val="00F169AB"/>
    <w:rsid w:val="00F16A71"/>
    <w:rsid w:val="00F16A99"/>
    <w:rsid w:val="00F16ABA"/>
    <w:rsid w:val="00F16B12"/>
    <w:rsid w:val="00F16B2B"/>
    <w:rsid w:val="00F16B55"/>
    <w:rsid w:val="00F16CB8"/>
    <w:rsid w:val="00F16D49"/>
    <w:rsid w:val="00F16DEA"/>
    <w:rsid w:val="00F16E2C"/>
    <w:rsid w:val="00F16E38"/>
    <w:rsid w:val="00F16E60"/>
    <w:rsid w:val="00F16E8F"/>
    <w:rsid w:val="00F16EFE"/>
    <w:rsid w:val="00F16F1B"/>
    <w:rsid w:val="00F16FBA"/>
    <w:rsid w:val="00F16FEA"/>
    <w:rsid w:val="00F16FEF"/>
    <w:rsid w:val="00F17154"/>
    <w:rsid w:val="00F17207"/>
    <w:rsid w:val="00F17271"/>
    <w:rsid w:val="00F17323"/>
    <w:rsid w:val="00F17375"/>
    <w:rsid w:val="00F173A9"/>
    <w:rsid w:val="00F17402"/>
    <w:rsid w:val="00F1741A"/>
    <w:rsid w:val="00F174D0"/>
    <w:rsid w:val="00F17508"/>
    <w:rsid w:val="00F1768B"/>
    <w:rsid w:val="00F176FD"/>
    <w:rsid w:val="00F17751"/>
    <w:rsid w:val="00F17798"/>
    <w:rsid w:val="00F17892"/>
    <w:rsid w:val="00F17895"/>
    <w:rsid w:val="00F1798F"/>
    <w:rsid w:val="00F17A4C"/>
    <w:rsid w:val="00F17A62"/>
    <w:rsid w:val="00F17C27"/>
    <w:rsid w:val="00F17C38"/>
    <w:rsid w:val="00F17C4A"/>
    <w:rsid w:val="00F17CD8"/>
    <w:rsid w:val="00F17DC5"/>
    <w:rsid w:val="00F17DCE"/>
    <w:rsid w:val="00F17E9A"/>
    <w:rsid w:val="00F17F07"/>
    <w:rsid w:val="00F17F33"/>
    <w:rsid w:val="00F17F5C"/>
    <w:rsid w:val="00F17F8D"/>
    <w:rsid w:val="00F1D6C1"/>
    <w:rsid w:val="00F200F3"/>
    <w:rsid w:val="00F20241"/>
    <w:rsid w:val="00F20323"/>
    <w:rsid w:val="00F20331"/>
    <w:rsid w:val="00F203FC"/>
    <w:rsid w:val="00F204F2"/>
    <w:rsid w:val="00F20706"/>
    <w:rsid w:val="00F20722"/>
    <w:rsid w:val="00F20753"/>
    <w:rsid w:val="00F207AB"/>
    <w:rsid w:val="00F207BD"/>
    <w:rsid w:val="00F20801"/>
    <w:rsid w:val="00F20802"/>
    <w:rsid w:val="00F2084C"/>
    <w:rsid w:val="00F20930"/>
    <w:rsid w:val="00F20954"/>
    <w:rsid w:val="00F2097B"/>
    <w:rsid w:val="00F20B27"/>
    <w:rsid w:val="00F20B2A"/>
    <w:rsid w:val="00F20B6C"/>
    <w:rsid w:val="00F20B7D"/>
    <w:rsid w:val="00F20BD0"/>
    <w:rsid w:val="00F20C0D"/>
    <w:rsid w:val="00F20C25"/>
    <w:rsid w:val="00F20CB8"/>
    <w:rsid w:val="00F20CC2"/>
    <w:rsid w:val="00F20D29"/>
    <w:rsid w:val="00F20DFC"/>
    <w:rsid w:val="00F20E76"/>
    <w:rsid w:val="00F20F5F"/>
    <w:rsid w:val="00F20F82"/>
    <w:rsid w:val="00F20F83"/>
    <w:rsid w:val="00F2105A"/>
    <w:rsid w:val="00F2112C"/>
    <w:rsid w:val="00F21158"/>
    <w:rsid w:val="00F212AC"/>
    <w:rsid w:val="00F21312"/>
    <w:rsid w:val="00F213A6"/>
    <w:rsid w:val="00F213CE"/>
    <w:rsid w:val="00F213ED"/>
    <w:rsid w:val="00F2143D"/>
    <w:rsid w:val="00F214D1"/>
    <w:rsid w:val="00F2155D"/>
    <w:rsid w:val="00F2162D"/>
    <w:rsid w:val="00F21653"/>
    <w:rsid w:val="00F21678"/>
    <w:rsid w:val="00F216E2"/>
    <w:rsid w:val="00F21717"/>
    <w:rsid w:val="00F21782"/>
    <w:rsid w:val="00F217CE"/>
    <w:rsid w:val="00F21834"/>
    <w:rsid w:val="00F2192E"/>
    <w:rsid w:val="00F21999"/>
    <w:rsid w:val="00F21A14"/>
    <w:rsid w:val="00F21A1A"/>
    <w:rsid w:val="00F21AE3"/>
    <w:rsid w:val="00F21BB1"/>
    <w:rsid w:val="00F21C0B"/>
    <w:rsid w:val="00F21CC5"/>
    <w:rsid w:val="00F21D19"/>
    <w:rsid w:val="00F21D96"/>
    <w:rsid w:val="00F21DF1"/>
    <w:rsid w:val="00F21DF9"/>
    <w:rsid w:val="00F21F14"/>
    <w:rsid w:val="00F21F23"/>
    <w:rsid w:val="00F21F82"/>
    <w:rsid w:val="00F22034"/>
    <w:rsid w:val="00F22064"/>
    <w:rsid w:val="00F22153"/>
    <w:rsid w:val="00F2217B"/>
    <w:rsid w:val="00F22231"/>
    <w:rsid w:val="00F22342"/>
    <w:rsid w:val="00F22392"/>
    <w:rsid w:val="00F22410"/>
    <w:rsid w:val="00F22470"/>
    <w:rsid w:val="00F2253B"/>
    <w:rsid w:val="00F22565"/>
    <w:rsid w:val="00F22568"/>
    <w:rsid w:val="00F2261D"/>
    <w:rsid w:val="00F22653"/>
    <w:rsid w:val="00F226EB"/>
    <w:rsid w:val="00F22913"/>
    <w:rsid w:val="00F22B4B"/>
    <w:rsid w:val="00F22BC0"/>
    <w:rsid w:val="00F22CC5"/>
    <w:rsid w:val="00F22D20"/>
    <w:rsid w:val="00F22D39"/>
    <w:rsid w:val="00F22D98"/>
    <w:rsid w:val="00F22E0D"/>
    <w:rsid w:val="00F22E2E"/>
    <w:rsid w:val="00F22FA9"/>
    <w:rsid w:val="00F22FAB"/>
    <w:rsid w:val="00F22FD6"/>
    <w:rsid w:val="00F23020"/>
    <w:rsid w:val="00F230CE"/>
    <w:rsid w:val="00F23105"/>
    <w:rsid w:val="00F2313D"/>
    <w:rsid w:val="00F23144"/>
    <w:rsid w:val="00F231DB"/>
    <w:rsid w:val="00F2333F"/>
    <w:rsid w:val="00F233BA"/>
    <w:rsid w:val="00F233CD"/>
    <w:rsid w:val="00F23446"/>
    <w:rsid w:val="00F23467"/>
    <w:rsid w:val="00F234F7"/>
    <w:rsid w:val="00F23515"/>
    <w:rsid w:val="00F2359B"/>
    <w:rsid w:val="00F235F0"/>
    <w:rsid w:val="00F235F3"/>
    <w:rsid w:val="00F23635"/>
    <w:rsid w:val="00F23662"/>
    <w:rsid w:val="00F236B6"/>
    <w:rsid w:val="00F236C2"/>
    <w:rsid w:val="00F2370E"/>
    <w:rsid w:val="00F23756"/>
    <w:rsid w:val="00F23775"/>
    <w:rsid w:val="00F2380C"/>
    <w:rsid w:val="00F2384D"/>
    <w:rsid w:val="00F23983"/>
    <w:rsid w:val="00F23B2B"/>
    <w:rsid w:val="00F23B96"/>
    <w:rsid w:val="00F23D27"/>
    <w:rsid w:val="00F23D58"/>
    <w:rsid w:val="00F23DB1"/>
    <w:rsid w:val="00F23DD5"/>
    <w:rsid w:val="00F23E20"/>
    <w:rsid w:val="00F23E85"/>
    <w:rsid w:val="00F23F8F"/>
    <w:rsid w:val="00F23F9F"/>
    <w:rsid w:val="00F240A3"/>
    <w:rsid w:val="00F240C7"/>
    <w:rsid w:val="00F240CC"/>
    <w:rsid w:val="00F2410E"/>
    <w:rsid w:val="00F24146"/>
    <w:rsid w:val="00F2424E"/>
    <w:rsid w:val="00F242A2"/>
    <w:rsid w:val="00F243B4"/>
    <w:rsid w:val="00F2447B"/>
    <w:rsid w:val="00F24484"/>
    <w:rsid w:val="00F24486"/>
    <w:rsid w:val="00F244A5"/>
    <w:rsid w:val="00F244EA"/>
    <w:rsid w:val="00F245E2"/>
    <w:rsid w:val="00F24645"/>
    <w:rsid w:val="00F24678"/>
    <w:rsid w:val="00F246D6"/>
    <w:rsid w:val="00F2473D"/>
    <w:rsid w:val="00F2478B"/>
    <w:rsid w:val="00F247CE"/>
    <w:rsid w:val="00F247EE"/>
    <w:rsid w:val="00F247FF"/>
    <w:rsid w:val="00F2480C"/>
    <w:rsid w:val="00F24883"/>
    <w:rsid w:val="00F248B6"/>
    <w:rsid w:val="00F2494F"/>
    <w:rsid w:val="00F24976"/>
    <w:rsid w:val="00F2497C"/>
    <w:rsid w:val="00F24B31"/>
    <w:rsid w:val="00F24B4F"/>
    <w:rsid w:val="00F24BB8"/>
    <w:rsid w:val="00F24BFF"/>
    <w:rsid w:val="00F24C3C"/>
    <w:rsid w:val="00F24D2D"/>
    <w:rsid w:val="00F24DF7"/>
    <w:rsid w:val="00F24F90"/>
    <w:rsid w:val="00F25011"/>
    <w:rsid w:val="00F25018"/>
    <w:rsid w:val="00F25023"/>
    <w:rsid w:val="00F250E6"/>
    <w:rsid w:val="00F251B6"/>
    <w:rsid w:val="00F251CF"/>
    <w:rsid w:val="00F252EF"/>
    <w:rsid w:val="00F2530E"/>
    <w:rsid w:val="00F25347"/>
    <w:rsid w:val="00F25369"/>
    <w:rsid w:val="00F2551F"/>
    <w:rsid w:val="00F25550"/>
    <w:rsid w:val="00F25569"/>
    <w:rsid w:val="00F255AD"/>
    <w:rsid w:val="00F255CF"/>
    <w:rsid w:val="00F2561A"/>
    <w:rsid w:val="00F25658"/>
    <w:rsid w:val="00F2565C"/>
    <w:rsid w:val="00F2565F"/>
    <w:rsid w:val="00F2571D"/>
    <w:rsid w:val="00F25743"/>
    <w:rsid w:val="00F25753"/>
    <w:rsid w:val="00F25767"/>
    <w:rsid w:val="00F2577D"/>
    <w:rsid w:val="00F257C0"/>
    <w:rsid w:val="00F257CF"/>
    <w:rsid w:val="00F257E6"/>
    <w:rsid w:val="00F25801"/>
    <w:rsid w:val="00F2589E"/>
    <w:rsid w:val="00F258CB"/>
    <w:rsid w:val="00F25988"/>
    <w:rsid w:val="00F25A28"/>
    <w:rsid w:val="00F25A65"/>
    <w:rsid w:val="00F25A92"/>
    <w:rsid w:val="00F25ADE"/>
    <w:rsid w:val="00F25C81"/>
    <w:rsid w:val="00F25C9B"/>
    <w:rsid w:val="00F25D83"/>
    <w:rsid w:val="00F25D99"/>
    <w:rsid w:val="00F25DA8"/>
    <w:rsid w:val="00F25E4D"/>
    <w:rsid w:val="00F25F14"/>
    <w:rsid w:val="00F2601C"/>
    <w:rsid w:val="00F26022"/>
    <w:rsid w:val="00F26069"/>
    <w:rsid w:val="00F260C1"/>
    <w:rsid w:val="00F26103"/>
    <w:rsid w:val="00F261C4"/>
    <w:rsid w:val="00F262E3"/>
    <w:rsid w:val="00F2633C"/>
    <w:rsid w:val="00F263FC"/>
    <w:rsid w:val="00F26458"/>
    <w:rsid w:val="00F2649E"/>
    <w:rsid w:val="00F264CA"/>
    <w:rsid w:val="00F2651C"/>
    <w:rsid w:val="00F26542"/>
    <w:rsid w:val="00F265A1"/>
    <w:rsid w:val="00F26665"/>
    <w:rsid w:val="00F2669E"/>
    <w:rsid w:val="00F267FE"/>
    <w:rsid w:val="00F26856"/>
    <w:rsid w:val="00F268A1"/>
    <w:rsid w:val="00F268BD"/>
    <w:rsid w:val="00F26960"/>
    <w:rsid w:val="00F26963"/>
    <w:rsid w:val="00F269C2"/>
    <w:rsid w:val="00F26A5E"/>
    <w:rsid w:val="00F26ABA"/>
    <w:rsid w:val="00F26B0D"/>
    <w:rsid w:val="00F26B36"/>
    <w:rsid w:val="00F26B41"/>
    <w:rsid w:val="00F26BCE"/>
    <w:rsid w:val="00F26D63"/>
    <w:rsid w:val="00F26DD9"/>
    <w:rsid w:val="00F26E2E"/>
    <w:rsid w:val="00F26E51"/>
    <w:rsid w:val="00F26E90"/>
    <w:rsid w:val="00F26ED1"/>
    <w:rsid w:val="00F26ED5"/>
    <w:rsid w:val="00F26EEF"/>
    <w:rsid w:val="00F26F69"/>
    <w:rsid w:val="00F26F9F"/>
    <w:rsid w:val="00F26FCB"/>
    <w:rsid w:val="00F27096"/>
    <w:rsid w:val="00F27116"/>
    <w:rsid w:val="00F27188"/>
    <w:rsid w:val="00F271CB"/>
    <w:rsid w:val="00F27239"/>
    <w:rsid w:val="00F27286"/>
    <w:rsid w:val="00F272D0"/>
    <w:rsid w:val="00F272DF"/>
    <w:rsid w:val="00F272EB"/>
    <w:rsid w:val="00F27318"/>
    <w:rsid w:val="00F2738B"/>
    <w:rsid w:val="00F273B2"/>
    <w:rsid w:val="00F274CD"/>
    <w:rsid w:val="00F27592"/>
    <w:rsid w:val="00F275CA"/>
    <w:rsid w:val="00F27684"/>
    <w:rsid w:val="00F27687"/>
    <w:rsid w:val="00F2775C"/>
    <w:rsid w:val="00F277D4"/>
    <w:rsid w:val="00F2789B"/>
    <w:rsid w:val="00F278CE"/>
    <w:rsid w:val="00F27906"/>
    <w:rsid w:val="00F27991"/>
    <w:rsid w:val="00F27A76"/>
    <w:rsid w:val="00F27ABA"/>
    <w:rsid w:val="00F27AC6"/>
    <w:rsid w:val="00F27AC9"/>
    <w:rsid w:val="00F27AE3"/>
    <w:rsid w:val="00F27B3A"/>
    <w:rsid w:val="00F27B8C"/>
    <w:rsid w:val="00F27BCE"/>
    <w:rsid w:val="00F27C19"/>
    <w:rsid w:val="00F27C27"/>
    <w:rsid w:val="00F27C66"/>
    <w:rsid w:val="00F27EFB"/>
    <w:rsid w:val="00F27F28"/>
    <w:rsid w:val="00F27F52"/>
    <w:rsid w:val="00F30049"/>
    <w:rsid w:val="00F30054"/>
    <w:rsid w:val="00F3006D"/>
    <w:rsid w:val="00F300A8"/>
    <w:rsid w:val="00F300D5"/>
    <w:rsid w:val="00F30123"/>
    <w:rsid w:val="00F30166"/>
    <w:rsid w:val="00F301AC"/>
    <w:rsid w:val="00F3029A"/>
    <w:rsid w:val="00F3041F"/>
    <w:rsid w:val="00F30468"/>
    <w:rsid w:val="00F304EF"/>
    <w:rsid w:val="00F3054F"/>
    <w:rsid w:val="00F305EC"/>
    <w:rsid w:val="00F306B8"/>
    <w:rsid w:val="00F30709"/>
    <w:rsid w:val="00F307BD"/>
    <w:rsid w:val="00F30843"/>
    <w:rsid w:val="00F308B2"/>
    <w:rsid w:val="00F3095E"/>
    <w:rsid w:val="00F30975"/>
    <w:rsid w:val="00F309F0"/>
    <w:rsid w:val="00F30A40"/>
    <w:rsid w:val="00F30AF2"/>
    <w:rsid w:val="00F30BBD"/>
    <w:rsid w:val="00F30C10"/>
    <w:rsid w:val="00F30C74"/>
    <w:rsid w:val="00F30DDC"/>
    <w:rsid w:val="00F30DE8"/>
    <w:rsid w:val="00F30E80"/>
    <w:rsid w:val="00F30F0B"/>
    <w:rsid w:val="00F30F21"/>
    <w:rsid w:val="00F30F4D"/>
    <w:rsid w:val="00F30F90"/>
    <w:rsid w:val="00F30FFD"/>
    <w:rsid w:val="00F310E6"/>
    <w:rsid w:val="00F31243"/>
    <w:rsid w:val="00F312AB"/>
    <w:rsid w:val="00F312B3"/>
    <w:rsid w:val="00F31371"/>
    <w:rsid w:val="00F31388"/>
    <w:rsid w:val="00F313AF"/>
    <w:rsid w:val="00F313F3"/>
    <w:rsid w:val="00F31434"/>
    <w:rsid w:val="00F31471"/>
    <w:rsid w:val="00F314A8"/>
    <w:rsid w:val="00F314D0"/>
    <w:rsid w:val="00F3161B"/>
    <w:rsid w:val="00F316AB"/>
    <w:rsid w:val="00F31738"/>
    <w:rsid w:val="00F3177B"/>
    <w:rsid w:val="00F31796"/>
    <w:rsid w:val="00F317A5"/>
    <w:rsid w:val="00F317B9"/>
    <w:rsid w:val="00F31A38"/>
    <w:rsid w:val="00F31A77"/>
    <w:rsid w:val="00F31AE9"/>
    <w:rsid w:val="00F31BFE"/>
    <w:rsid w:val="00F31C34"/>
    <w:rsid w:val="00F31C51"/>
    <w:rsid w:val="00F31C65"/>
    <w:rsid w:val="00F31C86"/>
    <w:rsid w:val="00F31D53"/>
    <w:rsid w:val="00F31D67"/>
    <w:rsid w:val="00F31DD1"/>
    <w:rsid w:val="00F31DE4"/>
    <w:rsid w:val="00F31E96"/>
    <w:rsid w:val="00F31EA1"/>
    <w:rsid w:val="00F31FC9"/>
    <w:rsid w:val="00F3203B"/>
    <w:rsid w:val="00F32072"/>
    <w:rsid w:val="00F3208F"/>
    <w:rsid w:val="00F320B0"/>
    <w:rsid w:val="00F32115"/>
    <w:rsid w:val="00F321D9"/>
    <w:rsid w:val="00F321E5"/>
    <w:rsid w:val="00F3223B"/>
    <w:rsid w:val="00F32245"/>
    <w:rsid w:val="00F3234C"/>
    <w:rsid w:val="00F32558"/>
    <w:rsid w:val="00F3257B"/>
    <w:rsid w:val="00F3257E"/>
    <w:rsid w:val="00F3271D"/>
    <w:rsid w:val="00F32753"/>
    <w:rsid w:val="00F32817"/>
    <w:rsid w:val="00F32919"/>
    <w:rsid w:val="00F32945"/>
    <w:rsid w:val="00F32948"/>
    <w:rsid w:val="00F32976"/>
    <w:rsid w:val="00F32985"/>
    <w:rsid w:val="00F329C9"/>
    <w:rsid w:val="00F329D8"/>
    <w:rsid w:val="00F32BCE"/>
    <w:rsid w:val="00F32C32"/>
    <w:rsid w:val="00F32C99"/>
    <w:rsid w:val="00F32CCC"/>
    <w:rsid w:val="00F32D1A"/>
    <w:rsid w:val="00F32D63"/>
    <w:rsid w:val="00F32D70"/>
    <w:rsid w:val="00F32EAE"/>
    <w:rsid w:val="00F32F3A"/>
    <w:rsid w:val="00F32F57"/>
    <w:rsid w:val="00F32F96"/>
    <w:rsid w:val="00F32FA5"/>
    <w:rsid w:val="00F33117"/>
    <w:rsid w:val="00F331D0"/>
    <w:rsid w:val="00F331D6"/>
    <w:rsid w:val="00F3322C"/>
    <w:rsid w:val="00F3324F"/>
    <w:rsid w:val="00F33250"/>
    <w:rsid w:val="00F33251"/>
    <w:rsid w:val="00F333F9"/>
    <w:rsid w:val="00F33405"/>
    <w:rsid w:val="00F334FE"/>
    <w:rsid w:val="00F3355E"/>
    <w:rsid w:val="00F33572"/>
    <w:rsid w:val="00F335A1"/>
    <w:rsid w:val="00F335E6"/>
    <w:rsid w:val="00F336C1"/>
    <w:rsid w:val="00F3373F"/>
    <w:rsid w:val="00F3392D"/>
    <w:rsid w:val="00F339A5"/>
    <w:rsid w:val="00F33A1F"/>
    <w:rsid w:val="00F33A6A"/>
    <w:rsid w:val="00F33A93"/>
    <w:rsid w:val="00F33AC1"/>
    <w:rsid w:val="00F33B67"/>
    <w:rsid w:val="00F33C47"/>
    <w:rsid w:val="00F33C60"/>
    <w:rsid w:val="00F33CBF"/>
    <w:rsid w:val="00F33D2F"/>
    <w:rsid w:val="00F33E44"/>
    <w:rsid w:val="00F33E8E"/>
    <w:rsid w:val="00F33ED3"/>
    <w:rsid w:val="00F33EFC"/>
    <w:rsid w:val="00F33FDE"/>
    <w:rsid w:val="00F340D4"/>
    <w:rsid w:val="00F34166"/>
    <w:rsid w:val="00F3421D"/>
    <w:rsid w:val="00F342E3"/>
    <w:rsid w:val="00F342ED"/>
    <w:rsid w:val="00F342FC"/>
    <w:rsid w:val="00F3436B"/>
    <w:rsid w:val="00F34376"/>
    <w:rsid w:val="00F3448C"/>
    <w:rsid w:val="00F344CB"/>
    <w:rsid w:val="00F34531"/>
    <w:rsid w:val="00F3454F"/>
    <w:rsid w:val="00F34559"/>
    <w:rsid w:val="00F3455A"/>
    <w:rsid w:val="00F345B0"/>
    <w:rsid w:val="00F345B6"/>
    <w:rsid w:val="00F34609"/>
    <w:rsid w:val="00F346B7"/>
    <w:rsid w:val="00F34820"/>
    <w:rsid w:val="00F348E2"/>
    <w:rsid w:val="00F34998"/>
    <w:rsid w:val="00F34999"/>
    <w:rsid w:val="00F3499A"/>
    <w:rsid w:val="00F349AC"/>
    <w:rsid w:val="00F34A60"/>
    <w:rsid w:val="00F34AC9"/>
    <w:rsid w:val="00F34B33"/>
    <w:rsid w:val="00F34B41"/>
    <w:rsid w:val="00F34B87"/>
    <w:rsid w:val="00F34C21"/>
    <w:rsid w:val="00F34CB6"/>
    <w:rsid w:val="00F34CE5"/>
    <w:rsid w:val="00F34D8B"/>
    <w:rsid w:val="00F34E03"/>
    <w:rsid w:val="00F34E1F"/>
    <w:rsid w:val="00F34E73"/>
    <w:rsid w:val="00F34E9A"/>
    <w:rsid w:val="00F34EE2"/>
    <w:rsid w:val="00F34F56"/>
    <w:rsid w:val="00F3502C"/>
    <w:rsid w:val="00F35092"/>
    <w:rsid w:val="00F350D2"/>
    <w:rsid w:val="00F3510F"/>
    <w:rsid w:val="00F35175"/>
    <w:rsid w:val="00F351AD"/>
    <w:rsid w:val="00F351DE"/>
    <w:rsid w:val="00F352ED"/>
    <w:rsid w:val="00F35387"/>
    <w:rsid w:val="00F3538C"/>
    <w:rsid w:val="00F35403"/>
    <w:rsid w:val="00F35435"/>
    <w:rsid w:val="00F35477"/>
    <w:rsid w:val="00F354A3"/>
    <w:rsid w:val="00F354B6"/>
    <w:rsid w:val="00F354E2"/>
    <w:rsid w:val="00F354FE"/>
    <w:rsid w:val="00F35500"/>
    <w:rsid w:val="00F3550C"/>
    <w:rsid w:val="00F35527"/>
    <w:rsid w:val="00F3563E"/>
    <w:rsid w:val="00F35658"/>
    <w:rsid w:val="00F35666"/>
    <w:rsid w:val="00F3567D"/>
    <w:rsid w:val="00F356A7"/>
    <w:rsid w:val="00F3579D"/>
    <w:rsid w:val="00F3581A"/>
    <w:rsid w:val="00F35821"/>
    <w:rsid w:val="00F35828"/>
    <w:rsid w:val="00F35880"/>
    <w:rsid w:val="00F358CF"/>
    <w:rsid w:val="00F358E7"/>
    <w:rsid w:val="00F358FB"/>
    <w:rsid w:val="00F35941"/>
    <w:rsid w:val="00F35983"/>
    <w:rsid w:val="00F35996"/>
    <w:rsid w:val="00F35A53"/>
    <w:rsid w:val="00F35A64"/>
    <w:rsid w:val="00F35A96"/>
    <w:rsid w:val="00F35B34"/>
    <w:rsid w:val="00F35B41"/>
    <w:rsid w:val="00F35B52"/>
    <w:rsid w:val="00F35B5E"/>
    <w:rsid w:val="00F35B80"/>
    <w:rsid w:val="00F35CDF"/>
    <w:rsid w:val="00F35D83"/>
    <w:rsid w:val="00F35DB9"/>
    <w:rsid w:val="00F35DDA"/>
    <w:rsid w:val="00F35E13"/>
    <w:rsid w:val="00F35E58"/>
    <w:rsid w:val="00F35E89"/>
    <w:rsid w:val="00F35F7E"/>
    <w:rsid w:val="00F36055"/>
    <w:rsid w:val="00F36063"/>
    <w:rsid w:val="00F3606A"/>
    <w:rsid w:val="00F36083"/>
    <w:rsid w:val="00F360D1"/>
    <w:rsid w:val="00F36127"/>
    <w:rsid w:val="00F36137"/>
    <w:rsid w:val="00F36158"/>
    <w:rsid w:val="00F36224"/>
    <w:rsid w:val="00F362B2"/>
    <w:rsid w:val="00F36300"/>
    <w:rsid w:val="00F3636B"/>
    <w:rsid w:val="00F363BC"/>
    <w:rsid w:val="00F36528"/>
    <w:rsid w:val="00F36585"/>
    <w:rsid w:val="00F36654"/>
    <w:rsid w:val="00F367CE"/>
    <w:rsid w:val="00F36801"/>
    <w:rsid w:val="00F36822"/>
    <w:rsid w:val="00F3683A"/>
    <w:rsid w:val="00F368D4"/>
    <w:rsid w:val="00F368F6"/>
    <w:rsid w:val="00F36A98"/>
    <w:rsid w:val="00F36A9E"/>
    <w:rsid w:val="00F36BF7"/>
    <w:rsid w:val="00F36CB8"/>
    <w:rsid w:val="00F36FF5"/>
    <w:rsid w:val="00F3701F"/>
    <w:rsid w:val="00F37027"/>
    <w:rsid w:val="00F37074"/>
    <w:rsid w:val="00F3709E"/>
    <w:rsid w:val="00F370A2"/>
    <w:rsid w:val="00F3712B"/>
    <w:rsid w:val="00F3713D"/>
    <w:rsid w:val="00F37158"/>
    <w:rsid w:val="00F3718B"/>
    <w:rsid w:val="00F3719A"/>
    <w:rsid w:val="00F3719C"/>
    <w:rsid w:val="00F372BD"/>
    <w:rsid w:val="00F372D2"/>
    <w:rsid w:val="00F37328"/>
    <w:rsid w:val="00F37333"/>
    <w:rsid w:val="00F37386"/>
    <w:rsid w:val="00F373F7"/>
    <w:rsid w:val="00F373F8"/>
    <w:rsid w:val="00F37420"/>
    <w:rsid w:val="00F374C3"/>
    <w:rsid w:val="00F374E1"/>
    <w:rsid w:val="00F3755F"/>
    <w:rsid w:val="00F375FA"/>
    <w:rsid w:val="00F3762C"/>
    <w:rsid w:val="00F3770C"/>
    <w:rsid w:val="00F37745"/>
    <w:rsid w:val="00F3778B"/>
    <w:rsid w:val="00F37853"/>
    <w:rsid w:val="00F37977"/>
    <w:rsid w:val="00F379E1"/>
    <w:rsid w:val="00F379E8"/>
    <w:rsid w:val="00F37A10"/>
    <w:rsid w:val="00F37A45"/>
    <w:rsid w:val="00F37A4E"/>
    <w:rsid w:val="00F37B6A"/>
    <w:rsid w:val="00F37B96"/>
    <w:rsid w:val="00F37BF8"/>
    <w:rsid w:val="00F37C1D"/>
    <w:rsid w:val="00F37C27"/>
    <w:rsid w:val="00F37C9E"/>
    <w:rsid w:val="00F37CC2"/>
    <w:rsid w:val="00F37D2B"/>
    <w:rsid w:val="00F37DB3"/>
    <w:rsid w:val="00F37DBC"/>
    <w:rsid w:val="00F37DC4"/>
    <w:rsid w:val="00F37DC8"/>
    <w:rsid w:val="00F37E03"/>
    <w:rsid w:val="00F37E1F"/>
    <w:rsid w:val="00F37E43"/>
    <w:rsid w:val="00F37E4A"/>
    <w:rsid w:val="00F37EAD"/>
    <w:rsid w:val="00F37F25"/>
    <w:rsid w:val="00F40021"/>
    <w:rsid w:val="00F4002F"/>
    <w:rsid w:val="00F400C4"/>
    <w:rsid w:val="00F40125"/>
    <w:rsid w:val="00F40127"/>
    <w:rsid w:val="00F4013E"/>
    <w:rsid w:val="00F401F1"/>
    <w:rsid w:val="00F40238"/>
    <w:rsid w:val="00F402BE"/>
    <w:rsid w:val="00F4045E"/>
    <w:rsid w:val="00F406B7"/>
    <w:rsid w:val="00F406CA"/>
    <w:rsid w:val="00F4070F"/>
    <w:rsid w:val="00F40752"/>
    <w:rsid w:val="00F407B8"/>
    <w:rsid w:val="00F407E9"/>
    <w:rsid w:val="00F408FD"/>
    <w:rsid w:val="00F4094F"/>
    <w:rsid w:val="00F40958"/>
    <w:rsid w:val="00F4095D"/>
    <w:rsid w:val="00F40A81"/>
    <w:rsid w:val="00F40B0E"/>
    <w:rsid w:val="00F40B5A"/>
    <w:rsid w:val="00F40BC7"/>
    <w:rsid w:val="00F40C5E"/>
    <w:rsid w:val="00F40CE4"/>
    <w:rsid w:val="00F40D35"/>
    <w:rsid w:val="00F40D53"/>
    <w:rsid w:val="00F40D99"/>
    <w:rsid w:val="00F40DD7"/>
    <w:rsid w:val="00F40E77"/>
    <w:rsid w:val="00F40EF1"/>
    <w:rsid w:val="00F40F34"/>
    <w:rsid w:val="00F40F7B"/>
    <w:rsid w:val="00F4108D"/>
    <w:rsid w:val="00F41203"/>
    <w:rsid w:val="00F41271"/>
    <w:rsid w:val="00F412C4"/>
    <w:rsid w:val="00F412DD"/>
    <w:rsid w:val="00F413C4"/>
    <w:rsid w:val="00F413D1"/>
    <w:rsid w:val="00F413D9"/>
    <w:rsid w:val="00F41482"/>
    <w:rsid w:val="00F414CD"/>
    <w:rsid w:val="00F415B3"/>
    <w:rsid w:val="00F415C6"/>
    <w:rsid w:val="00F415F8"/>
    <w:rsid w:val="00F4162F"/>
    <w:rsid w:val="00F41771"/>
    <w:rsid w:val="00F417AE"/>
    <w:rsid w:val="00F41837"/>
    <w:rsid w:val="00F41841"/>
    <w:rsid w:val="00F41928"/>
    <w:rsid w:val="00F41A41"/>
    <w:rsid w:val="00F41AA5"/>
    <w:rsid w:val="00F41AB7"/>
    <w:rsid w:val="00F41AC5"/>
    <w:rsid w:val="00F41B37"/>
    <w:rsid w:val="00F41B94"/>
    <w:rsid w:val="00F41BCE"/>
    <w:rsid w:val="00F41C9F"/>
    <w:rsid w:val="00F41CCF"/>
    <w:rsid w:val="00F41DA0"/>
    <w:rsid w:val="00F41DAE"/>
    <w:rsid w:val="00F41F18"/>
    <w:rsid w:val="00F41FC9"/>
    <w:rsid w:val="00F42056"/>
    <w:rsid w:val="00F420B8"/>
    <w:rsid w:val="00F42168"/>
    <w:rsid w:val="00F4226D"/>
    <w:rsid w:val="00F422B2"/>
    <w:rsid w:val="00F422B4"/>
    <w:rsid w:val="00F423E4"/>
    <w:rsid w:val="00F42481"/>
    <w:rsid w:val="00F4256C"/>
    <w:rsid w:val="00F425BA"/>
    <w:rsid w:val="00F4269B"/>
    <w:rsid w:val="00F426FC"/>
    <w:rsid w:val="00F42758"/>
    <w:rsid w:val="00F427D8"/>
    <w:rsid w:val="00F428D5"/>
    <w:rsid w:val="00F4299C"/>
    <w:rsid w:val="00F429FE"/>
    <w:rsid w:val="00F429FF"/>
    <w:rsid w:val="00F42A86"/>
    <w:rsid w:val="00F42AE5"/>
    <w:rsid w:val="00F42B05"/>
    <w:rsid w:val="00F42B50"/>
    <w:rsid w:val="00F42C3E"/>
    <w:rsid w:val="00F42C52"/>
    <w:rsid w:val="00F42C98"/>
    <w:rsid w:val="00F42CB2"/>
    <w:rsid w:val="00F42CE0"/>
    <w:rsid w:val="00F42D13"/>
    <w:rsid w:val="00F42D5C"/>
    <w:rsid w:val="00F42E0F"/>
    <w:rsid w:val="00F42EA3"/>
    <w:rsid w:val="00F42F15"/>
    <w:rsid w:val="00F43068"/>
    <w:rsid w:val="00F430F7"/>
    <w:rsid w:val="00F43108"/>
    <w:rsid w:val="00F431C1"/>
    <w:rsid w:val="00F43223"/>
    <w:rsid w:val="00F43228"/>
    <w:rsid w:val="00F43236"/>
    <w:rsid w:val="00F4329D"/>
    <w:rsid w:val="00F433D0"/>
    <w:rsid w:val="00F43413"/>
    <w:rsid w:val="00F43422"/>
    <w:rsid w:val="00F4344A"/>
    <w:rsid w:val="00F4359A"/>
    <w:rsid w:val="00F435E3"/>
    <w:rsid w:val="00F435EB"/>
    <w:rsid w:val="00F43619"/>
    <w:rsid w:val="00F43688"/>
    <w:rsid w:val="00F436D8"/>
    <w:rsid w:val="00F436EC"/>
    <w:rsid w:val="00F43744"/>
    <w:rsid w:val="00F43749"/>
    <w:rsid w:val="00F4381D"/>
    <w:rsid w:val="00F43849"/>
    <w:rsid w:val="00F438DB"/>
    <w:rsid w:val="00F4393E"/>
    <w:rsid w:val="00F43954"/>
    <w:rsid w:val="00F439A6"/>
    <w:rsid w:val="00F439F8"/>
    <w:rsid w:val="00F43A87"/>
    <w:rsid w:val="00F43B29"/>
    <w:rsid w:val="00F43C22"/>
    <w:rsid w:val="00F43D33"/>
    <w:rsid w:val="00F43E14"/>
    <w:rsid w:val="00F43ED9"/>
    <w:rsid w:val="00F43F0F"/>
    <w:rsid w:val="00F43F58"/>
    <w:rsid w:val="00F43F7E"/>
    <w:rsid w:val="00F43F7F"/>
    <w:rsid w:val="00F43FD5"/>
    <w:rsid w:val="00F4408F"/>
    <w:rsid w:val="00F440B4"/>
    <w:rsid w:val="00F44128"/>
    <w:rsid w:val="00F44147"/>
    <w:rsid w:val="00F4414E"/>
    <w:rsid w:val="00F44187"/>
    <w:rsid w:val="00F441BF"/>
    <w:rsid w:val="00F4426A"/>
    <w:rsid w:val="00F44354"/>
    <w:rsid w:val="00F44392"/>
    <w:rsid w:val="00F44393"/>
    <w:rsid w:val="00F444C8"/>
    <w:rsid w:val="00F445F8"/>
    <w:rsid w:val="00F446A0"/>
    <w:rsid w:val="00F4473F"/>
    <w:rsid w:val="00F44781"/>
    <w:rsid w:val="00F4486B"/>
    <w:rsid w:val="00F448AD"/>
    <w:rsid w:val="00F44A79"/>
    <w:rsid w:val="00F44AA3"/>
    <w:rsid w:val="00F44AA6"/>
    <w:rsid w:val="00F44AA8"/>
    <w:rsid w:val="00F44ABE"/>
    <w:rsid w:val="00F44B5E"/>
    <w:rsid w:val="00F44B65"/>
    <w:rsid w:val="00F44C0D"/>
    <w:rsid w:val="00F44C62"/>
    <w:rsid w:val="00F44CD3"/>
    <w:rsid w:val="00F44D29"/>
    <w:rsid w:val="00F44D41"/>
    <w:rsid w:val="00F44D82"/>
    <w:rsid w:val="00F44D89"/>
    <w:rsid w:val="00F44DBA"/>
    <w:rsid w:val="00F44E71"/>
    <w:rsid w:val="00F44F2D"/>
    <w:rsid w:val="00F44FEB"/>
    <w:rsid w:val="00F45015"/>
    <w:rsid w:val="00F450AC"/>
    <w:rsid w:val="00F450B3"/>
    <w:rsid w:val="00F450DE"/>
    <w:rsid w:val="00F45117"/>
    <w:rsid w:val="00F4511B"/>
    <w:rsid w:val="00F45123"/>
    <w:rsid w:val="00F45157"/>
    <w:rsid w:val="00F45188"/>
    <w:rsid w:val="00F4519B"/>
    <w:rsid w:val="00F45236"/>
    <w:rsid w:val="00F45238"/>
    <w:rsid w:val="00F45251"/>
    <w:rsid w:val="00F45264"/>
    <w:rsid w:val="00F452A6"/>
    <w:rsid w:val="00F452E8"/>
    <w:rsid w:val="00F4544E"/>
    <w:rsid w:val="00F45552"/>
    <w:rsid w:val="00F45582"/>
    <w:rsid w:val="00F4572F"/>
    <w:rsid w:val="00F457A1"/>
    <w:rsid w:val="00F45849"/>
    <w:rsid w:val="00F4588F"/>
    <w:rsid w:val="00F45933"/>
    <w:rsid w:val="00F4597D"/>
    <w:rsid w:val="00F4599B"/>
    <w:rsid w:val="00F4599E"/>
    <w:rsid w:val="00F459F2"/>
    <w:rsid w:val="00F45A6D"/>
    <w:rsid w:val="00F45A82"/>
    <w:rsid w:val="00F45B8C"/>
    <w:rsid w:val="00F45B9C"/>
    <w:rsid w:val="00F45BE3"/>
    <w:rsid w:val="00F45C1F"/>
    <w:rsid w:val="00F45C45"/>
    <w:rsid w:val="00F45CAE"/>
    <w:rsid w:val="00F45D1B"/>
    <w:rsid w:val="00F45D48"/>
    <w:rsid w:val="00F45D9B"/>
    <w:rsid w:val="00F45E05"/>
    <w:rsid w:val="00F45EFA"/>
    <w:rsid w:val="00F45F04"/>
    <w:rsid w:val="00F45F2E"/>
    <w:rsid w:val="00F45F59"/>
    <w:rsid w:val="00F45FF5"/>
    <w:rsid w:val="00F460E2"/>
    <w:rsid w:val="00F461D4"/>
    <w:rsid w:val="00F462DC"/>
    <w:rsid w:val="00F463FB"/>
    <w:rsid w:val="00F464F7"/>
    <w:rsid w:val="00F46505"/>
    <w:rsid w:val="00F46551"/>
    <w:rsid w:val="00F46571"/>
    <w:rsid w:val="00F466E7"/>
    <w:rsid w:val="00F46750"/>
    <w:rsid w:val="00F467B3"/>
    <w:rsid w:val="00F46948"/>
    <w:rsid w:val="00F4694F"/>
    <w:rsid w:val="00F4699B"/>
    <w:rsid w:val="00F46A13"/>
    <w:rsid w:val="00F46A23"/>
    <w:rsid w:val="00F46A6F"/>
    <w:rsid w:val="00F46AFA"/>
    <w:rsid w:val="00F46BA1"/>
    <w:rsid w:val="00F46C38"/>
    <w:rsid w:val="00F46D25"/>
    <w:rsid w:val="00F46E0B"/>
    <w:rsid w:val="00F46EB8"/>
    <w:rsid w:val="00F46EE4"/>
    <w:rsid w:val="00F46F0A"/>
    <w:rsid w:val="00F46F17"/>
    <w:rsid w:val="00F46FBC"/>
    <w:rsid w:val="00F470A9"/>
    <w:rsid w:val="00F47132"/>
    <w:rsid w:val="00F4713F"/>
    <w:rsid w:val="00F47310"/>
    <w:rsid w:val="00F473B1"/>
    <w:rsid w:val="00F473C1"/>
    <w:rsid w:val="00F4740E"/>
    <w:rsid w:val="00F4743F"/>
    <w:rsid w:val="00F474ED"/>
    <w:rsid w:val="00F475BF"/>
    <w:rsid w:val="00F475C1"/>
    <w:rsid w:val="00F475C8"/>
    <w:rsid w:val="00F476F2"/>
    <w:rsid w:val="00F47787"/>
    <w:rsid w:val="00F4779C"/>
    <w:rsid w:val="00F477A6"/>
    <w:rsid w:val="00F4790F"/>
    <w:rsid w:val="00F47A01"/>
    <w:rsid w:val="00F47B7B"/>
    <w:rsid w:val="00F47C74"/>
    <w:rsid w:val="00F47D5D"/>
    <w:rsid w:val="00F47E65"/>
    <w:rsid w:val="00F47EBD"/>
    <w:rsid w:val="00F47F8B"/>
    <w:rsid w:val="00F5008E"/>
    <w:rsid w:val="00F50152"/>
    <w:rsid w:val="00F501E7"/>
    <w:rsid w:val="00F50230"/>
    <w:rsid w:val="00F50245"/>
    <w:rsid w:val="00F5029A"/>
    <w:rsid w:val="00F50359"/>
    <w:rsid w:val="00F503A9"/>
    <w:rsid w:val="00F503AD"/>
    <w:rsid w:val="00F503FD"/>
    <w:rsid w:val="00F50426"/>
    <w:rsid w:val="00F50514"/>
    <w:rsid w:val="00F50554"/>
    <w:rsid w:val="00F5060F"/>
    <w:rsid w:val="00F506C7"/>
    <w:rsid w:val="00F50731"/>
    <w:rsid w:val="00F50769"/>
    <w:rsid w:val="00F5083C"/>
    <w:rsid w:val="00F50A22"/>
    <w:rsid w:val="00F50A2B"/>
    <w:rsid w:val="00F50A6E"/>
    <w:rsid w:val="00F50BD1"/>
    <w:rsid w:val="00F50BF1"/>
    <w:rsid w:val="00F50C1A"/>
    <w:rsid w:val="00F50D07"/>
    <w:rsid w:val="00F51062"/>
    <w:rsid w:val="00F510D8"/>
    <w:rsid w:val="00F511F3"/>
    <w:rsid w:val="00F51268"/>
    <w:rsid w:val="00F51274"/>
    <w:rsid w:val="00F512C7"/>
    <w:rsid w:val="00F5135D"/>
    <w:rsid w:val="00F51394"/>
    <w:rsid w:val="00F513DB"/>
    <w:rsid w:val="00F51515"/>
    <w:rsid w:val="00F51603"/>
    <w:rsid w:val="00F516BD"/>
    <w:rsid w:val="00F516D4"/>
    <w:rsid w:val="00F516FF"/>
    <w:rsid w:val="00F51704"/>
    <w:rsid w:val="00F51748"/>
    <w:rsid w:val="00F51759"/>
    <w:rsid w:val="00F517D5"/>
    <w:rsid w:val="00F51882"/>
    <w:rsid w:val="00F518C6"/>
    <w:rsid w:val="00F518DC"/>
    <w:rsid w:val="00F51976"/>
    <w:rsid w:val="00F51AAE"/>
    <w:rsid w:val="00F51BE9"/>
    <w:rsid w:val="00F51C18"/>
    <w:rsid w:val="00F51C1E"/>
    <w:rsid w:val="00F51C29"/>
    <w:rsid w:val="00F51CA9"/>
    <w:rsid w:val="00F51DDD"/>
    <w:rsid w:val="00F51F2F"/>
    <w:rsid w:val="00F52108"/>
    <w:rsid w:val="00F52114"/>
    <w:rsid w:val="00F52152"/>
    <w:rsid w:val="00F521CC"/>
    <w:rsid w:val="00F522A5"/>
    <w:rsid w:val="00F522EF"/>
    <w:rsid w:val="00F52360"/>
    <w:rsid w:val="00F52368"/>
    <w:rsid w:val="00F52387"/>
    <w:rsid w:val="00F52425"/>
    <w:rsid w:val="00F524D4"/>
    <w:rsid w:val="00F524E4"/>
    <w:rsid w:val="00F5262D"/>
    <w:rsid w:val="00F526CA"/>
    <w:rsid w:val="00F528AB"/>
    <w:rsid w:val="00F528B8"/>
    <w:rsid w:val="00F528BA"/>
    <w:rsid w:val="00F529AB"/>
    <w:rsid w:val="00F529B8"/>
    <w:rsid w:val="00F52B36"/>
    <w:rsid w:val="00F52BD5"/>
    <w:rsid w:val="00F52BD9"/>
    <w:rsid w:val="00F52C5A"/>
    <w:rsid w:val="00F52D8A"/>
    <w:rsid w:val="00F52E59"/>
    <w:rsid w:val="00F52F09"/>
    <w:rsid w:val="00F52FC2"/>
    <w:rsid w:val="00F52FE3"/>
    <w:rsid w:val="00F53045"/>
    <w:rsid w:val="00F53091"/>
    <w:rsid w:val="00F530D9"/>
    <w:rsid w:val="00F5312B"/>
    <w:rsid w:val="00F5315A"/>
    <w:rsid w:val="00F531E9"/>
    <w:rsid w:val="00F532A4"/>
    <w:rsid w:val="00F533B4"/>
    <w:rsid w:val="00F533B6"/>
    <w:rsid w:val="00F53444"/>
    <w:rsid w:val="00F5344E"/>
    <w:rsid w:val="00F5349D"/>
    <w:rsid w:val="00F534AB"/>
    <w:rsid w:val="00F5353F"/>
    <w:rsid w:val="00F53577"/>
    <w:rsid w:val="00F53591"/>
    <w:rsid w:val="00F53620"/>
    <w:rsid w:val="00F53637"/>
    <w:rsid w:val="00F53649"/>
    <w:rsid w:val="00F53652"/>
    <w:rsid w:val="00F53691"/>
    <w:rsid w:val="00F537E4"/>
    <w:rsid w:val="00F538B8"/>
    <w:rsid w:val="00F53A36"/>
    <w:rsid w:val="00F53A53"/>
    <w:rsid w:val="00F53A70"/>
    <w:rsid w:val="00F53AAA"/>
    <w:rsid w:val="00F53AC0"/>
    <w:rsid w:val="00F53B15"/>
    <w:rsid w:val="00F53B6D"/>
    <w:rsid w:val="00F53CAF"/>
    <w:rsid w:val="00F53CDF"/>
    <w:rsid w:val="00F53E71"/>
    <w:rsid w:val="00F53EAC"/>
    <w:rsid w:val="00F53F11"/>
    <w:rsid w:val="00F53FE2"/>
    <w:rsid w:val="00F54008"/>
    <w:rsid w:val="00F54060"/>
    <w:rsid w:val="00F54070"/>
    <w:rsid w:val="00F54183"/>
    <w:rsid w:val="00F541D4"/>
    <w:rsid w:val="00F5424B"/>
    <w:rsid w:val="00F54261"/>
    <w:rsid w:val="00F542BA"/>
    <w:rsid w:val="00F5431D"/>
    <w:rsid w:val="00F54324"/>
    <w:rsid w:val="00F5441A"/>
    <w:rsid w:val="00F54445"/>
    <w:rsid w:val="00F54461"/>
    <w:rsid w:val="00F544CC"/>
    <w:rsid w:val="00F54580"/>
    <w:rsid w:val="00F545B2"/>
    <w:rsid w:val="00F546B1"/>
    <w:rsid w:val="00F54714"/>
    <w:rsid w:val="00F54732"/>
    <w:rsid w:val="00F5476F"/>
    <w:rsid w:val="00F547D4"/>
    <w:rsid w:val="00F5480E"/>
    <w:rsid w:val="00F5489E"/>
    <w:rsid w:val="00F5491B"/>
    <w:rsid w:val="00F54937"/>
    <w:rsid w:val="00F5496D"/>
    <w:rsid w:val="00F54A0D"/>
    <w:rsid w:val="00F54A1C"/>
    <w:rsid w:val="00F54A27"/>
    <w:rsid w:val="00F54A67"/>
    <w:rsid w:val="00F54AFD"/>
    <w:rsid w:val="00F54B16"/>
    <w:rsid w:val="00F54B3C"/>
    <w:rsid w:val="00F54C32"/>
    <w:rsid w:val="00F54CE5"/>
    <w:rsid w:val="00F54D03"/>
    <w:rsid w:val="00F54E09"/>
    <w:rsid w:val="00F54E4C"/>
    <w:rsid w:val="00F54E96"/>
    <w:rsid w:val="00F54EF7"/>
    <w:rsid w:val="00F55183"/>
    <w:rsid w:val="00F551F3"/>
    <w:rsid w:val="00F55279"/>
    <w:rsid w:val="00F55287"/>
    <w:rsid w:val="00F552FA"/>
    <w:rsid w:val="00F55326"/>
    <w:rsid w:val="00F554DE"/>
    <w:rsid w:val="00F5553B"/>
    <w:rsid w:val="00F5556D"/>
    <w:rsid w:val="00F555AE"/>
    <w:rsid w:val="00F555BB"/>
    <w:rsid w:val="00F555F2"/>
    <w:rsid w:val="00F5565D"/>
    <w:rsid w:val="00F556D9"/>
    <w:rsid w:val="00F556F3"/>
    <w:rsid w:val="00F55717"/>
    <w:rsid w:val="00F557AB"/>
    <w:rsid w:val="00F55851"/>
    <w:rsid w:val="00F55913"/>
    <w:rsid w:val="00F5596C"/>
    <w:rsid w:val="00F5597D"/>
    <w:rsid w:val="00F55A6C"/>
    <w:rsid w:val="00F55B60"/>
    <w:rsid w:val="00F55BA6"/>
    <w:rsid w:val="00F55C02"/>
    <w:rsid w:val="00F55C6C"/>
    <w:rsid w:val="00F55C7B"/>
    <w:rsid w:val="00F55C91"/>
    <w:rsid w:val="00F55CF0"/>
    <w:rsid w:val="00F55D03"/>
    <w:rsid w:val="00F55D74"/>
    <w:rsid w:val="00F55ED7"/>
    <w:rsid w:val="00F55F4A"/>
    <w:rsid w:val="00F55FAC"/>
    <w:rsid w:val="00F55FCB"/>
    <w:rsid w:val="00F55FD5"/>
    <w:rsid w:val="00F55FF7"/>
    <w:rsid w:val="00F56062"/>
    <w:rsid w:val="00F56075"/>
    <w:rsid w:val="00F560AF"/>
    <w:rsid w:val="00F560F8"/>
    <w:rsid w:val="00F5610C"/>
    <w:rsid w:val="00F5617A"/>
    <w:rsid w:val="00F561AD"/>
    <w:rsid w:val="00F5622F"/>
    <w:rsid w:val="00F56300"/>
    <w:rsid w:val="00F564B0"/>
    <w:rsid w:val="00F5652D"/>
    <w:rsid w:val="00F5652F"/>
    <w:rsid w:val="00F5659D"/>
    <w:rsid w:val="00F5660A"/>
    <w:rsid w:val="00F56633"/>
    <w:rsid w:val="00F566CE"/>
    <w:rsid w:val="00F567AE"/>
    <w:rsid w:val="00F56803"/>
    <w:rsid w:val="00F568AC"/>
    <w:rsid w:val="00F56912"/>
    <w:rsid w:val="00F56941"/>
    <w:rsid w:val="00F56943"/>
    <w:rsid w:val="00F56A22"/>
    <w:rsid w:val="00F56A34"/>
    <w:rsid w:val="00F56A3E"/>
    <w:rsid w:val="00F56A68"/>
    <w:rsid w:val="00F56A71"/>
    <w:rsid w:val="00F56A85"/>
    <w:rsid w:val="00F56B3A"/>
    <w:rsid w:val="00F56BAB"/>
    <w:rsid w:val="00F56D7F"/>
    <w:rsid w:val="00F56DC5"/>
    <w:rsid w:val="00F56F1D"/>
    <w:rsid w:val="00F56F25"/>
    <w:rsid w:val="00F56F98"/>
    <w:rsid w:val="00F57085"/>
    <w:rsid w:val="00F57102"/>
    <w:rsid w:val="00F57172"/>
    <w:rsid w:val="00F571C4"/>
    <w:rsid w:val="00F57277"/>
    <w:rsid w:val="00F57312"/>
    <w:rsid w:val="00F5736C"/>
    <w:rsid w:val="00F57377"/>
    <w:rsid w:val="00F5741F"/>
    <w:rsid w:val="00F5743C"/>
    <w:rsid w:val="00F5756A"/>
    <w:rsid w:val="00F575F0"/>
    <w:rsid w:val="00F5760F"/>
    <w:rsid w:val="00F5761D"/>
    <w:rsid w:val="00F5767C"/>
    <w:rsid w:val="00F57715"/>
    <w:rsid w:val="00F57805"/>
    <w:rsid w:val="00F57882"/>
    <w:rsid w:val="00F57899"/>
    <w:rsid w:val="00F578B8"/>
    <w:rsid w:val="00F57948"/>
    <w:rsid w:val="00F5798A"/>
    <w:rsid w:val="00F57A3E"/>
    <w:rsid w:val="00F57AA4"/>
    <w:rsid w:val="00F57B5E"/>
    <w:rsid w:val="00F57C6C"/>
    <w:rsid w:val="00F57CB8"/>
    <w:rsid w:val="00F57E3B"/>
    <w:rsid w:val="00F57E57"/>
    <w:rsid w:val="00F57EAA"/>
    <w:rsid w:val="00F57EBC"/>
    <w:rsid w:val="00F57EBE"/>
    <w:rsid w:val="00F57F9B"/>
    <w:rsid w:val="00F57FDE"/>
    <w:rsid w:val="00F60046"/>
    <w:rsid w:val="00F600CF"/>
    <w:rsid w:val="00F600E5"/>
    <w:rsid w:val="00F60217"/>
    <w:rsid w:val="00F6028A"/>
    <w:rsid w:val="00F60380"/>
    <w:rsid w:val="00F603B3"/>
    <w:rsid w:val="00F603E5"/>
    <w:rsid w:val="00F60431"/>
    <w:rsid w:val="00F60454"/>
    <w:rsid w:val="00F6047B"/>
    <w:rsid w:val="00F6053C"/>
    <w:rsid w:val="00F605E1"/>
    <w:rsid w:val="00F605F4"/>
    <w:rsid w:val="00F6063F"/>
    <w:rsid w:val="00F6072B"/>
    <w:rsid w:val="00F6085F"/>
    <w:rsid w:val="00F608A1"/>
    <w:rsid w:val="00F60931"/>
    <w:rsid w:val="00F60A43"/>
    <w:rsid w:val="00F60A64"/>
    <w:rsid w:val="00F60A6C"/>
    <w:rsid w:val="00F60C0E"/>
    <w:rsid w:val="00F60CA3"/>
    <w:rsid w:val="00F60D28"/>
    <w:rsid w:val="00F60D57"/>
    <w:rsid w:val="00F60DE5"/>
    <w:rsid w:val="00F60E2B"/>
    <w:rsid w:val="00F60E34"/>
    <w:rsid w:val="00F61074"/>
    <w:rsid w:val="00F61143"/>
    <w:rsid w:val="00F61165"/>
    <w:rsid w:val="00F61293"/>
    <w:rsid w:val="00F6129C"/>
    <w:rsid w:val="00F612C7"/>
    <w:rsid w:val="00F61386"/>
    <w:rsid w:val="00F6139A"/>
    <w:rsid w:val="00F61402"/>
    <w:rsid w:val="00F614A3"/>
    <w:rsid w:val="00F614C7"/>
    <w:rsid w:val="00F6153E"/>
    <w:rsid w:val="00F6157B"/>
    <w:rsid w:val="00F617F6"/>
    <w:rsid w:val="00F6198F"/>
    <w:rsid w:val="00F619AF"/>
    <w:rsid w:val="00F61A29"/>
    <w:rsid w:val="00F61A48"/>
    <w:rsid w:val="00F61A52"/>
    <w:rsid w:val="00F61AC4"/>
    <w:rsid w:val="00F61BB8"/>
    <w:rsid w:val="00F61C35"/>
    <w:rsid w:val="00F61C53"/>
    <w:rsid w:val="00F61CE6"/>
    <w:rsid w:val="00F61CFE"/>
    <w:rsid w:val="00F61D76"/>
    <w:rsid w:val="00F61D9F"/>
    <w:rsid w:val="00F61DA3"/>
    <w:rsid w:val="00F61DB3"/>
    <w:rsid w:val="00F61DC3"/>
    <w:rsid w:val="00F61E99"/>
    <w:rsid w:val="00F61EBC"/>
    <w:rsid w:val="00F61F85"/>
    <w:rsid w:val="00F61FFE"/>
    <w:rsid w:val="00F620E8"/>
    <w:rsid w:val="00F621DA"/>
    <w:rsid w:val="00F6240A"/>
    <w:rsid w:val="00F624C4"/>
    <w:rsid w:val="00F624E1"/>
    <w:rsid w:val="00F62506"/>
    <w:rsid w:val="00F6253B"/>
    <w:rsid w:val="00F62697"/>
    <w:rsid w:val="00F62705"/>
    <w:rsid w:val="00F627DC"/>
    <w:rsid w:val="00F6280E"/>
    <w:rsid w:val="00F62844"/>
    <w:rsid w:val="00F628BE"/>
    <w:rsid w:val="00F628C3"/>
    <w:rsid w:val="00F628D1"/>
    <w:rsid w:val="00F6297B"/>
    <w:rsid w:val="00F62A21"/>
    <w:rsid w:val="00F62AB0"/>
    <w:rsid w:val="00F62B29"/>
    <w:rsid w:val="00F62B47"/>
    <w:rsid w:val="00F62B57"/>
    <w:rsid w:val="00F62B5F"/>
    <w:rsid w:val="00F62B67"/>
    <w:rsid w:val="00F62C91"/>
    <w:rsid w:val="00F62DD1"/>
    <w:rsid w:val="00F62EDF"/>
    <w:rsid w:val="00F62F84"/>
    <w:rsid w:val="00F630F4"/>
    <w:rsid w:val="00F630FB"/>
    <w:rsid w:val="00F6310B"/>
    <w:rsid w:val="00F6312D"/>
    <w:rsid w:val="00F631EE"/>
    <w:rsid w:val="00F631F7"/>
    <w:rsid w:val="00F63213"/>
    <w:rsid w:val="00F6331D"/>
    <w:rsid w:val="00F63359"/>
    <w:rsid w:val="00F633BB"/>
    <w:rsid w:val="00F633EC"/>
    <w:rsid w:val="00F634AE"/>
    <w:rsid w:val="00F634EC"/>
    <w:rsid w:val="00F634EE"/>
    <w:rsid w:val="00F635C9"/>
    <w:rsid w:val="00F63615"/>
    <w:rsid w:val="00F636B7"/>
    <w:rsid w:val="00F636ED"/>
    <w:rsid w:val="00F63712"/>
    <w:rsid w:val="00F63713"/>
    <w:rsid w:val="00F637B9"/>
    <w:rsid w:val="00F637E4"/>
    <w:rsid w:val="00F63833"/>
    <w:rsid w:val="00F63921"/>
    <w:rsid w:val="00F63935"/>
    <w:rsid w:val="00F639E1"/>
    <w:rsid w:val="00F63A84"/>
    <w:rsid w:val="00F63B02"/>
    <w:rsid w:val="00F63B3B"/>
    <w:rsid w:val="00F63C6A"/>
    <w:rsid w:val="00F63CAE"/>
    <w:rsid w:val="00F63D0A"/>
    <w:rsid w:val="00F63D4B"/>
    <w:rsid w:val="00F63D99"/>
    <w:rsid w:val="00F63DA9"/>
    <w:rsid w:val="00F63DF8"/>
    <w:rsid w:val="00F63DFE"/>
    <w:rsid w:val="00F63ED3"/>
    <w:rsid w:val="00F63F76"/>
    <w:rsid w:val="00F63FAC"/>
    <w:rsid w:val="00F63FDF"/>
    <w:rsid w:val="00F64037"/>
    <w:rsid w:val="00F64049"/>
    <w:rsid w:val="00F640A4"/>
    <w:rsid w:val="00F64129"/>
    <w:rsid w:val="00F64140"/>
    <w:rsid w:val="00F641AE"/>
    <w:rsid w:val="00F641E0"/>
    <w:rsid w:val="00F64223"/>
    <w:rsid w:val="00F64288"/>
    <w:rsid w:val="00F64289"/>
    <w:rsid w:val="00F6429B"/>
    <w:rsid w:val="00F64308"/>
    <w:rsid w:val="00F6435D"/>
    <w:rsid w:val="00F64397"/>
    <w:rsid w:val="00F643E4"/>
    <w:rsid w:val="00F64415"/>
    <w:rsid w:val="00F6445A"/>
    <w:rsid w:val="00F644D3"/>
    <w:rsid w:val="00F6454C"/>
    <w:rsid w:val="00F6455E"/>
    <w:rsid w:val="00F645CE"/>
    <w:rsid w:val="00F645E8"/>
    <w:rsid w:val="00F645F4"/>
    <w:rsid w:val="00F645FD"/>
    <w:rsid w:val="00F64691"/>
    <w:rsid w:val="00F64693"/>
    <w:rsid w:val="00F646EF"/>
    <w:rsid w:val="00F646FB"/>
    <w:rsid w:val="00F64756"/>
    <w:rsid w:val="00F6476B"/>
    <w:rsid w:val="00F6481B"/>
    <w:rsid w:val="00F648BB"/>
    <w:rsid w:val="00F648D5"/>
    <w:rsid w:val="00F64A50"/>
    <w:rsid w:val="00F64A71"/>
    <w:rsid w:val="00F64B72"/>
    <w:rsid w:val="00F64BBA"/>
    <w:rsid w:val="00F64C12"/>
    <w:rsid w:val="00F64C46"/>
    <w:rsid w:val="00F64C72"/>
    <w:rsid w:val="00F64D4A"/>
    <w:rsid w:val="00F64EAB"/>
    <w:rsid w:val="00F64F8F"/>
    <w:rsid w:val="00F64FCD"/>
    <w:rsid w:val="00F65003"/>
    <w:rsid w:val="00F65036"/>
    <w:rsid w:val="00F65074"/>
    <w:rsid w:val="00F650D8"/>
    <w:rsid w:val="00F650E6"/>
    <w:rsid w:val="00F6513D"/>
    <w:rsid w:val="00F6514B"/>
    <w:rsid w:val="00F65181"/>
    <w:rsid w:val="00F651D5"/>
    <w:rsid w:val="00F65252"/>
    <w:rsid w:val="00F65290"/>
    <w:rsid w:val="00F65342"/>
    <w:rsid w:val="00F65357"/>
    <w:rsid w:val="00F6535B"/>
    <w:rsid w:val="00F65501"/>
    <w:rsid w:val="00F65514"/>
    <w:rsid w:val="00F65516"/>
    <w:rsid w:val="00F655D4"/>
    <w:rsid w:val="00F65610"/>
    <w:rsid w:val="00F65681"/>
    <w:rsid w:val="00F656EB"/>
    <w:rsid w:val="00F65719"/>
    <w:rsid w:val="00F6579E"/>
    <w:rsid w:val="00F657A9"/>
    <w:rsid w:val="00F6583A"/>
    <w:rsid w:val="00F65928"/>
    <w:rsid w:val="00F65991"/>
    <w:rsid w:val="00F659AF"/>
    <w:rsid w:val="00F65A99"/>
    <w:rsid w:val="00F65AD6"/>
    <w:rsid w:val="00F65B3A"/>
    <w:rsid w:val="00F65BE7"/>
    <w:rsid w:val="00F65DA5"/>
    <w:rsid w:val="00F65EA8"/>
    <w:rsid w:val="00F65FED"/>
    <w:rsid w:val="00F660DA"/>
    <w:rsid w:val="00F66103"/>
    <w:rsid w:val="00F661A4"/>
    <w:rsid w:val="00F661C6"/>
    <w:rsid w:val="00F6623A"/>
    <w:rsid w:val="00F66246"/>
    <w:rsid w:val="00F6628B"/>
    <w:rsid w:val="00F662B3"/>
    <w:rsid w:val="00F662D2"/>
    <w:rsid w:val="00F662D4"/>
    <w:rsid w:val="00F66445"/>
    <w:rsid w:val="00F6658D"/>
    <w:rsid w:val="00F665EE"/>
    <w:rsid w:val="00F6663C"/>
    <w:rsid w:val="00F666BF"/>
    <w:rsid w:val="00F66720"/>
    <w:rsid w:val="00F66772"/>
    <w:rsid w:val="00F6692A"/>
    <w:rsid w:val="00F66974"/>
    <w:rsid w:val="00F669C1"/>
    <w:rsid w:val="00F66A19"/>
    <w:rsid w:val="00F66A3F"/>
    <w:rsid w:val="00F66AD0"/>
    <w:rsid w:val="00F66AE7"/>
    <w:rsid w:val="00F66B36"/>
    <w:rsid w:val="00F66B75"/>
    <w:rsid w:val="00F66C8E"/>
    <w:rsid w:val="00F66EA2"/>
    <w:rsid w:val="00F66EF5"/>
    <w:rsid w:val="00F66F71"/>
    <w:rsid w:val="00F66FEE"/>
    <w:rsid w:val="00F6700D"/>
    <w:rsid w:val="00F6703F"/>
    <w:rsid w:val="00F67068"/>
    <w:rsid w:val="00F67095"/>
    <w:rsid w:val="00F67189"/>
    <w:rsid w:val="00F671B1"/>
    <w:rsid w:val="00F67266"/>
    <w:rsid w:val="00F67297"/>
    <w:rsid w:val="00F672AE"/>
    <w:rsid w:val="00F673F4"/>
    <w:rsid w:val="00F6748F"/>
    <w:rsid w:val="00F6754A"/>
    <w:rsid w:val="00F67595"/>
    <w:rsid w:val="00F675BE"/>
    <w:rsid w:val="00F675C8"/>
    <w:rsid w:val="00F675E6"/>
    <w:rsid w:val="00F676BD"/>
    <w:rsid w:val="00F6776B"/>
    <w:rsid w:val="00F679E2"/>
    <w:rsid w:val="00F67AE5"/>
    <w:rsid w:val="00F67B5A"/>
    <w:rsid w:val="00F67B6B"/>
    <w:rsid w:val="00F67BD1"/>
    <w:rsid w:val="00F67C0E"/>
    <w:rsid w:val="00F67C9C"/>
    <w:rsid w:val="00F67DA4"/>
    <w:rsid w:val="00F67ED8"/>
    <w:rsid w:val="00F67F64"/>
    <w:rsid w:val="00F70013"/>
    <w:rsid w:val="00F700B1"/>
    <w:rsid w:val="00F701BC"/>
    <w:rsid w:val="00F7027C"/>
    <w:rsid w:val="00F70331"/>
    <w:rsid w:val="00F70415"/>
    <w:rsid w:val="00F70510"/>
    <w:rsid w:val="00F7056A"/>
    <w:rsid w:val="00F705C4"/>
    <w:rsid w:val="00F706C4"/>
    <w:rsid w:val="00F706EF"/>
    <w:rsid w:val="00F70757"/>
    <w:rsid w:val="00F70891"/>
    <w:rsid w:val="00F708D0"/>
    <w:rsid w:val="00F70922"/>
    <w:rsid w:val="00F7099A"/>
    <w:rsid w:val="00F70A41"/>
    <w:rsid w:val="00F70AD1"/>
    <w:rsid w:val="00F70AED"/>
    <w:rsid w:val="00F70B51"/>
    <w:rsid w:val="00F70B5D"/>
    <w:rsid w:val="00F70C1F"/>
    <w:rsid w:val="00F70C69"/>
    <w:rsid w:val="00F70CE3"/>
    <w:rsid w:val="00F70D08"/>
    <w:rsid w:val="00F70D1C"/>
    <w:rsid w:val="00F70E1B"/>
    <w:rsid w:val="00F70E91"/>
    <w:rsid w:val="00F70F72"/>
    <w:rsid w:val="00F71026"/>
    <w:rsid w:val="00F71030"/>
    <w:rsid w:val="00F710C3"/>
    <w:rsid w:val="00F710D8"/>
    <w:rsid w:val="00F7113D"/>
    <w:rsid w:val="00F71292"/>
    <w:rsid w:val="00F712A7"/>
    <w:rsid w:val="00F71301"/>
    <w:rsid w:val="00F71435"/>
    <w:rsid w:val="00F71455"/>
    <w:rsid w:val="00F71575"/>
    <w:rsid w:val="00F71578"/>
    <w:rsid w:val="00F71711"/>
    <w:rsid w:val="00F71733"/>
    <w:rsid w:val="00F7181D"/>
    <w:rsid w:val="00F7186C"/>
    <w:rsid w:val="00F71935"/>
    <w:rsid w:val="00F71A4B"/>
    <w:rsid w:val="00F71BC0"/>
    <w:rsid w:val="00F71C11"/>
    <w:rsid w:val="00F71C8C"/>
    <w:rsid w:val="00F71C92"/>
    <w:rsid w:val="00F71EDA"/>
    <w:rsid w:val="00F71F17"/>
    <w:rsid w:val="00F71F36"/>
    <w:rsid w:val="00F71FFE"/>
    <w:rsid w:val="00F72011"/>
    <w:rsid w:val="00F72026"/>
    <w:rsid w:val="00F720B3"/>
    <w:rsid w:val="00F72168"/>
    <w:rsid w:val="00F72213"/>
    <w:rsid w:val="00F72271"/>
    <w:rsid w:val="00F72274"/>
    <w:rsid w:val="00F722F9"/>
    <w:rsid w:val="00F72441"/>
    <w:rsid w:val="00F72513"/>
    <w:rsid w:val="00F726A7"/>
    <w:rsid w:val="00F726DB"/>
    <w:rsid w:val="00F7275B"/>
    <w:rsid w:val="00F72878"/>
    <w:rsid w:val="00F7287D"/>
    <w:rsid w:val="00F7293D"/>
    <w:rsid w:val="00F7296E"/>
    <w:rsid w:val="00F729A3"/>
    <w:rsid w:val="00F72A0D"/>
    <w:rsid w:val="00F72B46"/>
    <w:rsid w:val="00F72B67"/>
    <w:rsid w:val="00F72B79"/>
    <w:rsid w:val="00F72B91"/>
    <w:rsid w:val="00F72BCF"/>
    <w:rsid w:val="00F72C14"/>
    <w:rsid w:val="00F72C23"/>
    <w:rsid w:val="00F72CBA"/>
    <w:rsid w:val="00F72E65"/>
    <w:rsid w:val="00F72FF1"/>
    <w:rsid w:val="00F730E4"/>
    <w:rsid w:val="00F731B3"/>
    <w:rsid w:val="00F733CC"/>
    <w:rsid w:val="00F733E2"/>
    <w:rsid w:val="00F73426"/>
    <w:rsid w:val="00F7348B"/>
    <w:rsid w:val="00F734A9"/>
    <w:rsid w:val="00F734CF"/>
    <w:rsid w:val="00F734FB"/>
    <w:rsid w:val="00F73713"/>
    <w:rsid w:val="00F737BF"/>
    <w:rsid w:val="00F737F9"/>
    <w:rsid w:val="00F7389B"/>
    <w:rsid w:val="00F739E7"/>
    <w:rsid w:val="00F739F4"/>
    <w:rsid w:val="00F73A56"/>
    <w:rsid w:val="00F73A62"/>
    <w:rsid w:val="00F73B35"/>
    <w:rsid w:val="00F73B73"/>
    <w:rsid w:val="00F73BA7"/>
    <w:rsid w:val="00F73CDC"/>
    <w:rsid w:val="00F73D1E"/>
    <w:rsid w:val="00F73D54"/>
    <w:rsid w:val="00F73D59"/>
    <w:rsid w:val="00F73DE0"/>
    <w:rsid w:val="00F73E68"/>
    <w:rsid w:val="00F73EE4"/>
    <w:rsid w:val="00F73F1B"/>
    <w:rsid w:val="00F73F1F"/>
    <w:rsid w:val="00F73F5C"/>
    <w:rsid w:val="00F7407B"/>
    <w:rsid w:val="00F74099"/>
    <w:rsid w:val="00F740B7"/>
    <w:rsid w:val="00F740EE"/>
    <w:rsid w:val="00F74106"/>
    <w:rsid w:val="00F74159"/>
    <w:rsid w:val="00F7416B"/>
    <w:rsid w:val="00F74227"/>
    <w:rsid w:val="00F7424A"/>
    <w:rsid w:val="00F74274"/>
    <w:rsid w:val="00F74292"/>
    <w:rsid w:val="00F742D8"/>
    <w:rsid w:val="00F74345"/>
    <w:rsid w:val="00F7438C"/>
    <w:rsid w:val="00F743F2"/>
    <w:rsid w:val="00F74424"/>
    <w:rsid w:val="00F74485"/>
    <w:rsid w:val="00F74492"/>
    <w:rsid w:val="00F744F3"/>
    <w:rsid w:val="00F744FC"/>
    <w:rsid w:val="00F745AA"/>
    <w:rsid w:val="00F7462A"/>
    <w:rsid w:val="00F74658"/>
    <w:rsid w:val="00F7470A"/>
    <w:rsid w:val="00F7472D"/>
    <w:rsid w:val="00F747E9"/>
    <w:rsid w:val="00F748EE"/>
    <w:rsid w:val="00F74966"/>
    <w:rsid w:val="00F7497F"/>
    <w:rsid w:val="00F749CD"/>
    <w:rsid w:val="00F749E3"/>
    <w:rsid w:val="00F74ADE"/>
    <w:rsid w:val="00F74AEC"/>
    <w:rsid w:val="00F74B59"/>
    <w:rsid w:val="00F74B6E"/>
    <w:rsid w:val="00F74C4D"/>
    <w:rsid w:val="00F74C56"/>
    <w:rsid w:val="00F74CA0"/>
    <w:rsid w:val="00F74CC8"/>
    <w:rsid w:val="00F74D42"/>
    <w:rsid w:val="00F74D5B"/>
    <w:rsid w:val="00F74D8F"/>
    <w:rsid w:val="00F74DEE"/>
    <w:rsid w:val="00F74DF1"/>
    <w:rsid w:val="00F74ED2"/>
    <w:rsid w:val="00F75050"/>
    <w:rsid w:val="00F750D8"/>
    <w:rsid w:val="00F75100"/>
    <w:rsid w:val="00F75131"/>
    <w:rsid w:val="00F75149"/>
    <w:rsid w:val="00F75150"/>
    <w:rsid w:val="00F75209"/>
    <w:rsid w:val="00F7521B"/>
    <w:rsid w:val="00F75433"/>
    <w:rsid w:val="00F75474"/>
    <w:rsid w:val="00F7547A"/>
    <w:rsid w:val="00F7547D"/>
    <w:rsid w:val="00F7548F"/>
    <w:rsid w:val="00F754F4"/>
    <w:rsid w:val="00F7551D"/>
    <w:rsid w:val="00F75553"/>
    <w:rsid w:val="00F755CC"/>
    <w:rsid w:val="00F755D4"/>
    <w:rsid w:val="00F755FF"/>
    <w:rsid w:val="00F75725"/>
    <w:rsid w:val="00F75727"/>
    <w:rsid w:val="00F757AE"/>
    <w:rsid w:val="00F758C8"/>
    <w:rsid w:val="00F758D2"/>
    <w:rsid w:val="00F75911"/>
    <w:rsid w:val="00F7592C"/>
    <w:rsid w:val="00F7592D"/>
    <w:rsid w:val="00F7596B"/>
    <w:rsid w:val="00F759BB"/>
    <w:rsid w:val="00F75A96"/>
    <w:rsid w:val="00F75AB0"/>
    <w:rsid w:val="00F75ADA"/>
    <w:rsid w:val="00F75C4E"/>
    <w:rsid w:val="00F75C68"/>
    <w:rsid w:val="00F75D05"/>
    <w:rsid w:val="00F75DCC"/>
    <w:rsid w:val="00F75E9E"/>
    <w:rsid w:val="00F75EBA"/>
    <w:rsid w:val="00F75F7E"/>
    <w:rsid w:val="00F75FB4"/>
    <w:rsid w:val="00F76025"/>
    <w:rsid w:val="00F760B0"/>
    <w:rsid w:val="00F76157"/>
    <w:rsid w:val="00F761AB"/>
    <w:rsid w:val="00F76211"/>
    <w:rsid w:val="00F76225"/>
    <w:rsid w:val="00F76228"/>
    <w:rsid w:val="00F76231"/>
    <w:rsid w:val="00F7628C"/>
    <w:rsid w:val="00F76304"/>
    <w:rsid w:val="00F764A8"/>
    <w:rsid w:val="00F764B6"/>
    <w:rsid w:val="00F764CB"/>
    <w:rsid w:val="00F7655D"/>
    <w:rsid w:val="00F765D9"/>
    <w:rsid w:val="00F7661B"/>
    <w:rsid w:val="00F76669"/>
    <w:rsid w:val="00F766B8"/>
    <w:rsid w:val="00F7675B"/>
    <w:rsid w:val="00F767A9"/>
    <w:rsid w:val="00F767DD"/>
    <w:rsid w:val="00F76844"/>
    <w:rsid w:val="00F76953"/>
    <w:rsid w:val="00F76957"/>
    <w:rsid w:val="00F76BDC"/>
    <w:rsid w:val="00F76D52"/>
    <w:rsid w:val="00F76DA4"/>
    <w:rsid w:val="00F76E5D"/>
    <w:rsid w:val="00F76E8A"/>
    <w:rsid w:val="00F76E9D"/>
    <w:rsid w:val="00F76F89"/>
    <w:rsid w:val="00F76FA1"/>
    <w:rsid w:val="00F7703B"/>
    <w:rsid w:val="00F770B9"/>
    <w:rsid w:val="00F770CB"/>
    <w:rsid w:val="00F770D0"/>
    <w:rsid w:val="00F7711D"/>
    <w:rsid w:val="00F77248"/>
    <w:rsid w:val="00F77348"/>
    <w:rsid w:val="00F77351"/>
    <w:rsid w:val="00F7746B"/>
    <w:rsid w:val="00F774F6"/>
    <w:rsid w:val="00F77503"/>
    <w:rsid w:val="00F7752C"/>
    <w:rsid w:val="00F77531"/>
    <w:rsid w:val="00F77540"/>
    <w:rsid w:val="00F77544"/>
    <w:rsid w:val="00F77633"/>
    <w:rsid w:val="00F777AC"/>
    <w:rsid w:val="00F777FC"/>
    <w:rsid w:val="00F7794D"/>
    <w:rsid w:val="00F77978"/>
    <w:rsid w:val="00F779FE"/>
    <w:rsid w:val="00F77A44"/>
    <w:rsid w:val="00F77A61"/>
    <w:rsid w:val="00F77AF7"/>
    <w:rsid w:val="00F77BB5"/>
    <w:rsid w:val="00F77BB7"/>
    <w:rsid w:val="00F77BC7"/>
    <w:rsid w:val="00F77CB9"/>
    <w:rsid w:val="00F77CD1"/>
    <w:rsid w:val="00F77D89"/>
    <w:rsid w:val="00F77D9A"/>
    <w:rsid w:val="00F77DF2"/>
    <w:rsid w:val="00F77E16"/>
    <w:rsid w:val="00F77E19"/>
    <w:rsid w:val="00F77EB7"/>
    <w:rsid w:val="00F77EB9"/>
    <w:rsid w:val="00F800BE"/>
    <w:rsid w:val="00F800F1"/>
    <w:rsid w:val="00F80102"/>
    <w:rsid w:val="00F80120"/>
    <w:rsid w:val="00F8017E"/>
    <w:rsid w:val="00F80241"/>
    <w:rsid w:val="00F80271"/>
    <w:rsid w:val="00F802A9"/>
    <w:rsid w:val="00F802D9"/>
    <w:rsid w:val="00F80342"/>
    <w:rsid w:val="00F80344"/>
    <w:rsid w:val="00F803C8"/>
    <w:rsid w:val="00F803FF"/>
    <w:rsid w:val="00F80411"/>
    <w:rsid w:val="00F80486"/>
    <w:rsid w:val="00F80498"/>
    <w:rsid w:val="00F804BC"/>
    <w:rsid w:val="00F805B8"/>
    <w:rsid w:val="00F80772"/>
    <w:rsid w:val="00F8083C"/>
    <w:rsid w:val="00F8091B"/>
    <w:rsid w:val="00F80A07"/>
    <w:rsid w:val="00F80A14"/>
    <w:rsid w:val="00F80B9F"/>
    <w:rsid w:val="00F80BA3"/>
    <w:rsid w:val="00F80BCC"/>
    <w:rsid w:val="00F80BFC"/>
    <w:rsid w:val="00F80CC1"/>
    <w:rsid w:val="00F80CD2"/>
    <w:rsid w:val="00F80D5F"/>
    <w:rsid w:val="00F80D88"/>
    <w:rsid w:val="00F80DAB"/>
    <w:rsid w:val="00F80DCC"/>
    <w:rsid w:val="00F80E12"/>
    <w:rsid w:val="00F80EDB"/>
    <w:rsid w:val="00F810AD"/>
    <w:rsid w:val="00F81103"/>
    <w:rsid w:val="00F81171"/>
    <w:rsid w:val="00F81194"/>
    <w:rsid w:val="00F811E7"/>
    <w:rsid w:val="00F812D8"/>
    <w:rsid w:val="00F8130A"/>
    <w:rsid w:val="00F81376"/>
    <w:rsid w:val="00F813BA"/>
    <w:rsid w:val="00F813C2"/>
    <w:rsid w:val="00F81448"/>
    <w:rsid w:val="00F81473"/>
    <w:rsid w:val="00F81487"/>
    <w:rsid w:val="00F815DF"/>
    <w:rsid w:val="00F81634"/>
    <w:rsid w:val="00F81710"/>
    <w:rsid w:val="00F81724"/>
    <w:rsid w:val="00F81729"/>
    <w:rsid w:val="00F81812"/>
    <w:rsid w:val="00F81871"/>
    <w:rsid w:val="00F81999"/>
    <w:rsid w:val="00F81A29"/>
    <w:rsid w:val="00F81A7F"/>
    <w:rsid w:val="00F81A91"/>
    <w:rsid w:val="00F81C07"/>
    <w:rsid w:val="00F81C21"/>
    <w:rsid w:val="00F81C54"/>
    <w:rsid w:val="00F81C56"/>
    <w:rsid w:val="00F81CC4"/>
    <w:rsid w:val="00F81D1D"/>
    <w:rsid w:val="00F81D90"/>
    <w:rsid w:val="00F81F5D"/>
    <w:rsid w:val="00F820FE"/>
    <w:rsid w:val="00F8215F"/>
    <w:rsid w:val="00F821E0"/>
    <w:rsid w:val="00F82213"/>
    <w:rsid w:val="00F8226A"/>
    <w:rsid w:val="00F82434"/>
    <w:rsid w:val="00F82450"/>
    <w:rsid w:val="00F824A3"/>
    <w:rsid w:val="00F82512"/>
    <w:rsid w:val="00F82531"/>
    <w:rsid w:val="00F82554"/>
    <w:rsid w:val="00F826E5"/>
    <w:rsid w:val="00F82742"/>
    <w:rsid w:val="00F82817"/>
    <w:rsid w:val="00F82828"/>
    <w:rsid w:val="00F8283D"/>
    <w:rsid w:val="00F8287F"/>
    <w:rsid w:val="00F828A9"/>
    <w:rsid w:val="00F828C4"/>
    <w:rsid w:val="00F82931"/>
    <w:rsid w:val="00F82956"/>
    <w:rsid w:val="00F82B7B"/>
    <w:rsid w:val="00F82B8B"/>
    <w:rsid w:val="00F82B98"/>
    <w:rsid w:val="00F82C96"/>
    <w:rsid w:val="00F82CA4"/>
    <w:rsid w:val="00F82D7C"/>
    <w:rsid w:val="00F82DE3"/>
    <w:rsid w:val="00F82E11"/>
    <w:rsid w:val="00F82E4B"/>
    <w:rsid w:val="00F82EF9"/>
    <w:rsid w:val="00F83032"/>
    <w:rsid w:val="00F8303C"/>
    <w:rsid w:val="00F8304A"/>
    <w:rsid w:val="00F830B5"/>
    <w:rsid w:val="00F830E9"/>
    <w:rsid w:val="00F8314A"/>
    <w:rsid w:val="00F831F1"/>
    <w:rsid w:val="00F83319"/>
    <w:rsid w:val="00F83328"/>
    <w:rsid w:val="00F83331"/>
    <w:rsid w:val="00F83392"/>
    <w:rsid w:val="00F833C0"/>
    <w:rsid w:val="00F83445"/>
    <w:rsid w:val="00F835A9"/>
    <w:rsid w:val="00F8365D"/>
    <w:rsid w:val="00F836E6"/>
    <w:rsid w:val="00F8372A"/>
    <w:rsid w:val="00F83731"/>
    <w:rsid w:val="00F8383D"/>
    <w:rsid w:val="00F83858"/>
    <w:rsid w:val="00F83870"/>
    <w:rsid w:val="00F838A0"/>
    <w:rsid w:val="00F8393A"/>
    <w:rsid w:val="00F83A5A"/>
    <w:rsid w:val="00F83A9C"/>
    <w:rsid w:val="00F83AEB"/>
    <w:rsid w:val="00F83B66"/>
    <w:rsid w:val="00F83CB6"/>
    <w:rsid w:val="00F83DE2"/>
    <w:rsid w:val="00F83E67"/>
    <w:rsid w:val="00F83E68"/>
    <w:rsid w:val="00F84034"/>
    <w:rsid w:val="00F8405A"/>
    <w:rsid w:val="00F840A2"/>
    <w:rsid w:val="00F84104"/>
    <w:rsid w:val="00F841A2"/>
    <w:rsid w:val="00F841B7"/>
    <w:rsid w:val="00F84253"/>
    <w:rsid w:val="00F84368"/>
    <w:rsid w:val="00F843ED"/>
    <w:rsid w:val="00F844D2"/>
    <w:rsid w:val="00F845C1"/>
    <w:rsid w:val="00F845C8"/>
    <w:rsid w:val="00F846C2"/>
    <w:rsid w:val="00F84733"/>
    <w:rsid w:val="00F8475B"/>
    <w:rsid w:val="00F8479C"/>
    <w:rsid w:val="00F849DD"/>
    <w:rsid w:val="00F84AA7"/>
    <w:rsid w:val="00F84B43"/>
    <w:rsid w:val="00F84B72"/>
    <w:rsid w:val="00F84BA8"/>
    <w:rsid w:val="00F84BC0"/>
    <w:rsid w:val="00F84C0B"/>
    <w:rsid w:val="00F84C17"/>
    <w:rsid w:val="00F84CE4"/>
    <w:rsid w:val="00F84CEC"/>
    <w:rsid w:val="00F84D9C"/>
    <w:rsid w:val="00F84E2A"/>
    <w:rsid w:val="00F84EB6"/>
    <w:rsid w:val="00F84EC9"/>
    <w:rsid w:val="00F84EE5"/>
    <w:rsid w:val="00F84F46"/>
    <w:rsid w:val="00F85071"/>
    <w:rsid w:val="00F85091"/>
    <w:rsid w:val="00F85092"/>
    <w:rsid w:val="00F8519B"/>
    <w:rsid w:val="00F851C1"/>
    <w:rsid w:val="00F8521D"/>
    <w:rsid w:val="00F85253"/>
    <w:rsid w:val="00F85257"/>
    <w:rsid w:val="00F8525D"/>
    <w:rsid w:val="00F8528A"/>
    <w:rsid w:val="00F852A9"/>
    <w:rsid w:val="00F852B5"/>
    <w:rsid w:val="00F855D4"/>
    <w:rsid w:val="00F85622"/>
    <w:rsid w:val="00F85677"/>
    <w:rsid w:val="00F85740"/>
    <w:rsid w:val="00F8577D"/>
    <w:rsid w:val="00F857B7"/>
    <w:rsid w:val="00F85856"/>
    <w:rsid w:val="00F858C1"/>
    <w:rsid w:val="00F858F4"/>
    <w:rsid w:val="00F85950"/>
    <w:rsid w:val="00F85997"/>
    <w:rsid w:val="00F859A6"/>
    <w:rsid w:val="00F859BB"/>
    <w:rsid w:val="00F859E9"/>
    <w:rsid w:val="00F85A31"/>
    <w:rsid w:val="00F85A88"/>
    <w:rsid w:val="00F85AAE"/>
    <w:rsid w:val="00F85AB7"/>
    <w:rsid w:val="00F85B6C"/>
    <w:rsid w:val="00F85BC1"/>
    <w:rsid w:val="00F85BFE"/>
    <w:rsid w:val="00F85CFB"/>
    <w:rsid w:val="00F85D1D"/>
    <w:rsid w:val="00F85DAB"/>
    <w:rsid w:val="00F85DC0"/>
    <w:rsid w:val="00F85E8B"/>
    <w:rsid w:val="00F85E97"/>
    <w:rsid w:val="00F85EEC"/>
    <w:rsid w:val="00F85F52"/>
    <w:rsid w:val="00F85F71"/>
    <w:rsid w:val="00F86052"/>
    <w:rsid w:val="00F8606B"/>
    <w:rsid w:val="00F860BD"/>
    <w:rsid w:val="00F8612D"/>
    <w:rsid w:val="00F86165"/>
    <w:rsid w:val="00F86177"/>
    <w:rsid w:val="00F86197"/>
    <w:rsid w:val="00F861A5"/>
    <w:rsid w:val="00F86285"/>
    <w:rsid w:val="00F862AE"/>
    <w:rsid w:val="00F862BF"/>
    <w:rsid w:val="00F86348"/>
    <w:rsid w:val="00F8640C"/>
    <w:rsid w:val="00F864BF"/>
    <w:rsid w:val="00F864E1"/>
    <w:rsid w:val="00F8657E"/>
    <w:rsid w:val="00F865F3"/>
    <w:rsid w:val="00F866C3"/>
    <w:rsid w:val="00F866E4"/>
    <w:rsid w:val="00F866EC"/>
    <w:rsid w:val="00F86716"/>
    <w:rsid w:val="00F8672A"/>
    <w:rsid w:val="00F8678C"/>
    <w:rsid w:val="00F8678E"/>
    <w:rsid w:val="00F8679C"/>
    <w:rsid w:val="00F8680A"/>
    <w:rsid w:val="00F86869"/>
    <w:rsid w:val="00F86890"/>
    <w:rsid w:val="00F86A08"/>
    <w:rsid w:val="00F86A65"/>
    <w:rsid w:val="00F86B33"/>
    <w:rsid w:val="00F86BAA"/>
    <w:rsid w:val="00F86BE2"/>
    <w:rsid w:val="00F86CD1"/>
    <w:rsid w:val="00F86D05"/>
    <w:rsid w:val="00F86D2A"/>
    <w:rsid w:val="00F86D90"/>
    <w:rsid w:val="00F86E09"/>
    <w:rsid w:val="00F86F2F"/>
    <w:rsid w:val="00F86FD7"/>
    <w:rsid w:val="00F8700C"/>
    <w:rsid w:val="00F8704F"/>
    <w:rsid w:val="00F870C5"/>
    <w:rsid w:val="00F870EE"/>
    <w:rsid w:val="00F87132"/>
    <w:rsid w:val="00F87146"/>
    <w:rsid w:val="00F872F7"/>
    <w:rsid w:val="00F8743D"/>
    <w:rsid w:val="00F87474"/>
    <w:rsid w:val="00F87503"/>
    <w:rsid w:val="00F87523"/>
    <w:rsid w:val="00F8755D"/>
    <w:rsid w:val="00F8756B"/>
    <w:rsid w:val="00F87578"/>
    <w:rsid w:val="00F8758D"/>
    <w:rsid w:val="00F875FF"/>
    <w:rsid w:val="00F8763E"/>
    <w:rsid w:val="00F87748"/>
    <w:rsid w:val="00F87792"/>
    <w:rsid w:val="00F877C0"/>
    <w:rsid w:val="00F87816"/>
    <w:rsid w:val="00F8782F"/>
    <w:rsid w:val="00F87937"/>
    <w:rsid w:val="00F87999"/>
    <w:rsid w:val="00F879D2"/>
    <w:rsid w:val="00F87A70"/>
    <w:rsid w:val="00F87AA5"/>
    <w:rsid w:val="00F87B3F"/>
    <w:rsid w:val="00F87B4E"/>
    <w:rsid w:val="00F87B82"/>
    <w:rsid w:val="00F87BE8"/>
    <w:rsid w:val="00F87BF8"/>
    <w:rsid w:val="00F87C3F"/>
    <w:rsid w:val="00F87CEC"/>
    <w:rsid w:val="00F87D11"/>
    <w:rsid w:val="00F87D7B"/>
    <w:rsid w:val="00F87DCE"/>
    <w:rsid w:val="00F87E4C"/>
    <w:rsid w:val="00F87E5B"/>
    <w:rsid w:val="00F87E7B"/>
    <w:rsid w:val="00F87EF7"/>
    <w:rsid w:val="00F87F82"/>
    <w:rsid w:val="00F87FCC"/>
    <w:rsid w:val="00F9013C"/>
    <w:rsid w:val="00F90167"/>
    <w:rsid w:val="00F902CA"/>
    <w:rsid w:val="00F902CB"/>
    <w:rsid w:val="00F90458"/>
    <w:rsid w:val="00F9046F"/>
    <w:rsid w:val="00F90516"/>
    <w:rsid w:val="00F90658"/>
    <w:rsid w:val="00F9067E"/>
    <w:rsid w:val="00F9069A"/>
    <w:rsid w:val="00F906C2"/>
    <w:rsid w:val="00F90725"/>
    <w:rsid w:val="00F90733"/>
    <w:rsid w:val="00F9074F"/>
    <w:rsid w:val="00F90811"/>
    <w:rsid w:val="00F908FB"/>
    <w:rsid w:val="00F909CE"/>
    <w:rsid w:val="00F909E2"/>
    <w:rsid w:val="00F909E6"/>
    <w:rsid w:val="00F909F0"/>
    <w:rsid w:val="00F90A7E"/>
    <w:rsid w:val="00F90C44"/>
    <w:rsid w:val="00F90C77"/>
    <w:rsid w:val="00F90D1D"/>
    <w:rsid w:val="00F90D90"/>
    <w:rsid w:val="00F90F16"/>
    <w:rsid w:val="00F90F41"/>
    <w:rsid w:val="00F90F72"/>
    <w:rsid w:val="00F90F80"/>
    <w:rsid w:val="00F910D0"/>
    <w:rsid w:val="00F9115C"/>
    <w:rsid w:val="00F91234"/>
    <w:rsid w:val="00F9124D"/>
    <w:rsid w:val="00F91259"/>
    <w:rsid w:val="00F912D4"/>
    <w:rsid w:val="00F912EA"/>
    <w:rsid w:val="00F912FE"/>
    <w:rsid w:val="00F91348"/>
    <w:rsid w:val="00F913B4"/>
    <w:rsid w:val="00F913BE"/>
    <w:rsid w:val="00F9147D"/>
    <w:rsid w:val="00F91529"/>
    <w:rsid w:val="00F915EF"/>
    <w:rsid w:val="00F91725"/>
    <w:rsid w:val="00F91730"/>
    <w:rsid w:val="00F9183E"/>
    <w:rsid w:val="00F918BA"/>
    <w:rsid w:val="00F91917"/>
    <w:rsid w:val="00F919F4"/>
    <w:rsid w:val="00F91A40"/>
    <w:rsid w:val="00F91A6A"/>
    <w:rsid w:val="00F91A8C"/>
    <w:rsid w:val="00F920A3"/>
    <w:rsid w:val="00F920A6"/>
    <w:rsid w:val="00F92137"/>
    <w:rsid w:val="00F92142"/>
    <w:rsid w:val="00F92195"/>
    <w:rsid w:val="00F9221F"/>
    <w:rsid w:val="00F922BB"/>
    <w:rsid w:val="00F9235E"/>
    <w:rsid w:val="00F92417"/>
    <w:rsid w:val="00F9242F"/>
    <w:rsid w:val="00F9244D"/>
    <w:rsid w:val="00F92455"/>
    <w:rsid w:val="00F9247B"/>
    <w:rsid w:val="00F9250F"/>
    <w:rsid w:val="00F92543"/>
    <w:rsid w:val="00F9267A"/>
    <w:rsid w:val="00F9268C"/>
    <w:rsid w:val="00F92696"/>
    <w:rsid w:val="00F92817"/>
    <w:rsid w:val="00F928CE"/>
    <w:rsid w:val="00F928DB"/>
    <w:rsid w:val="00F928F9"/>
    <w:rsid w:val="00F92955"/>
    <w:rsid w:val="00F92986"/>
    <w:rsid w:val="00F929B6"/>
    <w:rsid w:val="00F929FD"/>
    <w:rsid w:val="00F92A6A"/>
    <w:rsid w:val="00F92A76"/>
    <w:rsid w:val="00F92AA1"/>
    <w:rsid w:val="00F92B64"/>
    <w:rsid w:val="00F92CF1"/>
    <w:rsid w:val="00F92DFA"/>
    <w:rsid w:val="00F92EC2"/>
    <w:rsid w:val="00F92EFD"/>
    <w:rsid w:val="00F92F37"/>
    <w:rsid w:val="00F92F44"/>
    <w:rsid w:val="00F93032"/>
    <w:rsid w:val="00F930BC"/>
    <w:rsid w:val="00F93284"/>
    <w:rsid w:val="00F932D7"/>
    <w:rsid w:val="00F9339C"/>
    <w:rsid w:val="00F9341D"/>
    <w:rsid w:val="00F93429"/>
    <w:rsid w:val="00F93470"/>
    <w:rsid w:val="00F934C2"/>
    <w:rsid w:val="00F934C9"/>
    <w:rsid w:val="00F934CE"/>
    <w:rsid w:val="00F93563"/>
    <w:rsid w:val="00F93592"/>
    <w:rsid w:val="00F93724"/>
    <w:rsid w:val="00F93775"/>
    <w:rsid w:val="00F93779"/>
    <w:rsid w:val="00F9378F"/>
    <w:rsid w:val="00F938BA"/>
    <w:rsid w:val="00F9395F"/>
    <w:rsid w:val="00F93963"/>
    <w:rsid w:val="00F9396C"/>
    <w:rsid w:val="00F939A3"/>
    <w:rsid w:val="00F93A51"/>
    <w:rsid w:val="00F93A72"/>
    <w:rsid w:val="00F93A73"/>
    <w:rsid w:val="00F93A7B"/>
    <w:rsid w:val="00F93ACE"/>
    <w:rsid w:val="00F93B47"/>
    <w:rsid w:val="00F93BA1"/>
    <w:rsid w:val="00F93BE6"/>
    <w:rsid w:val="00F93C29"/>
    <w:rsid w:val="00F93C48"/>
    <w:rsid w:val="00F93C65"/>
    <w:rsid w:val="00F93C92"/>
    <w:rsid w:val="00F93DCD"/>
    <w:rsid w:val="00F93DCE"/>
    <w:rsid w:val="00F93EEA"/>
    <w:rsid w:val="00F93F3F"/>
    <w:rsid w:val="00F93FBC"/>
    <w:rsid w:val="00F94015"/>
    <w:rsid w:val="00F94030"/>
    <w:rsid w:val="00F9403C"/>
    <w:rsid w:val="00F9407F"/>
    <w:rsid w:val="00F94087"/>
    <w:rsid w:val="00F94098"/>
    <w:rsid w:val="00F941A3"/>
    <w:rsid w:val="00F941EE"/>
    <w:rsid w:val="00F94298"/>
    <w:rsid w:val="00F942AC"/>
    <w:rsid w:val="00F944BB"/>
    <w:rsid w:val="00F9451E"/>
    <w:rsid w:val="00F9463D"/>
    <w:rsid w:val="00F94671"/>
    <w:rsid w:val="00F94721"/>
    <w:rsid w:val="00F94887"/>
    <w:rsid w:val="00F94898"/>
    <w:rsid w:val="00F94899"/>
    <w:rsid w:val="00F94A59"/>
    <w:rsid w:val="00F94B44"/>
    <w:rsid w:val="00F94B96"/>
    <w:rsid w:val="00F94BF0"/>
    <w:rsid w:val="00F94BF4"/>
    <w:rsid w:val="00F94CC8"/>
    <w:rsid w:val="00F94CEA"/>
    <w:rsid w:val="00F94D53"/>
    <w:rsid w:val="00F94DB3"/>
    <w:rsid w:val="00F94E4D"/>
    <w:rsid w:val="00F94F17"/>
    <w:rsid w:val="00F94F8D"/>
    <w:rsid w:val="00F95041"/>
    <w:rsid w:val="00F95075"/>
    <w:rsid w:val="00F950D5"/>
    <w:rsid w:val="00F95104"/>
    <w:rsid w:val="00F95120"/>
    <w:rsid w:val="00F9524E"/>
    <w:rsid w:val="00F95288"/>
    <w:rsid w:val="00F952DD"/>
    <w:rsid w:val="00F953E4"/>
    <w:rsid w:val="00F9550E"/>
    <w:rsid w:val="00F95742"/>
    <w:rsid w:val="00F95890"/>
    <w:rsid w:val="00F958FF"/>
    <w:rsid w:val="00F95962"/>
    <w:rsid w:val="00F95966"/>
    <w:rsid w:val="00F95A8C"/>
    <w:rsid w:val="00F95AE7"/>
    <w:rsid w:val="00F95C97"/>
    <w:rsid w:val="00F95E48"/>
    <w:rsid w:val="00F95ED4"/>
    <w:rsid w:val="00F95F2A"/>
    <w:rsid w:val="00F95F42"/>
    <w:rsid w:val="00F95FCD"/>
    <w:rsid w:val="00F9607F"/>
    <w:rsid w:val="00F96135"/>
    <w:rsid w:val="00F96136"/>
    <w:rsid w:val="00F96174"/>
    <w:rsid w:val="00F96279"/>
    <w:rsid w:val="00F96324"/>
    <w:rsid w:val="00F96336"/>
    <w:rsid w:val="00F9648D"/>
    <w:rsid w:val="00F9649A"/>
    <w:rsid w:val="00F964B6"/>
    <w:rsid w:val="00F964E0"/>
    <w:rsid w:val="00F964F2"/>
    <w:rsid w:val="00F9650E"/>
    <w:rsid w:val="00F96526"/>
    <w:rsid w:val="00F9657B"/>
    <w:rsid w:val="00F965B3"/>
    <w:rsid w:val="00F9660E"/>
    <w:rsid w:val="00F96658"/>
    <w:rsid w:val="00F968E4"/>
    <w:rsid w:val="00F968F6"/>
    <w:rsid w:val="00F969BF"/>
    <w:rsid w:val="00F96A50"/>
    <w:rsid w:val="00F96A80"/>
    <w:rsid w:val="00F96AA9"/>
    <w:rsid w:val="00F96AAB"/>
    <w:rsid w:val="00F96AE7"/>
    <w:rsid w:val="00F96B0C"/>
    <w:rsid w:val="00F96B4A"/>
    <w:rsid w:val="00F96B74"/>
    <w:rsid w:val="00F96C25"/>
    <w:rsid w:val="00F96CE9"/>
    <w:rsid w:val="00F96CF9"/>
    <w:rsid w:val="00F96D34"/>
    <w:rsid w:val="00F96D3C"/>
    <w:rsid w:val="00F96DF5"/>
    <w:rsid w:val="00F96E29"/>
    <w:rsid w:val="00F96E3E"/>
    <w:rsid w:val="00F96E55"/>
    <w:rsid w:val="00F96ED7"/>
    <w:rsid w:val="00F96EE9"/>
    <w:rsid w:val="00F97007"/>
    <w:rsid w:val="00F97131"/>
    <w:rsid w:val="00F97159"/>
    <w:rsid w:val="00F971B3"/>
    <w:rsid w:val="00F971C3"/>
    <w:rsid w:val="00F971DF"/>
    <w:rsid w:val="00F97258"/>
    <w:rsid w:val="00F97373"/>
    <w:rsid w:val="00F974E9"/>
    <w:rsid w:val="00F97571"/>
    <w:rsid w:val="00F975C4"/>
    <w:rsid w:val="00F975DC"/>
    <w:rsid w:val="00F97662"/>
    <w:rsid w:val="00F976FA"/>
    <w:rsid w:val="00F97786"/>
    <w:rsid w:val="00F977C2"/>
    <w:rsid w:val="00F9782D"/>
    <w:rsid w:val="00F978DA"/>
    <w:rsid w:val="00F97924"/>
    <w:rsid w:val="00F97983"/>
    <w:rsid w:val="00F979DC"/>
    <w:rsid w:val="00F97A24"/>
    <w:rsid w:val="00F97A3B"/>
    <w:rsid w:val="00F97A67"/>
    <w:rsid w:val="00F97AC4"/>
    <w:rsid w:val="00F97B1D"/>
    <w:rsid w:val="00F97B39"/>
    <w:rsid w:val="00F97B5F"/>
    <w:rsid w:val="00F97B9C"/>
    <w:rsid w:val="00F97BB2"/>
    <w:rsid w:val="00F97BBA"/>
    <w:rsid w:val="00F97BC0"/>
    <w:rsid w:val="00F97BF6"/>
    <w:rsid w:val="00F97C4C"/>
    <w:rsid w:val="00F97C6A"/>
    <w:rsid w:val="00F97D0A"/>
    <w:rsid w:val="00F97D51"/>
    <w:rsid w:val="00F97D91"/>
    <w:rsid w:val="00F97E06"/>
    <w:rsid w:val="00F97E0C"/>
    <w:rsid w:val="00F97E3A"/>
    <w:rsid w:val="00F97E42"/>
    <w:rsid w:val="00F97E79"/>
    <w:rsid w:val="00F97F08"/>
    <w:rsid w:val="00F97FB2"/>
    <w:rsid w:val="00F97FDA"/>
    <w:rsid w:val="00FA01FD"/>
    <w:rsid w:val="00FA02AE"/>
    <w:rsid w:val="00FA02B9"/>
    <w:rsid w:val="00FA0472"/>
    <w:rsid w:val="00FA04BB"/>
    <w:rsid w:val="00FA04D5"/>
    <w:rsid w:val="00FA052E"/>
    <w:rsid w:val="00FA0532"/>
    <w:rsid w:val="00FA0561"/>
    <w:rsid w:val="00FA0597"/>
    <w:rsid w:val="00FA05E0"/>
    <w:rsid w:val="00FA06AB"/>
    <w:rsid w:val="00FA0709"/>
    <w:rsid w:val="00FA079A"/>
    <w:rsid w:val="00FA079B"/>
    <w:rsid w:val="00FA0826"/>
    <w:rsid w:val="00FA087F"/>
    <w:rsid w:val="00FA08BC"/>
    <w:rsid w:val="00FA098B"/>
    <w:rsid w:val="00FA09DE"/>
    <w:rsid w:val="00FA09ED"/>
    <w:rsid w:val="00FA0A60"/>
    <w:rsid w:val="00FA0A99"/>
    <w:rsid w:val="00FA0B34"/>
    <w:rsid w:val="00FA0B3B"/>
    <w:rsid w:val="00FA0C20"/>
    <w:rsid w:val="00FA0C7B"/>
    <w:rsid w:val="00FA0CB0"/>
    <w:rsid w:val="00FA0CEC"/>
    <w:rsid w:val="00FA0CF7"/>
    <w:rsid w:val="00FA0D0C"/>
    <w:rsid w:val="00FA0D8E"/>
    <w:rsid w:val="00FA0E06"/>
    <w:rsid w:val="00FA0E10"/>
    <w:rsid w:val="00FA0EAF"/>
    <w:rsid w:val="00FA112C"/>
    <w:rsid w:val="00FA1168"/>
    <w:rsid w:val="00FA11AF"/>
    <w:rsid w:val="00FA132B"/>
    <w:rsid w:val="00FA137E"/>
    <w:rsid w:val="00FA1508"/>
    <w:rsid w:val="00FA1558"/>
    <w:rsid w:val="00FA157F"/>
    <w:rsid w:val="00FA1650"/>
    <w:rsid w:val="00FA1720"/>
    <w:rsid w:val="00FA1896"/>
    <w:rsid w:val="00FA18F6"/>
    <w:rsid w:val="00FA1967"/>
    <w:rsid w:val="00FA19B4"/>
    <w:rsid w:val="00FA1A49"/>
    <w:rsid w:val="00FA1A60"/>
    <w:rsid w:val="00FA1A7F"/>
    <w:rsid w:val="00FA1B22"/>
    <w:rsid w:val="00FA1C3B"/>
    <w:rsid w:val="00FA1C58"/>
    <w:rsid w:val="00FA1C80"/>
    <w:rsid w:val="00FA1D6F"/>
    <w:rsid w:val="00FA1E6C"/>
    <w:rsid w:val="00FA1E6F"/>
    <w:rsid w:val="00FA1ECB"/>
    <w:rsid w:val="00FA20D8"/>
    <w:rsid w:val="00FA21A0"/>
    <w:rsid w:val="00FA2292"/>
    <w:rsid w:val="00FA22D5"/>
    <w:rsid w:val="00FA2358"/>
    <w:rsid w:val="00FA2410"/>
    <w:rsid w:val="00FA241A"/>
    <w:rsid w:val="00FA241C"/>
    <w:rsid w:val="00FA2439"/>
    <w:rsid w:val="00FA2447"/>
    <w:rsid w:val="00FA24DD"/>
    <w:rsid w:val="00FA24E1"/>
    <w:rsid w:val="00FA2592"/>
    <w:rsid w:val="00FA25A8"/>
    <w:rsid w:val="00FA264E"/>
    <w:rsid w:val="00FA26AA"/>
    <w:rsid w:val="00FA2851"/>
    <w:rsid w:val="00FA2860"/>
    <w:rsid w:val="00FA2A04"/>
    <w:rsid w:val="00FA2A75"/>
    <w:rsid w:val="00FA2B31"/>
    <w:rsid w:val="00FA2B9F"/>
    <w:rsid w:val="00FA2C8B"/>
    <w:rsid w:val="00FA2D14"/>
    <w:rsid w:val="00FA2D22"/>
    <w:rsid w:val="00FA2DB9"/>
    <w:rsid w:val="00FA2E11"/>
    <w:rsid w:val="00FA2E24"/>
    <w:rsid w:val="00FA2EEB"/>
    <w:rsid w:val="00FA2F2C"/>
    <w:rsid w:val="00FA2F5C"/>
    <w:rsid w:val="00FA2F8D"/>
    <w:rsid w:val="00FA3007"/>
    <w:rsid w:val="00FA306A"/>
    <w:rsid w:val="00FA309F"/>
    <w:rsid w:val="00FA30B8"/>
    <w:rsid w:val="00FA30F9"/>
    <w:rsid w:val="00FA3136"/>
    <w:rsid w:val="00FA313D"/>
    <w:rsid w:val="00FA313F"/>
    <w:rsid w:val="00FA3171"/>
    <w:rsid w:val="00FA318A"/>
    <w:rsid w:val="00FA322D"/>
    <w:rsid w:val="00FA3236"/>
    <w:rsid w:val="00FA323A"/>
    <w:rsid w:val="00FA32A3"/>
    <w:rsid w:val="00FA32CD"/>
    <w:rsid w:val="00FA3309"/>
    <w:rsid w:val="00FA339D"/>
    <w:rsid w:val="00FA344D"/>
    <w:rsid w:val="00FA3521"/>
    <w:rsid w:val="00FA3565"/>
    <w:rsid w:val="00FA35C4"/>
    <w:rsid w:val="00FA35CF"/>
    <w:rsid w:val="00FA365D"/>
    <w:rsid w:val="00FA3750"/>
    <w:rsid w:val="00FA3763"/>
    <w:rsid w:val="00FA3919"/>
    <w:rsid w:val="00FA394D"/>
    <w:rsid w:val="00FA3A1A"/>
    <w:rsid w:val="00FA3A2C"/>
    <w:rsid w:val="00FA3A50"/>
    <w:rsid w:val="00FA3AFC"/>
    <w:rsid w:val="00FA3B54"/>
    <w:rsid w:val="00FA3B56"/>
    <w:rsid w:val="00FA3C19"/>
    <w:rsid w:val="00FA3D4F"/>
    <w:rsid w:val="00FA3F01"/>
    <w:rsid w:val="00FA3F06"/>
    <w:rsid w:val="00FA3F84"/>
    <w:rsid w:val="00FA4091"/>
    <w:rsid w:val="00FA415A"/>
    <w:rsid w:val="00FA41D2"/>
    <w:rsid w:val="00FA4228"/>
    <w:rsid w:val="00FA4302"/>
    <w:rsid w:val="00FA4342"/>
    <w:rsid w:val="00FA4367"/>
    <w:rsid w:val="00FA4376"/>
    <w:rsid w:val="00FA43D4"/>
    <w:rsid w:val="00FA4416"/>
    <w:rsid w:val="00FA44BD"/>
    <w:rsid w:val="00FA4535"/>
    <w:rsid w:val="00FA455F"/>
    <w:rsid w:val="00FA4568"/>
    <w:rsid w:val="00FA45AA"/>
    <w:rsid w:val="00FA4620"/>
    <w:rsid w:val="00FA46A8"/>
    <w:rsid w:val="00FA46E5"/>
    <w:rsid w:val="00FA4793"/>
    <w:rsid w:val="00FA47B4"/>
    <w:rsid w:val="00FA481D"/>
    <w:rsid w:val="00FA487A"/>
    <w:rsid w:val="00FA4880"/>
    <w:rsid w:val="00FA493F"/>
    <w:rsid w:val="00FA4A6D"/>
    <w:rsid w:val="00FA4A9D"/>
    <w:rsid w:val="00FA4AA7"/>
    <w:rsid w:val="00FA4ACE"/>
    <w:rsid w:val="00FA4AD2"/>
    <w:rsid w:val="00FA4B14"/>
    <w:rsid w:val="00FA4CB9"/>
    <w:rsid w:val="00FA4DB7"/>
    <w:rsid w:val="00FA4EB2"/>
    <w:rsid w:val="00FA4F34"/>
    <w:rsid w:val="00FA4F36"/>
    <w:rsid w:val="00FA507C"/>
    <w:rsid w:val="00FA509D"/>
    <w:rsid w:val="00FA5106"/>
    <w:rsid w:val="00FA51C1"/>
    <w:rsid w:val="00FA5277"/>
    <w:rsid w:val="00FA5367"/>
    <w:rsid w:val="00FA53EF"/>
    <w:rsid w:val="00FA54A0"/>
    <w:rsid w:val="00FA54A4"/>
    <w:rsid w:val="00FA54B6"/>
    <w:rsid w:val="00FA5534"/>
    <w:rsid w:val="00FA560A"/>
    <w:rsid w:val="00FA5627"/>
    <w:rsid w:val="00FA5675"/>
    <w:rsid w:val="00FA5716"/>
    <w:rsid w:val="00FA5720"/>
    <w:rsid w:val="00FA58DE"/>
    <w:rsid w:val="00FA5911"/>
    <w:rsid w:val="00FA598F"/>
    <w:rsid w:val="00FA59DD"/>
    <w:rsid w:val="00FA5AC4"/>
    <w:rsid w:val="00FA5B63"/>
    <w:rsid w:val="00FA5C8B"/>
    <w:rsid w:val="00FA5CFD"/>
    <w:rsid w:val="00FA5DB2"/>
    <w:rsid w:val="00FA5DFA"/>
    <w:rsid w:val="00FA5EC6"/>
    <w:rsid w:val="00FA5ED9"/>
    <w:rsid w:val="00FA5F45"/>
    <w:rsid w:val="00FA5F65"/>
    <w:rsid w:val="00FA5F90"/>
    <w:rsid w:val="00FA603D"/>
    <w:rsid w:val="00FA60F1"/>
    <w:rsid w:val="00FA619F"/>
    <w:rsid w:val="00FA625E"/>
    <w:rsid w:val="00FA63B0"/>
    <w:rsid w:val="00FA6414"/>
    <w:rsid w:val="00FA6456"/>
    <w:rsid w:val="00FA64B5"/>
    <w:rsid w:val="00FA655F"/>
    <w:rsid w:val="00FA656D"/>
    <w:rsid w:val="00FA657B"/>
    <w:rsid w:val="00FA65A6"/>
    <w:rsid w:val="00FA65E6"/>
    <w:rsid w:val="00FA660A"/>
    <w:rsid w:val="00FA6631"/>
    <w:rsid w:val="00FA664C"/>
    <w:rsid w:val="00FA66E1"/>
    <w:rsid w:val="00FA670A"/>
    <w:rsid w:val="00FA6810"/>
    <w:rsid w:val="00FA683B"/>
    <w:rsid w:val="00FA69C9"/>
    <w:rsid w:val="00FA6A15"/>
    <w:rsid w:val="00FA6AB5"/>
    <w:rsid w:val="00FA6AE6"/>
    <w:rsid w:val="00FA6B85"/>
    <w:rsid w:val="00FA6BC0"/>
    <w:rsid w:val="00FA6BE9"/>
    <w:rsid w:val="00FA6C28"/>
    <w:rsid w:val="00FA6C49"/>
    <w:rsid w:val="00FA6CFD"/>
    <w:rsid w:val="00FA6D16"/>
    <w:rsid w:val="00FA6D1B"/>
    <w:rsid w:val="00FA6D50"/>
    <w:rsid w:val="00FA6E4D"/>
    <w:rsid w:val="00FA6EA4"/>
    <w:rsid w:val="00FA6F4E"/>
    <w:rsid w:val="00FA7057"/>
    <w:rsid w:val="00FA7352"/>
    <w:rsid w:val="00FA744D"/>
    <w:rsid w:val="00FA74A5"/>
    <w:rsid w:val="00FA7604"/>
    <w:rsid w:val="00FA7685"/>
    <w:rsid w:val="00FA7690"/>
    <w:rsid w:val="00FA76EA"/>
    <w:rsid w:val="00FA7738"/>
    <w:rsid w:val="00FA7792"/>
    <w:rsid w:val="00FA7975"/>
    <w:rsid w:val="00FA7A0A"/>
    <w:rsid w:val="00FA7A67"/>
    <w:rsid w:val="00FA7B91"/>
    <w:rsid w:val="00FA7BCF"/>
    <w:rsid w:val="00FA7C9C"/>
    <w:rsid w:val="00FA7D06"/>
    <w:rsid w:val="00FA7D3C"/>
    <w:rsid w:val="00FA7E91"/>
    <w:rsid w:val="00FB0050"/>
    <w:rsid w:val="00FB006F"/>
    <w:rsid w:val="00FB009D"/>
    <w:rsid w:val="00FB01D4"/>
    <w:rsid w:val="00FB01FD"/>
    <w:rsid w:val="00FB0217"/>
    <w:rsid w:val="00FB0249"/>
    <w:rsid w:val="00FB02BA"/>
    <w:rsid w:val="00FB03BD"/>
    <w:rsid w:val="00FB0441"/>
    <w:rsid w:val="00FB0460"/>
    <w:rsid w:val="00FB04D6"/>
    <w:rsid w:val="00FB04EC"/>
    <w:rsid w:val="00FB04EE"/>
    <w:rsid w:val="00FB0521"/>
    <w:rsid w:val="00FB05EE"/>
    <w:rsid w:val="00FB064E"/>
    <w:rsid w:val="00FB06BD"/>
    <w:rsid w:val="00FB0700"/>
    <w:rsid w:val="00FB0725"/>
    <w:rsid w:val="00FB07E7"/>
    <w:rsid w:val="00FB0854"/>
    <w:rsid w:val="00FB09DE"/>
    <w:rsid w:val="00FB0A35"/>
    <w:rsid w:val="00FB0A7E"/>
    <w:rsid w:val="00FB0ACC"/>
    <w:rsid w:val="00FB0C7A"/>
    <w:rsid w:val="00FB0CF8"/>
    <w:rsid w:val="00FB0E8B"/>
    <w:rsid w:val="00FB0EC7"/>
    <w:rsid w:val="00FB0F7C"/>
    <w:rsid w:val="00FB0FB6"/>
    <w:rsid w:val="00FB0FD8"/>
    <w:rsid w:val="00FB1088"/>
    <w:rsid w:val="00FB108D"/>
    <w:rsid w:val="00FB10E1"/>
    <w:rsid w:val="00FB10F5"/>
    <w:rsid w:val="00FB112A"/>
    <w:rsid w:val="00FB112B"/>
    <w:rsid w:val="00FB114D"/>
    <w:rsid w:val="00FB1165"/>
    <w:rsid w:val="00FB12D4"/>
    <w:rsid w:val="00FB1371"/>
    <w:rsid w:val="00FB13DC"/>
    <w:rsid w:val="00FB13FB"/>
    <w:rsid w:val="00FB1461"/>
    <w:rsid w:val="00FB146B"/>
    <w:rsid w:val="00FB148D"/>
    <w:rsid w:val="00FB148F"/>
    <w:rsid w:val="00FB1505"/>
    <w:rsid w:val="00FB15E1"/>
    <w:rsid w:val="00FB1608"/>
    <w:rsid w:val="00FB1658"/>
    <w:rsid w:val="00FB1733"/>
    <w:rsid w:val="00FB17A3"/>
    <w:rsid w:val="00FB184E"/>
    <w:rsid w:val="00FB1879"/>
    <w:rsid w:val="00FB1888"/>
    <w:rsid w:val="00FB1934"/>
    <w:rsid w:val="00FB1938"/>
    <w:rsid w:val="00FB1960"/>
    <w:rsid w:val="00FB1A4C"/>
    <w:rsid w:val="00FB1AC5"/>
    <w:rsid w:val="00FB1AD2"/>
    <w:rsid w:val="00FB1C21"/>
    <w:rsid w:val="00FB1C54"/>
    <w:rsid w:val="00FB1C80"/>
    <w:rsid w:val="00FB1CC7"/>
    <w:rsid w:val="00FB1D76"/>
    <w:rsid w:val="00FB1E27"/>
    <w:rsid w:val="00FB1E45"/>
    <w:rsid w:val="00FB1F2A"/>
    <w:rsid w:val="00FB1F68"/>
    <w:rsid w:val="00FB1FB5"/>
    <w:rsid w:val="00FB2019"/>
    <w:rsid w:val="00FB2053"/>
    <w:rsid w:val="00FB2150"/>
    <w:rsid w:val="00FB2239"/>
    <w:rsid w:val="00FB2328"/>
    <w:rsid w:val="00FB23D5"/>
    <w:rsid w:val="00FB240F"/>
    <w:rsid w:val="00FB24FE"/>
    <w:rsid w:val="00FB251E"/>
    <w:rsid w:val="00FB2524"/>
    <w:rsid w:val="00FB2576"/>
    <w:rsid w:val="00FB267E"/>
    <w:rsid w:val="00FB26C1"/>
    <w:rsid w:val="00FB272B"/>
    <w:rsid w:val="00FB2733"/>
    <w:rsid w:val="00FB2770"/>
    <w:rsid w:val="00FB2808"/>
    <w:rsid w:val="00FB2828"/>
    <w:rsid w:val="00FB291C"/>
    <w:rsid w:val="00FB2920"/>
    <w:rsid w:val="00FB2A19"/>
    <w:rsid w:val="00FB2A2F"/>
    <w:rsid w:val="00FB2A32"/>
    <w:rsid w:val="00FB2A84"/>
    <w:rsid w:val="00FB2A9E"/>
    <w:rsid w:val="00FB2AEA"/>
    <w:rsid w:val="00FB2B00"/>
    <w:rsid w:val="00FB2BB8"/>
    <w:rsid w:val="00FB2C4F"/>
    <w:rsid w:val="00FB2CD5"/>
    <w:rsid w:val="00FB2D8E"/>
    <w:rsid w:val="00FB2DDD"/>
    <w:rsid w:val="00FB2E2E"/>
    <w:rsid w:val="00FB2EAA"/>
    <w:rsid w:val="00FB2EB8"/>
    <w:rsid w:val="00FB2FD2"/>
    <w:rsid w:val="00FB308B"/>
    <w:rsid w:val="00FB3165"/>
    <w:rsid w:val="00FB3194"/>
    <w:rsid w:val="00FB319F"/>
    <w:rsid w:val="00FB31F8"/>
    <w:rsid w:val="00FB3200"/>
    <w:rsid w:val="00FB3286"/>
    <w:rsid w:val="00FB32BB"/>
    <w:rsid w:val="00FB336D"/>
    <w:rsid w:val="00FB33BD"/>
    <w:rsid w:val="00FB33D5"/>
    <w:rsid w:val="00FB33E1"/>
    <w:rsid w:val="00FB3416"/>
    <w:rsid w:val="00FB3418"/>
    <w:rsid w:val="00FB34B0"/>
    <w:rsid w:val="00FB3572"/>
    <w:rsid w:val="00FB3630"/>
    <w:rsid w:val="00FB3634"/>
    <w:rsid w:val="00FB3835"/>
    <w:rsid w:val="00FB38EC"/>
    <w:rsid w:val="00FB38F3"/>
    <w:rsid w:val="00FB3949"/>
    <w:rsid w:val="00FB394C"/>
    <w:rsid w:val="00FB394E"/>
    <w:rsid w:val="00FB3AAE"/>
    <w:rsid w:val="00FB3ACF"/>
    <w:rsid w:val="00FB3B10"/>
    <w:rsid w:val="00FB3B15"/>
    <w:rsid w:val="00FB3C23"/>
    <w:rsid w:val="00FB3CBC"/>
    <w:rsid w:val="00FB3D13"/>
    <w:rsid w:val="00FB3D15"/>
    <w:rsid w:val="00FB3D69"/>
    <w:rsid w:val="00FB3D8B"/>
    <w:rsid w:val="00FB3DF9"/>
    <w:rsid w:val="00FB3FB6"/>
    <w:rsid w:val="00FB40F2"/>
    <w:rsid w:val="00FB41B9"/>
    <w:rsid w:val="00FB41BA"/>
    <w:rsid w:val="00FB41D9"/>
    <w:rsid w:val="00FB432B"/>
    <w:rsid w:val="00FB4401"/>
    <w:rsid w:val="00FB4464"/>
    <w:rsid w:val="00FB44ED"/>
    <w:rsid w:val="00FB44F4"/>
    <w:rsid w:val="00FB455B"/>
    <w:rsid w:val="00FB456A"/>
    <w:rsid w:val="00FB45B8"/>
    <w:rsid w:val="00FB4643"/>
    <w:rsid w:val="00FB4655"/>
    <w:rsid w:val="00FB4760"/>
    <w:rsid w:val="00FB4775"/>
    <w:rsid w:val="00FB48B2"/>
    <w:rsid w:val="00FB4915"/>
    <w:rsid w:val="00FB4968"/>
    <w:rsid w:val="00FB4ADC"/>
    <w:rsid w:val="00FB4B06"/>
    <w:rsid w:val="00FB4BD1"/>
    <w:rsid w:val="00FB4C4F"/>
    <w:rsid w:val="00FB4CCC"/>
    <w:rsid w:val="00FB4CDB"/>
    <w:rsid w:val="00FB4CDC"/>
    <w:rsid w:val="00FB4D20"/>
    <w:rsid w:val="00FB4D53"/>
    <w:rsid w:val="00FB4D93"/>
    <w:rsid w:val="00FB4E24"/>
    <w:rsid w:val="00FB4E42"/>
    <w:rsid w:val="00FB4E4C"/>
    <w:rsid w:val="00FB4E64"/>
    <w:rsid w:val="00FB4F3C"/>
    <w:rsid w:val="00FB500D"/>
    <w:rsid w:val="00FB5123"/>
    <w:rsid w:val="00FB5146"/>
    <w:rsid w:val="00FB515F"/>
    <w:rsid w:val="00FB520F"/>
    <w:rsid w:val="00FB52F1"/>
    <w:rsid w:val="00FB534D"/>
    <w:rsid w:val="00FB5382"/>
    <w:rsid w:val="00FB53AB"/>
    <w:rsid w:val="00FB542E"/>
    <w:rsid w:val="00FB5444"/>
    <w:rsid w:val="00FB5484"/>
    <w:rsid w:val="00FB559B"/>
    <w:rsid w:val="00FB561D"/>
    <w:rsid w:val="00FB561F"/>
    <w:rsid w:val="00FB56F6"/>
    <w:rsid w:val="00FB5725"/>
    <w:rsid w:val="00FB5730"/>
    <w:rsid w:val="00FB574E"/>
    <w:rsid w:val="00FB585E"/>
    <w:rsid w:val="00FB58F5"/>
    <w:rsid w:val="00FB5915"/>
    <w:rsid w:val="00FB5948"/>
    <w:rsid w:val="00FB5CAD"/>
    <w:rsid w:val="00FB5D0F"/>
    <w:rsid w:val="00FB5D1C"/>
    <w:rsid w:val="00FB5DA0"/>
    <w:rsid w:val="00FB5DF9"/>
    <w:rsid w:val="00FB5EB3"/>
    <w:rsid w:val="00FB5F7E"/>
    <w:rsid w:val="00FB6039"/>
    <w:rsid w:val="00FB60B8"/>
    <w:rsid w:val="00FB60E1"/>
    <w:rsid w:val="00FB61B8"/>
    <w:rsid w:val="00FB62CF"/>
    <w:rsid w:val="00FB630D"/>
    <w:rsid w:val="00FB6356"/>
    <w:rsid w:val="00FB6382"/>
    <w:rsid w:val="00FB6415"/>
    <w:rsid w:val="00FB6504"/>
    <w:rsid w:val="00FB65C1"/>
    <w:rsid w:val="00FB669B"/>
    <w:rsid w:val="00FB66C8"/>
    <w:rsid w:val="00FB6771"/>
    <w:rsid w:val="00FB6779"/>
    <w:rsid w:val="00FB687D"/>
    <w:rsid w:val="00FB688F"/>
    <w:rsid w:val="00FB68B9"/>
    <w:rsid w:val="00FB698F"/>
    <w:rsid w:val="00FB69BC"/>
    <w:rsid w:val="00FB69E9"/>
    <w:rsid w:val="00FB6AD4"/>
    <w:rsid w:val="00FB6ADF"/>
    <w:rsid w:val="00FB6B26"/>
    <w:rsid w:val="00FB6C39"/>
    <w:rsid w:val="00FB6C42"/>
    <w:rsid w:val="00FB6CCE"/>
    <w:rsid w:val="00FB6CD2"/>
    <w:rsid w:val="00FB6D07"/>
    <w:rsid w:val="00FB6D63"/>
    <w:rsid w:val="00FB6D78"/>
    <w:rsid w:val="00FB6D89"/>
    <w:rsid w:val="00FB6DBC"/>
    <w:rsid w:val="00FB6DF1"/>
    <w:rsid w:val="00FB6E22"/>
    <w:rsid w:val="00FB6E29"/>
    <w:rsid w:val="00FB6EB1"/>
    <w:rsid w:val="00FB6EC4"/>
    <w:rsid w:val="00FB6F1D"/>
    <w:rsid w:val="00FB6F87"/>
    <w:rsid w:val="00FB6FA5"/>
    <w:rsid w:val="00FB6FB1"/>
    <w:rsid w:val="00FB706F"/>
    <w:rsid w:val="00FB7085"/>
    <w:rsid w:val="00FB7121"/>
    <w:rsid w:val="00FB7191"/>
    <w:rsid w:val="00FB7209"/>
    <w:rsid w:val="00FB72D2"/>
    <w:rsid w:val="00FB7408"/>
    <w:rsid w:val="00FB74E4"/>
    <w:rsid w:val="00FB74EE"/>
    <w:rsid w:val="00FB753C"/>
    <w:rsid w:val="00FB7553"/>
    <w:rsid w:val="00FB75A5"/>
    <w:rsid w:val="00FB75FD"/>
    <w:rsid w:val="00FB760C"/>
    <w:rsid w:val="00FB7716"/>
    <w:rsid w:val="00FB77A6"/>
    <w:rsid w:val="00FB77E1"/>
    <w:rsid w:val="00FB7839"/>
    <w:rsid w:val="00FB7849"/>
    <w:rsid w:val="00FB789B"/>
    <w:rsid w:val="00FB7951"/>
    <w:rsid w:val="00FB7964"/>
    <w:rsid w:val="00FB7AE0"/>
    <w:rsid w:val="00FB7B48"/>
    <w:rsid w:val="00FB7C01"/>
    <w:rsid w:val="00FB7C22"/>
    <w:rsid w:val="00FB7CEE"/>
    <w:rsid w:val="00FB7DBF"/>
    <w:rsid w:val="00FB7DDE"/>
    <w:rsid w:val="00FB7F84"/>
    <w:rsid w:val="00FB7FC2"/>
    <w:rsid w:val="00FBAA85"/>
    <w:rsid w:val="00FC009B"/>
    <w:rsid w:val="00FC01BA"/>
    <w:rsid w:val="00FC01D0"/>
    <w:rsid w:val="00FC02C4"/>
    <w:rsid w:val="00FC02E9"/>
    <w:rsid w:val="00FC032C"/>
    <w:rsid w:val="00FC0354"/>
    <w:rsid w:val="00FC03EF"/>
    <w:rsid w:val="00FC0454"/>
    <w:rsid w:val="00FC049A"/>
    <w:rsid w:val="00FC04F5"/>
    <w:rsid w:val="00FC0557"/>
    <w:rsid w:val="00FC056C"/>
    <w:rsid w:val="00FC0728"/>
    <w:rsid w:val="00FC0785"/>
    <w:rsid w:val="00FC07F2"/>
    <w:rsid w:val="00FC0857"/>
    <w:rsid w:val="00FC0870"/>
    <w:rsid w:val="00FC0AD7"/>
    <w:rsid w:val="00FC0B06"/>
    <w:rsid w:val="00FC0B13"/>
    <w:rsid w:val="00FC0BB3"/>
    <w:rsid w:val="00FC0E42"/>
    <w:rsid w:val="00FC0E68"/>
    <w:rsid w:val="00FC0EAB"/>
    <w:rsid w:val="00FC0EB8"/>
    <w:rsid w:val="00FC0F1F"/>
    <w:rsid w:val="00FC0F99"/>
    <w:rsid w:val="00FC0FB6"/>
    <w:rsid w:val="00FC0FC0"/>
    <w:rsid w:val="00FC10A4"/>
    <w:rsid w:val="00FC10E2"/>
    <w:rsid w:val="00FC10E4"/>
    <w:rsid w:val="00FC110C"/>
    <w:rsid w:val="00FC1141"/>
    <w:rsid w:val="00FC1174"/>
    <w:rsid w:val="00FC1183"/>
    <w:rsid w:val="00FC11E9"/>
    <w:rsid w:val="00FC1331"/>
    <w:rsid w:val="00FC1368"/>
    <w:rsid w:val="00FC13A5"/>
    <w:rsid w:val="00FC1461"/>
    <w:rsid w:val="00FC1472"/>
    <w:rsid w:val="00FC154F"/>
    <w:rsid w:val="00FC15E0"/>
    <w:rsid w:val="00FC162B"/>
    <w:rsid w:val="00FC175B"/>
    <w:rsid w:val="00FC1768"/>
    <w:rsid w:val="00FC1786"/>
    <w:rsid w:val="00FC1802"/>
    <w:rsid w:val="00FC186C"/>
    <w:rsid w:val="00FC186E"/>
    <w:rsid w:val="00FC18B5"/>
    <w:rsid w:val="00FC194A"/>
    <w:rsid w:val="00FC196B"/>
    <w:rsid w:val="00FC1A0F"/>
    <w:rsid w:val="00FC1A22"/>
    <w:rsid w:val="00FC1A8F"/>
    <w:rsid w:val="00FC1A95"/>
    <w:rsid w:val="00FC1B21"/>
    <w:rsid w:val="00FC1BCE"/>
    <w:rsid w:val="00FC1BE3"/>
    <w:rsid w:val="00FC1BFB"/>
    <w:rsid w:val="00FC1CE3"/>
    <w:rsid w:val="00FC1DBF"/>
    <w:rsid w:val="00FC1DC6"/>
    <w:rsid w:val="00FC1EFD"/>
    <w:rsid w:val="00FC1EFF"/>
    <w:rsid w:val="00FC1FC4"/>
    <w:rsid w:val="00FC1FF0"/>
    <w:rsid w:val="00FC205A"/>
    <w:rsid w:val="00FC2069"/>
    <w:rsid w:val="00FC2092"/>
    <w:rsid w:val="00FC20D1"/>
    <w:rsid w:val="00FC2227"/>
    <w:rsid w:val="00FC22D0"/>
    <w:rsid w:val="00FC22FB"/>
    <w:rsid w:val="00FC2351"/>
    <w:rsid w:val="00FC23B3"/>
    <w:rsid w:val="00FC23BD"/>
    <w:rsid w:val="00FC23D2"/>
    <w:rsid w:val="00FC2524"/>
    <w:rsid w:val="00FC25F6"/>
    <w:rsid w:val="00FC264E"/>
    <w:rsid w:val="00FC271A"/>
    <w:rsid w:val="00FC2736"/>
    <w:rsid w:val="00FC2778"/>
    <w:rsid w:val="00FC2793"/>
    <w:rsid w:val="00FC27C5"/>
    <w:rsid w:val="00FC2858"/>
    <w:rsid w:val="00FC2860"/>
    <w:rsid w:val="00FC28B0"/>
    <w:rsid w:val="00FC28E6"/>
    <w:rsid w:val="00FC29AE"/>
    <w:rsid w:val="00FC2A7D"/>
    <w:rsid w:val="00FC2AAD"/>
    <w:rsid w:val="00FC2ADD"/>
    <w:rsid w:val="00FC2B55"/>
    <w:rsid w:val="00FC2B77"/>
    <w:rsid w:val="00FC2BC6"/>
    <w:rsid w:val="00FC2BD5"/>
    <w:rsid w:val="00FC2C94"/>
    <w:rsid w:val="00FC2CBE"/>
    <w:rsid w:val="00FC2D8D"/>
    <w:rsid w:val="00FC2DBD"/>
    <w:rsid w:val="00FC2E72"/>
    <w:rsid w:val="00FC2EE4"/>
    <w:rsid w:val="00FC2EEF"/>
    <w:rsid w:val="00FC2F77"/>
    <w:rsid w:val="00FC2F81"/>
    <w:rsid w:val="00FC30FD"/>
    <w:rsid w:val="00FC3214"/>
    <w:rsid w:val="00FC329F"/>
    <w:rsid w:val="00FC32AB"/>
    <w:rsid w:val="00FC32E9"/>
    <w:rsid w:val="00FC3307"/>
    <w:rsid w:val="00FC3319"/>
    <w:rsid w:val="00FC3337"/>
    <w:rsid w:val="00FC33E5"/>
    <w:rsid w:val="00FC3413"/>
    <w:rsid w:val="00FC34DB"/>
    <w:rsid w:val="00FC3506"/>
    <w:rsid w:val="00FC3676"/>
    <w:rsid w:val="00FC36E3"/>
    <w:rsid w:val="00FC36F3"/>
    <w:rsid w:val="00FC37A5"/>
    <w:rsid w:val="00FC37D3"/>
    <w:rsid w:val="00FC38A9"/>
    <w:rsid w:val="00FC38B9"/>
    <w:rsid w:val="00FC3A70"/>
    <w:rsid w:val="00FC3BDB"/>
    <w:rsid w:val="00FC3BFE"/>
    <w:rsid w:val="00FC3C29"/>
    <w:rsid w:val="00FC3CC0"/>
    <w:rsid w:val="00FC3D07"/>
    <w:rsid w:val="00FC3D95"/>
    <w:rsid w:val="00FC3DAE"/>
    <w:rsid w:val="00FC3DFD"/>
    <w:rsid w:val="00FC3EEA"/>
    <w:rsid w:val="00FC3F10"/>
    <w:rsid w:val="00FC3F58"/>
    <w:rsid w:val="00FC3F5F"/>
    <w:rsid w:val="00FC3F8C"/>
    <w:rsid w:val="00FC4133"/>
    <w:rsid w:val="00FC4192"/>
    <w:rsid w:val="00FC4269"/>
    <w:rsid w:val="00FC4281"/>
    <w:rsid w:val="00FC42F8"/>
    <w:rsid w:val="00FC4553"/>
    <w:rsid w:val="00FC45C4"/>
    <w:rsid w:val="00FC461C"/>
    <w:rsid w:val="00FC46A3"/>
    <w:rsid w:val="00FC46A4"/>
    <w:rsid w:val="00FC46DE"/>
    <w:rsid w:val="00FC472D"/>
    <w:rsid w:val="00FC474F"/>
    <w:rsid w:val="00FC4807"/>
    <w:rsid w:val="00FC4853"/>
    <w:rsid w:val="00FC496B"/>
    <w:rsid w:val="00FC4983"/>
    <w:rsid w:val="00FC4BAA"/>
    <w:rsid w:val="00FC4BDF"/>
    <w:rsid w:val="00FC4CCA"/>
    <w:rsid w:val="00FC4CD4"/>
    <w:rsid w:val="00FC4D3F"/>
    <w:rsid w:val="00FC4D7A"/>
    <w:rsid w:val="00FC4E15"/>
    <w:rsid w:val="00FC4E23"/>
    <w:rsid w:val="00FC4E93"/>
    <w:rsid w:val="00FC4EAA"/>
    <w:rsid w:val="00FC4F16"/>
    <w:rsid w:val="00FC4FEC"/>
    <w:rsid w:val="00FC4FF1"/>
    <w:rsid w:val="00FC50D9"/>
    <w:rsid w:val="00FC5127"/>
    <w:rsid w:val="00FC512C"/>
    <w:rsid w:val="00FC512F"/>
    <w:rsid w:val="00FC51B0"/>
    <w:rsid w:val="00FC51BD"/>
    <w:rsid w:val="00FC523E"/>
    <w:rsid w:val="00FC5355"/>
    <w:rsid w:val="00FC5410"/>
    <w:rsid w:val="00FC541A"/>
    <w:rsid w:val="00FC5450"/>
    <w:rsid w:val="00FC54CD"/>
    <w:rsid w:val="00FC5547"/>
    <w:rsid w:val="00FC55B6"/>
    <w:rsid w:val="00FC577E"/>
    <w:rsid w:val="00FC58A4"/>
    <w:rsid w:val="00FC5912"/>
    <w:rsid w:val="00FC5918"/>
    <w:rsid w:val="00FC598F"/>
    <w:rsid w:val="00FC59A2"/>
    <w:rsid w:val="00FC59C6"/>
    <w:rsid w:val="00FC5B34"/>
    <w:rsid w:val="00FC5B45"/>
    <w:rsid w:val="00FC5BBC"/>
    <w:rsid w:val="00FC5C2E"/>
    <w:rsid w:val="00FC5CA8"/>
    <w:rsid w:val="00FC5CC2"/>
    <w:rsid w:val="00FC5DD2"/>
    <w:rsid w:val="00FC5E9B"/>
    <w:rsid w:val="00FC5EC8"/>
    <w:rsid w:val="00FC5F45"/>
    <w:rsid w:val="00FC5F56"/>
    <w:rsid w:val="00FC6057"/>
    <w:rsid w:val="00FC60DA"/>
    <w:rsid w:val="00FC61C1"/>
    <w:rsid w:val="00FC630F"/>
    <w:rsid w:val="00FC6330"/>
    <w:rsid w:val="00FC6450"/>
    <w:rsid w:val="00FC646C"/>
    <w:rsid w:val="00FC64A9"/>
    <w:rsid w:val="00FC64AB"/>
    <w:rsid w:val="00FC64C2"/>
    <w:rsid w:val="00FC6567"/>
    <w:rsid w:val="00FC6580"/>
    <w:rsid w:val="00FC6653"/>
    <w:rsid w:val="00FC672D"/>
    <w:rsid w:val="00FC690F"/>
    <w:rsid w:val="00FC6924"/>
    <w:rsid w:val="00FC699A"/>
    <w:rsid w:val="00FC69C1"/>
    <w:rsid w:val="00FC6A63"/>
    <w:rsid w:val="00FC6B17"/>
    <w:rsid w:val="00FC6B34"/>
    <w:rsid w:val="00FC6B36"/>
    <w:rsid w:val="00FC6BA6"/>
    <w:rsid w:val="00FC6CD4"/>
    <w:rsid w:val="00FC6E31"/>
    <w:rsid w:val="00FC6E96"/>
    <w:rsid w:val="00FC6ECB"/>
    <w:rsid w:val="00FC6ECC"/>
    <w:rsid w:val="00FC6F3A"/>
    <w:rsid w:val="00FC6FE2"/>
    <w:rsid w:val="00FC708B"/>
    <w:rsid w:val="00FC7235"/>
    <w:rsid w:val="00FC729C"/>
    <w:rsid w:val="00FC733B"/>
    <w:rsid w:val="00FC7350"/>
    <w:rsid w:val="00FC737D"/>
    <w:rsid w:val="00FC73CA"/>
    <w:rsid w:val="00FC746F"/>
    <w:rsid w:val="00FC761F"/>
    <w:rsid w:val="00FC7680"/>
    <w:rsid w:val="00FC76C8"/>
    <w:rsid w:val="00FC77EF"/>
    <w:rsid w:val="00FC783B"/>
    <w:rsid w:val="00FC7884"/>
    <w:rsid w:val="00FC78B5"/>
    <w:rsid w:val="00FC7912"/>
    <w:rsid w:val="00FC7958"/>
    <w:rsid w:val="00FC79F6"/>
    <w:rsid w:val="00FC7A30"/>
    <w:rsid w:val="00FC7A48"/>
    <w:rsid w:val="00FC7AA2"/>
    <w:rsid w:val="00FC7AE7"/>
    <w:rsid w:val="00FC7BBE"/>
    <w:rsid w:val="00FC7CEA"/>
    <w:rsid w:val="00FC7E91"/>
    <w:rsid w:val="00FC7EEE"/>
    <w:rsid w:val="00FC7F1B"/>
    <w:rsid w:val="00FC7F90"/>
    <w:rsid w:val="00FC7FA3"/>
    <w:rsid w:val="00FC7FA7"/>
    <w:rsid w:val="00FC7FD6"/>
    <w:rsid w:val="00FD000E"/>
    <w:rsid w:val="00FD002A"/>
    <w:rsid w:val="00FD0099"/>
    <w:rsid w:val="00FD0203"/>
    <w:rsid w:val="00FD035A"/>
    <w:rsid w:val="00FD0551"/>
    <w:rsid w:val="00FD0559"/>
    <w:rsid w:val="00FD0689"/>
    <w:rsid w:val="00FD06B3"/>
    <w:rsid w:val="00FD086B"/>
    <w:rsid w:val="00FD0936"/>
    <w:rsid w:val="00FD0998"/>
    <w:rsid w:val="00FD09D5"/>
    <w:rsid w:val="00FD09EE"/>
    <w:rsid w:val="00FD0A8F"/>
    <w:rsid w:val="00FD0B7D"/>
    <w:rsid w:val="00FD0BE5"/>
    <w:rsid w:val="00FD0BED"/>
    <w:rsid w:val="00FD0C3D"/>
    <w:rsid w:val="00FD0C42"/>
    <w:rsid w:val="00FD0C78"/>
    <w:rsid w:val="00FD0C82"/>
    <w:rsid w:val="00FD0C92"/>
    <w:rsid w:val="00FD0D2C"/>
    <w:rsid w:val="00FD0D36"/>
    <w:rsid w:val="00FD0DAB"/>
    <w:rsid w:val="00FD0E2A"/>
    <w:rsid w:val="00FD0E2F"/>
    <w:rsid w:val="00FD0E56"/>
    <w:rsid w:val="00FD0E65"/>
    <w:rsid w:val="00FD0F18"/>
    <w:rsid w:val="00FD0F68"/>
    <w:rsid w:val="00FD108A"/>
    <w:rsid w:val="00FD11E2"/>
    <w:rsid w:val="00FD1210"/>
    <w:rsid w:val="00FD144C"/>
    <w:rsid w:val="00FD148B"/>
    <w:rsid w:val="00FD1595"/>
    <w:rsid w:val="00FD16B9"/>
    <w:rsid w:val="00FD16CB"/>
    <w:rsid w:val="00FD16CC"/>
    <w:rsid w:val="00FD1729"/>
    <w:rsid w:val="00FD17F3"/>
    <w:rsid w:val="00FD18B6"/>
    <w:rsid w:val="00FD18EE"/>
    <w:rsid w:val="00FD197D"/>
    <w:rsid w:val="00FD19A8"/>
    <w:rsid w:val="00FD19CE"/>
    <w:rsid w:val="00FD1A0A"/>
    <w:rsid w:val="00FD1A38"/>
    <w:rsid w:val="00FD1A5A"/>
    <w:rsid w:val="00FD1A69"/>
    <w:rsid w:val="00FD1A6F"/>
    <w:rsid w:val="00FD1A82"/>
    <w:rsid w:val="00FD1AE5"/>
    <w:rsid w:val="00FD1B46"/>
    <w:rsid w:val="00FD1B78"/>
    <w:rsid w:val="00FD1BE8"/>
    <w:rsid w:val="00FD1D50"/>
    <w:rsid w:val="00FD1D82"/>
    <w:rsid w:val="00FD1DCC"/>
    <w:rsid w:val="00FD1DE8"/>
    <w:rsid w:val="00FD1E22"/>
    <w:rsid w:val="00FD1F8C"/>
    <w:rsid w:val="00FD1FE9"/>
    <w:rsid w:val="00FD207C"/>
    <w:rsid w:val="00FD208F"/>
    <w:rsid w:val="00FD20A1"/>
    <w:rsid w:val="00FD2100"/>
    <w:rsid w:val="00FD218A"/>
    <w:rsid w:val="00FD21B2"/>
    <w:rsid w:val="00FD21BE"/>
    <w:rsid w:val="00FD21E8"/>
    <w:rsid w:val="00FD227F"/>
    <w:rsid w:val="00FD22D6"/>
    <w:rsid w:val="00FD23D8"/>
    <w:rsid w:val="00FD24F7"/>
    <w:rsid w:val="00FD2594"/>
    <w:rsid w:val="00FD25D1"/>
    <w:rsid w:val="00FD262A"/>
    <w:rsid w:val="00FD2632"/>
    <w:rsid w:val="00FD2691"/>
    <w:rsid w:val="00FD27D5"/>
    <w:rsid w:val="00FD2818"/>
    <w:rsid w:val="00FD2856"/>
    <w:rsid w:val="00FD2860"/>
    <w:rsid w:val="00FD28EC"/>
    <w:rsid w:val="00FD2920"/>
    <w:rsid w:val="00FD2A21"/>
    <w:rsid w:val="00FD2A3A"/>
    <w:rsid w:val="00FD2B27"/>
    <w:rsid w:val="00FD2B40"/>
    <w:rsid w:val="00FD2B74"/>
    <w:rsid w:val="00FD2BD0"/>
    <w:rsid w:val="00FD2CA2"/>
    <w:rsid w:val="00FD2DB5"/>
    <w:rsid w:val="00FD2F84"/>
    <w:rsid w:val="00FD2FB4"/>
    <w:rsid w:val="00FD2FCB"/>
    <w:rsid w:val="00FD300D"/>
    <w:rsid w:val="00FD303C"/>
    <w:rsid w:val="00FD307B"/>
    <w:rsid w:val="00FD30FC"/>
    <w:rsid w:val="00FD3130"/>
    <w:rsid w:val="00FD316B"/>
    <w:rsid w:val="00FD332D"/>
    <w:rsid w:val="00FD3348"/>
    <w:rsid w:val="00FD33E1"/>
    <w:rsid w:val="00FD3440"/>
    <w:rsid w:val="00FD344A"/>
    <w:rsid w:val="00FD36B6"/>
    <w:rsid w:val="00FD36DF"/>
    <w:rsid w:val="00FD388B"/>
    <w:rsid w:val="00FD38BE"/>
    <w:rsid w:val="00FD3901"/>
    <w:rsid w:val="00FD3988"/>
    <w:rsid w:val="00FD3A2A"/>
    <w:rsid w:val="00FD3A3E"/>
    <w:rsid w:val="00FD3A7A"/>
    <w:rsid w:val="00FD3A91"/>
    <w:rsid w:val="00FD3AA0"/>
    <w:rsid w:val="00FD3AE5"/>
    <w:rsid w:val="00FD3AF0"/>
    <w:rsid w:val="00FD3B0C"/>
    <w:rsid w:val="00FD3B32"/>
    <w:rsid w:val="00FD3BEA"/>
    <w:rsid w:val="00FD3C33"/>
    <w:rsid w:val="00FD3CE8"/>
    <w:rsid w:val="00FD3D28"/>
    <w:rsid w:val="00FD3D68"/>
    <w:rsid w:val="00FD3D83"/>
    <w:rsid w:val="00FD3DE0"/>
    <w:rsid w:val="00FD3E50"/>
    <w:rsid w:val="00FD3E52"/>
    <w:rsid w:val="00FD3E68"/>
    <w:rsid w:val="00FD3F53"/>
    <w:rsid w:val="00FD4082"/>
    <w:rsid w:val="00FD4114"/>
    <w:rsid w:val="00FD428D"/>
    <w:rsid w:val="00FD4403"/>
    <w:rsid w:val="00FD4405"/>
    <w:rsid w:val="00FD4412"/>
    <w:rsid w:val="00FD448C"/>
    <w:rsid w:val="00FD44B7"/>
    <w:rsid w:val="00FD4532"/>
    <w:rsid w:val="00FD45AF"/>
    <w:rsid w:val="00FD45FC"/>
    <w:rsid w:val="00FD4669"/>
    <w:rsid w:val="00FD474A"/>
    <w:rsid w:val="00FD4993"/>
    <w:rsid w:val="00FD49BD"/>
    <w:rsid w:val="00FD49C8"/>
    <w:rsid w:val="00FD49F4"/>
    <w:rsid w:val="00FD4A84"/>
    <w:rsid w:val="00FD4A89"/>
    <w:rsid w:val="00FD4CC6"/>
    <w:rsid w:val="00FD4CD4"/>
    <w:rsid w:val="00FD4D7C"/>
    <w:rsid w:val="00FD4E73"/>
    <w:rsid w:val="00FD4EBA"/>
    <w:rsid w:val="00FD4FD5"/>
    <w:rsid w:val="00FD5089"/>
    <w:rsid w:val="00FD5142"/>
    <w:rsid w:val="00FD519D"/>
    <w:rsid w:val="00FD51BB"/>
    <w:rsid w:val="00FD5228"/>
    <w:rsid w:val="00FD5263"/>
    <w:rsid w:val="00FD52A1"/>
    <w:rsid w:val="00FD5383"/>
    <w:rsid w:val="00FD55B4"/>
    <w:rsid w:val="00FD5773"/>
    <w:rsid w:val="00FD5848"/>
    <w:rsid w:val="00FD5884"/>
    <w:rsid w:val="00FD58C9"/>
    <w:rsid w:val="00FD596A"/>
    <w:rsid w:val="00FD5A2F"/>
    <w:rsid w:val="00FD5A3F"/>
    <w:rsid w:val="00FD5AFC"/>
    <w:rsid w:val="00FD5B3E"/>
    <w:rsid w:val="00FD5D62"/>
    <w:rsid w:val="00FD5D94"/>
    <w:rsid w:val="00FD5E02"/>
    <w:rsid w:val="00FD5E7D"/>
    <w:rsid w:val="00FD5EC2"/>
    <w:rsid w:val="00FD5F1E"/>
    <w:rsid w:val="00FD5F63"/>
    <w:rsid w:val="00FD5FAE"/>
    <w:rsid w:val="00FD5FEA"/>
    <w:rsid w:val="00FD601D"/>
    <w:rsid w:val="00FD6236"/>
    <w:rsid w:val="00FD6286"/>
    <w:rsid w:val="00FD62B9"/>
    <w:rsid w:val="00FD62D5"/>
    <w:rsid w:val="00FD62E7"/>
    <w:rsid w:val="00FD6437"/>
    <w:rsid w:val="00FD6462"/>
    <w:rsid w:val="00FD6504"/>
    <w:rsid w:val="00FD651F"/>
    <w:rsid w:val="00FD65D1"/>
    <w:rsid w:val="00FD66FB"/>
    <w:rsid w:val="00FD678D"/>
    <w:rsid w:val="00FD67BF"/>
    <w:rsid w:val="00FD6875"/>
    <w:rsid w:val="00FD68E8"/>
    <w:rsid w:val="00FD68FC"/>
    <w:rsid w:val="00FD69C0"/>
    <w:rsid w:val="00FD6A40"/>
    <w:rsid w:val="00FD6BCA"/>
    <w:rsid w:val="00FD6BE9"/>
    <w:rsid w:val="00FD6BEB"/>
    <w:rsid w:val="00FD6CD6"/>
    <w:rsid w:val="00FD6E01"/>
    <w:rsid w:val="00FD6E16"/>
    <w:rsid w:val="00FD6F39"/>
    <w:rsid w:val="00FD6F84"/>
    <w:rsid w:val="00FD70E8"/>
    <w:rsid w:val="00FD7129"/>
    <w:rsid w:val="00FD714A"/>
    <w:rsid w:val="00FD7184"/>
    <w:rsid w:val="00FD7187"/>
    <w:rsid w:val="00FD71EC"/>
    <w:rsid w:val="00FD71FA"/>
    <w:rsid w:val="00FD73BE"/>
    <w:rsid w:val="00FD73D7"/>
    <w:rsid w:val="00FD73FB"/>
    <w:rsid w:val="00FD744D"/>
    <w:rsid w:val="00FD7474"/>
    <w:rsid w:val="00FD74E7"/>
    <w:rsid w:val="00FD7551"/>
    <w:rsid w:val="00FD75E0"/>
    <w:rsid w:val="00FD75F9"/>
    <w:rsid w:val="00FD7695"/>
    <w:rsid w:val="00FD76CF"/>
    <w:rsid w:val="00FD7792"/>
    <w:rsid w:val="00FD77F2"/>
    <w:rsid w:val="00FD780F"/>
    <w:rsid w:val="00FD7859"/>
    <w:rsid w:val="00FD78C9"/>
    <w:rsid w:val="00FD7945"/>
    <w:rsid w:val="00FD7AA7"/>
    <w:rsid w:val="00FD7B19"/>
    <w:rsid w:val="00FD7B3D"/>
    <w:rsid w:val="00FD7B64"/>
    <w:rsid w:val="00FD7B7E"/>
    <w:rsid w:val="00FD7C68"/>
    <w:rsid w:val="00FD7D45"/>
    <w:rsid w:val="00FD7D51"/>
    <w:rsid w:val="00FD7DE3"/>
    <w:rsid w:val="00FD7E99"/>
    <w:rsid w:val="00FD7EBB"/>
    <w:rsid w:val="00FD7EE4"/>
    <w:rsid w:val="00FD7EEE"/>
    <w:rsid w:val="00FD7FB4"/>
    <w:rsid w:val="00FE001C"/>
    <w:rsid w:val="00FE0033"/>
    <w:rsid w:val="00FE004B"/>
    <w:rsid w:val="00FE00BC"/>
    <w:rsid w:val="00FE00F5"/>
    <w:rsid w:val="00FE0128"/>
    <w:rsid w:val="00FE013D"/>
    <w:rsid w:val="00FE01AC"/>
    <w:rsid w:val="00FE01E4"/>
    <w:rsid w:val="00FE0228"/>
    <w:rsid w:val="00FE039A"/>
    <w:rsid w:val="00FE0444"/>
    <w:rsid w:val="00FE047D"/>
    <w:rsid w:val="00FE0510"/>
    <w:rsid w:val="00FE0589"/>
    <w:rsid w:val="00FE059C"/>
    <w:rsid w:val="00FE0602"/>
    <w:rsid w:val="00FE0699"/>
    <w:rsid w:val="00FE06D4"/>
    <w:rsid w:val="00FE0743"/>
    <w:rsid w:val="00FE075A"/>
    <w:rsid w:val="00FE08B4"/>
    <w:rsid w:val="00FE08D7"/>
    <w:rsid w:val="00FE0909"/>
    <w:rsid w:val="00FE0912"/>
    <w:rsid w:val="00FE099C"/>
    <w:rsid w:val="00FE0A06"/>
    <w:rsid w:val="00FE0A12"/>
    <w:rsid w:val="00FE0ACF"/>
    <w:rsid w:val="00FE0AE0"/>
    <w:rsid w:val="00FE0B0C"/>
    <w:rsid w:val="00FE0B51"/>
    <w:rsid w:val="00FE0BC8"/>
    <w:rsid w:val="00FE0C5C"/>
    <w:rsid w:val="00FE0C9E"/>
    <w:rsid w:val="00FE0D14"/>
    <w:rsid w:val="00FE0D6A"/>
    <w:rsid w:val="00FE0E45"/>
    <w:rsid w:val="00FE0E86"/>
    <w:rsid w:val="00FE0E9B"/>
    <w:rsid w:val="00FE102A"/>
    <w:rsid w:val="00FE104C"/>
    <w:rsid w:val="00FE110B"/>
    <w:rsid w:val="00FE1124"/>
    <w:rsid w:val="00FE114A"/>
    <w:rsid w:val="00FE114B"/>
    <w:rsid w:val="00FE1183"/>
    <w:rsid w:val="00FE11F9"/>
    <w:rsid w:val="00FE1234"/>
    <w:rsid w:val="00FE1394"/>
    <w:rsid w:val="00FE13AA"/>
    <w:rsid w:val="00FE13AC"/>
    <w:rsid w:val="00FE142C"/>
    <w:rsid w:val="00FE1447"/>
    <w:rsid w:val="00FE1512"/>
    <w:rsid w:val="00FE152E"/>
    <w:rsid w:val="00FE17B4"/>
    <w:rsid w:val="00FE1854"/>
    <w:rsid w:val="00FE18E4"/>
    <w:rsid w:val="00FE1A3F"/>
    <w:rsid w:val="00FE1B83"/>
    <w:rsid w:val="00FE1BB2"/>
    <w:rsid w:val="00FE1BC0"/>
    <w:rsid w:val="00FE1BD6"/>
    <w:rsid w:val="00FE1C3A"/>
    <w:rsid w:val="00FE1C90"/>
    <w:rsid w:val="00FE1C91"/>
    <w:rsid w:val="00FE1D9A"/>
    <w:rsid w:val="00FE1E5B"/>
    <w:rsid w:val="00FE1E81"/>
    <w:rsid w:val="00FE1EB3"/>
    <w:rsid w:val="00FE1F15"/>
    <w:rsid w:val="00FE1FB0"/>
    <w:rsid w:val="00FE1FBB"/>
    <w:rsid w:val="00FE2090"/>
    <w:rsid w:val="00FE209A"/>
    <w:rsid w:val="00FE21CC"/>
    <w:rsid w:val="00FE227F"/>
    <w:rsid w:val="00FE238F"/>
    <w:rsid w:val="00FE2466"/>
    <w:rsid w:val="00FE24BC"/>
    <w:rsid w:val="00FE251F"/>
    <w:rsid w:val="00FE252A"/>
    <w:rsid w:val="00FE2751"/>
    <w:rsid w:val="00FE2775"/>
    <w:rsid w:val="00FE2796"/>
    <w:rsid w:val="00FE284C"/>
    <w:rsid w:val="00FE28B3"/>
    <w:rsid w:val="00FE28BA"/>
    <w:rsid w:val="00FE29FA"/>
    <w:rsid w:val="00FE2A7A"/>
    <w:rsid w:val="00FE2AFD"/>
    <w:rsid w:val="00FE2B46"/>
    <w:rsid w:val="00FE2B4E"/>
    <w:rsid w:val="00FE2D38"/>
    <w:rsid w:val="00FE2E1F"/>
    <w:rsid w:val="00FE2EAB"/>
    <w:rsid w:val="00FE2EDD"/>
    <w:rsid w:val="00FE2F07"/>
    <w:rsid w:val="00FE2F50"/>
    <w:rsid w:val="00FE2F58"/>
    <w:rsid w:val="00FE3000"/>
    <w:rsid w:val="00FE306A"/>
    <w:rsid w:val="00FE31A2"/>
    <w:rsid w:val="00FE31E5"/>
    <w:rsid w:val="00FE3246"/>
    <w:rsid w:val="00FE329C"/>
    <w:rsid w:val="00FE32F6"/>
    <w:rsid w:val="00FE335B"/>
    <w:rsid w:val="00FE33D4"/>
    <w:rsid w:val="00FE352C"/>
    <w:rsid w:val="00FE35AD"/>
    <w:rsid w:val="00FE35F2"/>
    <w:rsid w:val="00FE3647"/>
    <w:rsid w:val="00FE3677"/>
    <w:rsid w:val="00FE379C"/>
    <w:rsid w:val="00FE38A2"/>
    <w:rsid w:val="00FE38CB"/>
    <w:rsid w:val="00FE38DB"/>
    <w:rsid w:val="00FE390F"/>
    <w:rsid w:val="00FE393A"/>
    <w:rsid w:val="00FE395B"/>
    <w:rsid w:val="00FE3971"/>
    <w:rsid w:val="00FE3985"/>
    <w:rsid w:val="00FE3990"/>
    <w:rsid w:val="00FE3A15"/>
    <w:rsid w:val="00FE3A82"/>
    <w:rsid w:val="00FE3AC1"/>
    <w:rsid w:val="00FE3C35"/>
    <w:rsid w:val="00FE3C72"/>
    <w:rsid w:val="00FE3D30"/>
    <w:rsid w:val="00FE3D5D"/>
    <w:rsid w:val="00FE3E49"/>
    <w:rsid w:val="00FE3EDF"/>
    <w:rsid w:val="00FE3EF7"/>
    <w:rsid w:val="00FE3FAE"/>
    <w:rsid w:val="00FE40B5"/>
    <w:rsid w:val="00FE40D3"/>
    <w:rsid w:val="00FE417D"/>
    <w:rsid w:val="00FE41A9"/>
    <w:rsid w:val="00FE41D4"/>
    <w:rsid w:val="00FE426C"/>
    <w:rsid w:val="00FE43CC"/>
    <w:rsid w:val="00FE43F4"/>
    <w:rsid w:val="00FE45FA"/>
    <w:rsid w:val="00FE4627"/>
    <w:rsid w:val="00FE4635"/>
    <w:rsid w:val="00FE463E"/>
    <w:rsid w:val="00FE47CB"/>
    <w:rsid w:val="00FE4836"/>
    <w:rsid w:val="00FE4856"/>
    <w:rsid w:val="00FE4894"/>
    <w:rsid w:val="00FE48EB"/>
    <w:rsid w:val="00FE492C"/>
    <w:rsid w:val="00FE498C"/>
    <w:rsid w:val="00FE4AB2"/>
    <w:rsid w:val="00FE4BBC"/>
    <w:rsid w:val="00FE4C09"/>
    <w:rsid w:val="00FE4C60"/>
    <w:rsid w:val="00FE4CBA"/>
    <w:rsid w:val="00FE4CE8"/>
    <w:rsid w:val="00FE4D0A"/>
    <w:rsid w:val="00FE4D71"/>
    <w:rsid w:val="00FE4DA5"/>
    <w:rsid w:val="00FE4DEF"/>
    <w:rsid w:val="00FE4E18"/>
    <w:rsid w:val="00FE4EE2"/>
    <w:rsid w:val="00FE4FB9"/>
    <w:rsid w:val="00FE5097"/>
    <w:rsid w:val="00FE50DF"/>
    <w:rsid w:val="00FE519E"/>
    <w:rsid w:val="00FE51E8"/>
    <w:rsid w:val="00FE521B"/>
    <w:rsid w:val="00FE52C9"/>
    <w:rsid w:val="00FE5377"/>
    <w:rsid w:val="00FE53E3"/>
    <w:rsid w:val="00FE5475"/>
    <w:rsid w:val="00FE555F"/>
    <w:rsid w:val="00FE55BB"/>
    <w:rsid w:val="00FE55FF"/>
    <w:rsid w:val="00FE5687"/>
    <w:rsid w:val="00FE5706"/>
    <w:rsid w:val="00FE5727"/>
    <w:rsid w:val="00FE5739"/>
    <w:rsid w:val="00FE5747"/>
    <w:rsid w:val="00FE57F4"/>
    <w:rsid w:val="00FE582D"/>
    <w:rsid w:val="00FE58D4"/>
    <w:rsid w:val="00FE5901"/>
    <w:rsid w:val="00FE599A"/>
    <w:rsid w:val="00FE59D4"/>
    <w:rsid w:val="00FE5A36"/>
    <w:rsid w:val="00FE5A5B"/>
    <w:rsid w:val="00FE5BDA"/>
    <w:rsid w:val="00FE5C2A"/>
    <w:rsid w:val="00FE5C88"/>
    <w:rsid w:val="00FE5CB6"/>
    <w:rsid w:val="00FE5CC1"/>
    <w:rsid w:val="00FE5E19"/>
    <w:rsid w:val="00FE5F1D"/>
    <w:rsid w:val="00FE5F23"/>
    <w:rsid w:val="00FE5F9C"/>
    <w:rsid w:val="00FE5FAB"/>
    <w:rsid w:val="00FE604B"/>
    <w:rsid w:val="00FE613B"/>
    <w:rsid w:val="00FE617E"/>
    <w:rsid w:val="00FE6321"/>
    <w:rsid w:val="00FE6388"/>
    <w:rsid w:val="00FE63AF"/>
    <w:rsid w:val="00FE65CE"/>
    <w:rsid w:val="00FE671B"/>
    <w:rsid w:val="00FE67C3"/>
    <w:rsid w:val="00FE68B7"/>
    <w:rsid w:val="00FE6951"/>
    <w:rsid w:val="00FE6969"/>
    <w:rsid w:val="00FE6A53"/>
    <w:rsid w:val="00FE6A6A"/>
    <w:rsid w:val="00FE6AB1"/>
    <w:rsid w:val="00FE6AC0"/>
    <w:rsid w:val="00FE6C98"/>
    <w:rsid w:val="00FE6CDE"/>
    <w:rsid w:val="00FE6D12"/>
    <w:rsid w:val="00FE6DE4"/>
    <w:rsid w:val="00FE6EBE"/>
    <w:rsid w:val="00FE6F0C"/>
    <w:rsid w:val="00FE6F57"/>
    <w:rsid w:val="00FE6F71"/>
    <w:rsid w:val="00FE70CF"/>
    <w:rsid w:val="00FE7119"/>
    <w:rsid w:val="00FE7141"/>
    <w:rsid w:val="00FE7142"/>
    <w:rsid w:val="00FE7229"/>
    <w:rsid w:val="00FE7401"/>
    <w:rsid w:val="00FE7536"/>
    <w:rsid w:val="00FE755D"/>
    <w:rsid w:val="00FE7643"/>
    <w:rsid w:val="00FE767F"/>
    <w:rsid w:val="00FE776C"/>
    <w:rsid w:val="00FE7783"/>
    <w:rsid w:val="00FE77CC"/>
    <w:rsid w:val="00FE77E5"/>
    <w:rsid w:val="00FE7824"/>
    <w:rsid w:val="00FE7887"/>
    <w:rsid w:val="00FE7917"/>
    <w:rsid w:val="00FE7959"/>
    <w:rsid w:val="00FE7987"/>
    <w:rsid w:val="00FE7A6B"/>
    <w:rsid w:val="00FE7A6C"/>
    <w:rsid w:val="00FE7A6D"/>
    <w:rsid w:val="00FE7BB9"/>
    <w:rsid w:val="00FE7BE3"/>
    <w:rsid w:val="00FE7C32"/>
    <w:rsid w:val="00FE7C3F"/>
    <w:rsid w:val="00FE7C54"/>
    <w:rsid w:val="00FE7CD4"/>
    <w:rsid w:val="00FE7E05"/>
    <w:rsid w:val="00FE7E53"/>
    <w:rsid w:val="00FE7E6A"/>
    <w:rsid w:val="00FE7EF9"/>
    <w:rsid w:val="00FE7EFF"/>
    <w:rsid w:val="00FE7F2B"/>
    <w:rsid w:val="00FE7F4E"/>
    <w:rsid w:val="00FE7F70"/>
    <w:rsid w:val="00FE7F8B"/>
    <w:rsid w:val="00FF0046"/>
    <w:rsid w:val="00FF0147"/>
    <w:rsid w:val="00FF0155"/>
    <w:rsid w:val="00FF016F"/>
    <w:rsid w:val="00FF0170"/>
    <w:rsid w:val="00FF01C5"/>
    <w:rsid w:val="00FF01D1"/>
    <w:rsid w:val="00FF0283"/>
    <w:rsid w:val="00FF0337"/>
    <w:rsid w:val="00FF035C"/>
    <w:rsid w:val="00FF03D7"/>
    <w:rsid w:val="00FF03EB"/>
    <w:rsid w:val="00FF0469"/>
    <w:rsid w:val="00FF0479"/>
    <w:rsid w:val="00FF0494"/>
    <w:rsid w:val="00FF04AF"/>
    <w:rsid w:val="00FF05F8"/>
    <w:rsid w:val="00FF062A"/>
    <w:rsid w:val="00FF06D6"/>
    <w:rsid w:val="00FF06DC"/>
    <w:rsid w:val="00FF0702"/>
    <w:rsid w:val="00FF073F"/>
    <w:rsid w:val="00FF0779"/>
    <w:rsid w:val="00FF086C"/>
    <w:rsid w:val="00FF08FC"/>
    <w:rsid w:val="00FF0930"/>
    <w:rsid w:val="00FF0947"/>
    <w:rsid w:val="00FF098D"/>
    <w:rsid w:val="00FF0A35"/>
    <w:rsid w:val="00FF0A72"/>
    <w:rsid w:val="00FF0A84"/>
    <w:rsid w:val="00FF0B78"/>
    <w:rsid w:val="00FF0B9E"/>
    <w:rsid w:val="00FF0BAA"/>
    <w:rsid w:val="00FF0BC2"/>
    <w:rsid w:val="00FF0BC5"/>
    <w:rsid w:val="00FF0DE4"/>
    <w:rsid w:val="00FF0E76"/>
    <w:rsid w:val="00FF0EC8"/>
    <w:rsid w:val="00FF0F4C"/>
    <w:rsid w:val="00FF1001"/>
    <w:rsid w:val="00FF1050"/>
    <w:rsid w:val="00FF10EE"/>
    <w:rsid w:val="00FF1139"/>
    <w:rsid w:val="00FF124A"/>
    <w:rsid w:val="00FF1467"/>
    <w:rsid w:val="00FF1507"/>
    <w:rsid w:val="00FF1552"/>
    <w:rsid w:val="00FF15EA"/>
    <w:rsid w:val="00FF1637"/>
    <w:rsid w:val="00FF16A8"/>
    <w:rsid w:val="00FF1767"/>
    <w:rsid w:val="00FF1770"/>
    <w:rsid w:val="00FF1773"/>
    <w:rsid w:val="00FF177E"/>
    <w:rsid w:val="00FF1786"/>
    <w:rsid w:val="00FF18B1"/>
    <w:rsid w:val="00FF18D9"/>
    <w:rsid w:val="00FF18E4"/>
    <w:rsid w:val="00FF18FB"/>
    <w:rsid w:val="00FF1919"/>
    <w:rsid w:val="00FF19FC"/>
    <w:rsid w:val="00FF1A07"/>
    <w:rsid w:val="00FF1A94"/>
    <w:rsid w:val="00FF1AA2"/>
    <w:rsid w:val="00FF1AD7"/>
    <w:rsid w:val="00FF1AE1"/>
    <w:rsid w:val="00FF1B13"/>
    <w:rsid w:val="00FF1B4E"/>
    <w:rsid w:val="00FF1BAE"/>
    <w:rsid w:val="00FF1BEC"/>
    <w:rsid w:val="00FF1C9D"/>
    <w:rsid w:val="00FF1D06"/>
    <w:rsid w:val="00FF1D69"/>
    <w:rsid w:val="00FF1DD2"/>
    <w:rsid w:val="00FF1ECD"/>
    <w:rsid w:val="00FF1F1D"/>
    <w:rsid w:val="00FF1F2F"/>
    <w:rsid w:val="00FF1F58"/>
    <w:rsid w:val="00FF1F8C"/>
    <w:rsid w:val="00FF1FF4"/>
    <w:rsid w:val="00FF200D"/>
    <w:rsid w:val="00FF2108"/>
    <w:rsid w:val="00FF2150"/>
    <w:rsid w:val="00FF2221"/>
    <w:rsid w:val="00FF227F"/>
    <w:rsid w:val="00FF2286"/>
    <w:rsid w:val="00FF22D2"/>
    <w:rsid w:val="00FF242D"/>
    <w:rsid w:val="00FF24CE"/>
    <w:rsid w:val="00FF24F8"/>
    <w:rsid w:val="00FF2735"/>
    <w:rsid w:val="00FF28F1"/>
    <w:rsid w:val="00FF2905"/>
    <w:rsid w:val="00FF2982"/>
    <w:rsid w:val="00FF2986"/>
    <w:rsid w:val="00FF2AE1"/>
    <w:rsid w:val="00FF2B40"/>
    <w:rsid w:val="00FF2B8E"/>
    <w:rsid w:val="00FF2C23"/>
    <w:rsid w:val="00FF2CA9"/>
    <w:rsid w:val="00FF2E7C"/>
    <w:rsid w:val="00FF2E82"/>
    <w:rsid w:val="00FF2ECD"/>
    <w:rsid w:val="00FF2F29"/>
    <w:rsid w:val="00FF308E"/>
    <w:rsid w:val="00FF309D"/>
    <w:rsid w:val="00FF30FF"/>
    <w:rsid w:val="00FF3154"/>
    <w:rsid w:val="00FF31C7"/>
    <w:rsid w:val="00FF3222"/>
    <w:rsid w:val="00FF32E9"/>
    <w:rsid w:val="00FF3302"/>
    <w:rsid w:val="00FF33D3"/>
    <w:rsid w:val="00FF3430"/>
    <w:rsid w:val="00FF3432"/>
    <w:rsid w:val="00FF348B"/>
    <w:rsid w:val="00FF34EB"/>
    <w:rsid w:val="00FF3514"/>
    <w:rsid w:val="00FF354D"/>
    <w:rsid w:val="00FF3620"/>
    <w:rsid w:val="00FF363B"/>
    <w:rsid w:val="00FF3657"/>
    <w:rsid w:val="00FF3746"/>
    <w:rsid w:val="00FF3786"/>
    <w:rsid w:val="00FF381F"/>
    <w:rsid w:val="00FF3832"/>
    <w:rsid w:val="00FF3890"/>
    <w:rsid w:val="00FF3A87"/>
    <w:rsid w:val="00FF3B9C"/>
    <w:rsid w:val="00FF3CCE"/>
    <w:rsid w:val="00FF3CFD"/>
    <w:rsid w:val="00FF3D57"/>
    <w:rsid w:val="00FF3FA0"/>
    <w:rsid w:val="00FF3FC4"/>
    <w:rsid w:val="00FF3FD9"/>
    <w:rsid w:val="00FF4072"/>
    <w:rsid w:val="00FF40B4"/>
    <w:rsid w:val="00FF40D1"/>
    <w:rsid w:val="00FF4189"/>
    <w:rsid w:val="00FF42BF"/>
    <w:rsid w:val="00FF42FD"/>
    <w:rsid w:val="00FF4332"/>
    <w:rsid w:val="00FF4333"/>
    <w:rsid w:val="00FF4365"/>
    <w:rsid w:val="00FF44BF"/>
    <w:rsid w:val="00FF45AF"/>
    <w:rsid w:val="00FF4737"/>
    <w:rsid w:val="00FF47B7"/>
    <w:rsid w:val="00FF47BE"/>
    <w:rsid w:val="00FF47E4"/>
    <w:rsid w:val="00FF49AA"/>
    <w:rsid w:val="00FF49B4"/>
    <w:rsid w:val="00FF4AD1"/>
    <w:rsid w:val="00FF4B1B"/>
    <w:rsid w:val="00FF4B90"/>
    <w:rsid w:val="00FF4BBB"/>
    <w:rsid w:val="00FF4BCF"/>
    <w:rsid w:val="00FF4C50"/>
    <w:rsid w:val="00FF4C79"/>
    <w:rsid w:val="00FF4D61"/>
    <w:rsid w:val="00FF4E44"/>
    <w:rsid w:val="00FF4F52"/>
    <w:rsid w:val="00FF507E"/>
    <w:rsid w:val="00FF50A5"/>
    <w:rsid w:val="00FF515A"/>
    <w:rsid w:val="00FF51A4"/>
    <w:rsid w:val="00FF51AC"/>
    <w:rsid w:val="00FF51CF"/>
    <w:rsid w:val="00FF51D5"/>
    <w:rsid w:val="00FF5267"/>
    <w:rsid w:val="00FF52D2"/>
    <w:rsid w:val="00FF5378"/>
    <w:rsid w:val="00FF53AF"/>
    <w:rsid w:val="00FF53E7"/>
    <w:rsid w:val="00FF5405"/>
    <w:rsid w:val="00FF54AD"/>
    <w:rsid w:val="00FF54E2"/>
    <w:rsid w:val="00FF54FC"/>
    <w:rsid w:val="00FF55E0"/>
    <w:rsid w:val="00FF55F4"/>
    <w:rsid w:val="00FF5645"/>
    <w:rsid w:val="00FF56B4"/>
    <w:rsid w:val="00FF56DC"/>
    <w:rsid w:val="00FF57FD"/>
    <w:rsid w:val="00FF5951"/>
    <w:rsid w:val="00FF5A0A"/>
    <w:rsid w:val="00FF5A8C"/>
    <w:rsid w:val="00FF5A90"/>
    <w:rsid w:val="00FF5AE0"/>
    <w:rsid w:val="00FF5BAC"/>
    <w:rsid w:val="00FF5BB5"/>
    <w:rsid w:val="00FF5BB9"/>
    <w:rsid w:val="00FF5BF4"/>
    <w:rsid w:val="00FF5C9F"/>
    <w:rsid w:val="00FF5D52"/>
    <w:rsid w:val="00FF5E02"/>
    <w:rsid w:val="00FF5E03"/>
    <w:rsid w:val="00FF5E58"/>
    <w:rsid w:val="00FF5ECB"/>
    <w:rsid w:val="00FF5F1E"/>
    <w:rsid w:val="00FF5F61"/>
    <w:rsid w:val="00FF5F99"/>
    <w:rsid w:val="00FF5FB2"/>
    <w:rsid w:val="00FF5FF6"/>
    <w:rsid w:val="00FF6039"/>
    <w:rsid w:val="00FF60D3"/>
    <w:rsid w:val="00FF60E0"/>
    <w:rsid w:val="00FF6270"/>
    <w:rsid w:val="00FF629C"/>
    <w:rsid w:val="00FF6306"/>
    <w:rsid w:val="00FF633F"/>
    <w:rsid w:val="00FF6435"/>
    <w:rsid w:val="00FF6453"/>
    <w:rsid w:val="00FF65CF"/>
    <w:rsid w:val="00FF667D"/>
    <w:rsid w:val="00FF66D2"/>
    <w:rsid w:val="00FF67A5"/>
    <w:rsid w:val="00FF67D4"/>
    <w:rsid w:val="00FF67DE"/>
    <w:rsid w:val="00FF6838"/>
    <w:rsid w:val="00FF6906"/>
    <w:rsid w:val="00FF6922"/>
    <w:rsid w:val="00FF6924"/>
    <w:rsid w:val="00FF6A6E"/>
    <w:rsid w:val="00FF6A7B"/>
    <w:rsid w:val="00FF6ADD"/>
    <w:rsid w:val="00FF6B4F"/>
    <w:rsid w:val="00FF6B95"/>
    <w:rsid w:val="00FF6BA5"/>
    <w:rsid w:val="00FF6BFC"/>
    <w:rsid w:val="00FF6C10"/>
    <w:rsid w:val="00FF6C38"/>
    <w:rsid w:val="00FF6C45"/>
    <w:rsid w:val="00FF6E36"/>
    <w:rsid w:val="00FF6E66"/>
    <w:rsid w:val="00FF6F3A"/>
    <w:rsid w:val="00FF6F9A"/>
    <w:rsid w:val="00FF6FB3"/>
    <w:rsid w:val="00FF6FE6"/>
    <w:rsid w:val="00FF6FEA"/>
    <w:rsid w:val="00FF7108"/>
    <w:rsid w:val="00FF7125"/>
    <w:rsid w:val="00FF7292"/>
    <w:rsid w:val="00FF72FE"/>
    <w:rsid w:val="00FF7363"/>
    <w:rsid w:val="00FF7454"/>
    <w:rsid w:val="00FF74DA"/>
    <w:rsid w:val="00FF754C"/>
    <w:rsid w:val="00FF754F"/>
    <w:rsid w:val="00FF755B"/>
    <w:rsid w:val="00FF75C8"/>
    <w:rsid w:val="00FF765F"/>
    <w:rsid w:val="00FF767A"/>
    <w:rsid w:val="00FF76AC"/>
    <w:rsid w:val="00FF7783"/>
    <w:rsid w:val="00FF77AD"/>
    <w:rsid w:val="00FF77AE"/>
    <w:rsid w:val="00FF77E2"/>
    <w:rsid w:val="00FF784A"/>
    <w:rsid w:val="00FF78D8"/>
    <w:rsid w:val="00FF7923"/>
    <w:rsid w:val="00FF7942"/>
    <w:rsid w:val="00FF794A"/>
    <w:rsid w:val="00FF794B"/>
    <w:rsid w:val="00FF79AF"/>
    <w:rsid w:val="00FF79EF"/>
    <w:rsid w:val="00FF79F4"/>
    <w:rsid w:val="00FF7A04"/>
    <w:rsid w:val="00FF7A9E"/>
    <w:rsid w:val="00FF7B68"/>
    <w:rsid w:val="00FF7C5F"/>
    <w:rsid w:val="00FF7CE6"/>
    <w:rsid w:val="00FF7CEF"/>
    <w:rsid w:val="00FF7D64"/>
    <w:rsid w:val="00FF7D94"/>
    <w:rsid w:val="00FF7E4D"/>
    <w:rsid w:val="00FF7E94"/>
    <w:rsid w:val="00FF7ED5"/>
    <w:rsid w:val="00FF7EE2"/>
    <w:rsid w:val="00FF7F28"/>
    <w:rsid w:val="00FF7F3A"/>
    <w:rsid w:val="0103A096"/>
    <w:rsid w:val="010BB1DB"/>
    <w:rsid w:val="01114801"/>
    <w:rsid w:val="0112EC5F"/>
    <w:rsid w:val="01197FB8"/>
    <w:rsid w:val="0119A829"/>
    <w:rsid w:val="011A5517"/>
    <w:rsid w:val="011C9EC2"/>
    <w:rsid w:val="011E09C4"/>
    <w:rsid w:val="011F6873"/>
    <w:rsid w:val="01200E3C"/>
    <w:rsid w:val="0122151F"/>
    <w:rsid w:val="0123BA3C"/>
    <w:rsid w:val="012A19D8"/>
    <w:rsid w:val="012A1C1C"/>
    <w:rsid w:val="012B4B0F"/>
    <w:rsid w:val="012F7146"/>
    <w:rsid w:val="0137471D"/>
    <w:rsid w:val="0138B7EF"/>
    <w:rsid w:val="01390FE3"/>
    <w:rsid w:val="0144D278"/>
    <w:rsid w:val="01499508"/>
    <w:rsid w:val="014AEC0D"/>
    <w:rsid w:val="0156593C"/>
    <w:rsid w:val="015B0306"/>
    <w:rsid w:val="015D1FFA"/>
    <w:rsid w:val="01638AD2"/>
    <w:rsid w:val="016BD656"/>
    <w:rsid w:val="01704162"/>
    <w:rsid w:val="0172A7D8"/>
    <w:rsid w:val="017C3FE3"/>
    <w:rsid w:val="017DB4FD"/>
    <w:rsid w:val="0185D584"/>
    <w:rsid w:val="0187A169"/>
    <w:rsid w:val="01896129"/>
    <w:rsid w:val="018D6281"/>
    <w:rsid w:val="018E4909"/>
    <w:rsid w:val="019649B6"/>
    <w:rsid w:val="0196C8EA"/>
    <w:rsid w:val="019CCFA5"/>
    <w:rsid w:val="019E6F7C"/>
    <w:rsid w:val="01A46C59"/>
    <w:rsid w:val="01A47B30"/>
    <w:rsid w:val="01AA47B9"/>
    <w:rsid w:val="01AA5788"/>
    <w:rsid w:val="01AF3C7C"/>
    <w:rsid w:val="01B25168"/>
    <w:rsid w:val="01B36252"/>
    <w:rsid w:val="01B390F1"/>
    <w:rsid w:val="01B4AA78"/>
    <w:rsid w:val="01B501D3"/>
    <w:rsid w:val="01B6E86F"/>
    <w:rsid w:val="01B8C58D"/>
    <w:rsid w:val="01C2E266"/>
    <w:rsid w:val="01C451D4"/>
    <w:rsid w:val="01CAA208"/>
    <w:rsid w:val="01CB7280"/>
    <w:rsid w:val="01D0EE56"/>
    <w:rsid w:val="01DD8BA3"/>
    <w:rsid w:val="01DE4B50"/>
    <w:rsid w:val="01E06F08"/>
    <w:rsid w:val="01E47C56"/>
    <w:rsid w:val="01EB79BB"/>
    <w:rsid w:val="01F91D66"/>
    <w:rsid w:val="02040F4B"/>
    <w:rsid w:val="020531E0"/>
    <w:rsid w:val="02098A59"/>
    <w:rsid w:val="020A19B4"/>
    <w:rsid w:val="020AE79C"/>
    <w:rsid w:val="02105E1D"/>
    <w:rsid w:val="02155E0A"/>
    <w:rsid w:val="0216A45E"/>
    <w:rsid w:val="021F2454"/>
    <w:rsid w:val="021FA8B5"/>
    <w:rsid w:val="0223A9AD"/>
    <w:rsid w:val="022CEE3E"/>
    <w:rsid w:val="0241CC38"/>
    <w:rsid w:val="0242375D"/>
    <w:rsid w:val="0242BD08"/>
    <w:rsid w:val="0244D814"/>
    <w:rsid w:val="0246053E"/>
    <w:rsid w:val="02493A1C"/>
    <w:rsid w:val="024BACC9"/>
    <w:rsid w:val="024C7E51"/>
    <w:rsid w:val="02528F3C"/>
    <w:rsid w:val="025389D0"/>
    <w:rsid w:val="02596114"/>
    <w:rsid w:val="025C479E"/>
    <w:rsid w:val="025D3382"/>
    <w:rsid w:val="025F53BB"/>
    <w:rsid w:val="026033B4"/>
    <w:rsid w:val="02669666"/>
    <w:rsid w:val="026DB79A"/>
    <w:rsid w:val="0273AB95"/>
    <w:rsid w:val="0275B3C3"/>
    <w:rsid w:val="0277AFF8"/>
    <w:rsid w:val="027E7410"/>
    <w:rsid w:val="0282DFE9"/>
    <w:rsid w:val="02864A31"/>
    <w:rsid w:val="028A1B96"/>
    <w:rsid w:val="028D596B"/>
    <w:rsid w:val="029147C1"/>
    <w:rsid w:val="0294E2DB"/>
    <w:rsid w:val="0296032E"/>
    <w:rsid w:val="029AF4E1"/>
    <w:rsid w:val="029C645D"/>
    <w:rsid w:val="029FF2DE"/>
    <w:rsid w:val="02A04D30"/>
    <w:rsid w:val="02A6D319"/>
    <w:rsid w:val="02A782F8"/>
    <w:rsid w:val="02AD4D2C"/>
    <w:rsid w:val="02BAFD24"/>
    <w:rsid w:val="02C0A321"/>
    <w:rsid w:val="02C370C4"/>
    <w:rsid w:val="02D17423"/>
    <w:rsid w:val="02E13BE3"/>
    <w:rsid w:val="02E2BC51"/>
    <w:rsid w:val="02EC5DEC"/>
    <w:rsid w:val="02F02BCD"/>
    <w:rsid w:val="02F4F161"/>
    <w:rsid w:val="02F52AAA"/>
    <w:rsid w:val="02FC92EA"/>
    <w:rsid w:val="03003C9A"/>
    <w:rsid w:val="0301B2BC"/>
    <w:rsid w:val="030583D5"/>
    <w:rsid w:val="0307C402"/>
    <w:rsid w:val="030C17EE"/>
    <w:rsid w:val="030CB433"/>
    <w:rsid w:val="03172EE3"/>
    <w:rsid w:val="03249A12"/>
    <w:rsid w:val="032CF877"/>
    <w:rsid w:val="032D154C"/>
    <w:rsid w:val="03339051"/>
    <w:rsid w:val="03393980"/>
    <w:rsid w:val="033CF58C"/>
    <w:rsid w:val="03433565"/>
    <w:rsid w:val="0346B805"/>
    <w:rsid w:val="034BD575"/>
    <w:rsid w:val="034C7D54"/>
    <w:rsid w:val="03511CC2"/>
    <w:rsid w:val="0353E473"/>
    <w:rsid w:val="0357DB13"/>
    <w:rsid w:val="0361768E"/>
    <w:rsid w:val="03692D79"/>
    <w:rsid w:val="036F74DD"/>
    <w:rsid w:val="03720C8D"/>
    <w:rsid w:val="03735149"/>
    <w:rsid w:val="037CE4F2"/>
    <w:rsid w:val="0381CB9F"/>
    <w:rsid w:val="0383B9AB"/>
    <w:rsid w:val="03866920"/>
    <w:rsid w:val="0389046A"/>
    <w:rsid w:val="038C631C"/>
    <w:rsid w:val="038D3969"/>
    <w:rsid w:val="038F421A"/>
    <w:rsid w:val="03948FF5"/>
    <w:rsid w:val="03988D36"/>
    <w:rsid w:val="039A0DD6"/>
    <w:rsid w:val="039B008F"/>
    <w:rsid w:val="039D8CA1"/>
    <w:rsid w:val="03A1B56A"/>
    <w:rsid w:val="03A86673"/>
    <w:rsid w:val="03AAD82A"/>
    <w:rsid w:val="03AFDB16"/>
    <w:rsid w:val="03B6D373"/>
    <w:rsid w:val="03BFF57F"/>
    <w:rsid w:val="03C1CB4B"/>
    <w:rsid w:val="03C52DA1"/>
    <w:rsid w:val="03C6B6A0"/>
    <w:rsid w:val="03C92A25"/>
    <w:rsid w:val="03CCA023"/>
    <w:rsid w:val="03CD9A59"/>
    <w:rsid w:val="03CE571E"/>
    <w:rsid w:val="03D02EC0"/>
    <w:rsid w:val="03E07563"/>
    <w:rsid w:val="03E4AD7A"/>
    <w:rsid w:val="03E88BA8"/>
    <w:rsid w:val="03E906B5"/>
    <w:rsid w:val="03E9499F"/>
    <w:rsid w:val="03F3EC8D"/>
    <w:rsid w:val="040AF055"/>
    <w:rsid w:val="040DD456"/>
    <w:rsid w:val="040FDCF0"/>
    <w:rsid w:val="041308A3"/>
    <w:rsid w:val="041B999A"/>
    <w:rsid w:val="0424F895"/>
    <w:rsid w:val="0428B916"/>
    <w:rsid w:val="042D850A"/>
    <w:rsid w:val="0431C3F8"/>
    <w:rsid w:val="043237E6"/>
    <w:rsid w:val="0432F5A9"/>
    <w:rsid w:val="0442A096"/>
    <w:rsid w:val="044D4E12"/>
    <w:rsid w:val="045654E9"/>
    <w:rsid w:val="0459CFBA"/>
    <w:rsid w:val="045A2B44"/>
    <w:rsid w:val="045E5B34"/>
    <w:rsid w:val="0464CF11"/>
    <w:rsid w:val="046BF838"/>
    <w:rsid w:val="046CD7E2"/>
    <w:rsid w:val="0470185B"/>
    <w:rsid w:val="047C0733"/>
    <w:rsid w:val="047D0E65"/>
    <w:rsid w:val="0485594C"/>
    <w:rsid w:val="04873D31"/>
    <w:rsid w:val="0492B046"/>
    <w:rsid w:val="04957B58"/>
    <w:rsid w:val="0496A74D"/>
    <w:rsid w:val="0499613E"/>
    <w:rsid w:val="049A30DD"/>
    <w:rsid w:val="04A0276F"/>
    <w:rsid w:val="04A232A0"/>
    <w:rsid w:val="04A6CFA8"/>
    <w:rsid w:val="04A7B9EB"/>
    <w:rsid w:val="04AA502F"/>
    <w:rsid w:val="04AA7732"/>
    <w:rsid w:val="04AD5567"/>
    <w:rsid w:val="04B1CB37"/>
    <w:rsid w:val="04B2F963"/>
    <w:rsid w:val="04B9CA97"/>
    <w:rsid w:val="04BFF860"/>
    <w:rsid w:val="04C558AE"/>
    <w:rsid w:val="04C7720C"/>
    <w:rsid w:val="04CC2C25"/>
    <w:rsid w:val="04D0E2AA"/>
    <w:rsid w:val="04D20888"/>
    <w:rsid w:val="04E39271"/>
    <w:rsid w:val="04E951F6"/>
    <w:rsid w:val="04EFD556"/>
    <w:rsid w:val="04F1C31F"/>
    <w:rsid w:val="04F1C57C"/>
    <w:rsid w:val="04F3DBE1"/>
    <w:rsid w:val="04F7A770"/>
    <w:rsid w:val="04F902CE"/>
    <w:rsid w:val="04FF0013"/>
    <w:rsid w:val="050145CA"/>
    <w:rsid w:val="05016ECC"/>
    <w:rsid w:val="050437E1"/>
    <w:rsid w:val="0507374B"/>
    <w:rsid w:val="050803E4"/>
    <w:rsid w:val="050C67CF"/>
    <w:rsid w:val="050C76C7"/>
    <w:rsid w:val="0512B48F"/>
    <w:rsid w:val="0512DC86"/>
    <w:rsid w:val="0516AEAE"/>
    <w:rsid w:val="0518A0D8"/>
    <w:rsid w:val="051C45EE"/>
    <w:rsid w:val="0520B8BC"/>
    <w:rsid w:val="053BC324"/>
    <w:rsid w:val="05444D3A"/>
    <w:rsid w:val="054742E9"/>
    <w:rsid w:val="054835D8"/>
    <w:rsid w:val="054871D9"/>
    <w:rsid w:val="054CC864"/>
    <w:rsid w:val="054D9ED9"/>
    <w:rsid w:val="054FBDCD"/>
    <w:rsid w:val="055244B7"/>
    <w:rsid w:val="055D2716"/>
    <w:rsid w:val="055D6428"/>
    <w:rsid w:val="05611130"/>
    <w:rsid w:val="0561675B"/>
    <w:rsid w:val="0564307F"/>
    <w:rsid w:val="056E128A"/>
    <w:rsid w:val="056EC51C"/>
    <w:rsid w:val="056EECC8"/>
    <w:rsid w:val="056F00D5"/>
    <w:rsid w:val="05782017"/>
    <w:rsid w:val="057BC330"/>
    <w:rsid w:val="05851D63"/>
    <w:rsid w:val="0592637E"/>
    <w:rsid w:val="0592B628"/>
    <w:rsid w:val="05961571"/>
    <w:rsid w:val="05972A46"/>
    <w:rsid w:val="05982EB5"/>
    <w:rsid w:val="05985745"/>
    <w:rsid w:val="059A079C"/>
    <w:rsid w:val="059BC68D"/>
    <w:rsid w:val="05A154B2"/>
    <w:rsid w:val="05A20096"/>
    <w:rsid w:val="05A425FB"/>
    <w:rsid w:val="05A44914"/>
    <w:rsid w:val="05A5C858"/>
    <w:rsid w:val="05A6ECB0"/>
    <w:rsid w:val="05B1CF86"/>
    <w:rsid w:val="05B47FB9"/>
    <w:rsid w:val="05B56C5A"/>
    <w:rsid w:val="05BBB461"/>
    <w:rsid w:val="05BD8918"/>
    <w:rsid w:val="05BE50BD"/>
    <w:rsid w:val="05C12622"/>
    <w:rsid w:val="05C54909"/>
    <w:rsid w:val="05C62246"/>
    <w:rsid w:val="05C754E8"/>
    <w:rsid w:val="05CDE30B"/>
    <w:rsid w:val="05CFDC71"/>
    <w:rsid w:val="05CFFB59"/>
    <w:rsid w:val="05D183C3"/>
    <w:rsid w:val="05D204F5"/>
    <w:rsid w:val="05D98EC5"/>
    <w:rsid w:val="05DB20B3"/>
    <w:rsid w:val="05DB257D"/>
    <w:rsid w:val="05DC502A"/>
    <w:rsid w:val="05DD2FDC"/>
    <w:rsid w:val="05E9D028"/>
    <w:rsid w:val="05EAE873"/>
    <w:rsid w:val="05EC0FD9"/>
    <w:rsid w:val="05F43198"/>
    <w:rsid w:val="05F88610"/>
    <w:rsid w:val="06038C69"/>
    <w:rsid w:val="06057196"/>
    <w:rsid w:val="0605B53E"/>
    <w:rsid w:val="060FE177"/>
    <w:rsid w:val="06117828"/>
    <w:rsid w:val="06148D16"/>
    <w:rsid w:val="06176D30"/>
    <w:rsid w:val="06194159"/>
    <w:rsid w:val="061B4C21"/>
    <w:rsid w:val="06258263"/>
    <w:rsid w:val="0627A818"/>
    <w:rsid w:val="06280143"/>
    <w:rsid w:val="062C68FD"/>
    <w:rsid w:val="062D89AB"/>
    <w:rsid w:val="062FBE00"/>
    <w:rsid w:val="0633064E"/>
    <w:rsid w:val="063830F6"/>
    <w:rsid w:val="063AC85B"/>
    <w:rsid w:val="063C309A"/>
    <w:rsid w:val="063CC219"/>
    <w:rsid w:val="063F6540"/>
    <w:rsid w:val="0641BA47"/>
    <w:rsid w:val="06475F03"/>
    <w:rsid w:val="06494F36"/>
    <w:rsid w:val="064A525A"/>
    <w:rsid w:val="064B83FB"/>
    <w:rsid w:val="064C0017"/>
    <w:rsid w:val="06535387"/>
    <w:rsid w:val="0659E668"/>
    <w:rsid w:val="065EF1C8"/>
    <w:rsid w:val="065F7470"/>
    <w:rsid w:val="065F9A08"/>
    <w:rsid w:val="06628AEC"/>
    <w:rsid w:val="06644CFE"/>
    <w:rsid w:val="066ED5DD"/>
    <w:rsid w:val="06718100"/>
    <w:rsid w:val="0671E264"/>
    <w:rsid w:val="067247F9"/>
    <w:rsid w:val="0672AFBD"/>
    <w:rsid w:val="067D4439"/>
    <w:rsid w:val="0680AFCC"/>
    <w:rsid w:val="0680E2BF"/>
    <w:rsid w:val="06810EB9"/>
    <w:rsid w:val="068387ED"/>
    <w:rsid w:val="06840DB0"/>
    <w:rsid w:val="0691F8FD"/>
    <w:rsid w:val="069217BA"/>
    <w:rsid w:val="06944134"/>
    <w:rsid w:val="0694B52E"/>
    <w:rsid w:val="06975D5D"/>
    <w:rsid w:val="069AC490"/>
    <w:rsid w:val="06A12A32"/>
    <w:rsid w:val="06A2C94D"/>
    <w:rsid w:val="06A5C44F"/>
    <w:rsid w:val="06AAA56C"/>
    <w:rsid w:val="06AB9824"/>
    <w:rsid w:val="06AEBABC"/>
    <w:rsid w:val="06B19F86"/>
    <w:rsid w:val="06C23B18"/>
    <w:rsid w:val="06C9430A"/>
    <w:rsid w:val="06CB915E"/>
    <w:rsid w:val="06CBD77F"/>
    <w:rsid w:val="06CD053E"/>
    <w:rsid w:val="06CF7655"/>
    <w:rsid w:val="06D040F3"/>
    <w:rsid w:val="06D7827A"/>
    <w:rsid w:val="06DEC014"/>
    <w:rsid w:val="06ECC8DE"/>
    <w:rsid w:val="06EFFA92"/>
    <w:rsid w:val="06F4FF36"/>
    <w:rsid w:val="06F5657E"/>
    <w:rsid w:val="06F7E811"/>
    <w:rsid w:val="06FBE302"/>
    <w:rsid w:val="07030DA2"/>
    <w:rsid w:val="07057D31"/>
    <w:rsid w:val="070674A3"/>
    <w:rsid w:val="070E3F14"/>
    <w:rsid w:val="0716F2EE"/>
    <w:rsid w:val="07201383"/>
    <w:rsid w:val="07244FE6"/>
    <w:rsid w:val="07258468"/>
    <w:rsid w:val="072BF387"/>
    <w:rsid w:val="0733BDDF"/>
    <w:rsid w:val="07351FE0"/>
    <w:rsid w:val="0741913F"/>
    <w:rsid w:val="0749DB92"/>
    <w:rsid w:val="07531EBB"/>
    <w:rsid w:val="0757906D"/>
    <w:rsid w:val="0758EADE"/>
    <w:rsid w:val="0759AFBF"/>
    <w:rsid w:val="07698AB2"/>
    <w:rsid w:val="076DA46D"/>
    <w:rsid w:val="0775307B"/>
    <w:rsid w:val="07754595"/>
    <w:rsid w:val="07755892"/>
    <w:rsid w:val="077784E6"/>
    <w:rsid w:val="077AFBF0"/>
    <w:rsid w:val="077B928A"/>
    <w:rsid w:val="077C79F8"/>
    <w:rsid w:val="077E9776"/>
    <w:rsid w:val="0781C7F6"/>
    <w:rsid w:val="0789F158"/>
    <w:rsid w:val="078AB624"/>
    <w:rsid w:val="078B4A69"/>
    <w:rsid w:val="078D0AC7"/>
    <w:rsid w:val="0797A2FE"/>
    <w:rsid w:val="079907DC"/>
    <w:rsid w:val="079A5674"/>
    <w:rsid w:val="07A1CBE3"/>
    <w:rsid w:val="07A1F969"/>
    <w:rsid w:val="07A498D0"/>
    <w:rsid w:val="07B0FD66"/>
    <w:rsid w:val="07B2E7C6"/>
    <w:rsid w:val="07B8BB16"/>
    <w:rsid w:val="07B96D3A"/>
    <w:rsid w:val="07B97547"/>
    <w:rsid w:val="07B9B393"/>
    <w:rsid w:val="07BA63FC"/>
    <w:rsid w:val="07BACE43"/>
    <w:rsid w:val="07BB9EC1"/>
    <w:rsid w:val="07BCDD07"/>
    <w:rsid w:val="07BF8239"/>
    <w:rsid w:val="07D37722"/>
    <w:rsid w:val="07D57F5C"/>
    <w:rsid w:val="07DB89F2"/>
    <w:rsid w:val="07E19B75"/>
    <w:rsid w:val="07E233F7"/>
    <w:rsid w:val="07EABF27"/>
    <w:rsid w:val="07F773BD"/>
    <w:rsid w:val="07F8A232"/>
    <w:rsid w:val="07F93F5A"/>
    <w:rsid w:val="07FC4E5D"/>
    <w:rsid w:val="0801F36B"/>
    <w:rsid w:val="080483A7"/>
    <w:rsid w:val="0804E6C4"/>
    <w:rsid w:val="08053DC9"/>
    <w:rsid w:val="08080BC2"/>
    <w:rsid w:val="080899D1"/>
    <w:rsid w:val="080A5559"/>
    <w:rsid w:val="080AC3D4"/>
    <w:rsid w:val="080C6082"/>
    <w:rsid w:val="080D167B"/>
    <w:rsid w:val="0810EE03"/>
    <w:rsid w:val="08154E55"/>
    <w:rsid w:val="08159738"/>
    <w:rsid w:val="08203FEE"/>
    <w:rsid w:val="0824A966"/>
    <w:rsid w:val="08298461"/>
    <w:rsid w:val="0834CB75"/>
    <w:rsid w:val="0836B729"/>
    <w:rsid w:val="083E7A5E"/>
    <w:rsid w:val="0841C1D2"/>
    <w:rsid w:val="08460FF7"/>
    <w:rsid w:val="0846E708"/>
    <w:rsid w:val="084E9F5F"/>
    <w:rsid w:val="0853DD0C"/>
    <w:rsid w:val="085DBD6A"/>
    <w:rsid w:val="0866FA8B"/>
    <w:rsid w:val="0868646F"/>
    <w:rsid w:val="0875E291"/>
    <w:rsid w:val="0878C76D"/>
    <w:rsid w:val="0879B9A7"/>
    <w:rsid w:val="087DBA0B"/>
    <w:rsid w:val="0881E9CF"/>
    <w:rsid w:val="088AD438"/>
    <w:rsid w:val="088D978C"/>
    <w:rsid w:val="08962399"/>
    <w:rsid w:val="089F3E05"/>
    <w:rsid w:val="08A60B92"/>
    <w:rsid w:val="08B3129E"/>
    <w:rsid w:val="08B6FF27"/>
    <w:rsid w:val="08B8EE94"/>
    <w:rsid w:val="08BB894F"/>
    <w:rsid w:val="08C3746F"/>
    <w:rsid w:val="08C3A2FC"/>
    <w:rsid w:val="08C4E293"/>
    <w:rsid w:val="08C52DBB"/>
    <w:rsid w:val="08D26050"/>
    <w:rsid w:val="08D8801A"/>
    <w:rsid w:val="08DCDE3A"/>
    <w:rsid w:val="08E21BCA"/>
    <w:rsid w:val="08E3769C"/>
    <w:rsid w:val="08E3BF58"/>
    <w:rsid w:val="08E425FB"/>
    <w:rsid w:val="08E4E1AA"/>
    <w:rsid w:val="08E57F61"/>
    <w:rsid w:val="08E5E6E5"/>
    <w:rsid w:val="08EE7B37"/>
    <w:rsid w:val="08F20E2E"/>
    <w:rsid w:val="08F65501"/>
    <w:rsid w:val="08F6F071"/>
    <w:rsid w:val="08FD2BCB"/>
    <w:rsid w:val="0904F6DC"/>
    <w:rsid w:val="0905CF54"/>
    <w:rsid w:val="09099892"/>
    <w:rsid w:val="090EE233"/>
    <w:rsid w:val="090EEDAA"/>
    <w:rsid w:val="09131415"/>
    <w:rsid w:val="0913AD15"/>
    <w:rsid w:val="0915B57A"/>
    <w:rsid w:val="09168B95"/>
    <w:rsid w:val="091B1F7A"/>
    <w:rsid w:val="091C8EB0"/>
    <w:rsid w:val="091D0B52"/>
    <w:rsid w:val="09207F83"/>
    <w:rsid w:val="0927F5C7"/>
    <w:rsid w:val="092A6090"/>
    <w:rsid w:val="092C688F"/>
    <w:rsid w:val="092EF17F"/>
    <w:rsid w:val="0931060A"/>
    <w:rsid w:val="093D5156"/>
    <w:rsid w:val="093ED534"/>
    <w:rsid w:val="093F8D30"/>
    <w:rsid w:val="0948764E"/>
    <w:rsid w:val="094AD2C9"/>
    <w:rsid w:val="094C0F04"/>
    <w:rsid w:val="09505EC7"/>
    <w:rsid w:val="0959B24D"/>
    <w:rsid w:val="0963075E"/>
    <w:rsid w:val="0963C277"/>
    <w:rsid w:val="09687F0E"/>
    <w:rsid w:val="0969DCB4"/>
    <w:rsid w:val="096C403F"/>
    <w:rsid w:val="09735E72"/>
    <w:rsid w:val="0974DADD"/>
    <w:rsid w:val="09770465"/>
    <w:rsid w:val="097B82D8"/>
    <w:rsid w:val="0980972A"/>
    <w:rsid w:val="098A91F9"/>
    <w:rsid w:val="098B8EE9"/>
    <w:rsid w:val="098E5091"/>
    <w:rsid w:val="098E96BF"/>
    <w:rsid w:val="0993B15B"/>
    <w:rsid w:val="0994255D"/>
    <w:rsid w:val="099C1F62"/>
    <w:rsid w:val="09ACCB2E"/>
    <w:rsid w:val="09B18351"/>
    <w:rsid w:val="09B3C3D4"/>
    <w:rsid w:val="09B453F2"/>
    <w:rsid w:val="09B6D344"/>
    <w:rsid w:val="09B7E0AA"/>
    <w:rsid w:val="09C07F92"/>
    <w:rsid w:val="09C90A2F"/>
    <w:rsid w:val="09C94726"/>
    <w:rsid w:val="09DCF9F2"/>
    <w:rsid w:val="09E22343"/>
    <w:rsid w:val="09EC0DC6"/>
    <w:rsid w:val="09F17BD2"/>
    <w:rsid w:val="09F52218"/>
    <w:rsid w:val="09F668B2"/>
    <w:rsid w:val="0A03D90D"/>
    <w:rsid w:val="0A0B601B"/>
    <w:rsid w:val="0A0E2782"/>
    <w:rsid w:val="0A147310"/>
    <w:rsid w:val="0A15B2C2"/>
    <w:rsid w:val="0A16AF80"/>
    <w:rsid w:val="0A1D004E"/>
    <w:rsid w:val="0A274061"/>
    <w:rsid w:val="0A3188F5"/>
    <w:rsid w:val="0A3954BB"/>
    <w:rsid w:val="0A40C7B6"/>
    <w:rsid w:val="0A44E3BC"/>
    <w:rsid w:val="0A467D3E"/>
    <w:rsid w:val="0A4E39D2"/>
    <w:rsid w:val="0A4E941C"/>
    <w:rsid w:val="0A501E1C"/>
    <w:rsid w:val="0A50F5CE"/>
    <w:rsid w:val="0A54972E"/>
    <w:rsid w:val="0A56E283"/>
    <w:rsid w:val="0A5AC5FE"/>
    <w:rsid w:val="0A63A7AE"/>
    <w:rsid w:val="0A64582D"/>
    <w:rsid w:val="0A6527E0"/>
    <w:rsid w:val="0A653AA1"/>
    <w:rsid w:val="0A6DADB8"/>
    <w:rsid w:val="0A703CEB"/>
    <w:rsid w:val="0A71B961"/>
    <w:rsid w:val="0A71F15E"/>
    <w:rsid w:val="0A83219D"/>
    <w:rsid w:val="0A876444"/>
    <w:rsid w:val="0A8D1032"/>
    <w:rsid w:val="0A9E3D8C"/>
    <w:rsid w:val="0A9F95DC"/>
    <w:rsid w:val="0AA1951D"/>
    <w:rsid w:val="0AA2A855"/>
    <w:rsid w:val="0AA85B64"/>
    <w:rsid w:val="0AB2AB68"/>
    <w:rsid w:val="0AB538D9"/>
    <w:rsid w:val="0AB77E73"/>
    <w:rsid w:val="0AB8C3F8"/>
    <w:rsid w:val="0AB8E8F4"/>
    <w:rsid w:val="0AB9924A"/>
    <w:rsid w:val="0ABBB301"/>
    <w:rsid w:val="0ABDF019"/>
    <w:rsid w:val="0AC1A9F3"/>
    <w:rsid w:val="0AC36BC9"/>
    <w:rsid w:val="0AC4ECBA"/>
    <w:rsid w:val="0AC6B424"/>
    <w:rsid w:val="0AC926B4"/>
    <w:rsid w:val="0ACDA0C2"/>
    <w:rsid w:val="0ACFCF84"/>
    <w:rsid w:val="0AD7A031"/>
    <w:rsid w:val="0ADF81B3"/>
    <w:rsid w:val="0AE060BA"/>
    <w:rsid w:val="0AF4033B"/>
    <w:rsid w:val="0AF72BD5"/>
    <w:rsid w:val="0AFA0DF7"/>
    <w:rsid w:val="0AFAF464"/>
    <w:rsid w:val="0B00D1F7"/>
    <w:rsid w:val="0B038380"/>
    <w:rsid w:val="0B0C0395"/>
    <w:rsid w:val="0B133D46"/>
    <w:rsid w:val="0B14D200"/>
    <w:rsid w:val="0B2C51F8"/>
    <w:rsid w:val="0B2DB3A0"/>
    <w:rsid w:val="0B31310A"/>
    <w:rsid w:val="0B3729C6"/>
    <w:rsid w:val="0B3C4B94"/>
    <w:rsid w:val="0B3D63A3"/>
    <w:rsid w:val="0B423355"/>
    <w:rsid w:val="0B47F341"/>
    <w:rsid w:val="0B4A698B"/>
    <w:rsid w:val="0B4E0979"/>
    <w:rsid w:val="0B4E6722"/>
    <w:rsid w:val="0B51E69A"/>
    <w:rsid w:val="0B5B5D69"/>
    <w:rsid w:val="0B649FA9"/>
    <w:rsid w:val="0B66ACD9"/>
    <w:rsid w:val="0B6DC81A"/>
    <w:rsid w:val="0B713478"/>
    <w:rsid w:val="0B7616DA"/>
    <w:rsid w:val="0B79C384"/>
    <w:rsid w:val="0B7B5457"/>
    <w:rsid w:val="0B80597B"/>
    <w:rsid w:val="0B8181F0"/>
    <w:rsid w:val="0B824F04"/>
    <w:rsid w:val="0B853A55"/>
    <w:rsid w:val="0B8620CD"/>
    <w:rsid w:val="0B919457"/>
    <w:rsid w:val="0B950A6E"/>
    <w:rsid w:val="0B95371B"/>
    <w:rsid w:val="0B95EE1D"/>
    <w:rsid w:val="0B98D3AC"/>
    <w:rsid w:val="0B9CAB40"/>
    <w:rsid w:val="0B9F4305"/>
    <w:rsid w:val="0BA1F6A6"/>
    <w:rsid w:val="0BA373DA"/>
    <w:rsid w:val="0BA4A3BA"/>
    <w:rsid w:val="0BA7D94C"/>
    <w:rsid w:val="0BABBA19"/>
    <w:rsid w:val="0BB1EF64"/>
    <w:rsid w:val="0BB2FCAF"/>
    <w:rsid w:val="0BB37C5C"/>
    <w:rsid w:val="0BB8009A"/>
    <w:rsid w:val="0BB97780"/>
    <w:rsid w:val="0BBD22D0"/>
    <w:rsid w:val="0BCE6BFB"/>
    <w:rsid w:val="0BD3DCDA"/>
    <w:rsid w:val="0BD439BD"/>
    <w:rsid w:val="0BD5743B"/>
    <w:rsid w:val="0BDD2F64"/>
    <w:rsid w:val="0BE8291B"/>
    <w:rsid w:val="0BEDBF7D"/>
    <w:rsid w:val="0BEEB5C2"/>
    <w:rsid w:val="0BF1664A"/>
    <w:rsid w:val="0BF42629"/>
    <w:rsid w:val="0BF7BBF5"/>
    <w:rsid w:val="0BF807E3"/>
    <w:rsid w:val="0BF8DF39"/>
    <w:rsid w:val="0BFC4788"/>
    <w:rsid w:val="0C079575"/>
    <w:rsid w:val="0C090C4B"/>
    <w:rsid w:val="0C0A8BD7"/>
    <w:rsid w:val="0C178A7E"/>
    <w:rsid w:val="0C17CAD2"/>
    <w:rsid w:val="0C182064"/>
    <w:rsid w:val="0C182616"/>
    <w:rsid w:val="0C18C5E7"/>
    <w:rsid w:val="0C1A3D44"/>
    <w:rsid w:val="0C1B8DA3"/>
    <w:rsid w:val="0C27E749"/>
    <w:rsid w:val="0C2A5855"/>
    <w:rsid w:val="0C2AA1D4"/>
    <w:rsid w:val="0C300367"/>
    <w:rsid w:val="0C327D07"/>
    <w:rsid w:val="0C3373D0"/>
    <w:rsid w:val="0C33F037"/>
    <w:rsid w:val="0C368C87"/>
    <w:rsid w:val="0C3E8692"/>
    <w:rsid w:val="0C43B245"/>
    <w:rsid w:val="0C47663A"/>
    <w:rsid w:val="0C4DDFED"/>
    <w:rsid w:val="0C4F3605"/>
    <w:rsid w:val="0C51B437"/>
    <w:rsid w:val="0C56EDBF"/>
    <w:rsid w:val="0C59F1F3"/>
    <w:rsid w:val="0C5A48F4"/>
    <w:rsid w:val="0C5EDA37"/>
    <w:rsid w:val="0C6B5CC1"/>
    <w:rsid w:val="0C6DD4EA"/>
    <w:rsid w:val="0C6E3505"/>
    <w:rsid w:val="0C77DEDB"/>
    <w:rsid w:val="0C894F45"/>
    <w:rsid w:val="0C8AC13E"/>
    <w:rsid w:val="0C8D9901"/>
    <w:rsid w:val="0C8F0E55"/>
    <w:rsid w:val="0CA12E6D"/>
    <w:rsid w:val="0CB009D7"/>
    <w:rsid w:val="0CB53182"/>
    <w:rsid w:val="0CB6D8BF"/>
    <w:rsid w:val="0CB742D3"/>
    <w:rsid w:val="0CB95728"/>
    <w:rsid w:val="0CB9F4A6"/>
    <w:rsid w:val="0CBE000E"/>
    <w:rsid w:val="0CBF0BF2"/>
    <w:rsid w:val="0CBF2449"/>
    <w:rsid w:val="0CC29C13"/>
    <w:rsid w:val="0CC9EDAA"/>
    <w:rsid w:val="0CCBB76D"/>
    <w:rsid w:val="0CCCE360"/>
    <w:rsid w:val="0CD40544"/>
    <w:rsid w:val="0CDE1F9B"/>
    <w:rsid w:val="0CDF824C"/>
    <w:rsid w:val="0CE02BBA"/>
    <w:rsid w:val="0CE71163"/>
    <w:rsid w:val="0CEA6C81"/>
    <w:rsid w:val="0CEC982B"/>
    <w:rsid w:val="0CF1C701"/>
    <w:rsid w:val="0CF394D3"/>
    <w:rsid w:val="0D02CFFF"/>
    <w:rsid w:val="0D0D25DF"/>
    <w:rsid w:val="0D0FDCB6"/>
    <w:rsid w:val="0D143D99"/>
    <w:rsid w:val="0D1E9D03"/>
    <w:rsid w:val="0D1F2EF2"/>
    <w:rsid w:val="0D2225F3"/>
    <w:rsid w:val="0D2A02D8"/>
    <w:rsid w:val="0D2E1306"/>
    <w:rsid w:val="0D315A47"/>
    <w:rsid w:val="0D34FE1C"/>
    <w:rsid w:val="0D3C0459"/>
    <w:rsid w:val="0D3E376E"/>
    <w:rsid w:val="0D410FCC"/>
    <w:rsid w:val="0D490C13"/>
    <w:rsid w:val="0D4BBC99"/>
    <w:rsid w:val="0D4EF041"/>
    <w:rsid w:val="0D58A001"/>
    <w:rsid w:val="0D5E6FE6"/>
    <w:rsid w:val="0D5EDA0A"/>
    <w:rsid w:val="0D5F8DD9"/>
    <w:rsid w:val="0D6BA7FD"/>
    <w:rsid w:val="0D6EF698"/>
    <w:rsid w:val="0D75A8BB"/>
    <w:rsid w:val="0D7E1E23"/>
    <w:rsid w:val="0D829A4D"/>
    <w:rsid w:val="0D832D59"/>
    <w:rsid w:val="0D8484B9"/>
    <w:rsid w:val="0D8A8253"/>
    <w:rsid w:val="0D8D0EC2"/>
    <w:rsid w:val="0D90FF7C"/>
    <w:rsid w:val="0D91A69B"/>
    <w:rsid w:val="0D96B445"/>
    <w:rsid w:val="0D9E2625"/>
    <w:rsid w:val="0DA2F508"/>
    <w:rsid w:val="0DAAB41A"/>
    <w:rsid w:val="0DABE88A"/>
    <w:rsid w:val="0DADA2FB"/>
    <w:rsid w:val="0DAE87A1"/>
    <w:rsid w:val="0DAFBDB7"/>
    <w:rsid w:val="0DB7C76A"/>
    <w:rsid w:val="0DBC82D2"/>
    <w:rsid w:val="0DBF1B2B"/>
    <w:rsid w:val="0DBF6A8D"/>
    <w:rsid w:val="0DC05E66"/>
    <w:rsid w:val="0DC14563"/>
    <w:rsid w:val="0DC18BAB"/>
    <w:rsid w:val="0DC1B06B"/>
    <w:rsid w:val="0DCF1EB2"/>
    <w:rsid w:val="0DD22343"/>
    <w:rsid w:val="0DD460BB"/>
    <w:rsid w:val="0DD4C817"/>
    <w:rsid w:val="0DDB045C"/>
    <w:rsid w:val="0DDCF333"/>
    <w:rsid w:val="0DE28F4F"/>
    <w:rsid w:val="0DEEBFB7"/>
    <w:rsid w:val="0DFDECAC"/>
    <w:rsid w:val="0E0070B0"/>
    <w:rsid w:val="0E00A1CA"/>
    <w:rsid w:val="0E01010D"/>
    <w:rsid w:val="0E035B15"/>
    <w:rsid w:val="0E079FBD"/>
    <w:rsid w:val="0E0B9ACE"/>
    <w:rsid w:val="0E0BAC80"/>
    <w:rsid w:val="0E0E02A1"/>
    <w:rsid w:val="0E100509"/>
    <w:rsid w:val="0E174B89"/>
    <w:rsid w:val="0E1E3E8B"/>
    <w:rsid w:val="0E23616A"/>
    <w:rsid w:val="0E25B4EC"/>
    <w:rsid w:val="0E28664C"/>
    <w:rsid w:val="0E29606C"/>
    <w:rsid w:val="0E399F77"/>
    <w:rsid w:val="0E3A78D3"/>
    <w:rsid w:val="0E3D6470"/>
    <w:rsid w:val="0E407AF5"/>
    <w:rsid w:val="0E410C57"/>
    <w:rsid w:val="0E423806"/>
    <w:rsid w:val="0E430C55"/>
    <w:rsid w:val="0E47A11C"/>
    <w:rsid w:val="0E4D9F2E"/>
    <w:rsid w:val="0E59787B"/>
    <w:rsid w:val="0E5B5AEA"/>
    <w:rsid w:val="0E646854"/>
    <w:rsid w:val="0E67BFC9"/>
    <w:rsid w:val="0E6949B3"/>
    <w:rsid w:val="0E760070"/>
    <w:rsid w:val="0E76A065"/>
    <w:rsid w:val="0E82544D"/>
    <w:rsid w:val="0E89A3BF"/>
    <w:rsid w:val="0E8D6777"/>
    <w:rsid w:val="0E950C45"/>
    <w:rsid w:val="0E9BA437"/>
    <w:rsid w:val="0E9FAF8B"/>
    <w:rsid w:val="0EA52A74"/>
    <w:rsid w:val="0EA6644F"/>
    <w:rsid w:val="0EB13C8D"/>
    <w:rsid w:val="0EB62581"/>
    <w:rsid w:val="0EB6D1F7"/>
    <w:rsid w:val="0EBBBD00"/>
    <w:rsid w:val="0EC1273D"/>
    <w:rsid w:val="0EC2E88B"/>
    <w:rsid w:val="0EC42F19"/>
    <w:rsid w:val="0EC51333"/>
    <w:rsid w:val="0EC73172"/>
    <w:rsid w:val="0ECDB154"/>
    <w:rsid w:val="0ECE776C"/>
    <w:rsid w:val="0ED3DF4D"/>
    <w:rsid w:val="0EDA2A05"/>
    <w:rsid w:val="0EDA5D73"/>
    <w:rsid w:val="0EDECE04"/>
    <w:rsid w:val="0EE963F3"/>
    <w:rsid w:val="0EEA8428"/>
    <w:rsid w:val="0EF6D55E"/>
    <w:rsid w:val="0EFB7090"/>
    <w:rsid w:val="0F07A917"/>
    <w:rsid w:val="0F0A5B5E"/>
    <w:rsid w:val="0F0AB14B"/>
    <w:rsid w:val="0F1598DA"/>
    <w:rsid w:val="0F208A8D"/>
    <w:rsid w:val="0F29D155"/>
    <w:rsid w:val="0F2EC43F"/>
    <w:rsid w:val="0F36085A"/>
    <w:rsid w:val="0F36399E"/>
    <w:rsid w:val="0F371255"/>
    <w:rsid w:val="0F379E09"/>
    <w:rsid w:val="0F390AD2"/>
    <w:rsid w:val="0F406915"/>
    <w:rsid w:val="0F462A9F"/>
    <w:rsid w:val="0F4672B0"/>
    <w:rsid w:val="0F4A29CB"/>
    <w:rsid w:val="0F4A7DA3"/>
    <w:rsid w:val="0F4F49F6"/>
    <w:rsid w:val="0F4F75D7"/>
    <w:rsid w:val="0F5AD597"/>
    <w:rsid w:val="0F5B28CF"/>
    <w:rsid w:val="0F5B784A"/>
    <w:rsid w:val="0F61CE29"/>
    <w:rsid w:val="0F6B1B7A"/>
    <w:rsid w:val="0F6BA926"/>
    <w:rsid w:val="0F6DED8E"/>
    <w:rsid w:val="0F6F1C3F"/>
    <w:rsid w:val="0F709A54"/>
    <w:rsid w:val="0F71BA19"/>
    <w:rsid w:val="0F78B4E0"/>
    <w:rsid w:val="0F7A8594"/>
    <w:rsid w:val="0F817DE8"/>
    <w:rsid w:val="0F82CCFF"/>
    <w:rsid w:val="0F8D0928"/>
    <w:rsid w:val="0F994B9C"/>
    <w:rsid w:val="0F9A3225"/>
    <w:rsid w:val="0F9E397B"/>
    <w:rsid w:val="0FA017AF"/>
    <w:rsid w:val="0FA03CD1"/>
    <w:rsid w:val="0FA1214C"/>
    <w:rsid w:val="0FA21322"/>
    <w:rsid w:val="0FA3CFC0"/>
    <w:rsid w:val="0FA750C8"/>
    <w:rsid w:val="0FA9CB42"/>
    <w:rsid w:val="0FABBDA5"/>
    <w:rsid w:val="0FB12561"/>
    <w:rsid w:val="0FB176DF"/>
    <w:rsid w:val="0FB41252"/>
    <w:rsid w:val="0FB9B5DD"/>
    <w:rsid w:val="0FBD2FDC"/>
    <w:rsid w:val="0FBE1D9E"/>
    <w:rsid w:val="0FBE2615"/>
    <w:rsid w:val="0FC0A87B"/>
    <w:rsid w:val="0FC12B04"/>
    <w:rsid w:val="0FC41270"/>
    <w:rsid w:val="0FCB68E6"/>
    <w:rsid w:val="0FCF549C"/>
    <w:rsid w:val="0FD7E872"/>
    <w:rsid w:val="0FD8364C"/>
    <w:rsid w:val="0FDCA51A"/>
    <w:rsid w:val="0FDD63DF"/>
    <w:rsid w:val="0FDDAA4A"/>
    <w:rsid w:val="0FDEAE33"/>
    <w:rsid w:val="0FE2E343"/>
    <w:rsid w:val="0FE36181"/>
    <w:rsid w:val="0FE5F978"/>
    <w:rsid w:val="0FE6AE3C"/>
    <w:rsid w:val="0FE78B29"/>
    <w:rsid w:val="0FEEB8F6"/>
    <w:rsid w:val="0FF51A84"/>
    <w:rsid w:val="0FF7E1C9"/>
    <w:rsid w:val="0FFC887D"/>
    <w:rsid w:val="10018269"/>
    <w:rsid w:val="1001941B"/>
    <w:rsid w:val="1004F588"/>
    <w:rsid w:val="100883B9"/>
    <w:rsid w:val="1011A8CD"/>
    <w:rsid w:val="10140C81"/>
    <w:rsid w:val="102055ED"/>
    <w:rsid w:val="10232D02"/>
    <w:rsid w:val="102804B2"/>
    <w:rsid w:val="102A063F"/>
    <w:rsid w:val="102A9E24"/>
    <w:rsid w:val="102E6758"/>
    <w:rsid w:val="10395D4D"/>
    <w:rsid w:val="103DD644"/>
    <w:rsid w:val="103E5F0D"/>
    <w:rsid w:val="103E75D4"/>
    <w:rsid w:val="1040D061"/>
    <w:rsid w:val="104BE974"/>
    <w:rsid w:val="1052FBCA"/>
    <w:rsid w:val="105DC001"/>
    <w:rsid w:val="105E07CD"/>
    <w:rsid w:val="1060C5F7"/>
    <w:rsid w:val="1066E434"/>
    <w:rsid w:val="106E9BDA"/>
    <w:rsid w:val="1071D603"/>
    <w:rsid w:val="107CAC30"/>
    <w:rsid w:val="107ED8FE"/>
    <w:rsid w:val="1081AC53"/>
    <w:rsid w:val="1084AE27"/>
    <w:rsid w:val="1084E134"/>
    <w:rsid w:val="10879115"/>
    <w:rsid w:val="1088D233"/>
    <w:rsid w:val="10899079"/>
    <w:rsid w:val="1094E79D"/>
    <w:rsid w:val="10952384"/>
    <w:rsid w:val="1096104A"/>
    <w:rsid w:val="109975AE"/>
    <w:rsid w:val="109CC643"/>
    <w:rsid w:val="109CF09A"/>
    <w:rsid w:val="109DFD2F"/>
    <w:rsid w:val="10A4B5E4"/>
    <w:rsid w:val="10A6D3F2"/>
    <w:rsid w:val="10A88199"/>
    <w:rsid w:val="10A915C2"/>
    <w:rsid w:val="10AB808A"/>
    <w:rsid w:val="10ADA757"/>
    <w:rsid w:val="10B09EDB"/>
    <w:rsid w:val="10B2543A"/>
    <w:rsid w:val="10B374B9"/>
    <w:rsid w:val="10B3B609"/>
    <w:rsid w:val="10BA19FD"/>
    <w:rsid w:val="10BDDC1F"/>
    <w:rsid w:val="10C3EF74"/>
    <w:rsid w:val="10C3F8FB"/>
    <w:rsid w:val="10C4580E"/>
    <w:rsid w:val="10C494D0"/>
    <w:rsid w:val="10C5DAE9"/>
    <w:rsid w:val="10C7C026"/>
    <w:rsid w:val="10C9389C"/>
    <w:rsid w:val="10C99105"/>
    <w:rsid w:val="10CC599A"/>
    <w:rsid w:val="10D3813F"/>
    <w:rsid w:val="10D44954"/>
    <w:rsid w:val="10E44979"/>
    <w:rsid w:val="10E7FCE4"/>
    <w:rsid w:val="10E9307D"/>
    <w:rsid w:val="10EAFBEC"/>
    <w:rsid w:val="10F7AE44"/>
    <w:rsid w:val="1105DA35"/>
    <w:rsid w:val="11078855"/>
    <w:rsid w:val="1107AC93"/>
    <w:rsid w:val="1110C6D8"/>
    <w:rsid w:val="1111ABF0"/>
    <w:rsid w:val="11258829"/>
    <w:rsid w:val="112A98D8"/>
    <w:rsid w:val="11316107"/>
    <w:rsid w:val="11338368"/>
    <w:rsid w:val="1137466D"/>
    <w:rsid w:val="1138175B"/>
    <w:rsid w:val="113B7825"/>
    <w:rsid w:val="113FE819"/>
    <w:rsid w:val="11419CB5"/>
    <w:rsid w:val="11446C12"/>
    <w:rsid w:val="11493FDB"/>
    <w:rsid w:val="1153D42A"/>
    <w:rsid w:val="11595700"/>
    <w:rsid w:val="115C9655"/>
    <w:rsid w:val="115D0055"/>
    <w:rsid w:val="1161DA56"/>
    <w:rsid w:val="11731F6E"/>
    <w:rsid w:val="1174BEC6"/>
    <w:rsid w:val="1175384D"/>
    <w:rsid w:val="1177588B"/>
    <w:rsid w:val="117BA21E"/>
    <w:rsid w:val="117BCF39"/>
    <w:rsid w:val="117D3A1A"/>
    <w:rsid w:val="118370CF"/>
    <w:rsid w:val="1183C6EE"/>
    <w:rsid w:val="1187D749"/>
    <w:rsid w:val="118848FB"/>
    <w:rsid w:val="118F2194"/>
    <w:rsid w:val="11900AAD"/>
    <w:rsid w:val="11973DE0"/>
    <w:rsid w:val="1197F2CE"/>
    <w:rsid w:val="119AE7FA"/>
    <w:rsid w:val="119F03D3"/>
    <w:rsid w:val="11A0A4A2"/>
    <w:rsid w:val="11A3EE8E"/>
    <w:rsid w:val="11ACD7F8"/>
    <w:rsid w:val="11AE18B5"/>
    <w:rsid w:val="11AEFD9A"/>
    <w:rsid w:val="11B25F3C"/>
    <w:rsid w:val="11B6C87A"/>
    <w:rsid w:val="11B9FB79"/>
    <w:rsid w:val="11BF0472"/>
    <w:rsid w:val="11C00F69"/>
    <w:rsid w:val="11C6D9F0"/>
    <w:rsid w:val="11C848FD"/>
    <w:rsid w:val="11D1BD21"/>
    <w:rsid w:val="11D5D0A8"/>
    <w:rsid w:val="11DCA132"/>
    <w:rsid w:val="11DFC8B8"/>
    <w:rsid w:val="11E08F01"/>
    <w:rsid w:val="11E0FECA"/>
    <w:rsid w:val="11E207F4"/>
    <w:rsid w:val="11E66415"/>
    <w:rsid w:val="11F180BF"/>
    <w:rsid w:val="11F5066E"/>
    <w:rsid w:val="11F7E661"/>
    <w:rsid w:val="11FA8D29"/>
    <w:rsid w:val="11FE3EB5"/>
    <w:rsid w:val="1205134E"/>
    <w:rsid w:val="12084A90"/>
    <w:rsid w:val="12093DE2"/>
    <w:rsid w:val="1209806D"/>
    <w:rsid w:val="120EACB5"/>
    <w:rsid w:val="12107020"/>
    <w:rsid w:val="1216D6BF"/>
    <w:rsid w:val="121B5F0F"/>
    <w:rsid w:val="121C7B28"/>
    <w:rsid w:val="122317D5"/>
    <w:rsid w:val="12245D8B"/>
    <w:rsid w:val="1224CE2F"/>
    <w:rsid w:val="12250688"/>
    <w:rsid w:val="1226BC47"/>
    <w:rsid w:val="12286514"/>
    <w:rsid w:val="1228F1C3"/>
    <w:rsid w:val="122EFBCD"/>
    <w:rsid w:val="1230D189"/>
    <w:rsid w:val="1230D3A1"/>
    <w:rsid w:val="12339D40"/>
    <w:rsid w:val="12398950"/>
    <w:rsid w:val="12398EEC"/>
    <w:rsid w:val="123BA820"/>
    <w:rsid w:val="123DB385"/>
    <w:rsid w:val="1242CB51"/>
    <w:rsid w:val="1243EF77"/>
    <w:rsid w:val="12459309"/>
    <w:rsid w:val="124B943B"/>
    <w:rsid w:val="1250617C"/>
    <w:rsid w:val="12565FDE"/>
    <w:rsid w:val="1256ED61"/>
    <w:rsid w:val="12589023"/>
    <w:rsid w:val="125C3A65"/>
    <w:rsid w:val="125DC156"/>
    <w:rsid w:val="125E9221"/>
    <w:rsid w:val="1260D6AC"/>
    <w:rsid w:val="1263CC53"/>
    <w:rsid w:val="1265CF66"/>
    <w:rsid w:val="12684528"/>
    <w:rsid w:val="1269BEE9"/>
    <w:rsid w:val="126E6B3E"/>
    <w:rsid w:val="1274C6B9"/>
    <w:rsid w:val="127B794E"/>
    <w:rsid w:val="127D95F3"/>
    <w:rsid w:val="12800666"/>
    <w:rsid w:val="12824E66"/>
    <w:rsid w:val="1287A6DB"/>
    <w:rsid w:val="128ECAE1"/>
    <w:rsid w:val="129117EE"/>
    <w:rsid w:val="12947F91"/>
    <w:rsid w:val="129A7AA4"/>
    <w:rsid w:val="129E19D8"/>
    <w:rsid w:val="129ECFC7"/>
    <w:rsid w:val="12A02C9F"/>
    <w:rsid w:val="12A4A840"/>
    <w:rsid w:val="12ADB58E"/>
    <w:rsid w:val="12AE43A7"/>
    <w:rsid w:val="12BA6FAD"/>
    <w:rsid w:val="12C31739"/>
    <w:rsid w:val="12C39557"/>
    <w:rsid w:val="12CA0F07"/>
    <w:rsid w:val="12CAAFB4"/>
    <w:rsid w:val="12CFCAEA"/>
    <w:rsid w:val="12D1FD59"/>
    <w:rsid w:val="12D2AC1C"/>
    <w:rsid w:val="12D6C543"/>
    <w:rsid w:val="12DA1B07"/>
    <w:rsid w:val="12DA8CB9"/>
    <w:rsid w:val="12E03312"/>
    <w:rsid w:val="12E10243"/>
    <w:rsid w:val="12E67D43"/>
    <w:rsid w:val="12E86A9D"/>
    <w:rsid w:val="12EF43BE"/>
    <w:rsid w:val="12F04C74"/>
    <w:rsid w:val="12F074B0"/>
    <w:rsid w:val="12F13D8E"/>
    <w:rsid w:val="12F83548"/>
    <w:rsid w:val="12F95C67"/>
    <w:rsid w:val="12FD4F02"/>
    <w:rsid w:val="12FE99C8"/>
    <w:rsid w:val="12FF9A6E"/>
    <w:rsid w:val="13051D3D"/>
    <w:rsid w:val="13057258"/>
    <w:rsid w:val="13115BB0"/>
    <w:rsid w:val="131799CD"/>
    <w:rsid w:val="1317C5E5"/>
    <w:rsid w:val="131C5C2C"/>
    <w:rsid w:val="132EC6DA"/>
    <w:rsid w:val="1330FE5E"/>
    <w:rsid w:val="13334579"/>
    <w:rsid w:val="13389664"/>
    <w:rsid w:val="1347CEBF"/>
    <w:rsid w:val="134B5806"/>
    <w:rsid w:val="134EED10"/>
    <w:rsid w:val="1354A3F4"/>
    <w:rsid w:val="1357962A"/>
    <w:rsid w:val="1357E14D"/>
    <w:rsid w:val="1358D252"/>
    <w:rsid w:val="1358EEA9"/>
    <w:rsid w:val="135BA0CC"/>
    <w:rsid w:val="135D3873"/>
    <w:rsid w:val="135DC2D6"/>
    <w:rsid w:val="1360DD01"/>
    <w:rsid w:val="13675B1B"/>
    <w:rsid w:val="137832D6"/>
    <w:rsid w:val="137C95A4"/>
    <w:rsid w:val="1381FAB3"/>
    <w:rsid w:val="1383258F"/>
    <w:rsid w:val="1387DD43"/>
    <w:rsid w:val="138BD2A8"/>
    <w:rsid w:val="138F48C7"/>
    <w:rsid w:val="13907F68"/>
    <w:rsid w:val="139AA295"/>
    <w:rsid w:val="13A267E2"/>
    <w:rsid w:val="13A34692"/>
    <w:rsid w:val="13A4F8AA"/>
    <w:rsid w:val="13ABF643"/>
    <w:rsid w:val="13AC4567"/>
    <w:rsid w:val="13B25057"/>
    <w:rsid w:val="13B66EE5"/>
    <w:rsid w:val="13BFA06A"/>
    <w:rsid w:val="13C19089"/>
    <w:rsid w:val="13C195E2"/>
    <w:rsid w:val="13C1BEF8"/>
    <w:rsid w:val="13C7B682"/>
    <w:rsid w:val="13D792D3"/>
    <w:rsid w:val="13E63CAD"/>
    <w:rsid w:val="13EA39E5"/>
    <w:rsid w:val="13EB22A0"/>
    <w:rsid w:val="13EDCB69"/>
    <w:rsid w:val="13F602CA"/>
    <w:rsid w:val="14055138"/>
    <w:rsid w:val="140B326E"/>
    <w:rsid w:val="140C9FC6"/>
    <w:rsid w:val="140F5409"/>
    <w:rsid w:val="1410CF43"/>
    <w:rsid w:val="1413CD71"/>
    <w:rsid w:val="1414A0EA"/>
    <w:rsid w:val="141F2771"/>
    <w:rsid w:val="14294788"/>
    <w:rsid w:val="142AE9D7"/>
    <w:rsid w:val="142BC331"/>
    <w:rsid w:val="142E3886"/>
    <w:rsid w:val="142F8097"/>
    <w:rsid w:val="1430C298"/>
    <w:rsid w:val="1433135B"/>
    <w:rsid w:val="143C1562"/>
    <w:rsid w:val="1448DA19"/>
    <w:rsid w:val="144BE42D"/>
    <w:rsid w:val="14513258"/>
    <w:rsid w:val="1451988D"/>
    <w:rsid w:val="14544DEF"/>
    <w:rsid w:val="1458993B"/>
    <w:rsid w:val="145CCB89"/>
    <w:rsid w:val="145EE963"/>
    <w:rsid w:val="145FF599"/>
    <w:rsid w:val="146C5B91"/>
    <w:rsid w:val="14725892"/>
    <w:rsid w:val="14745314"/>
    <w:rsid w:val="1476288C"/>
    <w:rsid w:val="147811B9"/>
    <w:rsid w:val="147BA1B2"/>
    <w:rsid w:val="147BE4F7"/>
    <w:rsid w:val="148580CC"/>
    <w:rsid w:val="14868125"/>
    <w:rsid w:val="1490737F"/>
    <w:rsid w:val="14910436"/>
    <w:rsid w:val="149194B8"/>
    <w:rsid w:val="14935E0D"/>
    <w:rsid w:val="14938952"/>
    <w:rsid w:val="1495188B"/>
    <w:rsid w:val="14961748"/>
    <w:rsid w:val="149B62F2"/>
    <w:rsid w:val="149E3E13"/>
    <w:rsid w:val="14A25387"/>
    <w:rsid w:val="14A62E6A"/>
    <w:rsid w:val="14A69544"/>
    <w:rsid w:val="14A86CEC"/>
    <w:rsid w:val="14AB7D74"/>
    <w:rsid w:val="14ABDBAE"/>
    <w:rsid w:val="14AC07BE"/>
    <w:rsid w:val="14BE2818"/>
    <w:rsid w:val="14CB644F"/>
    <w:rsid w:val="14CE0320"/>
    <w:rsid w:val="14D1922C"/>
    <w:rsid w:val="14D3A0AD"/>
    <w:rsid w:val="14D3C2A7"/>
    <w:rsid w:val="14DA3A90"/>
    <w:rsid w:val="14DE51A0"/>
    <w:rsid w:val="14E143A3"/>
    <w:rsid w:val="14E229ED"/>
    <w:rsid w:val="14E4000F"/>
    <w:rsid w:val="14E6B938"/>
    <w:rsid w:val="14E8622A"/>
    <w:rsid w:val="14EE4C23"/>
    <w:rsid w:val="14EE5EFD"/>
    <w:rsid w:val="14EEB075"/>
    <w:rsid w:val="14F5E755"/>
    <w:rsid w:val="14F5FE6A"/>
    <w:rsid w:val="15049082"/>
    <w:rsid w:val="150FF162"/>
    <w:rsid w:val="1510A065"/>
    <w:rsid w:val="15123FBF"/>
    <w:rsid w:val="15161C93"/>
    <w:rsid w:val="15180D51"/>
    <w:rsid w:val="1518A49F"/>
    <w:rsid w:val="151D4731"/>
    <w:rsid w:val="151F7245"/>
    <w:rsid w:val="1522B5CF"/>
    <w:rsid w:val="1529015D"/>
    <w:rsid w:val="152BB84A"/>
    <w:rsid w:val="152ED104"/>
    <w:rsid w:val="1530F929"/>
    <w:rsid w:val="1531361B"/>
    <w:rsid w:val="15333ABB"/>
    <w:rsid w:val="15371496"/>
    <w:rsid w:val="15382422"/>
    <w:rsid w:val="153A14A3"/>
    <w:rsid w:val="153E3457"/>
    <w:rsid w:val="15403579"/>
    <w:rsid w:val="1544E181"/>
    <w:rsid w:val="1546989F"/>
    <w:rsid w:val="15477614"/>
    <w:rsid w:val="15488D46"/>
    <w:rsid w:val="154BC71C"/>
    <w:rsid w:val="154EB076"/>
    <w:rsid w:val="15550A8D"/>
    <w:rsid w:val="1560E3D4"/>
    <w:rsid w:val="1561393F"/>
    <w:rsid w:val="156473C5"/>
    <w:rsid w:val="1565933E"/>
    <w:rsid w:val="156754FA"/>
    <w:rsid w:val="157123CF"/>
    <w:rsid w:val="1578FBE8"/>
    <w:rsid w:val="157F3739"/>
    <w:rsid w:val="15804270"/>
    <w:rsid w:val="15806F85"/>
    <w:rsid w:val="15837A12"/>
    <w:rsid w:val="1588849F"/>
    <w:rsid w:val="158E2BEA"/>
    <w:rsid w:val="158F293B"/>
    <w:rsid w:val="15966734"/>
    <w:rsid w:val="15ABB9E0"/>
    <w:rsid w:val="15ADCDE1"/>
    <w:rsid w:val="15ADEB50"/>
    <w:rsid w:val="15B2B720"/>
    <w:rsid w:val="15B2C93F"/>
    <w:rsid w:val="15B462B5"/>
    <w:rsid w:val="15B6A937"/>
    <w:rsid w:val="15C02E65"/>
    <w:rsid w:val="15C0CF29"/>
    <w:rsid w:val="15C9B6BA"/>
    <w:rsid w:val="15CB20CF"/>
    <w:rsid w:val="15D0074D"/>
    <w:rsid w:val="15D57D58"/>
    <w:rsid w:val="15DAD3CC"/>
    <w:rsid w:val="15E62924"/>
    <w:rsid w:val="15E7DBA6"/>
    <w:rsid w:val="15EABA61"/>
    <w:rsid w:val="15EEB432"/>
    <w:rsid w:val="15F5F143"/>
    <w:rsid w:val="15F7E953"/>
    <w:rsid w:val="15FED704"/>
    <w:rsid w:val="1600A5FF"/>
    <w:rsid w:val="1600EE6C"/>
    <w:rsid w:val="1602E692"/>
    <w:rsid w:val="1608644D"/>
    <w:rsid w:val="160893A5"/>
    <w:rsid w:val="160B92AA"/>
    <w:rsid w:val="160E4973"/>
    <w:rsid w:val="161EF3BF"/>
    <w:rsid w:val="162477EB"/>
    <w:rsid w:val="1627B4BE"/>
    <w:rsid w:val="162A9F52"/>
    <w:rsid w:val="162DECB1"/>
    <w:rsid w:val="162F1F6B"/>
    <w:rsid w:val="163298CD"/>
    <w:rsid w:val="16351A53"/>
    <w:rsid w:val="163592EB"/>
    <w:rsid w:val="1635F64A"/>
    <w:rsid w:val="163602D3"/>
    <w:rsid w:val="163CEB2B"/>
    <w:rsid w:val="16467C10"/>
    <w:rsid w:val="164B1862"/>
    <w:rsid w:val="164FAF05"/>
    <w:rsid w:val="16567B30"/>
    <w:rsid w:val="165A11FD"/>
    <w:rsid w:val="1662433C"/>
    <w:rsid w:val="16684FAE"/>
    <w:rsid w:val="166A4E83"/>
    <w:rsid w:val="166AC04C"/>
    <w:rsid w:val="166B041A"/>
    <w:rsid w:val="166B8E13"/>
    <w:rsid w:val="16754055"/>
    <w:rsid w:val="16798F33"/>
    <w:rsid w:val="167EA5D1"/>
    <w:rsid w:val="1680BA8B"/>
    <w:rsid w:val="1683FE1C"/>
    <w:rsid w:val="168A5101"/>
    <w:rsid w:val="16950A15"/>
    <w:rsid w:val="16961228"/>
    <w:rsid w:val="169FC95D"/>
    <w:rsid w:val="16A0C1C0"/>
    <w:rsid w:val="16A19A29"/>
    <w:rsid w:val="16A3BCD6"/>
    <w:rsid w:val="16A742FC"/>
    <w:rsid w:val="16B214BF"/>
    <w:rsid w:val="16B42BC1"/>
    <w:rsid w:val="16B59A46"/>
    <w:rsid w:val="16B80CE6"/>
    <w:rsid w:val="16BD2001"/>
    <w:rsid w:val="16BD3A00"/>
    <w:rsid w:val="16BE659F"/>
    <w:rsid w:val="16BF2ABD"/>
    <w:rsid w:val="16C036F3"/>
    <w:rsid w:val="16C20A08"/>
    <w:rsid w:val="16C4A34D"/>
    <w:rsid w:val="16C4A583"/>
    <w:rsid w:val="16C5C583"/>
    <w:rsid w:val="16C923CC"/>
    <w:rsid w:val="16C99D37"/>
    <w:rsid w:val="16C9CB8A"/>
    <w:rsid w:val="16D09AE3"/>
    <w:rsid w:val="16D16E76"/>
    <w:rsid w:val="16D798E8"/>
    <w:rsid w:val="16DC1CE9"/>
    <w:rsid w:val="16E56F0F"/>
    <w:rsid w:val="16E7C03C"/>
    <w:rsid w:val="16E7CD12"/>
    <w:rsid w:val="16EB6C0B"/>
    <w:rsid w:val="16EDE0C2"/>
    <w:rsid w:val="16F952EA"/>
    <w:rsid w:val="16FCD6DD"/>
    <w:rsid w:val="16FE7698"/>
    <w:rsid w:val="17001403"/>
    <w:rsid w:val="1703261E"/>
    <w:rsid w:val="17074721"/>
    <w:rsid w:val="17109D69"/>
    <w:rsid w:val="1713E852"/>
    <w:rsid w:val="17186CB4"/>
    <w:rsid w:val="171936FD"/>
    <w:rsid w:val="171EF541"/>
    <w:rsid w:val="171F3E96"/>
    <w:rsid w:val="172073BD"/>
    <w:rsid w:val="17232997"/>
    <w:rsid w:val="1723A3C8"/>
    <w:rsid w:val="1724231C"/>
    <w:rsid w:val="172444A4"/>
    <w:rsid w:val="1728698A"/>
    <w:rsid w:val="172F2626"/>
    <w:rsid w:val="1731FC8E"/>
    <w:rsid w:val="173362B4"/>
    <w:rsid w:val="1733B44A"/>
    <w:rsid w:val="173899C7"/>
    <w:rsid w:val="1740F99B"/>
    <w:rsid w:val="17424675"/>
    <w:rsid w:val="17438FED"/>
    <w:rsid w:val="174425D3"/>
    <w:rsid w:val="17494FD7"/>
    <w:rsid w:val="175BC0FB"/>
    <w:rsid w:val="175D6EFB"/>
    <w:rsid w:val="175E176A"/>
    <w:rsid w:val="175F5C72"/>
    <w:rsid w:val="175F983E"/>
    <w:rsid w:val="176069B2"/>
    <w:rsid w:val="17627BFD"/>
    <w:rsid w:val="1767BC0F"/>
    <w:rsid w:val="1770B100"/>
    <w:rsid w:val="17714513"/>
    <w:rsid w:val="17787848"/>
    <w:rsid w:val="177E7F8C"/>
    <w:rsid w:val="1785A40D"/>
    <w:rsid w:val="1786B22F"/>
    <w:rsid w:val="178FE50E"/>
    <w:rsid w:val="17905C8C"/>
    <w:rsid w:val="1797FCBF"/>
    <w:rsid w:val="17A02B01"/>
    <w:rsid w:val="17ACC81E"/>
    <w:rsid w:val="17B0AE5E"/>
    <w:rsid w:val="17B0ECBD"/>
    <w:rsid w:val="17B6713C"/>
    <w:rsid w:val="17B9CB84"/>
    <w:rsid w:val="17BA2CA8"/>
    <w:rsid w:val="17BEA01F"/>
    <w:rsid w:val="17C21588"/>
    <w:rsid w:val="17C31244"/>
    <w:rsid w:val="17C588F3"/>
    <w:rsid w:val="17D18EA7"/>
    <w:rsid w:val="17D1FB04"/>
    <w:rsid w:val="17D8E9E8"/>
    <w:rsid w:val="17D9C289"/>
    <w:rsid w:val="17DB1B74"/>
    <w:rsid w:val="17DBC646"/>
    <w:rsid w:val="17DC0CD7"/>
    <w:rsid w:val="17DF15EF"/>
    <w:rsid w:val="17E0891A"/>
    <w:rsid w:val="17E54020"/>
    <w:rsid w:val="17EF3AC3"/>
    <w:rsid w:val="17F30B63"/>
    <w:rsid w:val="17F8DE81"/>
    <w:rsid w:val="17F92614"/>
    <w:rsid w:val="17F9E56D"/>
    <w:rsid w:val="1803F755"/>
    <w:rsid w:val="18044FB0"/>
    <w:rsid w:val="1808558E"/>
    <w:rsid w:val="18091EA5"/>
    <w:rsid w:val="180D2DAD"/>
    <w:rsid w:val="180EAFAD"/>
    <w:rsid w:val="18129BD8"/>
    <w:rsid w:val="181460BC"/>
    <w:rsid w:val="181481DF"/>
    <w:rsid w:val="182664DA"/>
    <w:rsid w:val="182B0580"/>
    <w:rsid w:val="18337E5D"/>
    <w:rsid w:val="183936CE"/>
    <w:rsid w:val="183A0F3F"/>
    <w:rsid w:val="184118BC"/>
    <w:rsid w:val="1842C630"/>
    <w:rsid w:val="18473FD4"/>
    <w:rsid w:val="184B8A63"/>
    <w:rsid w:val="184BD0D3"/>
    <w:rsid w:val="1852D5C1"/>
    <w:rsid w:val="1853367D"/>
    <w:rsid w:val="1853E13F"/>
    <w:rsid w:val="185AB2BB"/>
    <w:rsid w:val="185E6FE2"/>
    <w:rsid w:val="185E8D80"/>
    <w:rsid w:val="185F11FA"/>
    <w:rsid w:val="1860A3B4"/>
    <w:rsid w:val="1865202E"/>
    <w:rsid w:val="186C60C1"/>
    <w:rsid w:val="186E18E1"/>
    <w:rsid w:val="1872FD9E"/>
    <w:rsid w:val="187AB29F"/>
    <w:rsid w:val="187CAF2F"/>
    <w:rsid w:val="187D1C23"/>
    <w:rsid w:val="187FB1A4"/>
    <w:rsid w:val="18832E38"/>
    <w:rsid w:val="1887B30C"/>
    <w:rsid w:val="1888805F"/>
    <w:rsid w:val="188DDC54"/>
    <w:rsid w:val="1890B4DA"/>
    <w:rsid w:val="1895CA1E"/>
    <w:rsid w:val="189EE305"/>
    <w:rsid w:val="18A763D6"/>
    <w:rsid w:val="18AF3619"/>
    <w:rsid w:val="18B2581E"/>
    <w:rsid w:val="18B7A19A"/>
    <w:rsid w:val="18B814B2"/>
    <w:rsid w:val="18C4E329"/>
    <w:rsid w:val="18C85852"/>
    <w:rsid w:val="18CC73C7"/>
    <w:rsid w:val="18CD3587"/>
    <w:rsid w:val="18CE8AF9"/>
    <w:rsid w:val="18D8F1E2"/>
    <w:rsid w:val="18D9B095"/>
    <w:rsid w:val="18DA153F"/>
    <w:rsid w:val="18DCC158"/>
    <w:rsid w:val="18DD0D7B"/>
    <w:rsid w:val="18E0B2CF"/>
    <w:rsid w:val="18E4D10C"/>
    <w:rsid w:val="18EB94B2"/>
    <w:rsid w:val="18EE18F0"/>
    <w:rsid w:val="18F06815"/>
    <w:rsid w:val="18F74053"/>
    <w:rsid w:val="18FCBFC0"/>
    <w:rsid w:val="1904C7A7"/>
    <w:rsid w:val="19086207"/>
    <w:rsid w:val="19156108"/>
    <w:rsid w:val="19197FF8"/>
    <w:rsid w:val="191ABD43"/>
    <w:rsid w:val="191CA25E"/>
    <w:rsid w:val="191DF0B7"/>
    <w:rsid w:val="191F7126"/>
    <w:rsid w:val="19201CD0"/>
    <w:rsid w:val="19261890"/>
    <w:rsid w:val="1929B65A"/>
    <w:rsid w:val="193170BC"/>
    <w:rsid w:val="1936F806"/>
    <w:rsid w:val="193701E3"/>
    <w:rsid w:val="1944102F"/>
    <w:rsid w:val="194761C5"/>
    <w:rsid w:val="1948AE4E"/>
    <w:rsid w:val="194BE4A1"/>
    <w:rsid w:val="19572763"/>
    <w:rsid w:val="1957375D"/>
    <w:rsid w:val="1958D71E"/>
    <w:rsid w:val="1967BF65"/>
    <w:rsid w:val="196DA120"/>
    <w:rsid w:val="19739ABD"/>
    <w:rsid w:val="197AE990"/>
    <w:rsid w:val="197CE48C"/>
    <w:rsid w:val="198000D3"/>
    <w:rsid w:val="1981A046"/>
    <w:rsid w:val="1982AAD9"/>
    <w:rsid w:val="1989C928"/>
    <w:rsid w:val="198DC602"/>
    <w:rsid w:val="198F26DF"/>
    <w:rsid w:val="19A94A58"/>
    <w:rsid w:val="19B73F62"/>
    <w:rsid w:val="19B86089"/>
    <w:rsid w:val="19B9A70D"/>
    <w:rsid w:val="19BAB5ED"/>
    <w:rsid w:val="19BCF088"/>
    <w:rsid w:val="19C27B0B"/>
    <w:rsid w:val="19C2B026"/>
    <w:rsid w:val="19C6CDEE"/>
    <w:rsid w:val="19C9CA8E"/>
    <w:rsid w:val="19CB67B9"/>
    <w:rsid w:val="19CC164B"/>
    <w:rsid w:val="19D104E8"/>
    <w:rsid w:val="19DAC729"/>
    <w:rsid w:val="19DB84FD"/>
    <w:rsid w:val="19DBB5C9"/>
    <w:rsid w:val="19DDC809"/>
    <w:rsid w:val="19E0DBB9"/>
    <w:rsid w:val="19EDA518"/>
    <w:rsid w:val="19F655FA"/>
    <w:rsid w:val="19F7CBFB"/>
    <w:rsid w:val="19F8A942"/>
    <w:rsid w:val="19FF09CB"/>
    <w:rsid w:val="1A01D43E"/>
    <w:rsid w:val="1A05724B"/>
    <w:rsid w:val="1A0BDBCE"/>
    <w:rsid w:val="1A0FA4F3"/>
    <w:rsid w:val="1A10F28F"/>
    <w:rsid w:val="1A11FA75"/>
    <w:rsid w:val="1A14036B"/>
    <w:rsid w:val="1A14DD5A"/>
    <w:rsid w:val="1A1F0454"/>
    <w:rsid w:val="1A209A7A"/>
    <w:rsid w:val="1A2884BE"/>
    <w:rsid w:val="1A29C4D1"/>
    <w:rsid w:val="1A2B2D41"/>
    <w:rsid w:val="1A2D8103"/>
    <w:rsid w:val="1A2E16A8"/>
    <w:rsid w:val="1A2F70CB"/>
    <w:rsid w:val="1A303381"/>
    <w:rsid w:val="1A30DE0E"/>
    <w:rsid w:val="1A33B6AC"/>
    <w:rsid w:val="1A3548DE"/>
    <w:rsid w:val="1A3621A5"/>
    <w:rsid w:val="1A3ABB98"/>
    <w:rsid w:val="1A3D5986"/>
    <w:rsid w:val="1A3F3C93"/>
    <w:rsid w:val="1A42A168"/>
    <w:rsid w:val="1A44CE8F"/>
    <w:rsid w:val="1A45CA25"/>
    <w:rsid w:val="1A494F3C"/>
    <w:rsid w:val="1A4B9E40"/>
    <w:rsid w:val="1A571DE9"/>
    <w:rsid w:val="1A5908CD"/>
    <w:rsid w:val="1A5A0FF4"/>
    <w:rsid w:val="1A5E39EE"/>
    <w:rsid w:val="1A628DA7"/>
    <w:rsid w:val="1A62AAD0"/>
    <w:rsid w:val="1A64611D"/>
    <w:rsid w:val="1A64B253"/>
    <w:rsid w:val="1A77FEC8"/>
    <w:rsid w:val="1A78B331"/>
    <w:rsid w:val="1A78CD4B"/>
    <w:rsid w:val="1A80324E"/>
    <w:rsid w:val="1A82EC87"/>
    <w:rsid w:val="1A858E11"/>
    <w:rsid w:val="1A87070E"/>
    <w:rsid w:val="1A876014"/>
    <w:rsid w:val="1A8F0C7F"/>
    <w:rsid w:val="1A903A21"/>
    <w:rsid w:val="1A90909D"/>
    <w:rsid w:val="1A9194F3"/>
    <w:rsid w:val="1A97D1B2"/>
    <w:rsid w:val="1A97E5E8"/>
    <w:rsid w:val="1A9A98EB"/>
    <w:rsid w:val="1A9F807C"/>
    <w:rsid w:val="1AA241DE"/>
    <w:rsid w:val="1AA55486"/>
    <w:rsid w:val="1AA7E7D9"/>
    <w:rsid w:val="1AA8F7BA"/>
    <w:rsid w:val="1AB29CAB"/>
    <w:rsid w:val="1AB4037F"/>
    <w:rsid w:val="1AB58C6D"/>
    <w:rsid w:val="1AB59881"/>
    <w:rsid w:val="1ABA4732"/>
    <w:rsid w:val="1ABB5DC2"/>
    <w:rsid w:val="1AC12DEA"/>
    <w:rsid w:val="1AC519EA"/>
    <w:rsid w:val="1AC533AD"/>
    <w:rsid w:val="1AC56D60"/>
    <w:rsid w:val="1ACC04ED"/>
    <w:rsid w:val="1AD537AF"/>
    <w:rsid w:val="1AD874A3"/>
    <w:rsid w:val="1ADC1752"/>
    <w:rsid w:val="1AE0AAEB"/>
    <w:rsid w:val="1AE748EA"/>
    <w:rsid w:val="1AE82C22"/>
    <w:rsid w:val="1AE96AB3"/>
    <w:rsid w:val="1AF090E2"/>
    <w:rsid w:val="1AF52E3B"/>
    <w:rsid w:val="1AFA8220"/>
    <w:rsid w:val="1AFD9004"/>
    <w:rsid w:val="1AFF2C17"/>
    <w:rsid w:val="1AFF8EC2"/>
    <w:rsid w:val="1B014855"/>
    <w:rsid w:val="1B01B97D"/>
    <w:rsid w:val="1B023500"/>
    <w:rsid w:val="1B041DC0"/>
    <w:rsid w:val="1B0547E9"/>
    <w:rsid w:val="1B063337"/>
    <w:rsid w:val="1B0CFF62"/>
    <w:rsid w:val="1B11C230"/>
    <w:rsid w:val="1B1403AD"/>
    <w:rsid w:val="1B192F09"/>
    <w:rsid w:val="1B19AEBB"/>
    <w:rsid w:val="1B19E0DC"/>
    <w:rsid w:val="1B23BD29"/>
    <w:rsid w:val="1B257424"/>
    <w:rsid w:val="1B3010E4"/>
    <w:rsid w:val="1B35EAE8"/>
    <w:rsid w:val="1B3E969C"/>
    <w:rsid w:val="1B4134DD"/>
    <w:rsid w:val="1B43A3BB"/>
    <w:rsid w:val="1B4D5C8E"/>
    <w:rsid w:val="1B558199"/>
    <w:rsid w:val="1B55AB6F"/>
    <w:rsid w:val="1B57DB6A"/>
    <w:rsid w:val="1B5D3C9A"/>
    <w:rsid w:val="1B5EE2A6"/>
    <w:rsid w:val="1B612DB2"/>
    <w:rsid w:val="1B620074"/>
    <w:rsid w:val="1B636C5A"/>
    <w:rsid w:val="1B666A77"/>
    <w:rsid w:val="1B67085A"/>
    <w:rsid w:val="1B6FEAAC"/>
    <w:rsid w:val="1B722108"/>
    <w:rsid w:val="1B78F94A"/>
    <w:rsid w:val="1B7D6075"/>
    <w:rsid w:val="1B8A0D26"/>
    <w:rsid w:val="1B8A3421"/>
    <w:rsid w:val="1B963C37"/>
    <w:rsid w:val="1BA4C7DC"/>
    <w:rsid w:val="1BA7AFE2"/>
    <w:rsid w:val="1BA858DB"/>
    <w:rsid w:val="1BB39DE8"/>
    <w:rsid w:val="1BB83C07"/>
    <w:rsid w:val="1BBB8785"/>
    <w:rsid w:val="1BC062D2"/>
    <w:rsid w:val="1BC288E8"/>
    <w:rsid w:val="1BC7143E"/>
    <w:rsid w:val="1BD2BC94"/>
    <w:rsid w:val="1BD30EB9"/>
    <w:rsid w:val="1BD87F0B"/>
    <w:rsid w:val="1BDD2031"/>
    <w:rsid w:val="1BDE5481"/>
    <w:rsid w:val="1BDFFA77"/>
    <w:rsid w:val="1BE07D5E"/>
    <w:rsid w:val="1BE11343"/>
    <w:rsid w:val="1BE263D4"/>
    <w:rsid w:val="1BE3A9F3"/>
    <w:rsid w:val="1BF4F719"/>
    <w:rsid w:val="1BFC6439"/>
    <w:rsid w:val="1C021D4C"/>
    <w:rsid w:val="1C02ECCA"/>
    <w:rsid w:val="1C0A9C45"/>
    <w:rsid w:val="1C0D0D07"/>
    <w:rsid w:val="1C0E71C0"/>
    <w:rsid w:val="1C1580C3"/>
    <w:rsid w:val="1C17449B"/>
    <w:rsid w:val="1C17D029"/>
    <w:rsid w:val="1C1AD3B0"/>
    <w:rsid w:val="1C1BB400"/>
    <w:rsid w:val="1C209709"/>
    <w:rsid w:val="1C211193"/>
    <w:rsid w:val="1C21D6B0"/>
    <w:rsid w:val="1C2241B7"/>
    <w:rsid w:val="1C2AFE93"/>
    <w:rsid w:val="1C2EC7EA"/>
    <w:rsid w:val="1C3657E6"/>
    <w:rsid w:val="1C37BE49"/>
    <w:rsid w:val="1C3EC54E"/>
    <w:rsid w:val="1C45B9C4"/>
    <w:rsid w:val="1C47EB16"/>
    <w:rsid w:val="1C4A1E9C"/>
    <w:rsid w:val="1C4F2F59"/>
    <w:rsid w:val="1C4F8BE7"/>
    <w:rsid w:val="1C55E30A"/>
    <w:rsid w:val="1C5621B5"/>
    <w:rsid w:val="1C57E3F6"/>
    <w:rsid w:val="1C5BE10B"/>
    <w:rsid w:val="1C5F0FED"/>
    <w:rsid w:val="1C6CFD3E"/>
    <w:rsid w:val="1C6DDDD6"/>
    <w:rsid w:val="1C6FA17D"/>
    <w:rsid w:val="1C733A63"/>
    <w:rsid w:val="1C77A5D1"/>
    <w:rsid w:val="1C7957A3"/>
    <w:rsid w:val="1C7AF5B9"/>
    <w:rsid w:val="1C82AD60"/>
    <w:rsid w:val="1C88F015"/>
    <w:rsid w:val="1C8BEEC9"/>
    <w:rsid w:val="1C8EF312"/>
    <w:rsid w:val="1C949C2A"/>
    <w:rsid w:val="1C9523AD"/>
    <w:rsid w:val="1C977A87"/>
    <w:rsid w:val="1C98B69B"/>
    <w:rsid w:val="1C9A54D5"/>
    <w:rsid w:val="1CA2FB57"/>
    <w:rsid w:val="1CA39047"/>
    <w:rsid w:val="1CA5174E"/>
    <w:rsid w:val="1CA7D115"/>
    <w:rsid w:val="1CB3A0CD"/>
    <w:rsid w:val="1CB50F75"/>
    <w:rsid w:val="1CB56EFD"/>
    <w:rsid w:val="1CB60A3C"/>
    <w:rsid w:val="1CBBC0DE"/>
    <w:rsid w:val="1CC25956"/>
    <w:rsid w:val="1CC51817"/>
    <w:rsid w:val="1CC97A35"/>
    <w:rsid w:val="1CCAA925"/>
    <w:rsid w:val="1CD18B67"/>
    <w:rsid w:val="1CD263A3"/>
    <w:rsid w:val="1CD58E50"/>
    <w:rsid w:val="1CD59CAC"/>
    <w:rsid w:val="1CD6E53A"/>
    <w:rsid w:val="1CD8E8F6"/>
    <w:rsid w:val="1CD9BE59"/>
    <w:rsid w:val="1CE02541"/>
    <w:rsid w:val="1CE08890"/>
    <w:rsid w:val="1CE24232"/>
    <w:rsid w:val="1CE62049"/>
    <w:rsid w:val="1CE6AD8B"/>
    <w:rsid w:val="1CE6C121"/>
    <w:rsid w:val="1CEAE658"/>
    <w:rsid w:val="1CEB50E3"/>
    <w:rsid w:val="1CEDBD0A"/>
    <w:rsid w:val="1CEEE19F"/>
    <w:rsid w:val="1CF2C3B4"/>
    <w:rsid w:val="1CF3BFC4"/>
    <w:rsid w:val="1CF4D2CE"/>
    <w:rsid w:val="1CF5E37F"/>
    <w:rsid w:val="1D02C838"/>
    <w:rsid w:val="1D056C45"/>
    <w:rsid w:val="1D08A022"/>
    <w:rsid w:val="1D092303"/>
    <w:rsid w:val="1D094DD9"/>
    <w:rsid w:val="1D0A4CEE"/>
    <w:rsid w:val="1D0D0F63"/>
    <w:rsid w:val="1D0E44BE"/>
    <w:rsid w:val="1D10F9CD"/>
    <w:rsid w:val="1D171861"/>
    <w:rsid w:val="1D1F6E15"/>
    <w:rsid w:val="1D200217"/>
    <w:rsid w:val="1D2241C8"/>
    <w:rsid w:val="1D263A5C"/>
    <w:rsid w:val="1D2808B9"/>
    <w:rsid w:val="1D29AB3E"/>
    <w:rsid w:val="1D2A3787"/>
    <w:rsid w:val="1D2AF5CA"/>
    <w:rsid w:val="1D2BB5A1"/>
    <w:rsid w:val="1D2C0AE3"/>
    <w:rsid w:val="1D2DA75E"/>
    <w:rsid w:val="1D2F6113"/>
    <w:rsid w:val="1D337A58"/>
    <w:rsid w:val="1D350860"/>
    <w:rsid w:val="1D356267"/>
    <w:rsid w:val="1D367AA0"/>
    <w:rsid w:val="1D437280"/>
    <w:rsid w:val="1D4388BD"/>
    <w:rsid w:val="1D4C0E5C"/>
    <w:rsid w:val="1D5C02C7"/>
    <w:rsid w:val="1D6DD8A5"/>
    <w:rsid w:val="1D6F246D"/>
    <w:rsid w:val="1D6FC121"/>
    <w:rsid w:val="1D75E303"/>
    <w:rsid w:val="1D7761CA"/>
    <w:rsid w:val="1D785B76"/>
    <w:rsid w:val="1D78DC89"/>
    <w:rsid w:val="1D851B79"/>
    <w:rsid w:val="1D8551C3"/>
    <w:rsid w:val="1D8648BD"/>
    <w:rsid w:val="1D86F3DD"/>
    <w:rsid w:val="1D9230CB"/>
    <w:rsid w:val="1D9EEF54"/>
    <w:rsid w:val="1DA3D9C0"/>
    <w:rsid w:val="1DAF3179"/>
    <w:rsid w:val="1DB061B0"/>
    <w:rsid w:val="1DB14FF1"/>
    <w:rsid w:val="1DB38646"/>
    <w:rsid w:val="1DBA9347"/>
    <w:rsid w:val="1DBFDE20"/>
    <w:rsid w:val="1DC15E5E"/>
    <w:rsid w:val="1DC4DF97"/>
    <w:rsid w:val="1DCBEB9F"/>
    <w:rsid w:val="1DCC0600"/>
    <w:rsid w:val="1DCC8E24"/>
    <w:rsid w:val="1DCEE8CF"/>
    <w:rsid w:val="1DD84B16"/>
    <w:rsid w:val="1DDC990E"/>
    <w:rsid w:val="1DDE9D79"/>
    <w:rsid w:val="1DE03A81"/>
    <w:rsid w:val="1DE21E09"/>
    <w:rsid w:val="1DEF5EFA"/>
    <w:rsid w:val="1DF1B067"/>
    <w:rsid w:val="1DF8E810"/>
    <w:rsid w:val="1DFB7CC5"/>
    <w:rsid w:val="1DFD14D5"/>
    <w:rsid w:val="1E074D0E"/>
    <w:rsid w:val="1E0868D0"/>
    <w:rsid w:val="1E0E7C9C"/>
    <w:rsid w:val="1E10EA4F"/>
    <w:rsid w:val="1E1223CE"/>
    <w:rsid w:val="1E13B814"/>
    <w:rsid w:val="1E167282"/>
    <w:rsid w:val="1E175E3A"/>
    <w:rsid w:val="1E177D3F"/>
    <w:rsid w:val="1E1B636C"/>
    <w:rsid w:val="1E23426A"/>
    <w:rsid w:val="1E2551C4"/>
    <w:rsid w:val="1E28D77D"/>
    <w:rsid w:val="1E29EA7A"/>
    <w:rsid w:val="1E2ACD7E"/>
    <w:rsid w:val="1E3468EF"/>
    <w:rsid w:val="1E3598F6"/>
    <w:rsid w:val="1E3685EE"/>
    <w:rsid w:val="1E448471"/>
    <w:rsid w:val="1E450A9E"/>
    <w:rsid w:val="1E4732DD"/>
    <w:rsid w:val="1E498B74"/>
    <w:rsid w:val="1E5114D0"/>
    <w:rsid w:val="1E5A6121"/>
    <w:rsid w:val="1E5ABDDB"/>
    <w:rsid w:val="1E60212C"/>
    <w:rsid w:val="1E605C08"/>
    <w:rsid w:val="1E625CEE"/>
    <w:rsid w:val="1E6ABE30"/>
    <w:rsid w:val="1E7F046E"/>
    <w:rsid w:val="1E88B3CD"/>
    <w:rsid w:val="1E8DB9D3"/>
    <w:rsid w:val="1E8EA891"/>
    <w:rsid w:val="1E938F64"/>
    <w:rsid w:val="1E993515"/>
    <w:rsid w:val="1E9E2895"/>
    <w:rsid w:val="1EA2032A"/>
    <w:rsid w:val="1EA3B3BB"/>
    <w:rsid w:val="1EA3BB2C"/>
    <w:rsid w:val="1EA68E67"/>
    <w:rsid w:val="1EA6D808"/>
    <w:rsid w:val="1EB55EDE"/>
    <w:rsid w:val="1EC5A89C"/>
    <w:rsid w:val="1EC60470"/>
    <w:rsid w:val="1EC6666E"/>
    <w:rsid w:val="1ECA6B35"/>
    <w:rsid w:val="1ED343D0"/>
    <w:rsid w:val="1ED3A3F3"/>
    <w:rsid w:val="1EDB69DD"/>
    <w:rsid w:val="1EDF0519"/>
    <w:rsid w:val="1EE4E620"/>
    <w:rsid w:val="1EE6A157"/>
    <w:rsid w:val="1EF1C6C2"/>
    <w:rsid w:val="1EF666BE"/>
    <w:rsid w:val="1EF80275"/>
    <w:rsid w:val="1EFABE0C"/>
    <w:rsid w:val="1EFC9237"/>
    <w:rsid w:val="1F0E47A5"/>
    <w:rsid w:val="1F0F913C"/>
    <w:rsid w:val="1F114359"/>
    <w:rsid w:val="1F12A9D4"/>
    <w:rsid w:val="1F187BD9"/>
    <w:rsid w:val="1F232163"/>
    <w:rsid w:val="1F25D975"/>
    <w:rsid w:val="1F260C34"/>
    <w:rsid w:val="1F2A9030"/>
    <w:rsid w:val="1F2E03F4"/>
    <w:rsid w:val="1F2FDC10"/>
    <w:rsid w:val="1F350D58"/>
    <w:rsid w:val="1F366303"/>
    <w:rsid w:val="1F37C910"/>
    <w:rsid w:val="1F3AE3AC"/>
    <w:rsid w:val="1F3FCFA9"/>
    <w:rsid w:val="1F423F19"/>
    <w:rsid w:val="1F49C49A"/>
    <w:rsid w:val="1F4B504F"/>
    <w:rsid w:val="1F4F8FC8"/>
    <w:rsid w:val="1F50898D"/>
    <w:rsid w:val="1F534953"/>
    <w:rsid w:val="1F5426BF"/>
    <w:rsid w:val="1F555128"/>
    <w:rsid w:val="1F562D04"/>
    <w:rsid w:val="1F589082"/>
    <w:rsid w:val="1F5C55A4"/>
    <w:rsid w:val="1F5CEBA5"/>
    <w:rsid w:val="1F60721F"/>
    <w:rsid w:val="1F638B5F"/>
    <w:rsid w:val="1F665CB4"/>
    <w:rsid w:val="1F66B2D6"/>
    <w:rsid w:val="1F6E7F51"/>
    <w:rsid w:val="1F70E8AE"/>
    <w:rsid w:val="1F723596"/>
    <w:rsid w:val="1F7CC1D7"/>
    <w:rsid w:val="1F7E6687"/>
    <w:rsid w:val="1F8C989E"/>
    <w:rsid w:val="1F8EED9F"/>
    <w:rsid w:val="1F96D81C"/>
    <w:rsid w:val="1F96F9E9"/>
    <w:rsid w:val="1F98341C"/>
    <w:rsid w:val="1F9C4CF7"/>
    <w:rsid w:val="1F9D1303"/>
    <w:rsid w:val="1FA49673"/>
    <w:rsid w:val="1FA9104E"/>
    <w:rsid w:val="1FAD9FF1"/>
    <w:rsid w:val="1FB7428B"/>
    <w:rsid w:val="1FCBECF2"/>
    <w:rsid w:val="1FCC3ED6"/>
    <w:rsid w:val="1FD38D8D"/>
    <w:rsid w:val="1FD46F56"/>
    <w:rsid w:val="1FD75FC4"/>
    <w:rsid w:val="1FDA72A3"/>
    <w:rsid w:val="1FDC06D8"/>
    <w:rsid w:val="1FE3DDC1"/>
    <w:rsid w:val="1FE735BC"/>
    <w:rsid w:val="1FED8144"/>
    <w:rsid w:val="1FF134E6"/>
    <w:rsid w:val="1FF41124"/>
    <w:rsid w:val="1FF85271"/>
    <w:rsid w:val="1FF9E1C5"/>
    <w:rsid w:val="1FFA1433"/>
    <w:rsid w:val="1FFABD8A"/>
    <w:rsid w:val="1FFAE851"/>
    <w:rsid w:val="2000AA87"/>
    <w:rsid w:val="2006BAC2"/>
    <w:rsid w:val="2008C85A"/>
    <w:rsid w:val="200985C1"/>
    <w:rsid w:val="2009F74A"/>
    <w:rsid w:val="200C5098"/>
    <w:rsid w:val="200D83D5"/>
    <w:rsid w:val="200EEDD3"/>
    <w:rsid w:val="2014AA1A"/>
    <w:rsid w:val="201EB6FD"/>
    <w:rsid w:val="20278A16"/>
    <w:rsid w:val="2027D208"/>
    <w:rsid w:val="20290508"/>
    <w:rsid w:val="20397CB6"/>
    <w:rsid w:val="203A1FD9"/>
    <w:rsid w:val="203C5B3D"/>
    <w:rsid w:val="2040613A"/>
    <w:rsid w:val="2044E08C"/>
    <w:rsid w:val="2044F1DA"/>
    <w:rsid w:val="20452B7D"/>
    <w:rsid w:val="2046ABA3"/>
    <w:rsid w:val="204757DE"/>
    <w:rsid w:val="2047BEB9"/>
    <w:rsid w:val="2048FD62"/>
    <w:rsid w:val="204D4DC6"/>
    <w:rsid w:val="2050D28B"/>
    <w:rsid w:val="2051C7FF"/>
    <w:rsid w:val="205D2969"/>
    <w:rsid w:val="2063CC3E"/>
    <w:rsid w:val="2065007F"/>
    <w:rsid w:val="2067DF33"/>
    <w:rsid w:val="206A505A"/>
    <w:rsid w:val="206E9184"/>
    <w:rsid w:val="2079C6D0"/>
    <w:rsid w:val="207B6195"/>
    <w:rsid w:val="20805BA7"/>
    <w:rsid w:val="20821D47"/>
    <w:rsid w:val="2087229A"/>
    <w:rsid w:val="20890935"/>
    <w:rsid w:val="208D9DCD"/>
    <w:rsid w:val="208FB2B1"/>
    <w:rsid w:val="20913314"/>
    <w:rsid w:val="2098FA20"/>
    <w:rsid w:val="209A2D25"/>
    <w:rsid w:val="20A2DFD3"/>
    <w:rsid w:val="20A58AEB"/>
    <w:rsid w:val="20A5EC43"/>
    <w:rsid w:val="20A9BAA0"/>
    <w:rsid w:val="20AB761B"/>
    <w:rsid w:val="20AC4F30"/>
    <w:rsid w:val="20ADE628"/>
    <w:rsid w:val="20B1E964"/>
    <w:rsid w:val="20BDC7D3"/>
    <w:rsid w:val="20BE2006"/>
    <w:rsid w:val="20BFF8BD"/>
    <w:rsid w:val="20C383F9"/>
    <w:rsid w:val="20C4A232"/>
    <w:rsid w:val="20C55339"/>
    <w:rsid w:val="20C98CB1"/>
    <w:rsid w:val="20D0CEC8"/>
    <w:rsid w:val="20D162B0"/>
    <w:rsid w:val="20D27E91"/>
    <w:rsid w:val="20D308AA"/>
    <w:rsid w:val="20D868F9"/>
    <w:rsid w:val="20EE27CC"/>
    <w:rsid w:val="20F50618"/>
    <w:rsid w:val="20F9CA18"/>
    <w:rsid w:val="20FE70F1"/>
    <w:rsid w:val="20FED2D7"/>
    <w:rsid w:val="2103242A"/>
    <w:rsid w:val="2104599D"/>
    <w:rsid w:val="210FB2E8"/>
    <w:rsid w:val="21126E11"/>
    <w:rsid w:val="21149697"/>
    <w:rsid w:val="2115CA2C"/>
    <w:rsid w:val="2117F052"/>
    <w:rsid w:val="21189EEB"/>
    <w:rsid w:val="211B5AF5"/>
    <w:rsid w:val="21203D03"/>
    <w:rsid w:val="2125CF28"/>
    <w:rsid w:val="21260328"/>
    <w:rsid w:val="212646D3"/>
    <w:rsid w:val="212683D6"/>
    <w:rsid w:val="2126F8FC"/>
    <w:rsid w:val="212856B5"/>
    <w:rsid w:val="212937CE"/>
    <w:rsid w:val="212C870B"/>
    <w:rsid w:val="2136A476"/>
    <w:rsid w:val="21472A39"/>
    <w:rsid w:val="214E1DC9"/>
    <w:rsid w:val="214F6BA7"/>
    <w:rsid w:val="21510969"/>
    <w:rsid w:val="215578C6"/>
    <w:rsid w:val="215B52AF"/>
    <w:rsid w:val="215EA151"/>
    <w:rsid w:val="2161995F"/>
    <w:rsid w:val="21640375"/>
    <w:rsid w:val="21677187"/>
    <w:rsid w:val="2167DFD0"/>
    <w:rsid w:val="21690A47"/>
    <w:rsid w:val="21699A4E"/>
    <w:rsid w:val="21721CBC"/>
    <w:rsid w:val="2172B4A4"/>
    <w:rsid w:val="2172F00B"/>
    <w:rsid w:val="2177ABDF"/>
    <w:rsid w:val="21791F59"/>
    <w:rsid w:val="217B64D3"/>
    <w:rsid w:val="219057BC"/>
    <w:rsid w:val="2196DF4D"/>
    <w:rsid w:val="219A500A"/>
    <w:rsid w:val="219A8321"/>
    <w:rsid w:val="219B6532"/>
    <w:rsid w:val="219FA184"/>
    <w:rsid w:val="21A00ACA"/>
    <w:rsid w:val="21A61F69"/>
    <w:rsid w:val="21B60B68"/>
    <w:rsid w:val="21B6D171"/>
    <w:rsid w:val="21BB4325"/>
    <w:rsid w:val="21C4CDEB"/>
    <w:rsid w:val="21C6D801"/>
    <w:rsid w:val="21CC2E74"/>
    <w:rsid w:val="21CD3387"/>
    <w:rsid w:val="21CE3DD0"/>
    <w:rsid w:val="21D1A85F"/>
    <w:rsid w:val="21D302C3"/>
    <w:rsid w:val="21D5994D"/>
    <w:rsid w:val="21DA21C2"/>
    <w:rsid w:val="21E5B794"/>
    <w:rsid w:val="21E7CB47"/>
    <w:rsid w:val="21EB5500"/>
    <w:rsid w:val="21F370DC"/>
    <w:rsid w:val="21F8D224"/>
    <w:rsid w:val="21FB3682"/>
    <w:rsid w:val="21FC703C"/>
    <w:rsid w:val="21FC9D13"/>
    <w:rsid w:val="21FEF7EE"/>
    <w:rsid w:val="220236FF"/>
    <w:rsid w:val="22035651"/>
    <w:rsid w:val="22047458"/>
    <w:rsid w:val="220859CF"/>
    <w:rsid w:val="22088C41"/>
    <w:rsid w:val="220CC260"/>
    <w:rsid w:val="220CDA20"/>
    <w:rsid w:val="2216985D"/>
    <w:rsid w:val="221768FB"/>
    <w:rsid w:val="22186B77"/>
    <w:rsid w:val="221C8D9A"/>
    <w:rsid w:val="2229EF78"/>
    <w:rsid w:val="222BA63D"/>
    <w:rsid w:val="222BFB00"/>
    <w:rsid w:val="222E8407"/>
    <w:rsid w:val="22328614"/>
    <w:rsid w:val="2232D294"/>
    <w:rsid w:val="22337606"/>
    <w:rsid w:val="22398F77"/>
    <w:rsid w:val="223BCD0F"/>
    <w:rsid w:val="2242C92D"/>
    <w:rsid w:val="22457211"/>
    <w:rsid w:val="22498D5C"/>
    <w:rsid w:val="224B4BB6"/>
    <w:rsid w:val="22502E67"/>
    <w:rsid w:val="225997C7"/>
    <w:rsid w:val="2261C5C3"/>
    <w:rsid w:val="2263F3CC"/>
    <w:rsid w:val="226649A0"/>
    <w:rsid w:val="2268D09D"/>
    <w:rsid w:val="226B74AE"/>
    <w:rsid w:val="226D2E88"/>
    <w:rsid w:val="22700F17"/>
    <w:rsid w:val="2276A4BE"/>
    <w:rsid w:val="22770E62"/>
    <w:rsid w:val="227AE4AA"/>
    <w:rsid w:val="227CC723"/>
    <w:rsid w:val="227D17D9"/>
    <w:rsid w:val="227D8654"/>
    <w:rsid w:val="2280E1C5"/>
    <w:rsid w:val="2285F8E8"/>
    <w:rsid w:val="2289653D"/>
    <w:rsid w:val="228C4535"/>
    <w:rsid w:val="228D905C"/>
    <w:rsid w:val="228DC9BB"/>
    <w:rsid w:val="228E305C"/>
    <w:rsid w:val="22962C2F"/>
    <w:rsid w:val="229EA309"/>
    <w:rsid w:val="22A6470D"/>
    <w:rsid w:val="22A9D39D"/>
    <w:rsid w:val="22ACD923"/>
    <w:rsid w:val="22AEBE44"/>
    <w:rsid w:val="22B0D788"/>
    <w:rsid w:val="22B2DE6A"/>
    <w:rsid w:val="22B72369"/>
    <w:rsid w:val="22BAA702"/>
    <w:rsid w:val="22BAC668"/>
    <w:rsid w:val="22BC1AAE"/>
    <w:rsid w:val="22CAEA28"/>
    <w:rsid w:val="22CB5190"/>
    <w:rsid w:val="22D311FD"/>
    <w:rsid w:val="22D5BEB1"/>
    <w:rsid w:val="22D93DEF"/>
    <w:rsid w:val="22DD04BB"/>
    <w:rsid w:val="22E20FF3"/>
    <w:rsid w:val="22E2DBCC"/>
    <w:rsid w:val="22E56230"/>
    <w:rsid w:val="22E973E7"/>
    <w:rsid w:val="22ECB6A0"/>
    <w:rsid w:val="22F04568"/>
    <w:rsid w:val="22F0A751"/>
    <w:rsid w:val="22F0AB74"/>
    <w:rsid w:val="22F3C81E"/>
    <w:rsid w:val="22F61A82"/>
    <w:rsid w:val="22F958B8"/>
    <w:rsid w:val="22FCD63E"/>
    <w:rsid w:val="22FD8E6E"/>
    <w:rsid w:val="22FDDE39"/>
    <w:rsid w:val="230046C1"/>
    <w:rsid w:val="23033641"/>
    <w:rsid w:val="2307941C"/>
    <w:rsid w:val="23090D38"/>
    <w:rsid w:val="230B05B2"/>
    <w:rsid w:val="23131E9B"/>
    <w:rsid w:val="23134BE6"/>
    <w:rsid w:val="231970C6"/>
    <w:rsid w:val="231BA577"/>
    <w:rsid w:val="231E6659"/>
    <w:rsid w:val="23231AA4"/>
    <w:rsid w:val="2328F9AB"/>
    <w:rsid w:val="232F6533"/>
    <w:rsid w:val="23303C86"/>
    <w:rsid w:val="23317465"/>
    <w:rsid w:val="2338A12C"/>
    <w:rsid w:val="233C04CF"/>
    <w:rsid w:val="23476940"/>
    <w:rsid w:val="23486D69"/>
    <w:rsid w:val="23525665"/>
    <w:rsid w:val="235D639A"/>
    <w:rsid w:val="236059D5"/>
    <w:rsid w:val="2362527C"/>
    <w:rsid w:val="23671F43"/>
    <w:rsid w:val="236F4ACC"/>
    <w:rsid w:val="23705764"/>
    <w:rsid w:val="23728EC6"/>
    <w:rsid w:val="2374990A"/>
    <w:rsid w:val="237BDDB5"/>
    <w:rsid w:val="237F8D62"/>
    <w:rsid w:val="23825BCF"/>
    <w:rsid w:val="239039AF"/>
    <w:rsid w:val="2393025E"/>
    <w:rsid w:val="239CD882"/>
    <w:rsid w:val="23A1CBC7"/>
    <w:rsid w:val="23A32B9A"/>
    <w:rsid w:val="23A3EC75"/>
    <w:rsid w:val="23AAA9D6"/>
    <w:rsid w:val="23B02F26"/>
    <w:rsid w:val="23B05080"/>
    <w:rsid w:val="23B2C1F7"/>
    <w:rsid w:val="23B6CF38"/>
    <w:rsid w:val="23BC1A48"/>
    <w:rsid w:val="23BDC999"/>
    <w:rsid w:val="23BFA3B4"/>
    <w:rsid w:val="23C2E7C2"/>
    <w:rsid w:val="23C444A4"/>
    <w:rsid w:val="23C7E532"/>
    <w:rsid w:val="23CA8BCC"/>
    <w:rsid w:val="23CDE2EB"/>
    <w:rsid w:val="23D457C5"/>
    <w:rsid w:val="23D7EF80"/>
    <w:rsid w:val="23DC3D9A"/>
    <w:rsid w:val="23E297F5"/>
    <w:rsid w:val="23EB02A9"/>
    <w:rsid w:val="23EF4081"/>
    <w:rsid w:val="23EFA753"/>
    <w:rsid w:val="23F211D6"/>
    <w:rsid w:val="23F5EBAB"/>
    <w:rsid w:val="23FB2D51"/>
    <w:rsid w:val="23FB7F3B"/>
    <w:rsid w:val="23FEAE07"/>
    <w:rsid w:val="240888C1"/>
    <w:rsid w:val="240CEAFD"/>
    <w:rsid w:val="24103A08"/>
    <w:rsid w:val="2413598F"/>
    <w:rsid w:val="2418E882"/>
    <w:rsid w:val="2429FCAA"/>
    <w:rsid w:val="242E7099"/>
    <w:rsid w:val="242FD7CF"/>
    <w:rsid w:val="2430014B"/>
    <w:rsid w:val="2433D056"/>
    <w:rsid w:val="2433DDEA"/>
    <w:rsid w:val="24341BEA"/>
    <w:rsid w:val="24357313"/>
    <w:rsid w:val="2435E9F6"/>
    <w:rsid w:val="2436294F"/>
    <w:rsid w:val="244015FB"/>
    <w:rsid w:val="244347C1"/>
    <w:rsid w:val="244365F6"/>
    <w:rsid w:val="244828C9"/>
    <w:rsid w:val="24485227"/>
    <w:rsid w:val="245354A3"/>
    <w:rsid w:val="245434BB"/>
    <w:rsid w:val="245663D3"/>
    <w:rsid w:val="245898FE"/>
    <w:rsid w:val="2459F502"/>
    <w:rsid w:val="245C5608"/>
    <w:rsid w:val="245C9230"/>
    <w:rsid w:val="24632F1E"/>
    <w:rsid w:val="2467FCFA"/>
    <w:rsid w:val="246AAA0E"/>
    <w:rsid w:val="246BD860"/>
    <w:rsid w:val="246CE778"/>
    <w:rsid w:val="246FB5B8"/>
    <w:rsid w:val="24780483"/>
    <w:rsid w:val="247A66A5"/>
    <w:rsid w:val="247AA67F"/>
    <w:rsid w:val="247E2783"/>
    <w:rsid w:val="24826CB8"/>
    <w:rsid w:val="248A3795"/>
    <w:rsid w:val="248AFB93"/>
    <w:rsid w:val="249232B9"/>
    <w:rsid w:val="24955BE9"/>
    <w:rsid w:val="2496522C"/>
    <w:rsid w:val="249E84CC"/>
    <w:rsid w:val="24A69279"/>
    <w:rsid w:val="24A6FFB1"/>
    <w:rsid w:val="24A7A0F7"/>
    <w:rsid w:val="24AA5282"/>
    <w:rsid w:val="24ACA9AF"/>
    <w:rsid w:val="24AD511F"/>
    <w:rsid w:val="24B2A5D9"/>
    <w:rsid w:val="24B4B27E"/>
    <w:rsid w:val="24B62D49"/>
    <w:rsid w:val="24B64671"/>
    <w:rsid w:val="24B72117"/>
    <w:rsid w:val="24BA194C"/>
    <w:rsid w:val="24BF6E70"/>
    <w:rsid w:val="24C13B21"/>
    <w:rsid w:val="24C6E8D5"/>
    <w:rsid w:val="24D0745E"/>
    <w:rsid w:val="24D07F22"/>
    <w:rsid w:val="24D8D312"/>
    <w:rsid w:val="24E5AE4E"/>
    <w:rsid w:val="24EAC985"/>
    <w:rsid w:val="24F3301E"/>
    <w:rsid w:val="24F85A35"/>
    <w:rsid w:val="24F941F6"/>
    <w:rsid w:val="2503CCAE"/>
    <w:rsid w:val="25061664"/>
    <w:rsid w:val="2507D2F9"/>
    <w:rsid w:val="25090580"/>
    <w:rsid w:val="25102018"/>
    <w:rsid w:val="25153220"/>
    <w:rsid w:val="251AE17A"/>
    <w:rsid w:val="252302FE"/>
    <w:rsid w:val="25262A68"/>
    <w:rsid w:val="253AB27C"/>
    <w:rsid w:val="253CBA1F"/>
    <w:rsid w:val="2541D1B5"/>
    <w:rsid w:val="254573F0"/>
    <w:rsid w:val="254802F6"/>
    <w:rsid w:val="254D35A7"/>
    <w:rsid w:val="254F7C7C"/>
    <w:rsid w:val="2550B3CC"/>
    <w:rsid w:val="25516BFC"/>
    <w:rsid w:val="2552FDC6"/>
    <w:rsid w:val="2556D27C"/>
    <w:rsid w:val="2559E413"/>
    <w:rsid w:val="255D1302"/>
    <w:rsid w:val="25635372"/>
    <w:rsid w:val="2567D85D"/>
    <w:rsid w:val="2568B605"/>
    <w:rsid w:val="256CD637"/>
    <w:rsid w:val="2572A244"/>
    <w:rsid w:val="2581F9C7"/>
    <w:rsid w:val="258375BD"/>
    <w:rsid w:val="258801FA"/>
    <w:rsid w:val="25890711"/>
    <w:rsid w:val="2589608D"/>
    <w:rsid w:val="2589886C"/>
    <w:rsid w:val="258F3387"/>
    <w:rsid w:val="2599BB1E"/>
    <w:rsid w:val="25A04D81"/>
    <w:rsid w:val="25B0FE6E"/>
    <w:rsid w:val="25B24688"/>
    <w:rsid w:val="25B2FD12"/>
    <w:rsid w:val="25B4AD3E"/>
    <w:rsid w:val="25B776A6"/>
    <w:rsid w:val="25B8C632"/>
    <w:rsid w:val="25B98ED0"/>
    <w:rsid w:val="25BCE388"/>
    <w:rsid w:val="25BDA436"/>
    <w:rsid w:val="25C4CFA8"/>
    <w:rsid w:val="25C5C596"/>
    <w:rsid w:val="25C61712"/>
    <w:rsid w:val="25C74A8E"/>
    <w:rsid w:val="25CA40FA"/>
    <w:rsid w:val="25CC8732"/>
    <w:rsid w:val="25D0B5E9"/>
    <w:rsid w:val="25D4CF24"/>
    <w:rsid w:val="25D822B4"/>
    <w:rsid w:val="25DFB974"/>
    <w:rsid w:val="25DFDA96"/>
    <w:rsid w:val="25E280EE"/>
    <w:rsid w:val="25E64197"/>
    <w:rsid w:val="25E80DF1"/>
    <w:rsid w:val="25ECAF19"/>
    <w:rsid w:val="25EEFDB3"/>
    <w:rsid w:val="25F1ED3A"/>
    <w:rsid w:val="25F9404B"/>
    <w:rsid w:val="25F99AEB"/>
    <w:rsid w:val="25FDD65D"/>
    <w:rsid w:val="26069F42"/>
    <w:rsid w:val="26069F69"/>
    <w:rsid w:val="26089010"/>
    <w:rsid w:val="26119164"/>
    <w:rsid w:val="2611E8F9"/>
    <w:rsid w:val="26133240"/>
    <w:rsid w:val="26140345"/>
    <w:rsid w:val="261705CC"/>
    <w:rsid w:val="261CAAD4"/>
    <w:rsid w:val="261DB18B"/>
    <w:rsid w:val="261F94F2"/>
    <w:rsid w:val="2621D2EF"/>
    <w:rsid w:val="262636E0"/>
    <w:rsid w:val="2629E090"/>
    <w:rsid w:val="262EA030"/>
    <w:rsid w:val="263A528F"/>
    <w:rsid w:val="263AA5BB"/>
    <w:rsid w:val="263FCCD3"/>
    <w:rsid w:val="2640E866"/>
    <w:rsid w:val="2643F9D4"/>
    <w:rsid w:val="2644549F"/>
    <w:rsid w:val="2644B510"/>
    <w:rsid w:val="2645D44A"/>
    <w:rsid w:val="26482D00"/>
    <w:rsid w:val="264972CF"/>
    <w:rsid w:val="264B8599"/>
    <w:rsid w:val="264D5003"/>
    <w:rsid w:val="26514957"/>
    <w:rsid w:val="26527ACF"/>
    <w:rsid w:val="2654B7C1"/>
    <w:rsid w:val="2655CA77"/>
    <w:rsid w:val="2656301F"/>
    <w:rsid w:val="2667F7A4"/>
    <w:rsid w:val="266946D9"/>
    <w:rsid w:val="266B7B2B"/>
    <w:rsid w:val="26702814"/>
    <w:rsid w:val="267031AF"/>
    <w:rsid w:val="267536BE"/>
    <w:rsid w:val="26788E0D"/>
    <w:rsid w:val="267A603A"/>
    <w:rsid w:val="267DB1DB"/>
    <w:rsid w:val="26822CF2"/>
    <w:rsid w:val="26844258"/>
    <w:rsid w:val="2690F317"/>
    <w:rsid w:val="2693D0EC"/>
    <w:rsid w:val="269958B1"/>
    <w:rsid w:val="2699CF1E"/>
    <w:rsid w:val="269F8F37"/>
    <w:rsid w:val="26B99C72"/>
    <w:rsid w:val="26BFC37C"/>
    <w:rsid w:val="26C30603"/>
    <w:rsid w:val="26C64425"/>
    <w:rsid w:val="26C6CDEF"/>
    <w:rsid w:val="26C99076"/>
    <w:rsid w:val="26CA577F"/>
    <w:rsid w:val="26CB015C"/>
    <w:rsid w:val="26CCED9C"/>
    <w:rsid w:val="26CE4983"/>
    <w:rsid w:val="26CF5549"/>
    <w:rsid w:val="26D2BF75"/>
    <w:rsid w:val="26DB03E3"/>
    <w:rsid w:val="26E6B3AA"/>
    <w:rsid w:val="26E7DD4A"/>
    <w:rsid w:val="26EA56B3"/>
    <w:rsid w:val="26EB2068"/>
    <w:rsid w:val="26EB247C"/>
    <w:rsid w:val="26ED11C9"/>
    <w:rsid w:val="26EE82AC"/>
    <w:rsid w:val="26F3DF81"/>
    <w:rsid w:val="26FB808D"/>
    <w:rsid w:val="26FDD6E9"/>
    <w:rsid w:val="27090AC3"/>
    <w:rsid w:val="27107D5E"/>
    <w:rsid w:val="271229BE"/>
    <w:rsid w:val="271EF058"/>
    <w:rsid w:val="27212688"/>
    <w:rsid w:val="2723D25B"/>
    <w:rsid w:val="2724A9BF"/>
    <w:rsid w:val="2725F385"/>
    <w:rsid w:val="2726EC64"/>
    <w:rsid w:val="2727E39A"/>
    <w:rsid w:val="27283E3C"/>
    <w:rsid w:val="272C2613"/>
    <w:rsid w:val="27322856"/>
    <w:rsid w:val="2738E203"/>
    <w:rsid w:val="27390941"/>
    <w:rsid w:val="2739BEED"/>
    <w:rsid w:val="273A5EB2"/>
    <w:rsid w:val="273DE94B"/>
    <w:rsid w:val="273F9140"/>
    <w:rsid w:val="2743E008"/>
    <w:rsid w:val="2747052D"/>
    <w:rsid w:val="27473423"/>
    <w:rsid w:val="274A6582"/>
    <w:rsid w:val="274C8DFC"/>
    <w:rsid w:val="274EDF03"/>
    <w:rsid w:val="27532013"/>
    <w:rsid w:val="27577601"/>
    <w:rsid w:val="275843B1"/>
    <w:rsid w:val="275C3DA5"/>
    <w:rsid w:val="275DED51"/>
    <w:rsid w:val="275E1899"/>
    <w:rsid w:val="275ECC19"/>
    <w:rsid w:val="27661498"/>
    <w:rsid w:val="276714CA"/>
    <w:rsid w:val="276C48F5"/>
    <w:rsid w:val="276D422D"/>
    <w:rsid w:val="276D5C23"/>
    <w:rsid w:val="2776E444"/>
    <w:rsid w:val="2777F7D3"/>
    <w:rsid w:val="277866A5"/>
    <w:rsid w:val="27791C57"/>
    <w:rsid w:val="27824F1B"/>
    <w:rsid w:val="2784D049"/>
    <w:rsid w:val="27855543"/>
    <w:rsid w:val="2785B388"/>
    <w:rsid w:val="278641E4"/>
    <w:rsid w:val="27956429"/>
    <w:rsid w:val="279DD8EC"/>
    <w:rsid w:val="279F26A6"/>
    <w:rsid w:val="279F98D9"/>
    <w:rsid w:val="27A9B01A"/>
    <w:rsid w:val="27AA7520"/>
    <w:rsid w:val="27AFD738"/>
    <w:rsid w:val="27B11CC6"/>
    <w:rsid w:val="27B3DC77"/>
    <w:rsid w:val="27BC2BCF"/>
    <w:rsid w:val="27BDEDEA"/>
    <w:rsid w:val="27BEF3E6"/>
    <w:rsid w:val="27C46450"/>
    <w:rsid w:val="27C64D5F"/>
    <w:rsid w:val="27CA5924"/>
    <w:rsid w:val="27CD2929"/>
    <w:rsid w:val="27D16F9A"/>
    <w:rsid w:val="27D218D9"/>
    <w:rsid w:val="27D4F007"/>
    <w:rsid w:val="27D9D091"/>
    <w:rsid w:val="27D9F5D0"/>
    <w:rsid w:val="27DD88F3"/>
    <w:rsid w:val="27DECA34"/>
    <w:rsid w:val="27DFA24B"/>
    <w:rsid w:val="27E92716"/>
    <w:rsid w:val="27F57E8E"/>
    <w:rsid w:val="27FCBAB2"/>
    <w:rsid w:val="27FDE4A3"/>
    <w:rsid w:val="2801DF76"/>
    <w:rsid w:val="2804A9CB"/>
    <w:rsid w:val="280C2FE9"/>
    <w:rsid w:val="280E1947"/>
    <w:rsid w:val="28144954"/>
    <w:rsid w:val="281E3EEA"/>
    <w:rsid w:val="281FF2BA"/>
    <w:rsid w:val="2820F272"/>
    <w:rsid w:val="28220380"/>
    <w:rsid w:val="28310FFA"/>
    <w:rsid w:val="28316707"/>
    <w:rsid w:val="2837D6DF"/>
    <w:rsid w:val="284024F5"/>
    <w:rsid w:val="2840AD43"/>
    <w:rsid w:val="2842B38B"/>
    <w:rsid w:val="2849EE24"/>
    <w:rsid w:val="284A4CD5"/>
    <w:rsid w:val="284BE10D"/>
    <w:rsid w:val="284C1204"/>
    <w:rsid w:val="2851F8E9"/>
    <w:rsid w:val="285796AE"/>
    <w:rsid w:val="285C41AF"/>
    <w:rsid w:val="285C825E"/>
    <w:rsid w:val="285E38EA"/>
    <w:rsid w:val="286B4636"/>
    <w:rsid w:val="286C8E3F"/>
    <w:rsid w:val="28718FF3"/>
    <w:rsid w:val="287323E9"/>
    <w:rsid w:val="2874EC66"/>
    <w:rsid w:val="28763F84"/>
    <w:rsid w:val="287B3A32"/>
    <w:rsid w:val="287D41EF"/>
    <w:rsid w:val="2888C465"/>
    <w:rsid w:val="288D1589"/>
    <w:rsid w:val="288D5F3B"/>
    <w:rsid w:val="288DC820"/>
    <w:rsid w:val="288F8AA3"/>
    <w:rsid w:val="289293A3"/>
    <w:rsid w:val="2892FBC0"/>
    <w:rsid w:val="2895F2A5"/>
    <w:rsid w:val="2896F058"/>
    <w:rsid w:val="289900E8"/>
    <w:rsid w:val="28AB19E9"/>
    <w:rsid w:val="28B2420C"/>
    <w:rsid w:val="28B7EBEF"/>
    <w:rsid w:val="28B935B8"/>
    <w:rsid w:val="28B99427"/>
    <w:rsid w:val="28C2826E"/>
    <w:rsid w:val="28C3153E"/>
    <w:rsid w:val="28C6950E"/>
    <w:rsid w:val="28CE311E"/>
    <w:rsid w:val="28D39F7B"/>
    <w:rsid w:val="28D83CA7"/>
    <w:rsid w:val="28D90B76"/>
    <w:rsid w:val="28D97926"/>
    <w:rsid w:val="28DF7CA4"/>
    <w:rsid w:val="28E53AB2"/>
    <w:rsid w:val="28F2192F"/>
    <w:rsid w:val="28F42EEA"/>
    <w:rsid w:val="28F5665B"/>
    <w:rsid w:val="28F7F2B2"/>
    <w:rsid w:val="28F90893"/>
    <w:rsid w:val="28FA9023"/>
    <w:rsid w:val="28FAD09A"/>
    <w:rsid w:val="28FBB39B"/>
    <w:rsid w:val="28FDCCD5"/>
    <w:rsid w:val="28FF15DC"/>
    <w:rsid w:val="2904AB19"/>
    <w:rsid w:val="2907C596"/>
    <w:rsid w:val="2909CA25"/>
    <w:rsid w:val="2909D67D"/>
    <w:rsid w:val="290A4F03"/>
    <w:rsid w:val="2910ADB9"/>
    <w:rsid w:val="2911FAD1"/>
    <w:rsid w:val="2913C16B"/>
    <w:rsid w:val="29154C1B"/>
    <w:rsid w:val="291CD6AE"/>
    <w:rsid w:val="291F2E28"/>
    <w:rsid w:val="291FB627"/>
    <w:rsid w:val="2922304E"/>
    <w:rsid w:val="29284184"/>
    <w:rsid w:val="292E6B83"/>
    <w:rsid w:val="292F844D"/>
    <w:rsid w:val="292FC0A8"/>
    <w:rsid w:val="2934720B"/>
    <w:rsid w:val="2937C9AF"/>
    <w:rsid w:val="29424CAD"/>
    <w:rsid w:val="294A8AB1"/>
    <w:rsid w:val="294E710B"/>
    <w:rsid w:val="29511720"/>
    <w:rsid w:val="2956BB29"/>
    <w:rsid w:val="2959B990"/>
    <w:rsid w:val="2959BB76"/>
    <w:rsid w:val="295B5391"/>
    <w:rsid w:val="295D0CD3"/>
    <w:rsid w:val="296247C2"/>
    <w:rsid w:val="296293DB"/>
    <w:rsid w:val="2965AF90"/>
    <w:rsid w:val="29660883"/>
    <w:rsid w:val="2969556F"/>
    <w:rsid w:val="296E091A"/>
    <w:rsid w:val="2974E5D5"/>
    <w:rsid w:val="297B7DB5"/>
    <w:rsid w:val="29810DCA"/>
    <w:rsid w:val="2981E7FD"/>
    <w:rsid w:val="2982608B"/>
    <w:rsid w:val="29847925"/>
    <w:rsid w:val="298492EB"/>
    <w:rsid w:val="29871D6B"/>
    <w:rsid w:val="298C44BD"/>
    <w:rsid w:val="298D06DF"/>
    <w:rsid w:val="2998606B"/>
    <w:rsid w:val="29988766"/>
    <w:rsid w:val="299B71B8"/>
    <w:rsid w:val="299B871E"/>
    <w:rsid w:val="299DCB98"/>
    <w:rsid w:val="299EBA4D"/>
    <w:rsid w:val="29A6A8E7"/>
    <w:rsid w:val="29AFD790"/>
    <w:rsid w:val="29B25E59"/>
    <w:rsid w:val="29B3CCB4"/>
    <w:rsid w:val="29B67D67"/>
    <w:rsid w:val="29B9529F"/>
    <w:rsid w:val="29BC4474"/>
    <w:rsid w:val="29BD946A"/>
    <w:rsid w:val="29C0EF21"/>
    <w:rsid w:val="29C83869"/>
    <w:rsid w:val="29CC0BC4"/>
    <w:rsid w:val="29CDA136"/>
    <w:rsid w:val="29CF85A4"/>
    <w:rsid w:val="29D531B4"/>
    <w:rsid w:val="29D5EC3B"/>
    <w:rsid w:val="29DDB4AB"/>
    <w:rsid w:val="29E1869F"/>
    <w:rsid w:val="29E7CE6F"/>
    <w:rsid w:val="29F2826A"/>
    <w:rsid w:val="29F4DB48"/>
    <w:rsid w:val="29FA1E4F"/>
    <w:rsid w:val="29FA544D"/>
    <w:rsid w:val="29FC7F4C"/>
    <w:rsid w:val="29FDEB49"/>
    <w:rsid w:val="29FF2C15"/>
    <w:rsid w:val="2A0170BB"/>
    <w:rsid w:val="2A023DD8"/>
    <w:rsid w:val="2A08D24C"/>
    <w:rsid w:val="2A0DEC6F"/>
    <w:rsid w:val="2A136E89"/>
    <w:rsid w:val="2A165700"/>
    <w:rsid w:val="2A174D23"/>
    <w:rsid w:val="2A1CF3E3"/>
    <w:rsid w:val="2A2213ED"/>
    <w:rsid w:val="2A23BB52"/>
    <w:rsid w:val="2A2804EA"/>
    <w:rsid w:val="2A3536BC"/>
    <w:rsid w:val="2A3935F8"/>
    <w:rsid w:val="2A3950B2"/>
    <w:rsid w:val="2A395B8D"/>
    <w:rsid w:val="2A3FC65E"/>
    <w:rsid w:val="2A451DC3"/>
    <w:rsid w:val="2A497867"/>
    <w:rsid w:val="2A4EB894"/>
    <w:rsid w:val="2A518FB7"/>
    <w:rsid w:val="2A669095"/>
    <w:rsid w:val="2A6E91F8"/>
    <w:rsid w:val="2A74CCB1"/>
    <w:rsid w:val="2A7571F0"/>
    <w:rsid w:val="2A766048"/>
    <w:rsid w:val="2A77E270"/>
    <w:rsid w:val="2A77F3D4"/>
    <w:rsid w:val="2A7D4D62"/>
    <w:rsid w:val="2A7DA287"/>
    <w:rsid w:val="2A88E5C2"/>
    <w:rsid w:val="2A8C4A59"/>
    <w:rsid w:val="2A8E23F3"/>
    <w:rsid w:val="2A94A920"/>
    <w:rsid w:val="2A95F506"/>
    <w:rsid w:val="2A97E32C"/>
    <w:rsid w:val="2A9D43AD"/>
    <w:rsid w:val="2AA822BA"/>
    <w:rsid w:val="2AA96DCC"/>
    <w:rsid w:val="2AAA7F83"/>
    <w:rsid w:val="2AAFF8A1"/>
    <w:rsid w:val="2AB2D923"/>
    <w:rsid w:val="2AB35DAC"/>
    <w:rsid w:val="2ABF40E4"/>
    <w:rsid w:val="2ABFC197"/>
    <w:rsid w:val="2AC25FA0"/>
    <w:rsid w:val="2AC6276B"/>
    <w:rsid w:val="2ACD6D10"/>
    <w:rsid w:val="2AD44E43"/>
    <w:rsid w:val="2AD6AED2"/>
    <w:rsid w:val="2AD7402D"/>
    <w:rsid w:val="2ADBB794"/>
    <w:rsid w:val="2AE0C6FC"/>
    <w:rsid w:val="2AE3D9AD"/>
    <w:rsid w:val="2AE4CE06"/>
    <w:rsid w:val="2AEB871E"/>
    <w:rsid w:val="2AF37702"/>
    <w:rsid w:val="2AF4A8E5"/>
    <w:rsid w:val="2AFAE878"/>
    <w:rsid w:val="2B09CA01"/>
    <w:rsid w:val="2B0CE21E"/>
    <w:rsid w:val="2B10091D"/>
    <w:rsid w:val="2B11354B"/>
    <w:rsid w:val="2B12F311"/>
    <w:rsid w:val="2B24D8B0"/>
    <w:rsid w:val="2B25DF77"/>
    <w:rsid w:val="2B27DFD2"/>
    <w:rsid w:val="2B3AD48E"/>
    <w:rsid w:val="2B3C424F"/>
    <w:rsid w:val="2B45228A"/>
    <w:rsid w:val="2B46070B"/>
    <w:rsid w:val="2B48A780"/>
    <w:rsid w:val="2B4B9B73"/>
    <w:rsid w:val="2B4DA4F3"/>
    <w:rsid w:val="2B51DFB2"/>
    <w:rsid w:val="2B5614F7"/>
    <w:rsid w:val="2B566038"/>
    <w:rsid w:val="2B5A651D"/>
    <w:rsid w:val="2B5BF8B4"/>
    <w:rsid w:val="2B5D35A9"/>
    <w:rsid w:val="2B5F88A5"/>
    <w:rsid w:val="2B622EF2"/>
    <w:rsid w:val="2B653EED"/>
    <w:rsid w:val="2B659BA6"/>
    <w:rsid w:val="2B6754A8"/>
    <w:rsid w:val="2B6D7BD0"/>
    <w:rsid w:val="2B768FDC"/>
    <w:rsid w:val="2B863A44"/>
    <w:rsid w:val="2B938B89"/>
    <w:rsid w:val="2B9FB561"/>
    <w:rsid w:val="2BA00602"/>
    <w:rsid w:val="2BA7694F"/>
    <w:rsid w:val="2BAA9D6D"/>
    <w:rsid w:val="2BB36396"/>
    <w:rsid w:val="2BB37AAF"/>
    <w:rsid w:val="2BB9B7CD"/>
    <w:rsid w:val="2BBB410F"/>
    <w:rsid w:val="2BC0F592"/>
    <w:rsid w:val="2BC4CC81"/>
    <w:rsid w:val="2BC56FF0"/>
    <w:rsid w:val="2BCA9A7A"/>
    <w:rsid w:val="2BCC8CCF"/>
    <w:rsid w:val="2BE90D3A"/>
    <w:rsid w:val="2BF24E81"/>
    <w:rsid w:val="2BF4AE9A"/>
    <w:rsid w:val="2BF57D16"/>
    <w:rsid w:val="2BFB779E"/>
    <w:rsid w:val="2C0BC299"/>
    <w:rsid w:val="2C0BC76B"/>
    <w:rsid w:val="2C0E006D"/>
    <w:rsid w:val="2C1304B4"/>
    <w:rsid w:val="2C135AB3"/>
    <w:rsid w:val="2C16E050"/>
    <w:rsid w:val="2C17B0D1"/>
    <w:rsid w:val="2C1E4CB3"/>
    <w:rsid w:val="2C209AF0"/>
    <w:rsid w:val="2C2DBE21"/>
    <w:rsid w:val="2C2F0ED3"/>
    <w:rsid w:val="2C2F488F"/>
    <w:rsid w:val="2C38615C"/>
    <w:rsid w:val="2C389971"/>
    <w:rsid w:val="2C42D7EB"/>
    <w:rsid w:val="2C42FFEE"/>
    <w:rsid w:val="2C4B8379"/>
    <w:rsid w:val="2C594EEF"/>
    <w:rsid w:val="2C59FFEE"/>
    <w:rsid w:val="2C5B0AE7"/>
    <w:rsid w:val="2C5D69DF"/>
    <w:rsid w:val="2C631EDC"/>
    <w:rsid w:val="2C658FFD"/>
    <w:rsid w:val="2C6AE1B1"/>
    <w:rsid w:val="2C6DF39E"/>
    <w:rsid w:val="2C7405C2"/>
    <w:rsid w:val="2C786F38"/>
    <w:rsid w:val="2C81B184"/>
    <w:rsid w:val="2C84251A"/>
    <w:rsid w:val="2C84FD30"/>
    <w:rsid w:val="2C896E1E"/>
    <w:rsid w:val="2C89DB2E"/>
    <w:rsid w:val="2C8ABDB2"/>
    <w:rsid w:val="2C980579"/>
    <w:rsid w:val="2C9CC678"/>
    <w:rsid w:val="2C9D8C40"/>
    <w:rsid w:val="2C9DC829"/>
    <w:rsid w:val="2CA10B97"/>
    <w:rsid w:val="2CA2C0FD"/>
    <w:rsid w:val="2CB60B39"/>
    <w:rsid w:val="2CBA7BA7"/>
    <w:rsid w:val="2CBCB778"/>
    <w:rsid w:val="2CC3491E"/>
    <w:rsid w:val="2CC976CF"/>
    <w:rsid w:val="2CD01AB5"/>
    <w:rsid w:val="2CD200EE"/>
    <w:rsid w:val="2CE07525"/>
    <w:rsid w:val="2CE47A30"/>
    <w:rsid w:val="2CEE207A"/>
    <w:rsid w:val="2CF231F1"/>
    <w:rsid w:val="2CF688FC"/>
    <w:rsid w:val="2CFC01D9"/>
    <w:rsid w:val="2CFCC4E0"/>
    <w:rsid w:val="2CFF0C7B"/>
    <w:rsid w:val="2D08FFAB"/>
    <w:rsid w:val="2D092F07"/>
    <w:rsid w:val="2D0BA0AC"/>
    <w:rsid w:val="2D182DFA"/>
    <w:rsid w:val="2D1F41EA"/>
    <w:rsid w:val="2D247219"/>
    <w:rsid w:val="2D26491E"/>
    <w:rsid w:val="2D2E0582"/>
    <w:rsid w:val="2D2F1989"/>
    <w:rsid w:val="2D34B48C"/>
    <w:rsid w:val="2D382BCD"/>
    <w:rsid w:val="2D3E5797"/>
    <w:rsid w:val="2D3EC7E5"/>
    <w:rsid w:val="2D413C94"/>
    <w:rsid w:val="2D4197DE"/>
    <w:rsid w:val="2D435CB0"/>
    <w:rsid w:val="2D4607C8"/>
    <w:rsid w:val="2D47B3A1"/>
    <w:rsid w:val="2D4D54AF"/>
    <w:rsid w:val="2D4E2719"/>
    <w:rsid w:val="2D50EF33"/>
    <w:rsid w:val="2D5FFFCD"/>
    <w:rsid w:val="2D60BA3B"/>
    <w:rsid w:val="2D6A0D4F"/>
    <w:rsid w:val="2D704E90"/>
    <w:rsid w:val="2D73BF59"/>
    <w:rsid w:val="2D7E7448"/>
    <w:rsid w:val="2D803E14"/>
    <w:rsid w:val="2D902C11"/>
    <w:rsid w:val="2D922EE1"/>
    <w:rsid w:val="2D928166"/>
    <w:rsid w:val="2D928ABF"/>
    <w:rsid w:val="2D97F217"/>
    <w:rsid w:val="2D9918F8"/>
    <w:rsid w:val="2DA226F5"/>
    <w:rsid w:val="2DA4BB61"/>
    <w:rsid w:val="2DA817F4"/>
    <w:rsid w:val="2DADEC42"/>
    <w:rsid w:val="2DB0FFBB"/>
    <w:rsid w:val="2DB612E9"/>
    <w:rsid w:val="2DB85935"/>
    <w:rsid w:val="2DBD40BB"/>
    <w:rsid w:val="2DBE5106"/>
    <w:rsid w:val="2DC220C4"/>
    <w:rsid w:val="2DC4D3DF"/>
    <w:rsid w:val="2DCB3F85"/>
    <w:rsid w:val="2DD0905D"/>
    <w:rsid w:val="2DD33F86"/>
    <w:rsid w:val="2DD919AE"/>
    <w:rsid w:val="2DDCD06C"/>
    <w:rsid w:val="2DDE7CE4"/>
    <w:rsid w:val="2DDFED74"/>
    <w:rsid w:val="2DE267FD"/>
    <w:rsid w:val="2DE476D0"/>
    <w:rsid w:val="2DE61479"/>
    <w:rsid w:val="2DEF0615"/>
    <w:rsid w:val="2DF678A7"/>
    <w:rsid w:val="2DFBC9F7"/>
    <w:rsid w:val="2DFECE5E"/>
    <w:rsid w:val="2DFFBA8C"/>
    <w:rsid w:val="2E00C016"/>
    <w:rsid w:val="2E03996A"/>
    <w:rsid w:val="2E0482A3"/>
    <w:rsid w:val="2E0AE8A8"/>
    <w:rsid w:val="2E0E4800"/>
    <w:rsid w:val="2E1E06E2"/>
    <w:rsid w:val="2E20F6D1"/>
    <w:rsid w:val="2E227296"/>
    <w:rsid w:val="2E22C15A"/>
    <w:rsid w:val="2E2A6716"/>
    <w:rsid w:val="2E32C7DC"/>
    <w:rsid w:val="2E36FF24"/>
    <w:rsid w:val="2E3A4E01"/>
    <w:rsid w:val="2E3A9B06"/>
    <w:rsid w:val="2E3DBA24"/>
    <w:rsid w:val="2E43E127"/>
    <w:rsid w:val="2E43FD23"/>
    <w:rsid w:val="2E441672"/>
    <w:rsid w:val="2E4C310A"/>
    <w:rsid w:val="2E4CA131"/>
    <w:rsid w:val="2E577148"/>
    <w:rsid w:val="2E577C23"/>
    <w:rsid w:val="2E60EBE6"/>
    <w:rsid w:val="2E733407"/>
    <w:rsid w:val="2E76B590"/>
    <w:rsid w:val="2E771CCC"/>
    <w:rsid w:val="2E77A61E"/>
    <w:rsid w:val="2E77BFAD"/>
    <w:rsid w:val="2E7AF73E"/>
    <w:rsid w:val="2E7F6AB6"/>
    <w:rsid w:val="2E897272"/>
    <w:rsid w:val="2E8BE7B0"/>
    <w:rsid w:val="2E8C5BB2"/>
    <w:rsid w:val="2E903394"/>
    <w:rsid w:val="2E91AC5B"/>
    <w:rsid w:val="2E9CB86A"/>
    <w:rsid w:val="2EA5FA55"/>
    <w:rsid w:val="2EA7D15A"/>
    <w:rsid w:val="2EAD173B"/>
    <w:rsid w:val="2EB2CCFE"/>
    <w:rsid w:val="2EB3CA6F"/>
    <w:rsid w:val="2EB564D5"/>
    <w:rsid w:val="2EB5D09A"/>
    <w:rsid w:val="2EB686AD"/>
    <w:rsid w:val="2EB688F5"/>
    <w:rsid w:val="2EB8B065"/>
    <w:rsid w:val="2EB9542E"/>
    <w:rsid w:val="2EBB9F1A"/>
    <w:rsid w:val="2EBE990D"/>
    <w:rsid w:val="2ED138CC"/>
    <w:rsid w:val="2ED64503"/>
    <w:rsid w:val="2EDD9BDC"/>
    <w:rsid w:val="2EDEA6AC"/>
    <w:rsid w:val="2EE63A25"/>
    <w:rsid w:val="2EEB7693"/>
    <w:rsid w:val="2EECD284"/>
    <w:rsid w:val="2EF94EAB"/>
    <w:rsid w:val="2F03D537"/>
    <w:rsid w:val="2F070E6A"/>
    <w:rsid w:val="2F08BA3B"/>
    <w:rsid w:val="2F098A23"/>
    <w:rsid w:val="2F103C29"/>
    <w:rsid w:val="2F1069EC"/>
    <w:rsid w:val="2F120524"/>
    <w:rsid w:val="2F1315CD"/>
    <w:rsid w:val="2F1A52BE"/>
    <w:rsid w:val="2F1C917B"/>
    <w:rsid w:val="2F1CE94A"/>
    <w:rsid w:val="2F1E6522"/>
    <w:rsid w:val="2F1FB072"/>
    <w:rsid w:val="2F24F5B6"/>
    <w:rsid w:val="2F2FA4F8"/>
    <w:rsid w:val="2F3D7FBC"/>
    <w:rsid w:val="2F442B46"/>
    <w:rsid w:val="2F464F3B"/>
    <w:rsid w:val="2F4AB4F0"/>
    <w:rsid w:val="2F4CA310"/>
    <w:rsid w:val="2F4CFBCC"/>
    <w:rsid w:val="2F50B8DF"/>
    <w:rsid w:val="2F521442"/>
    <w:rsid w:val="2F54CF01"/>
    <w:rsid w:val="2F557454"/>
    <w:rsid w:val="2F5C5A92"/>
    <w:rsid w:val="2F60DFE1"/>
    <w:rsid w:val="2F64B1C8"/>
    <w:rsid w:val="2F64EE5A"/>
    <w:rsid w:val="2F68C68F"/>
    <w:rsid w:val="2F78EB97"/>
    <w:rsid w:val="2F7B28D4"/>
    <w:rsid w:val="2F7CCA75"/>
    <w:rsid w:val="2F892D1E"/>
    <w:rsid w:val="2F89FDD7"/>
    <w:rsid w:val="2F8AD01E"/>
    <w:rsid w:val="2F8B7FB6"/>
    <w:rsid w:val="2F8E28FF"/>
    <w:rsid w:val="2F9181E8"/>
    <w:rsid w:val="2F94A301"/>
    <w:rsid w:val="2F98926E"/>
    <w:rsid w:val="2FA3AAB9"/>
    <w:rsid w:val="2FA3F8C0"/>
    <w:rsid w:val="2FA4585C"/>
    <w:rsid w:val="2FA92EAF"/>
    <w:rsid w:val="2FB40DFB"/>
    <w:rsid w:val="2FB4895B"/>
    <w:rsid w:val="2FB53EEE"/>
    <w:rsid w:val="2FB6F3F9"/>
    <w:rsid w:val="2FB930A4"/>
    <w:rsid w:val="2FC8F527"/>
    <w:rsid w:val="2FE30DD9"/>
    <w:rsid w:val="2FEA251F"/>
    <w:rsid w:val="2FF22CEE"/>
    <w:rsid w:val="2FF56D93"/>
    <w:rsid w:val="2FF59311"/>
    <w:rsid w:val="2FF6F869"/>
    <w:rsid w:val="2FF8F1CC"/>
    <w:rsid w:val="2FFA63BE"/>
    <w:rsid w:val="30012F07"/>
    <w:rsid w:val="3006A032"/>
    <w:rsid w:val="3008921E"/>
    <w:rsid w:val="300B1BBD"/>
    <w:rsid w:val="300CC4C5"/>
    <w:rsid w:val="3011494C"/>
    <w:rsid w:val="3011BA06"/>
    <w:rsid w:val="301ACF67"/>
    <w:rsid w:val="302045A5"/>
    <w:rsid w:val="302557D6"/>
    <w:rsid w:val="302C4616"/>
    <w:rsid w:val="303AFB62"/>
    <w:rsid w:val="303E9B64"/>
    <w:rsid w:val="3046CB78"/>
    <w:rsid w:val="3050ACEC"/>
    <w:rsid w:val="305727DC"/>
    <w:rsid w:val="3057934D"/>
    <w:rsid w:val="30580ABA"/>
    <w:rsid w:val="305C559D"/>
    <w:rsid w:val="305D20E6"/>
    <w:rsid w:val="305D5AA0"/>
    <w:rsid w:val="3065403F"/>
    <w:rsid w:val="30666304"/>
    <w:rsid w:val="3069821C"/>
    <w:rsid w:val="3077E9A8"/>
    <w:rsid w:val="307B83C3"/>
    <w:rsid w:val="308091CA"/>
    <w:rsid w:val="30815DAF"/>
    <w:rsid w:val="30855160"/>
    <w:rsid w:val="3086841E"/>
    <w:rsid w:val="30899323"/>
    <w:rsid w:val="308A3942"/>
    <w:rsid w:val="308BC213"/>
    <w:rsid w:val="309E3A87"/>
    <w:rsid w:val="309F1C23"/>
    <w:rsid w:val="30A15FA0"/>
    <w:rsid w:val="30A68CC8"/>
    <w:rsid w:val="30A926F2"/>
    <w:rsid w:val="30AA46B2"/>
    <w:rsid w:val="30AC1AA5"/>
    <w:rsid w:val="30AF147F"/>
    <w:rsid w:val="30B12399"/>
    <w:rsid w:val="30B1DCB4"/>
    <w:rsid w:val="30BDF5D7"/>
    <w:rsid w:val="30BFACD2"/>
    <w:rsid w:val="30C77946"/>
    <w:rsid w:val="30D32312"/>
    <w:rsid w:val="30DD66CF"/>
    <w:rsid w:val="30E4AA6F"/>
    <w:rsid w:val="30E840D5"/>
    <w:rsid w:val="30ED4A1F"/>
    <w:rsid w:val="30EE0EB1"/>
    <w:rsid w:val="30F5843A"/>
    <w:rsid w:val="30FE8886"/>
    <w:rsid w:val="3100D3BF"/>
    <w:rsid w:val="310417C0"/>
    <w:rsid w:val="3104A085"/>
    <w:rsid w:val="310854BC"/>
    <w:rsid w:val="310A9BE3"/>
    <w:rsid w:val="310E92B2"/>
    <w:rsid w:val="31167FC1"/>
    <w:rsid w:val="3119155D"/>
    <w:rsid w:val="3119F360"/>
    <w:rsid w:val="311EA3EE"/>
    <w:rsid w:val="312997B6"/>
    <w:rsid w:val="312ED6A2"/>
    <w:rsid w:val="31349A2D"/>
    <w:rsid w:val="3143FDE2"/>
    <w:rsid w:val="31452992"/>
    <w:rsid w:val="3149A049"/>
    <w:rsid w:val="314A3AD1"/>
    <w:rsid w:val="31524842"/>
    <w:rsid w:val="3153ED02"/>
    <w:rsid w:val="3154F02D"/>
    <w:rsid w:val="31565C05"/>
    <w:rsid w:val="315A0B32"/>
    <w:rsid w:val="31632A9D"/>
    <w:rsid w:val="3164DDB0"/>
    <w:rsid w:val="31651D98"/>
    <w:rsid w:val="316A59C5"/>
    <w:rsid w:val="316D7BBC"/>
    <w:rsid w:val="317F59DD"/>
    <w:rsid w:val="31897DAA"/>
    <w:rsid w:val="3189A7A0"/>
    <w:rsid w:val="318A441C"/>
    <w:rsid w:val="318ACF58"/>
    <w:rsid w:val="318B9001"/>
    <w:rsid w:val="318C1FEE"/>
    <w:rsid w:val="318E9309"/>
    <w:rsid w:val="31932B9E"/>
    <w:rsid w:val="31964520"/>
    <w:rsid w:val="319AE3DF"/>
    <w:rsid w:val="319FE4CD"/>
    <w:rsid w:val="31A73365"/>
    <w:rsid w:val="31ACE0A2"/>
    <w:rsid w:val="31B2C3E1"/>
    <w:rsid w:val="31B36D2C"/>
    <w:rsid w:val="31BBD064"/>
    <w:rsid w:val="31BC2FDF"/>
    <w:rsid w:val="31BD7693"/>
    <w:rsid w:val="31BF1D55"/>
    <w:rsid w:val="31C6D407"/>
    <w:rsid w:val="31C75646"/>
    <w:rsid w:val="31C77BBF"/>
    <w:rsid w:val="31D01B9C"/>
    <w:rsid w:val="31D1A964"/>
    <w:rsid w:val="31D61F9B"/>
    <w:rsid w:val="31DA526C"/>
    <w:rsid w:val="31DA967D"/>
    <w:rsid w:val="31DCBAD0"/>
    <w:rsid w:val="31E09218"/>
    <w:rsid w:val="31E47569"/>
    <w:rsid w:val="31E73583"/>
    <w:rsid w:val="31EA64E7"/>
    <w:rsid w:val="31EBC5AD"/>
    <w:rsid w:val="31F3438F"/>
    <w:rsid w:val="31F4BE21"/>
    <w:rsid w:val="31F5AEFD"/>
    <w:rsid w:val="31F9D4F5"/>
    <w:rsid w:val="31FA8624"/>
    <w:rsid w:val="3201EBDA"/>
    <w:rsid w:val="320ED4D3"/>
    <w:rsid w:val="320FD6D8"/>
    <w:rsid w:val="3212B470"/>
    <w:rsid w:val="3212DAB5"/>
    <w:rsid w:val="321447AF"/>
    <w:rsid w:val="3227708F"/>
    <w:rsid w:val="322EE7EF"/>
    <w:rsid w:val="322F8DAC"/>
    <w:rsid w:val="323120FD"/>
    <w:rsid w:val="3233EAB5"/>
    <w:rsid w:val="32389348"/>
    <w:rsid w:val="32426A5E"/>
    <w:rsid w:val="32486A51"/>
    <w:rsid w:val="324E4E6F"/>
    <w:rsid w:val="324E7DB0"/>
    <w:rsid w:val="32582A78"/>
    <w:rsid w:val="325C6895"/>
    <w:rsid w:val="32673A40"/>
    <w:rsid w:val="32741DD7"/>
    <w:rsid w:val="3275E798"/>
    <w:rsid w:val="32787861"/>
    <w:rsid w:val="32811C54"/>
    <w:rsid w:val="32845140"/>
    <w:rsid w:val="3285BECE"/>
    <w:rsid w:val="328C6B4A"/>
    <w:rsid w:val="3293E27E"/>
    <w:rsid w:val="329435F1"/>
    <w:rsid w:val="3298DF56"/>
    <w:rsid w:val="329BF42E"/>
    <w:rsid w:val="329C0D5D"/>
    <w:rsid w:val="329C3BA5"/>
    <w:rsid w:val="329EF6E1"/>
    <w:rsid w:val="32A0AD3C"/>
    <w:rsid w:val="32A5C9C9"/>
    <w:rsid w:val="32A64D02"/>
    <w:rsid w:val="32A6EB7D"/>
    <w:rsid w:val="32A89AC2"/>
    <w:rsid w:val="32BBDB6C"/>
    <w:rsid w:val="32BECE06"/>
    <w:rsid w:val="32BFC992"/>
    <w:rsid w:val="32C118BA"/>
    <w:rsid w:val="32D2CEFD"/>
    <w:rsid w:val="32DCA4EC"/>
    <w:rsid w:val="32EE9664"/>
    <w:rsid w:val="32F0810F"/>
    <w:rsid w:val="32F1281E"/>
    <w:rsid w:val="32F40085"/>
    <w:rsid w:val="32F98D06"/>
    <w:rsid w:val="32FAF961"/>
    <w:rsid w:val="330211BF"/>
    <w:rsid w:val="33029CB1"/>
    <w:rsid w:val="3304C7C0"/>
    <w:rsid w:val="330514AC"/>
    <w:rsid w:val="33058732"/>
    <w:rsid w:val="33151450"/>
    <w:rsid w:val="33212375"/>
    <w:rsid w:val="3321DC92"/>
    <w:rsid w:val="3325B8EF"/>
    <w:rsid w:val="3326CFEE"/>
    <w:rsid w:val="332AC125"/>
    <w:rsid w:val="332BB9BF"/>
    <w:rsid w:val="332C13E7"/>
    <w:rsid w:val="332EBE4C"/>
    <w:rsid w:val="3333E57C"/>
    <w:rsid w:val="33387EEF"/>
    <w:rsid w:val="333BA73F"/>
    <w:rsid w:val="333CAAD2"/>
    <w:rsid w:val="333E01DF"/>
    <w:rsid w:val="333F112F"/>
    <w:rsid w:val="3340AFBA"/>
    <w:rsid w:val="33431025"/>
    <w:rsid w:val="33439378"/>
    <w:rsid w:val="334ABE54"/>
    <w:rsid w:val="334C17FD"/>
    <w:rsid w:val="334FE8C4"/>
    <w:rsid w:val="335F4C40"/>
    <w:rsid w:val="3365E23D"/>
    <w:rsid w:val="336F811F"/>
    <w:rsid w:val="336FF0B7"/>
    <w:rsid w:val="3375A171"/>
    <w:rsid w:val="33772863"/>
    <w:rsid w:val="33786E55"/>
    <w:rsid w:val="337B9038"/>
    <w:rsid w:val="3381D6BE"/>
    <w:rsid w:val="33825B29"/>
    <w:rsid w:val="338C1F29"/>
    <w:rsid w:val="338F12C9"/>
    <w:rsid w:val="33914B03"/>
    <w:rsid w:val="33917C4A"/>
    <w:rsid w:val="3391A3D3"/>
    <w:rsid w:val="3391F1AD"/>
    <w:rsid w:val="339D646C"/>
    <w:rsid w:val="33A33F00"/>
    <w:rsid w:val="33A4CD8F"/>
    <w:rsid w:val="33A5C014"/>
    <w:rsid w:val="33A78285"/>
    <w:rsid w:val="33AA1352"/>
    <w:rsid w:val="33B4D08C"/>
    <w:rsid w:val="33B72D01"/>
    <w:rsid w:val="33C0D273"/>
    <w:rsid w:val="33C0D821"/>
    <w:rsid w:val="33C388CD"/>
    <w:rsid w:val="33CA8CC7"/>
    <w:rsid w:val="33D28D67"/>
    <w:rsid w:val="33D6F2A9"/>
    <w:rsid w:val="33D924AD"/>
    <w:rsid w:val="33DECBA1"/>
    <w:rsid w:val="33E632D3"/>
    <w:rsid w:val="33E7E97F"/>
    <w:rsid w:val="33EA39C5"/>
    <w:rsid w:val="33EF7CDE"/>
    <w:rsid w:val="33F27B52"/>
    <w:rsid w:val="340289EF"/>
    <w:rsid w:val="34040735"/>
    <w:rsid w:val="34050F81"/>
    <w:rsid w:val="340ACB21"/>
    <w:rsid w:val="340CEC8B"/>
    <w:rsid w:val="34146220"/>
    <w:rsid w:val="341A4F60"/>
    <w:rsid w:val="341F64C4"/>
    <w:rsid w:val="3421A0BD"/>
    <w:rsid w:val="342653AD"/>
    <w:rsid w:val="3427E113"/>
    <w:rsid w:val="3428DE31"/>
    <w:rsid w:val="342CF99D"/>
    <w:rsid w:val="34304560"/>
    <w:rsid w:val="3430E0DF"/>
    <w:rsid w:val="34319CC9"/>
    <w:rsid w:val="3432A90F"/>
    <w:rsid w:val="34362DFD"/>
    <w:rsid w:val="3436E954"/>
    <w:rsid w:val="344274E7"/>
    <w:rsid w:val="3446B4DA"/>
    <w:rsid w:val="34475071"/>
    <w:rsid w:val="344AA98C"/>
    <w:rsid w:val="34508306"/>
    <w:rsid w:val="34578B44"/>
    <w:rsid w:val="345DBC51"/>
    <w:rsid w:val="345FA6F3"/>
    <w:rsid w:val="3461554C"/>
    <w:rsid w:val="3462E597"/>
    <w:rsid w:val="346CD78C"/>
    <w:rsid w:val="346D88DF"/>
    <w:rsid w:val="3474184E"/>
    <w:rsid w:val="3476CF39"/>
    <w:rsid w:val="34779840"/>
    <w:rsid w:val="3478C8B5"/>
    <w:rsid w:val="3479118F"/>
    <w:rsid w:val="347D478A"/>
    <w:rsid w:val="347DB3A1"/>
    <w:rsid w:val="3484D138"/>
    <w:rsid w:val="3487BC7D"/>
    <w:rsid w:val="3488E942"/>
    <w:rsid w:val="348B1451"/>
    <w:rsid w:val="348CA59E"/>
    <w:rsid w:val="348F5269"/>
    <w:rsid w:val="348F7C35"/>
    <w:rsid w:val="349C4E89"/>
    <w:rsid w:val="349CE377"/>
    <w:rsid w:val="34A1BC79"/>
    <w:rsid w:val="34A9444D"/>
    <w:rsid w:val="34B118BB"/>
    <w:rsid w:val="34B4A307"/>
    <w:rsid w:val="34B6A1CD"/>
    <w:rsid w:val="34B7FDC3"/>
    <w:rsid w:val="34BA974E"/>
    <w:rsid w:val="34BD02A4"/>
    <w:rsid w:val="34BD0D55"/>
    <w:rsid w:val="34C21E77"/>
    <w:rsid w:val="34C70211"/>
    <w:rsid w:val="34C70225"/>
    <w:rsid w:val="34CACF58"/>
    <w:rsid w:val="34D16160"/>
    <w:rsid w:val="34D18D52"/>
    <w:rsid w:val="34D4593D"/>
    <w:rsid w:val="34D77F12"/>
    <w:rsid w:val="34DB5FD4"/>
    <w:rsid w:val="34DEBF2B"/>
    <w:rsid w:val="34EFA762"/>
    <w:rsid w:val="34F04DE7"/>
    <w:rsid w:val="34F14C79"/>
    <w:rsid w:val="34F39549"/>
    <w:rsid w:val="34F46443"/>
    <w:rsid w:val="34F51C7F"/>
    <w:rsid w:val="34F727BC"/>
    <w:rsid w:val="34FC54A4"/>
    <w:rsid w:val="350051B5"/>
    <w:rsid w:val="3503133A"/>
    <w:rsid w:val="3509ACEB"/>
    <w:rsid w:val="350A0169"/>
    <w:rsid w:val="350B35DF"/>
    <w:rsid w:val="350FC0DB"/>
    <w:rsid w:val="351DA2FC"/>
    <w:rsid w:val="3522A651"/>
    <w:rsid w:val="352315DB"/>
    <w:rsid w:val="35252C25"/>
    <w:rsid w:val="352D9F2A"/>
    <w:rsid w:val="352F7930"/>
    <w:rsid w:val="35356E1A"/>
    <w:rsid w:val="3535B040"/>
    <w:rsid w:val="353A8C8D"/>
    <w:rsid w:val="3540EF82"/>
    <w:rsid w:val="3542EE5B"/>
    <w:rsid w:val="35488B76"/>
    <w:rsid w:val="354C08FC"/>
    <w:rsid w:val="354FD9F2"/>
    <w:rsid w:val="3551F788"/>
    <w:rsid w:val="35626210"/>
    <w:rsid w:val="3563DAC9"/>
    <w:rsid w:val="356652C7"/>
    <w:rsid w:val="356DFA16"/>
    <w:rsid w:val="356E1C28"/>
    <w:rsid w:val="35767107"/>
    <w:rsid w:val="35778D6D"/>
    <w:rsid w:val="357AC226"/>
    <w:rsid w:val="357DDA2A"/>
    <w:rsid w:val="3580617D"/>
    <w:rsid w:val="3580B471"/>
    <w:rsid w:val="3586F3BC"/>
    <w:rsid w:val="358834CE"/>
    <w:rsid w:val="358A9E64"/>
    <w:rsid w:val="358ACA76"/>
    <w:rsid w:val="358D3B84"/>
    <w:rsid w:val="358DB236"/>
    <w:rsid w:val="359008DE"/>
    <w:rsid w:val="35991B88"/>
    <w:rsid w:val="3599BC22"/>
    <w:rsid w:val="35A21293"/>
    <w:rsid w:val="35A58DB8"/>
    <w:rsid w:val="35A64130"/>
    <w:rsid w:val="35A8CB6E"/>
    <w:rsid w:val="35B35647"/>
    <w:rsid w:val="35B9DD1F"/>
    <w:rsid w:val="35BC3D7B"/>
    <w:rsid w:val="35BFE63D"/>
    <w:rsid w:val="35C0190C"/>
    <w:rsid w:val="35C1A643"/>
    <w:rsid w:val="35C83D85"/>
    <w:rsid w:val="35C9ECA5"/>
    <w:rsid w:val="35CA6C7D"/>
    <w:rsid w:val="35CF2BD6"/>
    <w:rsid w:val="35D15893"/>
    <w:rsid w:val="35D8307B"/>
    <w:rsid w:val="35DCF94D"/>
    <w:rsid w:val="35EB0D74"/>
    <w:rsid w:val="35F3A855"/>
    <w:rsid w:val="35F6674E"/>
    <w:rsid w:val="35F69DED"/>
    <w:rsid w:val="35F9F036"/>
    <w:rsid w:val="35FE293E"/>
    <w:rsid w:val="3601F0AC"/>
    <w:rsid w:val="36084A9A"/>
    <w:rsid w:val="360A03C8"/>
    <w:rsid w:val="360ABB4D"/>
    <w:rsid w:val="360C4564"/>
    <w:rsid w:val="3612370C"/>
    <w:rsid w:val="3613B63D"/>
    <w:rsid w:val="3614CC96"/>
    <w:rsid w:val="36155E68"/>
    <w:rsid w:val="3616EB17"/>
    <w:rsid w:val="361B0755"/>
    <w:rsid w:val="361C5ECF"/>
    <w:rsid w:val="3620A984"/>
    <w:rsid w:val="36246076"/>
    <w:rsid w:val="362A1178"/>
    <w:rsid w:val="362DF74E"/>
    <w:rsid w:val="3630577D"/>
    <w:rsid w:val="36331C67"/>
    <w:rsid w:val="36331EAA"/>
    <w:rsid w:val="36386220"/>
    <w:rsid w:val="363A65AC"/>
    <w:rsid w:val="36452E67"/>
    <w:rsid w:val="364656C3"/>
    <w:rsid w:val="3648493E"/>
    <w:rsid w:val="3648CBD3"/>
    <w:rsid w:val="364A5597"/>
    <w:rsid w:val="364F7468"/>
    <w:rsid w:val="365415CE"/>
    <w:rsid w:val="3654BF35"/>
    <w:rsid w:val="36572BEC"/>
    <w:rsid w:val="36584503"/>
    <w:rsid w:val="3658DC47"/>
    <w:rsid w:val="365B30E5"/>
    <w:rsid w:val="365D460B"/>
    <w:rsid w:val="365D8751"/>
    <w:rsid w:val="36639FBC"/>
    <w:rsid w:val="36646DD6"/>
    <w:rsid w:val="366F8863"/>
    <w:rsid w:val="367371B4"/>
    <w:rsid w:val="367680EC"/>
    <w:rsid w:val="36783F48"/>
    <w:rsid w:val="367F3BA6"/>
    <w:rsid w:val="3687237A"/>
    <w:rsid w:val="368A4F4E"/>
    <w:rsid w:val="368CCA51"/>
    <w:rsid w:val="368EC197"/>
    <w:rsid w:val="3693B825"/>
    <w:rsid w:val="36947BA8"/>
    <w:rsid w:val="36965BEB"/>
    <w:rsid w:val="369B13B3"/>
    <w:rsid w:val="36A16CE4"/>
    <w:rsid w:val="36A6C925"/>
    <w:rsid w:val="36A7FAC4"/>
    <w:rsid w:val="36A97E17"/>
    <w:rsid w:val="36B510F1"/>
    <w:rsid w:val="36B8CA52"/>
    <w:rsid w:val="36C00B88"/>
    <w:rsid w:val="36C6F0B1"/>
    <w:rsid w:val="36CC4611"/>
    <w:rsid w:val="36CD8932"/>
    <w:rsid w:val="36D0DE1F"/>
    <w:rsid w:val="36D859C2"/>
    <w:rsid w:val="36DBD2A9"/>
    <w:rsid w:val="36DE4800"/>
    <w:rsid w:val="36E042E3"/>
    <w:rsid w:val="36E284A0"/>
    <w:rsid w:val="36E74FFE"/>
    <w:rsid w:val="36EEEA87"/>
    <w:rsid w:val="36FA02FD"/>
    <w:rsid w:val="36FA55A9"/>
    <w:rsid w:val="36FC9251"/>
    <w:rsid w:val="37043E22"/>
    <w:rsid w:val="370474DE"/>
    <w:rsid w:val="37097AD3"/>
    <w:rsid w:val="370D0168"/>
    <w:rsid w:val="3711BE00"/>
    <w:rsid w:val="37139395"/>
    <w:rsid w:val="3713A76A"/>
    <w:rsid w:val="3714B333"/>
    <w:rsid w:val="3716F7F7"/>
    <w:rsid w:val="371812F1"/>
    <w:rsid w:val="37222A14"/>
    <w:rsid w:val="372271DB"/>
    <w:rsid w:val="372613DB"/>
    <w:rsid w:val="372825E2"/>
    <w:rsid w:val="372E158B"/>
    <w:rsid w:val="3733BC21"/>
    <w:rsid w:val="37350E42"/>
    <w:rsid w:val="3736827D"/>
    <w:rsid w:val="373B49B8"/>
    <w:rsid w:val="373DE988"/>
    <w:rsid w:val="37405DF5"/>
    <w:rsid w:val="3742EDF9"/>
    <w:rsid w:val="3745DF08"/>
    <w:rsid w:val="374930C8"/>
    <w:rsid w:val="374B685A"/>
    <w:rsid w:val="374EB454"/>
    <w:rsid w:val="375C4452"/>
    <w:rsid w:val="37613D4A"/>
    <w:rsid w:val="3762CA1A"/>
    <w:rsid w:val="37667C79"/>
    <w:rsid w:val="376D29D6"/>
    <w:rsid w:val="376E5714"/>
    <w:rsid w:val="3770254D"/>
    <w:rsid w:val="3773944A"/>
    <w:rsid w:val="3774341D"/>
    <w:rsid w:val="377C0BE5"/>
    <w:rsid w:val="37847FEA"/>
    <w:rsid w:val="37869C79"/>
    <w:rsid w:val="3788AFAA"/>
    <w:rsid w:val="378AC221"/>
    <w:rsid w:val="379623AD"/>
    <w:rsid w:val="379C46BE"/>
    <w:rsid w:val="379DF05B"/>
    <w:rsid w:val="379F41FB"/>
    <w:rsid w:val="37AA28EA"/>
    <w:rsid w:val="37AC68FF"/>
    <w:rsid w:val="37B0AFF3"/>
    <w:rsid w:val="37B503D4"/>
    <w:rsid w:val="37BBE5FA"/>
    <w:rsid w:val="37BE38D5"/>
    <w:rsid w:val="37C3F543"/>
    <w:rsid w:val="37C49442"/>
    <w:rsid w:val="37C6BB14"/>
    <w:rsid w:val="37C7D8B5"/>
    <w:rsid w:val="37C90399"/>
    <w:rsid w:val="37C98530"/>
    <w:rsid w:val="37C9A958"/>
    <w:rsid w:val="37CA52A0"/>
    <w:rsid w:val="37CCB467"/>
    <w:rsid w:val="37CCEB6E"/>
    <w:rsid w:val="37D043C2"/>
    <w:rsid w:val="37D9F0B4"/>
    <w:rsid w:val="37DBB367"/>
    <w:rsid w:val="37DD0854"/>
    <w:rsid w:val="37E0886C"/>
    <w:rsid w:val="37E35872"/>
    <w:rsid w:val="37E89E69"/>
    <w:rsid w:val="37F353EC"/>
    <w:rsid w:val="37FCF593"/>
    <w:rsid w:val="37FF9B61"/>
    <w:rsid w:val="38006565"/>
    <w:rsid w:val="38020139"/>
    <w:rsid w:val="380A9478"/>
    <w:rsid w:val="380AF22A"/>
    <w:rsid w:val="380CA484"/>
    <w:rsid w:val="380DD528"/>
    <w:rsid w:val="380EDB29"/>
    <w:rsid w:val="381128FF"/>
    <w:rsid w:val="381A140E"/>
    <w:rsid w:val="381A1EB2"/>
    <w:rsid w:val="38258EAE"/>
    <w:rsid w:val="38279687"/>
    <w:rsid w:val="3830C889"/>
    <w:rsid w:val="3830CFAE"/>
    <w:rsid w:val="3833EA02"/>
    <w:rsid w:val="3835C86D"/>
    <w:rsid w:val="38362EB6"/>
    <w:rsid w:val="38362ED6"/>
    <w:rsid w:val="383E77F8"/>
    <w:rsid w:val="38437366"/>
    <w:rsid w:val="3846FF3B"/>
    <w:rsid w:val="384825EC"/>
    <w:rsid w:val="38487769"/>
    <w:rsid w:val="38496406"/>
    <w:rsid w:val="384BF75B"/>
    <w:rsid w:val="384D937D"/>
    <w:rsid w:val="384ECB1A"/>
    <w:rsid w:val="3851285D"/>
    <w:rsid w:val="3856A87D"/>
    <w:rsid w:val="3858B05B"/>
    <w:rsid w:val="385EA07E"/>
    <w:rsid w:val="385EF5DB"/>
    <w:rsid w:val="38607FA1"/>
    <w:rsid w:val="3866BBDA"/>
    <w:rsid w:val="3870A98A"/>
    <w:rsid w:val="38712B81"/>
    <w:rsid w:val="38798CCE"/>
    <w:rsid w:val="3879D344"/>
    <w:rsid w:val="387C83BD"/>
    <w:rsid w:val="387FE3E7"/>
    <w:rsid w:val="38853C93"/>
    <w:rsid w:val="3889CB3B"/>
    <w:rsid w:val="3896B4A8"/>
    <w:rsid w:val="389C7370"/>
    <w:rsid w:val="389C8F92"/>
    <w:rsid w:val="389EEA9F"/>
    <w:rsid w:val="38A0DD7E"/>
    <w:rsid w:val="38A4FA8C"/>
    <w:rsid w:val="38A98355"/>
    <w:rsid w:val="38AB5CC0"/>
    <w:rsid w:val="38B5BCCE"/>
    <w:rsid w:val="38B5C584"/>
    <w:rsid w:val="38BF9298"/>
    <w:rsid w:val="38C3845C"/>
    <w:rsid w:val="38C88EEF"/>
    <w:rsid w:val="38CE2A92"/>
    <w:rsid w:val="38CE92F1"/>
    <w:rsid w:val="38E4F61E"/>
    <w:rsid w:val="38EA1787"/>
    <w:rsid w:val="38ECB77D"/>
    <w:rsid w:val="38F4DADE"/>
    <w:rsid w:val="38F6DD42"/>
    <w:rsid w:val="38FEABF5"/>
    <w:rsid w:val="390441B1"/>
    <w:rsid w:val="390523E7"/>
    <w:rsid w:val="39074164"/>
    <w:rsid w:val="390C1A4E"/>
    <w:rsid w:val="390FD9E2"/>
    <w:rsid w:val="3910B7FA"/>
    <w:rsid w:val="3910D7B1"/>
    <w:rsid w:val="391976C8"/>
    <w:rsid w:val="3919EC12"/>
    <w:rsid w:val="391AA965"/>
    <w:rsid w:val="391F8B97"/>
    <w:rsid w:val="3923027D"/>
    <w:rsid w:val="392489CC"/>
    <w:rsid w:val="3924982F"/>
    <w:rsid w:val="39336BFE"/>
    <w:rsid w:val="3933AA98"/>
    <w:rsid w:val="3933FDA1"/>
    <w:rsid w:val="39361AC1"/>
    <w:rsid w:val="3937FE58"/>
    <w:rsid w:val="393AA749"/>
    <w:rsid w:val="393FD945"/>
    <w:rsid w:val="3942B27B"/>
    <w:rsid w:val="39451BC6"/>
    <w:rsid w:val="39492D20"/>
    <w:rsid w:val="39494049"/>
    <w:rsid w:val="3949CE13"/>
    <w:rsid w:val="3949F53C"/>
    <w:rsid w:val="39538A86"/>
    <w:rsid w:val="3964BFE8"/>
    <w:rsid w:val="3966FF25"/>
    <w:rsid w:val="396751B1"/>
    <w:rsid w:val="396CBC58"/>
    <w:rsid w:val="39714E5E"/>
    <w:rsid w:val="39737EBD"/>
    <w:rsid w:val="3978FDAE"/>
    <w:rsid w:val="397BB988"/>
    <w:rsid w:val="397F7D9D"/>
    <w:rsid w:val="3983C0D3"/>
    <w:rsid w:val="3983C57B"/>
    <w:rsid w:val="39883215"/>
    <w:rsid w:val="39899595"/>
    <w:rsid w:val="3989C223"/>
    <w:rsid w:val="398B6E79"/>
    <w:rsid w:val="398CDC01"/>
    <w:rsid w:val="398ECD26"/>
    <w:rsid w:val="3990A24C"/>
    <w:rsid w:val="399B38C1"/>
    <w:rsid w:val="39A83A63"/>
    <w:rsid w:val="39AFE865"/>
    <w:rsid w:val="39B03CF4"/>
    <w:rsid w:val="39B0CFA3"/>
    <w:rsid w:val="39B0EA97"/>
    <w:rsid w:val="39B2BA56"/>
    <w:rsid w:val="39B41BC9"/>
    <w:rsid w:val="39BD8848"/>
    <w:rsid w:val="39BD954C"/>
    <w:rsid w:val="39C10C2F"/>
    <w:rsid w:val="39C6B5B0"/>
    <w:rsid w:val="39CA9CF5"/>
    <w:rsid w:val="39CB74DA"/>
    <w:rsid w:val="39CC8027"/>
    <w:rsid w:val="39D0C89E"/>
    <w:rsid w:val="39D35187"/>
    <w:rsid w:val="39D7B252"/>
    <w:rsid w:val="39DB83AC"/>
    <w:rsid w:val="39E00DEB"/>
    <w:rsid w:val="39E1B36A"/>
    <w:rsid w:val="39E33287"/>
    <w:rsid w:val="39E61D8D"/>
    <w:rsid w:val="39EE6D38"/>
    <w:rsid w:val="39F28628"/>
    <w:rsid w:val="39F37A9C"/>
    <w:rsid w:val="39F47EB9"/>
    <w:rsid w:val="39FB3C3B"/>
    <w:rsid w:val="39FFF535"/>
    <w:rsid w:val="3A002869"/>
    <w:rsid w:val="3A027306"/>
    <w:rsid w:val="3A048E71"/>
    <w:rsid w:val="3A054DDD"/>
    <w:rsid w:val="3A07785D"/>
    <w:rsid w:val="3A07AFD3"/>
    <w:rsid w:val="3A09B11C"/>
    <w:rsid w:val="3A14BDE6"/>
    <w:rsid w:val="3A17950A"/>
    <w:rsid w:val="3A1A4542"/>
    <w:rsid w:val="3A1C53AB"/>
    <w:rsid w:val="3A1CD8BB"/>
    <w:rsid w:val="3A214842"/>
    <w:rsid w:val="3A26A315"/>
    <w:rsid w:val="3A2E0378"/>
    <w:rsid w:val="3A2F7901"/>
    <w:rsid w:val="3A305526"/>
    <w:rsid w:val="3A34E840"/>
    <w:rsid w:val="3A391D6A"/>
    <w:rsid w:val="3A403810"/>
    <w:rsid w:val="3A422DB0"/>
    <w:rsid w:val="3A4B33B5"/>
    <w:rsid w:val="3A53971F"/>
    <w:rsid w:val="3A5402E0"/>
    <w:rsid w:val="3A5C1A2F"/>
    <w:rsid w:val="3A61219A"/>
    <w:rsid w:val="3A629025"/>
    <w:rsid w:val="3A6D32BB"/>
    <w:rsid w:val="3A6EDA17"/>
    <w:rsid w:val="3A75E970"/>
    <w:rsid w:val="3A80E7AF"/>
    <w:rsid w:val="3A879517"/>
    <w:rsid w:val="3A89A5AC"/>
    <w:rsid w:val="3A89D154"/>
    <w:rsid w:val="3A8A05EE"/>
    <w:rsid w:val="3A9029D7"/>
    <w:rsid w:val="3A90B6C9"/>
    <w:rsid w:val="3A937579"/>
    <w:rsid w:val="3A9624A3"/>
    <w:rsid w:val="3A9D3DD5"/>
    <w:rsid w:val="3A9D41D2"/>
    <w:rsid w:val="3AA117F5"/>
    <w:rsid w:val="3AA67937"/>
    <w:rsid w:val="3AA7C9C0"/>
    <w:rsid w:val="3AAECC87"/>
    <w:rsid w:val="3AAFB196"/>
    <w:rsid w:val="3AB0D2BB"/>
    <w:rsid w:val="3AB1256E"/>
    <w:rsid w:val="3AB38C66"/>
    <w:rsid w:val="3AB5DEA1"/>
    <w:rsid w:val="3ACC2BDB"/>
    <w:rsid w:val="3AD0D7FE"/>
    <w:rsid w:val="3AD75C92"/>
    <w:rsid w:val="3ADA1E56"/>
    <w:rsid w:val="3ADDA61C"/>
    <w:rsid w:val="3ADF3798"/>
    <w:rsid w:val="3AE7ADA2"/>
    <w:rsid w:val="3AF11D03"/>
    <w:rsid w:val="3AF1EBBE"/>
    <w:rsid w:val="3AF2E8E6"/>
    <w:rsid w:val="3AF3C02B"/>
    <w:rsid w:val="3AF705F8"/>
    <w:rsid w:val="3AF87A57"/>
    <w:rsid w:val="3AFFA50A"/>
    <w:rsid w:val="3B00E6F6"/>
    <w:rsid w:val="3B021F15"/>
    <w:rsid w:val="3B0893E6"/>
    <w:rsid w:val="3B08AF7D"/>
    <w:rsid w:val="3B0D7683"/>
    <w:rsid w:val="3B154E37"/>
    <w:rsid w:val="3B199373"/>
    <w:rsid w:val="3B1D4118"/>
    <w:rsid w:val="3B1D65E2"/>
    <w:rsid w:val="3B2353AC"/>
    <w:rsid w:val="3B25C4BF"/>
    <w:rsid w:val="3B2A9510"/>
    <w:rsid w:val="3B2AD9A7"/>
    <w:rsid w:val="3B35DF9A"/>
    <w:rsid w:val="3B3628E0"/>
    <w:rsid w:val="3B3DA910"/>
    <w:rsid w:val="3B3EBD56"/>
    <w:rsid w:val="3B45446B"/>
    <w:rsid w:val="3B45DAA5"/>
    <w:rsid w:val="3B4ADB5E"/>
    <w:rsid w:val="3B5273AF"/>
    <w:rsid w:val="3B5BAEDE"/>
    <w:rsid w:val="3B5DE1DB"/>
    <w:rsid w:val="3B6049EF"/>
    <w:rsid w:val="3B71EF1C"/>
    <w:rsid w:val="3B74F590"/>
    <w:rsid w:val="3B7B2F15"/>
    <w:rsid w:val="3B7EB0D4"/>
    <w:rsid w:val="3B7EB85E"/>
    <w:rsid w:val="3B818EC9"/>
    <w:rsid w:val="3B81B302"/>
    <w:rsid w:val="3B82C6B9"/>
    <w:rsid w:val="3B860DB5"/>
    <w:rsid w:val="3B88B929"/>
    <w:rsid w:val="3B89FA45"/>
    <w:rsid w:val="3B8CA92F"/>
    <w:rsid w:val="3B8D0BBF"/>
    <w:rsid w:val="3B8D8085"/>
    <w:rsid w:val="3B8FF14D"/>
    <w:rsid w:val="3B9D532B"/>
    <w:rsid w:val="3B9E9A48"/>
    <w:rsid w:val="3B9EDA79"/>
    <w:rsid w:val="3B9F8214"/>
    <w:rsid w:val="3BA7BFD1"/>
    <w:rsid w:val="3BADCE92"/>
    <w:rsid w:val="3BB35C95"/>
    <w:rsid w:val="3BB8233A"/>
    <w:rsid w:val="3BB8D402"/>
    <w:rsid w:val="3BBE48A2"/>
    <w:rsid w:val="3BBE6ABE"/>
    <w:rsid w:val="3BBEAA7A"/>
    <w:rsid w:val="3BC1438F"/>
    <w:rsid w:val="3BCAFA98"/>
    <w:rsid w:val="3BD20F3C"/>
    <w:rsid w:val="3BD37E5A"/>
    <w:rsid w:val="3BE4F511"/>
    <w:rsid w:val="3BE87F3D"/>
    <w:rsid w:val="3BF005A7"/>
    <w:rsid w:val="3BF45B6F"/>
    <w:rsid w:val="3BFD2890"/>
    <w:rsid w:val="3BFD6EFF"/>
    <w:rsid w:val="3BFDFCD7"/>
    <w:rsid w:val="3C03FBA9"/>
    <w:rsid w:val="3C049530"/>
    <w:rsid w:val="3C074ECE"/>
    <w:rsid w:val="3C09FF68"/>
    <w:rsid w:val="3C183CB2"/>
    <w:rsid w:val="3C1E9011"/>
    <w:rsid w:val="3C20A8BE"/>
    <w:rsid w:val="3C20D3C5"/>
    <w:rsid w:val="3C25F094"/>
    <w:rsid w:val="3C2A51E0"/>
    <w:rsid w:val="3C2A6712"/>
    <w:rsid w:val="3C2DEBE3"/>
    <w:rsid w:val="3C351F79"/>
    <w:rsid w:val="3C3968AB"/>
    <w:rsid w:val="3C39C52C"/>
    <w:rsid w:val="3C45B5EC"/>
    <w:rsid w:val="3C47D2B6"/>
    <w:rsid w:val="3C51428E"/>
    <w:rsid w:val="3C515B5E"/>
    <w:rsid w:val="3C52EA35"/>
    <w:rsid w:val="3C569AA2"/>
    <w:rsid w:val="3C5750F5"/>
    <w:rsid w:val="3C5A4D83"/>
    <w:rsid w:val="3C6038AD"/>
    <w:rsid w:val="3C643EC7"/>
    <w:rsid w:val="3C64EF3C"/>
    <w:rsid w:val="3C68A2C5"/>
    <w:rsid w:val="3C6AE455"/>
    <w:rsid w:val="3C6BC94A"/>
    <w:rsid w:val="3C6E6DCC"/>
    <w:rsid w:val="3C6FB746"/>
    <w:rsid w:val="3C75C79B"/>
    <w:rsid w:val="3C7D07B6"/>
    <w:rsid w:val="3C7D4D0A"/>
    <w:rsid w:val="3C83462E"/>
    <w:rsid w:val="3C885BDC"/>
    <w:rsid w:val="3C8CB595"/>
    <w:rsid w:val="3C8DFEB7"/>
    <w:rsid w:val="3C8E4200"/>
    <w:rsid w:val="3C950A38"/>
    <w:rsid w:val="3C964782"/>
    <w:rsid w:val="3C96C0FF"/>
    <w:rsid w:val="3C9A1932"/>
    <w:rsid w:val="3CA081FD"/>
    <w:rsid w:val="3CA50EDF"/>
    <w:rsid w:val="3CA6A6D0"/>
    <w:rsid w:val="3CA945B0"/>
    <w:rsid w:val="3CBA46F8"/>
    <w:rsid w:val="3CBCC2F4"/>
    <w:rsid w:val="3CC4A541"/>
    <w:rsid w:val="3CC84A23"/>
    <w:rsid w:val="3CC88AE7"/>
    <w:rsid w:val="3CCB646F"/>
    <w:rsid w:val="3CCE26E7"/>
    <w:rsid w:val="3CCF9C63"/>
    <w:rsid w:val="3CD67A9C"/>
    <w:rsid w:val="3CD73EF9"/>
    <w:rsid w:val="3CED0E5A"/>
    <w:rsid w:val="3CED3637"/>
    <w:rsid w:val="3CED864D"/>
    <w:rsid w:val="3CEF3FC1"/>
    <w:rsid w:val="3CF1D7D7"/>
    <w:rsid w:val="3CF43F02"/>
    <w:rsid w:val="3CF6716B"/>
    <w:rsid w:val="3CF6CA70"/>
    <w:rsid w:val="3CF89AB5"/>
    <w:rsid w:val="3CFAFBF0"/>
    <w:rsid w:val="3CFDF0AC"/>
    <w:rsid w:val="3D01793B"/>
    <w:rsid w:val="3D019D11"/>
    <w:rsid w:val="3D062A97"/>
    <w:rsid w:val="3D067300"/>
    <w:rsid w:val="3D0A33A8"/>
    <w:rsid w:val="3D0AF75A"/>
    <w:rsid w:val="3D0FE837"/>
    <w:rsid w:val="3D1062C8"/>
    <w:rsid w:val="3D114C3E"/>
    <w:rsid w:val="3D12E054"/>
    <w:rsid w:val="3D13A996"/>
    <w:rsid w:val="3D171217"/>
    <w:rsid w:val="3D1B1C99"/>
    <w:rsid w:val="3D1C37FA"/>
    <w:rsid w:val="3D20BF8F"/>
    <w:rsid w:val="3D23F9F8"/>
    <w:rsid w:val="3D2BF91A"/>
    <w:rsid w:val="3D2D7EC0"/>
    <w:rsid w:val="3D315226"/>
    <w:rsid w:val="3D32E795"/>
    <w:rsid w:val="3D35177F"/>
    <w:rsid w:val="3D356BFB"/>
    <w:rsid w:val="3D37F52D"/>
    <w:rsid w:val="3D39C1FF"/>
    <w:rsid w:val="3D39F3B1"/>
    <w:rsid w:val="3D3A9150"/>
    <w:rsid w:val="3D4046C9"/>
    <w:rsid w:val="3D40D6C0"/>
    <w:rsid w:val="3D42059D"/>
    <w:rsid w:val="3D469400"/>
    <w:rsid w:val="3D46E9D9"/>
    <w:rsid w:val="3D512EF6"/>
    <w:rsid w:val="3D579E53"/>
    <w:rsid w:val="3D583CBB"/>
    <w:rsid w:val="3D5D0F38"/>
    <w:rsid w:val="3D606F09"/>
    <w:rsid w:val="3D60AD5D"/>
    <w:rsid w:val="3D649B92"/>
    <w:rsid w:val="3D64CB0D"/>
    <w:rsid w:val="3D6CBA98"/>
    <w:rsid w:val="3D706DBD"/>
    <w:rsid w:val="3D71DE29"/>
    <w:rsid w:val="3D742C67"/>
    <w:rsid w:val="3D75CF25"/>
    <w:rsid w:val="3D766C63"/>
    <w:rsid w:val="3D76F1B6"/>
    <w:rsid w:val="3D7944CF"/>
    <w:rsid w:val="3D7B0991"/>
    <w:rsid w:val="3D7CA983"/>
    <w:rsid w:val="3D82E738"/>
    <w:rsid w:val="3D8C309D"/>
    <w:rsid w:val="3D8CB3B5"/>
    <w:rsid w:val="3D8EC99A"/>
    <w:rsid w:val="3D924D1C"/>
    <w:rsid w:val="3D986C11"/>
    <w:rsid w:val="3DAFC36E"/>
    <w:rsid w:val="3DB2ABE4"/>
    <w:rsid w:val="3DBBF9ED"/>
    <w:rsid w:val="3DBC0235"/>
    <w:rsid w:val="3DC2AC67"/>
    <w:rsid w:val="3DC6D5EC"/>
    <w:rsid w:val="3DCA27E3"/>
    <w:rsid w:val="3DCFEB5C"/>
    <w:rsid w:val="3DDAF426"/>
    <w:rsid w:val="3DDBB6FE"/>
    <w:rsid w:val="3DDCFBC2"/>
    <w:rsid w:val="3DE29ABB"/>
    <w:rsid w:val="3DE524E3"/>
    <w:rsid w:val="3DF04E14"/>
    <w:rsid w:val="3DF287F1"/>
    <w:rsid w:val="3DF5BF82"/>
    <w:rsid w:val="3DF72D54"/>
    <w:rsid w:val="3DFB2977"/>
    <w:rsid w:val="3E05E6E4"/>
    <w:rsid w:val="3E065338"/>
    <w:rsid w:val="3E0C9C90"/>
    <w:rsid w:val="3E120CA6"/>
    <w:rsid w:val="3E12B23B"/>
    <w:rsid w:val="3E1D8D35"/>
    <w:rsid w:val="3E1F106C"/>
    <w:rsid w:val="3E21A65A"/>
    <w:rsid w:val="3E26A845"/>
    <w:rsid w:val="3E26B8FB"/>
    <w:rsid w:val="3E275E0B"/>
    <w:rsid w:val="3E2AE156"/>
    <w:rsid w:val="3E2D3D47"/>
    <w:rsid w:val="3E2EF4A1"/>
    <w:rsid w:val="3E30F851"/>
    <w:rsid w:val="3E31B844"/>
    <w:rsid w:val="3E39C4B3"/>
    <w:rsid w:val="3E3C4474"/>
    <w:rsid w:val="3E405687"/>
    <w:rsid w:val="3E41B328"/>
    <w:rsid w:val="3E425612"/>
    <w:rsid w:val="3E42B76A"/>
    <w:rsid w:val="3E446E4A"/>
    <w:rsid w:val="3E469E47"/>
    <w:rsid w:val="3E48B72F"/>
    <w:rsid w:val="3E4AA195"/>
    <w:rsid w:val="3E4AF28F"/>
    <w:rsid w:val="3E4CC57F"/>
    <w:rsid w:val="3E4DE510"/>
    <w:rsid w:val="3E50BCB0"/>
    <w:rsid w:val="3E53B482"/>
    <w:rsid w:val="3E53FDF2"/>
    <w:rsid w:val="3E560F06"/>
    <w:rsid w:val="3E59286F"/>
    <w:rsid w:val="3E5D1EED"/>
    <w:rsid w:val="3E62D730"/>
    <w:rsid w:val="3E651CD8"/>
    <w:rsid w:val="3E675EE3"/>
    <w:rsid w:val="3E68940B"/>
    <w:rsid w:val="3E6A2E79"/>
    <w:rsid w:val="3E6F5454"/>
    <w:rsid w:val="3E726278"/>
    <w:rsid w:val="3E74AE67"/>
    <w:rsid w:val="3E75637A"/>
    <w:rsid w:val="3E78494D"/>
    <w:rsid w:val="3E7D170C"/>
    <w:rsid w:val="3E7E1FD4"/>
    <w:rsid w:val="3E7EAA27"/>
    <w:rsid w:val="3E7F316B"/>
    <w:rsid w:val="3E8258A6"/>
    <w:rsid w:val="3E860D3B"/>
    <w:rsid w:val="3E87ECF1"/>
    <w:rsid w:val="3E8A0D1C"/>
    <w:rsid w:val="3E967E26"/>
    <w:rsid w:val="3EAA0D37"/>
    <w:rsid w:val="3EABE78F"/>
    <w:rsid w:val="3EB0FDA3"/>
    <w:rsid w:val="3EBD61FD"/>
    <w:rsid w:val="3EC29AA2"/>
    <w:rsid w:val="3EC37BF0"/>
    <w:rsid w:val="3ECC9321"/>
    <w:rsid w:val="3ED142DC"/>
    <w:rsid w:val="3ED4F391"/>
    <w:rsid w:val="3ED758E6"/>
    <w:rsid w:val="3EDDBEC8"/>
    <w:rsid w:val="3EE11065"/>
    <w:rsid w:val="3EE2CF21"/>
    <w:rsid w:val="3EE3311F"/>
    <w:rsid w:val="3EE3559B"/>
    <w:rsid w:val="3EE997C5"/>
    <w:rsid w:val="3EF04B33"/>
    <w:rsid w:val="3EF106B0"/>
    <w:rsid w:val="3EF6D19A"/>
    <w:rsid w:val="3EF8B0F4"/>
    <w:rsid w:val="3F03F88E"/>
    <w:rsid w:val="3F0AAFDB"/>
    <w:rsid w:val="3F0FF88D"/>
    <w:rsid w:val="3F112001"/>
    <w:rsid w:val="3F1237C8"/>
    <w:rsid w:val="3F1C04B9"/>
    <w:rsid w:val="3F1C85FD"/>
    <w:rsid w:val="3F1D4508"/>
    <w:rsid w:val="3F1EDAD5"/>
    <w:rsid w:val="3F21D6F0"/>
    <w:rsid w:val="3F24C724"/>
    <w:rsid w:val="3F37BBAD"/>
    <w:rsid w:val="3F3C5887"/>
    <w:rsid w:val="3F424289"/>
    <w:rsid w:val="3F42FE73"/>
    <w:rsid w:val="3F46B43E"/>
    <w:rsid w:val="3F51AB38"/>
    <w:rsid w:val="3F583928"/>
    <w:rsid w:val="3F593EFB"/>
    <w:rsid w:val="3F5D0510"/>
    <w:rsid w:val="3F5EF321"/>
    <w:rsid w:val="3F66CA7C"/>
    <w:rsid w:val="3F68782B"/>
    <w:rsid w:val="3F6DAC80"/>
    <w:rsid w:val="3F6E4AA2"/>
    <w:rsid w:val="3F6E9F51"/>
    <w:rsid w:val="3F72244D"/>
    <w:rsid w:val="3F7F12D1"/>
    <w:rsid w:val="3F7FECF6"/>
    <w:rsid w:val="3F8345A3"/>
    <w:rsid w:val="3F8D7195"/>
    <w:rsid w:val="3F8E99A6"/>
    <w:rsid w:val="3F971683"/>
    <w:rsid w:val="3F98D913"/>
    <w:rsid w:val="3F9AEC4A"/>
    <w:rsid w:val="3F9BC64F"/>
    <w:rsid w:val="3F9BFEAD"/>
    <w:rsid w:val="3FA30E9E"/>
    <w:rsid w:val="3FA51532"/>
    <w:rsid w:val="3FA786B0"/>
    <w:rsid w:val="3FA892B6"/>
    <w:rsid w:val="3FAB3404"/>
    <w:rsid w:val="3FB25F0F"/>
    <w:rsid w:val="3FB47EAA"/>
    <w:rsid w:val="3FBA0CA4"/>
    <w:rsid w:val="3FBB23FE"/>
    <w:rsid w:val="3FBBF4A9"/>
    <w:rsid w:val="3FC005FA"/>
    <w:rsid w:val="3FCAD852"/>
    <w:rsid w:val="3FCE53FD"/>
    <w:rsid w:val="3FCF6758"/>
    <w:rsid w:val="3FD02345"/>
    <w:rsid w:val="3FD29154"/>
    <w:rsid w:val="3FD3E397"/>
    <w:rsid w:val="3FD5FC7B"/>
    <w:rsid w:val="3FD637FA"/>
    <w:rsid w:val="3FDE366D"/>
    <w:rsid w:val="3FE294BB"/>
    <w:rsid w:val="3FE893F8"/>
    <w:rsid w:val="3FEA2C9C"/>
    <w:rsid w:val="3FEB092A"/>
    <w:rsid w:val="3FEE623A"/>
    <w:rsid w:val="3FF2C3DF"/>
    <w:rsid w:val="3FF64275"/>
    <w:rsid w:val="3FFC88E3"/>
    <w:rsid w:val="3FFD60EF"/>
    <w:rsid w:val="40029992"/>
    <w:rsid w:val="40088207"/>
    <w:rsid w:val="400A3D38"/>
    <w:rsid w:val="40153A55"/>
    <w:rsid w:val="401B37C2"/>
    <w:rsid w:val="4023CB14"/>
    <w:rsid w:val="402AE7CD"/>
    <w:rsid w:val="40304118"/>
    <w:rsid w:val="40345E41"/>
    <w:rsid w:val="4039E852"/>
    <w:rsid w:val="403B2A39"/>
    <w:rsid w:val="403C5006"/>
    <w:rsid w:val="403D4F9C"/>
    <w:rsid w:val="404A26C1"/>
    <w:rsid w:val="404AE004"/>
    <w:rsid w:val="404E6C99"/>
    <w:rsid w:val="40516C20"/>
    <w:rsid w:val="4055FA58"/>
    <w:rsid w:val="406272B8"/>
    <w:rsid w:val="407FA0CB"/>
    <w:rsid w:val="407FA61A"/>
    <w:rsid w:val="4083AE92"/>
    <w:rsid w:val="409083FA"/>
    <w:rsid w:val="4090EA7A"/>
    <w:rsid w:val="409D3501"/>
    <w:rsid w:val="40A2D3FD"/>
    <w:rsid w:val="40A34F4E"/>
    <w:rsid w:val="40AE6B37"/>
    <w:rsid w:val="40B97395"/>
    <w:rsid w:val="40C5F1CF"/>
    <w:rsid w:val="40C6C233"/>
    <w:rsid w:val="40C77E38"/>
    <w:rsid w:val="40D30FB8"/>
    <w:rsid w:val="40D648EB"/>
    <w:rsid w:val="40D8398D"/>
    <w:rsid w:val="40D8595E"/>
    <w:rsid w:val="40DEDC88"/>
    <w:rsid w:val="40E8A231"/>
    <w:rsid w:val="40EE37F6"/>
    <w:rsid w:val="40F040DA"/>
    <w:rsid w:val="40F0477E"/>
    <w:rsid w:val="40F37ED9"/>
    <w:rsid w:val="40FCCBDC"/>
    <w:rsid w:val="40FD15E8"/>
    <w:rsid w:val="41031A79"/>
    <w:rsid w:val="41037D01"/>
    <w:rsid w:val="41056FB0"/>
    <w:rsid w:val="4108CB65"/>
    <w:rsid w:val="41127CE4"/>
    <w:rsid w:val="411FD0FD"/>
    <w:rsid w:val="41241207"/>
    <w:rsid w:val="41247DF9"/>
    <w:rsid w:val="41252ADE"/>
    <w:rsid w:val="4125CA98"/>
    <w:rsid w:val="41273A3C"/>
    <w:rsid w:val="41295DF1"/>
    <w:rsid w:val="412A0C50"/>
    <w:rsid w:val="412D1B03"/>
    <w:rsid w:val="4130B09E"/>
    <w:rsid w:val="413ACD7F"/>
    <w:rsid w:val="413B53E7"/>
    <w:rsid w:val="413D2302"/>
    <w:rsid w:val="413E2049"/>
    <w:rsid w:val="41456EAF"/>
    <w:rsid w:val="4148066C"/>
    <w:rsid w:val="414B1085"/>
    <w:rsid w:val="414C4AAB"/>
    <w:rsid w:val="4153135F"/>
    <w:rsid w:val="41574FEA"/>
    <w:rsid w:val="415EC8A4"/>
    <w:rsid w:val="4164A99D"/>
    <w:rsid w:val="416DB83E"/>
    <w:rsid w:val="416FFF77"/>
    <w:rsid w:val="4172FE74"/>
    <w:rsid w:val="417642B3"/>
    <w:rsid w:val="4177B8E4"/>
    <w:rsid w:val="417DACCE"/>
    <w:rsid w:val="417DE8D2"/>
    <w:rsid w:val="41815A6C"/>
    <w:rsid w:val="4181F820"/>
    <w:rsid w:val="41883355"/>
    <w:rsid w:val="4189282B"/>
    <w:rsid w:val="41914805"/>
    <w:rsid w:val="4197C5B7"/>
    <w:rsid w:val="4198B3C8"/>
    <w:rsid w:val="4198B457"/>
    <w:rsid w:val="419F2806"/>
    <w:rsid w:val="41A221C1"/>
    <w:rsid w:val="41A2DBBC"/>
    <w:rsid w:val="41A91014"/>
    <w:rsid w:val="41ABA03C"/>
    <w:rsid w:val="41ACAB3C"/>
    <w:rsid w:val="41B59A35"/>
    <w:rsid w:val="41BA76E2"/>
    <w:rsid w:val="41BD36EB"/>
    <w:rsid w:val="41C10C46"/>
    <w:rsid w:val="41C5EC26"/>
    <w:rsid w:val="41C75C79"/>
    <w:rsid w:val="41C9C7AA"/>
    <w:rsid w:val="41CD9DCD"/>
    <w:rsid w:val="41D3D1C8"/>
    <w:rsid w:val="41D72BC7"/>
    <w:rsid w:val="41DBCDAC"/>
    <w:rsid w:val="41DDA885"/>
    <w:rsid w:val="41E2302C"/>
    <w:rsid w:val="41E5F66D"/>
    <w:rsid w:val="41E8B908"/>
    <w:rsid w:val="41EC96B7"/>
    <w:rsid w:val="41F17CEC"/>
    <w:rsid w:val="41FB61A5"/>
    <w:rsid w:val="41FEB7F0"/>
    <w:rsid w:val="4200C7CE"/>
    <w:rsid w:val="42023EE3"/>
    <w:rsid w:val="4202C425"/>
    <w:rsid w:val="420D18EC"/>
    <w:rsid w:val="420FD47A"/>
    <w:rsid w:val="42128929"/>
    <w:rsid w:val="42136A90"/>
    <w:rsid w:val="4219682E"/>
    <w:rsid w:val="421D2B18"/>
    <w:rsid w:val="421D796D"/>
    <w:rsid w:val="422831D8"/>
    <w:rsid w:val="4228F1A1"/>
    <w:rsid w:val="423A5ADF"/>
    <w:rsid w:val="423D24C4"/>
    <w:rsid w:val="423FB97C"/>
    <w:rsid w:val="424046AC"/>
    <w:rsid w:val="424118B4"/>
    <w:rsid w:val="42461DB2"/>
    <w:rsid w:val="424C3D3B"/>
    <w:rsid w:val="424DB61D"/>
    <w:rsid w:val="425AA25D"/>
    <w:rsid w:val="425B00A1"/>
    <w:rsid w:val="4261F3A4"/>
    <w:rsid w:val="4262B97F"/>
    <w:rsid w:val="4262D329"/>
    <w:rsid w:val="42669979"/>
    <w:rsid w:val="4269F572"/>
    <w:rsid w:val="426BB047"/>
    <w:rsid w:val="42760E66"/>
    <w:rsid w:val="427CAE35"/>
    <w:rsid w:val="42829D46"/>
    <w:rsid w:val="42830DAA"/>
    <w:rsid w:val="42885F6F"/>
    <w:rsid w:val="4289F43D"/>
    <w:rsid w:val="428A59C4"/>
    <w:rsid w:val="428AA839"/>
    <w:rsid w:val="428AE707"/>
    <w:rsid w:val="428CD15E"/>
    <w:rsid w:val="4290F1AC"/>
    <w:rsid w:val="42929FA9"/>
    <w:rsid w:val="42965D64"/>
    <w:rsid w:val="429C5EDA"/>
    <w:rsid w:val="429DCB96"/>
    <w:rsid w:val="429E18E3"/>
    <w:rsid w:val="42A41A15"/>
    <w:rsid w:val="42A5DA4A"/>
    <w:rsid w:val="42ADF68B"/>
    <w:rsid w:val="42B22E87"/>
    <w:rsid w:val="42B2D727"/>
    <w:rsid w:val="42B455A3"/>
    <w:rsid w:val="42BFEC3D"/>
    <w:rsid w:val="42C32E53"/>
    <w:rsid w:val="42C574E1"/>
    <w:rsid w:val="42CED50B"/>
    <w:rsid w:val="42D12665"/>
    <w:rsid w:val="42D3003E"/>
    <w:rsid w:val="42DFF41B"/>
    <w:rsid w:val="42E10CFC"/>
    <w:rsid w:val="42E21B0E"/>
    <w:rsid w:val="42E4C106"/>
    <w:rsid w:val="42ECAD6E"/>
    <w:rsid w:val="42F116FB"/>
    <w:rsid w:val="42F2D2EB"/>
    <w:rsid w:val="42F344BA"/>
    <w:rsid w:val="42FBE4F2"/>
    <w:rsid w:val="42FDFFF5"/>
    <w:rsid w:val="43039127"/>
    <w:rsid w:val="4309C007"/>
    <w:rsid w:val="430AA424"/>
    <w:rsid w:val="430DD0AC"/>
    <w:rsid w:val="430F940A"/>
    <w:rsid w:val="43159262"/>
    <w:rsid w:val="4316BDA5"/>
    <w:rsid w:val="4319211B"/>
    <w:rsid w:val="43246D14"/>
    <w:rsid w:val="43257C93"/>
    <w:rsid w:val="432EC666"/>
    <w:rsid w:val="43341468"/>
    <w:rsid w:val="433E721F"/>
    <w:rsid w:val="433EDEB1"/>
    <w:rsid w:val="433FDA64"/>
    <w:rsid w:val="433FFF03"/>
    <w:rsid w:val="43416694"/>
    <w:rsid w:val="4346FAC5"/>
    <w:rsid w:val="4347FA67"/>
    <w:rsid w:val="434CAA7B"/>
    <w:rsid w:val="4358FCA5"/>
    <w:rsid w:val="436B8E1C"/>
    <w:rsid w:val="4372CB1A"/>
    <w:rsid w:val="4373E81D"/>
    <w:rsid w:val="4375061D"/>
    <w:rsid w:val="43778977"/>
    <w:rsid w:val="437A597E"/>
    <w:rsid w:val="43801A50"/>
    <w:rsid w:val="438033C2"/>
    <w:rsid w:val="43844636"/>
    <w:rsid w:val="43879093"/>
    <w:rsid w:val="438B5A97"/>
    <w:rsid w:val="438E0C92"/>
    <w:rsid w:val="438ED5AE"/>
    <w:rsid w:val="4391669C"/>
    <w:rsid w:val="439492CB"/>
    <w:rsid w:val="4399600D"/>
    <w:rsid w:val="439A7BDC"/>
    <w:rsid w:val="439C64B9"/>
    <w:rsid w:val="43A52E77"/>
    <w:rsid w:val="43A5FC55"/>
    <w:rsid w:val="43AD2F42"/>
    <w:rsid w:val="43AF87D7"/>
    <w:rsid w:val="43B3C93E"/>
    <w:rsid w:val="43BC1A41"/>
    <w:rsid w:val="43BCEA92"/>
    <w:rsid w:val="43C0BB5A"/>
    <w:rsid w:val="43C219CF"/>
    <w:rsid w:val="43C371AB"/>
    <w:rsid w:val="43C3F7CF"/>
    <w:rsid w:val="43C598B5"/>
    <w:rsid w:val="43CB820B"/>
    <w:rsid w:val="43CD6D0C"/>
    <w:rsid w:val="43D51476"/>
    <w:rsid w:val="43D85674"/>
    <w:rsid w:val="43D939D5"/>
    <w:rsid w:val="43EB0520"/>
    <w:rsid w:val="43EC2D0F"/>
    <w:rsid w:val="43F84F34"/>
    <w:rsid w:val="43F8FB26"/>
    <w:rsid w:val="43FB9CAB"/>
    <w:rsid w:val="43FC53C7"/>
    <w:rsid w:val="43FE3BDB"/>
    <w:rsid w:val="440005BA"/>
    <w:rsid w:val="440564F9"/>
    <w:rsid w:val="4408438E"/>
    <w:rsid w:val="44088062"/>
    <w:rsid w:val="4408F591"/>
    <w:rsid w:val="440B021B"/>
    <w:rsid w:val="440B8B95"/>
    <w:rsid w:val="44104437"/>
    <w:rsid w:val="4415971C"/>
    <w:rsid w:val="4417397F"/>
    <w:rsid w:val="441D48A7"/>
    <w:rsid w:val="44248958"/>
    <w:rsid w:val="4425E8BB"/>
    <w:rsid w:val="442A5AFA"/>
    <w:rsid w:val="442A7DAE"/>
    <w:rsid w:val="4431C1CC"/>
    <w:rsid w:val="44333004"/>
    <w:rsid w:val="4435DB94"/>
    <w:rsid w:val="443CCD94"/>
    <w:rsid w:val="443F512C"/>
    <w:rsid w:val="444185D5"/>
    <w:rsid w:val="44455880"/>
    <w:rsid w:val="444AE295"/>
    <w:rsid w:val="4455B077"/>
    <w:rsid w:val="445ABBE4"/>
    <w:rsid w:val="445CBBFE"/>
    <w:rsid w:val="445D4ED7"/>
    <w:rsid w:val="44609EA3"/>
    <w:rsid w:val="44678F39"/>
    <w:rsid w:val="446A0E78"/>
    <w:rsid w:val="446A12BA"/>
    <w:rsid w:val="446EA3F3"/>
    <w:rsid w:val="446EE862"/>
    <w:rsid w:val="4472B613"/>
    <w:rsid w:val="4474C4EC"/>
    <w:rsid w:val="4475BD15"/>
    <w:rsid w:val="4483C51A"/>
    <w:rsid w:val="44885A6E"/>
    <w:rsid w:val="44995AA1"/>
    <w:rsid w:val="449A9955"/>
    <w:rsid w:val="449C3959"/>
    <w:rsid w:val="44A862F4"/>
    <w:rsid w:val="44B0A9A3"/>
    <w:rsid w:val="44BB4544"/>
    <w:rsid w:val="44BE3A89"/>
    <w:rsid w:val="44C03D08"/>
    <w:rsid w:val="44C6F2A7"/>
    <w:rsid w:val="44C984BA"/>
    <w:rsid w:val="44CC3A5F"/>
    <w:rsid w:val="44D2C70C"/>
    <w:rsid w:val="44DADD49"/>
    <w:rsid w:val="44E1027D"/>
    <w:rsid w:val="44E122F7"/>
    <w:rsid w:val="44EBB007"/>
    <w:rsid w:val="44F87060"/>
    <w:rsid w:val="450202FC"/>
    <w:rsid w:val="45059A70"/>
    <w:rsid w:val="450CDCA5"/>
    <w:rsid w:val="451263F1"/>
    <w:rsid w:val="4516D924"/>
    <w:rsid w:val="4518905A"/>
    <w:rsid w:val="4519E806"/>
    <w:rsid w:val="451B874D"/>
    <w:rsid w:val="451D7658"/>
    <w:rsid w:val="451FB4A7"/>
    <w:rsid w:val="4524063B"/>
    <w:rsid w:val="45297B12"/>
    <w:rsid w:val="452C49E0"/>
    <w:rsid w:val="45399464"/>
    <w:rsid w:val="453F3F4A"/>
    <w:rsid w:val="45442D1F"/>
    <w:rsid w:val="4557A8A9"/>
    <w:rsid w:val="4557DF2D"/>
    <w:rsid w:val="4557E655"/>
    <w:rsid w:val="45599E03"/>
    <w:rsid w:val="455F6C33"/>
    <w:rsid w:val="45601D69"/>
    <w:rsid w:val="4560C9BA"/>
    <w:rsid w:val="45633EE0"/>
    <w:rsid w:val="456BDBF9"/>
    <w:rsid w:val="456E53E1"/>
    <w:rsid w:val="457A8B95"/>
    <w:rsid w:val="4581E89A"/>
    <w:rsid w:val="45880DE7"/>
    <w:rsid w:val="458A1838"/>
    <w:rsid w:val="45941955"/>
    <w:rsid w:val="45991B2E"/>
    <w:rsid w:val="459A302B"/>
    <w:rsid w:val="459E8292"/>
    <w:rsid w:val="45A0677B"/>
    <w:rsid w:val="45A6284A"/>
    <w:rsid w:val="45A78B5F"/>
    <w:rsid w:val="45AFF253"/>
    <w:rsid w:val="45B231BC"/>
    <w:rsid w:val="45B5CA24"/>
    <w:rsid w:val="45B67C74"/>
    <w:rsid w:val="45C0D887"/>
    <w:rsid w:val="45C40FBD"/>
    <w:rsid w:val="45C51D9F"/>
    <w:rsid w:val="45C9361A"/>
    <w:rsid w:val="45C9AE53"/>
    <w:rsid w:val="45D3327C"/>
    <w:rsid w:val="45DFD438"/>
    <w:rsid w:val="45DFF028"/>
    <w:rsid w:val="45E2C387"/>
    <w:rsid w:val="45E48952"/>
    <w:rsid w:val="45E7F421"/>
    <w:rsid w:val="45E814B7"/>
    <w:rsid w:val="45EAAB33"/>
    <w:rsid w:val="45EE6995"/>
    <w:rsid w:val="45EF860E"/>
    <w:rsid w:val="45F0A86A"/>
    <w:rsid w:val="45FA63DA"/>
    <w:rsid w:val="4601F93D"/>
    <w:rsid w:val="4608B00B"/>
    <w:rsid w:val="460AB22B"/>
    <w:rsid w:val="460E6353"/>
    <w:rsid w:val="460EFCB5"/>
    <w:rsid w:val="4613E2DB"/>
    <w:rsid w:val="461573B9"/>
    <w:rsid w:val="4618A7F5"/>
    <w:rsid w:val="46197FAF"/>
    <w:rsid w:val="462644CC"/>
    <w:rsid w:val="46278BC4"/>
    <w:rsid w:val="46298041"/>
    <w:rsid w:val="462E6C6C"/>
    <w:rsid w:val="462EA349"/>
    <w:rsid w:val="462FD935"/>
    <w:rsid w:val="4631033C"/>
    <w:rsid w:val="4637E77E"/>
    <w:rsid w:val="463A274D"/>
    <w:rsid w:val="463B2877"/>
    <w:rsid w:val="46411CA6"/>
    <w:rsid w:val="46419F3A"/>
    <w:rsid w:val="46446208"/>
    <w:rsid w:val="46460EFA"/>
    <w:rsid w:val="464A4DE1"/>
    <w:rsid w:val="464D8708"/>
    <w:rsid w:val="46515254"/>
    <w:rsid w:val="4653312C"/>
    <w:rsid w:val="465DAF00"/>
    <w:rsid w:val="4661E0F5"/>
    <w:rsid w:val="466E3443"/>
    <w:rsid w:val="467D22F9"/>
    <w:rsid w:val="46803903"/>
    <w:rsid w:val="4686BC5F"/>
    <w:rsid w:val="4687852C"/>
    <w:rsid w:val="468E06C6"/>
    <w:rsid w:val="468E62F9"/>
    <w:rsid w:val="4690AADE"/>
    <w:rsid w:val="469407C6"/>
    <w:rsid w:val="469863A1"/>
    <w:rsid w:val="469A12F1"/>
    <w:rsid w:val="469C1C97"/>
    <w:rsid w:val="469F0F4E"/>
    <w:rsid w:val="46A1C8A4"/>
    <w:rsid w:val="46A91607"/>
    <w:rsid w:val="46AF1946"/>
    <w:rsid w:val="46AF99D4"/>
    <w:rsid w:val="46AFF4A7"/>
    <w:rsid w:val="46B44BA5"/>
    <w:rsid w:val="46B7916D"/>
    <w:rsid w:val="46B86F7B"/>
    <w:rsid w:val="46BA8E29"/>
    <w:rsid w:val="46BD69E7"/>
    <w:rsid w:val="46C25385"/>
    <w:rsid w:val="46C9808B"/>
    <w:rsid w:val="46CA4FBA"/>
    <w:rsid w:val="46CF6AAD"/>
    <w:rsid w:val="46D1F0DA"/>
    <w:rsid w:val="46D8EC98"/>
    <w:rsid w:val="46D910D2"/>
    <w:rsid w:val="46DC1209"/>
    <w:rsid w:val="46DC8F18"/>
    <w:rsid w:val="46DCD6B2"/>
    <w:rsid w:val="46E368E1"/>
    <w:rsid w:val="46E3E6CB"/>
    <w:rsid w:val="46E759A7"/>
    <w:rsid w:val="46EA8453"/>
    <w:rsid w:val="46EC825E"/>
    <w:rsid w:val="46FCF768"/>
    <w:rsid w:val="46FF8E60"/>
    <w:rsid w:val="47083E24"/>
    <w:rsid w:val="4712C922"/>
    <w:rsid w:val="47131C03"/>
    <w:rsid w:val="4717180E"/>
    <w:rsid w:val="47182D2F"/>
    <w:rsid w:val="47184097"/>
    <w:rsid w:val="47217031"/>
    <w:rsid w:val="472575A5"/>
    <w:rsid w:val="47265C3B"/>
    <w:rsid w:val="4729F684"/>
    <w:rsid w:val="472F1EF3"/>
    <w:rsid w:val="47324260"/>
    <w:rsid w:val="4737035B"/>
    <w:rsid w:val="4739B747"/>
    <w:rsid w:val="473A811A"/>
    <w:rsid w:val="473A9682"/>
    <w:rsid w:val="473D04A0"/>
    <w:rsid w:val="4746D918"/>
    <w:rsid w:val="4748D7BC"/>
    <w:rsid w:val="474D6504"/>
    <w:rsid w:val="47531DBA"/>
    <w:rsid w:val="4754565F"/>
    <w:rsid w:val="4754BC87"/>
    <w:rsid w:val="47571B17"/>
    <w:rsid w:val="4757CDA3"/>
    <w:rsid w:val="4760A341"/>
    <w:rsid w:val="47638483"/>
    <w:rsid w:val="4767A9CA"/>
    <w:rsid w:val="476D3F0E"/>
    <w:rsid w:val="47736982"/>
    <w:rsid w:val="4776070A"/>
    <w:rsid w:val="477673EF"/>
    <w:rsid w:val="477F355B"/>
    <w:rsid w:val="4780B2DD"/>
    <w:rsid w:val="478259FE"/>
    <w:rsid w:val="47922ECD"/>
    <w:rsid w:val="479C1CCB"/>
    <w:rsid w:val="479E97B3"/>
    <w:rsid w:val="47A34050"/>
    <w:rsid w:val="47A4BEC0"/>
    <w:rsid w:val="47B0AA1B"/>
    <w:rsid w:val="47B1B2F6"/>
    <w:rsid w:val="47B2B241"/>
    <w:rsid w:val="47B66F23"/>
    <w:rsid w:val="47B87DE2"/>
    <w:rsid w:val="47B96AD3"/>
    <w:rsid w:val="47BB5F61"/>
    <w:rsid w:val="47BBE52B"/>
    <w:rsid w:val="47C79408"/>
    <w:rsid w:val="47D0C2F2"/>
    <w:rsid w:val="47D5B7A0"/>
    <w:rsid w:val="47D9D696"/>
    <w:rsid w:val="47DCC011"/>
    <w:rsid w:val="47DE077D"/>
    <w:rsid w:val="47DFF235"/>
    <w:rsid w:val="47E4FD4E"/>
    <w:rsid w:val="47E57B47"/>
    <w:rsid w:val="47E59210"/>
    <w:rsid w:val="47E72A65"/>
    <w:rsid w:val="47E8D89A"/>
    <w:rsid w:val="47EEB853"/>
    <w:rsid w:val="47F1EBC3"/>
    <w:rsid w:val="47F242E5"/>
    <w:rsid w:val="47F47999"/>
    <w:rsid w:val="47F9C8A2"/>
    <w:rsid w:val="47FB8497"/>
    <w:rsid w:val="47FE4155"/>
    <w:rsid w:val="480747CA"/>
    <w:rsid w:val="4809E073"/>
    <w:rsid w:val="480A927F"/>
    <w:rsid w:val="480CA912"/>
    <w:rsid w:val="480D0586"/>
    <w:rsid w:val="480E73A1"/>
    <w:rsid w:val="4810974C"/>
    <w:rsid w:val="4810BFAB"/>
    <w:rsid w:val="48159C1A"/>
    <w:rsid w:val="481C2825"/>
    <w:rsid w:val="48224F57"/>
    <w:rsid w:val="48288976"/>
    <w:rsid w:val="482A220C"/>
    <w:rsid w:val="482A90DE"/>
    <w:rsid w:val="482B0919"/>
    <w:rsid w:val="48373930"/>
    <w:rsid w:val="483A0AC8"/>
    <w:rsid w:val="48438141"/>
    <w:rsid w:val="484ADAA2"/>
    <w:rsid w:val="48506401"/>
    <w:rsid w:val="4853F437"/>
    <w:rsid w:val="48595BCD"/>
    <w:rsid w:val="48641C5F"/>
    <w:rsid w:val="486523FC"/>
    <w:rsid w:val="4865BDFF"/>
    <w:rsid w:val="4866697F"/>
    <w:rsid w:val="4868DBC7"/>
    <w:rsid w:val="486D29FF"/>
    <w:rsid w:val="486FAB95"/>
    <w:rsid w:val="486FC19F"/>
    <w:rsid w:val="4873AEBC"/>
    <w:rsid w:val="487D47AA"/>
    <w:rsid w:val="488137F1"/>
    <w:rsid w:val="4882CEBE"/>
    <w:rsid w:val="488407F7"/>
    <w:rsid w:val="4896CBCA"/>
    <w:rsid w:val="48972D79"/>
    <w:rsid w:val="489FADF5"/>
    <w:rsid w:val="48A13520"/>
    <w:rsid w:val="48A873F7"/>
    <w:rsid w:val="48AAF035"/>
    <w:rsid w:val="48ACD39D"/>
    <w:rsid w:val="48AD9E1E"/>
    <w:rsid w:val="48C1D018"/>
    <w:rsid w:val="48C35C48"/>
    <w:rsid w:val="48C685A1"/>
    <w:rsid w:val="48CB9452"/>
    <w:rsid w:val="48CBEC9B"/>
    <w:rsid w:val="48D395AE"/>
    <w:rsid w:val="48E01186"/>
    <w:rsid w:val="48E27F5E"/>
    <w:rsid w:val="48E8A663"/>
    <w:rsid w:val="48EA146A"/>
    <w:rsid w:val="48EF4B0A"/>
    <w:rsid w:val="490B4786"/>
    <w:rsid w:val="49104C7F"/>
    <w:rsid w:val="491122C8"/>
    <w:rsid w:val="49146AFC"/>
    <w:rsid w:val="4917D811"/>
    <w:rsid w:val="491A2D5D"/>
    <w:rsid w:val="491A9DB5"/>
    <w:rsid w:val="491C833E"/>
    <w:rsid w:val="4922380A"/>
    <w:rsid w:val="4925A591"/>
    <w:rsid w:val="492B3A1C"/>
    <w:rsid w:val="492CE966"/>
    <w:rsid w:val="493CFCA7"/>
    <w:rsid w:val="493D70EB"/>
    <w:rsid w:val="49412CCF"/>
    <w:rsid w:val="49424C02"/>
    <w:rsid w:val="494A04D3"/>
    <w:rsid w:val="494A7D2D"/>
    <w:rsid w:val="494B23DD"/>
    <w:rsid w:val="494BEDCA"/>
    <w:rsid w:val="49526E94"/>
    <w:rsid w:val="4958DB37"/>
    <w:rsid w:val="495A2E81"/>
    <w:rsid w:val="496E4F65"/>
    <w:rsid w:val="49719A39"/>
    <w:rsid w:val="49757E1F"/>
    <w:rsid w:val="4977C6F4"/>
    <w:rsid w:val="497C6546"/>
    <w:rsid w:val="497FF13D"/>
    <w:rsid w:val="4988747E"/>
    <w:rsid w:val="4989975E"/>
    <w:rsid w:val="49906B9B"/>
    <w:rsid w:val="4990CB4E"/>
    <w:rsid w:val="4992CCFF"/>
    <w:rsid w:val="499802FC"/>
    <w:rsid w:val="499F7D0F"/>
    <w:rsid w:val="499FD8EE"/>
    <w:rsid w:val="49A88BBE"/>
    <w:rsid w:val="49AB3906"/>
    <w:rsid w:val="49ABF13E"/>
    <w:rsid w:val="49B60F4A"/>
    <w:rsid w:val="49BAA552"/>
    <w:rsid w:val="49C0AC1A"/>
    <w:rsid w:val="49C193CD"/>
    <w:rsid w:val="49C4E76A"/>
    <w:rsid w:val="49C6A067"/>
    <w:rsid w:val="49C8537F"/>
    <w:rsid w:val="49CAD714"/>
    <w:rsid w:val="49CD4EF8"/>
    <w:rsid w:val="49D111A3"/>
    <w:rsid w:val="49DC9ABB"/>
    <w:rsid w:val="49E330D4"/>
    <w:rsid w:val="49F27239"/>
    <w:rsid w:val="49F3B06D"/>
    <w:rsid w:val="49F5AF70"/>
    <w:rsid w:val="49FB9D84"/>
    <w:rsid w:val="4A04D69C"/>
    <w:rsid w:val="4A06D54D"/>
    <w:rsid w:val="4A0AEA98"/>
    <w:rsid w:val="4A100845"/>
    <w:rsid w:val="4A1266D7"/>
    <w:rsid w:val="4A12BC07"/>
    <w:rsid w:val="4A1A9234"/>
    <w:rsid w:val="4A1BE379"/>
    <w:rsid w:val="4A1C59AA"/>
    <w:rsid w:val="4A1EC1F7"/>
    <w:rsid w:val="4A20D64C"/>
    <w:rsid w:val="4A25986E"/>
    <w:rsid w:val="4A2A95B8"/>
    <w:rsid w:val="4A2B808E"/>
    <w:rsid w:val="4A330144"/>
    <w:rsid w:val="4A37DB7D"/>
    <w:rsid w:val="4A39C35B"/>
    <w:rsid w:val="4A3BBB99"/>
    <w:rsid w:val="4A402E52"/>
    <w:rsid w:val="4A53BB3E"/>
    <w:rsid w:val="4A59DFCB"/>
    <w:rsid w:val="4A5DB41F"/>
    <w:rsid w:val="4A64A254"/>
    <w:rsid w:val="4A67129D"/>
    <w:rsid w:val="4A68D237"/>
    <w:rsid w:val="4A6D76AB"/>
    <w:rsid w:val="4A71B68A"/>
    <w:rsid w:val="4A7B220B"/>
    <w:rsid w:val="4A8283CB"/>
    <w:rsid w:val="4A83E6F2"/>
    <w:rsid w:val="4A904369"/>
    <w:rsid w:val="4A986EFE"/>
    <w:rsid w:val="4A9CB4F9"/>
    <w:rsid w:val="4AA701F9"/>
    <w:rsid w:val="4AAA0D70"/>
    <w:rsid w:val="4AAB7779"/>
    <w:rsid w:val="4AADCD52"/>
    <w:rsid w:val="4AAE0EB3"/>
    <w:rsid w:val="4AB681D6"/>
    <w:rsid w:val="4AB9EDD5"/>
    <w:rsid w:val="4ABDBBF1"/>
    <w:rsid w:val="4ABEF9D6"/>
    <w:rsid w:val="4AC3376F"/>
    <w:rsid w:val="4AC4472D"/>
    <w:rsid w:val="4AC51905"/>
    <w:rsid w:val="4ACB4C1F"/>
    <w:rsid w:val="4ACE4B31"/>
    <w:rsid w:val="4AD2F18A"/>
    <w:rsid w:val="4AD56375"/>
    <w:rsid w:val="4AD65EB2"/>
    <w:rsid w:val="4AD862B4"/>
    <w:rsid w:val="4ADDA06D"/>
    <w:rsid w:val="4ADFEF4D"/>
    <w:rsid w:val="4AE217E6"/>
    <w:rsid w:val="4AE25A30"/>
    <w:rsid w:val="4AE2DED9"/>
    <w:rsid w:val="4AEFDF19"/>
    <w:rsid w:val="4AF15E31"/>
    <w:rsid w:val="4AF8E6F4"/>
    <w:rsid w:val="4AFB58CB"/>
    <w:rsid w:val="4AFBAC7E"/>
    <w:rsid w:val="4B02BA9D"/>
    <w:rsid w:val="4B0889DD"/>
    <w:rsid w:val="4B0B3E0E"/>
    <w:rsid w:val="4B10A7CD"/>
    <w:rsid w:val="4B146ECE"/>
    <w:rsid w:val="4B165CE4"/>
    <w:rsid w:val="4B16D441"/>
    <w:rsid w:val="4B18FC37"/>
    <w:rsid w:val="4B1ACE86"/>
    <w:rsid w:val="4B247ECA"/>
    <w:rsid w:val="4B28E4C3"/>
    <w:rsid w:val="4B2A7098"/>
    <w:rsid w:val="4B3115A7"/>
    <w:rsid w:val="4B3BBD9E"/>
    <w:rsid w:val="4B3C0C5D"/>
    <w:rsid w:val="4B3D14B5"/>
    <w:rsid w:val="4B4C0DDC"/>
    <w:rsid w:val="4B53CCDA"/>
    <w:rsid w:val="4B5C954A"/>
    <w:rsid w:val="4B5CC495"/>
    <w:rsid w:val="4B60B1F8"/>
    <w:rsid w:val="4B6AC53A"/>
    <w:rsid w:val="4B709E1F"/>
    <w:rsid w:val="4B731566"/>
    <w:rsid w:val="4B73D200"/>
    <w:rsid w:val="4B76F5BA"/>
    <w:rsid w:val="4B7832B0"/>
    <w:rsid w:val="4B81A816"/>
    <w:rsid w:val="4B81D727"/>
    <w:rsid w:val="4B8531B1"/>
    <w:rsid w:val="4B85C770"/>
    <w:rsid w:val="4B888AE4"/>
    <w:rsid w:val="4B8A65C9"/>
    <w:rsid w:val="4B8AE23F"/>
    <w:rsid w:val="4B8BC523"/>
    <w:rsid w:val="4B8F2E45"/>
    <w:rsid w:val="4B940B18"/>
    <w:rsid w:val="4B995C33"/>
    <w:rsid w:val="4BA42741"/>
    <w:rsid w:val="4BAC61BD"/>
    <w:rsid w:val="4BB2F82C"/>
    <w:rsid w:val="4BB32D1F"/>
    <w:rsid w:val="4BB3454C"/>
    <w:rsid w:val="4BB522D2"/>
    <w:rsid w:val="4BB5633F"/>
    <w:rsid w:val="4BB70EF7"/>
    <w:rsid w:val="4BB94413"/>
    <w:rsid w:val="4BBDEC35"/>
    <w:rsid w:val="4BBE02A3"/>
    <w:rsid w:val="4BCBC93C"/>
    <w:rsid w:val="4BCFE795"/>
    <w:rsid w:val="4BD4D4A7"/>
    <w:rsid w:val="4BD5B1DB"/>
    <w:rsid w:val="4BD8627C"/>
    <w:rsid w:val="4BDBDFDF"/>
    <w:rsid w:val="4BE085E4"/>
    <w:rsid w:val="4BEB22E4"/>
    <w:rsid w:val="4BECDA9D"/>
    <w:rsid w:val="4BEF293D"/>
    <w:rsid w:val="4BF829CF"/>
    <w:rsid w:val="4BFFD264"/>
    <w:rsid w:val="4C01E616"/>
    <w:rsid w:val="4C0858F1"/>
    <w:rsid w:val="4C0973D9"/>
    <w:rsid w:val="4C0FF566"/>
    <w:rsid w:val="4C1236C5"/>
    <w:rsid w:val="4C13DD1C"/>
    <w:rsid w:val="4C172058"/>
    <w:rsid w:val="4C179C97"/>
    <w:rsid w:val="4C1843A1"/>
    <w:rsid w:val="4C18AE6E"/>
    <w:rsid w:val="4C1B412F"/>
    <w:rsid w:val="4C1FFF3D"/>
    <w:rsid w:val="4C2026F6"/>
    <w:rsid w:val="4C222C4B"/>
    <w:rsid w:val="4C2C6FAB"/>
    <w:rsid w:val="4C2CDC99"/>
    <w:rsid w:val="4C2F89EF"/>
    <w:rsid w:val="4C39AF5A"/>
    <w:rsid w:val="4C3B3B77"/>
    <w:rsid w:val="4C3D073F"/>
    <w:rsid w:val="4C3D6FEE"/>
    <w:rsid w:val="4C3F3F96"/>
    <w:rsid w:val="4C3F86DF"/>
    <w:rsid w:val="4C4A7D95"/>
    <w:rsid w:val="4C4CC9EE"/>
    <w:rsid w:val="4C504929"/>
    <w:rsid w:val="4C55883C"/>
    <w:rsid w:val="4C5DDBAA"/>
    <w:rsid w:val="4C60E227"/>
    <w:rsid w:val="4C66935D"/>
    <w:rsid w:val="4C6745CB"/>
    <w:rsid w:val="4C76357C"/>
    <w:rsid w:val="4C77A24F"/>
    <w:rsid w:val="4C7C4CD1"/>
    <w:rsid w:val="4C809043"/>
    <w:rsid w:val="4C8EEFA9"/>
    <w:rsid w:val="4C8FF31A"/>
    <w:rsid w:val="4C94AACE"/>
    <w:rsid w:val="4C98A94F"/>
    <w:rsid w:val="4C9A4E65"/>
    <w:rsid w:val="4CA30C70"/>
    <w:rsid w:val="4CA9E54C"/>
    <w:rsid w:val="4CAFA70F"/>
    <w:rsid w:val="4CB01E36"/>
    <w:rsid w:val="4CB475F1"/>
    <w:rsid w:val="4CB5BD96"/>
    <w:rsid w:val="4CB6816F"/>
    <w:rsid w:val="4CB6CA14"/>
    <w:rsid w:val="4CB73CED"/>
    <w:rsid w:val="4CBC272C"/>
    <w:rsid w:val="4CBC6BF9"/>
    <w:rsid w:val="4CBCAE64"/>
    <w:rsid w:val="4CC54D78"/>
    <w:rsid w:val="4CC570F3"/>
    <w:rsid w:val="4CC8BCCF"/>
    <w:rsid w:val="4CC97C82"/>
    <w:rsid w:val="4CCA3E6C"/>
    <w:rsid w:val="4CCAD2E1"/>
    <w:rsid w:val="4CD314B3"/>
    <w:rsid w:val="4CDBDA58"/>
    <w:rsid w:val="4CE0DF95"/>
    <w:rsid w:val="4CE19D40"/>
    <w:rsid w:val="4CE22153"/>
    <w:rsid w:val="4CE42907"/>
    <w:rsid w:val="4CEE711E"/>
    <w:rsid w:val="4CF226B9"/>
    <w:rsid w:val="4CF2C278"/>
    <w:rsid w:val="4CF82243"/>
    <w:rsid w:val="4CFCE2A8"/>
    <w:rsid w:val="4CFDE1CF"/>
    <w:rsid w:val="4D08C890"/>
    <w:rsid w:val="4D096F43"/>
    <w:rsid w:val="4D0C7382"/>
    <w:rsid w:val="4D0EBF57"/>
    <w:rsid w:val="4D13D0A0"/>
    <w:rsid w:val="4D150650"/>
    <w:rsid w:val="4D16F264"/>
    <w:rsid w:val="4D178F05"/>
    <w:rsid w:val="4D1922C3"/>
    <w:rsid w:val="4D1B2F0D"/>
    <w:rsid w:val="4D1FA8C9"/>
    <w:rsid w:val="4D2F8578"/>
    <w:rsid w:val="4D30B2D0"/>
    <w:rsid w:val="4D3296FE"/>
    <w:rsid w:val="4D3AF9E4"/>
    <w:rsid w:val="4D3CBBE8"/>
    <w:rsid w:val="4D3E4EAF"/>
    <w:rsid w:val="4D47F6F3"/>
    <w:rsid w:val="4D591C45"/>
    <w:rsid w:val="4D5BB436"/>
    <w:rsid w:val="4D603311"/>
    <w:rsid w:val="4D6CAE8B"/>
    <w:rsid w:val="4D728D21"/>
    <w:rsid w:val="4D764B91"/>
    <w:rsid w:val="4D77B2F9"/>
    <w:rsid w:val="4D79F5F8"/>
    <w:rsid w:val="4D7CDFBB"/>
    <w:rsid w:val="4D7D3E74"/>
    <w:rsid w:val="4D83EDAD"/>
    <w:rsid w:val="4D88641D"/>
    <w:rsid w:val="4D8B9A0E"/>
    <w:rsid w:val="4D8FA117"/>
    <w:rsid w:val="4D93EAEE"/>
    <w:rsid w:val="4D946D95"/>
    <w:rsid w:val="4D9BCA67"/>
    <w:rsid w:val="4D9E9A7A"/>
    <w:rsid w:val="4DA8AFB7"/>
    <w:rsid w:val="4DB03B9F"/>
    <w:rsid w:val="4DBE6DA7"/>
    <w:rsid w:val="4DC6D8A7"/>
    <w:rsid w:val="4DC77B1B"/>
    <w:rsid w:val="4DCAFE27"/>
    <w:rsid w:val="4DD130BC"/>
    <w:rsid w:val="4DD2838E"/>
    <w:rsid w:val="4DDE2580"/>
    <w:rsid w:val="4DDE39B9"/>
    <w:rsid w:val="4DE3E321"/>
    <w:rsid w:val="4DE46E0C"/>
    <w:rsid w:val="4DE974C3"/>
    <w:rsid w:val="4DED1627"/>
    <w:rsid w:val="4DEF9B48"/>
    <w:rsid w:val="4DEFC8A4"/>
    <w:rsid w:val="4DF47B9C"/>
    <w:rsid w:val="4DF78646"/>
    <w:rsid w:val="4DFDEDDB"/>
    <w:rsid w:val="4DFE84CE"/>
    <w:rsid w:val="4DFFF25F"/>
    <w:rsid w:val="4E031205"/>
    <w:rsid w:val="4E03F954"/>
    <w:rsid w:val="4E081121"/>
    <w:rsid w:val="4E0C1EF2"/>
    <w:rsid w:val="4E0DA28E"/>
    <w:rsid w:val="4E127445"/>
    <w:rsid w:val="4E1F5EED"/>
    <w:rsid w:val="4E29ECB1"/>
    <w:rsid w:val="4E2B51B0"/>
    <w:rsid w:val="4E2C19A7"/>
    <w:rsid w:val="4E2E6B48"/>
    <w:rsid w:val="4E388582"/>
    <w:rsid w:val="4E3A5D63"/>
    <w:rsid w:val="4E3D1BD8"/>
    <w:rsid w:val="4E448355"/>
    <w:rsid w:val="4E470A10"/>
    <w:rsid w:val="4E491181"/>
    <w:rsid w:val="4E4A26A8"/>
    <w:rsid w:val="4E4AF691"/>
    <w:rsid w:val="4E4BAE03"/>
    <w:rsid w:val="4E4E67C5"/>
    <w:rsid w:val="4E4FEF2F"/>
    <w:rsid w:val="4E539546"/>
    <w:rsid w:val="4E53B1E5"/>
    <w:rsid w:val="4E5C6654"/>
    <w:rsid w:val="4E63AA43"/>
    <w:rsid w:val="4E6787A2"/>
    <w:rsid w:val="4E678B9A"/>
    <w:rsid w:val="4E68436E"/>
    <w:rsid w:val="4E6945CB"/>
    <w:rsid w:val="4E69C622"/>
    <w:rsid w:val="4E7F1ACE"/>
    <w:rsid w:val="4E81C369"/>
    <w:rsid w:val="4E91618D"/>
    <w:rsid w:val="4E982FA1"/>
    <w:rsid w:val="4E9E8233"/>
    <w:rsid w:val="4EA05DFD"/>
    <w:rsid w:val="4EA14F58"/>
    <w:rsid w:val="4EA6C4E7"/>
    <w:rsid w:val="4EAB1923"/>
    <w:rsid w:val="4EAE00BE"/>
    <w:rsid w:val="4EB40FE9"/>
    <w:rsid w:val="4EBA93DD"/>
    <w:rsid w:val="4EC28AF7"/>
    <w:rsid w:val="4EC77F9B"/>
    <w:rsid w:val="4ED35CDB"/>
    <w:rsid w:val="4EDF24A1"/>
    <w:rsid w:val="4EE80BEB"/>
    <w:rsid w:val="4EEAFD2C"/>
    <w:rsid w:val="4EEE94CA"/>
    <w:rsid w:val="4EF6B2FD"/>
    <w:rsid w:val="4EF76DBB"/>
    <w:rsid w:val="4EF7E726"/>
    <w:rsid w:val="4EFDBB7A"/>
    <w:rsid w:val="4EFF2C62"/>
    <w:rsid w:val="4F00C6A4"/>
    <w:rsid w:val="4F092F7F"/>
    <w:rsid w:val="4F0A9CC9"/>
    <w:rsid w:val="4F12042C"/>
    <w:rsid w:val="4F1214B4"/>
    <w:rsid w:val="4F1335A2"/>
    <w:rsid w:val="4F146A8D"/>
    <w:rsid w:val="4F1725DB"/>
    <w:rsid w:val="4F1873B6"/>
    <w:rsid w:val="4F1A2248"/>
    <w:rsid w:val="4F1B6EE2"/>
    <w:rsid w:val="4F2158EA"/>
    <w:rsid w:val="4F22324F"/>
    <w:rsid w:val="4F24A845"/>
    <w:rsid w:val="4F29431A"/>
    <w:rsid w:val="4F29AC1A"/>
    <w:rsid w:val="4F3A3859"/>
    <w:rsid w:val="4F4A70BA"/>
    <w:rsid w:val="4F4BA1CC"/>
    <w:rsid w:val="4F4CB718"/>
    <w:rsid w:val="4F4EA24A"/>
    <w:rsid w:val="4F4FFE86"/>
    <w:rsid w:val="4F5B78BE"/>
    <w:rsid w:val="4F60C2C1"/>
    <w:rsid w:val="4F62D459"/>
    <w:rsid w:val="4F6C2350"/>
    <w:rsid w:val="4F6E2626"/>
    <w:rsid w:val="4F77538D"/>
    <w:rsid w:val="4F81D968"/>
    <w:rsid w:val="4F85F291"/>
    <w:rsid w:val="4F8B8474"/>
    <w:rsid w:val="4F8D732A"/>
    <w:rsid w:val="4F905EDD"/>
    <w:rsid w:val="4F91F60B"/>
    <w:rsid w:val="4F9A6DB0"/>
    <w:rsid w:val="4F9CD7DB"/>
    <w:rsid w:val="4F9F0F54"/>
    <w:rsid w:val="4FA0A27E"/>
    <w:rsid w:val="4FA3C8B6"/>
    <w:rsid w:val="4FA42E53"/>
    <w:rsid w:val="4FAAC4DD"/>
    <w:rsid w:val="4FB17B44"/>
    <w:rsid w:val="4FB809D0"/>
    <w:rsid w:val="4FCAF441"/>
    <w:rsid w:val="4FD1C119"/>
    <w:rsid w:val="4FD27EA7"/>
    <w:rsid w:val="4FDCDE13"/>
    <w:rsid w:val="4FDCED31"/>
    <w:rsid w:val="4FDF4149"/>
    <w:rsid w:val="4FE063D6"/>
    <w:rsid w:val="4FEEFED7"/>
    <w:rsid w:val="4FF57778"/>
    <w:rsid w:val="4FF57FA8"/>
    <w:rsid w:val="4FFFFB48"/>
    <w:rsid w:val="500279A1"/>
    <w:rsid w:val="5005D32A"/>
    <w:rsid w:val="5007DE1F"/>
    <w:rsid w:val="50141502"/>
    <w:rsid w:val="50165FA8"/>
    <w:rsid w:val="50176AA0"/>
    <w:rsid w:val="501A30BB"/>
    <w:rsid w:val="501B74B9"/>
    <w:rsid w:val="501EBF37"/>
    <w:rsid w:val="50219B99"/>
    <w:rsid w:val="50225757"/>
    <w:rsid w:val="5025A571"/>
    <w:rsid w:val="502956BE"/>
    <w:rsid w:val="502A1E92"/>
    <w:rsid w:val="502D8F51"/>
    <w:rsid w:val="50304B5D"/>
    <w:rsid w:val="5033F6D7"/>
    <w:rsid w:val="504C7441"/>
    <w:rsid w:val="504EE927"/>
    <w:rsid w:val="50519991"/>
    <w:rsid w:val="50545AAD"/>
    <w:rsid w:val="50583020"/>
    <w:rsid w:val="505A6A1C"/>
    <w:rsid w:val="505C1C6D"/>
    <w:rsid w:val="505EFA0F"/>
    <w:rsid w:val="506640B0"/>
    <w:rsid w:val="506683EC"/>
    <w:rsid w:val="50699203"/>
    <w:rsid w:val="506CE176"/>
    <w:rsid w:val="5074E9CF"/>
    <w:rsid w:val="507CA296"/>
    <w:rsid w:val="507D0729"/>
    <w:rsid w:val="508459F7"/>
    <w:rsid w:val="508A161D"/>
    <w:rsid w:val="5090070E"/>
    <w:rsid w:val="509223AC"/>
    <w:rsid w:val="509373EA"/>
    <w:rsid w:val="509E1C5C"/>
    <w:rsid w:val="50A8B356"/>
    <w:rsid w:val="50A97461"/>
    <w:rsid w:val="50AD93DF"/>
    <w:rsid w:val="50ADEC5F"/>
    <w:rsid w:val="50B139C8"/>
    <w:rsid w:val="50B44AE0"/>
    <w:rsid w:val="50B863C1"/>
    <w:rsid w:val="50B8D20B"/>
    <w:rsid w:val="50BA0C5C"/>
    <w:rsid w:val="50BAC03E"/>
    <w:rsid w:val="50C0A790"/>
    <w:rsid w:val="50C0C362"/>
    <w:rsid w:val="50CB6260"/>
    <w:rsid w:val="50D324C6"/>
    <w:rsid w:val="50D5E513"/>
    <w:rsid w:val="50DCBEB7"/>
    <w:rsid w:val="50E1BFCA"/>
    <w:rsid w:val="50E3BBEF"/>
    <w:rsid w:val="50E4D4A6"/>
    <w:rsid w:val="50E6C39F"/>
    <w:rsid w:val="50EC2813"/>
    <w:rsid w:val="50EEBBFA"/>
    <w:rsid w:val="50F34A3E"/>
    <w:rsid w:val="50F49615"/>
    <w:rsid w:val="50F7FE85"/>
    <w:rsid w:val="50F8D74B"/>
    <w:rsid w:val="50FA7CFE"/>
    <w:rsid w:val="50FEDE9D"/>
    <w:rsid w:val="5100DA27"/>
    <w:rsid w:val="51029C60"/>
    <w:rsid w:val="5116A375"/>
    <w:rsid w:val="511B88FB"/>
    <w:rsid w:val="511E1399"/>
    <w:rsid w:val="5127A079"/>
    <w:rsid w:val="512838B3"/>
    <w:rsid w:val="512924B6"/>
    <w:rsid w:val="512C79CA"/>
    <w:rsid w:val="512D0838"/>
    <w:rsid w:val="5146C3C1"/>
    <w:rsid w:val="51492B50"/>
    <w:rsid w:val="514ACAB1"/>
    <w:rsid w:val="514ADDFC"/>
    <w:rsid w:val="514FFAE1"/>
    <w:rsid w:val="5154377B"/>
    <w:rsid w:val="51563C30"/>
    <w:rsid w:val="5156FFAF"/>
    <w:rsid w:val="51577FD3"/>
    <w:rsid w:val="51579EE4"/>
    <w:rsid w:val="51621632"/>
    <w:rsid w:val="5173A279"/>
    <w:rsid w:val="517A0F7E"/>
    <w:rsid w:val="517C1B3E"/>
    <w:rsid w:val="517C7FE5"/>
    <w:rsid w:val="517E013E"/>
    <w:rsid w:val="518417D3"/>
    <w:rsid w:val="5193C844"/>
    <w:rsid w:val="51A77FB6"/>
    <w:rsid w:val="51A846CD"/>
    <w:rsid w:val="51AC11B9"/>
    <w:rsid w:val="51B49768"/>
    <w:rsid w:val="51BBC8FF"/>
    <w:rsid w:val="51BDCFE2"/>
    <w:rsid w:val="51C7C759"/>
    <w:rsid w:val="51CFE883"/>
    <w:rsid w:val="51D14135"/>
    <w:rsid w:val="51D1D1AE"/>
    <w:rsid w:val="51D2C62C"/>
    <w:rsid w:val="51DD7F65"/>
    <w:rsid w:val="51DF3319"/>
    <w:rsid w:val="51E4B0A7"/>
    <w:rsid w:val="51E79017"/>
    <w:rsid w:val="51EA0D1C"/>
    <w:rsid w:val="51EB65B1"/>
    <w:rsid w:val="51F0084E"/>
    <w:rsid w:val="51F3F273"/>
    <w:rsid w:val="51F46DEA"/>
    <w:rsid w:val="51F769A2"/>
    <w:rsid w:val="51FA842E"/>
    <w:rsid w:val="51FE4ED0"/>
    <w:rsid w:val="52001A18"/>
    <w:rsid w:val="520493D9"/>
    <w:rsid w:val="52078D73"/>
    <w:rsid w:val="520BBE55"/>
    <w:rsid w:val="520CA394"/>
    <w:rsid w:val="5212053D"/>
    <w:rsid w:val="52170322"/>
    <w:rsid w:val="521C85D6"/>
    <w:rsid w:val="521D1FFF"/>
    <w:rsid w:val="52217050"/>
    <w:rsid w:val="5225D2C9"/>
    <w:rsid w:val="52300B0D"/>
    <w:rsid w:val="52334104"/>
    <w:rsid w:val="5236500B"/>
    <w:rsid w:val="523FAEFD"/>
    <w:rsid w:val="52430990"/>
    <w:rsid w:val="52457DB8"/>
    <w:rsid w:val="524704B3"/>
    <w:rsid w:val="524A9CF4"/>
    <w:rsid w:val="524CB55D"/>
    <w:rsid w:val="524E6B47"/>
    <w:rsid w:val="5252365D"/>
    <w:rsid w:val="525AB56E"/>
    <w:rsid w:val="525D447A"/>
    <w:rsid w:val="52614C43"/>
    <w:rsid w:val="5263B2DC"/>
    <w:rsid w:val="5263C763"/>
    <w:rsid w:val="526B2BD9"/>
    <w:rsid w:val="526BE424"/>
    <w:rsid w:val="526E46ED"/>
    <w:rsid w:val="52700057"/>
    <w:rsid w:val="5272E92B"/>
    <w:rsid w:val="5276A456"/>
    <w:rsid w:val="527A6355"/>
    <w:rsid w:val="527D573F"/>
    <w:rsid w:val="52826713"/>
    <w:rsid w:val="528901E6"/>
    <w:rsid w:val="52892CEA"/>
    <w:rsid w:val="528CDA82"/>
    <w:rsid w:val="528E7384"/>
    <w:rsid w:val="529264C2"/>
    <w:rsid w:val="529357FE"/>
    <w:rsid w:val="529732D2"/>
    <w:rsid w:val="529E66E1"/>
    <w:rsid w:val="529FA1DF"/>
    <w:rsid w:val="52A68BCC"/>
    <w:rsid w:val="52AE168A"/>
    <w:rsid w:val="52AF6004"/>
    <w:rsid w:val="52B396FA"/>
    <w:rsid w:val="52B47B25"/>
    <w:rsid w:val="52B8182C"/>
    <w:rsid w:val="52B93AD0"/>
    <w:rsid w:val="52B97A2A"/>
    <w:rsid w:val="52BA949F"/>
    <w:rsid w:val="52BBD8BB"/>
    <w:rsid w:val="52BCCE5E"/>
    <w:rsid w:val="52C1F894"/>
    <w:rsid w:val="52C94D21"/>
    <w:rsid w:val="52D456E0"/>
    <w:rsid w:val="52D539E5"/>
    <w:rsid w:val="52D9FF16"/>
    <w:rsid w:val="52DE7F5E"/>
    <w:rsid w:val="52E2B25E"/>
    <w:rsid w:val="52F3745B"/>
    <w:rsid w:val="52F38316"/>
    <w:rsid w:val="52F689B7"/>
    <w:rsid w:val="5301C54D"/>
    <w:rsid w:val="5301FE20"/>
    <w:rsid w:val="5303D50A"/>
    <w:rsid w:val="53073D9E"/>
    <w:rsid w:val="53095326"/>
    <w:rsid w:val="530F5455"/>
    <w:rsid w:val="5312AD19"/>
    <w:rsid w:val="5317307E"/>
    <w:rsid w:val="531ACE25"/>
    <w:rsid w:val="531FFECB"/>
    <w:rsid w:val="532BE69C"/>
    <w:rsid w:val="53328ABE"/>
    <w:rsid w:val="53333A63"/>
    <w:rsid w:val="5333873E"/>
    <w:rsid w:val="5334D902"/>
    <w:rsid w:val="5336E988"/>
    <w:rsid w:val="53384F61"/>
    <w:rsid w:val="533A46AD"/>
    <w:rsid w:val="533BD39B"/>
    <w:rsid w:val="534473BE"/>
    <w:rsid w:val="5349BE97"/>
    <w:rsid w:val="534F5E85"/>
    <w:rsid w:val="53538D04"/>
    <w:rsid w:val="5356C1E1"/>
    <w:rsid w:val="53577DC8"/>
    <w:rsid w:val="535DC7D0"/>
    <w:rsid w:val="53651E41"/>
    <w:rsid w:val="536808D4"/>
    <w:rsid w:val="5369B93C"/>
    <w:rsid w:val="536B80CF"/>
    <w:rsid w:val="536CA7FE"/>
    <w:rsid w:val="536D8C2E"/>
    <w:rsid w:val="536E3E3D"/>
    <w:rsid w:val="536F44B5"/>
    <w:rsid w:val="5373297D"/>
    <w:rsid w:val="53735517"/>
    <w:rsid w:val="53766AD8"/>
    <w:rsid w:val="53770D76"/>
    <w:rsid w:val="537C310E"/>
    <w:rsid w:val="537E88A7"/>
    <w:rsid w:val="537EF067"/>
    <w:rsid w:val="538228F2"/>
    <w:rsid w:val="5389EECA"/>
    <w:rsid w:val="538ED491"/>
    <w:rsid w:val="5390B024"/>
    <w:rsid w:val="5394C47E"/>
    <w:rsid w:val="53962544"/>
    <w:rsid w:val="539AB93B"/>
    <w:rsid w:val="539DE18F"/>
    <w:rsid w:val="53A66373"/>
    <w:rsid w:val="53A669C8"/>
    <w:rsid w:val="53A675EB"/>
    <w:rsid w:val="53AD2884"/>
    <w:rsid w:val="53AF965C"/>
    <w:rsid w:val="53B0FD55"/>
    <w:rsid w:val="53B3120A"/>
    <w:rsid w:val="53B4DD09"/>
    <w:rsid w:val="53B50DED"/>
    <w:rsid w:val="53B6CABB"/>
    <w:rsid w:val="53BCDE92"/>
    <w:rsid w:val="53C384E6"/>
    <w:rsid w:val="53CBDDFA"/>
    <w:rsid w:val="53CE2FD7"/>
    <w:rsid w:val="53CEF852"/>
    <w:rsid w:val="53CF065A"/>
    <w:rsid w:val="53D3CB80"/>
    <w:rsid w:val="53DCBF94"/>
    <w:rsid w:val="53E340E0"/>
    <w:rsid w:val="53E3672D"/>
    <w:rsid w:val="53EA0C77"/>
    <w:rsid w:val="53EBB6DC"/>
    <w:rsid w:val="53EC4814"/>
    <w:rsid w:val="53ECADF3"/>
    <w:rsid w:val="53ED8447"/>
    <w:rsid w:val="53EF512F"/>
    <w:rsid w:val="53F4B144"/>
    <w:rsid w:val="53F5BDE6"/>
    <w:rsid w:val="53F84326"/>
    <w:rsid w:val="53F99F64"/>
    <w:rsid w:val="54009971"/>
    <w:rsid w:val="54017E2A"/>
    <w:rsid w:val="5405C97E"/>
    <w:rsid w:val="5408113C"/>
    <w:rsid w:val="540A3999"/>
    <w:rsid w:val="5418AAB9"/>
    <w:rsid w:val="5420C115"/>
    <w:rsid w:val="542FEF74"/>
    <w:rsid w:val="543254B0"/>
    <w:rsid w:val="5434B627"/>
    <w:rsid w:val="54356E31"/>
    <w:rsid w:val="5438214F"/>
    <w:rsid w:val="543B82F7"/>
    <w:rsid w:val="5444B9A7"/>
    <w:rsid w:val="544A4B26"/>
    <w:rsid w:val="5450DC22"/>
    <w:rsid w:val="5452098A"/>
    <w:rsid w:val="54538CB9"/>
    <w:rsid w:val="54547D4E"/>
    <w:rsid w:val="54582AB7"/>
    <w:rsid w:val="545E9AD9"/>
    <w:rsid w:val="54684CDB"/>
    <w:rsid w:val="546C58EC"/>
    <w:rsid w:val="54767E29"/>
    <w:rsid w:val="547710C9"/>
    <w:rsid w:val="547EBA1D"/>
    <w:rsid w:val="5487F1A5"/>
    <w:rsid w:val="548B6F1B"/>
    <w:rsid w:val="548F670B"/>
    <w:rsid w:val="5496F598"/>
    <w:rsid w:val="54982D03"/>
    <w:rsid w:val="5498F1C7"/>
    <w:rsid w:val="54997F76"/>
    <w:rsid w:val="54A17732"/>
    <w:rsid w:val="54A3BCF5"/>
    <w:rsid w:val="54AC341C"/>
    <w:rsid w:val="54BA0116"/>
    <w:rsid w:val="54C02397"/>
    <w:rsid w:val="54C034DF"/>
    <w:rsid w:val="54C1D900"/>
    <w:rsid w:val="54CB033E"/>
    <w:rsid w:val="54CC01D5"/>
    <w:rsid w:val="54D1B20B"/>
    <w:rsid w:val="54D1F2E5"/>
    <w:rsid w:val="54D534E9"/>
    <w:rsid w:val="54D74A5E"/>
    <w:rsid w:val="54D7FF01"/>
    <w:rsid w:val="54D8F017"/>
    <w:rsid w:val="54DB42D7"/>
    <w:rsid w:val="54DD596E"/>
    <w:rsid w:val="54E246D7"/>
    <w:rsid w:val="54E56C46"/>
    <w:rsid w:val="54E5E212"/>
    <w:rsid w:val="54E864F7"/>
    <w:rsid w:val="54EDC9B2"/>
    <w:rsid w:val="54EF155B"/>
    <w:rsid w:val="54F133CB"/>
    <w:rsid w:val="54F2E622"/>
    <w:rsid w:val="54F50261"/>
    <w:rsid w:val="54FC12B2"/>
    <w:rsid w:val="54FEEFAD"/>
    <w:rsid w:val="54FF8AC2"/>
    <w:rsid w:val="550828AD"/>
    <w:rsid w:val="5509339D"/>
    <w:rsid w:val="5509589C"/>
    <w:rsid w:val="550BFCFB"/>
    <w:rsid w:val="55125F8F"/>
    <w:rsid w:val="5512DCDE"/>
    <w:rsid w:val="55197AD1"/>
    <w:rsid w:val="551A4D29"/>
    <w:rsid w:val="551AEAC9"/>
    <w:rsid w:val="551E4099"/>
    <w:rsid w:val="552525AC"/>
    <w:rsid w:val="55274658"/>
    <w:rsid w:val="552AB073"/>
    <w:rsid w:val="5533754A"/>
    <w:rsid w:val="55344681"/>
    <w:rsid w:val="55344D04"/>
    <w:rsid w:val="553AB7DD"/>
    <w:rsid w:val="5540D61F"/>
    <w:rsid w:val="5541BA1E"/>
    <w:rsid w:val="55447C65"/>
    <w:rsid w:val="55458D6A"/>
    <w:rsid w:val="5549E109"/>
    <w:rsid w:val="554A78AC"/>
    <w:rsid w:val="554D1A8C"/>
    <w:rsid w:val="55552F64"/>
    <w:rsid w:val="55585FAE"/>
    <w:rsid w:val="555BFA3B"/>
    <w:rsid w:val="555ED5D4"/>
    <w:rsid w:val="55666A1E"/>
    <w:rsid w:val="5573B9AE"/>
    <w:rsid w:val="5578D5B2"/>
    <w:rsid w:val="55795281"/>
    <w:rsid w:val="557CB36B"/>
    <w:rsid w:val="557EECD8"/>
    <w:rsid w:val="5584AB02"/>
    <w:rsid w:val="5589356B"/>
    <w:rsid w:val="558AFC2A"/>
    <w:rsid w:val="558CE690"/>
    <w:rsid w:val="55922651"/>
    <w:rsid w:val="559A48A8"/>
    <w:rsid w:val="559D5DC8"/>
    <w:rsid w:val="55A1D628"/>
    <w:rsid w:val="55A505E9"/>
    <w:rsid w:val="55A52354"/>
    <w:rsid w:val="55A8159D"/>
    <w:rsid w:val="55AD0482"/>
    <w:rsid w:val="55AF5DDE"/>
    <w:rsid w:val="55B3E3F2"/>
    <w:rsid w:val="55B686C5"/>
    <w:rsid w:val="55BC7891"/>
    <w:rsid w:val="55CD1EAA"/>
    <w:rsid w:val="55CFD643"/>
    <w:rsid w:val="55D0D04D"/>
    <w:rsid w:val="55DD5812"/>
    <w:rsid w:val="55DD6B7C"/>
    <w:rsid w:val="55E49C6C"/>
    <w:rsid w:val="55E51186"/>
    <w:rsid w:val="55E91862"/>
    <w:rsid w:val="55EA11CA"/>
    <w:rsid w:val="55EF6E71"/>
    <w:rsid w:val="55F3BE86"/>
    <w:rsid w:val="55F50AD6"/>
    <w:rsid w:val="5609CA4A"/>
    <w:rsid w:val="560ACF91"/>
    <w:rsid w:val="560CA89B"/>
    <w:rsid w:val="5611EDB0"/>
    <w:rsid w:val="5612503B"/>
    <w:rsid w:val="5619183B"/>
    <w:rsid w:val="561D013B"/>
    <w:rsid w:val="5620149C"/>
    <w:rsid w:val="56262A9F"/>
    <w:rsid w:val="562685EF"/>
    <w:rsid w:val="5626A857"/>
    <w:rsid w:val="56273AD0"/>
    <w:rsid w:val="5627E7CF"/>
    <w:rsid w:val="562A51E9"/>
    <w:rsid w:val="562ACF0D"/>
    <w:rsid w:val="562EE18F"/>
    <w:rsid w:val="56317FE6"/>
    <w:rsid w:val="5631A49C"/>
    <w:rsid w:val="5632E347"/>
    <w:rsid w:val="56373E97"/>
    <w:rsid w:val="5638FE5A"/>
    <w:rsid w:val="563D0726"/>
    <w:rsid w:val="563E4414"/>
    <w:rsid w:val="56404317"/>
    <w:rsid w:val="56412803"/>
    <w:rsid w:val="5648BE1B"/>
    <w:rsid w:val="564CF00F"/>
    <w:rsid w:val="5657E225"/>
    <w:rsid w:val="565CB376"/>
    <w:rsid w:val="566D3B94"/>
    <w:rsid w:val="5671C6A8"/>
    <w:rsid w:val="5677CAED"/>
    <w:rsid w:val="567AA4CA"/>
    <w:rsid w:val="567B7B2D"/>
    <w:rsid w:val="567FD1F8"/>
    <w:rsid w:val="56813BF9"/>
    <w:rsid w:val="56859836"/>
    <w:rsid w:val="5687E4C0"/>
    <w:rsid w:val="56892043"/>
    <w:rsid w:val="568B66DA"/>
    <w:rsid w:val="568D6013"/>
    <w:rsid w:val="5692DE4C"/>
    <w:rsid w:val="56950A0B"/>
    <w:rsid w:val="56989D12"/>
    <w:rsid w:val="5698ED8B"/>
    <w:rsid w:val="56A31CB8"/>
    <w:rsid w:val="56A3FD27"/>
    <w:rsid w:val="56A9613B"/>
    <w:rsid w:val="56AB1AFC"/>
    <w:rsid w:val="56AC10C3"/>
    <w:rsid w:val="56B7FAE8"/>
    <w:rsid w:val="56BACC31"/>
    <w:rsid w:val="56C2C988"/>
    <w:rsid w:val="56CC02F9"/>
    <w:rsid w:val="56D230FD"/>
    <w:rsid w:val="56D7F35B"/>
    <w:rsid w:val="56DD0E91"/>
    <w:rsid w:val="56E71DAE"/>
    <w:rsid w:val="56EC2280"/>
    <w:rsid w:val="56EE2887"/>
    <w:rsid w:val="56F3D63A"/>
    <w:rsid w:val="56F507FE"/>
    <w:rsid w:val="56F5CDCE"/>
    <w:rsid w:val="570113C0"/>
    <w:rsid w:val="570F20B1"/>
    <w:rsid w:val="571542FD"/>
    <w:rsid w:val="572782A5"/>
    <w:rsid w:val="5728DE65"/>
    <w:rsid w:val="5729EF6E"/>
    <w:rsid w:val="57323650"/>
    <w:rsid w:val="57390BE3"/>
    <w:rsid w:val="573974F4"/>
    <w:rsid w:val="573E4BAC"/>
    <w:rsid w:val="5746A511"/>
    <w:rsid w:val="5746DB29"/>
    <w:rsid w:val="574BBD9C"/>
    <w:rsid w:val="574E977B"/>
    <w:rsid w:val="57572EA4"/>
    <w:rsid w:val="5757A0C7"/>
    <w:rsid w:val="5758C3B7"/>
    <w:rsid w:val="575CCA48"/>
    <w:rsid w:val="57605950"/>
    <w:rsid w:val="576088D5"/>
    <w:rsid w:val="576FD782"/>
    <w:rsid w:val="57752E2F"/>
    <w:rsid w:val="577C2EA4"/>
    <w:rsid w:val="577D026D"/>
    <w:rsid w:val="577D26F7"/>
    <w:rsid w:val="577DF610"/>
    <w:rsid w:val="578754D0"/>
    <w:rsid w:val="57877357"/>
    <w:rsid w:val="57882A49"/>
    <w:rsid w:val="5788E95E"/>
    <w:rsid w:val="578A8F7F"/>
    <w:rsid w:val="578B5B1C"/>
    <w:rsid w:val="578F9C09"/>
    <w:rsid w:val="579BE8B7"/>
    <w:rsid w:val="579DAD13"/>
    <w:rsid w:val="579E1F4D"/>
    <w:rsid w:val="579E9291"/>
    <w:rsid w:val="57A09186"/>
    <w:rsid w:val="57A3DB36"/>
    <w:rsid w:val="57B312FD"/>
    <w:rsid w:val="57BBCE8F"/>
    <w:rsid w:val="57BCB91D"/>
    <w:rsid w:val="57BDF087"/>
    <w:rsid w:val="57C274E2"/>
    <w:rsid w:val="57C4E278"/>
    <w:rsid w:val="57C774AF"/>
    <w:rsid w:val="57CE139F"/>
    <w:rsid w:val="57CE7552"/>
    <w:rsid w:val="57D336E6"/>
    <w:rsid w:val="57D3F5CC"/>
    <w:rsid w:val="57D782CD"/>
    <w:rsid w:val="57D8656B"/>
    <w:rsid w:val="57D91C3B"/>
    <w:rsid w:val="57DA4060"/>
    <w:rsid w:val="57E314C0"/>
    <w:rsid w:val="57E87400"/>
    <w:rsid w:val="57EDFE6F"/>
    <w:rsid w:val="57EFB4E2"/>
    <w:rsid w:val="57F2992E"/>
    <w:rsid w:val="57F5CA08"/>
    <w:rsid w:val="57F8585A"/>
    <w:rsid w:val="57FFFD8E"/>
    <w:rsid w:val="58019C7A"/>
    <w:rsid w:val="5808E8CD"/>
    <w:rsid w:val="581145F6"/>
    <w:rsid w:val="5814F61C"/>
    <w:rsid w:val="58178FFB"/>
    <w:rsid w:val="58211DCB"/>
    <w:rsid w:val="58243A48"/>
    <w:rsid w:val="582562EE"/>
    <w:rsid w:val="58265D88"/>
    <w:rsid w:val="5829E502"/>
    <w:rsid w:val="582B2F9D"/>
    <w:rsid w:val="582FD280"/>
    <w:rsid w:val="5837B74F"/>
    <w:rsid w:val="583AB8D2"/>
    <w:rsid w:val="583B96B8"/>
    <w:rsid w:val="583D04A3"/>
    <w:rsid w:val="58427069"/>
    <w:rsid w:val="584667F5"/>
    <w:rsid w:val="584B38CC"/>
    <w:rsid w:val="584BFABC"/>
    <w:rsid w:val="5850EA8A"/>
    <w:rsid w:val="5851A0DE"/>
    <w:rsid w:val="5851DB13"/>
    <w:rsid w:val="585EDBB5"/>
    <w:rsid w:val="585F5CE9"/>
    <w:rsid w:val="586F978B"/>
    <w:rsid w:val="5871AC8E"/>
    <w:rsid w:val="5873C441"/>
    <w:rsid w:val="587BC828"/>
    <w:rsid w:val="587DD9AB"/>
    <w:rsid w:val="587E951C"/>
    <w:rsid w:val="5881496A"/>
    <w:rsid w:val="5885739D"/>
    <w:rsid w:val="5886235C"/>
    <w:rsid w:val="5893CA05"/>
    <w:rsid w:val="58962892"/>
    <w:rsid w:val="58981056"/>
    <w:rsid w:val="589A0681"/>
    <w:rsid w:val="58A51BBE"/>
    <w:rsid w:val="58A66A92"/>
    <w:rsid w:val="58A6FA38"/>
    <w:rsid w:val="58BD2B06"/>
    <w:rsid w:val="58BEB55A"/>
    <w:rsid w:val="58C2C252"/>
    <w:rsid w:val="58C6B7D4"/>
    <w:rsid w:val="58C96A26"/>
    <w:rsid w:val="58D30676"/>
    <w:rsid w:val="58D7227F"/>
    <w:rsid w:val="58D82070"/>
    <w:rsid w:val="58D9FE3C"/>
    <w:rsid w:val="58DB27AA"/>
    <w:rsid w:val="58EE15B4"/>
    <w:rsid w:val="58F1DD43"/>
    <w:rsid w:val="58F4307D"/>
    <w:rsid w:val="58F7A15A"/>
    <w:rsid w:val="58FBA276"/>
    <w:rsid w:val="58FBEB32"/>
    <w:rsid w:val="58FEC497"/>
    <w:rsid w:val="5901C906"/>
    <w:rsid w:val="590A6382"/>
    <w:rsid w:val="59108327"/>
    <w:rsid w:val="5915EE1A"/>
    <w:rsid w:val="5917961D"/>
    <w:rsid w:val="592C974F"/>
    <w:rsid w:val="592DF27F"/>
    <w:rsid w:val="592F8DDD"/>
    <w:rsid w:val="593466B4"/>
    <w:rsid w:val="59381BD5"/>
    <w:rsid w:val="59423328"/>
    <w:rsid w:val="594241C4"/>
    <w:rsid w:val="59441FA8"/>
    <w:rsid w:val="5944B155"/>
    <w:rsid w:val="594952D9"/>
    <w:rsid w:val="594955C4"/>
    <w:rsid w:val="594CE13C"/>
    <w:rsid w:val="595179E1"/>
    <w:rsid w:val="59528B5A"/>
    <w:rsid w:val="59530B62"/>
    <w:rsid w:val="5954AD86"/>
    <w:rsid w:val="59575699"/>
    <w:rsid w:val="595A74EB"/>
    <w:rsid w:val="595F9AE8"/>
    <w:rsid w:val="59624634"/>
    <w:rsid w:val="59674828"/>
    <w:rsid w:val="5974A548"/>
    <w:rsid w:val="5976DF6B"/>
    <w:rsid w:val="5978D864"/>
    <w:rsid w:val="59792BC7"/>
    <w:rsid w:val="597BC646"/>
    <w:rsid w:val="597F2EB0"/>
    <w:rsid w:val="597F5D9B"/>
    <w:rsid w:val="598159AF"/>
    <w:rsid w:val="59819D7D"/>
    <w:rsid w:val="5987064F"/>
    <w:rsid w:val="5987754E"/>
    <w:rsid w:val="5989B759"/>
    <w:rsid w:val="598A94B2"/>
    <w:rsid w:val="598B998E"/>
    <w:rsid w:val="599067A4"/>
    <w:rsid w:val="5994AA77"/>
    <w:rsid w:val="5995DB12"/>
    <w:rsid w:val="599F863C"/>
    <w:rsid w:val="59A0368D"/>
    <w:rsid w:val="59A2F80D"/>
    <w:rsid w:val="59A5E07E"/>
    <w:rsid w:val="59A82DF0"/>
    <w:rsid w:val="59A8EA3B"/>
    <w:rsid w:val="59B3E058"/>
    <w:rsid w:val="59C3E2F1"/>
    <w:rsid w:val="59C5D23C"/>
    <w:rsid w:val="59C7575C"/>
    <w:rsid w:val="59C915E3"/>
    <w:rsid w:val="59CA5230"/>
    <w:rsid w:val="59CF71F0"/>
    <w:rsid w:val="59D2DA9D"/>
    <w:rsid w:val="59D6EFEA"/>
    <w:rsid w:val="59D9732B"/>
    <w:rsid w:val="59DDC9B0"/>
    <w:rsid w:val="59DE3153"/>
    <w:rsid w:val="59E39247"/>
    <w:rsid w:val="59E3DF8C"/>
    <w:rsid w:val="59E5CD0A"/>
    <w:rsid w:val="59EB724F"/>
    <w:rsid w:val="59EDD759"/>
    <w:rsid w:val="59F6F39B"/>
    <w:rsid w:val="59FAEA16"/>
    <w:rsid w:val="59FD4C25"/>
    <w:rsid w:val="5A04B3E5"/>
    <w:rsid w:val="5A0E4A91"/>
    <w:rsid w:val="5A0F04BF"/>
    <w:rsid w:val="5A0F782A"/>
    <w:rsid w:val="5A12BF25"/>
    <w:rsid w:val="5A15AD8D"/>
    <w:rsid w:val="5A16F634"/>
    <w:rsid w:val="5A17D006"/>
    <w:rsid w:val="5A1B609F"/>
    <w:rsid w:val="5A228569"/>
    <w:rsid w:val="5A2462D9"/>
    <w:rsid w:val="5A24B5C7"/>
    <w:rsid w:val="5A28F7E1"/>
    <w:rsid w:val="5A2F5743"/>
    <w:rsid w:val="5A303B3B"/>
    <w:rsid w:val="5A3AFAA5"/>
    <w:rsid w:val="5A3E0A7B"/>
    <w:rsid w:val="5A426EE6"/>
    <w:rsid w:val="5A451030"/>
    <w:rsid w:val="5A4649B8"/>
    <w:rsid w:val="5A49BC14"/>
    <w:rsid w:val="5A4A7125"/>
    <w:rsid w:val="5A4B0767"/>
    <w:rsid w:val="5A4FDB22"/>
    <w:rsid w:val="5A504E4C"/>
    <w:rsid w:val="5A50B52F"/>
    <w:rsid w:val="5A5657D6"/>
    <w:rsid w:val="5A59CA72"/>
    <w:rsid w:val="5A5CC6F5"/>
    <w:rsid w:val="5A7094C5"/>
    <w:rsid w:val="5A719E1D"/>
    <w:rsid w:val="5A75B24F"/>
    <w:rsid w:val="5A77385A"/>
    <w:rsid w:val="5A78E501"/>
    <w:rsid w:val="5A791BCE"/>
    <w:rsid w:val="5A7C4714"/>
    <w:rsid w:val="5A7E5EBC"/>
    <w:rsid w:val="5A850AAD"/>
    <w:rsid w:val="5A869F4B"/>
    <w:rsid w:val="5A8AF6F7"/>
    <w:rsid w:val="5A8F3184"/>
    <w:rsid w:val="5A9542FB"/>
    <w:rsid w:val="5A99B7A0"/>
    <w:rsid w:val="5A9A7E71"/>
    <w:rsid w:val="5A9B7A2E"/>
    <w:rsid w:val="5A9DC56C"/>
    <w:rsid w:val="5A9E9107"/>
    <w:rsid w:val="5AA3C09A"/>
    <w:rsid w:val="5AA55576"/>
    <w:rsid w:val="5AA8B9D4"/>
    <w:rsid w:val="5AAA7CA4"/>
    <w:rsid w:val="5AB28D98"/>
    <w:rsid w:val="5AB363D4"/>
    <w:rsid w:val="5AB754B1"/>
    <w:rsid w:val="5AB864D1"/>
    <w:rsid w:val="5ABD2CD5"/>
    <w:rsid w:val="5ABFDA95"/>
    <w:rsid w:val="5AC40985"/>
    <w:rsid w:val="5AC62396"/>
    <w:rsid w:val="5AC86ED8"/>
    <w:rsid w:val="5AC88EE4"/>
    <w:rsid w:val="5AC94E62"/>
    <w:rsid w:val="5AC9E714"/>
    <w:rsid w:val="5AD977F5"/>
    <w:rsid w:val="5AE7306D"/>
    <w:rsid w:val="5AF326AC"/>
    <w:rsid w:val="5AF39A0B"/>
    <w:rsid w:val="5AF4F9BD"/>
    <w:rsid w:val="5AF53B84"/>
    <w:rsid w:val="5AF8838D"/>
    <w:rsid w:val="5AFB2A06"/>
    <w:rsid w:val="5AFBFEB1"/>
    <w:rsid w:val="5B018D25"/>
    <w:rsid w:val="5B134AED"/>
    <w:rsid w:val="5B1B0106"/>
    <w:rsid w:val="5B1FAC33"/>
    <w:rsid w:val="5B1FC249"/>
    <w:rsid w:val="5B1FF0BE"/>
    <w:rsid w:val="5B22D431"/>
    <w:rsid w:val="5B2D1DF8"/>
    <w:rsid w:val="5B2D7F08"/>
    <w:rsid w:val="5B2F0A0B"/>
    <w:rsid w:val="5B377310"/>
    <w:rsid w:val="5B3F9320"/>
    <w:rsid w:val="5B434F03"/>
    <w:rsid w:val="5B4832FA"/>
    <w:rsid w:val="5B4A52B7"/>
    <w:rsid w:val="5B4BC5F2"/>
    <w:rsid w:val="5B4E57BF"/>
    <w:rsid w:val="5B4F44CD"/>
    <w:rsid w:val="5B51B1BE"/>
    <w:rsid w:val="5B575A44"/>
    <w:rsid w:val="5B5F5964"/>
    <w:rsid w:val="5B5F5B44"/>
    <w:rsid w:val="5B63C4B3"/>
    <w:rsid w:val="5B671FA1"/>
    <w:rsid w:val="5B68B60D"/>
    <w:rsid w:val="5B6AF313"/>
    <w:rsid w:val="5B6C0466"/>
    <w:rsid w:val="5B700820"/>
    <w:rsid w:val="5B7E8393"/>
    <w:rsid w:val="5B86B1CC"/>
    <w:rsid w:val="5B88D50D"/>
    <w:rsid w:val="5B8BDF53"/>
    <w:rsid w:val="5B94D284"/>
    <w:rsid w:val="5B9A1D89"/>
    <w:rsid w:val="5B9BC3A0"/>
    <w:rsid w:val="5B9ED7CD"/>
    <w:rsid w:val="5BA7C082"/>
    <w:rsid w:val="5BAD3D2F"/>
    <w:rsid w:val="5BAFA8B8"/>
    <w:rsid w:val="5BB28E1D"/>
    <w:rsid w:val="5BB34F7E"/>
    <w:rsid w:val="5BB8AA04"/>
    <w:rsid w:val="5BB8F594"/>
    <w:rsid w:val="5BC148F5"/>
    <w:rsid w:val="5BCA8431"/>
    <w:rsid w:val="5BD5E928"/>
    <w:rsid w:val="5BD7817B"/>
    <w:rsid w:val="5BDD49C6"/>
    <w:rsid w:val="5BE1E448"/>
    <w:rsid w:val="5BE59FBC"/>
    <w:rsid w:val="5BE7A03C"/>
    <w:rsid w:val="5BEC33A7"/>
    <w:rsid w:val="5BEEE351"/>
    <w:rsid w:val="5BEFD612"/>
    <w:rsid w:val="5BF4E3B5"/>
    <w:rsid w:val="5BF70EDD"/>
    <w:rsid w:val="5BF73D7A"/>
    <w:rsid w:val="5BF9E21E"/>
    <w:rsid w:val="5BFADAA9"/>
    <w:rsid w:val="5BFBDFA3"/>
    <w:rsid w:val="5C0111EF"/>
    <w:rsid w:val="5C067952"/>
    <w:rsid w:val="5C06D199"/>
    <w:rsid w:val="5C073049"/>
    <w:rsid w:val="5C07A6B2"/>
    <w:rsid w:val="5C093FA3"/>
    <w:rsid w:val="5C0AE602"/>
    <w:rsid w:val="5C105DF2"/>
    <w:rsid w:val="5C115ECD"/>
    <w:rsid w:val="5C1A5337"/>
    <w:rsid w:val="5C1DA130"/>
    <w:rsid w:val="5C204663"/>
    <w:rsid w:val="5C2B0BEF"/>
    <w:rsid w:val="5C33FD89"/>
    <w:rsid w:val="5C3462EA"/>
    <w:rsid w:val="5C3B9C82"/>
    <w:rsid w:val="5C3FAE33"/>
    <w:rsid w:val="5C416B82"/>
    <w:rsid w:val="5C44C6CB"/>
    <w:rsid w:val="5C53B6D2"/>
    <w:rsid w:val="5C54F3DD"/>
    <w:rsid w:val="5C5949EF"/>
    <w:rsid w:val="5C5B165D"/>
    <w:rsid w:val="5C5CB65E"/>
    <w:rsid w:val="5C5EDB54"/>
    <w:rsid w:val="5C617327"/>
    <w:rsid w:val="5C66109F"/>
    <w:rsid w:val="5C66CB1F"/>
    <w:rsid w:val="5C690C61"/>
    <w:rsid w:val="5C6A2817"/>
    <w:rsid w:val="5C71B5F5"/>
    <w:rsid w:val="5C750BFD"/>
    <w:rsid w:val="5C798C0E"/>
    <w:rsid w:val="5C7FE07E"/>
    <w:rsid w:val="5C80EC2E"/>
    <w:rsid w:val="5C8792AB"/>
    <w:rsid w:val="5C892659"/>
    <w:rsid w:val="5C8C178F"/>
    <w:rsid w:val="5C8DE4D5"/>
    <w:rsid w:val="5C8EA9D3"/>
    <w:rsid w:val="5C935B64"/>
    <w:rsid w:val="5C938639"/>
    <w:rsid w:val="5C95865A"/>
    <w:rsid w:val="5C96F1D1"/>
    <w:rsid w:val="5C97E29D"/>
    <w:rsid w:val="5C98F83F"/>
    <w:rsid w:val="5C9B8A41"/>
    <w:rsid w:val="5C9BA77E"/>
    <w:rsid w:val="5C9CF8C4"/>
    <w:rsid w:val="5CA6312E"/>
    <w:rsid w:val="5CA8101B"/>
    <w:rsid w:val="5CA88609"/>
    <w:rsid w:val="5CA8C04D"/>
    <w:rsid w:val="5CACE34B"/>
    <w:rsid w:val="5CB0389D"/>
    <w:rsid w:val="5CBA2B0B"/>
    <w:rsid w:val="5CBB1582"/>
    <w:rsid w:val="5CBD1ACD"/>
    <w:rsid w:val="5CCB73B0"/>
    <w:rsid w:val="5CD7B2DF"/>
    <w:rsid w:val="5CD89D5F"/>
    <w:rsid w:val="5CDCE548"/>
    <w:rsid w:val="5CEDAAAE"/>
    <w:rsid w:val="5CF088B7"/>
    <w:rsid w:val="5CF8A152"/>
    <w:rsid w:val="5CF995A1"/>
    <w:rsid w:val="5CFFBFE9"/>
    <w:rsid w:val="5D041256"/>
    <w:rsid w:val="5D07ED32"/>
    <w:rsid w:val="5D0A79D9"/>
    <w:rsid w:val="5D0C5CE7"/>
    <w:rsid w:val="5D0F1B13"/>
    <w:rsid w:val="5D0FD13F"/>
    <w:rsid w:val="5D125134"/>
    <w:rsid w:val="5D1B439B"/>
    <w:rsid w:val="5D1F3651"/>
    <w:rsid w:val="5D26B791"/>
    <w:rsid w:val="5D3F14DB"/>
    <w:rsid w:val="5D412291"/>
    <w:rsid w:val="5D419B11"/>
    <w:rsid w:val="5D43F823"/>
    <w:rsid w:val="5D47E388"/>
    <w:rsid w:val="5D4C5D94"/>
    <w:rsid w:val="5D53D291"/>
    <w:rsid w:val="5D5CCFF2"/>
    <w:rsid w:val="5D63F267"/>
    <w:rsid w:val="5D64B0A6"/>
    <w:rsid w:val="5D657B4D"/>
    <w:rsid w:val="5D6644E4"/>
    <w:rsid w:val="5D73BAE3"/>
    <w:rsid w:val="5D789EAC"/>
    <w:rsid w:val="5D80048B"/>
    <w:rsid w:val="5D83FB61"/>
    <w:rsid w:val="5D84C90D"/>
    <w:rsid w:val="5D88BC54"/>
    <w:rsid w:val="5D891B7E"/>
    <w:rsid w:val="5D9843AB"/>
    <w:rsid w:val="5D9ABD46"/>
    <w:rsid w:val="5D9BCF8B"/>
    <w:rsid w:val="5DA67C73"/>
    <w:rsid w:val="5DAB4095"/>
    <w:rsid w:val="5DAB522E"/>
    <w:rsid w:val="5DB51468"/>
    <w:rsid w:val="5DBA217C"/>
    <w:rsid w:val="5DBB95DC"/>
    <w:rsid w:val="5DC61B78"/>
    <w:rsid w:val="5DC873E3"/>
    <w:rsid w:val="5DCA7ACE"/>
    <w:rsid w:val="5DCB5053"/>
    <w:rsid w:val="5DCE01EF"/>
    <w:rsid w:val="5DD53A9A"/>
    <w:rsid w:val="5DD8349A"/>
    <w:rsid w:val="5DDC29C3"/>
    <w:rsid w:val="5DDE7EF4"/>
    <w:rsid w:val="5DE0CB13"/>
    <w:rsid w:val="5DE0F0C5"/>
    <w:rsid w:val="5DE19050"/>
    <w:rsid w:val="5DE21745"/>
    <w:rsid w:val="5DE3A529"/>
    <w:rsid w:val="5DE5A35F"/>
    <w:rsid w:val="5DE9A5F4"/>
    <w:rsid w:val="5DEEB7CD"/>
    <w:rsid w:val="5DEEF89D"/>
    <w:rsid w:val="5DEF9D6C"/>
    <w:rsid w:val="5E0108A7"/>
    <w:rsid w:val="5E02FA10"/>
    <w:rsid w:val="5E0B054F"/>
    <w:rsid w:val="5E0C297C"/>
    <w:rsid w:val="5E14C536"/>
    <w:rsid w:val="5E157F06"/>
    <w:rsid w:val="5E1FC91C"/>
    <w:rsid w:val="5E1FEE82"/>
    <w:rsid w:val="5E20E9AB"/>
    <w:rsid w:val="5E21B5BC"/>
    <w:rsid w:val="5E27444B"/>
    <w:rsid w:val="5E3269B8"/>
    <w:rsid w:val="5E355A7E"/>
    <w:rsid w:val="5E38875C"/>
    <w:rsid w:val="5E3C8571"/>
    <w:rsid w:val="5E3DACEE"/>
    <w:rsid w:val="5E471394"/>
    <w:rsid w:val="5E494E69"/>
    <w:rsid w:val="5E4C7CAF"/>
    <w:rsid w:val="5E4DC33D"/>
    <w:rsid w:val="5E50DE5A"/>
    <w:rsid w:val="5E52C4D0"/>
    <w:rsid w:val="5E5B0808"/>
    <w:rsid w:val="5E5C011D"/>
    <w:rsid w:val="5E609D9E"/>
    <w:rsid w:val="5E6103ED"/>
    <w:rsid w:val="5E643E62"/>
    <w:rsid w:val="5E65B871"/>
    <w:rsid w:val="5E66E416"/>
    <w:rsid w:val="5E698802"/>
    <w:rsid w:val="5E7054F8"/>
    <w:rsid w:val="5E719D71"/>
    <w:rsid w:val="5E7F3210"/>
    <w:rsid w:val="5E802516"/>
    <w:rsid w:val="5E847E84"/>
    <w:rsid w:val="5E89C2E1"/>
    <w:rsid w:val="5E8A4303"/>
    <w:rsid w:val="5EA26449"/>
    <w:rsid w:val="5EA71E70"/>
    <w:rsid w:val="5EAAD1CA"/>
    <w:rsid w:val="5EAB3EAD"/>
    <w:rsid w:val="5EAE9E62"/>
    <w:rsid w:val="5EAEBF33"/>
    <w:rsid w:val="5EB290EC"/>
    <w:rsid w:val="5EB49F40"/>
    <w:rsid w:val="5EB66FEE"/>
    <w:rsid w:val="5EC46718"/>
    <w:rsid w:val="5ED02A33"/>
    <w:rsid w:val="5ED031FD"/>
    <w:rsid w:val="5EDC0459"/>
    <w:rsid w:val="5EE08133"/>
    <w:rsid w:val="5EEA7B13"/>
    <w:rsid w:val="5EECF7AA"/>
    <w:rsid w:val="5EEE069A"/>
    <w:rsid w:val="5EF02D77"/>
    <w:rsid w:val="5EF238DC"/>
    <w:rsid w:val="5EF2E99B"/>
    <w:rsid w:val="5EF7BD8E"/>
    <w:rsid w:val="5EFE0339"/>
    <w:rsid w:val="5F04113F"/>
    <w:rsid w:val="5F093467"/>
    <w:rsid w:val="5F1708BA"/>
    <w:rsid w:val="5F29757E"/>
    <w:rsid w:val="5F2C6997"/>
    <w:rsid w:val="5F2D3515"/>
    <w:rsid w:val="5F313723"/>
    <w:rsid w:val="5F357860"/>
    <w:rsid w:val="5F401D63"/>
    <w:rsid w:val="5F453AB4"/>
    <w:rsid w:val="5F473320"/>
    <w:rsid w:val="5F47949E"/>
    <w:rsid w:val="5F49DDD7"/>
    <w:rsid w:val="5F4B1624"/>
    <w:rsid w:val="5F4DF886"/>
    <w:rsid w:val="5F50DAA0"/>
    <w:rsid w:val="5F523CB2"/>
    <w:rsid w:val="5F53AB45"/>
    <w:rsid w:val="5F540C1E"/>
    <w:rsid w:val="5F5ACC30"/>
    <w:rsid w:val="5F5DC1D5"/>
    <w:rsid w:val="5F617A69"/>
    <w:rsid w:val="5F67FF0C"/>
    <w:rsid w:val="5F6A5C89"/>
    <w:rsid w:val="5F70196A"/>
    <w:rsid w:val="5F744E9B"/>
    <w:rsid w:val="5F7D745E"/>
    <w:rsid w:val="5F854E91"/>
    <w:rsid w:val="5F88C5C3"/>
    <w:rsid w:val="5F88DE27"/>
    <w:rsid w:val="5F8B0407"/>
    <w:rsid w:val="5F8F2B78"/>
    <w:rsid w:val="5F9080D2"/>
    <w:rsid w:val="5F91402E"/>
    <w:rsid w:val="5F968641"/>
    <w:rsid w:val="5F9D3944"/>
    <w:rsid w:val="5FA18617"/>
    <w:rsid w:val="5FA481CF"/>
    <w:rsid w:val="5FA51E82"/>
    <w:rsid w:val="5FA54CB6"/>
    <w:rsid w:val="5FA639EE"/>
    <w:rsid w:val="5FA71E7F"/>
    <w:rsid w:val="5FA749DC"/>
    <w:rsid w:val="5FA83599"/>
    <w:rsid w:val="5FABC8F5"/>
    <w:rsid w:val="5FB0F6AE"/>
    <w:rsid w:val="5FB4AA41"/>
    <w:rsid w:val="5FBAB384"/>
    <w:rsid w:val="5FBB8A3F"/>
    <w:rsid w:val="5FC0E7D8"/>
    <w:rsid w:val="5FC1A7DD"/>
    <w:rsid w:val="5FC6C1BB"/>
    <w:rsid w:val="5FC87B3F"/>
    <w:rsid w:val="5FCF2323"/>
    <w:rsid w:val="5FCFADE3"/>
    <w:rsid w:val="5FD89563"/>
    <w:rsid w:val="5FDDEC4D"/>
    <w:rsid w:val="5FEABDDF"/>
    <w:rsid w:val="5FEE1C7A"/>
    <w:rsid w:val="5FEFB615"/>
    <w:rsid w:val="5FF3DCD6"/>
    <w:rsid w:val="5FF5B5A3"/>
    <w:rsid w:val="5FFBAEFD"/>
    <w:rsid w:val="60064D7D"/>
    <w:rsid w:val="600903FB"/>
    <w:rsid w:val="600C3559"/>
    <w:rsid w:val="600CE815"/>
    <w:rsid w:val="60102B51"/>
    <w:rsid w:val="6014A247"/>
    <w:rsid w:val="6018B683"/>
    <w:rsid w:val="60191FA3"/>
    <w:rsid w:val="60198FEB"/>
    <w:rsid w:val="601A064F"/>
    <w:rsid w:val="601AE915"/>
    <w:rsid w:val="60266086"/>
    <w:rsid w:val="6028D5B1"/>
    <w:rsid w:val="602C1F10"/>
    <w:rsid w:val="602F6ED1"/>
    <w:rsid w:val="6039A2C5"/>
    <w:rsid w:val="6039F187"/>
    <w:rsid w:val="603C77BB"/>
    <w:rsid w:val="603D16E4"/>
    <w:rsid w:val="603E7BC6"/>
    <w:rsid w:val="6044415E"/>
    <w:rsid w:val="60474D6B"/>
    <w:rsid w:val="604F705A"/>
    <w:rsid w:val="6050B49B"/>
    <w:rsid w:val="605D080A"/>
    <w:rsid w:val="605EF608"/>
    <w:rsid w:val="605F0823"/>
    <w:rsid w:val="606798CF"/>
    <w:rsid w:val="606DB07E"/>
    <w:rsid w:val="606FB8B2"/>
    <w:rsid w:val="6071E5C5"/>
    <w:rsid w:val="607965F5"/>
    <w:rsid w:val="607FA64C"/>
    <w:rsid w:val="6083CD06"/>
    <w:rsid w:val="608736DD"/>
    <w:rsid w:val="608CD452"/>
    <w:rsid w:val="608E8D73"/>
    <w:rsid w:val="60989212"/>
    <w:rsid w:val="60A2D91E"/>
    <w:rsid w:val="60A96CB4"/>
    <w:rsid w:val="60BAF82A"/>
    <w:rsid w:val="60BE8C61"/>
    <w:rsid w:val="60BF55A8"/>
    <w:rsid w:val="60C1E7DC"/>
    <w:rsid w:val="60C91CB2"/>
    <w:rsid w:val="60CA18D1"/>
    <w:rsid w:val="60CB3387"/>
    <w:rsid w:val="60D3AD03"/>
    <w:rsid w:val="60D4EA22"/>
    <w:rsid w:val="60D8B4B2"/>
    <w:rsid w:val="60E69183"/>
    <w:rsid w:val="60EF2F82"/>
    <w:rsid w:val="60F5E498"/>
    <w:rsid w:val="60F75AEA"/>
    <w:rsid w:val="60F77AFA"/>
    <w:rsid w:val="60F7B6A4"/>
    <w:rsid w:val="6105BC4B"/>
    <w:rsid w:val="6109499C"/>
    <w:rsid w:val="610FB3EB"/>
    <w:rsid w:val="6112F0A5"/>
    <w:rsid w:val="61177502"/>
    <w:rsid w:val="611F0051"/>
    <w:rsid w:val="612A4773"/>
    <w:rsid w:val="61355B5F"/>
    <w:rsid w:val="6135726C"/>
    <w:rsid w:val="613D02B9"/>
    <w:rsid w:val="613DF160"/>
    <w:rsid w:val="6140B49E"/>
    <w:rsid w:val="614822DA"/>
    <w:rsid w:val="6148260C"/>
    <w:rsid w:val="614985C6"/>
    <w:rsid w:val="614B0F5B"/>
    <w:rsid w:val="614F12C5"/>
    <w:rsid w:val="614F7A56"/>
    <w:rsid w:val="61501013"/>
    <w:rsid w:val="6155BFA1"/>
    <w:rsid w:val="615F86D6"/>
    <w:rsid w:val="61609A5C"/>
    <w:rsid w:val="61652BCB"/>
    <w:rsid w:val="61662ACE"/>
    <w:rsid w:val="616F5D13"/>
    <w:rsid w:val="61700B10"/>
    <w:rsid w:val="6182C108"/>
    <w:rsid w:val="61841FE5"/>
    <w:rsid w:val="618AE8FA"/>
    <w:rsid w:val="6194A257"/>
    <w:rsid w:val="6196D4B8"/>
    <w:rsid w:val="6199B5BA"/>
    <w:rsid w:val="61A184F2"/>
    <w:rsid w:val="61A41C61"/>
    <w:rsid w:val="61A5033F"/>
    <w:rsid w:val="61AD5DDB"/>
    <w:rsid w:val="61B32183"/>
    <w:rsid w:val="61B4E91F"/>
    <w:rsid w:val="61B8CE93"/>
    <w:rsid w:val="61BD52D7"/>
    <w:rsid w:val="61C2BFA6"/>
    <w:rsid w:val="61C4C7C5"/>
    <w:rsid w:val="61C9EE27"/>
    <w:rsid w:val="61CBD8ED"/>
    <w:rsid w:val="61CCA53F"/>
    <w:rsid w:val="61CE90F7"/>
    <w:rsid w:val="61D37180"/>
    <w:rsid w:val="61DF5D82"/>
    <w:rsid w:val="61DF6F7A"/>
    <w:rsid w:val="61DF796E"/>
    <w:rsid w:val="61DFD789"/>
    <w:rsid w:val="61E1894F"/>
    <w:rsid w:val="61E1E794"/>
    <w:rsid w:val="61EA1BB0"/>
    <w:rsid w:val="61EBB6A4"/>
    <w:rsid w:val="61EFF79B"/>
    <w:rsid w:val="61F149E1"/>
    <w:rsid w:val="61F1D50F"/>
    <w:rsid w:val="61FD74E3"/>
    <w:rsid w:val="6211CFA4"/>
    <w:rsid w:val="6212DE9A"/>
    <w:rsid w:val="62193B81"/>
    <w:rsid w:val="621E5D66"/>
    <w:rsid w:val="6221AFBB"/>
    <w:rsid w:val="6221E909"/>
    <w:rsid w:val="6226AC9E"/>
    <w:rsid w:val="622D0FA1"/>
    <w:rsid w:val="622E95B2"/>
    <w:rsid w:val="62302399"/>
    <w:rsid w:val="62313B26"/>
    <w:rsid w:val="62321ED5"/>
    <w:rsid w:val="6235BBEC"/>
    <w:rsid w:val="6238EBB0"/>
    <w:rsid w:val="62398C58"/>
    <w:rsid w:val="623C1CCF"/>
    <w:rsid w:val="62417834"/>
    <w:rsid w:val="62438803"/>
    <w:rsid w:val="62452EEE"/>
    <w:rsid w:val="624C90E8"/>
    <w:rsid w:val="624DC6BC"/>
    <w:rsid w:val="624FD9BE"/>
    <w:rsid w:val="624FE803"/>
    <w:rsid w:val="6252500E"/>
    <w:rsid w:val="62562438"/>
    <w:rsid w:val="6257DE49"/>
    <w:rsid w:val="6259EBAB"/>
    <w:rsid w:val="625A0713"/>
    <w:rsid w:val="625B5D3E"/>
    <w:rsid w:val="625B6DBC"/>
    <w:rsid w:val="625CB29E"/>
    <w:rsid w:val="6260B59D"/>
    <w:rsid w:val="62647EDC"/>
    <w:rsid w:val="626573CF"/>
    <w:rsid w:val="62660D8F"/>
    <w:rsid w:val="62661E9F"/>
    <w:rsid w:val="62677433"/>
    <w:rsid w:val="627AAD99"/>
    <w:rsid w:val="627D4105"/>
    <w:rsid w:val="628C63C8"/>
    <w:rsid w:val="628E21BB"/>
    <w:rsid w:val="628EA96F"/>
    <w:rsid w:val="629169EE"/>
    <w:rsid w:val="6291769A"/>
    <w:rsid w:val="6297A7AD"/>
    <w:rsid w:val="629958B6"/>
    <w:rsid w:val="629A8E22"/>
    <w:rsid w:val="629ACBAA"/>
    <w:rsid w:val="629F287B"/>
    <w:rsid w:val="62A6DD76"/>
    <w:rsid w:val="62AF2368"/>
    <w:rsid w:val="62B2FF7D"/>
    <w:rsid w:val="62BCD591"/>
    <w:rsid w:val="62C1110B"/>
    <w:rsid w:val="62C28047"/>
    <w:rsid w:val="62C38C0D"/>
    <w:rsid w:val="62D47B0E"/>
    <w:rsid w:val="62DD39D2"/>
    <w:rsid w:val="62E2E576"/>
    <w:rsid w:val="62E4C1EF"/>
    <w:rsid w:val="62E6D108"/>
    <w:rsid w:val="62EEE655"/>
    <w:rsid w:val="62F12F40"/>
    <w:rsid w:val="62F16F34"/>
    <w:rsid w:val="62F1C826"/>
    <w:rsid w:val="62F5E073"/>
    <w:rsid w:val="62F89AAD"/>
    <w:rsid w:val="62FAD95F"/>
    <w:rsid w:val="62FC39B3"/>
    <w:rsid w:val="62FDA838"/>
    <w:rsid w:val="63085389"/>
    <w:rsid w:val="630E32A1"/>
    <w:rsid w:val="63111B4F"/>
    <w:rsid w:val="631365B8"/>
    <w:rsid w:val="6317561B"/>
    <w:rsid w:val="63238997"/>
    <w:rsid w:val="6323C9CC"/>
    <w:rsid w:val="6328CE1B"/>
    <w:rsid w:val="632A26CB"/>
    <w:rsid w:val="632E195F"/>
    <w:rsid w:val="632F3E6D"/>
    <w:rsid w:val="6336061F"/>
    <w:rsid w:val="6337FACE"/>
    <w:rsid w:val="63387CB1"/>
    <w:rsid w:val="63408A12"/>
    <w:rsid w:val="6345CA8B"/>
    <w:rsid w:val="63472B10"/>
    <w:rsid w:val="6349A2DA"/>
    <w:rsid w:val="634F0912"/>
    <w:rsid w:val="63539AEC"/>
    <w:rsid w:val="635717B7"/>
    <w:rsid w:val="635C2904"/>
    <w:rsid w:val="635CD6DD"/>
    <w:rsid w:val="635D269E"/>
    <w:rsid w:val="635F7BDB"/>
    <w:rsid w:val="63620DB7"/>
    <w:rsid w:val="63621A6D"/>
    <w:rsid w:val="636A1C63"/>
    <w:rsid w:val="636C04D1"/>
    <w:rsid w:val="63797C62"/>
    <w:rsid w:val="6384D475"/>
    <w:rsid w:val="63856512"/>
    <w:rsid w:val="638618D1"/>
    <w:rsid w:val="638660D9"/>
    <w:rsid w:val="63880CD2"/>
    <w:rsid w:val="638EDC18"/>
    <w:rsid w:val="639F4DC6"/>
    <w:rsid w:val="63A2D586"/>
    <w:rsid w:val="63C0814A"/>
    <w:rsid w:val="63CA036E"/>
    <w:rsid w:val="63CBCC64"/>
    <w:rsid w:val="63CE02FC"/>
    <w:rsid w:val="63D02D5A"/>
    <w:rsid w:val="63D11E71"/>
    <w:rsid w:val="63D83768"/>
    <w:rsid w:val="63D9EB28"/>
    <w:rsid w:val="63DB3F71"/>
    <w:rsid w:val="63DBA0EA"/>
    <w:rsid w:val="63E34871"/>
    <w:rsid w:val="63E4E4D4"/>
    <w:rsid w:val="63E557A3"/>
    <w:rsid w:val="63F29FCA"/>
    <w:rsid w:val="63F65DF3"/>
    <w:rsid w:val="63FC6565"/>
    <w:rsid w:val="63FD82FF"/>
    <w:rsid w:val="64078027"/>
    <w:rsid w:val="64099188"/>
    <w:rsid w:val="640BD23C"/>
    <w:rsid w:val="640E7D70"/>
    <w:rsid w:val="64128AEE"/>
    <w:rsid w:val="6412B2BF"/>
    <w:rsid w:val="6415F7D8"/>
    <w:rsid w:val="6419562A"/>
    <w:rsid w:val="641A41C9"/>
    <w:rsid w:val="641A862E"/>
    <w:rsid w:val="6422266A"/>
    <w:rsid w:val="6424BC46"/>
    <w:rsid w:val="64278BCB"/>
    <w:rsid w:val="6428221B"/>
    <w:rsid w:val="643146BB"/>
    <w:rsid w:val="643CE952"/>
    <w:rsid w:val="643F0A73"/>
    <w:rsid w:val="644BF8C8"/>
    <w:rsid w:val="645204FF"/>
    <w:rsid w:val="645B34E3"/>
    <w:rsid w:val="64648A66"/>
    <w:rsid w:val="64649168"/>
    <w:rsid w:val="6467422D"/>
    <w:rsid w:val="646D15FC"/>
    <w:rsid w:val="646DEB8D"/>
    <w:rsid w:val="646ED9C9"/>
    <w:rsid w:val="646FC7CC"/>
    <w:rsid w:val="6473E798"/>
    <w:rsid w:val="64799EA4"/>
    <w:rsid w:val="6479D175"/>
    <w:rsid w:val="64912375"/>
    <w:rsid w:val="649FE738"/>
    <w:rsid w:val="64A4C051"/>
    <w:rsid w:val="64A837E3"/>
    <w:rsid w:val="64AB7637"/>
    <w:rsid w:val="64AB9699"/>
    <w:rsid w:val="64ADA7A3"/>
    <w:rsid w:val="64B11672"/>
    <w:rsid w:val="64BCBFAA"/>
    <w:rsid w:val="64C371CF"/>
    <w:rsid w:val="64C81B2C"/>
    <w:rsid w:val="64D012B9"/>
    <w:rsid w:val="64DD0256"/>
    <w:rsid w:val="64DFB9CF"/>
    <w:rsid w:val="64E56361"/>
    <w:rsid w:val="64ECBFA5"/>
    <w:rsid w:val="64EE5046"/>
    <w:rsid w:val="64EFAB2E"/>
    <w:rsid w:val="64F27F2A"/>
    <w:rsid w:val="64F2AC27"/>
    <w:rsid w:val="64FEAA8A"/>
    <w:rsid w:val="64FF9E4B"/>
    <w:rsid w:val="65004EB9"/>
    <w:rsid w:val="6505882A"/>
    <w:rsid w:val="65084F15"/>
    <w:rsid w:val="650B5DF9"/>
    <w:rsid w:val="650C5BE7"/>
    <w:rsid w:val="650C95F4"/>
    <w:rsid w:val="650CE02C"/>
    <w:rsid w:val="650DF071"/>
    <w:rsid w:val="6513D9BF"/>
    <w:rsid w:val="651679E9"/>
    <w:rsid w:val="651BD8B2"/>
    <w:rsid w:val="651E27DD"/>
    <w:rsid w:val="6521D401"/>
    <w:rsid w:val="65267750"/>
    <w:rsid w:val="652B83D9"/>
    <w:rsid w:val="652F817C"/>
    <w:rsid w:val="652FB3FC"/>
    <w:rsid w:val="6534ADBE"/>
    <w:rsid w:val="653B741F"/>
    <w:rsid w:val="653CE969"/>
    <w:rsid w:val="6545565F"/>
    <w:rsid w:val="6549F771"/>
    <w:rsid w:val="654D7FD2"/>
    <w:rsid w:val="654F3D8E"/>
    <w:rsid w:val="654FD39B"/>
    <w:rsid w:val="65537231"/>
    <w:rsid w:val="655696CA"/>
    <w:rsid w:val="655ACC91"/>
    <w:rsid w:val="655B55FA"/>
    <w:rsid w:val="655EAB23"/>
    <w:rsid w:val="6564C737"/>
    <w:rsid w:val="6565A519"/>
    <w:rsid w:val="656BADA6"/>
    <w:rsid w:val="656EAC12"/>
    <w:rsid w:val="6573BACE"/>
    <w:rsid w:val="6574C528"/>
    <w:rsid w:val="657A6987"/>
    <w:rsid w:val="657F4AA8"/>
    <w:rsid w:val="65866DE5"/>
    <w:rsid w:val="6587792E"/>
    <w:rsid w:val="6589B027"/>
    <w:rsid w:val="659F5E65"/>
    <w:rsid w:val="65A640C8"/>
    <w:rsid w:val="65AB7843"/>
    <w:rsid w:val="65ACF64A"/>
    <w:rsid w:val="65AE244D"/>
    <w:rsid w:val="65B124D7"/>
    <w:rsid w:val="65B6A8C0"/>
    <w:rsid w:val="65B946D7"/>
    <w:rsid w:val="65C19DD1"/>
    <w:rsid w:val="65CC60EA"/>
    <w:rsid w:val="65CE6B88"/>
    <w:rsid w:val="65D05874"/>
    <w:rsid w:val="65D6A9E6"/>
    <w:rsid w:val="65D81FB7"/>
    <w:rsid w:val="65D9FE52"/>
    <w:rsid w:val="65DF7966"/>
    <w:rsid w:val="65E29DA9"/>
    <w:rsid w:val="65E5B5CA"/>
    <w:rsid w:val="65E93E7E"/>
    <w:rsid w:val="65ECD8CA"/>
    <w:rsid w:val="65F05FC5"/>
    <w:rsid w:val="65F45332"/>
    <w:rsid w:val="65F627B0"/>
    <w:rsid w:val="66014A69"/>
    <w:rsid w:val="66079432"/>
    <w:rsid w:val="660C175D"/>
    <w:rsid w:val="660D7783"/>
    <w:rsid w:val="66105E48"/>
    <w:rsid w:val="6611803E"/>
    <w:rsid w:val="6615C2C7"/>
    <w:rsid w:val="661CE74F"/>
    <w:rsid w:val="662233B2"/>
    <w:rsid w:val="66234A01"/>
    <w:rsid w:val="662946FA"/>
    <w:rsid w:val="66310C04"/>
    <w:rsid w:val="66338565"/>
    <w:rsid w:val="6634A6C0"/>
    <w:rsid w:val="6635BBAA"/>
    <w:rsid w:val="6636F099"/>
    <w:rsid w:val="663B78D4"/>
    <w:rsid w:val="66449C65"/>
    <w:rsid w:val="664B930D"/>
    <w:rsid w:val="664E7687"/>
    <w:rsid w:val="66586447"/>
    <w:rsid w:val="66592FC4"/>
    <w:rsid w:val="665CCD0A"/>
    <w:rsid w:val="66625BB4"/>
    <w:rsid w:val="666F3E55"/>
    <w:rsid w:val="6671A429"/>
    <w:rsid w:val="66754682"/>
    <w:rsid w:val="66791813"/>
    <w:rsid w:val="667DC3CB"/>
    <w:rsid w:val="66842643"/>
    <w:rsid w:val="668A4D3B"/>
    <w:rsid w:val="668AF535"/>
    <w:rsid w:val="669D11DB"/>
    <w:rsid w:val="66A3F0B6"/>
    <w:rsid w:val="66A4BC74"/>
    <w:rsid w:val="66A6F3D8"/>
    <w:rsid w:val="66B03D7C"/>
    <w:rsid w:val="66B3C3F6"/>
    <w:rsid w:val="66B45C39"/>
    <w:rsid w:val="66B5416C"/>
    <w:rsid w:val="66B9DB54"/>
    <w:rsid w:val="66C11D05"/>
    <w:rsid w:val="66C580BB"/>
    <w:rsid w:val="66C8756B"/>
    <w:rsid w:val="66C9E5EA"/>
    <w:rsid w:val="66CA3676"/>
    <w:rsid w:val="66CBB653"/>
    <w:rsid w:val="66CC83A5"/>
    <w:rsid w:val="66CD8BDE"/>
    <w:rsid w:val="66CE312A"/>
    <w:rsid w:val="66CFF089"/>
    <w:rsid w:val="66D25B25"/>
    <w:rsid w:val="66D476DA"/>
    <w:rsid w:val="66D48E13"/>
    <w:rsid w:val="66DD6FAC"/>
    <w:rsid w:val="66DF9F09"/>
    <w:rsid w:val="66E70AA4"/>
    <w:rsid w:val="66E89D67"/>
    <w:rsid w:val="66EE44E2"/>
    <w:rsid w:val="66F539C3"/>
    <w:rsid w:val="66F56C75"/>
    <w:rsid w:val="66FF6B41"/>
    <w:rsid w:val="670039C8"/>
    <w:rsid w:val="6700DB6B"/>
    <w:rsid w:val="67030BE6"/>
    <w:rsid w:val="671B794E"/>
    <w:rsid w:val="6720031A"/>
    <w:rsid w:val="6723BB30"/>
    <w:rsid w:val="67275E73"/>
    <w:rsid w:val="672F47D0"/>
    <w:rsid w:val="672F502C"/>
    <w:rsid w:val="672F664C"/>
    <w:rsid w:val="673137E2"/>
    <w:rsid w:val="6732A915"/>
    <w:rsid w:val="6737E566"/>
    <w:rsid w:val="673B79A7"/>
    <w:rsid w:val="673DB8E1"/>
    <w:rsid w:val="673F4FB1"/>
    <w:rsid w:val="67450476"/>
    <w:rsid w:val="67516C9F"/>
    <w:rsid w:val="675D344F"/>
    <w:rsid w:val="6761F3DE"/>
    <w:rsid w:val="67666492"/>
    <w:rsid w:val="6766AE79"/>
    <w:rsid w:val="67670FE6"/>
    <w:rsid w:val="67686083"/>
    <w:rsid w:val="67699315"/>
    <w:rsid w:val="6769A7C8"/>
    <w:rsid w:val="676A06CD"/>
    <w:rsid w:val="6774773E"/>
    <w:rsid w:val="67754B90"/>
    <w:rsid w:val="6775504D"/>
    <w:rsid w:val="6776D869"/>
    <w:rsid w:val="677D7B8A"/>
    <w:rsid w:val="67843C8F"/>
    <w:rsid w:val="678446A0"/>
    <w:rsid w:val="67889FD9"/>
    <w:rsid w:val="6788F6FE"/>
    <w:rsid w:val="678D76DA"/>
    <w:rsid w:val="6796F996"/>
    <w:rsid w:val="67A91572"/>
    <w:rsid w:val="67AE81C5"/>
    <w:rsid w:val="67AE988F"/>
    <w:rsid w:val="67B3FCEB"/>
    <w:rsid w:val="67B76F1A"/>
    <w:rsid w:val="67CA02E1"/>
    <w:rsid w:val="67CA05CE"/>
    <w:rsid w:val="67CB7442"/>
    <w:rsid w:val="67CF2A39"/>
    <w:rsid w:val="67DD3DC4"/>
    <w:rsid w:val="67E1C142"/>
    <w:rsid w:val="67E226E9"/>
    <w:rsid w:val="67E6B90A"/>
    <w:rsid w:val="67E8BC60"/>
    <w:rsid w:val="67E91F3B"/>
    <w:rsid w:val="67EA3F7E"/>
    <w:rsid w:val="67F97540"/>
    <w:rsid w:val="67FA8609"/>
    <w:rsid w:val="67FE1F1C"/>
    <w:rsid w:val="67FF76A0"/>
    <w:rsid w:val="6800F7BF"/>
    <w:rsid w:val="68037260"/>
    <w:rsid w:val="6805FD3E"/>
    <w:rsid w:val="6808FA2B"/>
    <w:rsid w:val="6808FA6B"/>
    <w:rsid w:val="6815DEE4"/>
    <w:rsid w:val="6819930E"/>
    <w:rsid w:val="682044C8"/>
    <w:rsid w:val="6826BB2D"/>
    <w:rsid w:val="68279BE8"/>
    <w:rsid w:val="6828E6AC"/>
    <w:rsid w:val="682BA5B0"/>
    <w:rsid w:val="68302907"/>
    <w:rsid w:val="6831DC11"/>
    <w:rsid w:val="68359D3B"/>
    <w:rsid w:val="683AD8FD"/>
    <w:rsid w:val="683C4E43"/>
    <w:rsid w:val="68403425"/>
    <w:rsid w:val="68479579"/>
    <w:rsid w:val="684B20AF"/>
    <w:rsid w:val="6854D752"/>
    <w:rsid w:val="6855C2D4"/>
    <w:rsid w:val="68571700"/>
    <w:rsid w:val="68588A56"/>
    <w:rsid w:val="685B06EE"/>
    <w:rsid w:val="685B558B"/>
    <w:rsid w:val="685F8D48"/>
    <w:rsid w:val="6865360A"/>
    <w:rsid w:val="68693087"/>
    <w:rsid w:val="6869D77D"/>
    <w:rsid w:val="686B83CA"/>
    <w:rsid w:val="686BE51D"/>
    <w:rsid w:val="6876E4C2"/>
    <w:rsid w:val="6880BD1A"/>
    <w:rsid w:val="68820AF3"/>
    <w:rsid w:val="688C9C5F"/>
    <w:rsid w:val="6892767E"/>
    <w:rsid w:val="689353F4"/>
    <w:rsid w:val="6895CED1"/>
    <w:rsid w:val="68960889"/>
    <w:rsid w:val="6896C759"/>
    <w:rsid w:val="68994318"/>
    <w:rsid w:val="689F3C90"/>
    <w:rsid w:val="68A241FC"/>
    <w:rsid w:val="68A29D8E"/>
    <w:rsid w:val="68A4921F"/>
    <w:rsid w:val="68A4E44A"/>
    <w:rsid w:val="68A520C3"/>
    <w:rsid w:val="68B4AEA7"/>
    <w:rsid w:val="68B60446"/>
    <w:rsid w:val="68B7DE9F"/>
    <w:rsid w:val="68BB78CD"/>
    <w:rsid w:val="68BBA7DF"/>
    <w:rsid w:val="68BC2BD0"/>
    <w:rsid w:val="68BD16A0"/>
    <w:rsid w:val="68BFA195"/>
    <w:rsid w:val="68C19192"/>
    <w:rsid w:val="68C1C404"/>
    <w:rsid w:val="68C36ECE"/>
    <w:rsid w:val="68C85C08"/>
    <w:rsid w:val="68CAF347"/>
    <w:rsid w:val="68D2A1BA"/>
    <w:rsid w:val="68D7A9DC"/>
    <w:rsid w:val="68D9F2CA"/>
    <w:rsid w:val="68DAC5C0"/>
    <w:rsid w:val="68EB3D8D"/>
    <w:rsid w:val="68EDF5AA"/>
    <w:rsid w:val="68F04A62"/>
    <w:rsid w:val="68F19087"/>
    <w:rsid w:val="68F30FDA"/>
    <w:rsid w:val="68F75B53"/>
    <w:rsid w:val="68F961B4"/>
    <w:rsid w:val="68FA7C44"/>
    <w:rsid w:val="68FF5B87"/>
    <w:rsid w:val="69104E74"/>
    <w:rsid w:val="691630C5"/>
    <w:rsid w:val="69165886"/>
    <w:rsid w:val="6916F1E1"/>
    <w:rsid w:val="6917DC69"/>
    <w:rsid w:val="6918A381"/>
    <w:rsid w:val="6919D0D5"/>
    <w:rsid w:val="691AC24D"/>
    <w:rsid w:val="691CE331"/>
    <w:rsid w:val="691F133F"/>
    <w:rsid w:val="692002AB"/>
    <w:rsid w:val="6920788C"/>
    <w:rsid w:val="6922A5A8"/>
    <w:rsid w:val="69241175"/>
    <w:rsid w:val="6926D172"/>
    <w:rsid w:val="69280E24"/>
    <w:rsid w:val="6928C344"/>
    <w:rsid w:val="692E18DF"/>
    <w:rsid w:val="6930942E"/>
    <w:rsid w:val="6935492B"/>
    <w:rsid w:val="693B4AFE"/>
    <w:rsid w:val="693C9368"/>
    <w:rsid w:val="693CCE50"/>
    <w:rsid w:val="6941CD96"/>
    <w:rsid w:val="69443F4A"/>
    <w:rsid w:val="69492762"/>
    <w:rsid w:val="694CEAA6"/>
    <w:rsid w:val="6951727F"/>
    <w:rsid w:val="69524468"/>
    <w:rsid w:val="69579F0F"/>
    <w:rsid w:val="695BF062"/>
    <w:rsid w:val="695C46CD"/>
    <w:rsid w:val="695E7F8F"/>
    <w:rsid w:val="695F98B4"/>
    <w:rsid w:val="696C33C9"/>
    <w:rsid w:val="696F4745"/>
    <w:rsid w:val="69788A1D"/>
    <w:rsid w:val="697B24BC"/>
    <w:rsid w:val="697D16FF"/>
    <w:rsid w:val="697E1D68"/>
    <w:rsid w:val="6981F610"/>
    <w:rsid w:val="698454E2"/>
    <w:rsid w:val="698E3877"/>
    <w:rsid w:val="6992C5D1"/>
    <w:rsid w:val="699A3C81"/>
    <w:rsid w:val="699B6E22"/>
    <w:rsid w:val="699BE3B2"/>
    <w:rsid w:val="699CFF1E"/>
    <w:rsid w:val="69A44159"/>
    <w:rsid w:val="69AD3A29"/>
    <w:rsid w:val="69AD93BD"/>
    <w:rsid w:val="69AF4AEC"/>
    <w:rsid w:val="69B75427"/>
    <w:rsid w:val="69BB0BD6"/>
    <w:rsid w:val="69BB0E61"/>
    <w:rsid w:val="69BFC027"/>
    <w:rsid w:val="69C21052"/>
    <w:rsid w:val="69CC3F0D"/>
    <w:rsid w:val="69CEADC9"/>
    <w:rsid w:val="69CF825C"/>
    <w:rsid w:val="69D0DA34"/>
    <w:rsid w:val="69D13E6E"/>
    <w:rsid w:val="69D5D383"/>
    <w:rsid w:val="69D74BD1"/>
    <w:rsid w:val="69D7FD9B"/>
    <w:rsid w:val="69D9D6EE"/>
    <w:rsid w:val="69EA11ED"/>
    <w:rsid w:val="69EBFACF"/>
    <w:rsid w:val="69EE12E2"/>
    <w:rsid w:val="69F1BA78"/>
    <w:rsid w:val="69FAE351"/>
    <w:rsid w:val="69FC35DA"/>
    <w:rsid w:val="69FDA4E5"/>
    <w:rsid w:val="69FF87BD"/>
    <w:rsid w:val="6A052CC9"/>
    <w:rsid w:val="6A05C19A"/>
    <w:rsid w:val="6A08E537"/>
    <w:rsid w:val="6A0BF8EC"/>
    <w:rsid w:val="6A0ECAFC"/>
    <w:rsid w:val="6A15B5B6"/>
    <w:rsid w:val="6A1AB36B"/>
    <w:rsid w:val="6A1C3938"/>
    <w:rsid w:val="6A1EB2CC"/>
    <w:rsid w:val="6A20156A"/>
    <w:rsid w:val="6A2033C1"/>
    <w:rsid w:val="6A206BAA"/>
    <w:rsid w:val="6A267310"/>
    <w:rsid w:val="6A2B3DDD"/>
    <w:rsid w:val="6A2C6EC0"/>
    <w:rsid w:val="6A2D2B37"/>
    <w:rsid w:val="6A325807"/>
    <w:rsid w:val="6A3AF803"/>
    <w:rsid w:val="6A3D3669"/>
    <w:rsid w:val="6A40DF6C"/>
    <w:rsid w:val="6A42E06E"/>
    <w:rsid w:val="6A43A580"/>
    <w:rsid w:val="6A4684FE"/>
    <w:rsid w:val="6A493FEC"/>
    <w:rsid w:val="6A4B1192"/>
    <w:rsid w:val="6A4D36C0"/>
    <w:rsid w:val="6A5323CB"/>
    <w:rsid w:val="6A559F73"/>
    <w:rsid w:val="6A57DCE3"/>
    <w:rsid w:val="6A58C40F"/>
    <w:rsid w:val="6A5A5990"/>
    <w:rsid w:val="6A5DE0F7"/>
    <w:rsid w:val="6A64770F"/>
    <w:rsid w:val="6A65D571"/>
    <w:rsid w:val="6A672FFC"/>
    <w:rsid w:val="6A6E3697"/>
    <w:rsid w:val="6A7199FA"/>
    <w:rsid w:val="6A78CFA0"/>
    <w:rsid w:val="6A856DBC"/>
    <w:rsid w:val="6A87DF08"/>
    <w:rsid w:val="6A8AA5C4"/>
    <w:rsid w:val="6A8C5C99"/>
    <w:rsid w:val="6A9373A1"/>
    <w:rsid w:val="6A954E54"/>
    <w:rsid w:val="6AA1A7FF"/>
    <w:rsid w:val="6AA2D358"/>
    <w:rsid w:val="6AA8BF46"/>
    <w:rsid w:val="6AB2DAA5"/>
    <w:rsid w:val="6AB6AA25"/>
    <w:rsid w:val="6AB8ED4E"/>
    <w:rsid w:val="6AB91B1D"/>
    <w:rsid w:val="6AB9FB69"/>
    <w:rsid w:val="6AC3ADBB"/>
    <w:rsid w:val="6AC68760"/>
    <w:rsid w:val="6AD13D33"/>
    <w:rsid w:val="6AD526CB"/>
    <w:rsid w:val="6AD73517"/>
    <w:rsid w:val="6AD7C68A"/>
    <w:rsid w:val="6AD99F21"/>
    <w:rsid w:val="6ADADA57"/>
    <w:rsid w:val="6ADDF33B"/>
    <w:rsid w:val="6AE030F4"/>
    <w:rsid w:val="6AE15247"/>
    <w:rsid w:val="6AE30BE8"/>
    <w:rsid w:val="6AE45A89"/>
    <w:rsid w:val="6AF0007E"/>
    <w:rsid w:val="6AF0A6E3"/>
    <w:rsid w:val="6AF0AE03"/>
    <w:rsid w:val="6AF16067"/>
    <w:rsid w:val="6AF4885A"/>
    <w:rsid w:val="6AF6D42A"/>
    <w:rsid w:val="6B028BD4"/>
    <w:rsid w:val="6B157585"/>
    <w:rsid w:val="6B1FCFF4"/>
    <w:rsid w:val="6B215E75"/>
    <w:rsid w:val="6B2448D7"/>
    <w:rsid w:val="6B248275"/>
    <w:rsid w:val="6B2A6BD5"/>
    <w:rsid w:val="6B2B0FA7"/>
    <w:rsid w:val="6B2C4A25"/>
    <w:rsid w:val="6B311032"/>
    <w:rsid w:val="6B3DAB44"/>
    <w:rsid w:val="6B459291"/>
    <w:rsid w:val="6B47EEAA"/>
    <w:rsid w:val="6B511FD4"/>
    <w:rsid w:val="6B52826C"/>
    <w:rsid w:val="6B587013"/>
    <w:rsid w:val="6B5A5875"/>
    <w:rsid w:val="6B5B73ED"/>
    <w:rsid w:val="6B5B823C"/>
    <w:rsid w:val="6B5FC5F0"/>
    <w:rsid w:val="6B639A7E"/>
    <w:rsid w:val="6B643BFD"/>
    <w:rsid w:val="6B673D2E"/>
    <w:rsid w:val="6B706199"/>
    <w:rsid w:val="6B713ED4"/>
    <w:rsid w:val="6B785851"/>
    <w:rsid w:val="6B879DB7"/>
    <w:rsid w:val="6B8A6F3A"/>
    <w:rsid w:val="6B8B2DA6"/>
    <w:rsid w:val="6B8BE8DF"/>
    <w:rsid w:val="6B8F7047"/>
    <w:rsid w:val="6B927D35"/>
    <w:rsid w:val="6B95B50E"/>
    <w:rsid w:val="6B9A699B"/>
    <w:rsid w:val="6B9C41F8"/>
    <w:rsid w:val="6B9C90F1"/>
    <w:rsid w:val="6BA20E73"/>
    <w:rsid w:val="6BA35A51"/>
    <w:rsid w:val="6BAE870C"/>
    <w:rsid w:val="6BB069FE"/>
    <w:rsid w:val="6BB4C1A2"/>
    <w:rsid w:val="6BB80910"/>
    <w:rsid w:val="6BB98E0F"/>
    <w:rsid w:val="6BB9A502"/>
    <w:rsid w:val="6BBAEED5"/>
    <w:rsid w:val="6BC59ABC"/>
    <w:rsid w:val="6BC7984D"/>
    <w:rsid w:val="6BCCDC96"/>
    <w:rsid w:val="6BCE04D7"/>
    <w:rsid w:val="6BCF0CCB"/>
    <w:rsid w:val="6BD0F705"/>
    <w:rsid w:val="6BD4A0BF"/>
    <w:rsid w:val="6BD4D364"/>
    <w:rsid w:val="6BD87E82"/>
    <w:rsid w:val="6BDDB331"/>
    <w:rsid w:val="6BE25516"/>
    <w:rsid w:val="6BE39AB7"/>
    <w:rsid w:val="6BE5CB1C"/>
    <w:rsid w:val="6BED885C"/>
    <w:rsid w:val="6BEF3D01"/>
    <w:rsid w:val="6BEF6C87"/>
    <w:rsid w:val="6BF124C1"/>
    <w:rsid w:val="6BF65D3C"/>
    <w:rsid w:val="6BF70D78"/>
    <w:rsid w:val="6BFEE5F8"/>
    <w:rsid w:val="6C04990A"/>
    <w:rsid w:val="6C10574D"/>
    <w:rsid w:val="6C10EFD4"/>
    <w:rsid w:val="6C151E5C"/>
    <w:rsid w:val="6C1889AD"/>
    <w:rsid w:val="6C1B076E"/>
    <w:rsid w:val="6C1C1EAD"/>
    <w:rsid w:val="6C1CC892"/>
    <w:rsid w:val="6C22A76D"/>
    <w:rsid w:val="6C288DAC"/>
    <w:rsid w:val="6C313D95"/>
    <w:rsid w:val="6C31E396"/>
    <w:rsid w:val="6C324B5F"/>
    <w:rsid w:val="6C3C744A"/>
    <w:rsid w:val="6C408067"/>
    <w:rsid w:val="6C41A9E1"/>
    <w:rsid w:val="6C4C712F"/>
    <w:rsid w:val="6C516088"/>
    <w:rsid w:val="6C5308A2"/>
    <w:rsid w:val="6C53C190"/>
    <w:rsid w:val="6C541E40"/>
    <w:rsid w:val="6C55B8BF"/>
    <w:rsid w:val="6C5BE723"/>
    <w:rsid w:val="6C5DC006"/>
    <w:rsid w:val="6C5E9F31"/>
    <w:rsid w:val="6C64DFF2"/>
    <w:rsid w:val="6C650B42"/>
    <w:rsid w:val="6C686F42"/>
    <w:rsid w:val="6C6EA8C5"/>
    <w:rsid w:val="6C6EB307"/>
    <w:rsid w:val="6C7267A1"/>
    <w:rsid w:val="6C77C5EC"/>
    <w:rsid w:val="6C795B58"/>
    <w:rsid w:val="6C7A9C83"/>
    <w:rsid w:val="6C7C70FC"/>
    <w:rsid w:val="6C7E2C1F"/>
    <w:rsid w:val="6C7F3AFE"/>
    <w:rsid w:val="6C8C6ABA"/>
    <w:rsid w:val="6C8CAF00"/>
    <w:rsid w:val="6C93E865"/>
    <w:rsid w:val="6C9649FA"/>
    <w:rsid w:val="6C9DBA4F"/>
    <w:rsid w:val="6CA14809"/>
    <w:rsid w:val="6CA281E0"/>
    <w:rsid w:val="6CA447D5"/>
    <w:rsid w:val="6CA59074"/>
    <w:rsid w:val="6CB368E0"/>
    <w:rsid w:val="6CB76B27"/>
    <w:rsid w:val="6CD3AC27"/>
    <w:rsid w:val="6CE143CB"/>
    <w:rsid w:val="6CE9A7BD"/>
    <w:rsid w:val="6CEFF43C"/>
    <w:rsid w:val="6CF88C6D"/>
    <w:rsid w:val="6CF94DED"/>
    <w:rsid w:val="6CFA0B66"/>
    <w:rsid w:val="6CFA7F27"/>
    <w:rsid w:val="6CFF0035"/>
    <w:rsid w:val="6D0193BA"/>
    <w:rsid w:val="6D02BD7A"/>
    <w:rsid w:val="6D03A804"/>
    <w:rsid w:val="6D08AF75"/>
    <w:rsid w:val="6D0D323E"/>
    <w:rsid w:val="6D1260CE"/>
    <w:rsid w:val="6D15D665"/>
    <w:rsid w:val="6D1F80D7"/>
    <w:rsid w:val="6D2239D0"/>
    <w:rsid w:val="6D23794D"/>
    <w:rsid w:val="6D2408B5"/>
    <w:rsid w:val="6D24E3F0"/>
    <w:rsid w:val="6D27F59D"/>
    <w:rsid w:val="6D46A8B7"/>
    <w:rsid w:val="6D488213"/>
    <w:rsid w:val="6D4CD1BE"/>
    <w:rsid w:val="6D4DC6C6"/>
    <w:rsid w:val="6D4DF6FE"/>
    <w:rsid w:val="6D5A4266"/>
    <w:rsid w:val="6D5ADC43"/>
    <w:rsid w:val="6D623368"/>
    <w:rsid w:val="6D6AD4DA"/>
    <w:rsid w:val="6D7231FD"/>
    <w:rsid w:val="6D7610B3"/>
    <w:rsid w:val="6D7A71DD"/>
    <w:rsid w:val="6D7E83CD"/>
    <w:rsid w:val="6D84E45E"/>
    <w:rsid w:val="6D88D98B"/>
    <w:rsid w:val="6D8DA929"/>
    <w:rsid w:val="6D96C568"/>
    <w:rsid w:val="6D99EA94"/>
    <w:rsid w:val="6D9A6E1B"/>
    <w:rsid w:val="6D9B1EAD"/>
    <w:rsid w:val="6DA1AA72"/>
    <w:rsid w:val="6DA47547"/>
    <w:rsid w:val="6DAD6A0F"/>
    <w:rsid w:val="6DB1CB64"/>
    <w:rsid w:val="6DB570FB"/>
    <w:rsid w:val="6DC253F6"/>
    <w:rsid w:val="6DC425C0"/>
    <w:rsid w:val="6DD1CDE3"/>
    <w:rsid w:val="6DD1CED5"/>
    <w:rsid w:val="6DD5314A"/>
    <w:rsid w:val="6DD5D5BD"/>
    <w:rsid w:val="6DE3E164"/>
    <w:rsid w:val="6DED1D8F"/>
    <w:rsid w:val="6DEFE252"/>
    <w:rsid w:val="6DF50B6F"/>
    <w:rsid w:val="6DF73A41"/>
    <w:rsid w:val="6DFD5B97"/>
    <w:rsid w:val="6E0152B1"/>
    <w:rsid w:val="6E0A925C"/>
    <w:rsid w:val="6E0B314E"/>
    <w:rsid w:val="6E0B44BF"/>
    <w:rsid w:val="6E0C227E"/>
    <w:rsid w:val="6E1D0235"/>
    <w:rsid w:val="6E1E284A"/>
    <w:rsid w:val="6E1FF132"/>
    <w:rsid w:val="6E298151"/>
    <w:rsid w:val="6E2AAFE1"/>
    <w:rsid w:val="6E2B62CD"/>
    <w:rsid w:val="6E2E0650"/>
    <w:rsid w:val="6E2E5228"/>
    <w:rsid w:val="6E2F08DE"/>
    <w:rsid w:val="6E328058"/>
    <w:rsid w:val="6E34C1B2"/>
    <w:rsid w:val="6E3DCDFF"/>
    <w:rsid w:val="6E46273E"/>
    <w:rsid w:val="6E4D28B7"/>
    <w:rsid w:val="6E4D7FFE"/>
    <w:rsid w:val="6E4DC7FF"/>
    <w:rsid w:val="6E4EE5A7"/>
    <w:rsid w:val="6E566AC3"/>
    <w:rsid w:val="6E57D79B"/>
    <w:rsid w:val="6E5C8E34"/>
    <w:rsid w:val="6E5D88F6"/>
    <w:rsid w:val="6E5F6D8F"/>
    <w:rsid w:val="6E674EC0"/>
    <w:rsid w:val="6E684840"/>
    <w:rsid w:val="6E704388"/>
    <w:rsid w:val="6E7615DD"/>
    <w:rsid w:val="6E7E1F80"/>
    <w:rsid w:val="6E83D6C0"/>
    <w:rsid w:val="6E894122"/>
    <w:rsid w:val="6E8A5756"/>
    <w:rsid w:val="6E8FAD6D"/>
    <w:rsid w:val="6E8FD0EC"/>
    <w:rsid w:val="6E925509"/>
    <w:rsid w:val="6E9330F4"/>
    <w:rsid w:val="6EA0C460"/>
    <w:rsid w:val="6EA53BFC"/>
    <w:rsid w:val="6EA94C5E"/>
    <w:rsid w:val="6EA972EC"/>
    <w:rsid w:val="6EAB98B8"/>
    <w:rsid w:val="6EB03788"/>
    <w:rsid w:val="6EB37835"/>
    <w:rsid w:val="6EB7AFB4"/>
    <w:rsid w:val="6EB8C453"/>
    <w:rsid w:val="6EBE280B"/>
    <w:rsid w:val="6EC43739"/>
    <w:rsid w:val="6ECCF24E"/>
    <w:rsid w:val="6ECD380A"/>
    <w:rsid w:val="6ED31194"/>
    <w:rsid w:val="6EDA245C"/>
    <w:rsid w:val="6EDB5017"/>
    <w:rsid w:val="6EE1C95F"/>
    <w:rsid w:val="6EE4C75E"/>
    <w:rsid w:val="6EE883A4"/>
    <w:rsid w:val="6EE930CD"/>
    <w:rsid w:val="6EEAEFD1"/>
    <w:rsid w:val="6EF0595D"/>
    <w:rsid w:val="6EF10BF7"/>
    <w:rsid w:val="6EF741C6"/>
    <w:rsid w:val="6EFD2A2C"/>
    <w:rsid w:val="6EFE757F"/>
    <w:rsid w:val="6F056A8F"/>
    <w:rsid w:val="6F0C10B9"/>
    <w:rsid w:val="6F284DA8"/>
    <w:rsid w:val="6F2E0ABE"/>
    <w:rsid w:val="6F2E237A"/>
    <w:rsid w:val="6F2E675E"/>
    <w:rsid w:val="6F3914B7"/>
    <w:rsid w:val="6F3B26C7"/>
    <w:rsid w:val="6F3DBF4C"/>
    <w:rsid w:val="6F41016B"/>
    <w:rsid w:val="6F431C51"/>
    <w:rsid w:val="6F4E9FC1"/>
    <w:rsid w:val="6F5AA052"/>
    <w:rsid w:val="6F5E64D0"/>
    <w:rsid w:val="6F601346"/>
    <w:rsid w:val="6F626D09"/>
    <w:rsid w:val="6F653142"/>
    <w:rsid w:val="6F6CB396"/>
    <w:rsid w:val="6F705423"/>
    <w:rsid w:val="6F74C410"/>
    <w:rsid w:val="6F7C18CE"/>
    <w:rsid w:val="6F7ED7A8"/>
    <w:rsid w:val="6F827F70"/>
    <w:rsid w:val="6F833091"/>
    <w:rsid w:val="6F83CC97"/>
    <w:rsid w:val="6F89D086"/>
    <w:rsid w:val="6F8B47D8"/>
    <w:rsid w:val="6F9B3E03"/>
    <w:rsid w:val="6F9C8B5B"/>
    <w:rsid w:val="6FA22B85"/>
    <w:rsid w:val="6FAE9D83"/>
    <w:rsid w:val="6FB1673E"/>
    <w:rsid w:val="6FB26821"/>
    <w:rsid w:val="6FBB9867"/>
    <w:rsid w:val="6FC6370F"/>
    <w:rsid w:val="6FC8A28C"/>
    <w:rsid w:val="6FCAF66B"/>
    <w:rsid w:val="6FCDB250"/>
    <w:rsid w:val="6FCF7D0B"/>
    <w:rsid w:val="6FD5C33B"/>
    <w:rsid w:val="6FD64363"/>
    <w:rsid w:val="6FD7FD5B"/>
    <w:rsid w:val="6FE15938"/>
    <w:rsid w:val="6FE6FCBA"/>
    <w:rsid w:val="6FF006CA"/>
    <w:rsid w:val="6FF24DB5"/>
    <w:rsid w:val="6FF6F9A1"/>
    <w:rsid w:val="6FFCF5FB"/>
    <w:rsid w:val="70054A60"/>
    <w:rsid w:val="7007A8CE"/>
    <w:rsid w:val="700B584A"/>
    <w:rsid w:val="700CAA7E"/>
    <w:rsid w:val="701449E6"/>
    <w:rsid w:val="70154262"/>
    <w:rsid w:val="7017F2C1"/>
    <w:rsid w:val="701BD1CA"/>
    <w:rsid w:val="701C39B1"/>
    <w:rsid w:val="7023F829"/>
    <w:rsid w:val="7026CE38"/>
    <w:rsid w:val="70298FF4"/>
    <w:rsid w:val="702BABDB"/>
    <w:rsid w:val="702F6512"/>
    <w:rsid w:val="702FB070"/>
    <w:rsid w:val="703300EE"/>
    <w:rsid w:val="703847B3"/>
    <w:rsid w:val="7039784C"/>
    <w:rsid w:val="703C0B77"/>
    <w:rsid w:val="70400C9F"/>
    <w:rsid w:val="70484F24"/>
    <w:rsid w:val="704E0B03"/>
    <w:rsid w:val="7050E251"/>
    <w:rsid w:val="7051A16F"/>
    <w:rsid w:val="7053EAFD"/>
    <w:rsid w:val="7056EDB7"/>
    <w:rsid w:val="705925FA"/>
    <w:rsid w:val="7060E9BC"/>
    <w:rsid w:val="7067D075"/>
    <w:rsid w:val="706BC1A4"/>
    <w:rsid w:val="706F9BCC"/>
    <w:rsid w:val="7070157D"/>
    <w:rsid w:val="7075DCDA"/>
    <w:rsid w:val="707894C1"/>
    <w:rsid w:val="70814EE4"/>
    <w:rsid w:val="70918F7F"/>
    <w:rsid w:val="7097EFE3"/>
    <w:rsid w:val="709B104F"/>
    <w:rsid w:val="70A7F023"/>
    <w:rsid w:val="70AE9E3D"/>
    <w:rsid w:val="70AF03A5"/>
    <w:rsid w:val="70B0D9C8"/>
    <w:rsid w:val="70B71F68"/>
    <w:rsid w:val="70B7AE6B"/>
    <w:rsid w:val="70B9F0C5"/>
    <w:rsid w:val="70BADC3C"/>
    <w:rsid w:val="70BEDD68"/>
    <w:rsid w:val="70C397B9"/>
    <w:rsid w:val="70C69C50"/>
    <w:rsid w:val="70C82F26"/>
    <w:rsid w:val="70CA149E"/>
    <w:rsid w:val="70CAB9D1"/>
    <w:rsid w:val="70DCD3CE"/>
    <w:rsid w:val="70DF07FC"/>
    <w:rsid w:val="70E2FB75"/>
    <w:rsid w:val="70E3AC2E"/>
    <w:rsid w:val="70E59DCB"/>
    <w:rsid w:val="70E694DF"/>
    <w:rsid w:val="70EA7756"/>
    <w:rsid w:val="70F16AC7"/>
    <w:rsid w:val="70F7CCB9"/>
    <w:rsid w:val="71001719"/>
    <w:rsid w:val="7102DCDB"/>
    <w:rsid w:val="71047CE8"/>
    <w:rsid w:val="71054130"/>
    <w:rsid w:val="7106D989"/>
    <w:rsid w:val="7112EBC3"/>
    <w:rsid w:val="7113C824"/>
    <w:rsid w:val="71162EC4"/>
    <w:rsid w:val="711AAB39"/>
    <w:rsid w:val="71200ACD"/>
    <w:rsid w:val="71217D0A"/>
    <w:rsid w:val="71225913"/>
    <w:rsid w:val="712734F9"/>
    <w:rsid w:val="712F0AE8"/>
    <w:rsid w:val="7130062D"/>
    <w:rsid w:val="7131FA8A"/>
    <w:rsid w:val="7132DB1F"/>
    <w:rsid w:val="713368F5"/>
    <w:rsid w:val="7135C8A4"/>
    <w:rsid w:val="7135D091"/>
    <w:rsid w:val="713A59B4"/>
    <w:rsid w:val="713CEDEE"/>
    <w:rsid w:val="713ECA50"/>
    <w:rsid w:val="71437D55"/>
    <w:rsid w:val="7148FDFE"/>
    <w:rsid w:val="714D256F"/>
    <w:rsid w:val="714F1C2D"/>
    <w:rsid w:val="714F6B55"/>
    <w:rsid w:val="71591C87"/>
    <w:rsid w:val="7161C0C8"/>
    <w:rsid w:val="7162E171"/>
    <w:rsid w:val="71677146"/>
    <w:rsid w:val="716C1DB7"/>
    <w:rsid w:val="716D92AF"/>
    <w:rsid w:val="7179563A"/>
    <w:rsid w:val="717AD761"/>
    <w:rsid w:val="717B9096"/>
    <w:rsid w:val="717C5C70"/>
    <w:rsid w:val="717F6F27"/>
    <w:rsid w:val="71808F54"/>
    <w:rsid w:val="71844F09"/>
    <w:rsid w:val="71847C95"/>
    <w:rsid w:val="718F8209"/>
    <w:rsid w:val="719A74D5"/>
    <w:rsid w:val="719BA1BB"/>
    <w:rsid w:val="719BC5AA"/>
    <w:rsid w:val="719C4A8E"/>
    <w:rsid w:val="71A3426B"/>
    <w:rsid w:val="71A47A34"/>
    <w:rsid w:val="71A7652C"/>
    <w:rsid w:val="71A920C6"/>
    <w:rsid w:val="71B22D10"/>
    <w:rsid w:val="71BC5D39"/>
    <w:rsid w:val="71C548B9"/>
    <w:rsid w:val="71CBBCED"/>
    <w:rsid w:val="71D09773"/>
    <w:rsid w:val="71DFACC1"/>
    <w:rsid w:val="71E01D58"/>
    <w:rsid w:val="71E248A4"/>
    <w:rsid w:val="71EDBDCF"/>
    <w:rsid w:val="71EF2A52"/>
    <w:rsid w:val="71F39986"/>
    <w:rsid w:val="71F507CD"/>
    <w:rsid w:val="71F54D87"/>
    <w:rsid w:val="71FC8A35"/>
    <w:rsid w:val="71FEF26E"/>
    <w:rsid w:val="72043F41"/>
    <w:rsid w:val="720AB5E6"/>
    <w:rsid w:val="720ACF28"/>
    <w:rsid w:val="720EE197"/>
    <w:rsid w:val="720FD3A1"/>
    <w:rsid w:val="7216ACC4"/>
    <w:rsid w:val="721C9AC0"/>
    <w:rsid w:val="721F2843"/>
    <w:rsid w:val="722AE017"/>
    <w:rsid w:val="7230F730"/>
    <w:rsid w:val="72327EB4"/>
    <w:rsid w:val="723D7AA8"/>
    <w:rsid w:val="72484D89"/>
    <w:rsid w:val="724DF701"/>
    <w:rsid w:val="724E03BA"/>
    <w:rsid w:val="72520F51"/>
    <w:rsid w:val="72536E46"/>
    <w:rsid w:val="72563BE7"/>
    <w:rsid w:val="725D2BE3"/>
    <w:rsid w:val="72628CBB"/>
    <w:rsid w:val="7268332F"/>
    <w:rsid w:val="726A0BEF"/>
    <w:rsid w:val="726C0DC8"/>
    <w:rsid w:val="727546E9"/>
    <w:rsid w:val="7276F9DA"/>
    <w:rsid w:val="72771F7B"/>
    <w:rsid w:val="72782D45"/>
    <w:rsid w:val="72841CC1"/>
    <w:rsid w:val="72853C87"/>
    <w:rsid w:val="7287BD87"/>
    <w:rsid w:val="728E2054"/>
    <w:rsid w:val="729AA432"/>
    <w:rsid w:val="72A634B0"/>
    <w:rsid w:val="72A82E59"/>
    <w:rsid w:val="72AE9934"/>
    <w:rsid w:val="72B6A2A6"/>
    <w:rsid w:val="72BC1812"/>
    <w:rsid w:val="72BF1584"/>
    <w:rsid w:val="72C0912B"/>
    <w:rsid w:val="72C12AE7"/>
    <w:rsid w:val="72C895FA"/>
    <w:rsid w:val="72CAF79D"/>
    <w:rsid w:val="72D7AEFD"/>
    <w:rsid w:val="72DE6E53"/>
    <w:rsid w:val="72E0B129"/>
    <w:rsid w:val="72E6AB5F"/>
    <w:rsid w:val="72EC5DAE"/>
    <w:rsid w:val="72EFE387"/>
    <w:rsid w:val="72F0C857"/>
    <w:rsid w:val="72F4026D"/>
    <w:rsid w:val="72F8A19D"/>
    <w:rsid w:val="72FA46A1"/>
    <w:rsid w:val="72FA5F4A"/>
    <w:rsid w:val="730119F1"/>
    <w:rsid w:val="73106FAF"/>
    <w:rsid w:val="731121E9"/>
    <w:rsid w:val="7318B5A6"/>
    <w:rsid w:val="7318E7A3"/>
    <w:rsid w:val="731F5F83"/>
    <w:rsid w:val="7320E4F7"/>
    <w:rsid w:val="732120FE"/>
    <w:rsid w:val="73291F4B"/>
    <w:rsid w:val="7333174C"/>
    <w:rsid w:val="733BDC63"/>
    <w:rsid w:val="733EE0F7"/>
    <w:rsid w:val="73406648"/>
    <w:rsid w:val="73409417"/>
    <w:rsid w:val="7346B0C7"/>
    <w:rsid w:val="7347E93C"/>
    <w:rsid w:val="73480512"/>
    <w:rsid w:val="734B9C99"/>
    <w:rsid w:val="73506645"/>
    <w:rsid w:val="7358C292"/>
    <w:rsid w:val="735A0D62"/>
    <w:rsid w:val="735B91E8"/>
    <w:rsid w:val="735D6F54"/>
    <w:rsid w:val="735FF8BF"/>
    <w:rsid w:val="73645AC7"/>
    <w:rsid w:val="7369040A"/>
    <w:rsid w:val="736C8B52"/>
    <w:rsid w:val="736F6D03"/>
    <w:rsid w:val="73707B98"/>
    <w:rsid w:val="73724197"/>
    <w:rsid w:val="73732586"/>
    <w:rsid w:val="7377665E"/>
    <w:rsid w:val="737BBBED"/>
    <w:rsid w:val="737C5038"/>
    <w:rsid w:val="7380CF5F"/>
    <w:rsid w:val="738162CC"/>
    <w:rsid w:val="73854184"/>
    <w:rsid w:val="738A91D3"/>
    <w:rsid w:val="73952E0D"/>
    <w:rsid w:val="7397908D"/>
    <w:rsid w:val="739AFEFC"/>
    <w:rsid w:val="739BE5DF"/>
    <w:rsid w:val="739C31C8"/>
    <w:rsid w:val="73A5A7D6"/>
    <w:rsid w:val="73A6CCE7"/>
    <w:rsid w:val="73A9B6A3"/>
    <w:rsid w:val="73AE6F00"/>
    <w:rsid w:val="73B1952C"/>
    <w:rsid w:val="73BB173C"/>
    <w:rsid w:val="73C3A028"/>
    <w:rsid w:val="73C4F56F"/>
    <w:rsid w:val="73C578EB"/>
    <w:rsid w:val="73C7EB2F"/>
    <w:rsid w:val="73CC41AA"/>
    <w:rsid w:val="73CCE67D"/>
    <w:rsid w:val="73CFB8AC"/>
    <w:rsid w:val="73D63EC2"/>
    <w:rsid w:val="73D979D1"/>
    <w:rsid w:val="73D9827D"/>
    <w:rsid w:val="73DFDC40"/>
    <w:rsid w:val="73E36E29"/>
    <w:rsid w:val="73F6D528"/>
    <w:rsid w:val="73F756B2"/>
    <w:rsid w:val="73F7841F"/>
    <w:rsid w:val="73F9A617"/>
    <w:rsid w:val="73FB5D35"/>
    <w:rsid w:val="73FBEC1E"/>
    <w:rsid w:val="7402BA87"/>
    <w:rsid w:val="74044796"/>
    <w:rsid w:val="740A3D1A"/>
    <w:rsid w:val="74107EB9"/>
    <w:rsid w:val="74123B79"/>
    <w:rsid w:val="74140D24"/>
    <w:rsid w:val="74144704"/>
    <w:rsid w:val="741AD141"/>
    <w:rsid w:val="741CAB7A"/>
    <w:rsid w:val="7420F2F7"/>
    <w:rsid w:val="7421996C"/>
    <w:rsid w:val="742BB282"/>
    <w:rsid w:val="742DE307"/>
    <w:rsid w:val="74304182"/>
    <w:rsid w:val="74337F4D"/>
    <w:rsid w:val="743561DD"/>
    <w:rsid w:val="7435EEA8"/>
    <w:rsid w:val="743B349F"/>
    <w:rsid w:val="743CED2F"/>
    <w:rsid w:val="7440C1BD"/>
    <w:rsid w:val="74415D88"/>
    <w:rsid w:val="7442DD39"/>
    <w:rsid w:val="7442E077"/>
    <w:rsid w:val="74508020"/>
    <w:rsid w:val="7458D86C"/>
    <w:rsid w:val="745943CF"/>
    <w:rsid w:val="745FB509"/>
    <w:rsid w:val="7464CB02"/>
    <w:rsid w:val="7464DF15"/>
    <w:rsid w:val="74656291"/>
    <w:rsid w:val="74662792"/>
    <w:rsid w:val="74673273"/>
    <w:rsid w:val="746CA11F"/>
    <w:rsid w:val="746D68A9"/>
    <w:rsid w:val="746F835A"/>
    <w:rsid w:val="74723D08"/>
    <w:rsid w:val="74724FC6"/>
    <w:rsid w:val="747D17EA"/>
    <w:rsid w:val="747D2BB7"/>
    <w:rsid w:val="74884A08"/>
    <w:rsid w:val="748ABF82"/>
    <w:rsid w:val="748B2F01"/>
    <w:rsid w:val="749054FD"/>
    <w:rsid w:val="74944B54"/>
    <w:rsid w:val="7496715B"/>
    <w:rsid w:val="749740A0"/>
    <w:rsid w:val="7498EC56"/>
    <w:rsid w:val="749F0FFB"/>
    <w:rsid w:val="74A0A7AA"/>
    <w:rsid w:val="74A15E96"/>
    <w:rsid w:val="74A1F221"/>
    <w:rsid w:val="74A48A82"/>
    <w:rsid w:val="74AA029D"/>
    <w:rsid w:val="74AEF14E"/>
    <w:rsid w:val="74B12AC5"/>
    <w:rsid w:val="74B19B61"/>
    <w:rsid w:val="74BE66CD"/>
    <w:rsid w:val="74C07B21"/>
    <w:rsid w:val="74C4904D"/>
    <w:rsid w:val="74CBFE86"/>
    <w:rsid w:val="74D121F5"/>
    <w:rsid w:val="74D543C6"/>
    <w:rsid w:val="74D9DD85"/>
    <w:rsid w:val="74DCE53F"/>
    <w:rsid w:val="74DD551D"/>
    <w:rsid w:val="74DDE6C6"/>
    <w:rsid w:val="74E37D9E"/>
    <w:rsid w:val="74E8BC51"/>
    <w:rsid w:val="74EAC617"/>
    <w:rsid w:val="74F472BC"/>
    <w:rsid w:val="74FA3E79"/>
    <w:rsid w:val="74FCDA6C"/>
    <w:rsid w:val="7501AFE5"/>
    <w:rsid w:val="75067F3F"/>
    <w:rsid w:val="750F0C29"/>
    <w:rsid w:val="7513CE8C"/>
    <w:rsid w:val="7513DA20"/>
    <w:rsid w:val="7514BE8D"/>
    <w:rsid w:val="751D2407"/>
    <w:rsid w:val="752513CD"/>
    <w:rsid w:val="75261CE3"/>
    <w:rsid w:val="7526A776"/>
    <w:rsid w:val="7529D64E"/>
    <w:rsid w:val="752B3968"/>
    <w:rsid w:val="752B5381"/>
    <w:rsid w:val="752DE975"/>
    <w:rsid w:val="752E9B5F"/>
    <w:rsid w:val="75322F23"/>
    <w:rsid w:val="75327BB4"/>
    <w:rsid w:val="7536769F"/>
    <w:rsid w:val="75397884"/>
    <w:rsid w:val="75452948"/>
    <w:rsid w:val="7545A4DA"/>
    <w:rsid w:val="75468FFB"/>
    <w:rsid w:val="75481F78"/>
    <w:rsid w:val="7550B8DF"/>
    <w:rsid w:val="75550F52"/>
    <w:rsid w:val="75644FBE"/>
    <w:rsid w:val="7567A05E"/>
    <w:rsid w:val="756915E5"/>
    <w:rsid w:val="756AB211"/>
    <w:rsid w:val="756F388C"/>
    <w:rsid w:val="75754724"/>
    <w:rsid w:val="7578F093"/>
    <w:rsid w:val="757DBBDB"/>
    <w:rsid w:val="757E9B9A"/>
    <w:rsid w:val="75845F0F"/>
    <w:rsid w:val="758BD510"/>
    <w:rsid w:val="7591EF15"/>
    <w:rsid w:val="759490DB"/>
    <w:rsid w:val="759AF0DE"/>
    <w:rsid w:val="759B3EC2"/>
    <w:rsid w:val="759FD166"/>
    <w:rsid w:val="75A25B94"/>
    <w:rsid w:val="75A2FF05"/>
    <w:rsid w:val="75AA2209"/>
    <w:rsid w:val="75B2E32B"/>
    <w:rsid w:val="75BB7F30"/>
    <w:rsid w:val="75BCEE82"/>
    <w:rsid w:val="75C0A92C"/>
    <w:rsid w:val="75C1F33D"/>
    <w:rsid w:val="75CEF1F1"/>
    <w:rsid w:val="75D2F804"/>
    <w:rsid w:val="75D4AFCF"/>
    <w:rsid w:val="75D62B8D"/>
    <w:rsid w:val="75E39BF0"/>
    <w:rsid w:val="75E703A4"/>
    <w:rsid w:val="75E8698C"/>
    <w:rsid w:val="75E8A015"/>
    <w:rsid w:val="75E8DB29"/>
    <w:rsid w:val="75F9E965"/>
    <w:rsid w:val="75FAB96C"/>
    <w:rsid w:val="75FE8632"/>
    <w:rsid w:val="7605C510"/>
    <w:rsid w:val="76084646"/>
    <w:rsid w:val="760BD70E"/>
    <w:rsid w:val="760EAAA4"/>
    <w:rsid w:val="7610F5B8"/>
    <w:rsid w:val="761113D7"/>
    <w:rsid w:val="7612768B"/>
    <w:rsid w:val="7613955B"/>
    <w:rsid w:val="76171CA5"/>
    <w:rsid w:val="76186EFA"/>
    <w:rsid w:val="76250AB7"/>
    <w:rsid w:val="762B6679"/>
    <w:rsid w:val="76309044"/>
    <w:rsid w:val="7631DFD9"/>
    <w:rsid w:val="7637045D"/>
    <w:rsid w:val="763A7836"/>
    <w:rsid w:val="763E1D59"/>
    <w:rsid w:val="7641F7F5"/>
    <w:rsid w:val="764858DF"/>
    <w:rsid w:val="764ACC5F"/>
    <w:rsid w:val="764B3021"/>
    <w:rsid w:val="764B48C1"/>
    <w:rsid w:val="764BD5A1"/>
    <w:rsid w:val="765DAE71"/>
    <w:rsid w:val="765EAD44"/>
    <w:rsid w:val="7668C463"/>
    <w:rsid w:val="766D857E"/>
    <w:rsid w:val="766ECFDC"/>
    <w:rsid w:val="767811A2"/>
    <w:rsid w:val="76802820"/>
    <w:rsid w:val="768491F7"/>
    <w:rsid w:val="76857B44"/>
    <w:rsid w:val="768C4FF6"/>
    <w:rsid w:val="768F83BD"/>
    <w:rsid w:val="768FE176"/>
    <w:rsid w:val="769140B1"/>
    <w:rsid w:val="769324AC"/>
    <w:rsid w:val="769602F0"/>
    <w:rsid w:val="76995E66"/>
    <w:rsid w:val="769ECF50"/>
    <w:rsid w:val="769F2AEA"/>
    <w:rsid w:val="769F7968"/>
    <w:rsid w:val="76A1B7E3"/>
    <w:rsid w:val="76A32164"/>
    <w:rsid w:val="76A4104F"/>
    <w:rsid w:val="76A520EF"/>
    <w:rsid w:val="76A6583E"/>
    <w:rsid w:val="76A7AF65"/>
    <w:rsid w:val="76AE92F3"/>
    <w:rsid w:val="76B35D92"/>
    <w:rsid w:val="76B37244"/>
    <w:rsid w:val="76B43289"/>
    <w:rsid w:val="76B48983"/>
    <w:rsid w:val="76B8F62B"/>
    <w:rsid w:val="76B92994"/>
    <w:rsid w:val="76C04118"/>
    <w:rsid w:val="76CA54E2"/>
    <w:rsid w:val="76CA7528"/>
    <w:rsid w:val="76CCE5C8"/>
    <w:rsid w:val="76CEE38E"/>
    <w:rsid w:val="76DFE194"/>
    <w:rsid w:val="76E07B48"/>
    <w:rsid w:val="76E166AB"/>
    <w:rsid w:val="76E81AB2"/>
    <w:rsid w:val="76E935EE"/>
    <w:rsid w:val="76ED80A6"/>
    <w:rsid w:val="76ED85E5"/>
    <w:rsid w:val="76F1DA5E"/>
    <w:rsid w:val="76FA2A6A"/>
    <w:rsid w:val="7704DCFF"/>
    <w:rsid w:val="7706F0D7"/>
    <w:rsid w:val="770B30FE"/>
    <w:rsid w:val="770CE79B"/>
    <w:rsid w:val="770F7751"/>
    <w:rsid w:val="7714B443"/>
    <w:rsid w:val="77151586"/>
    <w:rsid w:val="771B2762"/>
    <w:rsid w:val="771B88D9"/>
    <w:rsid w:val="771EF760"/>
    <w:rsid w:val="7728F751"/>
    <w:rsid w:val="773B326C"/>
    <w:rsid w:val="773E4E28"/>
    <w:rsid w:val="7741877E"/>
    <w:rsid w:val="774205E9"/>
    <w:rsid w:val="77489B5A"/>
    <w:rsid w:val="774A3BFC"/>
    <w:rsid w:val="774A5709"/>
    <w:rsid w:val="7757508D"/>
    <w:rsid w:val="775E557D"/>
    <w:rsid w:val="775F32F2"/>
    <w:rsid w:val="77627C97"/>
    <w:rsid w:val="77635449"/>
    <w:rsid w:val="776733A4"/>
    <w:rsid w:val="77683D00"/>
    <w:rsid w:val="776989C6"/>
    <w:rsid w:val="776B212A"/>
    <w:rsid w:val="776B7B9D"/>
    <w:rsid w:val="776DC33E"/>
    <w:rsid w:val="777490CF"/>
    <w:rsid w:val="77761687"/>
    <w:rsid w:val="7776C3DA"/>
    <w:rsid w:val="7779D7F5"/>
    <w:rsid w:val="7789C27E"/>
    <w:rsid w:val="7794DCD7"/>
    <w:rsid w:val="779BA9EE"/>
    <w:rsid w:val="779FD824"/>
    <w:rsid w:val="77A9A7B6"/>
    <w:rsid w:val="77AE4980"/>
    <w:rsid w:val="77B42094"/>
    <w:rsid w:val="77BC0092"/>
    <w:rsid w:val="77C0F9C0"/>
    <w:rsid w:val="77CADCD2"/>
    <w:rsid w:val="77CF32DB"/>
    <w:rsid w:val="77CFA633"/>
    <w:rsid w:val="77D199CC"/>
    <w:rsid w:val="77D64FD5"/>
    <w:rsid w:val="77D9C9C4"/>
    <w:rsid w:val="77DAA41D"/>
    <w:rsid w:val="77E0C73A"/>
    <w:rsid w:val="77E3EBAD"/>
    <w:rsid w:val="77E49619"/>
    <w:rsid w:val="77E61DC7"/>
    <w:rsid w:val="77F01CF9"/>
    <w:rsid w:val="77F03F8F"/>
    <w:rsid w:val="77F2566E"/>
    <w:rsid w:val="77F60E9F"/>
    <w:rsid w:val="77F787E0"/>
    <w:rsid w:val="7801466C"/>
    <w:rsid w:val="7801758F"/>
    <w:rsid w:val="78033C89"/>
    <w:rsid w:val="780BB8FE"/>
    <w:rsid w:val="780DFBCB"/>
    <w:rsid w:val="7812C224"/>
    <w:rsid w:val="78144469"/>
    <w:rsid w:val="7817A481"/>
    <w:rsid w:val="781D2B7A"/>
    <w:rsid w:val="7826FFFC"/>
    <w:rsid w:val="782C339F"/>
    <w:rsid w:val="782D36EB"/>
    <w:rsid w:val="782DAD2E"/>
    <w:rsid w:val="7839287D"/>
    <w:rsid w:val="783E0D36"/>
    <w:rsid w:val="7842BCAF"/>
    <w:rsid w:val="78436DC9"/>
    <w:rsid w:val="785121EA"/>
    <w:rsid w:val="7851A039"/>
    <w:rsid w:val="7851B77F"/>
    <w:rsid w:val="7852316C"/>
    <w:rsid w:val="78525560"/>
    <w:rsid w:val="78554DE0"/>
    <w:rsid w:val="7856A34B"/>
    <w:rsid w:val="7856D8EB"/>
    <w:rsid w:val="785A2B89"/>
    <w:rsid w:val="7868A770"/>
    <w:rsid w:val="7868F9B8"/>
    <w:rsid w:val="7869D2D9"/>
    <w:rsid w:val="786B748F"/>
    <w:rsid w:val="786DBA6C"/>
    <w:rsid w:val="786FF5AD"/>
    <w:rsid w:val="7870032D"/>
    <w:rsid w:val="78753517"/>
    <w:rsid w:val="7875E427"/>
    <w:rsid w:val="787C2DE4"/>
    <w:rsid w:val="78812F35"/>
    <w:rsid w:val="788532F9"/>
    <w:rsid w:val="7896682C"/>
    <w:rsid w:val="789A0297"/>
    <w:rsid w:val="78A02C71"/>
    <w:rsid w:val="78A3ADB5"/>
    <w:rsid w:val="78AC4A1D"/>
    <w:rsid w:val="78AC5617"/>
    <w:rsid w:val="78BABF61"/>
    <w:rsid w:val="78C012BE"/>
    <w:rsid w:val="78C1A803"/>
    <w:rsid w:val="78C26F14"/>
    <w:rsid w:val="78C4ACE0"/>
    <w:rsid w:val="78CFF8F9"/>
    <w:rsid w:val="78D0359B"/>
    <w:rsid w:val="78DAD581"/>
    <w:rsid w:val="78DE5508"/>
    <w:rsid w:val="78E36467"/>
    <w:rsid w:val="78EBC289"/>
    <w:rsid w:val="78F4C7E1"/>
    <w:rsid w:val="78F58614"/>
    <w:rsid w:val="78FC2877"/>
    <w:rsid w:val="78FF439F"/>
    <w:rsid w:val="78FF61DA"/>
    <w:rsid w:val="79011151"/>
    <w:rsid w:val="79014D3C"/>
    <w:rsid w:val="790317A7"/>
    <w:rsid w:val="790A72CF"/>
    <w:rsid w:val="790D78E6"/>
    <w:rsid w:val="790DFC6E"/>
    <w:rsid w:val="79113092"/>
    <w:rsid w:val="79121B38"/>
    <w:rsid w:val="79122786"/>
    <w:rsid w:val="79126BC5"/>
    <w:rsid w:val="79132683"/>
    <w:rsid w:val="791CD9D4"/>
    <w:rsid w:val="7924F91D"/>
    <w:rsid w:val="7928F12D"/>
    <w:rsid w:val="792C1EB8"/>
    <w:rsid w:val="792E464A"/>
    <w:rsid w:val="793E971C"/>
    <w:rsid w:val="793EC435"/>
    <w:rsid w:val="793EFC37"/>
    <w:rsid w:val="793F7D06"/>
    <w:rsid w:val="7942D9C8"/>
    <w:rsid w:val="7942F4F1"/>
    <w:rsid w:val="79431F84"/>
    <w:rsid w:val="7943E028"/>
    <w:rsid w:val="79460A52"/>
    <w:rsid w:val="79467133"/>
    <w:rsid w:val="794CC9C8"/>
    <w:rsid w:val="794CDE1B"/>
    <w:rsid w:val="79559267"/>
    <w:rsid w:val="7960C7E0"/>
    <w:rsid w:val="7961CE0C"/>
    <w:rsid w:val="796638D4"/>
    <w:rsid w:val="7969D091"/>
    <w:rsid w:val="796AADB4"/>
    <w:rsid w:val="79713106"/>
    <w:rsid w:val="79714BF6"/>
    <w:rsid w:val="79764BDD"/>
    <w:rsid w:val="7976CCE2"/>
    <w:rsid w:val="797736DC"/>
    <w:rsid w:val="7978B4DD"/>
    <w:rsid w:val="7979950F"/>
    <w:rsid w:val="7979D050"/>
    <w:rsid w:val="797F2C5D"/>
    <w:rsid w:val="797F4DD4"/>
    <w:rsid w:val="7984692C"/>
    <w:rsid w:val="79848BAA"/>
    <w:rsid w:val="7988DEB2"/>
    <w:rsid w:val="7992BC19"/>
    <w:rsid w:val="79959C8E"/>
    <w:rsid w:val="7995F923"/>
    <w:rsid w:val="799A4352"/>
    <w:rsid w:val="799C2C9A"/>
    <w:rsid w:val="79A0EDBB"/>
    <w:rsid w:val="79A29E87"/>
    <w:rsid w:val="79A5F4D9"/>
    <w:rsid w:val="79AD6DF1"/>
    <w:rsid w:val="79AF0DA5"/>
    <w:rsid w:val="79AF1603"/>
    <w:rsid w:val="79B01B0A"/>
    <w:rsid w:val="79B6714C"/>
    <w:rsid w:val="79C2A1CD"/>
    <w:rsid w:val="79CCDE04"/>
    <w:rsid w:val="79D14E05"/>
    <w:rsid w:val="79D8A2C4"/>
    <w:rsid w:val="79DAC7CD"/>
    <w:rsid w:val="79DDFDA7"/>
    <w:rsid w:val="79DE31EA"/>
    <w:rsid w:val="79E002EA"/>
    <w:rsid w:val="79E17FAD"/>
    <w:rsid w:val="79E5F311"/>
    <w:rsid w:val="79E99631"/>
    <w:rsid w:val="79F0EAAD"/>
    <w:rsid w:val="7A00782B"/>
    <w:rsid w:val="7A0E52B7"/>
    <w:rsid w:val="7A1044A5"/>
    <w:rsid w:val="7A123713"/>
    <w:rsid w:val="7A1518F3"/>
    <w:rsid w:val="7A15B156"/>
    <w:rsid w:val="7A1DE409"/>
    <w:rsid w:val="7A2D2F1B"/>
    <w:rsid w:val="7A322513"/>
    <w:rsid w:val="7A329C64"/>
    <w:rsid w:val="7A36326A"/>
    <w:rsid w:val="7A36F34B"/>
    <w:rsid w:val="7A41AD84"/>
    <w:rsid w:val="7A47A117"/>
    <w:rsid w:val="7A4AC8AA"/>
    <w:rsid w:val="7A4CB9F0"/>
    <w:rsid w:val="7A4F2C68"/>
    <w:rsid w:val="7A515562"/>
    <w:rsid w:val="7A5A91E9"/>
    <w:rsid w:val="7A5CBD36"/>
    <w:rsid w:val="7A5D1093"/>
    <w:rsid w:val="7A5DB741"/>
    <w:rsid w:val="7A636B03"/>
    <w:rsid w:val="7A67036A"/>
    <w:rsid w:val="7A68C5D6"/>
    <w:rsid w:val="7A68E2EC"/>
    <w:rsid w:val="7A711C9E"/>
    <w:rsid w:val="7A7E0514"/>
    <w:rsid w:val="7A7F297A"/>
    <w:rsid w:val="7A8D0CF6"/>
    <w:rsid w:val="7A9AE1F1"/>
    <w:rsid w:val="7A9DA4F2"/>
    <w:rsid w:val="7A9E3ACC"/>
    <w:rsid w:val="7AA0756D"/>
    <w:rsid w:val="7AA3D0D0"/>
    <w:rsid w:val="7AA99219"/>
    <w:rsid w:val="7AA9E2FD"/>
    <w:rsid w:val="7AAC2C2B"/>
    <w:rsid w:val="7AAD66E9"/>
    <w:rsid w:val="7AAE6A0C"/>
    <w:rsid w:val="7AB2521F"/>
    <w:rsid w:val="7AB83DDC"/>
    <w:rsid w:val="7ABEF5B0"/>
    <w:rsid w:val="7AC19576"/>
    <w:rsid w:val="7ACD60E1"/>
    <w:rsid w:val="7AD0FCA6"/>
    <w:rsid w:val="7AD75C5A"/>
    <w:rsid w:val="7AD781CE"/>
    <w:rsid w:val="7ADA1431"/>
    <w:rsid w:val="7ADEFB89"/>
    <w:rsid w:val="7AE2955E"/>
    <w:rsid w:val="7AE4BC7D"/>
    <w:rsid w:val="7AE6E43A"/>
    <w:rsid w:val="7AE9711E"/>
    <w:rsid w:val="7AEC1E63"/>
    <w:rsid w:val="7AEC6ECD"/>
    <w:rsid w:val="7AF5DEDC"/>
    <w:rsid w:val="7AF654BE"/>
    <w:rsid w:val="7AFA812D"/>
    <w:rsid w:val="7AFC0DE3"/>
    <w:rsid w:val="7AFF13AE"/>
    <w:rsid w:val="7B008B9F"/>
    <w:rsid w:val="7B097EB7"/>
    <w:rsid w:val="7B0D0DF1"/>
    <w:rsid w:val="7B1C1B4F"/>
    <w:rsid w:val="7B249A26"/>
    <w:rsid w:val="7B2BF6DC"/>
    <w:rsid w:val="7B2C0F93"/>
    <w:rsid w:val="7B2C44A5"/>
    <w:rsid w:val="7B3B39FB"/>
    <w:rsid w:val="7B4144C7"/>
    <w:rsid w:val="7B49D502"/>
    <w:rsid w:val="7B4C5092"/>
    <w:rsid w:val="7B59C89C"/>
    <w:rsid w:val="7B5AD33D"/>
    <w:rsid w:val="7B601EA3"/>
    <w:rsid w:val="7B60EDBF"/>
    <w:rsid w:val="7B631A7A"/>
    <w:rsid w:val="7B6734C3"/>
    <w:rsid w:val="7B696155"/>
    <w:rsid w:val="7B6A2D64"/>
    <w:rsid w:val="7B6C7736"/>
    <w:rsid w:val="7B706DEB"/>
    <w:rsid w:val="7B72E609"/>
    <w:rsid w:val="7B825696"/>
    <w:rsid w:val="7B8E8BEC"/>
    <w:rsid w:val="7B904160"/>
    <w:rsid w:val="7B927E5F"/>
    <w:rsid w:val="7B95D3AF"/>
    <w:rsid w:val="7B978E07"/>
    <w:rsid w:val="7B9B1AFD"/>
    <w:rsid w:val="7B9ECD2B"/>
    <w:rsid w:val="7BA024A1"/>
    <w:rsid w:val="7BA3AA20"/>
    <w:rsid w:val="7BA6B97E"/>
    <w:rsid w:val="7BA7D016"/>
    <w:rsid w:val="7BA8B4F4"/>
    <w:rsid w:val="7BAA52BF"/>
    <w:rsid w:val="7BB5EC79"/>
    <w:rsid w:val="7BB657ED"/>
    <w:rsid w:val="7BB73926"/>
    <w:rsid w:val="7BB9BA65"/>
    <w:rsid w:val="7BBD7736"/>
    <w:rsid w:val="7BC49B69"/>
    <w:rsid w:val="7BC52FBF"/>
    <w:rsid w:val="7BC6EB6E"/>
    <w:rsid w:val="7BD3FC62"/>
    <w:rsid w:val="7BD95EF8"/>
    <w:rsid w:val="7BDCFEBE"/>
    <w:rsid w:val="7BE058B5"/>
    <w:rsid w:val="7BE96579"/>
    <w:rsid w:val="7BEB1C90"/>
    <w:rsid w:val="7BECC705"/>
    <w:rsid w:val="7BEDBCA9"/>
    <w:rsid w:val="7BEFC058"/>
    <w:rsid w:val="7BF00F94"/>
    <w:rsid w:val="7BF6F80A"/>
    <w:rsid w:val="7BF7AB03"/>
    <w:rsid w:val="7BF9E7E3"/>
    <w:rsid w:val="7C0073F8"/>
    <w:rsid w:val="7C04ACE0"/>
    <w:rsid w:val="7C12884E"/>
    <w:rsid w:val="7C15DA38"/>
    <w:rsid w:val="7C1E5CCA"/>
    <w:rsid w:val="7C20B10F"/>
    <w:rsid w:val="7C272718"/>
    <w:rsid w:val="7C36AE83"/>
    <w:rsid w:val="7C3F45B8"/>
    <w:rsid w:val="7C3F94EF"/>
    <w:rsid w:val="7C42A250"/>
    <w:rsid w:val="7C43FC34"/>
    <w:rsid w:val="7C44BDE1"/>
    <w:rsid w:val="7C4A60C2"/>
    <w:rsid w:val="7C51E155"/>
    <w:rsid w:val="7C52DF8D"/>
    <w:rsid w:val="7C563773"/>
    <w:rsid w:val="7C5A2634"/>
    <w:rsid w:val="7C5BF692"/>
    <w:rsid w:val="7C5D48B1"/>
    <w:rsid w:val="7C609DC3"/>
    <w:rsid w:val="7C62B244"/>
    <w:rsid w:val="7C6359C4"/>
    <w:rsid w:val="7C644099"/>
    <w:rsid w:val="7C647DED"/>
    <w:rsid w:val="7C7D08FD"/>
    <w:rsid w:val="7C80EF19"/>
    <w:rsid w:val="7C84877D"/>
    <w:rsid w:val="7C88CFA6"/>
    <w:rsid w:val="7C8CA2A7"/>
    <w:rsid w:val="7C8F821D"/>
    <w:rsid w:val="7C9027EF"/>
    <w:rsid w:val="7C925687"/>
    <w:rsid w:val="7CA30EB5"/>
    <w:rsid w:val="7CA696A2"/>
    <w:rsid w:val="7CA91ACD"/>
    <w:rsid w:val="7CAE4C6F"/>
    <w:rsid w:val="7CB4B714"/>
    <w:rsid w:val="7CB5ED43"/>
    <w:rsid w:val="7CB90060"/>
    <w:rsid w:val="7CBB508D"/>
    <w:rsid w:val="7CBDF0A0"/>
    <w:rsid w:val="7CBED300"/>
    <w:rsid w:val="7CC1234B"/>
    <w:rsid w:val="7CC23A41"/>
    <w:rsid w:val="7CCAA865"/>
    <w:rsid w:val="7CCD5D60"/>
    <w:rsid w:val="7CD007C2"/>
    <w:rsid w:val="7CD13EC9"/>
    <w:rsid w:val="7CD26E26"/>
    <w:rsid w:val="7CD71CEB"/>
    <w:rsid w:val="7CDAF93C"/>
    <w:rsid w:val="7CDBD7D6"/>
    <w:rsid w:val="7CEA3E2A"/>
    <w:rsid w:val="7CEFCBB1"/>
    <w:rsid w:val="7CF3C629"/>
    <w:rsid w:val="7CF4F707"/>
    <w:rsid w:val="7CF7652A"/>
    <w:rsid w:val="7CF8A970"/>
    <w:rsid w:val="7CFB5266"/>
    <w:rsid w:val="7CFC14E9"/>
    <w:rsid w:val="7D00BB31"/>
    <w:rsid w:val="7D029EBD"/>
    <w:rsid w:val="7D04C43B"/>
    <w:rsid w:val="7D077B6D"/>
    <w:rsid w:val="7D0A61B4"/>
    <w:rsid w:val="7D0C0F4B"/>
    <w:rsid w:val="7D1A7307"/>
    <w:rsid w:val="7D1E4EDC"/>
    <w:rsid w:val="7D2A272C"/>
    <w:rsid w:val="7D39AF0D"/>
    <w:rsid w:val="7D3C6F7B"/>
    <w:rsid w:val="7D4839AD"/>
    <w:rsid w:val="7D4DE609"/>
    <w:rsid w:val="7D500930"/>
    <w:rsid w:val="7D53AB68"/>
    <w:rsid w:val="7D55162C"/>
    <w:rsid w:val="7D56CEE8"/>
    <w:rsid w:val="7D5DA099"/>
    <w:rsid w:val="7D5DDF90"/>
    <w:rsid w:val="7D62CB66"/>
    <w:rsid w:val="7D6647F7"/>
    <w:rsid w:val="7D668B1B"/>
    <w:rsid w:val="7D66A2ED"/>
    <w:rsid w:val="7D691615"/>
    <w:rsid w:val="7D6A5EB3"/>
    <w:rsid w:val="7D6E474C"/>
    <w:rsid w:val="7D70BDFB"/>
    <w:rsid w:val="7D7DD73F"/>
    <w:rsid w:val="7D7F97DE"/>
    <w:rsid w:val="7D7FD111"/>
    <w:rsid w:val="7D82740E"/>
    <w:rsid w:val="7D90A733"/>
    <w:rsid w:val="7D9B7740"/>
    <w:rsid w:val="7D9E551C"/>
    <w:rsid w:val="7D9FD3E3"/>
    <w:rsid w:val="7DA17495"/>
    <w:rsid w:val="7DA6E875"/>
    <w:rsid w:val="7DA725AD"/>
    <w:rsid w:val="7DA7A04A"/>
    <w:rsid w:val="7DA8A8D7"/>
    <w:rsid w:val="7DAE0D04"/>
    <w:rsid w:val="7DB16088"/>
    <w:rsid w:val="7DB4416A"/>
    <w:rsid w:val="7DB46CD2"/>
    <w:rsid w:val="7DB5EA0E"/>
    <w:rsid w:val="7DB8D879"/>
    <w:rsid w:val="7DBA1B97"/>
    <w:rsid w:val="7DBB229C"/>
    <w:rsid w:val="7DBF9C1D"/>
    <w:rsid w:val="7DC835FC"/>
    <w:rsid w:val="7DC9D236"/>
    <w:rsid w:val="7DCA5909"/>
    <w:rsid w:val="7DCD37F3"/>
    <w:rsid w:val="7DCDF77E"/>
    <w:rsid w:val="7DD37285"/>
    <w:rsid w:val="7DD3B573"/>
    <w:rsid w:val="7DD5247E"/>
    <w:rsid w:val="7DD83D55"/>
    <w:rsid w:val="7DE15AE3"/>
    <w:rsid w:val="7DE9D04B"/>
    <w:rsid w:val="7DEB497E"/>
    <w:rsid w:val="7DEEC9C8"/>
    <w:rsid w:val="7DF1B622"/>
    <w:rsid w:val="7DF3B940"/>
    <w:rsid w:val="7DFFDB4E"/>
    <w:rsid w:val="7E0B4BFB"/>
    <w:rsid w:val="7E11EA29"/>
    <w:rsid w:val="7E1AA654"/>
    <w:rsid w:val="7E1FAAB5"/>
    <w:rsid w:val="7E21A7E3"/>
    <w:rsid w:val="7E224877"/>
    <w:rsid w:val="7E254392"/>
    <w:rsid w:val="7E28EF8C"/>
    <w:rsid w:val="7E2AF19D"/>
    <w:rsid w:val="7E325076"/>
    <w:rsid w:val="7E36EE47"/>
    <w:rsid w:val="7E4256B3"/>
    <w:rsid w:val="7E4322AB"/>
    <w:rsid w:val="7E46A487"/>
    <w:rsid w:val="7E48470B"/>
    <w:rsid w:val="7E491735"/>
    <w:rsid w:val="7E49795A"/>
    <w:rsid w:val="7E4C0887"/>
    <w:rsid w:val="7E51086E"/>
    <w:rsid w:val="7E56359A"/>
    <w:rsid w:val="7E599E14"/>
    <w:rsid w:val="7E59C241"/>
    <w:rsid w:val="7E5B631B"/>
    <w:rsid w:val="7E5C44DA"/>
    <w:rsid w:val="7E5D415C"/>
    <w:rsid w:val="7E625858"/>
    <w:rsid w:val="7E75BD02"/>
    <w:rsid w:val="7E7823D4"/>
    <w:rsid w:val="7E787983"/>
    <w:rsid w:val="7E8B4690"/>
    <w:rsid w:val="7E93C50D"/>
    <w:rsid w:val="7E94D535"/>
    <w:rsid w:val="7E951BC2"/>
    <w:rsid w:val="7E99C377"/>
    <w:rsid w:val="7E9F82BC"/>
    <w:rsid w:val="7EA5DCD5"/>
    <w:rsid w:val="7EA70139"/>
    <w:rsid w:val="7EA72286"/>
    <w:rsid w:val="7EA97981"/>
    <w:rsid w:val="7EB0EEDD"/>
    <w:rsid w:val="7EB22522"/>
    <w:rsid w:val="7EBAFECF"/>
    <w:rsid w:val="7EBD3CA0"/>
    <w:rsid w:val="7EC3A7E2"/>
    <w:rsid w:val="7EC3AE9A"/>
    <w:rsid w:val="7ED60048"/>
    <w:rsid w:val="7ED783B7"/>
    <w:rsid w:val="7ED88E82"/>
    <w:rsid w:val="7EDD5AFE"/>
    <w:rsid w:val="7EDE0BAF"/>
    <w:rsid w:val="7EE11C13"/>
    <w:rsid w:val="7EE4583A"/>
    <w:rsid w:val="7EE73B38"/>
    <w:rsid w:val="7EEA8653"/>
    <w:rsid w:val="7EF608AB"/>
    <w:rsid w:val="7EF9D625"/>
    <w:rsid w:val="7F01FD10"/>
    <w:rsid w:val="7F0878E7"/>
    <w:rsid w:val="7F0958B1"/>
    <w:rsid w:val="7F0A3238"/>
    <w:rsid w:val="7F0AF1A3"/>
    <w:rsid w:val="7F0B7DCE"/>
    <w:rsid w:val="7F0F154E"/>
    <w:rsid w:val="7F17F404"/>
    <w:rsid w:val="7F1B3EF5"/>
    <w:rsid w:val="7F21ADEC"/>
    <w:rsid w:val="7F33E515"/>
    <w:rsid w:val="7F371E9B"/>
    <w:rsid w:val="7F412691"/>
    <w:rsid w:val="7F41BA72"/>
    <w:rsid w:val="7F496842"/>
    <w:rsid w:val="7F4A422A"/>
    <w:rsid w:val="7F4CD152"/>
    <w:rsid w:val="7F4D133E"/>
    <w:rsid w:val="7F557876"/>
    <w:rsid w:val="7F695088"/>
    <w:rsid w:val="7F76F58B"/>
    <w:rsid w:val="7F7A6D66"/>
    <w:rsid w:val="7F7F157D"/>
    <w:rsid w:val="7F86F065"/>
    <w:rsid w:val="7F8A4DAA"/>
    <w:rsid w:val="7F95455B"/>
    <w:rsid w:val="7FA0FC88"/>
    <w:rsid w:val="7FA7583F"/>
    <w:rsid w:val="7FAB332D"/>
    <w:rsid w:val="7FB29C80"/>
    <w:rsid w:val="7FB91623"/>
    <w:rsid w:val="7FC0481A"/>
    <w:rsid w:val="7FC976F0"/>
    <w:rsid w:val="7FD8C920"/>
    <w:rsid w:val="7FD97207"/>
    <w:rsid w:val="7FDA654D"/>
    <w:rsid w:val="7FE3319E"/>
    <w:rsid w:val="7FE3FF84"/>
    <w:rsid w:val="7FF2CB68"/>
    <w:rsid w:val="7FF5D8B3"/>
    <w:rsid w:val="7FFFB8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661080"/>
  <w15:chartTrackingRefBased/>
  <w15:docId w15:val="{E68D2ABE-9D55-40C8-87BE-3C63F3F1B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0C3"/>
    <w:pPr>
      <w:spacing w:after="240" w:line="240" w:lineRule="auto"/>
    </w:pPr>
    <w:rPr>
      <w:rFonts w:ascii="Arial" w:hAnsi="Arial" w:cs="Times New Roman"/>
      <w:sz w:val="24"/>
      <w:szCs w:val="20"/>
    </w:rPr>
  </w:style>
  <w:style w:type="paragraph" w:styleId="Heading1">
    <w:name w:val="heading 1"/>
    <w:basedOn w:val="Normal"/>
    <w:next w:val="Normal"/>
    <w:link w:val="Heading1Char"/>
    <w:uiPriority w:val="9"/>
    <w:qFormat/>
    <w:rsid w:val="007710C3"/>
    <w:pPr>
      <w:keepNext/>
      <w:keepLines/>
      <w:numPr>
        <w:numId w:val="33"/>
      </w:numPr>
      <w:spacing w:before="480"/>
      <w:outlineLvl w:val="0"/>
    </w:pPr>
    <w:rPr>
      <w:rFonts w:eastAsia="Arial" w:cs="Arial"/>
      <w:b/>
      <w:bCs/>
      <w:color w:val="365F91"/>
      <w:sz w:val="32"/>
      <w:szCs w:val="32"/>
      <w:u w:color="000000"/>
    </w:rPr>
  </w:style>
  <w:style w:type="paragraph" w:styleId="Heading2">
    <w:name w:val="heading 2"/>
    <w:basedOn w:val="Normal"/>
    <w:next w:val="Normal"/>
    <w:link w:val="Heading2Char"/>
    <w:uiPriority w:val="9"/>
    <w:unhideWhenUsed/>
    <w:qFormat/>
    <w:rsid w:val="007710C3"/>
    <w:pPr>
      <w:keepNext/>
      <w:keepLines/>
      <w:numPr>
        <w:ilvl w:val="1"/>
        <w:numId w:val="33"/>
      </w:numPr>
      <w:spacing w:before="360" w:after="120"/>
      <w:outlineLvl w:val="1"/>
    </w:pPr>
    <w:rPr>
      <w:rFonts w:cs="Arial"/>
      <w:b/>
      <w:bCs/>
      <w:color w:val="1F4E79" w:themeColor="accent5" w:themeShade="80"/>
      <w:szCs w:val="24"/>
      <w:u w:color="000000"/>
    </w:rPr>
  </w:style>
  <w:style w:type="paragraph" w:styleId="Heading3">
    <w:name w:val="heading 3"/>
    <w:basedOn w:val="Heading2"/>
    <w:next w:val="Normal"/>
    <w:link w:val="Heading3Char"/>
    <w:autoRedefine/>
    <w:uiPriority w:val="9"/>
    <w:unhideWhenUsed/>
    <w:qFormat/>
    <w:rsid w:val="00E204C6"/>
    <w:pPr>
      <w:numPr>
        <w:ilvl w:val="2"/>
      </w:numPr>
      <w:ind w:left="1440"/>
      <w:outlineLvl w:val="2"/>
    </w:pPr>
    <w:rPr>
      <w:rFonts w:eastAsia="Arial"/>
      <w:bCs w:val="0"/>
      <w:szCs w:val="20"/>
    </w:rPr>
  </w:style>
  <w:style w:type="paragraph" w:styleId="Heading4">
    <w:name w:val="heading 4"/>
    <w:next w:val="Normal"/>
    <w:link w:val="Heading4Char"/>
    <w:autoRedefine/>
    <w:uiPriority w:val="9"/>
    <w:unhideWhenUsed/>
    <w:qFormat/>
    <w:rsid w:val="006B1A26"/>
    <w:pPr>
      <w:numPr>
        <w:ilvl w:val="3"/>
        <w:numId w:val="33"/>
      </w:numPr>
      <w:spacing w:before="240"/>
      <w:outlineLvl w:val="3"/>
    </w:pPr>
    <w:rPr>
      <w:rFonts w:ascii="Arial" w:eastAsia="Arial" w:hAnsi="Arial" w:cs="Arial"/>
      <w:b/>
      <w:color w:val="1F4E79" w:themeColor="accent5" w:themeShade="80"/>
      <w:sz w:val="24"/>
      <w:szCs w:val="20"/>
      <w:u w:color="000000"/>
    </w:rPr>
  </w:style>
  <w:style w:type="paragraph" w:styleId="Heading5">
    <w:name w:val="heading 5"/>
    <w:basedOn w:val="Normal"/>
    <w:next w:val="Normal"/>
    <w:link w:val="Heading5Char"/>
    <w:uiPriority w:val="9"/>
    <w:unhideWhenUsed/>
    <w:qFormat/>
    <w:rsid w:val="002B5642"/>
    <w:pPr>
      <w:keepNext/>
      <w:keepLines/>
      <w:numPr>
        <w:ilvl w:val="4"/>
        <w:numId w:val="33"/>
      </w:numPr>
      <w:spacing w:before="40" w:after="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7710C3"/>
    <w:pPr>
      <w:keepNext/>
      <w:keepLines/>
      <w:numPr>
        <w:ilvl w:val="5"/>
        <w:numId w:val="3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E3060"/>
    <w:pPr>
      <w:keepNext/>
      <w:keepLines/>
      <w:numPr>
        <w:ilvl w:val="6"/>
        <w:numId w:val="3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E3060"/>
    <w:pPr>
      <w:keepNext/>
      <w:keepLines/>
      <w:numPr>
        <w:ilvl w:val="7"/>
        <w:numId w:val="3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3060"/>
    <w:pPr>
      <w:keepNext/>
      <w:keepLines/>
      <w:numPr>
        <w:ilvl w:val="8"/>
        <w:numId w:val="3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0C3"/>
    <w:rPr>
      <w:rFonts w:ascii="Arial" w:eastAsia="Arial" w:hAnsi="Arial" w:cs="Arial"/>
      <w:b/>
      <w:bCs/>
      <w:color w:val="365F91"/>
      <w:sz w:val="32"/>
      <w:szCs w:val="32"/>
      <w:u w:color="000000"/>
    </w:rPr>
  </w:style>
  <w:style w:type="character" w:customStyle="1" w:styleId="Heading2Char">
    <w:name w:val="Heading 2 Char"/>
    <w:basedOn w:val="DefaultParagraphFont"/>
    <w:link w:val="Heading2"/>
    <w:uiPriority w:val="9"/>
    <w:rsid w:val="007710C3"/>
    <w:rPr>
      <w:rFonts w:ascii="Arial" w:hAnsi="Arial" w:cs="Arial"/>
      <w:b/>
      <w:bCs/>
      <w:color w:val="1F4E79" w:themeColor="accent5" w:themeShade="80"/>
      <w:sz w:val="24"/>
      <w:szCs w:val="24"/>
      <w:u w:color="000000"/>
    </w:rPr>
  </w:style>
  <w:style w:type="character" w:customStyle="1" w:styleId="Heading3Char">
    <w:name w:val="Heading 3 Char"/>
    <w:basedOn w:val="DefaultParagraphFont"/>
    <w:link w:val="Heading3"/>
    <w:uiPriority w:val="9"/>
    <w:rsid w:val="005632BC"/>
    <w:rPr>
      <w:rFonts w:ascii="Arial" w:eastAsia="Arial" w:hAnsi="Arial" w:cs="Arial"/>
      <w:b/>
      <w:color w:val="1F4E79" w:themeColor="accent5" w:themeShade="80"/>
      <w:sz w:val="24"/>
      <w:szCs w:val="20"/>
      <w:u w:color="000000"/>
    </w:rPr>
  </w:style>
  <w:style w:type="character" w:customStyle="1" w:styleId="Heading4Char">
    <w:name w:val="Heading 4 Char"/>
    <w:basedOn w:val="DefaultParagraphFont"/>
    <w:link w:val="Heading4"/>
    <w:uiPriority w:val="9"/>
    <w:rsid w:val="007710C3"/>
    <w:rPr>
      <w:rFonts w:ascii="Arial" w:eastAsia="Arial" w:hAnsi="Arial" w:cs="Arial"/>
      <w:b/>
      <w:color w:val="1F4E79" w:themeColor="accent5" w:themeShade="80"/>
      <w:sz w:val="24"/>
      <w:szCs w:val="20"/>
      <w:u w:color="000000"/>
    </w:rPr>
  </w:style>
  <w:style w:type="character" w:customStyle="1" w:styleId="Heading5Char">
    <w:name w:val="Heading 5 Char"/>
    <w:basedOn w:val="DefaultParagraphFont"/>
    <w:link w:val="Heading5"/>
    <w:uiPriority w:val="9"/>
    <w:rsid w:val="002B5642"/>
    <w:rPr>
      <w:rFonts w:ascii="Arial" w:eastAsiaTheme="majorEastAsia" w:hAnsi="Arial" w:cstheme="majorBidi"/>
      <w:color w:val="2F5496" w:themeColor="accent1" w:themeShade="BF"/>
      <w:sz w:val="24"/>
      <w:szCs w:val="20"/>
    </w:rPr>
  </w:style>
  <w:style w:type="character" w:customStyle="1" w:styleId="Heading6Char">
    <w:name w:val="Heading 6 Char"/>
    <w:basedOn w:val="DefaultParagraphFont"/>
    <w:link w:val="Heading6"/>
    <w:uiPriority w:val="9"/>
    <w:rsid w:val="007710C3"/>
    <w:rPr>
      <w:rFonts w:asciiTheme="majorHAnsi" w:eastAsiaTheme="majorEastAsia" w:hAnsiTheme="majorHAnsi" w:cstheme="majorBidi"/>
      <w:color w:val="1F3763" w:themeColor="accent1" w:themeShade="7F"/>
      <w:sz w:val="24"/>
      <w:szCs w:val="20"/>
    </w:rPr>
  </w:style>
  <w:style w:type="character" w:styleId="Hyperlink">
    <w:name w:val="Hyperlink"/>
    <w:uiPriority w:val="99"/>
    <w:unhideWhenUsed/>
    <w:rsid w:val="007710C3"/>
    <w:rPr>
      <w:color w:val="0000FF"/>
      <w:u w:val="single"/>
    </w:rPr>
  </w:style>
  <w:style w:type="paragraph" w:styleId="Footer">
    <w:name w:val="footer"/>
    <w:basedOn w:val="Normal"/>
    <w:link w:val="FooterChar"/>
    <w:uiPriority w:val="99"/>
    <w:unhideWhenUsed/>
    <w:rsid w:val="007710C3"/>
    <w:pPr>
      <w:tabs>
        <w:tab w:val="center" w:pos="4680"/>
        <w:tab w:val="right" w:pos="9360"/>
      </w:tabs>
    </w:pPr>
  </w:style>
  <w:style w:type="character" w:customStyle="1" w:styleId="FooterChar">
    <w:name w:val="Footer Char"/>
    <w:basedOn w:val="DefaultParagraphFont"/>
    <w:link w:val="Footer"/>
    <w:uiPriority w:val="99"/>
    <w:rsid w:val="007710C3"/>
    <w:rPr>
      <w:rFonts w:ascii="Arial" w:hAnsi="Arial" w:cs="Times New Roman"/>
      <w:sz w:val="24"/>
      <w:szCs w:val="20"/>
    </w:rPr>
  </w:style>
  <w:style w:type="paragraph" w:styleId="NoSpacing">
    <w:name w:val="No Spacing"/>
    <w:uiPriority w:val="1"/>
    <w:qFormat/>
    <w:rsid w:val="007710C3"/>
    <w:pPr>
      <w:spacing w:after="0" w:line="240" w:lineRule="auto"/>
    </w:pPr>
    <w:rPr>
      <w:rFonts w:ascii="Times New Roman" w:eastAsia="Times New Roman" w:hAnsi="Times New Roman" w:cs="Times New Roman"/>
      <w:sz w:val="20"/>
      <w:szCs w:val="20"/>
    </w:rPr>
  </w:style>
  <w:style w:type="character" w:styleId="FollowedHyperlink">
    <w:name w:val="FollowedHyperlink"/>
    <w:uiPriority w:val="99"/>
    <w:semiHidden/>
    <w:unhideWhenUsed/>
    <w:rsid w:val="007710C3"/>
    <w:rPr>
      <w:color w:val="800080"/>
      <w:u w:val="single"/>
    </w:rPr>
  </w:style>
  <w:style w:type="paragraph" w:styleId="ListParagraph">
    <w:name w:val="List Paragraph"/>
    <w:basedOn w:val="Normal"/>
    <w:link w:val="ListParagraphChar"/>
    <w:uiPriority w:val="99"/>
    <w:qFormat/>
    <w:rsid w:val="007710C3"/>
    <w:pPr>
      <w:ind w:left="720"/>
      <w:contextualSpacing/>
    </w:pPr>
  </w:style>
  <w:style w:type="character" w:customStyle="1" w:styleId="ListParagraphChar">
    <w:name w:val="List Paragraph Char"/>
    <w:link w:val="ListParagraph"/>
    <w:uiPriority w:val="34"/>
    <w:rsid w:val="007710C3"/>
    <w:rPr>
      <w:rFonts w:ascii="Arial" w:hAnsi="Arial" w:cs="Times New Roman"/>
      <w:sz w:val="24"/>
      <w:szCs w:val="20"/>
    </w:rPr>
  </w:style>
  <w:style w:type="character" w:styleId="CommentReference">
    <w:name w:val="annotation reference"/>
    <w:uiPriority w:val="99"/>
    <w:semiHidden/>
    <w:unhideWhenUsed/>
    <w:rsid w:val="007710C3"/>
    <w:rPr>
      <w:sz w:val="16"/>
      <w:szCs w:val="16"/>
    </w:rPr>
  </w:style>
  <w:style w:type="paragraph" w:styleId="CommentText">
    <w:name w:val="annotation text"/>
    <w:basedOn w:val="Normal"/>
    <w:link w:val="CommentTextChar"/>
    <w:uiPriority w:val="99"/>
    <w:unhideWhenUsed/>
    <w:rsid w:val="007710C3"/>
  </w:style>
  <w:style w:type="character" w:customStyle="1" w:styleId="CommentTextChar">
    <w:name w:val="Comment Text Char"/>
    <w:basedOn w:val="DefaultParagraphFont"/>
    <w:link w:val="CommentText"/>
    <w:uiPriority w:val="99"/>
    <w:rsid w:val="007710C3"/>
    <w:rPr>
      <w:rFonts w:ascii="Arial" w:hAnsi="Arial" w:cs="Times New Roman"/>
      <w:sz w:val="24"/>
      <w:szCs w:val="20"/>
    </w:rPr>
  </w:style>
  <w:style w:type="paragraph" w:styleId="CommentSubject">
    <w:name w:val="annotation subject"/>
    <w:basedOn w:val="CommentText"/>
    <w:next w:val="CommentText"/>
    <w:link w:val="CommentSubjectChar"/>
    <w:uiPriority w:val="99"/>
    <w:semiHidden/>
    <w:unhideWhenUsed/>
    <w:rsid w:val="007710C3"/>
    <w:rPr>
      <w:b/>
      <w:bCs/>
    </w:rPr>
  </w:style>
  <w:style w:type="character" w:customStyle="1" w:styleId="CommentSubjectChar">
    <w:name w:val="Comment Subject Char"/>
    <w:basedOn w:val="CommentTextChar"/>
    <w:link w:val="CommentSubject"/>
    <w:uiPriority w:val="99"/>
    <w:semiHidden/>
    <w:rsid w:val="007710C3"/>
    <w:rPr>
      <w:rFonts w:ascii="Arial" w:hAnsi="Arial" w:cs="Times New Roman"/>
      <w:b/>
      <w:bCs/>
      <w:sz w:val="24"/>
      <w:szCs w:val="20"/>
    </w:rPr>
  </w:style>
  <w:style w:type="paragraph" w:styleId="BalloonText">
    <w:name w:val="Balloon Text"/>
    <w:basedOn w:val="Normal"/>
    <w:link w:val="BalloonTextChar"/>
    <w:uiPriority w:val="99"/>
    <w:semiHidden/>
    <w:unhideWhenUsed/>
    <w:rsid w:val="007710C3"/>
    <w:rPr>
      <w:rFonts w:ascii="Tahoma" w:hAnsi="Tahoma" w:cs="Tahoma"/>
      <w:sz w:val="16"/>
      <w:szCs w:val="16"/>
    </w:rPr>
  </w:style>
  <w:style w:type="character" w:customStyle="1" w:styleId="BalloonTextChar">
    <w:name w:val="Balloon Text Char"/>
    <w:basedOn w:val="DefaultParagraphFont"/>
    <w:link w:val="BalloonText"/>
    <w:uiPriority w:val="99"/>
    <w:semiHidden/>
    <w:rsid w:val="007710C3"/>
    <w:rPr>
      <w:rFonts w:ascii="Tahoma" w:hAnsi="Tahoma" w:cs="Tahoma"/>
      <w:sz w:val="16"/>
      <w:szCs w:val="16"/>
    </w:rPr>
  </w:style>
  <w:style w:type="paragraph" w:styleId="Caption">
    <w:name w:val="caption"/>
    <w:basedOn w:val="Normal"/>
    <w:next w:val="Normal"/>
    <w:uiPriority w:val="35"/>
    <w:qFormat/>
    <w:rsid w:val="007710C3"/>
    <w:pPr>
      <w:spacing w:before="120" w:after="120"/>
    </w:pPr>
    <w:rPr>
      <w:b/>
      <w:bCs/>
    </w:rPr>
  </w:style>
  <w:style w:type="paragraph" w:styleId="BodyText">
    <w:name w:val="Body Text"/>
    <w:basedOn w:val="Normal"/>
    <w:link w:val="BodyTextChar"/>
    <w:unhideWhenUsed/>
    <w:rsid w:val="007710C3"/>
    <w:pPr>
      <w:autoSpaceDE w:val="0"/>
      <w:autoSpaceDN w:val="0"/>
      <w:adjustRightInd w:val="0"/>
    </w:pPr>
    <w:rPr>
      <w:rFonts w:cs="Arial"/>
      <w:sz w:val="22"/>
      <w:szCs w:val="24"/>
    </w:rPr>
  </w:style>
  <w:style w:type="character" w:customStyle="1" w:styleId="BodyTextChar">
    <w:name w:val="Body Text Char"/>
    <w:basedOn w:val="DefaultParagraphFont"/>
    <w:link w:val="BodyText"/>
    <w:rsid w:val="007710C3"/>
    <w:rPr>
      <w:rFonts w:ascii="Arial" w:hAnsi="Arial" w:cs="Arial"/>
      <w:szCs w:val="24"/>
    </w:rPr>
  </w:style>
  <w:style w:type="paragraph" w:styleId="TOCHeading">
    <w:name w:val="TOC Heading"/>
    <w:basedOn w:val="Heading1"/>
    <w:next w:val="Normal"/>
    <w:uiPriority w:val="39"/>
    <w:unhideWhenUsed/>
    <w:qFormat/>
    <w:rsid w:val="007710C3"/>
    <w:pPr>
      <w:spacing w:line="276" w:lineRule="auto"/>
      <w:outlineLvl w:val="9"/>
    </w:pPr>
    <w:rPr>
      <w:sz w:val="28"/>
      <w:lang w:eastAsia="ja-JP"/>
    </w:rPr>
  </w:style>
  <w:style w:type="paragraph" w:styleId="TOC1">
    <w:name w:val="toc 1"/>
    <w:basedOn w:val="Normal"/>
    <w:next w:val="Normal"/>
    <w:autoRedefine/>
    <w:uiPriority w:val="39"/>
    <w:unhideWhenUsed/>
    <w:rsid w:val="00C93408"/>
    <w:pPr>
      <w:tabs>
        <w:tab w:val="left" w:pos="660"/>
        <w:tab w:val="right" w:leader="dot" w:pos="9350"/>
      </w:tabs>
      <w:spacing w:after="100"/>
    </w:pPr>
  </w:style>
  <w:style w:type="paragraph" w:styleId="TOC2">
    <w:name w:val="toc 2"/>
    <w:basedOn w:val="Normal"/>
    <w:next w:val="Normal"/>
    <w:autoRedefine/>
    <w:uiPriority w:val="39"/>
    <w:unhideWhenUsed/>
    <w:rsid w:val="00537CD0"/>
    <w:pPr>
      <w:tabs>
        <w:tab w:val="left" w:pos="880"/>
        <w:tab w:val="right" w:leader="dot" w:pos="9350"/>
      </w:tabs>
      <w:spacing w:after="100"/>
      <w:ind w:left="200"/>
    </w:pPr>
  </w:style>
  <w:style w:type="paragraph" w:styleId="TableofFigures">
    <w:name w:val="table of figures"/>
    <w:basedOn w:val="Normal"/>
    <w:next w:val="Normal"/>
    <w:uiPriority w:val="99"/>
    <w:unhideWhenUsed/>
    <w:rsid w:val="007710C3"/>
  </w:style>
  <w:style w:type="paragraph" w:styleId="Header">
    <w:name w:val="header"/>
    <w:basedOn w:val="Normal"/>
    <w:link w:val="HeaderChar"/>
    <w:uiPriority w:val="99"/>
    <w:unhideWhenUsed/>
    <w:rsid w:val="007710C3"/>
    <w:pPr>
      <w:tabs>
        <w:tab w:val="center" w:pos="4680"/>
        <w:tab w:val="right" w:pos="9360"/>
      </w:tabs>
    </w:pPr>
  </w:style>
  <w:style w:type="character" w:customStyle="1" w:styleId="HeaderChar">
    <w:name w:val="Header Char"/>
    <w:basedOn w:val="DefaultParagraphFont"/>
    <w:link w:val="Header"/>
    <w:uiPriority w:val="99"/>
    <w:rsid w:val="007710C3"/>
    <w:rPr>
      <w:rFonts w:ascii="Arial" w:hAnsi="Arial" w:cs="Times New Roman"/>
      <w:sz w:val="24"/>
      <w:szCs w:val="20"/>
    </w:rPr>
  </w:style>
  <w:style w:type="paragraph" w:styleId="NormalWeb">
    <w:name w:val="Normal (Web)"/>
    <w:basedOn w:val="Normal"/>
    <w:uiPriority w:val="99"/>
    <w:unhideWhenUsed/>
    <w:rsid w:val="007710C3"/>
    <w:rPr>
      <w:szCs w:val="24"/>
    </w:rPr>
  </w:style>
  <w:style w:type="paragraph" w:styleId="FootnoteText">
    <w:name w:val="footnote text"/>
    <w:basedOn w:val="Normal"/>
    <w:link w:val="FootnoteTextChar"/>
    <w:uiPriority w:val="99"/>
    <w:semiHidden/>
    <w:unhideWhenUsed/>
    <w:rsid w:val="007710C3"/>
  </w:style>
  <w:style w:type="character" w:customStyle="1" w:styleId="FootnoteTextChar">
    <w:name w:val="Footnote Text Char"/>
    <w:basedOn w:val="DefaultParagraphFont"/>
    <w:link w:val="FootnoteText"/>
    <w:uiPriority w:val="99"/>
    <w:semiHidden/>
    <w:rsid w:val="007710C3"/>
    <w:rPr>
      <w:rFonts w:ascii="Arial" w:hAnsi="Arial" w:cs="Times New Roman"/>
      <w:sz w:val="24"/>
      <w:szCs w:val="20"/>
    </w:rPr>
  </w:style>
  <w:style w:type="character" w:styleId="FootnoteReference">
    <w:name w:val="footnote reference"/>
    <w:uiPriority w:val="99"/>
    <w:semiHidden/>
    <w:unhideWhenUsed/>
    <w:rsid w:val="007710C3"/>
    <w:rPr>
      <w:vertAlign w:val="superscript"/>
    </w:rPr>
  </w:style>
  <w:style w:type="table" w:styleId="TableGrid">
    <w:name w:val="Table Grid"/>
    <w:basedOn w:val="TableNormal"/>
    <w:uiPriority w:val="39"/>
    <w:rsid w:val="007710C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unhideWhenUsed/>
    <w:rsid w:val="007710C3"/>
    <w:rPr>
      <w:color w:val="605E5C"/>
      <w:shd w:val="clear" w:color="auto" w:fill="E1DFDD"/>
    </w:rPr>
  </w:style>
  <w:style w:type="character" w:customStyle="1" w:styleId="normaltextrun">
    <w:name w:val="normaltextrun"/>
    <w:rsid w:val="007710C3"/>
  </w:style>
  <w:style w:type="character" w:customStyle="1" w:styleId="spellingerror">
    <w:name w:val="spellingerror"/>
    <w:rsid w:val="007710C3"/>
  </w:style>
  <w:style w:type="character" w:styleId="PageNumber">
    <w:name w:val="page number"/>
    <w:basedOn w:val="DefaultParagraphFont"/>
    <w:rsid w:val="007710C3"/>
  </w:style>
  <w:style w:type="paragraph" w:styleId="TOC3">
    <w:name w:val="toc 3"/>
    <w:basedOn w:val="Normal"/>
    <w:next w:val="Normal"/>
    <w:autoRedefine/>
    <w:uiPriority w:val="39"/>
    <w:unhideWhenUsed/>
    <w:rsid w:val="00C93408"/>
    <w:pPr>
      <w:tabs>
        <w:tab w:val="left" w:pos="1320"/>
        <w:tab w:val="right" w:leader="dot" w:pos="9350"/>
      </w:tabs>
      <w:spacing w:after="100"/>
      <w:ind w:left="403"/>
    </w:pPr>
  </w:style>
  <w:style w:type="character" w:customStyle="1" w:styleId="BodyTextIndentChar">
    <w:name w:val="Body Text Indent Char"/>
    <w:basedOn w:val="DefaultParagraphFont"/>
    <w:link w:val="BodyTextIndent"/>
    <w:uiPriority w:val="99"/>
    <w:semiHidden/>
    <w:rsid w:val="007710C3"/>
    <w:rPr>
      <w:rFonts w:ascii="Arial" w:hAnsi="Arial" w:cs="Times New Roman"/>
      <w:sz w:val="24"/>
      <w:szCs w:val="20"/>
    </w:rPr>
  </w:style>
  <w:style w:type="paragraph" w:styleId="BodyTextIndent">
    <w:name w:val="Body Text Indent"/>
    <w:basedOn w:val="Normal"/>
    <w:link w:val="BodyTextIndentChar"/>
    <w:uiPriority w:val="99"/>
    <w:semiHidden/>
    <w:unhideWhenUsed/>
    <w:rsid w:val="007710C3"/>
    <w:pPr>
      <w:spacing w:after="120"/>
      <w:ind w:left="360"/>
    </w:pPr>
  </w:style>
  <w:style w:type="paragraph" w:customStyle="1" w:styleId="paragraph">
    <w:name w:val="paragraph"/>
    <w:basedOn w:val="Normal"/>
    <w:rsid w:val="007710C3"/>
    <w:pPr>
      <w:spacing w:before="100" w:beforeAutospacing="1" w:after="100" w:afterAutospacing="1"/>
    </w:pPr>
    <w:rPr>
      <w:szCs w:val="24"/>
    </w:rPr>
  </w:style>
  <w:style w:type="character" w:customStyle="1" w:styleId="eop">
    <w:name w:val="eop"/>
    <w:basedOn w:val="DefaultParagraphFont"/>
    <w:rsid w:val="007710C3"/>
  </w:style>
  <w:style w:type="paragraph" w:customStyle="1" w:styleId="Default">
    <w:name w:val="Default"/>
    <w:rsid w:val="007710C3"/>
    <w:pPr>
      <w:autoSpaceDE w:val="0"/>
      <w:autoSpaceDN w:val="0"/>
      <w:adjustRightInd w:val="0"/>
      <w:spacing w:after="0" w:line="240" w:lineRule="auto"/>
    </w:pPr>
    <w:rPr>
      <w:rFonts w:ascii="Arial" w:hAnsi="Arial" w:cs="Arial"/>
      <w:color w:val="000000"/>
      <w:sz w:val="24"/>
      <w:szCs w:val="24"/>
    </w:rPr>
  </w:style>
  <w:style w:type="character" w:styleId="Mention">
    <w:name w:val="Mention"/>
    <w:basedOn w:val="DefaultParagraphFont"/>
    <w:uiPriority w:val="99"/>
    <w:unhideWhenUsed/>
    <w:rsid w:val="007710C3"/>
    <w:rPr>
      <w:color w:val="2B579A"/>
      <w:shd w:val="clear" w:color="auto" w:fill="E1DFDD"/>
    </w:rPr>
  </w:style>
  <w:style w:type="table" w:customStyle="1" w:styleId="TableGrid5">
    <w:name w:val="Table Grid5"/>
    <w:basedOn w:val="TableNormal"/>
    <w:next w:val="TableGrid"/>
    <w:uiPriority w:val="39"/>
    <w:rsid w:val="007710C3"/>
    <w:pPr>
      <w:spacing w:after="0" w:line="240" w:lineRule="auto"/>
    </w:pPr>
    <w:rPr>
      <w:rFonts w:ascii="Arial" w:hAnsi="Arial" w:cs="Arial"/>
      <w:color w:val="5A5A5A"/>
      <w:spacing w:val="15"/>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cblTable">
    <w:name w:val="Accbl Table"/>
    <w:basedOn w:val="TableNormal"/>
    <w:uiPriority w:val="99"/>
    <w:rsid w:val="007710C3"/>
    <w:pPr>
      <w:spacing w:after="0" w:line="240" w:lineRule="auto"/>
    </w:pPr>
    <w:rPr>
      <w:rFonts w:ascii="Arial" w:hAnsi="Arial" w:cs="Times New Roman"/>
      <w:sz w:val="24"/>
      <w:szCs w:val="20"/>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jc w:val="center"/>
      </w:pPr>
      <w:rPr>
        <w:rFonts w:ascii="Arial" w:hAnsi="Arial"/>
        <w:b/>
        <w:sz w:val="24"/>
      </w:rPr>
      <w:tblPr/>
      <w:trPr>
        <w:cantSplit w:val="0"/>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EEAF6" w:themeFill="accent5" w:themeFillTint="33"/>
        <w:vAlign w:val="center"/>
      </w:tcPr>
    </w:tblStylePr>
  </w:style>
  <w:style w:type="character" w:customStyle="1" w:styleId="EndnoteTextChar">
    <w:name w:val="Endnote Text Char"/>
    <w:basedOn w:val="DefaultParagraphFont"/>
    <w:link w:val="EndnoteText"/>
    <w:uiPriority w:val="99"/>
    <w:semiHidden/>
    <w:rsid w:val="007710C3"/>
    <w:rPr>
      <w:rFonts w:ascii="Arial" w:hAnsi="Arial" w:cs="Times New Roman"/>
      <w:sz w:val="20"/>
      <w:szCs w:val="20"/>
    </w:rPr>
  </w:style>
  <w:style w:type="paragraph" w:styleId="EndnoteText">
    <w:name w:val="endnote text"/>
    <w:basedOn w:val="Normal"/>
    <w:link w:val="EndnoteTextChar"/>
    <w:uiPriority w:val="99"/>
    <w:semiHidden/>
    <w:unhideWhenUsed/>
    <w:rsid w:val="007710C3"/>
    <w:pPr>
      <w:spacing w:after="0"/>
    </w:pPr>
    <w:rPr>
      <w:sz w:val="20"/>
    </w:rPr>
  </w:style>
  <w:style w:type="character" w:styleId="EndnoteReference">
    <w:name w:val="endnote reference"/>
    <w:basedOn w:val="DefaultParagraphFont"/>
    <w:uiPriority w:val="99"/>
    <w:semiHidden/>
    <w:unhideWhenUsed/>
    <w:rsid w:val="007710C3"/>
    <w:rPr>
      <w:vertAlign w:val="superscript"/>
    </w:rPr>
  </w:style>
  <w:style w:type="character" w:customStyle="1" w:styleId="a">
    <w:name w:val="_"/>
    <w:basedOn w:val="DefaultParagraphFont"/>
    <w:rsid w:val="007710C3"/>
  </w:style>
  <w:style w:type="character" w:customStyle="1" w:styleId="ff2">
    <w:name w:val="ff2"/>
    <w:basedOn w:val="DefaultParagraphFont"/>
    <w:rsid w:val="007710C3"/>
  </w:style>
  <w:style w:type="paragraph" w:styleId="TOC4">
    <w:name w:val="toc 4"/>
    <w:basedOn w:val="Normal"/>
    <w:next w:val="Normal"/>
    <w:autoRedefine/>
    <w:uiPriority w:val="39"/>
    <w:unhideWhenUsed/>
    <w:rsid w:val="007710C3"/>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710C3"/>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710C3"/>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710C3"/>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710C3"/>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710C3"/>
    <w:pPr>
      <w:spacing w:after="100" w:line="259" w:lineRule="auto"/>
      <w:ind w:left="1760"/>
    </w:pPr>
    <w:rPr>
      <w:rFonts w:asciiTheme="minorHAnsi" w:eastAsiaTheme="minorEastAsia" w:hAnsiTheme="minorHAnsi" w:cstheme="minorBidi"/>
      <w:sz w:val="22"/>
      <w:szCs w:val="22"/>
    </w:rPr>
  </w:style>
  <w:style w:type="paragraph" w:styleId="Revision">
    <w:name w:val="Revision"/>
    <w:hidden/>
    <w:uiPriority w:val="99"/>
    <w:semiHidden/>
    <w:rsid w:val="00A03DAF"/>
    <w:pPr>
      <w:spacing w:after="0" w:line="240" w:lineRule="auto"/>
    </w:pPr>
    <w:rPr>
      <w:rFonts w:ascii="Arial" w:hAnsi="Arial" w:cs="Times New Roman"/>
      <w:sz w:val="24"/>
      <w:szCs w:val="20"/>
    </w:rPr>
  </w:style>
  <w:style w:type="character" w:customStyle="1" w:styleId="Heading7Char">
    <w:name w:val="Heading 7 Char"/>
    <w:basedOn w:val="DefaultParagraphFont"/>
    <w:link w:val="Heading7"/>
    <w:uiPriority w:val="9"/>
    <w:semiHidden/>
    <w:rsid w:val="00CE3060"/>
    <w:rPr>
      <w:rFonts w:asciiTheme="majorHAnsi" w:eastAsiaTheme="majorEastAsia" w:hAnsiTheme="majorHAnsi" w:cstheme="majorBidi"/>
      <w:i/>
      <w:iCs/>
      <w:color w:val="1F3763" w:themeColor="accent1" w:themeShade="7F"/>
      <w:sz w:val="24"/>
      <w:szCs w:val="20"/>
    </w:rPr>
  </w:style>
  <w:style w:type="character" w:customStyle="1" w:styleId="Heading8Char">
    <w:name w:val="Heading 8 Char"/>
    <w:basedOn w:val="DefaultParagraphFont"/>
    <w:link w:val="Heading8"/>
    <w:uiPriority w:val="9"/>
    <w:semiHidden/>
    <w:rsid w:val="00CE306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E3060"/>
    <w:rPr>
      <w:rFonts w:asciiTheme="majorHAnsi" w:eastAsiaTheme="majorEastAsia" w:hAnsiTheme="majorHAnsi" w:cstheme="majorBidi"/>
      <w:i/>
      <w:iCs/>
      <w:color w:val="272727" w:themeColor="text1" w:themeTint="D8"/>
      <w:sz w:val="21"/>
      <w:szCs w:val="21"/>
    </w:rPr>
  </w:style>
  <w:style w:type="character" w:customStyle="1" w:styleId="cf01">
    <w:name w:val="cf01"/>
    <w:basedOn w:val="DefaultParagraphFont"/>
    <w:rsid w:val="00F83331"/>
    <w:rPr>
      <w:rFonts w:ascii="Segoe UI" w:hAnsi="Segoe UI" w:cs="Segoe UI" w:hint="default"/>
      <w:sz w:val="18"/>
      <w:szCs w:val="18"/>
    </w:rPr>
  </w:style>
  <w:style w:type="character" w:customStyle="1" w:styleId="superscript">
    <w:name w:val="superscript"/>
    <w:basedOn w:val="DefaultParagraphFont"/>
    <w:rsid w:val="00353060"/>
  </w:style>
  <w:style w:type="paragraph" w:customStyle="1" w:styleId="TableParagraph">
    <w:name w:val="Table Paragraph"/>
    <w:basedOn w:val="Normal"/>
    <w:uiPriority w:val="1"/>
    <w:qFormat/>
    <w:rsid w:val="00BF065D"/>
    <w:pPr>
      <w:autoSpaceDE w:val="0"/>
      <w:autoSpaceDN w:val="0"/>
      <w:adjustRightInd w:val="0"/>
      <w:spacing w:after="0"/>
      <w:ind w:left="109"/>
    </w:pPr>
    <w:rPr>
      <w:rFonts w:cs="Arial"/>
      <w:szCs w:val="24"/>
    </w:rPr>
  </w:style>
  <w:style w:type="paragraph" w:customStyle="1" w:styleId="pf0">
    <w:name w:val="pf0"/>
    <w:basedOn w:val="Normal"/>
    <w:rsid w:val="00737D54"/>
    <w:pPr>
      <w:spacing w:before="100" w:beforeAutospacing="1" w:after="100" w:afterAutospacing="1"/>
    </w:pPr>
    <w:rPr>
      <w:rFonts w:ascii="Times New Roman" w:eastAsia="Times New Roman" w:hAnsi="Times New Roman"/>
      <w:szCs w:val="24"/>
    </w:rPr>
  </w:style>
  <w:style w:type="character" w:customStyle="1" w:styleId="contextualspellingandgrammarerror">
    <w:name w:val="contextualspellingandgrammarerror"/>
    <w:basedOn w:val="DefaultParagraphFont"/>
    <w:rsid w:val="001A1A09"/>
  </w:style>
  <w:style w:type="character" w:customStyle="1" w:styleId="findhit">
    <w:name w:val="findhit"/>
    <w:basedOn w:val="DefaultParagraphFont"/>
    <w:rsid w:val="00A84CDB"/>
  </w:style>
  <w:style w:type="table" w:customStyle="1" w:styleId="GridTable5Dark-Accent11">
    <w:name w:val="Grid Table 5 Dark - Accent 11"/>
    <w:basedOn w:val="TableNormal"/>
    <w:next w:val="GridTable5Dark-Accent1"/>
    <w:uiPriority w:val="50"/>
    <w:rsid w:val="00FA5367"/>
    <w:pPr>
      <w:spacing w:after="0" w:line="240" w:lineRule="auto"/>
    </w:pPr>
    <w:rPr>
      <w:rFonts w:ascii="Arial" w:eastAsia="Arial" w:hAnsi="Arial" w:cs="Arial"/>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GridTable5Dark-Accent1">
    <w:name w:val="Grid Table 5 Dark Accent 1"/>
    <w:basedOn w:val="TableNormal"/>
    <w:uiPriority w:val="50"/>
    <w:rsid w:val="00FA53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ableHeader">
    <w:name w:val="Table Header"/>
    <w:basedOn w:val="Normal"/>
    <w:link w:val="TableHeaderChar"/>
    <w:qFormat/>
    <w:rsid w:val="00FA5367"/>
    <w:rPr>
      <w:b/>
    </w:rPr>
  </w:style>
  <w:style w:type="character" w:customStyle="1" w:styleId="TableHeaderChar">
    <w:name w:val="Table Header Char"/>
    <w:basedOn w:val="DefaultParagraphFont"/>
    <w:link w:val="TableHeader"/>
    <w:rsid w:val="00FA5367"/>
    <w:rPr>
      <w:rFonts w:ascii="Arial" w:hAnsi="Arial" w:cs="Times New Roman"/>
      <w:b/>
      <w:sz w:val="24"/>
      <w:szCs w:val="20"/>
    </w:rPr>
  </w:style>
  <w:style w:type="paragraph" w:styleId="Quote">
    <w:name w:val="Quote"/>
    <w:basedOn w:val="Normal"/>
    <w:next w:val="Normal"/>
    <w:link w:val="QuoteChar"/>
    <w:uiPriority w:val="29"/>
    <w:qFormat/>
    <w:rsid w:val="00E8197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81974"/>
    <w:rPr>
      <w:rFonts w:ascii="Arial" w:hAnsi="Arial" w:cs="Times New Roman"/>
      <w:i/>
      <w:iCs/>
      <w:color w:val="404040" w:themeColor="text1" w:themeTint="BF"/>
      <w:sz w:val="24"/>
      <w:szCs w:val="20"/>
    </w:rPr>
  </w:style>
  <w:style w:type="character" w:styleId="SubtleEmphasis">
    <w:name w:val="Subtle Emphasis"/>
    <w:basedOn w:val="DefaultParagraphFont"/>
    <w:uiPriority w:val="19"/>
    <w:qFormat/>
    <w:rsid w:val="00ED053B"/>
    <w:rPr>
      <w:i/>
      <w:iCs/>
      <w:color w:val="404040" w:themeColor="text1" w:themeTint="BF"/>
    </w:rPr>
  </w:style>
  <w:style w:type="character" w:styleId="Emphasis">
    <w:name w:val="Emphasis"/>
    <w:basedOn w:val="DefaultParagraphFont"/>
    <w:uiPriority w:val="20"/>
    <w:qFormat/>
    <w:rsid w:val="00ED053B"/>
    <w:rPr>
      <w:i/>
      <w:iCs/>
    </w:rPr>
  </w:style>
  <w:style w:type="character" w:styleId="IntenseEmphasis">
    <w:name w:val="Intense Emphasis"/>
    <w:basedOn w:val="DefaultParagraphFont"/>
    <w:uiPriority w:val="21"/>
    <w:qFormat/>
    <w:rsid w:val="00086C09"/>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10969">
      <w:bodyDiv w:val="1"/>
      <w:marLeft w:val="0"/>
      <w:marRight w:val="0"/>
      <w:marTop w:val="0"/>
      <w:marBottom w:val="0"/>
      <w:divBdr>
        <w:top w:val="none" w:sz="0" w:space="0" w:color="auto"/>
        <w:left w:val="none" w:sz="0" w:space="0" w:color="auto"/>
        <w:bottom w:val="none" w:sz="0" w:space="0" w:color="auto"/>
        <w:right w:val="none" w:sz="0" w:space="0" w:color="auto"/>
      </w:divBdr>
    </w:div>
    <w:div w:id="19477239">
      <w:bodyDiv w:val="1"/>
      <w:marLeft w:val="0"/>
      <w:marRight w:val="0"/>
      <w:marTop w:val="0"/>
      <w:marBottom w:val="0"/>
      <w:divBdr>
        <w:top w:val="none" w:sz="0" w:space="0" w:color="auto"/>
        <w:left w:val="none" w:sz="0" w:space="0" w:color="auto"/>
        <w:bottom w:val="none" w:sz="0" w:space="0" w:color="auto"/>
        <w:right w:val="none" w:sz="0" w:space="0" w:color="auto"/>
      </w:divBdr>
      <w:divsChild>
        <w:div w:id="69819259">
          <w:marLeft w:val="0"/>
          <w:marRight w:val="0"/>
          <w:marTop w:val="0"/>
          <w:marBottom w:val="0"/>
          <w:divBdr>
            <w:top w:val="none" w:sz="0" w:space="0" w:color="auto"/>
            <w:left w:val="none" w:sz="0" w:space="0" w:color="auto"/>
            <w:bottom w:val="none" w:sz="0" w:space="0" w:color="auto"/>
            <w:right w:val="none" w:sz="0" w:space="0" w:color="auto"/>
          </w:divBdr>
          <w:divsChild>
            <w:div w:id="210386151">
              <w:marLeft w:val="0"/>
              <w:marRight w:val="0"/>
              <w:marTop w:val="0"/>
              <w:marBottom w:val="0"/>
              <w:divBdr>
                <w:top w:val="none" w:sz="0" w:space="0" w:color="auto"/>
                <w:left w:val="none" w:sz="0" w:space="0" w:color="auto"/>
                <w:bottom w:val="none" w:sz="0" w:space="0" w:color="auto"/>
                <w:right w:val="none" w:sz="0" w:space="0" w:color="auto"/>
              </w:divBdr>
            </w:div>
          </w:divsChild>
        </w:div>
        <w:div w:id="80686549">
          <w:marLeft w:val="0"/>
          <w:marRight w:val="0"/>
          <w:marTop w:val="0"/>
          <w:marBottom w:val="0"/>
          <w:divBdr>
            <w:top w:val="none" w:sz="0" w:space="0" w:color="auto"/>
            <w:left w:val="none" w:sz="0" w:space="0" w:color="auto"/>
            <w:bottom w:val="none" w:sz="0" w:space="0" w:color="auto"/>
            <w:right w:val="none" w:sz="0" w:space="0" w:color="auto"/>
          </w:divBdr>
          <w:divsChild>
            <w:div w:id="1291280374">
              <w:marLeft w:val="0"/>
              <w:marRight w:val="0"/>
              <w:marTop w:val="0"/>
              <w:marBottom w:val="0"/>
              <w:divBdr>
                <w:top w:val="none" w:sz="0" w:space="0" w:color="auto"/>
                <w:left w:val="none" w:sz="0" w:space="0" w:color="auto"/>
                <w:bottom w:val="none" w:sz="0" w:space="0" w:color="auto"/>
                <w:right w:val="none" w:sz="0" w:space="0" w:color="auto"/>
              </w:divBdr>
            </w:div>
          </w:divsChild>
        </w:div>
        <w:div w:id="239368441">
          <w:marLeft w:val="0"/>
          <w:marRight w:val="0"/>
          <w:marTop w:val="0"/>
          <w:marBottom w:val="0"/>
          <w:divBdr>
            <w:top w:val="none" w:sz="0" w:space="0" w:color="auto"/>
            <w:left w:val="none" w:sz="0" w:space="0" w:color="auto"/>
            <w:bottom w:val="none" w:sz="0" w:space="0" w:color="auto"/>
            <w:right w:val="none" w:sz="0" w:space="0" w:color="auto"/>
          </w:divBdr>
          <w:divsChild>
            <w:div w:id="2119177181">
              <w:marLeft w:val="0"/>
              <w:marRight w:val="0"/>
              <w:marTop w:val="0"/>
              <w:marBottom w:val="0"/>
              <w:divBdr>
                <w:top w:val="none" w:sz="0" w:space="0" w:color="auto"/>
                <w:left w:val="none" w:sz="0" w:space="0" w:color="auto"/>
                <w:bottom w:val="none" w:sz="0" w:space="0" w:color="auto"/>
                <w:right w:val="none" w:sz="0" w:space="0" w:color="auto"/>
              </w:divBdr>
            </w:div>
          </w:divsChild>
        </w:div>
        <w:div w:id="245848025">
          <w:marLeft w:val="0"/>
          <w:marRight w:val="0"/>
          <w:marTop w:val="0"/>
          <w:marBottom w:val="0"/>
          <w:divBdr>
            <w:top w:val="none" w:sz="0" w:space="0" w:color="auto"/>
            <w:left w:val="none" w:sz="0" w:space="0" w:color="auto"/>
            <w:bottom w:val="none" w:sz="0" w:space="0" w:color="auto"/>
            <w:right w:val="none" w:sz="0" w:space="0" w:color="auto"/>
          </w:divBdr>
          <w:divsChild>
            <w:div w:id="933124006">
              <w:marLeft w:val="0"/>
              <w:marRight w:val="0"/>
              <w:marTop w:val="0"/>
              <w:marBottom w:val="0"/>
              <w:divBdr>
                <w:top w:val="none" w:sz="0" w:space="0" w:color="auto"/>
                <w:left w:val="none" w:sz="0" w:space="0" w:color="auto"/>
                <w:bottom w:val="none" w:sz="0" w:space="0" w:color="auto"/>
                <w:right w:val="none" w:sz="0" w:space="0" w:color="auto"/>
              </w:divBdr>
            </w:div>
          </w:divsChild>
        </w:div>
        <w:div w:id="248929470">
          <w:marLeft w:val="0"/>
          <w:marRight w:val="0"/>
          <w:marTop w:val="0"/>
          <w:marBottom w:val="0"/>
          <w:divBdr>
            <w:top w:val="none" w:sz="0" w:space="0" w:color="auto"/>
            <w:left w:val="none" w:sz="0" w:space="0" w:color="auto"/>
            <w:bottom w:val="none" w:sz="0" w:space="0" w:color="auto"/>
            <w:right w:val="none" w:sz="0" w:space="0" w:color="auto"/>
          </w:divBdr>
          <w:divsChild>
            <w:div w:id="2059697221">
              <w:marLeft w:val="0"/>
              <w:marRight w:val="0"/>
              <w:marTop w:val="0"/>
              <w:marBottom w:val="0"/>
              <w:divBdr>
                <w:top w:val="none" w:sz="0" w:space="0" w:color="auto"/>
                <w:left w:val="none" w:sz="0" w:space="0" w:color="auto"/>
                <w:bottom w:val="none" w:sz="0" w:space="0" w:color="auto"/>
                <w:right w:val="none" w:sz="0" w:space="0" w:color="auto"/>
              </w:divBdr>
            </w:div>
          </w:divsChild>
        </w:div>
        <w:div w:id="254018312">
          <w:marLeft w:val="0"/>
          <w:marRight w:val="0"/>
          <w:marTop w:val="0"/>
          <w:marBottom w:val="0"/>
          <w:divBdr>
            <w:top w:val="none" w:sz="0" w:space="0" w:color="auto"/>
            <w:left w:val="none" w:sz="0" w:space="0" w:color="auto"/>
            <w:bottom w:val="none" w:sz="0" w:space="0" w:color="auto"/>
            <w:right w:val="none" w:sz="0" w:space="0" w:color="auto"/>
          </w:divBdr>
          <w:divsChild>
            <w:div w:id="2057269386">
              <w:marLeft w:val="0"/>
              <w:marRight w:val="0"/>
              <w:marTop w:val="0"/>
              <w:marBottom w:val="0"/>
              <w:divBdr>
                <w:top w:val="none" w:sz="0" w:space="0" w:color="auto"/>
                <w:left w:val="none" w:sz="0" w:space="0" w:color="auto"/>
                <w:bottom w:val="none" w:sz="0" w:space="0" w:color="auto"/>
                <w:right w:val="none" w:sz="0" w:space="0" w:color="auto"/>
              </w:divBdr>
            </w:div>
          </w:divsChild>
        </w:div>
        <w:div w:id="296687994">
          <w:marLeft w:val="0"/>
          <w:marRight w:val="0"/>
          <w:marTop w:val="0"/>
          <w:marBottom w:val="0"/>
          <w:divBdr>
            <w:top w:val="none" w:sz="0" w:space="0" w:color="auto"/>
            <w:left w:val="none" w:sz="0" w:space="0" w:color="auto"/>
            <w:bottom w:val="none" w:sz="0" w:space="0" w:color="auto"/>
            <w:right w:val="none" w:sz="0" w:space="0" w:color="auto"/>
          </w:divBdr>
          <w:divsChild>
            <w:div w:id="1339305274">
              <w:marLeft w:val="0"/>
              <w:marRight w:val="0"/>
              <w:marTop w:val="0"/>
              <w:marBottom w:val="0"/>
              <w:divBdr>
                <w:top w:val="none" w:sz="0" w:space="0" w:color="auto"/>
                <w:left w:val="none" w:sz="0" w:space="0" w:color="auto"/>
                <w:bottom w:val="none" w:sz="0" w:space="0" w:color="auto"/>
                <w:right w:val="none" w:sz="0" w:space="0" w:color="auto"/>
              </w:divBdr>
            </w:div>
          </w:divsChild>
        </w:div>
        <w:div w:id="367224687">
          <w:marLeft w:val="0"/>
          <w:marRight w:val="0"/>
          <w:marTop w:val="0"/>
          <w:marBottom w:val="0"/>
          <w:divBdr>
            <w:top w:val="none" w:sz="0" w:space="0" w:color="auto"/>
            <w:left w:val="none" w:sz="0" w:space="0" w:color="auto"/>
            <w:bottom w:val="none" w:sz="0" w:space="0" w:color="auto"/>
            <w:right w:val="none" w:sz="0" w:space="0" w:color="auto"/>
          </w:divBdr>
          <w:divsChild>
            <w:div w:id="270210884">
              <w:marLeft w:val="0"/>
              <w:marRight w:val="0"/>
              <w:marTop w:val="0"/>
              <w:marBottom w:val="0"/>
              <w:divBdr>
                <w:top w:val="none" w:sz="0" w:space="0" w:color="auto"/>
                <w:left w:val="none" w:sz="0" w:space="0" w:color="auto"/>
                <w:bottom w:val="none" w:sz="0" w:space="0" w:color="auto"/>
                <w:right w:val="none" w:sz="0" w:space="0" w:color="auto"/>
              </w:divBdr>
            </w:div>
          </w:divsChild>
        </w:div>
        <w:div w:id="370113069">
          <w:marLeft w:val="0"/>
          <w:marRight w:val="0"/>
          <w:marTop w:val="0"/>
          <w:marBottom w:val="0"/>
          <w:divBdr>
            <w:top w:val="none" w:sz="0" w:space="0" w:color="auto"/>
            <w:left w:val="none" w:sz="0" w:space="0" w:color="auto"/>
            <w:bottom w:val="none" w:sz="0" w:space="0" w:color="auto"/>
            <w:right w:val="none" w:sz="0" w:space="0" w:color="auto"/>
          </w:divBdr>
          <w:divsChild>
            <w:div w:id="1609237515">
              <w:marLeft w:val="0"/>
              <w:marRight w:val="0"/>
              <w:marTop w:val="0"/>
              <w:marBottom w:val="0"/>
              <w:divBdr>
                <w:top w:val="none" w:sz="0" w:space="0" w:color="auto"/>
                <w:left w:val="none" w:sz="0" w:space="0" w:color="auto"/>
                <w:bottom w:val="none" w:sz="0" w:space="0" w:color="auto"/>
                <w:right w:val="none" w:sz="0" w:space="0" w:color="auto"/>
              </w:divBdr>
            </w:div>
          </w:divsChild>
        </w:div>
        <w:div w:id="415827544">
          <w:marLeft w:val="0"/>
          <w:marRight w:val="0"/>
          <w:marTop w:val="0"/>
          <w:marBottom w:val="0"/>
          <w:divBdr>
            <w:top w:val="none" w:sz="0" w:space="0" w:color="auto"/>
            <w:left w:val="none" w:sz="0" w:space="0" w:color="auto"/>
            <w:bottom w:val="none" w:sz="0" w:space="0" w:color="auto"/>
            <w:right w:val="none" w:sz="0" w:space="0" w:color="auto"/>
          </w:divBdr>
          <w:divsChild>
            <w:div w:id="73362797">
              <w:marLeft w:val="0"/>
              <w:marRight w:val="0"/>
              <w:marTop w:val="0"/>
              <w:marBottom w:val="0"/>
              <w:divBdr>
                <w:top w:val="none" w:sz="0" w:space="0" w:color="auto"/>
                <w:left w:val="none" w:sz="0" w:space="0" w:color="auto"/>
                <w:bottom w:val="none" w:sz="0" w:space="0" w:color="auto"/>
                <w:right w:val="none" w:sz="0" w:space="0" w:color="auto"/>
              </w:divBdr>
            </w:div>
          </w:divsChild>
        </w:div>
        <w:div w:id="437457469">
          <w:marLeft w:val="0"/>
          <w:marRight w:val="0"/>
          <w:marTop w:val="0"/>
          <w:marBottom w:val="0"/>
          <w:divBdr>
            <w:top w:val="none" w:sz="0" w:space="0" w:color="auto"/>
            <w:left w:val="none" w:sz="0" w:space="0" w:color="auto"/>
            <w:bottom w:val="none" w:sz="0" w:space="0" w:color="auto"/>
            <w:right w:val="none" w:sz="0" w:space="0" w:color="auto"/>
          </w:divBdr>
          <w:divsChild>
            <w:div w:id="434519322">
              <w:marLeft w:val="0"/>
              <w:marRight w:val="0"/>
              <w:marTop w:val="0"/>
              <w:marBottom w:val="0"/>
              <w:divBdr>
                <w:top w:val="none" w:sz="0" w:space="0" w:color="auto"/>
                <w:left w:val="none" w:sz="0" w:space="0" w:color="auto"/>
                <w:bottom w:val="none" w:sz="0" w:space="0" w:color="auto"/>
                <w:right w:val="none" w:sz="0" w:space="0" w:color="auto"/>
              </w:divBdr>
            </w:div>
          </w:divsChild>
        </w:div>
        <w:div w:id="480853867">
          <w:marLeft w:val="0"/>
          <w:marRight w:val="0"/>
          <w:marTop w:val="0"/>
          <w:marBottom w:val="0"/>
          <w:divBdr>
            <w:top w:val="none" w:sz="0" w:space="0" w:color="auto"/>
            <w:left w:val="none" w:sz="0" w:space="0" w:color="auto"/>
            <w:bottom w:val="none" w:sz="0" w:space="0" w:color="auto"/>
            <w:right w:val="none" w:sz="0" w:space="0" w:color="auto"/>
          </w:divBdr>
          <w:divsChild>
            <w:div w:id="501815919">
              <w:marLeft w:val="0"/>
              <w:marRight w:val="0"/>
              <w:marTop w:val="0"/>
              <w:marBottom w:val="0"/>
              <w:divBdr>
                <w:top w:val="none" w:sz="0" w:space="0" w:color="auto"/>
                <w:left w:val="none" w:sz="0" w:space="0" w:color="auto"/>
                <w:bottom w:val="none" w:sz="0" w:space="0" w:color="auto"/>
                <w:right w:val="none" w:sz="0" w:space="0" w:color="auto"/>
              </w:divBdr>
            </w:div>
          </w:divsChild>
        </w:div>
        <w:div w:id="495342363">
          <w:marLeft w:val="0"/>
          <w:marRight w:val="0"/>
          <w:marTop w:val="0"/>
          <w:marBottom w:val="0"/>
          <w:divBdr>
            <w:top w:val="none" w:sz="0" w:space="0" w:color="auto"/>
            <w:left w:val="none" w:sz="0" w:space="0" w:color="auto"/>
            <w:bottom w:val="none" w:sz="0" w:space="0" w:color="auto"/>
            <w:right w:val="none" w:sz="0" w:space="0" w:color="auto"/>
          </w:divBdr>
          <w:divsChild>
            <w:div w:id="1040856399">
              <w:marLeft w:val="0"/>
              <w:marRight w:val="0"/>
              <w:marTop w:val="0"/>
              <w:marBottom w:val="0"/>
              <w:divBdr>
                <w:top w:val="none" w:sz="0" w:space="0" w:color="auto"/>
                <w:left w:val="none" w:sz="0" w:space="0" w:color="auto"/>
                <w:bottom w:val="none" w:sz="0" w:space="0" w:color="auto"/>
                <w:right w:val="none" w:sz="0" w:space="0" w:color="auto"/>
              </w:divBdr>
            </w:div>
          </w:divsChild>
        </w:div>
        <w:div w:id="516430922">
          <w:marLeft w:val="0"/>
          <w:marRight w:val="0"/>
          <w:marTop w:val="0"/>
          <w:marBottom w:val="0"/>
          <w:divBdr>
            <w:top w:val="none" w:sz="0" w:space="0" w:color="auto"/>
            <w:left w:val="none" w:sz="0" w:space="0" w:color="auto"/>
            <w:bottom w:val="none" w:sz="0" w:space="0" w:color="auto"/>
            <w:right w:val="none" w:sz="0" w:space="0" w:color="auto"/>
          </w:divBdr>
          <w:divsChild>
            <w:div w:id="126165122">
              <w:marLeft w:val="0"/>
              <w:marRight w:val="0"/>
              <w:marTop w:val="0"/>
              <w:marBottom w:val="0"/>
              <w:divBdr>
                <w:top w:val="none" w:sz="0" w:space="0" w:color="auto"/>
                <w:left w:val="none" w:sz="0" w:space="0" w:color="auto"/>
                <w:bottom w:val="none" w:sz="0" w:space="0" w:color="auto"/>
                <w:right w:val="none" w:sz="0" w:space="0" w:color="auto"/>
              </w:divBdr>
            </w:div>
          </w:divsChild>
        </w:div>
        <w:div w:id="630864269">
          <w:marLeft w:val="0"/>
          <w:marRight w:val="0"/>
          <w:marTop w:val="0"/>
          <w:marBottom w:val="0"/>
          <w:divBdr>
            <w:top w:val="none" w:sz="0" w:space="0" w:color="auto"/>
            <w:left w:val="none" w:sz="0" w:space="0" w:color="auto"/>
            <w:bottom w:val="none" w:sz="0" w:space="0" w:color="auto"/>
            <w:right w:val="none" w:sz="0" w:space="0" w:color="auto"/>
          </w:divBdr>
          <w:divsChild>
            <w:div w:id="1107194118">
              <w:marLeft w:val="0"/>
              <w:marRight w:val="0"/>
              <w:marTop w:val="0"/>
              <w:marBottom w:val="0"/>
              <w:divBdr>
                <w:top w:val="none" w:sz="0" w:space="0" w:color="auto"/>
                <w:left w:val="none" w:sz="0" w:space="0" w:color="auto"/>
                <w:bottom w:val="none" w:sz="0" w:space="0" w:color="auto"/>
                <w:right w:val="none" w:sz="0" w:space="0" w:color="auto"/>
              </w:divBdr>
            </w:div>
          </w:divsChild>
        </w:div>
        <w:div w:id="637952942">
          <w:marLeft w:val="0"/>
          <w:marRight w:val="0"/>
          <w:marTop w:val="0"/>
          <w:marBottom w:val="0"/>
          <w:divBdr>
            <w:top w:val="none" w:sz="0" w:space="0" w:color="auto"/>
            <w:left w:val="none" w:sz="0" w:space="0" w:color="auto"/>
            <w:bottom w:val="none" w:sz="0" w:space="0" w:color="auto"/>
            <w:right w:val="none" w:sz="0" w:space="0" w:color="auto"/>
          </w:divBdr>
          <w:divsChild>
            <w:div w:id="1971009614">
              <w:marLeft w:val="0"/>
              <w:marRight w:val="0"/>
              <w:marTop w:val="0"/>
              <w:marBottom w:val="0"/>
              <w:divBdr>
                <w:top w:val="none" w:sz="0" w:space="0" w:color="auto"/>
                <w:left w:val="none" w:sz="0" w:space="0" w:color="auto"/>
                <w:bottom w:val="none" w:sz="0" w:space="0" w:color="auto"/>
                <w:right w:val="none" w:sz="0" w:space="0" w:color="auto"/>
              </w:divBdr>
            </w:div>
          </w:divsChild>
        </w:div>
        <w:div w:id="665474831">
          <w:marLeft w:val="0"/>
          <w:marRight w:val="0"/>
          <w:marTop w:val="0"/>
          <w:marBottom w:val="0"/>
          <w:divBdr>
            <w:top w:val="none" w:sz="0" w:space="0" w:color="auto"/>
            <w:left w:val="none" w:sz="0" w:space="0" w:color="auto"/>
            <w:bottom w:val="none" w:sz="0" w:space="0" w:color="auto"/>
            <w:right w:val="none" w:sz="0" w:space="0" w:color="auto"/>
          </w:divBdr>
          <w:divsChild>
            <w:div w:id="744451945">
              <w:marLeft w:val="0"/>
              <w:marRight w:val="0"/>
              <w:marTop w:val="0"/>
              <w:marBottom w:val="0"/>
              <w:divBdr>
                <w:top w:val="none" w:sz="0" w:space="0" w:color="auto"/>
                <w:left w:val="none" w:sz="0" w:space="0" w:color="auto"/>
                <w:bottom w:val="none" w:sz="0" w:space="0" w:color="auto"/>
                <w:right w:val="none" w:sz="0" w:space="0" w:color="auto"/>
              </w:divBdr>
            </w:div>
          </w:divsChild>
        </w:div>
        <w:div w:id="680006651">
          <w:marLeft w:val="0"/>
          <w:marRight w:val="0"/>
          <w:marTop w:val="0"/>
          <w:marBottom w:val="0"/>
          <w:divBdr>
            <w:top w:val="none" w:sz="0" w:space="0" w:color="auto"/>
            <w:left w:val="none" w:sz="0" w:space="0" w:color="auto"/>
            <w:bottom w:val="none" w:sz="0" w:space="0" w:color="auto"/>
            <w:right w:val="none" w:sz="0" w:space="0" w:color="auto"/>
          </w:divBdr>
          <w:divsChild>
            <w:div w:id="434138981">
              <w:marLeft w:val="0"/>
              <w:marRight w:val="0"/>
              <w:marTop w:val="0"/>
              <w:marBottom w:val="0"/>
              <w:divBdr>
                <w:top w:val="none" w:sz="0" w:space="0" w:color="auto"/>
                <w:left w:val="none" w:sz="0" w:space="0" w:color="auto"/>
                <w:bottom w:val="none" w:sz="0" w:space="0" w:color="auto"/>
                <w:right w:val="none" w:sz="0" w:space="0" w:color="auto"/>
              </w:divBdr>
            </w:div>
          </w:divsChild>
        </w:div>
        <w:div w:id="749618822">
          <w:marLeft w:val="0"/>
          <w:marRight w:val="0"/>
          <w:marTop w:val="0"/>
          <w:marBottom w:val="0"/>
          <w:divBdr>
            <w:top w:val="none" w:sz="0" w:space="0" w:color="auto"/>
            <w:left w:val="none" w:sz="0" w:space="0" w:color="auto"/>
            <w:bottom w:val="none" w:sz="0" w:space="0" w:color="auto"/>
            <w:right w:val="none" w:sz="0" w:space="0" w:color="auto"/>
          </w:divBdr>
          <w:divsChild>
            <w:div w:id="148593608">
              <w:marLeft w:val="0"/>
              <w:marRight w:val="0"/>
              <w:marTop w:val="0"/>
              <w:marBottom w:val="0"/>
              <w:divBdr>
                <w:top w:val="none" w:sz="0" w:space="0" w:color="auto"/>
                <w:left w:val="none" w:sz="0" w:space="0" w:color="auto"/>
                <w:bottom w:val="none" w:sz="0" w:space="0" w:color="auto"/>
                <w:right w:val="none" w:sz="0" w:space="0" w:color="auto"/>
              </w:divBdr>
            </w:div>
          </w:divsChild>
        </w:div>
        <w:div w:id="810754951">
          <w:marLeft w:val="0"/>
          <w:marRight w:val="0"/>
          <w:marTop w:val="0"/>
          <w:marBottom w:val="0"/>
          <w:divBdr>
            <w:top w:val="none" w:sz="0" w:space="0" w:color="auto"/>
            <w:left w:val="none" w:sz="0" w:space="0" w:color="auto"/>
            <w:bottom w:val="none" w:sz="0" w:space="0" w:color="auto"/>
            <w:right w:val="none" w:sz="0" w:space="0" w:color="auto"/>
          </w:divBdr>
          <w:divsChild>
            <w:div w:id="281618863">
              <w:marLeft w:val="0"/>
              <w:marRight w:val="0"/>
              <w:marTop w:val="0"/>
              <w:marBottom w:val="0"/>
              <w:divBdr>
                <w:top w:val="none" w:sz="0" w:space="0" w:color="auto"/>
                <w:left w:val="none" w:sz="0" w:space="0" w:color="auto"/>
                <w:bottom w:val="none" w:sz="0" w:space="0" w:color="auto"/>
                <w:right w:val="none" w:sz="0" w:space="0" w:color="auto"/>
              </w:divBdr>
            </w:div>
          </w:divsChild>
        </w:div>
        <w:div w:id="868762583">
          <w:marLeft w:val="0"/>
          <w:marRight w:val="0"/>
          <w:marTop w:val="0"/>
          <w:marBottom w:val="0"/>
          <w:divBdr>
            <w:top w:val="none" w:sz="0" w:space="0" w:color="auto"/>
            <w:left w:val="none" w:sz="0" w:space="0" w:color="auto"/>
            <w:bottom w:val="none" w:sz="0" w:space="0" w:color="auto"/>
            <w:right w:val="none" w:sz="0" w:space="0" w:color="auto"/>
          </w:divBdr>
          <w:divsChild>
            <w:div w:id="890382313">
              <w:marLeft w:val="0"/>
              <w:marRight w:val="0"/>
              <w:marTop w:val="0"/>
              <w:marBottom w:val="0"/>
              <w:divBdr>
                <w:top w:val="none" w:sz="0" w:space="0" w:color="auto"/>
                <w:left w:val="none" w:sz="0" w:space="0" w:color="auto"/>
                <w:bottom w:val="none" w:sz="0" w:space="0" w:color="auto"/>
                <w:right w:val="none" w:sz="0" w:space="0" w:color="auto"/>
              </w:divBdr>
            </w:div>
          </w:divsChild>
        </w:div>
        <w:div w:id="887179235">
          <w:marLeft w:val="0"/>
          <w:marRight w:val="0"/>
          <w:marTop w:val="0"/>
          <w:marBottom w:val="0"/>
          <w:divBdr>
            <w:top w:val="none" w:sz="0" w:space="0" w:color="auto"/>
            <w:left w:val="none" w:sz="0" w:space="0" w:color="auto"/>
            <w:bottom w:val="none" w:sz="0" w:space="0" w:color="auto"/>
            <w:right w:val="none" w:sz="0" w:space="0" w:color="auto"/>
          </w:divBdr>
          <w:divsChild>
            <w:div w:id="138233969">
              <w:marLeft w:val="0"/>
              <w:marRight w:val="0"/>
              <w:marTop w:val="0"/>
              <w:marBottom w:val="0"/>
              <w:divBdr>
                <w:top w:val="none" w:sz="0" w:space="0" w:color="auto"/>
                <w:left w:val="none" w:sz="0" w:space="0" w:color="auto"/>
                <w:bottom w:val="none" w:sz="0" w:space="0" w:color="auto"/>
                <w:right w:val="none" w:sz="0" w:space="0" w:color="auto"/>
              </w:divBdr>
            </w:div>
          </w:divsChild>
        </w:div>
        <w:div w:id="888951779">
          <w:marLeft w:val="0"/>
          <w:marRight w:val="0"/>
          <w:marTop w:val="0"/>
          <w:marBottom w:val="0"/>
          <w:divBdr>
            <w:top w:val="none" w:sz="0" w:space="0" w:color="auto"/>
            <w:left w:val="none" w:sz="0" w:space="0" w:color="auto"/>
            <w:bottom w:val="none" w:sz="0" w:space="0" w:color="auto"/>
            <w:right w:val="none" w:sz="0" w:space="0" w:color="auto"/>
          </w:divBdr>
          <w:divsChild>
            <w:div w:id="1608149264">
              <w:marLeft w:val="0"/>
              <w:marRight w:val="0"/>
              <w:marTop w:val="0"/>
              <w:marBottom w:val="0"/>
              <w:divBdr>
                <w:top w:val="none" w:sz="0" w:space="0" w:color="auto"/>
                <w:left w:val="none" w:sz="0" w:space="0" w:color="auto"/>
                <w:bottom w:val="none" w:sz="0" w:space="0" w:color="auto"/>
                <w:right w:val="none" w:sz="0" w:space="0" w:color="auto"/>
              </w:divBdr>
            </w:div>
          </w:divsChild>
        </w:div>
        <w:div w:id="890387202">
          <w:marLeft w:val="0"/>
          <w:marRight w:val="0"/>
          <w:marTop w:val="0"/>
          <w:marBottom w:val="0"/>
          <w:divBdr>
            <w:top w:val="none" w:sz="0" w:space="0" w:color="auto"/>
            <w:left w:val="none" w:sz="0" w:space="0" w:color="auto"/>
            <w:bottom w:val="none" w:sz="0" w:space="0" w:color="auto"/>
            <w:right w:val="none" w:sz="0" w:space="0" w:color="auto"/>
          </w:divBdr>
          <w:divsChild>
            <w:div w:id="499001358">
              <w:marLeft w:val="0"/>
              <w:marRight w:val="0"/>
              <w:marTop w:val="0"/>
              <w:marBottom w:val="0"/>
              <w:divBdr>
                <w:top w:val="none" w:sz="0" w:space="0" w:color="auto"/>
                <w:left w:val="none" w:sz="0" w:space="0" w:color="auto"/>
                <w:bottom w:val="none" w:sz="0" w:space="0" w:color="auto"/>
                <w:right w:val="none" w:sz="0" w:space="0" w:color="auto"/>
              </w:divBdr>
            </w:div>
          </w:divsChild>
        </w:div>
        <w:div w:id="932081255">
          <w:marLeft w:val="0"/>
          <w:marRight w:val="0"/>
          <w:marTop w:val="0"/>
          <w:marBottom w:val="0"/>
          <w:divBdr>
            <w:top w:val="none" w:sz="0" w:space="0" w:color="auto"/>
            <w:left w:val="none" w:sz="0" w:space="0" w:color="auto"/>
            <w:bottom w:val="none" w:sz="0" w:space="0" w:color="auto"/>
            <w:right w:val="none" w:sz="0" w:space="0" w:color="auto"/>
          </w:divBdr>
          <w:divsChild>
            <w:div w:id="1687713565">
              <w:marLeft w:val="0"/>
              <w:marRight w:val="0"/>
              <w:marTop w:val="0"/>
              <w:marBottom w:val="0"/>
              <w:divBdr>
                <w:top w:val="none" w:sz="0" w:space="0" w:color="auto"/>
                <w:left w:val="none" w:sz="0" w:space="0" w:color="auto"/>
                <w:bottom w:val="none" w:sz="0" w:space="0" w:color="auto"/>
                <w:right w:val="none" w:sz="0" w:space="0" w:color="auto"/>
              </w:divBdr>
            </w:div>
          </w:divsChild>
        </w:div>
        <w:div w:id="940407847">
          <w:marLeft w:val="0"/>
          <w:marRight w:val="0"/>
          <w:marTop w:val="0"/>
          <w:marBottom w:val="0"/>
          <w:divBdr>
            <w:top w:val="none" w:sz="0" w:space="0" w:color="auto"/>
            <w:left w:val="none" w:sz="0" w:space="0" w:color="auto"/>
            <w:bottom w:val="none" w:sz="0" w:space="0" w:color="auto"/>
            <w:right w:val="none" w:sz="0" w:space="0" w:color="auto"/>
          </w:divBdr>
          <w:divsChild>
            <w:div w:id="1596287622">
              <w:marLeft w:val="0"/>
              <w:marRight w:val="0"/>
              <w:marTop w:val="0"/>
              <w:marBottom w:val="0"/>
              <w:divBdr>
                <w:top w:val="none" w:sz="0" w:space="0" w:color="auto"/>
                <w:left w:val="none" w:sz="0" w:space="0" w:color="auto"/>
                <w:bottom w:val="none" w:sz="0" w:space="0" w:color="auto"/>
                <w:right w:val="none" w:sz="0" w:space="0" w:color="auto"/>
              </w:divBdr>
            </w:div>
          </w:divsChild>
        </w:div>
        <w:div w:id="941304037">
          <w:marLeft w:val="0"/>
          <w:marRight w:val="0"/>
          <w:marTop w:val="0"/>
          <w:marBottom w:val="0"/>
          <w:divBdr>
            <w:top w:val="none" w:sz="0" w:space="0" w:color="auto"/>
            <w:left w:val="none" w:sz="0" w:space="0" w:color="auto"/>
            <w:bottom w:val="none" w:sz="0" w:space="0" w:color="auto"/>
            <w:right w:val="none" w:sz="0" w:space="0" w:color="auto"/>
          </w:divBdr>
          <w:divsChild>
            <w:div w:id="1081218431">
              <w:marLeft w:val="0"/>
              <w:marRight w:val="0"/>
              <w:marTop w:val="0"/>
              <w:marBottom w:val="0"/>
              <w:divBdr>
                <w:top w:val="none" w:sz="0" w:space="0" w:color="auto"/>
                <w:left w:val="none" w:sz="0" w:space="0" w:color="auto"/>
                <w:bottom w:val="none" w:sz="0" w:space="0" w:color="auto"/>
                <w:right w:val="none" w:sz="0" w:space="0" w:color="auto"/>
              </w:divBdr>
            </w:div>
          </w:divsChild>
        </w:div>
        <w:div w:id="950282185">
          <w:marLeft w:val="0"/>
          <w:marRight w:val="0"/>
          <w:marTop w:val="0"/>
          <w:marBottom w:val="0"/>
          <w:divBdr>
            <w:top w:val="none" w:sz="0" w:space="0" w:color="auto"/>
            <w:left w:val="none" w:sz="0" w:space="0" w:color="auto"/>
            <w:bottom w:val="none" w:sz="0" w:space="0" w:color="auto"/>
            <w:right w:val="none" w:sz="0" w:space="0" w:color="auto"/>
          </w:divBdr>
          <w:divsChild>
            <w:div w:id="1837451397">
              <w:marLeft w:val="0"/>
              <w:marRight w:val="0"/>
              <w:marTop w:val="0"/>
              <w:marBottom w:val="0"/>
              <w:divBdr>
                <w:top w:val="none" w:sz="0" w:space="0" w:color="auto"/>
                <w:left w:val="none" w:sz="0" w:space="0" w:color="auto"/>
                <w:bottom w:val="none" w:sz="0" w:space="0" w:color="auto"/>
                <w:right w:val="none" w:sz="0" w:space="0" w:color="auto"/>
              </w:divBdr>
            </w:div>
          </w:divsChild>
        </w:div>
        <w:div w:id="958489113">
          <w:marLeft w:val="0"/>
          <w:marRight w:val="0"/>
          <w:marTop w:val="0"/>
          <w:marBottom w:val="0"/>
          <w:divBdr>
            <w:top w:val="none" w:sz="0" w:space="0" w:color="auto"/>
            <w:left w:val="none" w:sz="0" w:space="0" w:color="auto"/>
            <w:bottom w:val="none" w:sz="0" w:space="0" w:color="auto"/>
            <w:right w:val="none" w:sz="0" w:space="0" w:color="auto"/>
          </w:divBdr>
          <w:divsChild>
            <w:div w:id="148987018">
              <w:marLeft w:val="0"/>
              <w:marRight w:val="0"/>
              <w:marTop w:val="0"/>
              <w:marBottom w:val="0"/>
              <w:divBdr>
                <w:top w:val="none" w:sz="0" w:space="0" w:color="auto"/>
                <w:left w:val="none" w:sz="0" w:space="0" w:color="auto"/>
                <w:bottom w:val="none" w:sz="0" w:space="0" w:color="auto"/>
                <w:right w:val="none" w:sz="0" w:space="0" w:color="auto"/>
              </w:divBdr>
            </w:div>
          </w:divsChild>
        </w:div>
        <w:div w:id="1050961976">
          <w:marLeft w:val="0"/>
          <w:marRight w:val="0"/>
          <w:marTop w:val="0"/>
          <w:marBottom w:val="0"/>
          <w:divBdr>
            <w:top w:val="none" w:sz="0" w:space="0" w:color="auto"/>
            <w:left w:val="none" w:sz="0" w:space="0" w:color="auto"/>
            <w:bottom w:val="none" w:sz="0" w:space="0" w:color="auto"/>
            <w:right w:val="none" w:sz="0" w:space="0" w:color="auto"/>
          </w:divBdr>
          <w:divsChild>
            <w:div w:id="1328746569">
              <w:marLeft w:val="0"/>
              <w:marRight w:val="0"/>
              <w:marTop w:val="0"/>
              <w:marBottom w:val="0"/>
              <w:divBdr>
                <w:top w:val="none" w:sz="0" w:space="0" w:color="auto"/>
                <w:left w:val="none" w:sz="0" w:space="0" w:color="auto"/>
                <w:bottom w:val="none" w:sz="0" w:space="0" w:color="auto"/>
                <w:right w:val="none" w:sz="0" w:space="0" w:color="auto"/>
              </w:divBdr>
            </w:div>
          </w:divsChild>
        </w:div>
        <w:div w:id="1089811256">
          <w:marLeft w:val="0"/>
          <w:marRight w:val="0"/>
          <w:marTop w:val="0"/>
          <w:marBottom w:val="0"/>
          <w:divBdr>
            <w:top w:val="none" w:sz="0" w:space="0" w:color="auto"/>
            <w:left w:val="none" w:sz="0" w:space="0" w:color="auto"/>
            <w:bottom w:val="none" w:sz="0" w:space="0" w:color="auto"/>
            <w:right w:val="none" w:sz="0" w:space="0" w:color="auto"/>
          </w:divBdr>
          <w:divsChild>
            <w:div w:id="1128819357">
              <w:marLeft w:val="0"/>
              <w:marRight w:val="0"/>
              <w:marTop w:val="0"/>
              <w:marBottom w:val="0"/>
              <w:divBdr>
                <w:top w:val="none" w:sz="0" w:space="0" w:color="auto"/>
                <w:left w:val="none" w:sz="0" w:space="0" w:color="auto"/>
                <w:bottom w:val="none" w:sz="0" w:space="0" w:color="auto"/>
                <w:right w:val="none" w:sz="0" w:space="0" w:color="auto"/>
              </w:divBdr>
            </w:div>
          </w:divsChild>
        </w:div>
        <w:div w:id="1117522679">
          <w:marLeft w:val="0"/>
          <w:marRight w:val="0"/>
          <w:marTop w:val="0"/>
          <w:marBottom w:val="0"/>
          <w:divBdr>
            <w:top w:val="none" w:sz="0" w:space="0" w:color="auto"/>
            <w:left w:val="none" w:sz="0" w:space="0" w:color="auto"/>
            <w:bottom w:val="none" w:sz="0" w:space="0" w:color="auto"/>
            <w:right w:val="none" w:sz="0" w:space="0" w:color="auto"/>
          </w:divBdr>
          <w:divsChild>
            <w:div w:id="232009159">
              <w:marLeft w:val="0"/>
              <w:marRight w:val="0"/>
              <w:marTop w:val="0"/>
              <w:marBottom w:val="0"/>
              <w:divBdr>
                <w:top w:val="none" w:sz="0" w:space="0" w:color="auto"/>
                <w:left w:val="none" w:sz="0" w:space="0" w:color="auto"/>
                <w:bottom w:val="none" w:sz="0" w:space="0" w:color="auto"/>
                <w:right w:val="none" w:sz="0" w:space="0" w:color="auto"/>
              </w:divBdr>
            </w:div>
          </w:divsChild>
        </w:div>
        <w:div w:id="1140609662">
          <w:marLeft w:val="0"/>
          <w:marRight w:val="0"/>
          <w:marTop w:val="0"/>
          <w:marBottom w:val="0"/>
          <w:divBdr>
            <w:top w:val="none" w:sz="0" w:space="0" w:color="auto"/>
            <w:left w:val="none" w:sz="0" w:space="0" w:color="auto"/>
            <w:bottom w:val="none" w:sz="0" w:space="0" w:color="auto"/>
            <w:right w:val="none" w:sz="0" w:space="0" w:color="auto"/>
          </w:divBdr>
          <w:divsChild>
            <w:div w:id="1926111796">
              <w:marLeft w:val="0"/>
              <w:marRight w:val="0"/>
              <w:marTop w:val="0"/>
              <w:marBottom w:val="0"/>
              <w:divBdr>
                <w:top w:val="none" w:sz="0" w:space="0" w:color="auto"/>
                <w:left w:val="none" w:sz="0" w:space="0" w:color="auto"/>
                <w:bottom w:val="none" w:sz="0" w:space="0" w:color="auto"/>
                <w:right w:val="none" w:sz="0" w:space="0" w:color="auto"/>
              </w:divBdr>
            </w:div>
          </w:divsChild>
        </w:div>
        <w:div w:id="1242108035">
          <w:marLeft w:val="0"/>
          <w:marRight w:val="0"/>
          <w:marTop w:val="0"/>
          <w:marBottom w:val="0"/>
          <w:divBdr>
            <w:top w:val="none" w:sz="0" w:space="0" w:color="auto"/>
            <w:left w:val="none" w:sz="0" w:space="0" w:color="auto"/>
            <w:bottom w:val="none" w:sz="0" w:space="0" w:color="auto"/>
            <w:right w:val="none" w:sz="0" w:space="0" w:color="auto"/>
          </w:divBdr>
          <w:divsChild>
            <w:div w:id="1152605289">
              <w:marLeft w:val="0"/>
              <w:marRight w:val="0"/>
              <w:marTop w:val="0"/>
              <w:marBottom w:val="0"/>
              <w:divBdr>
                <w:top w:val="none" w:sz="0" w:space="0" w:color="auto"/>
                <w:left w:val="none" w:sz="0" w:space="0" w:color="auto"/>
                <w:bottom w:val="none" w:sz="0" w:space="0" w:color="auto"/>
                <w:right w:val="none" w:sz="0" w:space="0" w:color="auto"/>
              </w:divBdr>
            </w:div>
          </w:divsChild>
        </w:div>
        <w:div w:id="1296565977">
          <w:marLeft w:val="0"/>
          <w:marRight w:val="0"/>
          <w:marTop w:val="0"/>
          <w:marBottom w:val="0"/>
          <w:divBdr>
            <w:top w:val="none" w:sz="0" w:space="0" w:color="auto"/>
            <w:left w:val="none" w:sz="0" w:space="0" w:color="auto"/>
            <w:bottom w:val="none" w:sz="0" w:space="0" w:color="auto"/>
            <w:right w:val="none" w:sz="0" w:space="0" w:color="auto"/>
          </w:divBdr>
          <w:divsChild>
            <w:div w:id="570970240">
              <w:marLeft w:val="0"/>
              <w:marRight w:val="0"/>
              <w:marTop w:val="0"/>
              <w:marBottom w:val="0"/>
              <w:divBdr>
                <w:top w:val="none" w:sz="0" w:space="0" w:color="auto"/>
                <w:left w:val="none" w:sz="0" w:space="0" w:color="auto"/>
                <w:bottom w:val="none" w:sz="0" w:space="0" w:color="auto"/>
                <w:right w:val="none" w:sz="0" w:space="0" w:color="auto"/>
              </w:divBdr>
            </w:div>
          </w:divsChild>
        </w:div>
        <w:div w:id="1310398245">
          <w:marLeft w:val="0"/>
          <w:marRight w:val="0"/>
          <w:marTop w:val="0"/>
          <w:marBottom w:val="0"/>
          <w:divBdr>
            <w:top w:val="none" w:sz="0" w:space="0" w:color="auto"/>
            <w:left w:val="none" w:sz="0" w:space="0" w:color="auto"/>
            <w:bottom w:val="none" w:sz="0" w:space="0" w:color="auto"/>
            <w:right w:val="none" w:sz="0" w:space="0" w:color="auto"/>
          </w:divBdr>
          <w:divsChild>
            <w:div w:id="1559592300">
              <w:marLeft w:val="0"/>
              <w:marRight w:val="0"/>
              <w:marTop w:val="0"/>
              <w:marBottom w:val="0"/>
              <w:divBdr>
                <w:top w:val="none" w:sz="0" w:space="0" w:color="auto"/>
                <w:left w:val="none" w:sz="0" w:space="0" w:color="auto"/>
                <w:bottom w:val="none" w:sz="0" w:space="0" w:color="auto"/>
                <w:right w:val="none" w:sz="0" w:space="0" w:color="auto"/>
              </w:divBdr>
            </w:div>
          </w:divsChild>
        </w:div>
        <w:div w:id="1326783726">
          <w:marLeft w:val="0"/>
          <w:marRight w:val="0"/>
          <w:marTop w:val="0"/>
          <w:marBottom w:val="0"/>
          <w:divBdr>
            <w:top w:val="none" w:sz="0" w:space="0" w:color="auto"/>
            <w:left w:val="none" w:sz="0" w:space="0" w:color="auto"/>
            <w:bottom w:val="none" w:sz="0" w:space="0" w:color="auto"/>
            <w:right w:val="none" w:sz="0" w:space="0" w:color="auto"/>
          </w:divBdr>
          <w:divsChild>
            <w:div w:id="1773285598">
              <w:marLeft w:val="0"/>
              <w:marRight w:val="0"/>
              <w:marTop w:val="0"/>
              <w:marBottom w:val="0"/>
              <w:divBdr>
                <w:top w:val="none" w:sz="0" w:space="0" w:color="auto"/>
                <w:left w:val="none" w:sz="0" w:space="0" w:color="auto"/>
                <w:bottom w:val="none" w:sz="0" w:space="0" w:color="auto"/>
                <w:right w:val="none" w:sz="0" w:space="0" w:color="auto"/>
              </w:divBdr>
            </w:div>
          </w:divsChild>
        </w:div>
        <w:div w:id="1368800109">
          <w:marLeft w:val="0"/>
          <w:marRight w:val="0"/>
          <w:marTop w:val="0"/>
          <w:marBottom w:val="0"/>
          <w:divBdr>
            <w:top w:val="none" w:sz="0" w:space="0" w:color="auto"/>
            <w:left w:val="none" w:sz="0" w:space="0" w:color="auto"/>
            <w:bottom w:val="none" w:sz="0" w:space="0" w:color="auto"/>
            <w:right w:val="none" w:sz="0" w:space="0" w:color="auto"/>
          </w:divBdr>
          <w:divsChild>
            <w:div w:id="1362783198">
              <w:marLeft w:val="0"/>
              <w:marRight w:val="0"/>
              <w:marTop w:val="0"/>
              <w:marBottom w:val="0"/>
              <w:divBdr>
                <w:top w:val="none" w:sz="0" w:space="0" w:color="auto"/>
                <w:left w:val="none" w:sz="0" w:space="0" w:color="auto"/>
                <w:bottom w:val="none" w:sz="0" w:space="0" w:color="auto"/>
                <w:right w:val="none" w:sz="0" w:space="0" w:color="auto"/>
              </w:divBdr>
            </w:div>
          </w:divsChild>
        </w:div>
        <w:div w:id="1432435023">
          <w:marLeft w:val="0"/>
          <w:marRight w:val="0"/>
          <w:marTop w:val="0"/>
          <w:marBottom w:val="0"/>
          <w:divBdr>
            <w:top w:val="none" w:sz="0" w:space="0" w:color="auto"/>
            <w:left w:val="none" w:sz="0" w:space="0" w:color="auto"/>
            <w:bottom w:val="none" w:sz="0" w:space="0" w:color="auto"/>
            <w:right w:val="none" w:sz="0" w:space="0" w:color="auto"/>
          </w:divBdr>
          <w:divsChild>
            <w:div w:id="148980906">
              <w:marLeft w:val="0"/>
              <w:marRight w:val="0"/>
              <w:marTop w:val="0"/>
              <w:marBottom w:val="0"/>
              <w:divBdr>
                <w:top w:val="none" w:sz="0" w:space="0" w:color="auto"/>
                <w:left w:val="none" w:sz="0" w:space="0" w:color="auto"/>
                <w:bottom w:val="none" w:sz="0" w:space="0" w:color="auto"/>
                <w:right w:val="none" w:sz="0" w:space="0" w:color="auto"/>
              </w:divBdr>
            </w:div>
          </w:divsChild>
        </w:div>
        <w:div w:id="1596010413">
          <w:marLeft w:val="0"/>
          <w:marRight w:val="0"/>
          <w:marTop w:val="0"/>
          <w:marBottom w:val="0"/>
          <w:divBdr>
            <w:top w:val="none" w:sz="0" w:space="0" w:color="auto"/>
            <w:left w:val="none" w:sz="0" w:space="0" w:color="auto"/>
            <w:bottom w:val="none" w:sz="0" w:space="0" w:color="auto"/>
            <w:right w:val="none" w:sz="0" w:space="0" w:color="auto"/>
          </w:divBdr>
          <w:divsChild>
            <w:div w:id="1175919333">
              <w:marLeft w:val="0"/>
              <w:marRight w:val="0"/>
              <w:marTop w:val="0"/>
              <w:marBottom w:val="0"/>
              <w:divBdr>
                <w:top w:val="none" w:sz="0" w:space="0" w:color="auto"/>
                <w:left w:val="none" w:sz="0" w:space="0" w:color="auto"/>
                <w:bottom w:val="none" w:sz="0" w:space="0" w:color="auto"/>
                <w:right w:val="none" w:sz="0" w:space="0" w:color="auto"/>
              </w:divBdr>
            </w:div>
          </w:divsChild>
        </w:div>
        <w:div w:id="1599827896">
          <w:marLeft w:val="0"/>
          <w:marRight w:val="0"/>
          <w:marTop w:val="0"/>
          <w:marBottom w:val="0"/>
          <w:divBdr>
            <w:top w:val="none" w:sz="0" w:space="0" w:color="auto"/>
            <w:left w:val="none" w:sz="0" w:space="0" w:color="auto"/>
            <w:bottom w:val="none" w:sz="0" w:space="0" w:color="auto"/>
            <w:right w:val="none" w:sz="0" w:space="0" w:color="auto"/>
          </w:divBdr>
          <w:divsChild>
            <w:div w:id="1709717003">
              <w:marLeft w:val="0"/>
              <w:marRight w:val="0"/>
              <w:marTop w:val="0"/>
              <w:marBottom w:val="0"/>
              <w:divBdr>
                <w:top w:val="none" w:sz="0" w:space="0" w:color="auto"/>
                <w:left w:val="none" w:sz="0" w:space="0" w:color="auto"/>
                <w:bottom w:val="none" w:sz="0" w:space="0" w:color="auto"/>
                <w:right w:val="none" w:sz="0" w:space="0" w:color="auto"/>
              </w:divBdr>
            </w:div>
          </w:divsChild>
        </w:div>
        <w:div w:id="1612468013">
          <w:marLeft w:val="0"/>
          <w:marRight w:val="0"/>
          <w:marTop w:val="0"/>
          <w:marBottom w:val="0"/>
          <w:divBdr>
            <w:top w:val="none" w:sz="0" w:space="0" w:color="auto"/>
            <w:left w:val="none" w:sz="0" w:space="0" w:color="auto"/>
            <w:bottom w:val="none" w:sz="0" w:space="0" w:color="auto"/>
            <w:right w:val="none" w:sz="0" w:space="0" w:color="auto"/>
          </w:divBdr>
          <w:divsChild>
            <w:div w:id="836577415">
              <w:marLeft w:val="0"/>
              <w:marRight w:val="0"/>
              <w:marTop w:val="0"/>
              <w:marBottom w:val="0"/>
              <w:divBdr>
                <w:top w:val="none" w:sz="0" w:space="0" w:color="auto"/>
                <w:left w:val="none" w:sz="0" w:space="0" w:color="auto"/>
                <w:bottom w:val="none" w:sz="0" w:space="0" w:color="auto"/>
                <w:right w:val="none" w:sz="0" w:space="0" w:color="auto"/>
              </w:divBdr>
            </w:div>
          </w:divsChild>
        </w:div>
        <w:div w:id="1642809993">
          <w:marLeft w:val="0"/>
          <w:marRight w:val="0"/>
          <w:marTop w:val="0"/>
          <w:marBottom w:val="0"/>
          <w:divBdr>
            <w:top w:val="none" w:sz="0" w:space="0" w:color="auto"/>
            <w:left w:val="none" w:sz="0" w:space="0" w:color="auto"/>
            <w:bottom w:val="none" w:sz="0" w:space="0" w:color="auto"/>
            <w:right w:val="none" w:sz="0" w:space="0" w:color="auto"/>
          </w:divBdr>
          <w:divsChild>
            <w:div w:id="1790247505">
              <w:marLeft w:val="0"/>
              <w:marRight w:val="0"/>
              <w:marTop w:val="0"/>
              <w:marBottom w:val="0"/>
              <w:divBdr>
                <w:top w:val="none" w:sz="0" w:space="0" w:color="auto"/>
                <w:left w:val="none" w:sz="0" w:space="0" w:color="auto"/>
                <w:bottom w:val="none" w:sz="0" w:space="0" w:color="auto"/>
                <w:right w:val="none" w:sz="0" w:space="0" w:color="auto"/>
              </w:divBdr>
            </w:div>
          </w:divsChild>
        </w:div>
        <w:div w:id="1674869896">
          <w:marLeft w:val="0"/>
          <w:marRight w:val="0"/>
          <w:marTop w:val="0"/>
          <w:marBottom w:val="0"/>
          <w:divBdr>
            <w:top w:val="none" w:sz="0" w:space="0" w:color="auto"/>
            <w:left w:val="none" w:sz="0" w:space="0" w:color="auto"/>
            <w:bottom w:val="none" w:sz="0" w:space="0" w:color="auto"/>
            <w:right w:val="none" w:sz="0" w:space="0" w:color="auto"/>
          </w:divBdr>
          <w:divsChild>
            <w:div w:id="1688828442">
              <w:marLeft w:val="0"/>
              <w:marRight w:val="0"/>
              <w:marTop w:val="0"/>
              <w:marBottom w:val="0"/>
              <w:divBdr>
                <w:top w:val="none" w:sz="0" w:space="0" w:color="auto"/>
                <w:left w:val="none" w:sz="0" w:space="0" w:color="auto"/>
                <w:bottom w:val="none" w:sz="0" w:space="0" w:color="auto"/>
                <w:right w:val="none" w:sz="0" w:space="0" w:color="auto"/>
              </w:divBdr>
            </w:div>
          </w:divsChild>
        </w:div>
        <w:div w:id="1687245133">
          <w:marLeft w:val="0"/>
          <w:marRight w:val="0"/>
          <w:marTop w:val="0"/>
          <w:marBottom w:val="0"/>
          <w:divBdr>
            <w:top w:val="none" w:sz="0" w:space="0" w:color="auto"/>
            <w:left w:val="none" w:sz="0" w:space="0" w:color="auto"/>
            <w:bottom w:val="none" w:sz="0" w:space="0" w:color="auto"/>
            <w:right w:val="none" w:sz="0" w:space="0" w:color="auto"/>
          </w:divBdr>
          <w:divsChild>
            <w:div w:id="76437900">
              <w:marLeft w:val="0"/>
              <w:marRight w:val="0"/>
              <w:marTop w:val="0"/>
              <w:marBottom w:val="0"/>
              <w:divBdr>
                <w:top w:val="none" w:sz="0" w:space="0" w:color="auto"/>
                <w:left w:val="none" w:sz="0" w:space="0" w:color="auto"/>
                <w:bottom w:val="none" w:sz="0" w:space="0" w:color="auto"/>
                <w:right w:val="none" w:sz="0" w:space="0" w:color="auto"/>
              </w:divBdr>
            </w:div>
          </w:divsChild>
        </w:div>
        <w:div w:id="1696883161">
          <w:marLeft w:val="0"/>
          <w:marRight w:val="0"/>
          <w:marTop w:val="0"/>
          <w:marBottom w:val="0"/>
          <w:divBdr>
            <w:top w:val="none" w:sz="0" w:space="0" w:color="auto"/>
            <w:left w:val="none" w:sz="0" w:space="0" w:color="auto"/>
            <w:bottom w:val="none" w:sz="0" w:space="0" w:color="auto"/>
            <w:right w:val="none" w:sz="0" w:space="0" w:color="auto"/>
          </w:divBdr>
          <w:divsChild>
            <w:div w:id="1578435974">
              <w:marLeft w:val="0"/>
              <w:marRight w:val="0"/>
              <w:marTop w:val="0"/>
              <w:marBottom w:val="0"/>
              <w:divBdr>
                <w:top w:val="none" w:sz="0" w:space="0" w:color="auto"/>
                <w:left w:val="none" w:sz="0" w:space="0" w:color="auto"/>
                <w:bottom w:val="none" w:sz="0" w:space="0" w:color="auto"/>
                <w:right w:val="none" w:sz="0" w:space="0" w:color="auto"/>
              </w:divBdr>
            </w:div>
          </w:divsChild>
        </w:div>
        <w:div w:id="1820732044">
          <w:marLeft w:val="0"/>
          <w:marRight w:val="0"/>
          <w:marTop w:val="0"/>
          <w:marBottom w:val="0"/>
          <w:divBdr>
            <w:top w:val="none" w:sz="0" w:space="0" w:color="auto"/>
            <w:left w:val="none" w:sz="0" w:space="0" w:color="auto"/>
            <w:bottom w:val="none" w:sz="0" w:space="0" w:color="auto"/>
            <w:right w:val="none" w:sz="0" w:space="0" w:color="auto"/>
          </w:divBdr>
          <w:divsChild>
            <w:div w:id="1712537971">
              <w:marLeft w:val="0"/>
              <w:marRight w:val="0"/>
              <w:marTop w:val="0"/>
              <w:marBottom w:val="0"/>
              <w:divBdr>
                <w:top w:val="none" w:sz="0" w:space="0" w:color="auto"/>
                <w:left w:val="none" w:sz="0" w:space="0" w:color="auto"/>
                <w:bottom w:val="none" w:sz="0" w:space="0" w:color="auto"/>
                <w:right w:val="none" w:sz="0" w:space="0" w:color="auto"/>
              </w:divBdr>
            </w:div>
          </w:divsChild>
        </w:div>
        <w:div w:id="1847398240">
          <w:marLeft w:val="0"/>
          <w:marRight w:val="0"/>
          <w:marTop w:val="0"/>
          <w:marBottom w:val="0"/>
          <w:divBdr>
            <w:top w:val="none" w:sz="0" w:space="0" w:color="auto"/>
            <w:left w:val="none" w:sz="0" w:space="0" w:color="auto"/>
            <w:bottom w:val="none" w:sz="0" w:space="0" w:color="auto"/>
            <w:right w:val="none" w:sz="0" w:space="0" w:color="auto"/>
          </w:divBdr>
          <w:divsChild>
            <w:div w:id="401149409">
              <w:marLeft w:val="0"/>
              <w:marRight w:val="0"/>
              <w:marTop w:val="0"/>
              <w:marBottom w:val="0"/>
              <w:divBdr>
                <w:top w:val="none" w:sz="0" w:space="0" w:color="auto"/>
                <w:left w:val="none" w:sz="0" w:space="0" w:color="auto"/>
                <w:bottom w:val="none" w:sz="0" w:space="0" w:color="auto"/>
                <w:right w:val="none" w:sz="0" w:space="0" w:color="auto"/>
              </w:divBdr>
            </w:div>
          </w:divsChild>
        </w:div>
        <w:div w:id="1910076623">
          <w:marLeft w:val="0"/>
          <w:marRight w:val="0"/>
          <w:marTop w:val="0"/>
          <w:marBottom w:val="0"/>
          <w:divBdr>
            <w:top w:val="none" w:sz="0" w:space="0" w:color="auto"/>
            <w:left w:val="none" w:sz="0" w:space="0" w:color="auto"/>
            <w:bottom w:val="none" w:sz="0" w:space="0" w:color="auto"/>
            <w:right w:val="none" w:sz="0" w:space="0" w:color="auto"/>
          </w:divBdr>
          <w:divsChild>
            <w:div w:id="441151842">
              <w:marLeft w:val="0"/>
              <w:marRight w:val="0"/>
              <w:marTop w:val="0"/>
              <w:marBottom w:val="0"/>
              <w:divBdr>
                <w:top w:val="none" w:sz="0" w:space="0" w:color="auto"/>
                <w:left w:val="none" w:sz="0" w:space="0" w:color="auto"/>
                <w:bottom w:val="none" w:sz="0" w:space="0" w:color="auto"/>
                <w:right w:val="none" w:sz="0" w:space="0" w:color="auto"/>
              </w:divBdr>
            </w:div>
          </w:divsChild>
        </w:div>
        <w:div w:id="1929190368">
          <w:marLeft w:val="0"/>
          <w:marRight w:val="0"/>
          <w:marTop w:val="0"/>
          <w:marBottom w:val="0"/>
          <w:divBdr>
            <w:top w:val="none" w:sz="0" w:space="0" w:color="auto"/>
            <w:left w:val="none" w:sz="0" w:space="0" w:color="auto"/>
            <w:bottom w:val="none" w:sz="0" w:space="0" w:color="auto"/>
            <w:right w:val="none" w:sz="0" w:space="0" w:color="auto"/>
          </w:divBdr>
          <w:divsChild>
            <w:div w:id="658073053">
              <w:marLeft w:val="0"/>
              <w:marRight w:val="0"/>
              <w:marTop w:val="0"/>
              <w:marBottom w:val="0"/>
              <w:divBdr>
                <w:top w:val="none" w:sz="0" w:space="0" w:color="auto"/>
                <w:left w:val="none" w:sz="0" w:space="0" w:color="auto"/>
                <w:bottom w:val="none" w:sz="0" w:space="0" w:color="auto"/>
                <w:right w:val="none" w:sz="0" w:space="0" w:color="auto"/>
              </w:divBdr>
            </w:div>
          </w:divsChild>
        </w:div>
        <w:div w:id="1954363445">
          <w:marLeft w:val="0"/>
          <w:marRight w:val="0"/>
          <w:marTop w:val="0"/>
          <w:marBottom w:val="0"/>
          <w:divBdr>
            <w:top w:val="none" w:sz="0" w:space="0" w:color="auto"/>
            <w:left w:val="none" w:sz="0" w:space="0" w:color="auto"/>
            <w:bottom w:val="none" w:sz="0" w:space="0" w:color="auto"/>
            <w:right w:val="none" w:sz="0" w:space="0" w:color="auto"/>
          </w:divBdr>
          <w:divsChild>
            <w:div w:id="1679695020">
              <w:marLeft w:val="0"/>
              <w:marRight w:val="0"/>
              <w:marTop w:val="0"/>
              <w:marBottom w:val="0"/>
              <w:divBdr>
                <w:top w:val="none" w:sz="0" w:space="0" w:color="auto"/>
                <w:left w:val="none" w:sz="0" w:space="0" w:color="auto"/>
                <w:bottom w:val="none" w:sz="0" w:space="0" w:color="auto"/>
                <w:right w:val="none" w:sz="0" w:space="0" w:color="auto"/>
              </w:divBdr>
            </w:div>
          </w:divsChild>
        </w:div>
        <w:div w:id="1998267322">
          <w:marLeft w:val="0"/>
          <w:marRight w:val="0"/>
          <w:marTop w:val="0"/>
          <w:marBottom w:val="0"/>
          <w:divBdr>
            <w:top w:val="none" w:sz="0" w:space="0" w:color="auto"/>
            <w:left w:val="none" w:sz="0" w:space="0" w:color="auto"/>
            <w:bottom w:val="none" w:sz="0" w:space="0" w:color="auto"/>
            <w:right w:val="none" w:sz="0" w:space="0" w:color="auto"/>
          </w:divBdr>
          <w:divsChild>
            <w:div w:id="1280723676">
              <w:marLeft w:val="0"/>
              <w:marRight w:val="0"/>
              <w:marTop w:val="0"/>
              <w:marBottom w:val="0"/>
              <w:divBdr>
                <w:top w:val="none" w:sz="0" w:space="0" w:color="auto"/>
                <w:left w:val="none" w:sz="0" w:space="0" w:color="auto"/>
                <w:bottom w:val="none" w:sz="0" w:space="0" w:color="auto"/>
                <w:right w:val="none" w:sz="0" w:space="0" w:color="auto"/>
              </w:divBdr>
            </w:div>
          </w:divsChild>
        </w:div>
        <w:div w:id="2023583325">
          <w:marLeft w:val="0"/>
          <w:marRight w:val="0"/>
          <w:marTop w:val="0"/>
          <w:marBottom w:val="0"/>
          <w:divBdr>
            <w:top w:val="none" w:sz="0" w:space="0" w:color="auto"/>
            <w:left w:val="none" w:sz="0" w:space="0" w:color="auto"/>
            <w:bottom w:val="none" w:sz="0" w:space="0" w:color="auto"/>
            <w:right w:val="none" w:sz="0" w:space="0" w:color="auto"/>
          </w:divBdr>
          <w:divsChild>
            <w:div w:id="1296445913">
              <w:marLeft w:val="0"/>
              <w:marRight w:val="0"/>
              <w:marTop w:val="0"/>
              <w:marBottom w:val="0"/>
              <w:divBdr>
                <w:top w:val="none" w:sz="0" w:space="0" w:color="auto"/>
                <w:left w:val="none" w:sz="0" w:space="0" w:color="auto"/>
                <w:bottom w:val="none" w:sz="0" w:space="0" w:color="auto"/>
                <w:right w:val="none" w:sz="0" w:space="0" w:color="auto"/>
              </w:divBdr>
            </w:div>
          </w:divsChild>
        </w:div>
        <w:div w:id="2031639588">
          <w:marLeft w:val="0"/>
          <w:marRight w:val="0"/>
          <w:marTop w:val="0"/>
          <w:marBottom w:val="0"/>
          <w:divBdr>
            <w:top w:val="none" w:sz="0" w:space="0" w:color="auto"/>
            <w:left w:val="none" w:sz="0" w:space="0" w:color="auto"/>
            <w:bottom w:val="none" w:sz="0" w:space="0" w:color="auto"/>
            <w:right w:val="none" w:sz="0" w:space="0" w:color="auto"/>
          </w:divBdr>
          <w:divsChild>
            <w:div w:id="590503128">
              <w:marLeft w:val="0"/>
              <w:marRight w:val="0"/>
              <w:marTop w:val="0"/>
              <w:marBottom w:val="0"/>
              <w:divBdr>
                <w:top w:val="none" w:sz="0" w:space="0" w:color="auto"/>
                <w:left w:val="none" w:sz="0" w:space="0" w:color="auto"/>
                <w:bottom w:val="none" w:sz="0" w:space="0" w:color="auto"/>
                <w:right w:val="none" w:sz="0" w:space="0" w:color="auto"/>
              </w:divBdr>
            </w:div>
          </w:divsChild>
        </w:div>
        <w:div w:id="2036229157">
          <w:marLeft w:val="0"/>
          <w:marRight w:val="0"/>
          <w:marTop w:val="0"/>
          <w:marBottom w:val="0"/>
          <w:divBdr>
            <w:top w:val="none" w:sz="0" w:space="0" w:color="auto"/>
            <w:left w:val="none" w:sz="0" w:space="0" w:color="auto"/>
            <w:bottom w:val="none" w:sz="0" w:space="0" w:color="auto"/>
            <w:right w:val="none" w:sz="0" w:space="0" w:color="auto"/>
          </w:divBdr>
          <w:divsChild>
            <w:div w:id="1639263688">
              <w:marLeft w:val="0"/>
              <w:marRight w:val="0"/>
              <w:marTop w:val="0"/>
              <w:marBottom w:val="0"/>
              <w:divBdr>
                <w:top w:val="none" w:sz="0" w:space="0" w:color="auto"/>
                <w:left w:val="none" w:sz="0" w:space="0" w:color="auto"/>
                <w:bottom w:val="none" w:sz="0" w:space="0" w:color="auto"/>
                <w:right w:val="none" w:sz="0" w:space="0" w:color="auto"/>
              </w:divBdr>
            </w:div>
          </w:divsChild>
        </w:div>
        <w:div w:id="2063871071">
          <w:marLeft w:val="0"/>
          <w:marRight w:val="0"/>
          <w:marTop w:val="0"/>
          <w:marBottom w:val="0"/>
          <w:divBdr>
            <w:top w:val="none" w:sz="0" w:space="0" w:color="auto"/>
            <w:left w:val="none" w:sz="0" w:space="0" w:color="auto"/>
            <w:bottom w:val="none" w:sz="0" w:space="0" w:color="auto"/>
            <w:right w:val="none" w:sz="0" w:space="0" w:color="auto"/>
          </w:divBdr>
          <w:divsChild>
            <w:div w:id="328214157">
              <w:marLeft w:val="0"/>
              <w:marRight w:val="0"/>
              <w:marTop w:val="0"/>
              <w:marBottom w:val="0"/>
              <w:divBdr>
                <w:top w:val="none" w:sz="0" w:space="0" w:color="auto"/>
                <w:left w:val="none" w:sz="0" w:space="0" w:color="auto"/>
                <w:bottom w:val="none" w:sz="0" w:space="0" w:color="auto"/>
                <w:right w:val="none" w:sz="0" w:space="0" w:color="auto"/>
              </w:divBdr>
            </w:div>
          </w:divsChild>
        </w:div>
        <w:div w:id="2072264420">
          <w:marLeft w:val="0"/>
          <w:marRight w:val="0"/>
          <w:marTop w:val="0"/>
          <w:marBottom w:val="0"/>
          <w:divBdr>
            <w:top w:val="none" w:sz="0" w:space="0" w:color="auto"/>
            <w:left w:val="none" w:sz="0" w:space="0" w:color="auto"/>
            <w:bottom w:val="none" w:sz="0" w:space="0" w:color="auto"/>
            <w:right w:val="none" w:sz="0" w:space="0" w:color="auto"/>
          </w:divBdr>
          <w:divsChild>
            <w:div w:id="60727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9430">
      <w:bodyDiv w:val="1"/>
      <w:marLeft w:val="0"/>
      <w:marRight w:val="0"/>
      <w:marTop w:val="0"/>
      <w:marBottom w:val="0"/>
      <w:divBdr>
        <w:top w:val="none" w:sz="0" w:space="0" w:color="auto"/>
        <w:left w:val="none" w:sz="0" w:space="0" w:color="auto"/>
        <w:bottom w:val="none" w:sz="0" w:space="0" w:color="auto"/>
        <w:right w:val="none" w:sz="0" w:space="0" w:color="auto"/>
      </w:divBdr>
    </w:div>
    <w:div w:id="53817539">
      <w:bodyDiv w:val="1"/>
      <w:marLeft w:val="0"/>
      <w:marRight w:val="0"/>
      <w:marTop w:val="0"/>
      <w:marBottom w:val="0"/>
      <w:divBdr>
        <w:top w:val="none" w:sz="0" w:space="0" w:color="auto"/>
        <w:left w:val="none" w:sz="0" w:space="0" w:color="auto"/>
        <w:bottom w:val="none" w:sz="0" w:space="0" w:color="auto"/>
        <w:right w:val="none" w:sz="0" w:space="0" w:color="auto"/>
      </w:divBdr>
    </w:div>
    <w:div w:id="56901173">
      <w:bodyDiv w:val="1"/>
      <w:marLeft w:val="0"/>
      <w:marRight w:val="0"/>
      <w:marTop w:val="0"/>
      <w:marBottom w:val="0"/>
      <w:divBdr>
        <w:top w:val="none" w:sz="0" w:space="0" w:color="auto"/>
        <w:left w:val="none" w:sz="0" w:space="0" w:color="auto"/>
        <w:bottom w:val="none" w:sz="0" w:space="0" w:color="auto"/>
        <w:right w:val="none" w:sz="0" w:space="0" w:color="auto"/>
      </w:divBdr>
    </w:div>
    <w:div w:id="64183517">
      <w:bodyDiv w:val="1"/>
      <w:marLeft w:val="0"/>
      <w:marRight w:val="0"/>
      <w:marTop w:val="0"/>
      <w:marBottom w:val="0"/>
      <w:divBdr>
        <w:top w:val="none" w:sz="0" w:space="0" w:color="auto"/>
        <w:left w:val="none" w:sz="0" w:space="0" w:color="auto"/>
        <w:bottom w:val="none" w:sz="0" w:space="0" w:color="auto"/>
        <w:right w:val="none" w:sz="0" w:space="0" w:color="auto"/>
      </w:divBdr>
      <w:divsChild>
        <w:div w:id="1576016628">
          <w:marLeft w:val="0"/>
          <w:marRight w:val="0"/>
          <w:marTop w:val="0"/>
          <w:marBottom w:val="0"/>
          <w:divBdr>
            <w:top w:val="none" w:sz="0" w:space="0" w:color="auto"/>
            <w:left w:val="none" w:sz="0" w:space="0" w:color="auto"/>
            <w:bottom w:val="none" w:sz="0" w:space="0" w:color="auto"/>
            <w:right w:val="none" w:sz="0" w:space="0" w:color="auto"/>
          </w:divBdr>
          <w:divsChild>
            <w:div w:id="190605144">
              <w:marLeft w:val="0"/>
              <w:marRight w:val="0"/>
              <w:marTop w:val="0"/>
              <w:marBottom w:val="0"/>
              <w:divBdr>
                <w:top w:val="none" w:sz="0" w:space="0" w:color="auto"/>
                <w:left w:val="none" w:sz="0" w:space="0" w:color="auto"/>
                <w:bottom w:val="none" w:sz="0" w:space="0" w:color="auto"/>
                <w:right w:val="none" w:sz="0" w:space="0" w:color="auto"/>
              </w:divBdr>
              <w:divsChild>
                <w:div w:id="1690451259">
                  <w:marLeft w:val="0"/>
                  <w:marRight w:val="0"/>
                  <w:marTop w:val="0"/>
                  <w:marBottom w:val="0"/>
                  <w:divBdr>
                    <w:top w:val="none" w:sz="0" w:space="0" w:color="auto"/>
                    <w:left w:val="none" w:sz="0" w:space="0" w:color="auto"/>
                    <w:bottom w:val="none" w:sz="0" w:space="0" w:color="auto"/>
                    <w:right w:val="none" w:sz="0" w:space="0" w:color="auto"/>
                  </w:divBdr>
                </w:div>
              </w:divsChild>
            </w:div>
            <w:div w:id="236020510">
              <w:marLeft w:val="0"/>
              <w:marRight w:val="0"/>
              <w:marTop w:val="0"/>
              <w:marBottom w:val="0"/>
              <w:divBdr>
                <w:top w:val="none" w:sz="0" w:space="0" w:color="auto"/>
                <w:left w:val="none" w:sz="0" w:space="0" w:color="auto"/>
                <w:bottom w:val="none" w:sz="0" w:space="0" w:color="auto"/>
                <w:right w:val="none" w:sz="0" w:space="0" w:color="auto"/>
              </w:divBdr>
              <w:divsChild>
                <w:div w:id="455374733">
                  <w:marLeft w:val="0"/>
                  <w:marRight w:val="0"/>
                  <w:marTop w:val="0"/>
                  <w:marBottom w:val="0"/>
                  <w:divBdr>
                    <w:top w:val="none" w:sz="0" w:space="0" w:color="auto"/>
                    <w:left w:val="none" w:sz="0" w:space="0" w:color="auto"/>
                    <w:bottom w:val="none" w:sz="0" w:space="0" w:color="auto"/>
                    <w:right w:val="none" w:sz="0" w:space="0" w:color="auto"/>
                  </w:divBdr>
                </w:div>
              </w:divsChild>
            </w:div>
            <w:div w:id="355497411">
              <w:marLeft w:val="0"/>
              <w:marRight w:val="0"/>
              <w:marTop w:val="0"/>
              <w:marBottom w:val="0"/>
              <w:divBdr>
                <w:top w:val="none" w:sz="0" w:space="0" w:color="auto"/>
                <w:left w:val="none" w:sz="0" w:space="0" w:color="auto"/>
                <w:bottom w:val="none" w:sz="0" w:space="0" w:color="auto"/>
                <w:right w:val="none" w:sz="0" w:space="0" w:color="auto"/>
              </w:divBdr>
              <w:divsChild>
                <w:div w:id="1724210575">
                  <w:marLeft w:val="0"/>
                  <w:marRight w:val="0"/>
                  <w:marTop w:val="0"/>
                  <w:marBottom w:val="0"/>
                  <w:divBdr>
                    <w:top w:val="none" w:sz="0" w:space="0" w:color="auto"/>
                    <w:left w:val="none" w:sz="0" w:space="0" w:color="auto"/>
                    <w:bottom w:val="none" w:sz="0" w:space="0" w:color="auto"/>
                    <w:right w:val="none" w:sz="0" w:space="0" w:color="auto"/>
                  </w:divBdr>
                </w:div>
                <w:div w:id="1728918145">
                  <w:marLeft w:val="0"/>
                  <w:marRight w:val="0"/>
                  <w:marTop w:val="0"/>
                  <w:marBottom w:val="0"/>
                  <w:divBdr>
                    <w:top w:val="none" w:sz="0" w:space="0" w:color="auto"/>
                    <w:left w:val="none" w:sz="0" w:space="0" w:color="auto"/>
                    <w:bottom w:val="none" w:sz="0" w:space="0" w:color="auto"/>
                    <w:right w:val="none" w:sz="0" w:space="0" w:color="auto"/>
                  </w:divBdr>
                </w:div>
              </w:divsChild>
            </w:div>
            <w:div w:id="424545450">
              <w:marLeft w:val="0"/>
              <w:marRight w:val="0"/>
              <w:marTop w:val="0"/>
              <w:marBottom w:val="0"/>
              <w:divBdr>
                <w:top w:val="none" w:sz="0" w:space="0" w:color="auto"/>
                <w:left w:val="none" w:sz="0" w:space="0" w:color="auto"/>
                <w:bottom w:val="none" w:sz="0" w:space="0" w:color="auto"/>
                <w:right w:val="none" w:sz="0" w:space="0" w:color="auto"/>
              </w:divBdr>
              <w:divsChild>
                <w:div w:id="1242594510">
                  <w:marLeft w:val="0"/>
                  <w:marRight w:val="0"/>
                  <w:marTop w:val="0"/>
                  <w:marBottom w:val="0"/>
                  <w:divBdr>
                    <w:top w:val="none" w:sz="0" w:space="0" w:color="auto"/>
                    <w:left w:val="none" w:sz="0" w:space="0" w:color="auto"/>
                    <w:bottom w:val="none" w:sz="0" w:space="0" w:color="auto"/>
                    <w:right w:val="none" w:sz="0" w:space="0" w:color="auto"/>
                  </w:divBdr>
                </w:div>
              </w:divsChild>
            </w:div>
            <w:div w:id="437214203">
              <w:marLeft w:val="0"/>
              <w:marRight w:val="0"/>
              <w:marTop w:val="0"/>
              <w:marBottom w:val="0"/>
              <w:divBdr>
                <w:top w:val="none" w:sz="0" w:space="0" w:color="auto"/>
                <w:left w:val="none" w:sz="0" w:space="0" w:color="auto"/>
                <w:bottom w:val="none" w:sz="0" w:space="0" w:color="auto"/>
                <w:right w:val="none" w:sz="0" w:space="0" w:color="auto"/>
              </w:divBdr>
              <w:divsChild>
                <w:div w:id="1939563150">
                  <w:marLeft w:val="0"/>
                  <w:marRight w:val="0"/>
                  <w:marTop w:val="0"/>
                  <w:marBottom w:val="0"/>
                  <w:divBdr>
                    <w:top w:val="none" w:sz="0" w:space="0" w:color="auto"/>
                    <w:left w:val="none" w:sz="0" w:space="0" w:color="auto"/>
                    <w:bottom w:val="none" w:sz="0" w:space="0" w:color="auto"/>
                    <w:right w:val="none" w:sz="0" w:space="0" w:color="auto"/>
                  </w:divBdr>
                </w:div>
              </w:divsChild>
            </w:div>
            <w:div w:id="692152309">
              <w:marLeft w:val="0"/>
              <w:marRight w:val="0"/>
              <w:marTop w:val="0"/>
              <w:marBottom w:val="0"/>
              <w:divBdr>
                <w:top w:val="none" w:sz="0" w:space="0" w:color="auto"/>
                <w:left w:val="none" w:sz="0" w:space="0" w:color="auto"/>
                <w:bottom w:val="none" w:sz="0" w:space="0" w:color="auto"/>
                <w:right w:val="none" w:sz="0" w:space="0" w:color="auto"/>
              </w:divBdr>
              <w:divsChild>
                <w:div w:id="1428623108">
                  <w:marLeft w:val="0"/>
                  <w:marRight w:val="0"/>
                  <w:marTop w:val="0"/>
                  <w:marBottom w:val="0"/>
                  <w:divBdr>
                    <w:top w:val="none" w:sz="0" w:space="0" w:color="auto"/>
                    <w:left w:val="none" w:sz="0" w:space="0" w:color="auto"/>
                    <w:bottom w:val="none" w:sz="0" w:space="0" w:color="auto"/>
                    <w:right w:val="none" w:sz="0" w:space="0" w:color="auto"/>
                  </w:divBdr>
                </w:div>
              </w:divsChild>
            </w:div>
            <w:div w:id="820077057">
              <w:marLeft w:val="0"/>
              <w:marRight w:val="0"/>
              <w:marTop w:val="0"/>
              <w:marBottom w:val="0"/>
              <w:divBdr>
                <w:top w:val="none" w:sz="0" w:space="0" w:color="auto"/>
                <w:left w:val="none" w:sz="0" w:space="0" w:color="auto"/>
                <w:bottom w:val="none" w:sz="0" w:space="0" w:color="auto"/>
                <w:right w:val="none" w:sz="0" w:space="0" w:color="auto"/>
              </w:divBdr>
              <w:divsChild>
                <w:div w:id="947665091">
                  <w:marLeft w:val="0"/>
                  <w:marRight w:val="0"/>
                  <w:marTop w:val="0"/>
                  <w:marBottom w:val="0"/>
                  <w:divBdr>
                    <w:top w:val="none" w:sz="0" w:space="0" w:color="auto"/>
                    <w:left w:val="none" w:sz="0" w:space="0" w:color="auto"/>
                    <w:bottom w:val="none" w:sz="0" w:space="0" w:color="auto"/>
                    <w:right w:val="none" w:sz="0" w:space="0" w:color="auto"/>
                  </w:divBdr>
                </w:div>
              </w:divsChild>
            </w:div>
            <w:div w:id="934094384">
              <w:marLeft w:val="0"/>
              <w:marRight w:val="0"/>
              <w:marTop w:val="0"/>
              <w:marBottom w:val="0"/>
              <w:divBdr>
                <w:top w:val="none" w:sz="0" w:space="0" w:color="auto"/>
                <w:left w:val="none" w:sz="0" w:space="0" w:color="auto"/>
                <w:bottom w:val="none" w:sz="0" w:space="0" w:color="auto"/>
                <w:right w:val="none" w:sz="0" w:space="0" w:color="auto"/>
              </w:divBdr>
              <w:divsChild>
                <w:div w:id="1981227025">
                  <w:marLeft w:val="0"/>
                  <w:marRight w:val="0"/>
                  <w:marTop w:val="0"/>
                  <w:marBottom w:val="0"/>
                  <w:divBdr>
                    <w:top w:val="none" w:sz="0" w:space="0" w:color="auto"/>
                    <w:left w:val="none" w:sz="0" w:space="0" w:color="auto"/>
                    <w:bottom w:val="none" w:sz="0" w:space="0" w:color="auto"/>
                    <w:right w:val="none" w:sz="0" w:space="0" w:color="auto"/>
                  </w:divBdr>
                </w:div>
              </w:divsChild>
            </w:div>
            <w:div w:id="992757724">
              <w:marLeft w:val="0"/>
              <w:marRight w:val="0"/>
              <w:marTop w:val="0"/>
              <w:marBottom w:val="0"/>
              <w:divBdr>
                <w:top w:val="none" w:sz="0" w:space="0" w:color="auto"/>
                <w:left w:val="none" w:sz="0" w:space="0" w:color="auto"/>
                <w:bottom w:val="none" w:sz="0" w:space="0" w:color="auto"/>
                <w:right w:val="none" w:sz="0" w:space="0" w:color="auto"/>
              </w:divBdr>
              <w:divsChild>
                <w:div w:id="98530494">
                  <w:marLeft w:val="0"/>
                  <w:marRight w:val="0"/>
                  <w:marTop w:val="0"/>
                  <w:marBottom w:val="0"/>
                  <w:divBdr>
                    <w:top w:val="none" w:sz="0" w:space="0" w:color="auto"/>
                    <w:left w:val="none" w:sz="0" w:space="0" w:color="auto"/>
                    <w:bottom w:val="none" w:sz="0" w:space="0" w:color="auto"/>
                    <w:right w:val="none" w:sz="0" w:space="0" w:color="auto"/>
                  </w:divBdr>
                </w:div>
              </w:divsChild>
            </w:div>
            <w:div w:id="1051073165">
              <w:marLeft w:val="0"/>
              <w:marRight w:val="0"/>
              <w:marTop w:val="0"/>
              <w:marBottom w:val="0"/>
              <w:divBdr>
                <w:top w:val="none" w:sz="0" w:space="0" w:color="auto"/>
                <w:left w:val="none" w:sz="0" w:space="0" w:color="auto"/>
                <w:bottom w:val="none" w:sz="0" w:space="0" w:color="auto"/>
                <w:right w:val="none" w:sz="0" w:space="0" w:color="auto"/>
              </w:divBdr>
              <w:divsChild>
                <w:div w:id="1871411073">
                  <w:marLeft w:val="0"/>
                  <w:marRight w:val="0"/>
                  <w:marTop w:val="0"/>
                  <w:marBottom w:val="0"/>
                  <w:divBdr>
                    <w:top w:val="none" w:sz="0" w:space="0" w:color="auto"/>
                    <w:left w:val="none" w:sz="0" w:space="0" w:color="auto"/>
                    <w:bottom w:val="none" w:sz="0" w:space="0" w:color="auto"/>
                    <w:right w:val="none" w:sz="0" w:space="0" w:color="auto"/>
                  </w:divBdr>
                </w:div>
              </w:divsChild>
            </w:div>
            <w:div w:id="1059786977">
              <w:marLeft w:val="0"/>
              <w:marRight w:val="0"/>
              <w:marTop w:val="0"/>
              <w:marBottom w:val="0"/>
              <w:divBdr>
                <w:top w:val="none" w:sz="0" w:space="0" w:color="auto"/>
                <w:left w:val="none" w:sz="0" w:space="0" w:color="auto"/>
                <w:bottom w:val="none" w:sz="0" w:space="0" w:color="auto"/>
                <w:right w:val="none" w:sz="0" w:space="0" w:color="auto"/>
              </w:divBdr>
              <w:divsChild>
                <w:div w:id="1605965113">
                  <w:marLeft w:val="0"/>
                  <w:marRight w:val="0"/>
                  <w:marTop w:val="0"/>
                  <w:marBottom w:val="0"/>
                  <w:divBdr>
                    <w:top w:val="none" w:sz="0" w:space="0" w:color="auto"/>
                    <w:left w:val="none" w:sz="0" w:space="0" w:color="auto"/>
                    <w:bottom w:val="none" w:sz="0" w:space="0" w:color="auto"/>
                    <w:right w:val="none" w:sz="0" w:space="0" w:color="auto"/>
                  </w:divBdr>
                </w:div>
              </w:divsChild>
            </w:div>
            <w:div w:id="1060982028">
              <w:marLeft w:val="0"/>
              <w:marRight w:val="0"/>
              <w:marTop w:val="0"/>
              <w:marBottom w:val="0"/>
              <w:divBdr>
                <w:top w:val="none" w:sz="0" w:space="0" w:color="auto"/>
                <w:left w:val="none" w:sz="0" w:space="0" w:color="auto"/>
                <w:bottom w:val="none" w:sz="0" w:space="0" w:color="auto"/>
                <w:right w:val="none" w:sz="0" w:space="0" w:color="auto"/>
              </w:divBdr>
              <w:divsChild>
                <w:div w:id="510292244">
                  <w:marLeft w:val="0"/>
                  <w:marRight w:val="0"/>
                  <w:marTop w:val="0"/>
                  <w:marBottom w:val="0"/>
                  <w:divBdr>
                    <w:top w:val="none" w:sz="0" w:space="0" w:color="auto"/>
                    <w:left w:val="none" w:sz="0" w:space="0" w:color="auto"/>
                    <w:bottom w:val="none" w:sz="0" w:space="0" w:color="auto"/>
                    <w:right w:val="none" w:sz="0" w:space="0" w:color="auto"/>
                  </w:divBdr>
                </w:div>
              </w:divsChild>
            </w:div>
            <w:div w:id="1117602633">
              <w:marLeft w:val="0"/>
              <w:marRight w:val="0"/>
              <w:marTop w:val="0"/>
              <w:marBottom w:val="0"/>
              <w:divBdr>
                <w:top w:val="none" w:sz="0" w:space="0" w:color="auto"/>
                <w:left w:val="none" w:sz="0" w:space="0" w:color="auto"/>
                <w:bottom w:val="none" w:sz="0" w:space="0" w:color="auto"/>
                <w:right w:val="none" w:sz="0" w:space="0" w:color="auto"/>
              </w:divBdr>
              <w:divsChild>
                <w:div w:id="1129785552">
                  <w:marLeft w:val="0"/>
                  <w:marRight w:val="0"/>
                  <w:marTop w:val="0"/>
                  <w:marBottom w:val="0"/>
                  <w:divBdr>
                    <w:top w:val="none" w:sz="0" w:space="0" w:color="auto"/>
                    <w:left w:val="none" w:sz="0" w:space="0" w:color="auto"/>
                    <w:bottom w:val="none" w:sz="0" w:space="0" w:color="auto"/>
                    <w:right w:val="none" w:sz="0" w:space="0" w:color="auto"/>
                  </w:divBdr>
                </w:div>
              </w:divsChild>
            </w:div>
            <w:div w:id="1331103896">
              <w:marLeft w:val="0"/>
              <w:marRight w:val="0"/>
              <w:marTop w:val="0"/>
              <w:marBottom w:val="0"/>
              <w:divBdr>
                <w:top w:val="none" w:sz="0" w:space="0" w:color="auto"/>
                <w:left w:val="none" w:sz="0" w:space="0" w:color="auto"/>
                <w:bottom w:val="none" w:sz="0" w:space="0" w:color="auto"/>
                <w:right w:val="none" w:sz="0" w:space="0" w:color="auto"/>
              </w:divBdr>
              <w:divsChild>
                <w:div w:id="148988790">
                  <w:marLeft w:val="0"/>
                  <w:marRight w:val="0"/>
                  <w:marTop w:val="0"/>
                  <w:marBottom w:val="0"/>
                  <w:divBdr>
                    <w:top w:val="none" w:sz="0" w:space="0" w:color="auto"/>
                    <w:left w:val="none" w:sz="0" w:space="0" w:color="auto"/>
                    <w:bottom w:val="none" w:sz="0" w:space="0" w:color="auto"/>
                    <w:right w:val="none" w:sz="0" w:space="0" w:color="auto"/>
                  </w:divBdr>
                </w:div>
              </w:divsChild>
            </w:div>
            <w:div w:id="1426464644">
              <w:marLeft w:val="0"/>
              <w:marRight w:val="0"/>
              <w:marTop w:val="0"/>
              <w:marBottom w:val="0"/>
              <w:divBdr>
                <w:top w:val="none" w:sz="0" w:space="0" w:color="auto"/>
                <w:left w:val="none" w:sz="0" w:space="0" w:color="auto"/>
                <w:bottom w:val="none" w:sz="0" w:space="0" w:color="auto"/>
                <w:right w:val="none" w:sz="0" w:space="0" w:color="auto"/>
              </w:divBdr>
              <w:divsChild>
                <w:div w:id="1400710622">
                  <w:marLeft w:val="0"/>
                  <w:marRight w:val="0"/>
                  <w:marTop w:val="0"/>
                  <w:marBottom w:val="0"/>
                  <w:divBdr>
                    <w:top w:val="none" w:sz="0" w:space="0" w:color="auto"/>
                    <w:left w:val="none" w:sz="0" w:space="0" w:color="auto"/>
                    <w:bottom w:val="none" w:sz="0" w:space="0" w:color="auto"/>
                    <w:right w:val="none" w:sz="0" w:space="0" w:color="auto"/>
                  </w:divBdr>
                </w:div>
              </w:divsChild>
            </w:div>
            <w:div w:id="1606111203">
              <w:marLeft w:val="0"/>
              <w:marRight w:val="0"/>
              <w:marTop w:val="0"/>
              <w:marBottom w:val="0"/>
              <w:divBdr>
                <w:top w:val="none" w:sz="0" w:space="0" w:color="auto"/>
                <w:left w:val="none" w:sz="0" w:space="0" w:color="auto"/>
                <w:bottom w:val="none" w:sz="0" w:space="0" w:color="auto"/>
                <w:right w:val="none" w:sz="0" w:space="0" w:color="auto"/>
              </w:divBdr>
              <w:divsChild>
                <w:div w:id="1542550372">
                  <w:marLeft w:val="0"/>
                  <w:marRight w:val="0"/>
                  <w:marTop w:val="0"/>
                  <w:marBottom w:val="0"/>
                  <w:divBdr>
                    <w:top w:val="none" w:sz="0" w:space="0" w:color="auto"/>
                    <w:left w:val="none" w:sz="0" w:space="0" w:color="auto"/>
                    <w:bottom w:val="none" w:sz="0" w:space="0" w:color="auto"/>
                    <w:right w:val="none" w:sz="0" w:space="0" w:color="auto"/>
                  </w:divBdr>
                </w:div>
              </w:divsChild>
            </w:div>
            <w:div w:id="1779789275">
              <w:marLeft w:val="0"/>
              <w:marRight w:val="0"/>
              <w:marTop w:val="0"/>
              <w:marBottom w:val="0"/>
              <w:divBdr>
                <w:top w:val="none" w:sz="0" w:space="0" w:color="auto"/>
                <w:left w:val="none" w:sz="0" w:space="0" w:color="auto"/>
                <w:bottom w:val="none" w:sz="0" w:space="0" w:color="auto"/>
                <w:right w:val="none" w:sz="0" w:space="0" w:color="auto"/>
              </w:divBdr>
              <w:divsChild>
                <w:div w:id="1497303430">
                  <w:marLeft w:val="0"/>
                  <w:marRight w:val="0"/>
                  <w:marTop w:val="0"/>
                  <w:marBottom w:val="0"/>
                  <w:divBdr>
                    <w:top w:val="none" w:sz="0" w:space="0" w:color="auto"/>
                    <w:left w:val="none" w:sz="0" w:space="0" w:color="auto"/>
                    <w:bottom w:val="none" w:sz="0" w:space="0" w:color="auto"/>
                    <w:right w:val="none" w:sz="0" w:space="0" w:color="auto"/>
                  </w:divBdr>
                </w:div>
              </w:divsChild>
            </w:div>
            <w:div w:id="1832519688">
              <w:marLeft w:val="0"/>
              <w:marRight w:val="0"/>
              <w:marTop w:val="0"/>
              <w:marBottom w:val="0"/>
              <w:divBdr>
                <w:top w:val="none" w:sz="0" w:space="0" w:color="auto"/>
                <w:left w:val="none" w:sz="0" w:space="0" w:color="auto"/>
                <w:bottom w:val="none" w:sz="0" w:space="0" w:color="auto"/>
                <w:right w:val="none" w:sz="0" w:space="0" w:color="auto"/>
              </w:divBdr>
              <w:divsChild>
                <w:div w:id="752627004">
                  <w:marLeft w:val="0"/>
                  <w:marRight w:val="0"/>
                  <w:marTop w:val="0"/>
                  <w:marBottom w:val="0"/>
                  <w:divBdr>
                    <w:top w:val="none" w:sz="0" w:space="0" w:color="auto"/>
                    <w:left w:val="none" w:sz="0" w:space="0" w:color="auto"/>
                    <w:bottom w:val="none" w:sz="0" w:space="0" w:color="auto"/>
                    <w:right w:val="none" w:sz="0" w:space="0" w:color="auto"/>
                  </w:divBdr>
                </w:div>
              </w:divsChild>
            </w:div>
            <w:div w:id="1858151392">
              <w:marLeft w:val="0"/>
              <w:marRight w:val="0"/>
              <w:marTop w:val="0"/>
              <w:marBottom w:val="0"/>
              <w:divBdr>
                <w:top w:val="none" w:sz="0" w:space="0" w:color="auto"/>
                <w:left w:val="none" w:sz="0" w:space="0" w:color="auto"/>
                <w:bottom w:val="none" w:sz="0" w:space="0" w:color="auto"/>
                <w:right w:val="none" w:sz="0" w:space="0" w:color="auto"/>
              </w:divBdr>
              <w:divsChild>
                <w:div w:id="515729742">
                  <w:marLeft w:val="0"/>
                  <w:marRight w:val="0"/>
                  <w:marTop w:val="0"/>
                  <w:marBottom w:val="0"/>
                  <w:divBdr>
                    <w:top w:val="none" w:sz="0" w:space="0" w:color="auto"/>
                    <w:left w:val="none" w:sz="0" w:space="0" w:color="auto"/>
                    <w:bottom w:val="none" w:sz="0" w:space="0" w:color="auto"/>
                    <w:right w:val="none" w:sz="0" w:space="0" w:color="auto"/>
                  </w:divBdr>
                </w:div>
              </w:divsChild>
            </w:div>
            <w:div w:id="1959335511">
              <w:marLeft w:val="0"/>
              <w:marRight w:val="0"/>
              <w:marTop w:val="0"/>
              <w:marBottom w:val="0"/>
              <w:divBdr>
                <w:top w:val="none" w:sz="0" w:space="0" w:color="auto"/>
                <w:left w:val="none" w:sz="0" w:space="0" w:color="auto"/>
                <w:bottom w:val="none" w:sz="0" w:space="0" w:color="auto"/>
                <w:right w:val="none" w:sz="0" w:space="0" w:color="auto"/>
              </w:divBdr>
              <w:divsChild>
                <w:div w:id="8357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7112">
      <w:bodyDiv w:val="1"/>
      <w:marLeft w:val="0"/>
      <w:marRight w:val="0"/>
      <w:marTop w:val="0"/>
      <w:marBottom w:val="0"/>
      <w:divBdr>
        <w:top w:val="none" w:sz="0" w:space="0" w:color="auto"/>
        <w:left w:val="none" w:sz="0" w:space="0" w:color="auto"/>
        <w:bottom w:val="none" w:sz="0" w:space="0" w:color="auto"/>
        <w:right w:val="none" w:sz="0" w:space="0" w:color="auto"/>
      </w:divBdr>
    </w:div>
    <w:div w:id="89278621">
      <w:bodyDiv w:val="1"/>
      <w:marLeft w:val="0"/>
      <w:marRight w:val="0"/>
      <w:marTop w:val="0"/>
      <w:marBottom w:val="0"/>
      <w:divBdr>
        <w:top w:val="none" w:sz="0" w:space="0" w:color="auto"/>
        <w:left w:val="none" w:sz="0" w:space="0" w:color="auto"/>
        <w:bottom w:val="none" w:sz="0" w:space="0" w:color="auto"/>
        <w:right w:val="none" w:sz="0" w:space="0" w:color="auto"/>
      </w:divBdr>
    </w:div>
    <w:div w:id="100954717">
      <w:bodyDiv w:val="1"/>
      <w:marLeft w:val="0"/>
      <w:marRight w:val="0"/>
      <w:marTop w:val="0"/>
      <w:marBottom w:val="0"/>
      <w:divBdr>
        <w:top w:val="none" w:sz="0" w:space="0" w:color="auto"/>
        <w:left w:val="none" w:sz="0" w:space="0" w:color="auto"/>
        <w:bottom w:val="none" w:sz="0" w:space="0" w:color="auto"/>
        <w:right w:val="none" w:sz="0" w:space="0" w:color="auto"/>
      </w:divBdr>
    </w:div>
    <w:div w:id="117533569">
      <w:bodyDiv w:val="1"/>
      <w:marLeft w:val="0"/>
      <w:marRight w:val="0"/>
      <w:marTop w:val="0"/>
      <w:marBottom w:val="0"/>
      <w:divBdr>
        <w:top w:val="none" w:sz="0" w:space="0" w:color="auto"/>
        <w:left w:val="none" w:sz="0" w:space="0" w:color="auto"/>
        <w:bottom w:val="none" w:sz="0" w:space="0" w:color="auto"/>
        <w:right w:val="none" w:sz="0" w:space="0" w:color="auto"/>
      </w:divBdr>
    </w:div>
    <w:div w:id="128474983">
      <w:bodyDiv w:val="1"/>
      <w:marLeft w:val="0"/>
      <w:marRight w:val="0"/>
      <w:marTop w:val="0"/>
      <w:marBottom w:val="0"/>
      <w:divBdr>
        <w:top w:val="none" w:sz="0" w:space="0" w:color="auto"/>
        <w:left w:val="none" w:sz="0" w:space="0" w:color="auto"/>
        <w:bottom w:val="none" w:sz="0" w:space="0" w:color="auto"/>
        <w:right w:val="none" w:sz="0" w:space="0" w:color="auto"/>
      </w:divBdr>
    </w:div>
    <w:div w:id="138806509">
      <w:bodyDiv w:val="1"/>
      <w:marLeft w:val="0"/>
      <w:marRight w:val="0"/>
      <w:marTop w:val="0"/>
      <w:marBottom w:val="0"/>
      <w:divBdr>
        <w:top w:val="none" w:sz="0" w:space="0" w:color="auto"/>
        <w:left w:val="none" w:sz="0" w:space="0" w:color="auto"/>
        <w:bottom w:val="none" w:sz="0" w:space="0" w:color="auto"/>
        <w:right w:val="none" w:sz="0" w:space="0" w:color="auto"/>
      </w:divBdr>
      <w:divsChild>
        <w:div w:id="221793179">
          <w:marLeft w:val="0"/>
          <w:marRight w:val="0"/>
          <w:marTop w:val="0"/>
          <w:marBottom w:val="0"/>
          <w:divBdr>
            <w:top w:val="none" w:sz="0" w:space="0" w:color="auto"/>
            <w:left w:val="none" w:sz="0" w:space="0" w:color="auto"/>
            <w:bottom w:val="none" w:sz="0" w:space="0" w:color="auto"/>
            <w:right w:val="none" w:sz="0" w:space="0" w:color="auto"/>
          </w:divBdr>
        </w:div>
        <w:div w:id="615451759">
          <w:marLeft w:val="0"/>
          <w:marRight w:val="0"/>
          <w:marTop w:val="0"/>
          <w:marBottom w:val="0"/>
          <w:divBdr>
            <w:top w:val="none" w:sz="0" w:space="0" w:color="auto"/>
            <w:left w:val="none" w:sz="0" w:space="0" w:color="auto"/>
            <w:bottom w:val="none" w:sz="0" w:space="0" w:color="auto"/>
            <w:right w:val="none" w:sz="0" w:space="0" w:color="auto"/>
          </w:divBdr>
        </w:div>
        <w:div w:id="1064791448">
          <w:marLeft w:val="0"/>
          <w:marRight w:val="0"/>
          <w:marTop w:val="0"/>
          <w:marBottom w:val="0"/>
          <w:divBdr>
            <w:top w:val="none" w:sz="0" w:space="0" w:color="auto"/>
            <w:left w:val="none" w:sz="0" w:space="0" w:color="auto"/>
            <w:bottom w:val="none" w:sz="0" w:space="0" w:color="auto"/>
            <w:right w:val="none" w:sz="0" w:space="0" w:color="auto"/>
          </w:divBdr>
        </w:div>
        <w:div w:id="1405881532">
          <w:marLeft w:val="0"/>
          <w:marRight w:val="0"/>
          <w:marTop w:val="0"/>
          <w:marBottom w:val="0"/>
          <w:divBdr>
            <w:top w:val="none" w:sz="0" w:space="0" w:color="auto"/>
            <w:left w:val="none" w:sz="0" w:space="0" w:color="auto"/>
            <w:bottom w:val="none" w:sz="0" w:space="0" w:color="auto"/>
            <w:right w:val="none" w:sz="0" w:space="0" w:color="auto"/>
          </w:divBdr>
        </w:div>
        <w:div w:id="1579364127">
          <w:marLeft w:val="0"/>
          <w:marRight w:val="0"/>
          <w:marTop w:val="0"/>
          <w:marBottom w:val="0"/>
          <w:divBdr>
            <w:top w:val="none" w:sz="0" w:space="0" w:color="auto"/>
            <w:left w:val="none" w:sz="0" w:space="0" w:color="auto"/>
            <w:bottom w:val="none" w:sz="0" w:space="0" w:color="auto"/>
            <w:right w:val="none" w:sz="0" w:space="0" w:color="auto"/>
          </w:divBdr>
        </w:div>
        <w:div w:id="2053453904">
          <w:marLeft w:val="0"/>
          <w:marRight w:val="0"/>
          <w:marTop w:val="0"/>
          <w:marBottom w:val="0"/>
          <w:divBdr>
            <w:top w:val="none" w:sz="0" w:space="0" w:color="auto"/>
            <w:left w:val="none" w:sz="0" w:space="0" w:color="auto"/>
            <w:bottom w:val="none" w:sz="0" w:space="0" w:color="auto"/>
            <w:right w:val="none" w:sz="0" w:space="0" w:color="auto"/>
          </w:divBdr>
        </w:div>
      </w:divsChild>
    </w:div>
    <w:div w:id="152264796">
      <w:bodyDiv w:val="1"/>
      <w:marLeft w:val="0"/>
      <w:marRight w:val="0"/>
      <w:marTop w:val="0"/>
      <w:marBottom w:val="0"/>
      <w:divBdr>
        <w:top w:val="none" w:sz="0" w:space="0" w:color="auto"/>
        <w:left w:val="none" w:sz="0" w:space="0" w:color="auto"/>
        <w:bottom w:val="none" w:sz="0" w:space="0" w:color="auto"/>
        <w:right w:val="none" w:sz="0" w:space="0" w:color="auto"/>
      </w:divBdr>
    </w:div>
    <w:div w:id="154339613">
      <w:bodyDiv w:val="1"/>
      <w:marLeft w:val="0"/>
      <w:marRight w:val="0"/>
      <w:marTop w:val="0"/>
      <w:marBottom w:val="0"/>
      <w:divBdr>
        <w:top w:val="none" w:sz="0" w:space="0" w:color="auto"/>
        <w:left w:val="none" w:sz="0" w:space="0" w:color="auto"/>
        <w:bottom w:val="none" w:sz="0" w:space="0" w:color="auto"/>
        <w:right w:val="none" w:sz="0" w:space="0" w:color="auto"/>
      </w:divBdr>
    </w:div>
    <w:div w:id="184634260">
      <w:bodyDiv w:val="1"/>
      <w:marLeft w:val="0"/>
      <w:marRight w:val="0"/>
      <w:marTop w:val="0"/>
      <w:marBottom w:val="0"/>
      <w:divBdr>
        <w:top w:val="none" w:sz="0" w:space="0" w:color="auto"/>
        <w:left w:val="none" w:sz="0" w:space="0" w:color="auto"/>
        <w:bottom w:val="none" w:sz="0" w:space="0" w:color="auto"/>
        <w:right w:val="none" w:sz="0" w:space="0" w:color="auto"/>
      </w:divBdr>
      <w:divsChild>
        <w:div w:id="478618029">
          <w:marLeft w:val="0"/>
          <w:marRight w:val="0"/>
          <w:marTop w:val="0"/>
          <w:marBottom w:val="0"/>
          <w:divBdr>
            <w:top w:val="none" w:sz="0" w:space="0" w:color="auto"/>
            <w:left w:val="none" w:sz="0" w:space="0" w:color="auto"/>
            <w:bottom w:val="none" w:sz="0" w:space="0" w:color="auto"/>
            <w:right w:val="none" w:sz="0" w:space="0" w:color="auto"/>
          </w:divBdr>
        </w:div>
        <w:div w:id="2080319315">
          <w:marLeft w:val="0"/>
          <w:marRight w:val="0"/>
          <w:marTop w:val="0"/>
          <w:marBottom w:val="0"/>
          <w:divBdr>
            <w:top w:val="none" w:sz="0" w:space="0" w:color="auto"/>
            <w:left w:val="none" w:sz="0" w:space="0" w:color="auto"/>
            <w:bottom w:val="none" w:sz="0" w:space="0" w:color="auto"/>
            <w:right w:val="none" w:sz="0" w:space="0" w:color="auto"/>
          </w:divBdr>
          <w:divsChild>
            <w:div w:id="1480658881">
              <w:marLeft w:val="0"/>
              <w:marRight w:val="0"/>
              <w:marTop w:val="0"/>
              <w:marBottom w:val="0"/>
              <w:divBdr>
                <w:top w:val="none" w:sz="0" w:space="0" w:color="auto"/>
                <w:left w:val="none" w:sz="0" w:space="0" w:color="auto"/>
                <w:bottom w:val="none" w:sz="0" w:space="0" w:color="auto"/>
                <w:right w:val="none" w:sz="0" w:space="0" w:color="auto"/>
              </w:divBdr>
            </w:div>
            <w:div w:id="1607689456">
              <w:marLeft w:val="0"/>
              <w:marRight w:val="0"/>
              <w:marTop w:val="0"/>
              <w:marBottom w:val="0"/>
              <w:divBdr>
                <w:top w:val="none" w:sz="0" w:space="0" w:color="auto"/>
                <w:left w:val="none" w:sz="0" w:space="0" w:color="auto"/>
                <w:bottom w:val="none" w:sz="0" w:space="0" w:color="auto"/>
                <w:right w:val="none" w:sz="0" w:space="0" w:color="auto"/>
              </w:divBdr>
            </w:div>
            <w:div w:id="1651787770">
              <w:marLeft w:val="0"/>
              <w:marRight w:val="0"/>
              <w:marTop w:val="0"/>
              <w:marBottom w:val="0"/>
              <w:divBdr>
                <w:top w:val="none" w:sz="0" w:space="0" w:color="auto"/>
                <w:left w:val="none" w:sz="0" w:space="0" w:color="auto"/>
                <w:bottom w:val="none" w:sz="0" w:space="0" w:color="auto"/>
                <w:right w:val="none" w:sz="0" w:space="0" w:color="auto"/>
              </w:divBdr>
            </w:div>
            <w:div w:id="1860197094">
              <w:marLeft w:val="0"/>
              <w:marRight w:val="0"/>
              <w:marTop w:val="0"/>
              <w:marBottom w:val="0"/>
              <w:divBdr>
                <w:top w:val="none" w:sz="0" w:space="0" w:color="auto"/>
                <w:left w:val="none" w:sz="0" w:space="0" w:color="auto"/>
                <w:bottom w:val="none" w:sz="0" w:space="0" w:color="auto"/>
                <w:right w:val="none" w:sz="0" w:space="0" w:color="auto"/>
              </w:divBdr>
            </w:div>
            <w:div w:id="20307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62516">
      <w:bodyDiv w:val="1"/>
      <w:marLeft w:val="0"/>
      <w:marRight w:val="0"/>
      <w:marTop w:val="0"/>
      <w:marBottom w:val="0"/>
      <w:divBdr>
        <w:top w:val="none" w:sz="0" w:space="0" w:color="auto"/>
        <w:left w:val="none" w:sz="0" w:space="0" w:color="auto"/>
        <w:bottom w:val="none" w:sz="0" w:space="0" w:color="auto"/>
        <w:right w:val="none" w:sz="0" w:space="0" w:color="auto"/>
      </w:divBdr>
      <w:divsChild>
        <w:div w:id="399183032">
          <w:marLeft w:val="0"/>
          <w:marRight w:val="0"/>
          <w:marTop w:val="0"/>
          <w:marBottom w:val="0"/>
          <w:divBdr>
            <w:top w:val="none" w:sz="0" w:space="0" w:color="auto"/>
            <w:left w:val="none" w:sz="0" w:space="0" w:color="auto"/>
            <w:bottom w:val="none" w:sz="0" w:space="0" w:color="auto"/>
            <w:right w:val="none" w:sz="0" w:space="0" w:color="auto"/>
          </w:divBdr>
        </w:div>
        <w:div w:id="483161190">
          <w:marLeft w:val="0"/>
          <w:marRight w:val="0"/>
          <w:marTop w:val="0"/>
          <w:marBottom w:val="0"/>
          <w:divBdr>
            <w:top w:val="none" w:sz="0" w:space="0" w:color="auto"/>
            <w:left w:val="none" w:sz="0" w:space="0" w:color="auto"/>
            <w:bottom w:val="none" w:sz="0" w:space="0" w:color="auto"/>
            <w:right w:val="none" w:sz="0" w:space="0" w:color="auto"/>
          </w:divBdr>
        </w:div>
        <w:div w:id="807551306">
          <w:marLeft w:val="0"/>
          <w:marRight w:val="0"/>
          <w:marTop w:val="0"/>
          <w:marBottom w:val="0"/>
          <w:divBdr>
            <w:top w:val="none" w:sz="0" w:space="0" w:color="auto"/>
            <w:left w:val="none" w:sz="0" w:space="0" w:color="auto"/>
            <w:bottom w:val="none" w:sz="0" w:space="0" w:color="auto"/>
            <w:right w:val="none" w:sz="0" w:space="0" w:color="auto"/>
          </w:divBdr>
        </w:div>
        <w:div w:id="932398040">
          <w:marLeft w:val="0"/>
          <w:marRight w:val="0"/>
          <w:marTop w:val="0"/>
          <w:marBottom w:val="0"/>
          <w:divBdr>
            <w:top w:val="none" w:sz="0" w:space="0" w:color="auto"/>
            <w:left w:val="none" w:sz="0" w:space="0" w:color="auto"/>
            <w:bottom w:val="none" w:sz="0" w:space="0" w:color="auto"/>
            <w:right w:val="none" w:sz="0" w:space="0" w:color="auto"/>
          </w:divBdr>
        </w:div>
        <w:div w:id="1569924241">
          <w:marLeft w:val="0"/>
          <w:marRight w:val="0"/>
          <w:marTop w:val="0"/>
          <w:marBottom w:val="0"/>
          <w:divBdr>
            <w:top w:val="none" w:sz="0" w:space="0" w:color="auto"/>
            <w:left w:val="none" w:sz="0" w:space="0" w:color="auto"/>
            <w:bottom w:val="none" w:sz="0" w:space="0" w:color="auto"/>
            <w:right w:val="none" w:sz="0" w:space="0" w:color="auto"/>
          </w:divBdr>
        </w:div>
        <w:div w:id="1628857071">
          <w:marLeft w:val="0"/>
          <w:marRight w:val="0"/>
          <w:marTop w:val="0"/>
          <w:marBottom w:val="0"/>
          <w:divBdr>
            <w:top w:val="none" w:sz="0" w:space="0" w:color="auto"/>
            <w:left w:val="none" w:sz="0" w:space="0" w:color="auto"/>
            <w:bottom w:val="none" w:sz="0" w:space="0" w:color="auto"/>
            <w:right w:val="none" w:sz="0" w:space="0" w:color="auto"/>
          </w:divBdr>
        </w:div>
        <w:div w:id="1792550731">
          <w:marLeft w:val="0"/>
          <w:marRight w:val="0"/>
          <w:marTop w:val="0"/>
          <w:marBottom w:val="0"/>
          <w:divBdr>
            <w:top w:val="none" w:sz="0" w:space="0" w:color="auto"/>
            <w:left w:val="none" w:sz="0" w:space="0" w:color="auto"/>
            <w:bottom w:val="none" w:sz="0" w:space="0" w:color="auto"/>
            <w:right w:val="none" w:sz="0" w:space="0" w:color="auto"/>
          </w:divBdr>
        </w:div>
        <w:div w:id="1900751408">
          <w:marLeft w:val="0"/>
          <w:marRight w:val="0"/>
          <w:marTop w:val="0"/>
          <w:marBottom w:val="0"/>
          <w:divBdr>
            <w:top w:val="none" w:sz="0" w:space="0" w:color="auto"/>
            <w:left w:val="none" w:sz="0" w:space="0" w:color="auto"/>
            <w:bottom w:val="none" w:sz="0" w:space="0" w:color="auto"/>
            <w:right w:val="none" w:sz="0" w:space="0" w:color="auto"/>
          </w:divBdr>
        </w:div>
      </w:divsChild>
    </w:div>
    <w:div w:id="278033491">
      <w:bodyDiv w:val="1"/>
      <w:marLeft w:val="0"/>
      <w:marRight w:val="0"/>
      <w:marTop w:val="0"/>
      <w:marBottom w:val="0"/>
      <w:divBdr>
        <w:top w:val="none" w:sz="0" w:space="0" w:color="auto"/>
        <w:left w:val="none" w:sz="0" w:space="0" w:color="auto"/>
        <w:bottom w:val="none" w:sz="0" w:space="0" w:color="auto"/>
        <w:right w:val="none" w:sz="0" w:space="0" w:color="auto"/>
      </w:divBdr>
      <w:divsChild>
        <w:div w:id="264272950">
          <w:marLeft w:val="0"/>
          <w:marRight w:val="0"/>
          <w:marTop w:val="0"/>
          <w:marBottom w:val="0"/>
          <w:divBdr>
            <w:top w:val="none" w:sz="0" w:space="0" w:color="auto"/>
            <w:left w:val="none" w:sz="0" w:space="0" w:color="auto"/>
            <w:bottom w:val="none" w:sz="0" w:space="0" w:color="auto"/>
            <w:right w:val="none" w:sz="0" w:space="0" w:color="auto"/>
          </w:divBdr>
          <w:divsChild>
            <w:div w:id="118379903">
              <w:marLeft w:val="0"/>
              <w:marRight w:val="0"/>
              <w:marTop w:val="0"/>
              <w:marBottom w:val="0"/>
              <w:divBdr>
                <w:top w:val="none" w:sz="0" w:space="0" w:color="auto"/>
                <w:left w:val="none" w:sz="0" w:space="0" w:color="auto"/>
                <w:bottom w:val="none" w:sz="0" w:space="0" w:color="auto"/>
                <w:right w:val="none" w:sz="0" w:space="0" w:color="auto"/>
              </w:divBdr>
            </w:div>
            <w:div w:id="1236086223">
              <w:marLeft w:val="0"/>
              <w:marRight w:val="0"/>
              <w:marTop w:val="0"/>
              <w:marBottom w:val="0"/>
              <w:divBdr>
                <w:top w:val="none" w:sz="0" w:space="0" w:color="auto"/>
                <w:left w:val="none" w:sz="0" w:space="0" w:color="auto"/>
                <w:bottom w:val="none" w:sz="0" w:space="0" w:color="auto"/>
                <w:right w:val="none" w:sz="0" w:space="0" w:color="auto"/>
              </w:divBdr>
            </w:div>
            <w:div w:id="1290668697">
              <w:marLeft w:val="0"/>
              <w:marRight w:val="0"/>
              <w:marTop w:val="0"/>
              <w:marBottom w:val="0"/>
              <w:divBdr>
                <w:top w:val="none" w:sz="0" w:space="0" w:color="auto"/>
                <w:left w:val="none" w:sz="0" w:space="0" w:color="auto"/>
                <w:bottom w:val="none" w:sz="0" w:space="0" w:color="auto"/>
                <w:right w:val="none" w:sz="0" w:space="0" w:color="auto"/>
              </w:divBdr>
            </w:div>
          </w:divsChild>
        </w:div>
        <w:div w:id="1052386670">
          <w:marLeft w:val="0"/>
          <w:marRight w:val="0"/>
          <w:marTop w:val="0"/>
          <w:marBottom w:val="0"/>
          <w:divBdr>
            <w:top w:val="none" w:sz="0" w:space="0" w:color="auto"/>
            <w:left w:val="none" w:sz="0" w:space="0" w:color="auto"/>
            <w:bottom w:val="none" w:sz="0" w:space="0" w:color="auto"/>
            <w:right w:val="none" w:sz="0" w:space="0" w:color="auto"/>
          </w:divBdr>
          <w:divsChild>
            <w:div w:id="86780205">
              <w:marLeft w:val="0"/>
              <w:marRight w:val="0"/>
              <w:marTop w:val="0"/>
              <w:marBottom w:val="0"/>
              <w:divBdr>
                <w:top w:val="none" w:sz="0" w:space="0" w:color="auto"/>
                <w:left w:val="none" w:sz="0" w:space="0" w:color="auto"/>
                <w:bottom w:val="none" w:sz="0" w:space="0" w:color="auto"/>
                <w:right w:val="none" w:sz="0" w:space="0" w:color="auto"/>
              </w:divBdr>
            </w:div>
            <w:div w:id="1974093612">
              <w:marLeft w:val="0"/>
              <w:marRight w:val="0"/>
              <w:marTop w:val="0"/>
              <w:marBottom w:val="0"/>
              <w:divBdr>
                <w:top w:val="none" w:sz="0" w:space="0" w:color="auto"/>
                <w:left w:val="none" w:sz="0" w:space="0" w:color="auto"/>
                <w:bottom w:val="none" w:sz="0" w:space="0" w:color="auto"/>
                <w:right w:val="none" w:sz="0" w:space="0" w:color="auto"/>
              </w:divBdr>
            </w:div>
            <w:div w:id="207901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3584">
      <w:bodyDiv w:val="1"/>
      <w:marLeft w:val="0"/>
      <w:marRight w:val="0"/>
      <w:marTop w:val="0"/>
      <w:marBottom w:val="0"/>
      <w:divBdr>
        <w:top w:val="none" w:sz="0" w:space="0" w:color="auto"/>
        <w:left w:val="none" w:sz="0" w:space="0" w:color="auto"/>
        <w:bottom w:val="none" w:sz="0" w:space="0" w:color="auto"/>
        <w:right w:val="none" w:sz="0" w:space="0" w:color="auto"/>
      </w:divBdr>
      <w:divsChild>
        <w:div w:id="779186922">
          <w:marLeft w:val="0"/>
          <w:marRight w:val="0"/>
          <w:marTop w:val="0"/>
          <w:marBottom w:val="0"/>
          <w:divBdr>
            <w:top w:val="none" w:sz="0" w:space="0" w:color="auto"/>
            <w:left w:val="none" w:sz="0" w:space="0" w:color="auto"/>
            <w:bottom w:val="none" w:sz="0" w:space="0" w:color="auto"/>
            <w:right w:val="none" w:sz="0" w:space="0" w:color="auto"/>
          </w:divBdr>
        </w:div>
        <w:div w:id="864824524">
          <w:marLeft w:val="0"/>
          <w:marRight w:val="0"/>
          <w:marTop w:val="0"/>
          <w:marBottom w:val="0"/>
          <w:divBdr>
            <w:top w:val="none" w:sz="0" w:space="0" w:color="auto"/>
            <w:left w:val="none" w:sz="0" w:space="0" w:color="auto"/>
            <w:bottom w:val="none" w:sz="0" w:space="0" w:color="auto"/>
            <w:right w:val="none" w:sz="0" w:space="0" w:color="auto"/>
          </w:divBdr>
        </w:div>
      </w:divsChild>
    </w:div>
    <w:div w:id="281615411">
      <w:bodyDiv w:val="1"/>
      <w:marLeft w:val="0"/>
      <w:marRight w:val="0"/>
      <w:marTop w:val="0"/>
      <w:marBottom w:val="0"/>
      <w:divBdr>
        <w:top w:val="none" w:sz="0" w:space="0" w:color="auto"/>
        <w:left w:val="none" w:sz="0" w:space="0" w:color="auto"/>
        <w:bottom w:val="none" w:sz="0" w:space="0" w:color="auto"/>
        <w:right w:val="none" w:sz="0" w:space="0" w:color="auto"/>
      </w:divBdr>
    </w:div>
    <w:div w:id="285820026">
      <w:bodyDiv w:val="1"/>
      <w:marLeft w:val="0"/>
      <w:marRight w:val="0"/>
      <w:marTop w:val="0"/>
      <w:marBottom w:val="0"/>
      <w:divBdr>
        <w:top w:val="none" w:sz="0" w:space="0" w:color="auto"/>
        <w:left w:val="none" w:sz="0" w:space="0" w:color="auto"/>
        <w:bottom w:val="none" w:sz="0" w:space="0" w:color="auto"/>
        <w:right w:val="none" w:sz="0" w:space="0" w:color="auto"/>
      </w:divBdr>
    </w:div>
    <w:div w:id="316737594">
      <w:bodyDiv w:val="1"/>
      <w:marLeft w:val="0"/>
      <w:marRight w:val="0"/>
      <w:marTop w:val="0"/>
      <w:marBottom w:val="0"/>
      <w:divBdr>
        <w:top w:val="none" w:sz="0" w:space="0" w:color="auto"/>
        <w:left w:val="none" w:sz="0" w:space="0" w:color="auto"/>
        <w:bottom w:val="none" w:sz="0" w:space="0" w:color="auto"/>
        <w:right w:val="none" w:sz="0" w:space="0" w:color="auto"/>
      </w:divBdr>
    </w:div>
    <w:div w:id="327950921">
      <w:bodyDiv w:val="1"/>
      <w:marLeft w:val="0"/>
      <w:marRight w:val="0"/>
      <w:marTop w:val="0"/>
      <w:marBottom w:val="0"/>
      <w:divBdr>
        <w:top w:val="none" w:sz="0" w:space="0" w:color="auto"/>
        <w:left w:val="none" w:sz="0" w:space="0" w:color="auto"/>
        <w:bottom w:val="none" w:sz="0" w:space="0" w:color="auto"/>
        <w:right w:val="none" w:sz="0" w:space="0" w:color="auto"/>
      </w:divBdr>
      <w:divsChild>
        <w:div w:id="1243758191">
          <w:marLeft w:val="0"/>
          <w:marRight w:val="0"/>
          <w:marTop w:val="0"/>
          <w:marBottom w:val="0"/>
          <w:divBdr>
            <w:top w:val="none" w:sz="0" w:space="0" w:color="auto"/>
            <w:left w:val="none" w:sz="0" w:space="0" w:color="auto"/>
            <w:bottom w:val="none" w:sz="0" w:space="0" w:color="auto"/>
            <w:right w:val="none" w:sz="0" w:space="0" w:color="auto"/>
          </w:divBdr>
        </w:div>
        <w:div w:id="1396851222">
          <w:marLeft w:val="0"/>
          <w:marRight w:val="0"/>
          <w:marTop w:val="0"/>
          <w:marBottom w:val="0"/>
          <w:divBdr>
            <w:top w:val="none" w:sz="0" w:space="0" w:color="auto"/>
            <w:left w:val="none" w:sz="0" w:space="0" w:color="auto"/>
            <w:bottom w:val="none" w:sz="0" w:space="0" w:color="auto"/>
            <w:right w:val="none" w:sz="0" w:space="0" w:color="auto"/>
          </w:divBdr>
        </w:div>
        <w:div w:id="1400590025">
          <w:marLeft w:val="0"/>
          <w:marRight w:val="0"/>
          <w:marTop w:val="0"/>
          <w:marBottom w:val="0"/>
          <w:divBdr>
            <w:top w:val="none" w:sz="0" w:space="0" w:color="auto"/>
            <w:left w:val="none" w:sz="0" w:space="0" w:color="auto"/>
            <w:bottom w:val="none" w:sz="0" w:space="0" w:color="auto"/>
            <w:right w:val="none" w:sz="0" w:space="0" w:color="auto"/>
          </w:divBdr>
        </w:div>
        <w:div w:id="1472020995">
          <w:marLeft w:val="0"/>
          <w:marRight w:val="0"/>
          <w:marTop w:val="0"/>
          <w:marBottom w:val="0"/>
          <w:divBdr>
            <w:top w:val="none" w:sz="0" w:space="0" w:color="auto"/>
            <w:left w:val="none" w:sz="0" w:space="0" w:color="auto"/>
            <w:bottom w:val="none" w:sz="0" w:space="0" w:color="auto"/>
            <w:right w:val="none" w:sz="0" w:space="0" w:color="auto"/>
          </w:divBdr>
        </w:div>
      </w:divsChild>
    </w:div>
    <w:div w:id="340547984">
      <w:bodyDiv w:val="1"/>
      <w:marLeft w:val="0"/>
      <w:marRight w:val="0"/>
      <w:marTop w:val="0"/>
      <w:marBottom w:val="0"/>
      <w:divBdr>
        <w:top w:val="none" w:sz="0" w:space="0" w:color="auto"/>
        <w:left w:val="none" w:sz="0" w:space="0" w:color="auto"/>
        <w:bottom w:val="none" w:sz="0" w:space="0" w:color="auto"/>
        <w:right w:val="none" w:sz="0" w:space="0" w:color="auto"/>
      </w:divBdr>
      <w:divsChild>
        <w:div w:id="9648093">
          <w:marLeft w:val="0"/>
          <w:marRight w:val="0"/>
          <w:marTop w:val="0"/>
          <w:marBottom w:val="0"/>
          <w:divBdr>
            <w:top w:val="none" w:sz="0" w:space="0" w:color="auto"/>
            <w:left w:val="none" w:sz="0" w:space="0" w:color="auto"/>
            <w:bottom w:val="none" w:sz="0" w:space="0" w:color="auto"/>
            <w:right w:val="none" w:sz="0" w:space="0" w:color="auto"/>
          </w:divBdr>
        </w:div>
        <w:div w:id="685787266">
          <w:marLeft w:val="0"/>
          <w:marRight w:val="0"/>
          <w:marTop w:val="0"/>
          <w:marBottom w:val="0"/>
          <w:divBdr>
            <w:top w:val="none" w:sz="0" w:space="0" w:color="auto"/>
            <w:left w:val="none" w:sz="0" w:space="0" w:color="auto"/>
            <w:bottom w:val="none" w:sz="0" w:space="0" w:color="auto"/>
            <w:right w:val="none" w:sz="0" w:space="0" w:color="auto"/>
          </w:divBdr>
        </w:div>
        <w:div w:id="903226155">
          <w:marLeft w:val="0"/>
          <w:marRight w:val="0"/>
          <w:marTop w:val="0"/>
          <w:marBottom w:val="0"/>
          <w:divBdr>
            <w:top w:val="none" w:sz="0" w:space="0" w:color="auto"/>
            <w:left w:val="none" w:sz="0" w:space="0" w:color="auto"/>
            <w:bottom w:val="none" w:sz="0" w:space="0" w:color="auto"/>
            <w:right w:val="none" w:sz="0" w:space="0" w:color="auto"/>
          </w:divBdr>
        </w:div>
        <w:div w:id="924072302">
          <w:marLeft w:val="0"/>
          <w:marRight w:val="0"/>
          <w:marTop w:val="0"/>
          <w:marBottom w:val="0"/>
          <w:divBdr>
            <w:top w:val="none" w:sz="0" w:space="0" w:color="auto"/>
            <w:left w:val="none" w:sz="0" w:space="0" w:color="auto"/>
            <w:bottom w:val="none" w:sz="0" w:space="0" w:color="auto"/>
            <w:right w:val="none" w:sz="0" w:space="0" w:color="auto"/>
          </w:divBdr>
        </w:div>
        <w:div w:id="1025641453">
          <w:marLeft w:val="0"/>
          <w:marRight w:val="0"/>
          <w:marTop w:val="0"/>
          <w:marBottom w:val="0"/>
          <w:divBdr>
            <w:top w:val="none" w:sz="0" w:space="0" w:color="auto"/>
            <w:left w:val="none" w:sz="0" w:space="0" w:color="auto"/>
            <w:bottom w:val="none" w:sz="0" w:space="0" w:color="auto"/>
            <w:right w:val="none" w:sz="0" w:space="0" w:color="auto"/>
          </w:divBdr>
        </w:div>
        <w:div w:id="1613322571">
          <w:marLeft w:val="0"/>
          <w:marRight w:val="0"/>
          <w:marTop w:val="0"/>
          <w:marBottom w:val="0"/>
          <w:divBdr>
            <w:top w:val="none" w:sz="0" w:space="0" w:color="auto"/>
            <w:left w:val="none" w:sz="0" w:space="0" w:color="auto"/>
            <w:bottom w:val="none" w:sz="0" w:space="0" w:color="auto"/>
            <w:right w:val="none" w:sz="0" w:space="0" w:color="auto"/>
          </w:divBdr>
        </w:div>
        <w:div w:id="1645961967">
          <w:marLeft w:val="0"/>
          <w:marRight w:val="0"/>
          <w:marTop w:val="0"/>
          <w:marBottom w:val="0"/>
          <w:divBdr>
            <w:top w:val="none" w:sz="0" w:space="0" w:color="auto"/>
            <w:left w:val="none" w:sz="0" w:space="0" w:color="auto"/>
            <w:bottom w:val="none" w:sz="0" w:space="0" w:color="auto"/>
            <w:right w:val="none" w:sz="0" w:space="0" w:color="auto"/>
          </w:divBdr>
        </w:div>
        <w:div w:id="2079741655">
          <w:marLeft w:val="0"/>
          <w:marRight w:val="0"/>
          <w:marTop w:val="0"/>
          <w:marBottom w:val="0"/>
          <w:divBdr>
            <w:top w:val="none" w:sz="0" w:space="0" w:color="auto"/>
            <w:left w:val="none" w:sz="0" w:space="0" w:color="auto"/>
            <w:bottom w:val="none" w:sz="0" w:space="0" w:color="auto"/>
            <w:right w:val="none" w:sz="0" w:space="0" w:color="auto"/>
          </w:divBdr>
        </w:div>
      </w:divsChild>
    </w:div>
    <w:div w:id="344673356">
      <w:bodyDiv w:val="1"/>
      <w:marLeft w:val="0"/>
      <w:marRight w:val="0"/>
      <w:marTop w:val="0"/>
      <w:marBottom w:val="0"/>
      <w:divBdr>
        <w:top w:val="none" w:sz="0" w:space="0" w:color="auto"/>
        <w:left w:val="none" w:sz="0" w:space="0" w:color="auto"/>
        <w:bottom w:val="none" w:sz="0" w:space="0" w:color="auto"/>
        <w:right w:val="none" w:sz="0" w:space="0" w:color="auto"/>
      </w:divBdr>
    </w:div>
    <w:div w:id="362367002">
      <w:bodyDiv w:val="1"/>
      <w:marLeft w:val="0"/>
      <w:marRight w:val="0"/>
      <w:marTop w:val="0"/>
      <w:marBottom w:val="0"/>
      <w:divBdr>
        <w:top w:val="none" w:sz="0" w:space="0" w:color="auto"/>
        <w:left w:val="none" w:sz="0" w:space="0" w:color="auto"/>
        <w:bottom w:val="none" w:sz="0" w:space="0" w:color="auto"/>
        <w:right w:val="none" w:sz="0" w:space="0" w:color="auto"/>
      </w:divBdr>
      <w:divsChild>
        <w:div w:id="55589476">
          <w:marLeft w:val="0"/>
          <w:marRight w:val="0"/>
          <w:marTop w:val="0"/>
          <w:marBottom w:val="0"/>
          <w:divBdr>
            <w:top w:val="none" w:sz="0" w:space="0" w:color="auto"/>
            <w:left w:val="none" w:sz="0" w:space="0" w:color="auto"/>
            <w:bottom w:val="none" w:sz="0" w:space="0" w:color="auto"/>
            <w:right w:val="none" w:sz="0" w:space="0" w:color="auto"/>
          </w:divBdr>
        </w:div>
        <w:div w:id="70155439">
          <w:marLeft w:val="0"/>
          <w:marRight w:val="0"/>
          <w:marTop w:val="0"/>
          <w:marBottom w:val="0"/>
          <w:divBdr>
            <w:top w:val="none" w:sz="0" w:space="0" w:color="auto"/>
            <w:left w:val="none" w:sz="0" w:space="0" w:color="auto"/>
            <w:bottom w:val="none" w:sz="0" w:space="0" w:color="auto"/>
            <w:right w:val="none" w:sz="0" w:space="0" w:color="auto"/>
          </w:divBdr>
        </w:div>
        <w:div w:id="196626203">
          <w:marLeft w:val="0"/>
          <w:marRight w:val="0"/>
          <w:marTop w:val="0"/>
          <w:marBottom w:val="0"/>
          <w:divBdr>
            <w:top w:val="none" w:sz="0" w:space="0" w:color="auto"/>
            <w:left w:val="none" w:sz="0" w:space="0" w:color="auto"/>
            <w:bottom w:val="none" w:sz="0" w:space="0" w:color="auto"/>
            <w:right w:val="none" w:sz="0" w:space="0" w:color="auto"/>
          </w:divBdr>
        </w:div>
        <w:div w:id="221714004">
          <w:marLeft w:val="0"/>
          <w:marRight w:val="0"/>
          <w:marTop w:val="0"/>
          <w:marBottom w:val="0"/>
          <w:divBdr>
            <w:top w:val="none" w:sz="0" w:space="0" w:color="auto"/>
            <w:left w:val="none" w:sz="0" w:space="0" w:color="auto"/>
            <w:bottom w:val="none" w:sz="0" w:space="0" w:color="auto"/>
            <w:right w:val="none" w:sz="0" w:space="0" w:color="auto"/>
          </w:divBdr>
        </w:div>
        <w:div w:id="295919270">
          <w:marLeft w:val="0"/>
          <w:marRight w:val="0"/>
          <w:marTop w:val="0"/>
          <w:marBottom w:val="0"/>
          <w:divBdr>
            <w:top w:val="none" w:sz="0" w:space="0" w:color="auto"/>
            <w:left w:val="none" w:sz="0" w:space="0" w:color="auto"/>
            <w:bottom w:val="none" w:sz="0" w:space="0" w:color="auto"/>
            <w:right w:val="none" w:sz="0" w:space="0" w:color="auto"/>
          </w:divBdr>
        </w:div>
        <w:div w:id="308481518">
          <w:marLeft w:val="0"/>
          <w:marRight w:val="0"/>
          <w:marTop w:val="0"/>
          <w:marBottom w:val="0"/>
          <w:divBdr>
            <w:top w:val="none" w:sz="0" w:space="0" w:color="auto"/>
            <w:left w:val="none" w:sz="0" w:space="0" w:color="auto"/>
            <w:bottom w:val="none" w:sz="0" w:space="0" w:color="auto"/>
            <w:right w:val="none" w:sz="0" w:space="0" w:color="auto"/>
          </w:divBdr>
        </w:div>
        <w:div w:id="321274887">
          <w:marLeft w:val="0"/>
          <w:marRight w:val="0"/>
          <w:marTop w:val="0"/>
          <w:marBottom w:val="0"/>
          <w:divBdr>
            <w:top w:val="none" w:sz="0" w:space="0" w:color="auto"/>
            <w:left w:val="none" w:sz="0" w:space="0" w:color="auto"/>
            <w:bottom w:val="none" w:sz="0" w:space="0" w:color="auto"/>
            <w:right w:val="none" w:sz="0" w:space="0" w:color="auto"/>
          </w:divBdr>
        </w:div>
        <w:div w:id="343360382">
          <w:marLeft w:val="0"/>
          <w:marRight w:val="0"/>
          <w:marTop w:val="0"/>
          <w:marBottom w:val="0"/>
          <w:divBdr>
            <w:top w:val="none" w:sz="0" w:space="0" w:color="auto"/>
            <w:left w:val="none" w:sz="0" w:space="0" w:color="auto"/>
            <w:bottom w:val="none" w:sz="0" w:space="0" w:color="auto"/>
            <w:right w:val="none" w:sz="0" w:space="0" w:color="auto"/>
          </w:divBdr>
        </w:div>
        <w:div w:id="417022131">
          <w:marLeft w:val="0"/>
          <w:marRight w:val="0"/>
          <w:marTop w:val="0"/>
          <w:marBottom w:val="0"/>
          <w:divBdr>
            <w:top w:val="none" w:sz="0" w:space="0" w:color="auto"/>
            <w:left w:val="none" w:sz="0" w:space="0" w:color="auto"/>
            <w:bottom w:val="none" w:sz="0" w:space="0" w:color="auto"/>
            <w:right w:val="none" w:sz="0" w:space="0" w:color="auto"/>
          </w:divBdr>
        </w:div>
        <w:div w:id="509612108">
          <w:marLeft w:val="0"/>
          <w:marRight w:val="0"/>
          <w:marTop w:val="0"/>
          <w:marBottom w:val="0"/>
          <w:divBdr>
            <w:top w:val="none" w:sz="0" w:space="0" w:color="auto"/>
            <w:left w:val="none" w:sz="0" w:space="0" w:color="auto"/>
            <w:bottom w:val="none" w:sz="0" w:space="0" w:color="auto"/>
            <w:right w:val="none" w:sz="0" w:space="0" w:color="auto"/>
          </w:divBdr>
        </w:div>
        <w:div w:id="517697773">
          <w:marLeft w:val="0"/>
          <w:marRight w:val="0"/>
          <w:marTop w:val="0"/>
          <w:marBottom w:val="0"/>
          <w:divBdr>
            <w:top w:val="none" w:sz="0" w:space="0" w:color="auto"/>
            <w:left w:val="none" w:sz="0" w:space="0" w:color="auto"/>
            <w:bottom w:val="none" w:sz="0" w:space="0" w:color="auto"/>
            <w:right w:val="none" w:sz="0" w:space="0" w:color="auto"/>
          </w:divBdr>
        </w:div>
        <w:div w:id="526023092">
          <w:marLeft w:val="0"/>
          <w:marRight w:val="0"/>
          <w:marTop w:val="0"/>
          <w:marBottom w:val="0"/>
          <w:divBdr>
            <w:top w:val="none" w:sz="0" w:space="0" w:color="auto"/>
            <w:left w:val="none" w:sz="0" w:space="0" w:color="auto"/>
            <w:bottom w:val="none" w:sz="0" w:space="0" w:color="auto"/>
            <w:right w:val="none" w:sz="0" w:space="0" w:color="auto"/>
          </w:divBdr>
        </w:div>
        <w:div w:id="538126584">
          <w:marLeft w:val="0"/>
          <w:marRight w:val="0"/>
          <w:marTop w:val="0"/>
          <w:marBottom w:val="0"/>
          <w:divBdr>
            <w:top w:val="none" w:sz="0" w:space="0" w:color="auto"/>
            <w:left w:val="none" w:sz="0" w:space="0" w:color="auto"/>
            <w:bottom w:val="none" w:sz="0" w:space="0" w:color="auto"/>
            <w:right w:val="none" w:sz="0" w:space="0" w:color="auto"/>
          </w:divBdr>
        </w:div>
        <w:div w:id="572931254">
          <w:marLeft w:val="0"/>
          <w:marRight w:val="0"/>
          <w:marTop w:val="0"/>
          <w:marBottom w:val="0"/>
          <w:divBdr>
            <w:top w:val="none" w:sz="0" w:space="0" w:color="auto"/>
            <w:left w:val="none" w:sz="0" w:space="0" w:color="auto"/>
            <w:bottom w:val="none" w:sz="0" w:space="0" w:color="auto"/>
            <w:right w:val="none" w:sz="0" w:space="0" w:color="auto"/>
          </w:divBdr>
        </w:div>
        <w:div w:id="590427377">
          <w:marLeft w:val="0"/>
          <w:marRight w:val="0"/>
          <w:marTop w:val="0"/>
          <w:marBottom w:val="0"/>
          <w:divBdr>
            <w:top w:val="none" w:sz="0" w:space="0" w:color="auto"/>
            <w:left w:val="none" w:sz="0" w:space="0" w:color="auto"/>
            <w:bottom w:val="none" w:sz="0" w:space="0" w:color="auto"/>
            <w:right w:val="none" w:sz="0" w:space="0" w:color="auto"/>
          </w:divBdr>
        </w:div>
        <w:div w:id="593905128">
          <w:marLeft w:val="0"/>
          <w:marRight w:val="0"/>
          <w:marTop w:val="0"/>
          <w:marBottom w:val="0"/>
          <w:divBdr>
            <w:top w:val="none" w:sz="0" w:space="0" w:color="auto"/>
            <w:left w:val="none" w:sz="0" w:space="0" w:color="auto"/>
            <w:bottom w:val="none" w:sz="0" w:space="0" w:color="auto"/>
            <w:right w:val="none" w:sz="0" w:space="0" w:color="auto"/>
          </w:divBdr>
        </w:div>
        <w:div w:id="648902968">
          <w:marLeft w:val="0"/>
          <w:marRight w:val="0"/>
          <w:marTop w:val="0"/>
          <w:marBottom w:val="0"/>
          <w:divBdr>
            <w:top w:val="none" w:sz="0" w:space="0" w:color="auto"/>
            <w:left w:val="none" w:sz="0" w:space="0" w:color="auto"/>
            <w:bottom w:val="none" w:sz="0" w:space="0" w:color="auto"/>
            <w:right w:val="none" w:sz="0" w:space="0" w:color="auto"/>
          </w:divBdr>
        </w:div>
        <w:div w:id="730079077">
          <w:marLeft w:val="0"/>
          <w:marRight w:val="0"/>
          <w:marTop w:val="0"/>
          <w:marBottom w:val="0"/>
          <w:divBdr>
            <w:top w:val="none" w:sz="0" w:space="0" w:color="auto"/>
            <w:left w:val="none" w:sz="0" w:space="0" w:color="auto"/>
            <w:bottom w:val="none" w:sz="0" w:space="0" w:color="auto"/>
            <w:right w:val="none" w:sz="0" w:space="0" w:color="auto"/>
          </w:divBdr>
        </w:div>
        <w:div w:id="766735987">
          <w:marLeft w:val="0"/>
          <w:marRight w:val="0"/>
          <w:marTop w:val="0"/>
          <w:marBottom w:val="0"/>
          <w:divBdr>
            <w:top w:val="none" w:sz="0" w:space="0" w:color="auto"/>
            <w:left w:val="none" w:sz="0" w:space="0" w:color="auto"/>
            <w:bottom w:val="none" w:sz="0" w:space="0" w:color="auto"/>
            <w:right w:val="none" w:sz="0" w:space="0" w:color="auto"/>
          </w:divBdr>
        </w:div>
        <w:div w:id="826046637">
          <w:marLeft w:val="0"/>
          <w:marRight w:val="0"/>
          <w:marTop w:val="0"/>
          <w:marBottom w:val="0"/>
          <w:divBdr>
            <w:top w:val="none" w:sz="0" w:space="0" w:color="auto"/>
            <w:left w:val="none" w:sz="0" w:space="0" w:color="auto"/>
            <w:bottom w:val="none" w:sz="0" w:space="0" w:color="auto"/>
            <w:right w:val="none" w:sz="0" w:space="0" w:color="auto"/>
          </w:divBdr>
        </w:div>
        <w:div w:id="892815930">
          <w:marLeft w:val="0"/>
          <w:marRight w:val="0"/>
          <w:marTop w:val="0"/>
          <w:marBottom w:val="0"/>
          <w:divBdr>
            <w:top w:val="none" w:sz="0" w:space="0" w:color="auto"/>
            <w:left w:val="none" w:sz="0" w:space="0" w:color="auto"/>
            <w:bottom w:val="none" w:sz="0" w:space="0" w:color="auto"/>
            <w:right w:val="none" w:sz="0" w:space="0" w:color="auto"/>
          </w:divBdr>
        </w:div>
        <w:div w:id="912816077">
          <w:marLeft w:val="0"/>
          <w:marRight w:val="0"/>
          <w:marTop w:val="0"/>
          <w:marBottom w:val="0"/>
          <w:divBdr>
            <w:top w:val="none" w:sz="0" w:space="0" w:color="auto"/>
            <w:left w:val="none" w:sz="0" w:space="0" w:color="auto"/>
            <w:bottom w:val="none" w:sz="0" w:space="0" w:color="auto"/>
            <w:right w:val="none" w:sz="0" w:space="0" w:color="auto"/>
          </w:divBdr>
        </w:div>
        <w:div w:id="961307827">
          <w:marLeft w:val="0"/>
          <w:marRight w:val="0"/>
          <w:marTop w:val="0"/>
          <w:marBottom w:val="0"/>
          <w:divBdr>
            <w:top w:val="none" w:sz="0" w:space="0" w:color="auto"/>
            <w:left w:val="none" w:sz="0" w:space="0" w:color="auto"/>
            <w:bottom w:val="none" w:sz="0" w:space="0" w:color="auto"/>
            <w:right w:val="none" w:sz="0" w:space="0" w:color="auto"/>
          </w:divBdr>
        </w:div>
        <w:div w:id="971637347">
          <w:marLeft w:val="0"/>
          <w:marRight w:val="0"/>
          <w:marTop w:val="0"/>
          <w:marBottom w:val="0"/>
          <w:divBdr>
            <w:top w:val="none" w:sz="0" w:space="0" w:color="auto"/>
            <w:left w:val="none" w:sz="0" w:space="0" w:color="auto"/>
            <w:bottom w:val="none" w:sz="0" w:space="0" w:color="auto"/>
            <w:right w:val="none" w:sz="0" w:space="0" w:color="auto"/>
          </w:divBdr>
        </w:div>
        <w:div w:id="982347059">
          <w:marLeft w:val="0"/>
          <w:marRight w:val="0"/>
          <w:marTop w:val="0"/>
          <w:marBottom w:val="0"/>
          <w:divBdr>
            <w:top w:val="none" w:sz="0" w:space="0" w:color="auto"/>
            <w:left w:val="none" w:sz="0" w:space="0" w:color="auto"/>
            <w:bottom w:val="none" w:sz="0" w:space="0" w:color="auto"/>
            <w:right w:val="none" w:sz="0" w:space="0" w:color="auto"/>
          </w:divBdr>
        </w:div>
        <w:div w:id="988745825">
          <w:marLeft w:val="0"/>
          <w:marRight w:val="0"/>
          <w:marTop w:val="0"/>
          <w:marBottom w:val="0"/>
          <w:divBdr>
            <w:top w:val="none" w:sz="0" w:space="0" w:color="auto"/>
            <w:left w:val="none" w:sz="0" w:space="0" w:color="auto"/>
            <w:bottom w:val="none" w:sz="0" w:space="0" w:color="auto"/>
            <w:right w:val="none" w:sz="0" w:space="0" w:color="auto"/>
          </w:divBdr>
        </w:div>
        <w:div w:id="993752065">
          <w:marLeft w:val="0"/>
          <w:marRight w:val="0"/>
          <w:marTop w:val="0"/>
          <w:marBottom w:val="0"/>
          <w:divBdr>
            <w:top w:val="none" w:sz="0" w:space="0" w:color="auto"/>
            <w:left w:val="none" w:sz="0" w:space="0" w:color="auto"/>
            <w:bottom w:val="none" w:sz="0" w:space="0" w:color="auto"/>
            <w:right w:val="none" w:sz="0" w:space="0" w:color="auto"/>
          </w:divBdr>
        </w:div>
        <w:div w:id="1066998091">
          <w:marLeft w:val="0"/>
          <w:marRight w:val="0"/>
          <w:marTop w:val="0"/>
          <w:marBottom w:val="0"/>
          <w:divBdr>
            <w:top w:val="none" w:sz="0" w:space="0" w:color="auto"/>
            <w:left w:val="none" w:sz="0" w:space="0" w:color="auto"/>
            <w:bottom w:val="none" w:sz="0" w:space="0" w:color="auto"/>
            <w:right w:val="none" w:sz="0" w:space="0" w:color="auto"/>
          </w:divBdr>
        </w:div>
        <w:div w:id="1206598890">
          <w:marLeft w:val="0"/>
          <w:marRight w:val="0"/>
          <w:marTop w:val="0"/>
          <w:marBottom w:val="0"/>
          <w:divBdr>
            <w:top w:val="none" w:sz="0" w:space="0" w:color="auto"/>
            <w:left w:val="none" w:sz="0" w:space="0" w:color="auto"/>
            <w:bottom w:val="none" w:sz="0" w:space="0" w:color="auto"/>
            <w:right w:val="none" w:sz="0" w:space="0" w:color="auto"/>
          </w:divBdr>
        </w:div>
        <w:div w:id="1206873088">
          <w:marLeft w:val="0"/>
          <w:marRight w:val="0"/>
          <w:marTop w:val="0"/>
          <w:marBottom w:val="0"/>
          <w:divBdr>
            <w:top w:val="none" w:sz="0" w:space="0" w:color="auto"/>
            <w:left w:val="none" w:sz="0" w:space="0" w:color="auto"/>
            <w:bottom w:val="none" w:sz="0" w:space="0" w:color="auto"/>
            <w:right w:val="none" w:sz="0" w:space="0" w:color="auto"/>
          </w:divBdr>
        </w:div>
        <w:div w:id="1366295386">
          <w:marLeft w:val="0"/>
          <w:marRight w:val="0"/>
          <w:marTop w:val="0"/>
          <w:marBottom w:val="0"/>
          <w:divBdr>
            <w:top w:val="none" w:sz="0" w:space="0" w:color="auto"/>
            <w:left w:val="none" w:sz="0" w:space="0" w:color="auto"/>
            <w:bottom w:val="none" w:sz="0" w:space="0" w:color="auto"/>
            <w:right w:val="none" w:sz="0" w:space="0" w:color="auto"/>
          </w:divBdr>
        </w:div>
        <w:div w:id="1376543526">
          <w:marLeft w:val="0"/>
          <w:marRight w:val="0"/>
          <w:marTop w:val="0"/>
          <w:marBottom w:val="0"/>
          <w:divBdr>
            <w:top w:val="none" w:sz="0" w:space="0" w:color="auto"/>
            <w:left w:val="none" w:sz="0" w:space="0" w:color="auto"/>
            <w:bottom w:val="none" w:sz="0" w:space="0" w:color="auto"/>
            <w:right w:val="none" w:sz="0" w:space="0" w:color="auto"/>
          </w:divBdr>
        </w:div>
        <w:div w:id="1449616515">
          <w:marLeft w:val="0"/>
          <w:marRight w:val="0"/>
          <w:marTop w:val="0"/>
          <w:marBottom w:val="0"/>
          <w:divBdr>
            <w:top w:val="none" w:sz="0" w:space="0" w:color="auto"/>
            <w:left w:val="none" w:sz="0" w:space="0" w:color="auto"/>
            <w:bottom w:val="none" w:sz="0" w:space="0" w:color="auto"/>
            <w:right w:val="none" w:sz="0" w:space="0" w:color="auto"/>
          </w:divBdr>
        </w:div>
        <w:div w:id="1523323332">
          <w:marLeft w:val="0"/>
          <w:marRight w:val="0"/>
          <w:marTop w:val="0"/>
          <w:marBottom w:val="0"/>
          <w:divBdr>
            <w:top w:val="none" w:sz="0" w:space="0" w:color="auto"/>
            <w:left w:val="none" w:sz="0" w:space="0" w:color="auto"/>
            <w:bottom w:val="none" w:sz="0" w:space="0" w:color="auto"/>
            <w:right w:val="none" w:sz="0" w:space="0" w:color="auto"/>
          </w:divBdr>
        </w:div>
        <w:div w:id="1543595940">
          <w:marLeft w:val="0"/>
          <w:marRight w:val="0"/>
          <w:marTop w:val="0"/>
          <w:marBottom w:val="0"/>
          <w:divBdr>
            <w:top w:val="none" w:sz="0" w:space="0" w:color="auto"/>
            <w:left w:val="none" w:sz="0" w:space="0" w:color="auto"/>
            <w:bottom w:val="none" w:sz="0" w:space="0" w:color="auto"/>
            <w:right w:val="none" w:sz="0" w:space="0" w:color="auto"/>
          </w:divBdr>
        </w:div>
        <w:div w:id="1569799945">
          <w:marLeft w:val="0"/>
          <w:marRight w:val="0"/>
          <w:marTop w:val="0"/>
          <w:marBottom w:val="0"/>
          <w:divBdr>
            <w:top w:val="none" w:sz="0" w:space="0" w:color="auto"/>
            <w:left w:val="none" w:sz="0" w:space="0" w:color="auto"/>
            <w:bottom w:val="none" w:sz="0" w:space="0" w:color="auto"/>
            <w:right w:val="none" w:sz="0" w:space="0" w:color="auto"/>
          </w:divBdr>
        </w:div>
        <w:div w:id="1633172041">
          <w:marLeft w:val="0"/>
          <w:marRight w:val="0"/>
          <w:marTop w:val="0"/>
          <w:marBottom w:val="0"/>
          <w:divBdr>
            <w:top w:val="none" w:sz="0" w:space="0" w:color="auto"/>
            <w:left w:val="none" w:sz="0" w:space="0" w:color="auto"/>
            <w:bottom w:val="none" w:sz="0" w:space="0" w:color="auto"/>
            <w:right w:val="none" w:sz="0" w:space="0" w:color="auto"/>
          </w:divBdr>
        </w:div>
        <w:div w:id="1719279499">
          <w:marLeft w:val="0"/>
          <w:marRight w:val="0"/>
          <w:marTop w:val="0"/>
          <w:marBottom w:val="0"/>
          <w:divBdr>
            <w:top w:val="none" w:sz="0" w:space="0" w:color="auto"/>
            <w:left w:val="none" w:sz="0" w:space="0" w:color="auto"/>
            <w:bottom w:val="none" w:sz="0" w:space="0" w:color="auto"/>
            <w:right w:val="none" w:sz="0" w:space="0" w:color="auto"/>
          </w:divBdr>
        </w:div>
        <w:div w:id="1737825827">
          <w:marLeft w:val="0"/>
          <w:marRight w:val="0"/>
          <w:marTop w:val="0"/>
          <w:marBottom w:val="0"/>
          <w:divBdr>
            <w:top w:val="none" w:sz="0" w:space="0" w:color="auto"/>
            <w:left w:val="none" w:sz="0" w:space="0" w:color="auto"/>
            <w:bottom w:val="none" w:sz="0" w:space="0" w:color="auto"/>
            <w:right w:val="none" w:sz="0" w:space="0" w:color="auto"/>
          </w:divBdr>
        </w:div>
        <w:div w:id="1776486519">
          <w:marLeft w:val="0"/>
          <w:marRight w:val="0"/>
          <w:marTop w:val="0"/>
          <w:marBottom w:val="0"/>
          <w:divBdr>
            <w:top w:val="none" w:sz="0" w:space="0" w:color="auto"/>
            <w:left w:val="none" w:sz="0" w:space="0" w:color="auto"/>
            <w:bottom w:val="none" w:sz="0" w:space="0" w:color="auto"/>
            <w:right w:val="none" w:sz="0" w:space="0" w:color="auto"/>
          </w:divBdr>
        </w:div>
        <w:div w:id="1794902256">
          <w:marLeft w:val="0"/>
          <w:marRight w:val="0"/>
          <w:marTop w:val="0"/>
          <w:marBottom w:val="0"/>
          <w:divBdr>
            <w:top w:val="none" w:sz="0" w:space="0" w:color="auto"/>
            <w:left w:val="none" w:sz="0" w:space="0" w:color="auto"/>
            <w:bottom w:val="none" w:sz="0" w:space="0" w:color="auto"/>
            <w:right w:val="none" w:sz="0" w:space="0" w:color="auto"/>
          </w:divBdr>
        </w:div>
        <w:div w:id="1798139314">
          <w:marLeft w:val="0"/>
          <w:marRight w:val="0"/>
          <w:marTop w:val="0"/>
          <w:marBottom w:val="0"/>
          <w:divBdr>
            <w:top w:val="none" w:sz="0" w:space="0" w:color="auto"/>
            <w:left w:val="none" w:sz="0" w:space="0" w:color="auto"/>
            <w:bottom w:val="none" w:sz="0" w:space="0" w:color="auto"/>
            <w:right w:val="none" w:sz="0" w:space="0" w:color="auto"/>
          </w:divBdr>
        </w:div>
        <w:div w:id="1812406214">
          <w:marLeft w:val="0"/>
          <w:marRight w:val="0"/>
          <w:marTop w:val="0"/>
          <w:marBottom w:val="0"/>
          <w:divBdr>
            <w:top w:val="none" w:sz="0" w:space="0" w:color="auto"/>
            <w:left w:val="none" w:sz="0" w:space="0" w:color="auto"/>
            <w:bottom w:val="none" w:sz="0" w:space="0" w:color="auto"/>
            <w:right w:val="none" w:sz="0" w:space="0" w:color="auto"/>
          </w:divBdr>
        </w:div>
        <w:div w:id="1912428073">
          <w:marLeft w:val="0"/>
          <w:marRight w:val="0"/>
          <w:marTop w:val="0"/>
          <w:marBottom w:val="0"/>
          <w:divBdr>
            <w:top w:val="none" w:sz="0" w:space="0" w:color="auto"/>
            <w:left w:val="none" w:sz="0" w:space="0" w:color="auto"/>
            <w:bottom w:val="none" w:sz="0" w:space="0" w:color="auto"/>
            <w:right w:val="none" w:sz="0" w:space="0" w:color="auto"/>
          </w:divBdr>
        </w:div>
        <w:div w:id="1917786831">
          <w:marLeft w:val="0"/>
          <w:marRight w:val="0"/>
          <w:marTop w:val="0"/>
          <w:marBottom w:val="0"/>
          <w:divBdr>
            <w:top w:val="none" w:sz="0" w:space="0" w:color="auto"/>
            <w:left w:val="none" w:sz="0" w:space="0" w:color="auto"/>
            <w:bottom w:val="none" w:sz="0" w:space="0" w:color="auto"/>
            <w:right w:val="none" w:sz="0" w:space="0" w:color="auto"/>
          </w:divBdr>
        </w:div>
        <w:div w:id="1963995434">
          <w:marLeft w:val="0"/>
          <w:marRight w:val="0"/>
          <w:marTop w:val="0"/>
          <w:marBottom w:val="0"/>
          <w:divBdr>
            <w:top w:val="none" w:sz="0" w:space="0" w:color="auto"/>
            <w:left w:val="none" w:sz="0" w:space="0" w:color="auto"/>
            <w:bottom w:val="none" w:sz="0" w:space="0" w:color="auto"/>
            <w:right w:val="none" w:sz="0" w:space="0" w:color="auto"/>
          </w:divBdr>
        </w:div>
        <w:div w:id="2000427856">
          <w:marLeft w:val="0"/>
          <w:marRight w:val="0"/>
          <w:marTop w:val="0"/>
          <w:marBottom w:val="0"/>
          <w:divBdr>
            <w:top w:val="none" w:sz="0" w:space="0" w:color="auto"/>
            <w:left w:val="none" w:sz="0" w:space="0" w:color="auto"/>
            <w:bottom w:val="none" w:sz="0" w:space="0" w:color="auto"/>
            <w:right w:val="none" w:sz="0" w:space="0" w:color="auto"/>
          </w:divBdr>
        </w:div>
        <w:div w:id="2006738974">
          <w:marLeft w:val="0"/>
          <w:marRight w:val="0"/>
          <w:marTop w:val="0"/>
          <w:marBottom w:val="0"/>
          <w:divBdr>
            <w:top w:val="none" w:sz="0" w:space="0" w:color="auto"/>
            <w:left w:val="none" w:sz="0" w:space="0" w:color="auto"/>
            <w:bottom w:val="none" w:sz="0" w:space="0" w:color="auto"/>
            <w:right w:val="none" w:sz="0" w:space="0" w:color="auto"/>
          </w:divBdr>
        </w:div>
        <w:div w:id="2031567905">
          <w:marLeft w:val="0"/>
          <w:marRight w:val="0"/>
          <w:marTop w:val="0"/>
          <w:marBottom w:val="0"/>
          <w:divBdr>
            <w:top w:val="none" w:sz="0" w:space="0" w:color="auto"/>
            <w:left w:val="none" w:sz="0" w:space="0" w:color="auto"/>
            <w:bottom w:val="none" w:sz="0" w:space="0" w:color="auto"/>
            <w:right w:val="none" w:sz="0" w:space="0" w:color="auto"/>
          </w:divBdr>
        </w:div>
        <w:div w:id="2046829257">
          <w:marLeft w:val="0"/>
          <w:marRight w:val="0"/>
          <w:marTop w:val="0"/>
          <w:marBottom w:val="0"/>
          <w:divBdr>
            <w:top w:val="none" w:sz="0" w:space="0" w:color="auto"/>
            <w:left w:val="none" w:sz="0" w:space="0" w:color="auto"/>
            <w:bottom w:val="none" w:sz="0" w:space="0" w:color="auto"/>
            <w:right w:val="none" w:sz="0" w:space="0" w:color="auto"/>
          </w:divBdr>
        </w:div>
        <w:div w:id="2069067075">
          <w:marLeft w:val="0"/>
          <w:marRight w:val="0"/>
          <w:marTop w:val="0"/>
          <w:marBottom w:val="0"/>
          <w:divBdr>
            <w:top w:val="none" w:sz="0" w:space="0" w:color="auto"/>
            <w:left w:val="none" w:sz="0" w:space="0" w:color="auto"/>
            <w:bottom w:val="none" w:sz="0" w:space="0" w:color="auto"/>
            <w:right w:val="none" w:sz="0" w:space="0" w:color="auto"/>
          </w:divBdr>
        </w:div>
      </w:divsChild>
    </w:div>
    <w:div w:id="374081032">
      <w:bodyDiv w:val="1"/>
      <w:marLeft w:val="0"/>
      <w:marRight w:val="0"/>
      <w:marTop w:val="0"/>
      <w:marBottom w:val="0"/>
      <w:divBdr>
        <w:top w:val="none" w:sz="0" w:space="0" w:color="auto"/>
        <w:left w:val="none" w:sz="0" w:space="0" w:color="auto"/>
        <w:bottom w:val="none" w:sz="0" w:space="0" w:color="auto"/>
        <w:right w:val="none" w:sz="0" w:space="0" w:color="auto"/>
      </w:divBdr>
    </w:div>
    <w:div w:id="375157409">
      <w:bodyDiv w:val="1"/>
      <w:marLeft w:val="0"/>
      <w:marRight w:val="0"/>
      <w:marTop w:val="0"/>
      <w:marBottom w:val="0"/>
      <w:divBdr>
        <w:top w:val="none" w:sz="0" w:space="0" w:color="auto"/>
        <w:left w:val="none" w:sz="0" w:space="0" w:color="auto"/>
        <w:bottom w:val="none" w:sz="0" w:space="0" w:color="auto"/>
        <w:right w:val="none" w:sz="0" w:space="0" w:color="auto"/>
      </w:divBdr>
    </w:div>
    <w:div w:id="389308428">
      <w:bodyDiv w:val="1"/>
      <w:marLeft w:val="0"/>
      <w:marRight w:val="0"/>
      <w:marTop w:val="0"/>
      <w:marBottom w:val="0"/>
      <w:divBdr>
        <w:top w:val="none" w:sz="0" w:space="0" w:color="auto"/>
        <w:left w:val="none" w:sz="0" w:space="0" w:color="auto"/>
        <w:bottom w:val="none" w:sz="0" w:space="0" w:color="auto"/>
        <w:right w:val="none" w:sz="0" w:space="0" w:color="auto"/>
      </w:divBdr>
    </w:div>
    <w:div w:id="416559365">
      <w:bodyDiv w:val="1"/>
      <w:marLeft w:val="0"/>
      <w:marRight w:val="0"/>
      <w:marTop w:val="0"/>
      <w:marBottom w:val="0"/>
      <w:divBdr>
        <w:top w:val="none" w:sz="0" w:space="0" w:color="auto"/>
        <w:left w:val="none" w:sz="0" w:space="0" w:color="auto"/>
        <w:bottom w:val="none" w:sz="0" w:space="0" w:color="auto"/>
        <w:right w:val="none" w:sz="0" w:space="0" w:color="auto"/>
      </w:divBdr>
    </w:div>
    <w:div w:id="428350770">
      <w:bodyDiv w:val="1"/>
      <w:marLeft w:val="0"/>
      <w:marRight w:val="0"/>
      <w:marTop w:val="0"/>
      <w:marBottom w:val="0"/>
      <w:divBdr>
        <w:top w:val="none" w:sz="0" w:space="0" w:color="auto"/>
        <w:left w:val="none" w:sz="0" w:space="0" w:color="auto"/>
        <w:bottom w:val="none" w:sz="0" w:space="0" w:color="auto"/>
        <w:right w:val="none" w:sz="0" w:space="0" w:color="auto"/>
      </w:divBdr>
      <w:divsChild>
        <w:div w:id="639967014">
          <w:marLeft w:val="0"/>
          <w:marRight w:val="0"/>
          <w:marTop w:val="0"/>
          <w:marBottom w:val="0"/>
          <w:divBdr>
            <w:top w:val="none" w:sz="0" w:space="0" w:color="auto"/>
            <w:left w:val="none" w:sz="0" w:space="0" w:color="auto"/>
            <w:bottom w:val="none" w:sz="0" w:space="0" w:color="auto"/>
            <w:right w:val="none" w:sz="0" w:space="0" w:color="auto"/>
          </w:divBdr>
        </w:div>
        <w:div w:id="787621087">
          <w:marLeft w:val="0"/>
          <w:marRight w:val="0"/>
          <w:marTop w:val="0"/>
          <w:marBottom w:val="0"/>
          <w:divBdr>
            <w:top w:val="none" w:sz="0" w:space="0" w:color="auto"/>
            <w:left w:val="none" w:sz="0" w:space="0" w:color="auto"/>
            <w:bottom w:val="none" w:sz="0" w:space="0" w:color="auto"/>
            <w:right w:val="none" w:sz="0" w:space="0" w:color="auto"/>
          </w:divBdr>
        </w:div>
        <w:div w:id="1300837258">
          <w:marLeft w:val="0"/>
          <w:marRight w:val="0"/>
          <w:marTop w:val="0"/>
          <w:marBottom w:val="0"/>
          <w:divBdr>
            <w:top w:val="none" w:sz="0" w:space="0" w:color="auto"/>
            <w:left w:val="none" w:sz="0" w:space="0" w:color="auto"/>
            <w:bottom w:val="none" w:sz="0" w:space="0" w:color="auto"/>
            <w:right w:val="none" w:sz="0" w:space="0" w:color="auto"/>
          </w:divBdr>
        </w:div>
        <w:div w:id="2022972812">
          <w:marLeft w:val="0"/>
          <w:marRight w:val="0"/>
          <w:marTop w:val="0"/>
          <w:marBottom w:val="0"/>
          <w:divBdr>
            <w:top w:val="none" w:sz="0" w:space="0" w:color="auto"/>
            <w:left w:val="none" w:sz="0" w:space="0" w:color="auto"/>
            <w:bottom w:val="none" w:sz="0" w:space="0" w:color="auto"/>
            <w:right w:val="none" w:sz="0" w:space="0" w:color="auto"/>
          </w:divBdr>
        </w:div>
      </w:divsChild>
    </w:div>
    <w:div w:id="452527421">
      <w:bodyDiv w:val="1"/>
      <w:marLeft w:val="0"/>
      <w:marRight w:val="0"/>
      <w:marTop w:val="0"/>
      <w:marBottom w:val="0"/>
      <w:divBdr>
        <w:top w:val="none" w:sz="0" w:space="0" w:color="auto"/>
        <w:left w:val="none" w:sz="0" w:space="0" w:color="auto"/>
        <w:bottom w:val="none" w:sz="0" w:space="0" w:color="auto"/>
        <w:right w:val="none" w:sz="0" w:space="0" w:color="auto"/>
      </w:divBdr>
      <w:divsChild>
        <w:div w:id="1347830171">
          <w:marLeft w:val="0"/>
          <w:marRight w:val="0"/>
          <w:marTop w:val="0"/>
          <w:marBottom w:val="0"/>
          <w:divBdr>
            <w:top w:val="none" w:sz="0" w:space="0" w:color="auto"/>
            <w:left w:val="none" w:sz="0" w:space="0" w:color="auto"/>
            <w:bottom w:val="none" w:sz="0" w:space="0" w:color="auto"/>
            <w:right w:val="none" w:sz="0" w:space="0" w:color="auto"/>
          </w:divBdr>
          <w:divsChild>
            <w:div w:id="137502268">
              <w:marLeft w:val="0"/>
              <w:marRight w:val="0"/>
              <w:marTop w:val="0"/>
              <w:marBottom w:val="0"/>
              <w:divBdr>
                <w:top w:val="none" w:sz="0" w:space="0" w:color="auto"/>
                <w:left w:val="none" w:sz="0" w:space="0" w:color="auto"/>
                <w:bottom w:val="none" w:sz="0" w:space="0" w:color="auto"/>
                <w:right w:val="none" w:sz="0" w:space="0" w:color="auto"/>
              </w:divBdr>
            </w:div>
            <w:div w:id="409549637">
              <w:marLeft w:val="0"/>
              <w:marRight w:val="0"/>
              <w:marTop w:val="0"/>
              <w:marBottom w:val="0"/>
              <w:divBdr>
                <w:top w:val="none" w:sz="0" w:space="0" w:color="auto"/>
                <w:left w:val="none" w:sz="0" w:space="0" w:color="auto"/>
                <w:bottom w:val="none" w:sz="0" w:space="0" w:color="auto"/>
                <w:right w:val="none" w:sz="0" w:space="0" w:color="auto"/>
              </w:divBdr>
            </w:div>
            <w:div w:id="1384403694">
              <w:marLeft w:val="0"/>
              <w:marRight w:val="0"/>
              <w:marTop w:val="0"/>
              <w:marBottom w:val="0"/>
              <w:divBdr>
                <w:top w:val="none" w:sz="0" w:space="0" w:color="auto"/>
                <w:left w:val="none" w:sz="0" w:space="0" w:color="auto"/>
                <w:bottom w:val="none" w:sz="0" w:space="0" w:color="auto"/>
                <w:right w:val="none" w:sz="0" w:space="0" w:color="auto"/>
              </w:divBdr>
            </w:div>
            <w:div w:id="1778018076">
              <w:marLeft w:val="0"/>
              <w:marRight w:val="0"/>
              <w:marTop w:val="0"/>
              <w:marBottom w:val="0"/>
              <w:divBdr>
                <w:top w:val="none" w:sz="0" w:space="0" w:color="auto"/>
                <w:left w:val="none" w:sz="0" w:space="0" w:color="auto"/>
                <w:bottom w:val="none" w:sz="0" w:space="0" w:color="auto"/>
                <w:right w:val="none" w:sz="0" w:space="0" w:color="auto"/>
              </w:divBdr>
            </w:div>
            <w:div w:id="2009868051">
              <w:marLeft w:val="0"/>
              <w:marRight w:val="0"/>
              <w:marTop w:val="0"/>
              <w:marBottom w:val="0"/>
              <w:divBdr>
                <w:top w:val="none" w:sz="0" w:space="0" w:color="auto"/>
                <w:left w:val="none" w:sz="0" w:space="0" w:color="auto"/>
                <w:bottom w:val="none" w:sz="0" w:space="0" w:color="auto"/>
                <w:right w:val="none" w:sz="0" w:space="0" w:color="auto"/>
              </w:divBdr>
            </w:div>
          </w:divsChild>
        </w:div>
        <w:div w:id="1712730883">
          <w:marLeft w:val="0"/>
          <w:marRight w:val="0"/>
          <w:marTop w:val="0"/>
          <w:marBottom w:val="0"/>
          <w:divBdr>
            <w:top w:val="none" w:sz="0" w:space="0" w:color="auto"/>
            <w:left w:val="none" w:sz="0" w:space="0" w:color="auto"/>
            <w:bottom w:val="none" w:sz="0" w:space="0" w:color="auto"/>
            <w:right w:val="none" w:sz="0" w:space="0" w:color="auto"/>
          </w:divBdr>
        </w:div>
      </w:divsChild>
    </w:div>
    <w:div w:id="511795892">
      <w:bodyDiv w:val="1"/>
      <w:marLeft w:val="0"/>
      <w:marRight w:val="0"/>
      <w:marTop w:val="0"/>
      <w:marBottom w:val="0"/>
      <w:divBdr>
        <w:top w:val="none" w:sz="0" w:space="0" w:color="auto"/>
        <w:left w:val="none" w:sz="0" w:space="0" w:color="auto"/>
        <w:bottom w:val="none" w:sz="0" w:space="0" w:color="auto"/>
        <w:right w:val="none" w:sz="0" w:space="0" w:color="auto"/>
      </w:divBdr>
    </w:div>
    <w:div w:id="531767154">
      <w:bodyDiv w:val="1"/>
      <w:marLeft w:val="0"/>
      <w:marRight w:val="0"/>
      <w:marTop w:val="0"/>
      <w:marBottom w:val="0"/>
      <w:divBdr>
        <w:top w:val="none" w:sz="0" w:space="0" w:color="auto"/>
        <w:left w:val="none" w:sz="0" w:space="0" w:color="auto"/>
        <w:bottom w:val="none" w:sz="0" w:space="0" w:color="auto"/>
        <w:right w:val="none" w:sz="0" w:space="0" w:color="auto"/>
      </w:divBdr>
    </w:div>
    <w:div w:id="545068517">
      <w:bodyDiv w:val="1"/>
      <w:marLeft w:val="0"/>
      <w:marRight w:val="0"/>
      <w:marTop w:val="0"/>
      <w:marBottom w:val="0"/>
      <w:divBdr>
        <w:top w:val="none" w:sz="0" w:space="0" w:color="auto"/>
        <w:left w:val="none" w:sz="0" w:space="0" w:color="auto"/>
        <w:bottom w:val="none" w:sz="0" w:space="0" w:color="auto"/>
        <w:right w:val="none" w:sz="0" w:space="0" w:color="auto"/>
      </w:divBdr>
    </w:div>
    <w:div w:id="549921243">
      <w:bodyDiv w:val="1"/>
      <w:marLeft w:val="0"/>
      <w:marRight w:val="0"/>
      <w:marTop w:val="0"/>
      <w:marBottom w:val="0"/>
      <w:divBdr>
        <w:top w:val="none" w:sz="0" w:space="0" w:color="auto"/>
        <w:left w:val="none" w:sz="0" w:space="0" w:color="auto"/>
        <w:bottom w:val="none" w:sz="0" w:space="0" w:color="auto"/>
        <w:right w:val="none" w:sz="0" w:space="0" w:color="auto"/>
      </w:divBdr>
      <w:divsChild>
        <w:div w:id="407581668">
          <w:marLeft w:val="0"/>
          <w:marRight w:val="0"/>
          <w:marTop w:val="0"/>
          <w:marBottom w:val="0"/>
          <w:divBdr>
            <w:top w:val="none" w:sz="0" w:space="0" w:color="auto"/>
            <w:left w:val="none" w:sz="0" w:space="0" w:color="auto"/>
            <w:bottom w:val="none" w:sz="0" w:space="0" w:color="auto"/>
            <w:right w:val="none" w:sz="0" w:space="0" w:color="auto"/>
          </w:divBdr>
        </w:div>
        <w:div w:id="1055661889">
          <w:marLeft w:val="0"/>
          <w:marRight w:val="0"/>
          <w:marTop w:val="0"/>
          <w:marBottom w:val="0"/>
          <w:divBdr>
            <w:top w:val="none" w:sz="0" w:space="0" w:color="auto"/>
            <w:left w:val="none" w:sz="0" w:space="0" w:color="auto"/>
            <w:bottom w:val="none" w:sz="0" w:space="0" w:color="auto"/>
            <w:right w:val="none" w:sz="0" w:space="0" w:color="auto"/>
          </w:divBdr>
        </w:div>
      </w:divsChild>
    </w:div>
    <w:div w:id="602110309">
      <w:bodyDiv w:val="1"/>
      <w:marLeft w:val="0"/>
      <w:marRight w:val="0"/>
      <w:marTop w:val="0"/>
      <w:marBottom w:val="0"/>
      <w:divBdr>
        <w:top w:val="none" w:sz="0" w:space="0" w:color="auto"/>
        <w:left w:val="none" w:sz="0" w:space="0" w:color="auto"/>
        <w:bottom w:val="none" w:sz="0" w:space="0" w:color="auto"/>
        <w:right w:val="none" w:sz="0" w:space="0" w:color="auto"/>
      </w:divBdr>
    </w:div>
    <w:div w:id="605040186">
      <w:bodyDiv w:val="1"/>
      <w:marLeft w:val="0"/>
      <w:marRight w:val="0"/>
      <w:marTop w:val="0"/>
      <w:marBottom w:val="0"/>
      <w:divBdr>
        <w:top w:val="none" w:sz="0" w:space="0" w:color="auto"/>
        <w:left w:val="none" w:sz="0" w:space="0" w:color="auto"/>
        <w:bottom w:val="none" w:sz="0" w:space="0" w:color="auto"/>
        <w:right w:val="none" w:sz="0" w:space="0" w:color="auto"/>
      </w:divBdr>
    </w:div>
    <w:div w:id="611785649">
      <w:bodyDiv w:val="1"/>
      <w:marLeft w:val="0"/>
      <w:marRight w:val="0"/>
      <w:marTop w:val="0"/>
      <w:marBottom w:val="0"/>
      <w:divBdr>
        <w:top w:val="none" w:sz="0" w:space="0" w:color="auto"/>
        <w:left w:val="none" w:sz="0" w:space="0" w:color="auto"/>
        <w:bottom w:val="none" w:sz="0" w:space="0" w:color="auto"/>
        <w:right w:val="none" w:sz="0" w:space="0" w:color="auto"/>
      </w:divBdr>
    </w:div>
    <w:div w:id="614139150">
      <w:bodyDiv w:val="1"/>
      <w:marLeft w:val="0"/>
      <w:marRight w:val="0"/>
      <w:marTop w:val="0"/>
      <w:marBottom w:val="0"/>
      <w:divBdr>
        <w:top w:val="none" w:sz="0" w:space="0" w:color="auto"/>
        <w:left w:val="none" w:sz="0" w:space="0" w:color="auto"/>
        <w:bottom w:val="none" w:sz="0" w:space="0" w:color="auto"/>
        <w:right w:val="none" w:sz="0" w:space="0" w:color="auto"/>
      </w:divBdr>
      <w:divsChild>
        <w:div w:id="464588316">
          <w:marLeft w:val="0"/>
          <w:marRight w:val="0"/>
          <w:marTop w:val="0"/>
          <w:marBottom w:val="0"/>
          <w:divBdr>
            <w:top w:val="none" w:sz="0" w:space="0" w:color="auto"/>
            <w:left w:val="none" w:sz="0" w:space="0" w:color="auto"/>
            <w:bottom w:val="none" w:sz="0" w:space="0" w:color="auto"/>
            <w:right w:val="none" w:sz="0" w:space="0" w:color="auto"/>
          </w:divBdr>
        </w:div>
        <w:div w:id="1276475932">
          <w:marLeft w:val="0"/>
          <w:marRight w:val="0"/>
          <w:marTop w:val="0"/>
          <w:marBottom w:val="0"/>
          <w:divBdr>
            <w:top w:val="none" w:sz="0" w:space="0" w:color="auto"/>
            <w:left w:val="none" w:sz="0" w:space="0" w:color="auto"/>
            <w:bottom w:val="none" w:sz="0" w:space="0" w:color="auto"/>
            <w:right w:val="none" w:sz="0" w:space="0" w:color="auto"/>
          </w:divBdr>
        </w:div>
        <w:div w:id="1548374613">
          <w:marLeft w:val="0"/>
          <w:marRight w:val="0"/>
          <w:marTop w:val="0"/>
          <w:marBottom w:val="0"/>
          <w:divBdr>
            <w:top w:val="none" w:sz="0" w:space="0" w:color="auto"/>
            <w:left w:val="none" w:sz="0" w:space="0" w:color="auto"/>
            <w:bottom w:val="none" w:sz="0" w:space="0" w:color="auto"/>
            <w:right w:val="none" w:sz="0" w:space="0" w:color="auto"/>
          </w:divBdr>
        </w:div>
        <w:div w:id="1918704227">
          <w:marLeft w:val="0"/>
          <w:marRight w:val="0"/>
          <w:marTop w:val="0"/>
          <w:marBottom w:val="0"/>
          <w:divBdr>
            <w:top w:val="none" w:sz="0" w:space="0" w:color="auto"/>
            <w:left w:val="none" w:sz="0" w:space="0" w:color="auto"/>
            <w:bottom w:val="none" w:sz="0" w:space="0" w:color="auto"/>
            <w:right w:val="none" w:sz="0" w:space="0" w:color="auto"/>
          </w:divBdr>
        </w:div>
      </w:divsChild>
    </w:div>
    <w:div w:id="666977024">
      <w:bodyDiv w:val="1"/>
      <w:marLeft w:val="0"/>
      <w:marRight w:val="0"/>
      <w:marTop w:val="0"/>
      <w:marBottom w:val="0"/>
      <w:divBdr>
        <w:top w:val="none" w:sz="0" w:space="0" w:color="auto"/>
        <w:left w:val="none" w:sz="0" w:space="0" w:color="auto"/>
        <w:bottom w:val="none" w:sz="0" w:space="0" w:color="auto"/>
        <w:right w:val="none" w:sz="0" w:space="0" w:color="auto"/>
      </w:divBdr>
    </w:div>
    <w:div w:id="668868804">
      <w:bodyDiv w:val="1"/>
      <w:marLeft w:val="0"/>
      <w:marRight w:val="0"/>
      <w:marTop w:val="0"/>
      <w:marBottom w:val="0"/>
      <w:divBdr>
        <w:top w:val="none" w:sz="0" w:space="0" w:color="auto"/>
        <w:left w:val="none" w:sz="0" w:space="0" w:color="auto"/>
        <w:bottom w:val="none" w:sz="0" w:space="0" w:color="auto"/>
        <w:right w:val="none" w:sz="0" w:space="0" w:color="auto"/>
      </w:divBdr>
      <w:divsChild>
        <w:div w:id="77021226">
          <w:marLeft w:val="0"/>
          <w:marRight w:val="0"/>
          <w:marTop w:val="0"/>
          <w:marBottom w:val="0"/>
          <w:divBdr>
            <w:top w:val="none" w:sz="0" w:space="0" w:color="auto"/>
            <w:left w:val="none" w:sz="0" w:space="0" w:color="auto"/>
            <w:bottom w:val="none" w:sz="0" w:space="0" w:color="auto"/>
            <w:right w:val="none" w:sz="0" w:space="0" w:color="auto"/>
          </w:divBdr>
        </w:div>
        <w:div w:id="1552106934">
          <w:marLeft w:val="0"/>
          <w:marRight w:val="0"/>
          <w:marTop w:val="0"/>
          <w:marBottom w:val="0"/>
          <w:divBdr>
            <w:top w:val="none" w:sz="0" w:space="0" w:color="auto"/>
            <w:left w:val="none" w:sz="0" w:space="0" w:color="auto"/>
            <w:bottom w:val="none" w:sz="0" w:space="0" w:color="auto"/>
            <w:right w:val="none" w:sz="0" w:space="0" w:color="auto"/>
          </w:divBdr>
        </w:div>
        <w:div w:id="1982734075">
          <w:marLeft w:val="0"/>
          <w:marRight w:val="0"/>
          <w:marTop w:val="0"/>
          <w:marBottom w:val="0"/>
          <w:divBdr>
            <w:top w:val="none" w:sz="0" w:space="0" w:color="auto"/>
            <w:left w:val="none" w:sz="0" w:space="0" w:color="auto"/>
            <w:bottom w:val="none" w:sz="0" w:space="0" w:color="auto"/>
            <w:right w:val="none" w:sz="0" w:space="0" w:color="auto"/>
          </w:divBdr>
        </w:div>
      </w:divsChild>
    </w:div>
    <w:div w:id="678655688">
      <w:bodyDiv w:val="1"/>
      <w:marLeft w:val="0"/>
      <w:marRight w:val="0"/>
      <w:marTop w:val="0"/>
      <w:marBottom w:val="0"/>
      <w:divBdr>
        <w:top w:val="none" w:sz="0" w:space="0" w:color="auto"/>
        <w:left w:val="none" w:sz="0" w:space="0" w:color="auto"/>
        <w:bottom w:val="none" w:sz="0" w:space="0" w:color="auto"/>
        <w:right w:val="none" w:sz="0" w:space="0" w:color="auto"/>
      </w:divBdr>
    </w:div>
    <w:div w:id="693265765">
      <w:bodyDiv w:val="1"/>
      <w:marLeft w:val="0"/>
      <w:marRight w:val="0"/>
      <w:marTop w:val="0"/>
      <w:marBottom w:val="0"/>
      <w:divBdr>
        <w:top w:val="none" w:sz="0" w:space="0" w:color="auto"/>
        <w:left w:val="none" w:sz="0" w:space="0" w:color="auto"/>
        <w:bottom w:val="none" w:sz="0" w:space="0" w:color="auto"/>
        <w:right w:val="none" w:sz="0" w:space="0" w:color="auto"/>
      </w:divBdr>
      <w:divsChild>
        <w:div w:id="1185246310">
          <w:marLeft w:val="0"/>
          <w:marRight w:val="0"/>
          <w:marTop w:val="0"/>
          <w:marBottom w:val="0"/>
          <w:divBdr>
            <w:top w:val="none" w:sz="0" w:space="0" w:color="auto"/>
            <w:left w:val="none" w:sz="0" w:space="0" w:color="auto"/>
            <w:bottom w:val="none" w:sz="0" w:space="0" w:color="auto"/>
            <w:right w:val="none" w:sz="0" w:space="0" w:color="auto"/>
          </w:divBdr>
        </w:div>
        <w:div w:id="1439329432">
          <w:marLeft w:val="0"/>
          <w:marRight w:val="0"/>
          <w:marTop w:val="0"/>
          <w:marBottom w:val="0"/>
          <w:divBdr>
            <w:top w:val="none" w:sz="0" w:space="0" w:color="auto"/>
            <w:left w:val="none" w:sz="0" w:space="0" w:color="auto"/>
            <w:bottom w:val="none" w:sz="0" w:space="0" w:color="auto"/>
            <w:right w:val="none" w:sz="0" w:space="0" w:color="auto"/>
          </w:divBdr>
        </w:div>
        <w:div w:id="1527597763">
          <w:marLeft w:val="0"/>
          <w:marRight w:val="0"/>
          <w:marTop w:val="0"/>
          <w:marBottom w:val="0"/>
          <w:divBdr>
            <w:top w:val="none" w:sz="0" w:space="0" w:color="auto"/>
            <w:left w:val="none" w:sz="0" w:space="0" w:color="auto"/>
            <w:bottom w:val="none" w:sz="0" w:space="0" w:color="auto"/>
            <w:right w:val="none" w:sz="0" w:space="0" w:color="auto"/>
          </w:divBdr>
        </w:div>
        <w:div w:id="1611401521">
          <w:marLeft w:val="0"/>
          <w:marRight w:val="0"/>
          <w:marTop w:val="0"/>
          <w:marBottom w:val="0"/>
          <w:divBdr>
            <w:top w:val="none" w:sz="0" w:space="0" w:color="auto"/>
            <w:left w:val="none" w:sz="0" w:space="0" w:color="auto"/>
            <w:bottom w:val="none" w:sz="0" w:space="0" w:color="auto"/>
            <w:right w:val="none" w:sz="0" w:space="0" w:color="auto"/>
          </w:divBdr>
        </w:div>
        <w:div w:id="1678578092">
          <w:marLeft w:val="0"/>
          <w:marRight w:val="0"/>
          <w:marTop w:val="0"/>
          <w:marBottom w:val="0"/>
          <w:divBdr>
            <w:top w:val="none" w:sz="0" w:space="0" w:color="auto"/>
            <w:left w:val="none" w:sz="0" w:space="0" w:color="auto"/>
            <w:bottom w:val="none" w:sz="0" w:space="0" w:color="auto"/>
            <w:right w:val="none" w:sz="0" w:space="0" w:color="auto"/>
          </w:divBdr>
        </w:div>
      </w:divsChild>
    </w:div>
    <w:div w:id="726342246">
      <w:bodyDiv w:val="1"/>
      <w:marLeft w:val="0"/>
      <w:marRight w:val="0"/>
      <w:marTop w:val="0"/>
      <w:marBottom w:val="0"/>
      <w:divBdr>
        <w:top w:val="none" w:sz="0" w:space="0" w:color="auto"/>
        <w:left w:val="none" w:sz="0" w:space="0" w:color="auto"/>
        <w:bottom w:val="none" w:sz="0" w:space="0" w:color="auto"/>
        <w:right w:val="none" w:sz="0" w:space="0" w:color="auto"/>
      </w:divBdr>
    </w:div>
    <w:div w:id="762259708">
      <w:bodyDiv w:val="1"/>
      <w:marLeft w:val="0"/>
      <w:marRight w:val="0"/>
      <w:marTop w:val="0"/>
      <w:marBottom w:val="0"/>
      <w:divBdr>
        <w:top w:val="none" w:sz="0" w:space="0" w:color="auto"/>
        <w:left w:val="none" w:sz="0" w:space="0" w:color="auto"/>
        <w:bottom w:val="none" w:sz="0" w:space="0" w:color="auto"/>
        <w:right w:val="none" w:sz="0" w:space="0" w:color="auto"/>
      </w:divBdr>
    </w:div>
    <w:div w:id="770709777">
      <w:bodyDiv w:val="1"/>
      <w:marLeft w:val="0"/>
      <w:marRight w:val="0"/>
      <w:marTop w:val="0"/>
      <w:marBottom w:val="0"/>
      <w:divBdr>
        <w:top w:val="none" w:sz="0" w:space="0" w:color="auto"/>
        <w:left w:val="none" w:sz="0" w:space="0" w:color="auto"/>
        <w:bottom w:val="none" w:sz="0" w:space="0" w:color="auto"/>
        <w:right w:val="none" w:sz="0" w:space="0" w:color="auto"/>
      </w:divBdr>
    </w:div>
    <w:div w:id="790593277">
      <w:bodyDiv w:val="1"/>
      <w:marLeft w:val="0"/>
      <w:marRight w:val="0"/>
      <w:marTop w:val="0"/>
      <w:marBottom w:val="0"/>
      <w:divBdr>
        <w:top w:val="none" w:sz="0" w:space="0" w:color="auto"/>
        <w:left w:val="none" w:sz="0" w:space="0" w:color="auto"/>
        <w:bottom w:val="none" w:sz="0" w:space="0" w:color="auto"/>
        <w:right w:val="none" w:sz="0" w:space="0" w:color="auto"/>
      </w:divBdr>
      <w:divsChild>
        <w:div w:id="1149058961">
          <w:marLeft w:val="0"/>
          <w:marRight w:val="0"/>
          <w:marTop w:val="0"/>
          <w:marBottom w:val="0"/>
          <w:divBdr>
            <w:top w:val="none" w:sz="0" w:space="0" w:color="auto"/>
            <w:left w:val="none" w:sz="0" w:space="0" w:color="auto"/>
            <w:bottom w:val="none" w:sz="0" w:space="0" w:color="auto"/>
            <w:right w:val="none" w:sz="0" w:space="0" w:color="auto"/>
          </w:divBdr>
          <w:divsChild>
            <w:div w:id="112752049">
              <w:marLeft w:val="0"/>
              <w:marRight w:val="0"/>
              <w:marTop w:val="0"/>
              <w:marBottom w:val="0"/>
              <w:divBdr>
                <w:top w:val="none" w:sz="0" w:space="0" w:color="auto"/>
                <w:left w:val="none" w:sz="0" w:space="0" w:color="auto"/>
                <w:bottom w:val="none" w:sz="0" w:space="0" w:color="auto"/>
                <w:right w:val="none" w:sz="0" w:space="0" w:color="auto"/>
              </w:divBdr>
              <w:divsChild>
                <w:div w:id="979073333">
                  <w:marLeft w:val="0"/>
                  <w:marRight w:val="0"/>
                  <w:marTop w:val="0"/>
                  <w:marBottom w:val="0"/>
                  <w:divBdr>
                    <w:top w:val="none" w:sz="0" w:space="0" w:color="auto"/>
                    <w:left w:val="none" w:sz="0" w:space="0" w:color="auto"/>
                    <w:bottom w:val="none" w:sz="0" w:space="0" w:color="auto"/>
                    <w:right w:val="none" w:sz="0" w:space="0" w:color="auto"/>
                  </w:divBdr>
                </w:div>
              </w:divsChild>
            </w:div>
            <w:div w:id="199242155">
              <w:marLeft w:val="0"/>
              <w:marRight w:val="0"/>
              <w:marTop w:val="0"/>
              <w:marBottom w:val="0"/>
              <w:divBdr>
                <w:top w:val="none" w:sz="0" w:space="0" w:color="auto"/>
                <w:left w:val="none" w:sz="0" w:space="0" w:color="auto"/>
                <w:bottom w:val="none" w:sz="0" w:space="0" w:color="auto"/>
                <w:right w:val="none" w:sz="0" w:space="0" w:color="auto"/>
              </w:divBdr>
              <w:divsChild>
                <w:div w:id="787622064">
                  <w:marLeft w:val="0"/>
                  <w:marRight w:val="0"/>
                  <w:marTop w:val="0"/>
                  <w:marBottom w:val="0"/>
                  <w:divBdr>
                    <w:top w:val="none" w:sz="0" w:space="0" w:color="auto"/>
                    <w:left w:val="none" w:sz="0" w:space="0" w:color="auto"/>
                    <w:bottom w:val="none" w:sz="0" w:space="0" w:color="auto"/>
                    <w:right w:val="none" w:sz="0" w:space="0" w:color="auto"/>
                  </w:divBdr>
                </w:div>
              </w:divsChild>
            </w:div>
            <w:div w:id="341472774">
              <w:marLeft w:val="0"/>
              <w:marRight w:val="0"/>
              <w:marTop w:val="0"/>
              <w:marBottom w:val="0"/>
              <w:divBdr>
                <w:top w:val="none" w:sz="0" w:space="0" w:color="auto"/>
                <w:left w:val="none" w:sz="0" w:space="0" w:color="auto"/>
                <w:bottom w:val="none" w:sz="0" w:space="0" w:color="auto"/>
                <w:right w:val="none" w:sz="0" w:space="0" w:color="auto"/>
              </w:divBdr>
              <w:divsChild>
                <w:div w:id="299187411">
                  <w:marLeft w:val="0"/>
                  <w:marRight w:val="0"/>
                  <w:marTop w:val="0"/>
                  <w:marBottom w:val="0"/>
                  <w:divBdr>
                    <w:top w:val="none" w:sz="0" w:space="0" w:color="auto"/>
                    <w:left w:val="none" w:sz="0" w:space="0" w:color="auto"/>
                    <w:bottom w:val="none" w:sz="0" w:space="0" w:color="auto"/>
                    <w:right w:val="none" w:sz="0" w:space="0" w:color="auto"/>
                  </w:divBdr>
                </w:div>
              </w:divsChild>
            </w:div>
            <w:div w:id="604969660">
              <w:marLeft w:val="0"/>
              <w:marRight w:val="0"/>
              <w:marTop w:val="0"/>
              <w:marBottom w:val="0"/>
              <w:divBdr>
                <w:top w:val="none" w:sz="0" w:space="0" w:color="auto"/>
                <w:left w:val="none" w:sz="0" w:space="0" w:color="auto"/>
                <w:bottom w:val="none" w:sz="0" w:space="0" w:color="auto"/>
                <w:right w:val="none" w:sz="0" w:space="0" w:color="auto"/>
              </w:divBdr>
              <w:divsChild>
                <w:div w:id="19815982">
                  <w:marLeft w:val="0"/>
                  <w:marRight w:val="0"/>
                  <w:marTop w:val="0"/>
                  <w:marBottom w:val="0"/>
                  <w:divBdr>
                    <w:top w:val="none" w:sz="0" w:space="0" w:color="auto"/>
                    <w:left w:val="none" w:sz="0" w:space="0" w:color="auto"/>
                    <w:bottom w:val="none" w:sz="0" w:space="0" w:color="auto"/>
                    <w:right w:val="none" w:sz="0" w:space="0" w:color="auto"/>
                  </w:divBdr>
                </w:div>
              </w:divsChild>
            </w:div>
            <w:div w:id="991252400">
              <w:marLeft w:val="0"/>
              <w:marRight w:val="0"/>
              <w:marTop w:val="0"/>
              <w:marBottom w:val="0"/>
              <w:divBdr>
                <w:top w:val="none" w:sz="0" w:space="0" w:color="auto"/>
                <w:left w:val="none" w:sz="0" w:space="0" w:color="auto"/>
                <w:bottom w:val="none" w:sz="0" w:space="0" w:color="auto"/>
                <w:right w:val="none" w:sz="0" w:space="0" w:color="auto"/>
              </w:divBdr>
              <w:divsChild>
                <w:div w:id="1080635884">
                  <w:marLeft w:val="0"/>
                  <w:marRight w:val="0"/>
                  <w:marTop w:val="0"/>
                  <w:marBottom w:val="0"/>
                  <w:divBdr>
                    <w:top w:val="none" w:sz="0" w:space="0" w:color="auto"/>
                    <w:left w:val="none" w:sz="0" w:space="0" w:color="auto"/>
                    <w:bottom w:val="none" w:sz="0" w:space="0" w:color="auto"/>
                    <w:right w:val="none" w:sz="0" w:space="0" w:color="auto"/>
                  </w:divBdr>
                </w:div>
              </w:divsChild>
            </w:div>
            <w:div w:id="1094017131">
              <w:marLeft w:val="0"/>
              <w:marRight w:val="0"/>
              <w:marTop w:val="0"/>
              <w:marBottom w:val="0"/>
              <w:divBdr>
                <w:top w:val="none" w:sz="0" w:space="0" w:color="auto"/>
                <w:left w:val="none" w:sz="0" w:space="0" w:color="auto"/>
                <w:bottom w:val="none" w:sz="0" w:space="0" w:color="auto"/>
                <w:right w:val="none" w:sz="0" w:space="0" w:color="auto"/>
              </w:divBdr>
              <w:divsChild>
                <w:div w:id="1805587015">
                  <w:marLeft w:val="0"/>
                  <w:marRight w:val="0"/>
                  <w:marTop w:val="0"/>
                  <w:marBottom w:val="0"/>
                  <w:divBdr>
                    <w:top w:val="none" w:sz="0" w:space="0" w:color="auto"/>
                    <w:left w:val="none" w:sz="0" w:space="0" w:color="auto"/>
                    <w:bottom w:val="none" w:sz="0" w:space="0" w:color="auto"/>
                    <w:right w:val="none" w:sz="0" w:space="0" w:color="auto"/>
                  </w:divBdr>
                </w:div>
              </w:divsChild>
            </w:div>
            <w:div w:id="1382172795">
              <w:marLeft w:val="0"/>
              <w:marRight w:val="0"/>
              <w:marTop w:val="0"/>
              <w:marBottom w:val="0"/>
              <w:divBdr>
                <w:top w:val="none" w:sz="0" w:space="0" w:color="auto"/>
                <w:left w:val="none" w:sz="0" w:space="0" w:color="auto"/>
                <w:bottom w:val="none" w:sz="0" w:space="0" w:color="auto"/>
                <w:right w:val="none" w:sz="0" w:space="0" w:color="auto"/>
              </w:divBdr>
              <w:divsChild>
                <w:div w:id="36247215">
                  <w:marLeft w:val="0"/>
                  <w:marRight w:val="0"/>
                  <w:marTop w:val="0"/>
                  <w:marBottom w:val="0"/>
                  <w:divBdr>
                    <w:top w:val="none" w:sz="0" w:space="0" w:color="auto"/>
                    <w:left w:val="none" w:sz="0" w:space="0" w:color="auto"/>
                    <w:bottom w:val="none" w:sz="0" w:space="0" w:color="auto"/>
                    <w:right w:val="none" w:sz="0" w:space="0" w:color="auto"/>
                  </w:divBdr>
                </w:div>
              </w:divsChild>
            </w:div>
            <w:div w:id="1677883511">
              <w:marLeft w:val="0"/>
              <w:marRight w:val="0"/>
              <w:marTop w:val="0"/>
              <w:marBottom w:val="0"/>
              <w:divBdr>
                <w:top w:val="none" w:sz="0" w:space="0" w:color="auto"/>
                <w:left w:val="none" w:sz="0" w:space="0" w:color="auto"/>
                <w:bottom w:val="none" w:sz="0" w:space="0" w:color="auto"/>
                <w:right w:val="none" w:sz="0" w:space="0" w:color="auto"/>
              </w:divBdr>
              <w:divsChild>
                <w:div w:id="607591041">
                  <w:marLeft w:val="0"/>
                  <w:marRight w:val="0"/>
                  <w:marTop w:val="0"/>
                  <w:marBottom w:val="0"/>
                  <w:divBdr>
                    <w:top w:val="none" w:sz="0" w:space="0" w:color="auto"/>
                    <w:left w:val="none" w:sz="0" w:space="0" w:color="auto"/>
                    <w:bottom w:val="none" w:sz="0" w:space="0" w:color="auto"/>
                    <w:right w:val="none" w:sz="0" w:space="0" w:color="auto"/>
                  </w:divBdr>
                </w:div>
              </w:divsChild>
            </w:div>
            <w:div w:id="1734111772">
              <w:marLeft w:val="0"/>
              <w:marRight w:val="0"/>
              <w:marTop w:val="0"/>
              <w:marBottom w:val="0"/>
              <w:divBdr>
                <w:top w:val="none" w:sz="0" w:space="0" w:color="auto"/>
                <w:left w:val="none" w:sz="0" w:space="0" w:color="auto"/>
                <w:bottom w:val="none" w:sz="0" w:space="0" w:color="auto"/>
                <w:right w:val="none" w:sz="0" w:space="0" w:color="auto"/>
              </w:divBdr>
              <w:divsChild>
                <w:div w:id="452284097">
                  <w:marLeft w:val="0"/>
                  <w:marRight w:val="0"/>
                  <w:marTop w:val="0"/>
                  <w:marBottom w:val="0"/>
                  <w:divBdr>
                    <w:top w:val="none" w:sz="0" w:space="0" w:color="auto"/>
                    <w:left w:val="none" w:sz="0" w:space="0" w:color="auto"/>
                    <w:bottom w:val="none" w:sz="0" w:space="0" w:color="auto"/>
                    <w:right w:val="none" w:sz="0" w:space="0" w:color="auto"/>
                  </w:divBdr>
                </w:div>
              </w:divsChild>
            </w:div>
            <w:div w:id="2113091375">
              <w:marLeft w:val="0"/>
              <w:marRight w:val="0"/>
              <w:marTop w:val="0"/>
              <w:marBottom w:val="0"/>
              <w:divBdr>
                <w:top w:val="none" w:sz="0" w:space="0" w:color="auto"/>
                <w:left w:val="none" w:sz="0" w:space="0" w:color="auto"/>
                <w:bottom w:val="none" w:sz="0" w:space="0" w:color="auto"/>
                <w:right w:val="none" w:sz="0" w:space="0" w:color="auto"/>
              </w:divBdr>
              <w:divsChild>
                <w:div w:id="800458966">
                  <w:marLeft w:val="0"/>
                  <w:marRight w:val="0"/>
                  <w:marTop w:val="0"/>
                  <w:marBottom w:val="0"/>
                  <w:divBdr>
                    <w:top w:val="none" w:sz="0" w:space="0" w:color="auto"/>
                    <w:left w:val="none" w:sz="0" w:space="0" w:color="auto"/>
                    <w:bottom w:val="none" w:sz="0" w:space="0" w:color="auto"/>
                    <w:right w:val="none" w:sz="0" w:space="0" w:color="auto"/>
                  </w:divBdr>
                </w:div>
              </w:divsChild>
            </w:div>
            <w:div w:id="2133665983">
              <w:marLeft w:val="0"/>
              <w:marRight w:val="0"/>
              <w:marTop w:val="0"/>
              <w:marBottom w:val="0"/>
              <w:divBdr>
                <w:top w:val="none" w:sz="0" w:space="0" w:color="auto"/>
                <w:left w:val="none" w:sz="0" w:space="0" w:color="auto"/>
                <w:bottom w:val="none" w:sz="0" w:space="0" w:color="auto"/>
                <w:right w:val="none" w:sz="0" w:space="0" w:color="auto"/>
              </w:divBdr>
              <w:divsChild>
                <w:div w:id="8504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13254">
      <w:bodyDiv w:val="1"/>
      <w:marLeft w:val="0"/>
      <w:marRight w:val="0"/>
      <w:marTop w:val="0"/>
      <w:marBottom w:val="0"/>
      <w:divBdr>
        <w:top w:val="none" w:sz="0" w:space="0" w:color="auto"/>
        <w:left w:val="none" w:sz="0" w:space="0" w:color="auto"/>
        <w:bottom w:val="none" w:sz="0" w:space="0" w:color="auto"/>
        <w:right w:val="none" w:sz="0" w:space="0" w:color="auto"/>
      </w:divBdr>
      <w:divsChild>
        <w:div w:id="44138474">
          <w:marLeft w:val="0"/>
          <w:marRight w:val="0"/>
          <w:marTop w:val="0"/>
          <w:marBottom w:val="0"/>
          <w:divBdr>
            <w:top w:val="none" w:sz="0" w:space="0" w:color="auto"/>
            <w:left w:val="none" w:sz="0" w:space="0" w:color="auto"/>
            <w:bottom w:val="none" w:sz="0" w:space="0" w:color="auto"/>
            <w:right w:val="none" w:sz="0" w:space="0" w:color="auto"/>
          </w:divBdr>
          <w:divsChild>
            <w:div w:id="104885566">
              <w:marLeft w:val="0"/>
              <w:marRight w:val="0"/>
              <w:marTop w:val="0"/>
              <w:marBottom w:val="0"/>
              <w:divBdr>
                <w:top w:val="none" w:sz="0" w:space="0" w:color="auto"/>
                <w:left w:val="none" w:sz="0" w:space="0" w:color="auto"/>
                <w:bottom w:val="none" w:sz="0" w:space="0" w:color="auto"/>
                <w:right w:val="none" w:sz="0" w:space="0" w:color="auto"/>
              </w:divBdr>
            </w:div>
          </w:divsChild>
        </w:div>
        <w:div w:id="82192069">
          <w:marLeft w:val="0"/>
          <w:marRight w:val="0"/>
          <w:marTop w:val="0"/>
          <w:marBottom w:val="0"/>
          <w:divBdr>
            <w:top w:val="none" w:sz="0" w:space="0" w:color="auto"/>
            <w:left w:val="none" w:sz="0" w:space="0" w:color="auto"/>
            <w:bottom w:val="none" w:sz="0" w:space="0" w:color="auto"/>
            <w:right w:val="none" w:sz="0" w:space="0" w:color="auto"/>
          </w:divBdr>
          <w:divsChild>
            <w:div w:id="1326741559">
              <w:marLeft w:val="0"/>
              <w:marRight w:val="0"/>
              <w:marTop w:val="0"/>
              <w:marBottom w:val="0"/>
              <w:divBdr>
                <w:top w:val="none" w:sz="0" w:space="0" w:color="auto"/>
                <w:left w:val="none" w:sz="0" w:space="0" w:color="auto"/>
                <w:bottom w:val="none" w:sz="0" w:space="0" w:color="auto"/>
                <w:right w:val="none" w:sz="0" w:space="0" w:color="auto"/>
              </w:divBdr>
            </w:div>
          </w:divsChild>
        </w:div>
        <w:div w:id="166530156">
          <w:marLeft w:val="0"/>
          <w:marRight w:val="0"/>
          <w:marTop w:val="0"/>
          <w:marBottom w:val="0"/>
          <w:divBdr>
            <w:top w:val="none" w:sz="0" w:space="0" w:color="auto"/>
            <w:left w:val="none" w:sz="0" w:space="0" w:color="auto"/>
            <w:bottom w:val="none" w:sz="0" w:space="0" w:color="auto"/>
            <w:right w:val="none" w:sz="0" w:space="0" w:color="auto"/>
          </w:divBdr>
          <w:divsChild>
            <w:div w:id="1416626526">
              <w:marLeft w:val="0"/>
              <w:marRight w:val="0"/>
              <w:marTop w:val="0"/>
              <w:marBottom w:val="0"/>
              <w:divBdr>
                <w:top w:val="none" w:sz="0" w:space="0" w:color="auto"/>
                <w:left w:val="none" w:sz="0" w:space="0" w:color="auto"/>
                <w:bottom w:val="none" w:sz="0" w:space="0" w:color="auto"/>
                <w:right w:val="none" w:sz="0" w:space="0" w:color="auto"/>
              </w:divBdr>
            </w:div>
          </w:divsChild>
        </w:div>
        <w:div w:id="236401484">
          <w:marLeft w:val="0"/>
          <w:marRight w:val="0"/>
          <w:marTop w:val="0"/>
          <w:marBottom w:val="0"/>
          <w:divBdr>
            <w:top w:val="none" w:sz="0" w:space="0" w:color="auto"/>
            <w:left w:val="none" w:sz="0" w:space="0" w:color="auto"/>
            <w:bottom w:val="none" w:sz="0" w:space="0" w:color="auto"/>
            <w:right w:val="none" w:sz="0" w:space="0" w:color="auto"/>
          </w:divBdr>
          <w:divsChild>
            <w:div w:id="276066055">
              <w:marLeft w:val="0"/>
              <w:marRight w:val="0"/>
              <w:marTop w:val="0"/>
              <w:marBottom w:val="0"/>
              <w:divBdr>
                <w:top w:val="none" w:sz="0" w:space="0" w:color="auto"/>
                <w:left w:val="none" w:sz="0" w:space="0" w:color="auto"/>
                <w:bottom w:val="none" w:sz="0" w:space="0" w:color="auto"/>
                <w:right w:val="none" w:sz="0" w:space="0" w:color="auto"/>
              </w:divBdr>
            </w:div>
          </w:divsChild>
        </w:div>
        <w:div w:id="263079449">
          <w:marLeft w:val="0"/>
          <w:marRight w:val="0"/>
          <w:marTop w:val="0"/>
          <w:marBottom w:val="0"/>
          <w:divBdr>
            <w:top w:val="none" w:sz="0" w:space="0" w:color="auto"/>
            <w:left w:val="none" w:sz="0" w:space="0" w:color="auto"/>
            <w:bottom w:val="none" w:sz="0" w:space="0" w:color="auto"/>
            <w:right w:val="none" w:sz="0" w:space="0" w:color="auto"/>
          </w:divBdr>
          <w:divsChild>
            <w:div w:id="620190743">
              <w:marLeft w:val="0"/>
              <w:marRight w:val="0"/>
              <w:marTop w:val="0"/>
              <w:marBottom w:val="0"/>
              <w:divBdr>
                <w:top w:val="none" w:sz="0" w:space="0" w:color="auto"/>
                <w:left w:val="none" w:sz="0" w:space="0" w:color="auto"/>
                <w:bottom w:val="none" w:sz="0" w:space="0" w:color="auto"/>
                <w:right w:val="none" w:sz="0" w:space="0" w:color="auto"/>
              </w:divBdr>
            </w:div>
          </w:divsChild>
        </w:div>
        <w:div w:id="313418671">
          <w:marLeft w:val="0"/>
          <w:marRight w:val="0"/>
          <w:marTop w:val="0"/>
          <w:marBottom w:val="0"/>
          <w:divBdr>
            <w:top w:val="none" w:sz="0" w:space="0" w:color="auto"/>
            <w:left w:val="none" w:sz="0" w:space="0" w:color="auto"/>
            <w:bottom w:val="none" w:sz="0" w:space="0" w:color="auto"/>
            <w:right w:val="none" w:sz="0" w:space="0" w:color="auto"/>
          </w:divBdr>
          <w:divsChild>
            <w:div w:id="1419329070">
              <w:marLeft w:val="0"/>
              <w:marRight w:val="0"/>
              <w:marTop w:val="0"/>
              <w:marBottom w:val="0"/>
              <w:divBdr>
                <w:top w:val="none" w:sz="0" w:space="0" w:color="auto"/>
                <w:left w:val="none" w:sz="0" w:space="0" w:color="auto"/>
                <w:bottom w:val="none" w:sz="0" w:space="0" w:color="auto"/>
                <w:right w:val="none" w:sz="0" w:space="0" w:color="auto"/>
              </w:divBdr>
            </w:div>
          </w:divsChild>
        </w:div>
        <w:div w:id="366831309">
          <w:marLeft w:val="0"/>
          <w:marRight w:val="0"/>
          <w:marTop w:val="0"/>
          <w:marBottom w:val="0"/>
          <w:divBdr>
            <w:top w:val="none" w:sz="0" w:space="0" w:color="auto"/>
            <w:left w:val="none" w:sz="0" w:space="0" w:color="auto"/>
            <w:bottom w:val="none" w:sz="0" w:space="0" w:color="auto"/>
            <w:right w:val="none" w:sz="0" w:space="0" w:color="auto"/>
          </w:divBdr>
          <w:divsChild>
            <w:div w:id="1162892902">
              <w:marLeft w:val="0"/>
              <w:marRight w:val="0"/>
              <w:marTop w:val="0"/>
              <w:marBottom w:val="0"/>
              <w:divBdr>
                <w:top w:val="none" w:sz="0" w:space="0" w:color="auto"/>
                <w:left w:val="none" w:sz="0" w:space="0" w:color="auto"/>
                <w:bottom w:val="none" w:sz="0" w:space="0" w:color="auto"/>
                <w:right w:val="none" w:sz="0" w:space="0" w:color="auto"/>
              </w:divBdr>
            </w:div>
          </w:divsChild>
        </w:div>
        <w:div w:id="408842928">
          <w:marLeft w:val="0"/>
          <w:marRight w:val="0"/>
          <w:marTop w:val="0"/>
          <w:marBottom w:val="0"/>
          <w:divBdr>
            <w:top w:val="none" w:sz="0" w:space="0" w:color="auto"/>
            <w:left w:val="none" w:sz="0" w:space="0" w:color="auto"/>
            <w:bottom w:val="none" w:sz="0" w:space="0" w:color="auto"/>
            <w:right w:val="none" w:sz="0" w:space="0" w:color="auto"/>
          </w:divBdr>
          <w:divsChild>
            <w:div w:id="37899060">
              <w:marLeft w:val="0"/>
              <w:marRight w:val="0"/>
              <w:marTop w:val="0"/>
              <w:marBottom w:val="0"/>
              <w:divBdr>
                <w:top w:val="none" w:sz="0" w:space="0" w:color="auto"/>
                <w:left w:val="none" w:sz="0" w:space="0" w:color="auto"/>
                <w:bottom w:val="none" w:sz="0" w:space="0" w:color="auto"/>
                <w:right w:val="none" w:sz="0" w:space="0" w:color="auto"/>
              </w:divBdr>
            </w:div>
          </w:divsChild>
        </w:div>
        <w:div w:id="428278899">
          <w:marLeft w:val="0"/>
          <w:marRight w:val="0"/>
          <w:marTop w:val="0"/>
          <w:marBottom w:val="0"/>
          <w:divBdr>
            <w:top w:val="none" w:sz="0" w:space="0" w:color="auto"/>
            <w:left w:val="none" w:sz="0" w:space="0" w:color="auto"/>
            <w:bottom w:val="none" w:sz="0" w:space="0" w:color="auto"/>
            <w:right w:val="none" w:sz="0" w:space="0" w:color="auto"/>
          </w:divBdr>
          <w:divsChild>
            <w:div w:id="109446061">
              <w:marLeft w:val="0"/>
              <w:marRight w:val="0"/>
              <w:marTop w:val="0"/>
              <w:marBottom w:val="0"/>
              <w:divBdr>
                <w:top w:val="none" w:sz="0" w:space="0" w:color="auto"/>
                <w:left w:val="none" w:sz="0" w:space="0" w:color="auto"/>
                <w:bottom w:val="none" w:sz="0" w:space="0" w:color="auto"/>
                <w:right w:val="none" w:sz="0" w:space="0" w:color="auto"/>
              </w:divBdr>
            </w:div>
          </w:divsChild>
        </w:div>
        <w:div w:id="465588219">
          <w:marLeft w:val="0"/>
          <w:marRight w:val="0"/>
          <w:marTop w:val="0"/>
          <w:marBottom w:val="0"/>
          <w:divBdr>
            <w:top w:val="none" w:sz="0" w:space="0" w:color="auto"/>
            <w:left w:val="none" w:sz="0" w:space="0" w:color="auto"/>
            <w:bottom w:val="none" w:sz="0" w:space="0" w:color="auto"/>
            <w:right w:val="none" w:sz="0" w:space="0" w:color="auto"/>
          </w:divBdr>
          <w:divsChild>
            <w:div w:id="879780888">
              <w:marLeft w:val="0"/>
              <w:marRight w:val="0"/>
              <w:marTop w:val="0"/>
              <w:marBottom w:val="0"/>
              <w:divBdr>
                <w:top w:val="none" w:sz="0" w:space="0" w:color="auto"/>
                <w:left w:val="none" w:sz="0" w:space="0" w:color="auto"/>
                <w:bottom w:val="none" w:sz="0" w:space="0" w:color="auto"/>
                <w:right w:val="none" w:sz="0" w:space="0" w:color="auto"/>
              </w:divBdr>
            </w:div>
          </w:divsChild>
        </w:div>
        <w:div w:id="505243093">
          <w:marLeft w:val="0"/>
          <w:marRight w:val="0"/>
          <w:marTop w:val="0"/>
          <w:marBottom w:val="0"/>
          <w:divBdr>
            <w:top w:val="none" w:sz="0" w:space="0" w:color="auto"/>
            <w:left w:val="none" w:sz="0" w:space="0" w:color="auto"/>
            <w:bottom w:val="none" w:sz="0" w:space="0" w:color="auto"/>
            <w:right w:val="none" w:sz="0" w:space="0" w:color="auto"/>
          </w:divBdr>
          <w:divsChild>
            <w:div w:id="515342109">
              <w:marLeft w:val="0"/>
              <w:marRight w:val="0"/>
              <w:marTop w:val="0"/>
              <w:marBottom w:val="0"/>
              <w:divBdr>
                <w:top w:val="none" w:sz="0" w:space="0" w:color="auto"/>
                <w:left w:val="none" w:sz="0" w:space="0" w:color="auto"/>
                <w:bottom w:val="none" w:sz="0" w:space="0" w:color="auto"/>
                <w:right w:val="none" w:sz="0" w:space="0" w:color="auto"/>
              </w:divBdr>
            </w:div>
          </w:divsChild>
        </w:div>
        <w:div w:id="593245657">
          <w:marLeft w:val="0"/>
          <w:marRight w:val="0"/>
          <w:marTop w:val="0"/>
          <w:marBottom w:val="0"/>
          <w:divBdr>
            <w:top w:val="none" w:sz="0" w:space="0" w:color="auto"/>
            <w:left w:val="none" w:sz="0" w:space="0" w:color="auto"/>
            <w:bottom w:val="none" w:sz="0" w:space="0" w:color="auto"/>
            <w:right w:val="none" w:sz="0" w:space="0" w:color="auto"/>
          </w:divBdr>
          <w:divsChild>
            <w:div w:id="1065419694">
              <w:marLeft w:val="0"/>
              <w:marRight w:val="0"/>
              <w:marTop w:val="0"/>
              <w:marBottom w:val="0"/>
              <w:divBdr>
                <w:top w:val="none" w:sz="0" w:space="0" w:color="auto"/>
                <w:left w:val="none" w:sz="0" w:space="0" w:color="auto"/>
                <w:bottom w:val="none" w:sz="0" w:space="0" w:color="auto"/>
                <w:right w:val="none" w:sz="0" w:space="0" w:color="auto"/>
              </w:divBdr>
            </w:div>
          </w:divsChild>
        </w:div>
        <w:div w:id="642080325">
          <w:marLeft w:val="0"/>
          <w:marRight w:val="0"/>
          <w:marTop w:val="0"/>
          <w:marBottom w:val="0"/>
          <w:divBdr>
            <w:top w:val="none" w:sz="0" w:space="0" w:color="auto"/>
            <w:left w:val="none" w:sz="0" w:space="0" w:color="auto"/>
            <w:bottom w:val="none" w:sz="0" w:space="0" w:color="auto"/>
            <w:right w:val="none" w:sz="0" w:space="0" w:color="auto"/>
          </w:divBdr>
          <w:divsChild>
            <w:div w:id="1456293090">
              <w:marLeft w:val="0"/>
              <w:marRight w:val="0"/>
              <w:marTop w:val="0"/>
              <w:marBottom w:val="0"/>
              <w:divBdr>
                <w:top w:val="none" w:sz="0" w:space="0" w:color="auto"/>
                <w:left w:val="none" w:sz="0" w:space="0" w:color="auto"/>
                <w:bottom w:val="none" w:sz="0" w:space="0" w:color="auto"/>
                <w:right w:val="none" w:sz="0" w:space="0" w:color="auto"/>
              </w:divBdr>
            </w:div>
          </w:divsChild>
        </w:div>
        <w:div w:id="654383069">
          <w:marLeft w:val="0"/>
          <w:marRight w:val="0"/>
          <w:marTop w:val="0"/>
          <w:marBottom w:val="0"/>
          <w:divBdr>
            <w:top w:val="none" w:sz="0" w:space="0" w:color="auto"/>
            <w:left w:val="none" w:sz="0" w:space="0" w:color="auto"/>
            <w:bottom w:val="none" w:sz="0" w:space="0" w:color="auto"/>
            <w:right w:val="none" w:sz="0" w:space="0" w:color="auto"/>
          </w:divBdr>
          <w:divsChild>
            <w:div w:id="278533005">
              <w:marLeft w:val="0"/>
              <w:marRight w:val="0"/>
              <w:marTop w:val="0"/>
              <w:marBottom w:val="0"/>
              <w:divBdr>
                <w:top w:val="none" w:sz="0" w:space="0" w:color="auto"/>
                <w:left w:val="none" w:sz="0" w:space="0" w:color="auto"/>
                <w:bottom w:val="none" w:sz="0" w:space="0" w:color="auto"/>
                <w:right w:val="none" w:sz="0" w:space="0" w:color="auto"/>
              </w:divBdr>
            </w:div>
          </w:divsChild>
        </w:div>
        <w:div w:id="686172154">
          <w:marLeft w:val="0"/>
          <w:marRight w:val="0"/>
          <w:marTop w:val="0"/>
          <w:marBottom w:val="0"/>
          <w:divBdr>
            <w:top w:val="none" w:sz="0" w:space="0" w:color="auto"/>
            <w:left w:val="none" w:sz="0" w:space="0" w:color="auto"/>
            <w:bottom w:val="none" w:sz="0" w:space="0" w:color="auto"/>
            <w:right w:val="none" w:sz="0" w:space="0" w:color="auto"/>
          </w:divBdr>
          <w:divsChild>
            <w:div w:id="393897915">
              <w:marLeft w:val="0"/>
              <w:marRight w:val="0"/>
              <w:marTop w:val="0"/>
              <w:marBottom w:val="0"/>
              <w:divBdr>
                <w:top w:val="none" w:sz="0" w:space="0" w:color="auto"/>
                <w:left w:val="none" w:sz="0" w:space="0" w:color="auto"/>
                <w:bottom w:val="none" w:sz="0" w:space="0" w:color="auto"/>
                <w:right w:val="none" w:sz="0" w:space="0" w:color="auto"/>
              </w:divBdr>
            </w:div>
          </w:divsChild>
        </w:div>
        <w:div w:id="695623046">
          <w:marLeft w:val="0"/>
          <w:marRight w:val="0"/>
          <w:marTop w:val="0"/>
          <w:marBottom w:val="0"/>
          <w:divBdr>
            <w:top w:val="none" w:sz="0" w:space="0" w:color="auto"/>
            <w:left w:val="none" w:sz="0" w:space="0" w:color="auto"/>
            <w:bottom w:val="none" w:sz="0" w:space="0" w:color="auto"/>
            <w:right w:val="none" w:sz="0" w:space="0" w:color="auto"/>
          </w:divBdr>
          <w:divsChild>
            <w:div w:id="1766261644">
              <w:marLeft w:val="0"/>
              <w:marRight w:val="0"/>
              <w:marTop w:val="0"/>
              <w:marBottom w:val="0"/>
              <w:divBdr>
                <w:top w:val="none" w:sz="0" w:space="0" w:color="auto"/>
                <w:left w:val="none" w:sz="0" w:space="0" w:color="auto"/>
                <w:bottom w:val="none" w:sz="0" w:space="0" w:color="auto"/>
                <w:right w:val="none" w:sz="0" w:space="0" w:color="auto"/>
              </w:divBdr>
            </w:div>
          </w:divsChild>
        </w:div>
        <w:div w:id="711072625">
          <w:marLeft w:val="0"/>
          <w:marRight w:val="0"/>
          <w:marTop w:val="0"/>
          <w:marBottom w:val="0"/>
          <w:divBdr>
            <w:top w:val="none" w:sz="0" w:space="0" w:color="auto"/>
            <w:left w:val="none" w:sz="0" w:space="0" w:color="auto"/>
            <w:bottom w:val="none" w:sz="0" w:space="0" w:color="auto"/>
            <w:right w:val="none" w:sz="0" w:space="0" w:color="auto"/>
          </w:divBdr>
          <w:divsChild>
            <w:div w:id="2059083486">
              <w:marLeft w:val="0"/>
              <w:marRight w:val="0"/>
              <w:marTop w:val="0"/>
              <w:marBottom w:val="0"/>
              <w:divBdr>
                <w:top w:val="none" w:sz="0" w:space="0" w:color="auto"/>
                <w:left w:val="none" w:sz="0" w:space="0" w:color="auto"/>
                <w:bottom w:val="none" w:sz="0" w:space="0" w:color="auto"/>
                <w:right w:val="none" w:sz="0" w:space="0" w:color="auto"/>
              </w:divBdr>
            </w:div>
          </w:divsChild>
        </w:div>
        <w:div w:id="713961852">
          <w:marLeft w:val="0"/>
          <w:marRight w:val="0"/>
          <w:marTop w:val="0"/>
          <w:marBottom w:val="0"/>
          <w:divBdr>
            <w:top w:val="none" w:sz="0" w:space="0" w:color="auto"/>
            <w:left w:val="none" w:sz="0" w:space="0" w:color="auto"/>
            <w:bottom w:val="none" w:sz="0" w:space="0" w:color="auto"/>
            <w:right w:val="none" w:sz="0" w:space="0" w:color="auto"/>
          </w:divBdr>
          <w:divsChild>
            <w:div w:id="1704671170">
              <w:marLeft w:val="0"/>
              <w:marRight w:val="0"/>
              <w:marTop w:val="0"/>
              <w:marBottom w:val="0"/>
              <w:divBdr>
                <w:top w:val="none" w:sz="0" w:space="0" w:color="auto"/>
                <w:left w:val="none" w:sz="0" w:space="0" w:color="auto"/>
                <w:bottom w:val="none" w:sz="0" w:space="0" w:color="auto"/>
                <w:right w:val="none" w:sz="0" w:space="0" w:color="auto"/>
              </w:divBdr>
            </w:div>
          </w:divsChild>
        </w:div>
        <w:div w:id="777873179">
          <w:marLeft w:val="0"/>
          <w:marRight w:val="0"/>
          <w:marTop w:val="0"/>
          <w:marBottom w:val="0"/>
          <w:divBdr>
            <w:top w:val="none" w:sz="0" w:space="0" w:color="auto"/>
            <w:left w:val="none" w:sz="0" w:space="0" w:color="auto"/>
            <w:bottom w:val="none" w:sz="0" w:space="0" w:color="auto"/>
            <w:right w:val="none" w:sz="0" w:space="0" w:color="auto"/>
          </w:divBdr>
          <w:divsChild>
            <w:div w:id="413820296">
              <w:marLeft w:val="0"/>
              <w:marRight w:val="0"/>
              <w:marTop w:val="0"/>
              <w:marBottom w:val="0"/>
              <w:divBdr>
                <w:top w:val="none" w:sz="0" w:space="0" w:color="auto"/>
                <w:left w:val="none" w:sz="0" w:space="0" w:color="auto"/>
                <w:bottom w:val="none" w:sz="0" w:space="0" w:color="auto"/>
                <w:right w:val="none" w:sz="0" w:space="0" w:color="auto"/>
              </w:divBdr>
            </w:div>
          </w:divsChild>
        </w:div>
        <w:div w:id="791939525">
          <w:marLeft w:val="0"/>
          <w:marRight w:val="0"/>
          <w:marTop w:val="0"/>
          <w:marBottom w:val="0"/>
          <w:divBdr>
            <w:top w:val="none" w:sz="0" w:space="0" w:color="auto"/>
            <w:left w:val="none" w:sz="0" w:space="0" w:color="auto"/>
            <w:bottom w:val="none" w:sz="0" w:space="0" w:color="auto"/>
            <w:right w:val="none" w:sz="0" w:space="0" w:color="auto"/>
          </w:divBdr>
          <w:divsChild>
            <w:div w:id="2019043339">
              <w:marLeft w:val="0"/>
              <w:marRight w:val="0"/>
              <w:marTop w:val="0"/>
              <w:marBottom w:val="0"/>
              <w:divBdr>
                <w:top w:val="none" w:sz="0" w:space="0" w:color="auto"/>
                <w:left w:val="none" w:sz="0" w:space="0" w:color="auto"/>
                <w:bottom w:val="none" w:sz="0" w:space="0" w:color="auto"/>
                <w:right w:val="none" w:sz="0" w:space="0" w:color="auto"/>
              </w:divBdr>
            </w:div>
          </w:divsChild>
        </w:div>
        <w:div w:id="794635531">
          <w:marLeft w:val="0"/>
          <w:marRight w:val="0"/>
          <w:marTop w:val="0"/>
          <w:marBottom w:val="0"/>
          <w:divBdr>
            <w:top w:val="none" w:sz="0" w:space="0" w:color="auto"/>
            <w:left w:val="none" w:sz="0" w:space="0" w:color="auto"/>
            <w:bottom w:val="none" w:sz="0" w:space="0" w:color="auto"/>
            <w:right w:val="none" w:sz="0" w:space="0" w:color="auto"/>
          </w:divBdr>
          <w:divsChild>
            <w:div w:id="412824954">
              <w:marLeft w:val="0"/>
              <w:marRight w:val="0"/>
              <w:marTop w:val="0"/>
              <w:marBottom w:val="0"/>
              <w:divBdr>
                <w:top w:val="none" w:sz="0" w:space="0" w:color="auto"/>
                <w:left w:val="none" w:sz="0" w:space="0" w:color="auto"/>
                <w:bottom w:val="none" w:sz="0" w:space="0" w:color="auto"/>
                <w:right w:val="none" w:sz="0" w:space="0" w:color="auto"/>
              </w:divBdr>
            </w:div>
          </w:divsChild>
        </w:div>
        <w:div w:id="804740878">
          <w:marLeft w:val="0"/>
          <w:marRight w:val="0"/>
          <w:marTop w:val="0"/>
          <w:marBottom w:val="0"/>
          <w:divBdr>
            <w:top w:val="none" w:sz="0" w:space="0" w:color="auto"/>
            <w:left w:val="none" w:sz="0" w:space="0" w:color="auto"/>
            <w:bottom w:val="none" w:sz="0" w:space="0" w:color="auto"/>
            <w:right w:val="none" w:sz="0" w:space="0" w:color="auto"/>
          </w:divBdr>
          <w:divsChild>
            <w:div w:id="514078411">
              <w:marLeft w:val="0"/>
              <w:marRight w:val="0"/>
              <w:marTop w:val="0"/>
              <w:marBottom w:val="0"/>
              <w:divBdr>
                <w:top w:val="none" w:sz="0" w:space="0" w:color="auto"/>
                <w:left w:val="none" w:sz="0" w:space="0" w:color="auto"/>
                <w:bottom w:val="none" w:sz="0" w:space="0" w:color="auto"/>
                <w:right w:val="none" w:sz="0" w:space="0" w:color="auto"/>
              </w:divBdr>
            </w:div>
          </w:divsChild>
        </w:div>
        <w:div w:id="829365570">
          <w:marLeft w:val="0"/>
          <w:marRight w:val="0"/>
          <w:marTop w:val="0"/>
          <w:marBottom w:val="0"/>
          <w:divBdr>
            <w:top w:val="none" w:sz="0" w:space="0" w:color="auto"/>
            <w:left w:val="none" w:sz="0" w:space="0" w:color="auto"/>
            <w:bottom w:val="none" w:sz="0" w:space="0" w:color="auto"/>
            <w:right w:val="none" w:sz="0" w:space="0" w:color="auto"/>
          </w:divBdr>
          <w:divsChild>
            <w:div w:id="1378897780">
              <w:marLeft w:val="0"/>
              <w:marRight w:val="0"/>
              <w:marTop w:val="0"/>
              <w:marBottom w:val="0"/>
              <w:divBdr>
                <w:top w:val="none" w:sz="0" w:space="0" w:color="auto"/>
                <w:left w:val="none" w:sz="0" w:space="0" w:color="auto"/>
                <w:bottom w:val="none" w:sz="0" w:space="0" w:color="auto"/>
                <w:right w:val="none" w:sz="0" w:space="0" w:color="auto"/>
              </w:divBdr>
            </w:div>
          </w:divsChild>
        </w:div>
        <w:div w:id="969750582">
          <w:marLeft w:val="0"/>
          <w:marRight w:val="0"/>
          <w:marTop w:val="0"/>
          <w:marBottom w:val="0"/>
          <w:divBdr>
            <w:top w:val="none" w:sz="0" w:space="0" w:color="auto"/>
            <w:left w:val="none" w:sz="0" w:space="0" w:color="auto"/>
            <w:bottom w:val="none" w:sz="0" w:space="0" w:color="auto"/>
            <w:right w:val="none" w:sz="0" w:space="0" w:color="auto"/>
          </w:divBdr>
          <w:divsChild>
            <w:div w:id="83886725">
              <w:marLeft w:val="0"/>
              <w:marRight w:val="0"/>
              <w:marTop w:val="0"/>
              <w:marBottom w:val="0"/>
              <w:divBdr>
                <w:top w:val="none" w:sz="0" w:space="0" w:color="auto"/>
                <w:left w:val="none" w:sz="0" w:space="0" w:color="auto"/>
                <w:bottom w:val="none" w:sz="0" w:space="0" w:color="auto"/>
                <w:right w:val="none" w:sz="0" w:space="0" w:color="auto"/>
              </w:divBdr>
            </w:div>
          </w:divsChild>
        </w:div>
        <w:div w:id="977564588">
          <w:marLeft w:val="0"/>
          <w:marRight w:val="0"/>
          <w:marTop w:val="0"/>
          <w:marBottom w:val="0"/>
          <w:divBdr>
            <w:top w:val="none" w:sz="0" w:space="0" w:color="auto"/>
            <w:left w:val="none" w:sz="0" w:space="0" w:color="auto"/>
            <w:bottom w:val="none" w:sz="0" w:space="0" w:color="auto"/>
            <w:right w:val="none" w:sz="0" w:space="0" w:color="auto"/>
          </w:divBdr>
          <w:divsChild>
            <w:div w:id="1853102213">
              <w:marLeft w:val="0"/>
              <w:marRight w:val="0"/>
              <w:marTop w:val="0"/>
              <w:marBottom w:val="0"/>
              <w:divBdr>
                <w:top w:val="none" w:sz="0" w:space="0" w:color="auto"/>
                <w:left w:val="none" w:sz="0" w:space="0" w:color="auto"/>
                <w:bottom w:val="none" w:sz="0" w:space="0" w:color="auto"/>
                <w:right w:val="none" w:sz="0" w:space="0" w:color="auto"/>
              </w:divBdr>
            </w:div>
          </w:divsChild>
        </w:div>
        <w:div w:id="991102613">
          <w:marLeft w:val="0"/>
          <w:marRight w:val="0"/>
          <w:marTop w:val="0"/>
          <w:marBottom w:val="0"/>
          <w:divBdr>
            <w:top w:val="none" w:sz="0" w:space="0" w:color="auto"/>
            <w:left w:val="none" w:sz="0" w:space="0" w:color="auto"/>
            <w:bottom w:val="none" w:sz="0" w:space="0" w:color="auto"/>
            <w:right w:val="none" w:sz="0" w:space="0" w:color="auto"/>
          </w:divBdr>
          <w:divsChild>
            <w:div w:id="1565068574">
              <w:marLeft w:val="0"/>
              <w:marRight w:val="0"/>
              <w:marTop w:val="0"/>
              <w:marBottom w:val="0"/>
              <w:divBdr>
                <w:top w:val="none" w:sz="0" w:space="0" w:color="auto"/>
                <w:left w:val="none" w:sz="0" w:space="0" w:color="auto"/>
                <w:bottom w:val="none" w:sz="0" w:space="0" w:color="auto"/>
                <w:right w:val="none" w:sz="0" w:space="0" w:color="auto"/>
              </w:divBdr>
            </w:div>
          </w:divsChild>
        </w:div>
        <w:div w:id="997273003">
          <w:marLeft w:val="0"/>
          <w:marRight w:val="0"/>
          <w:marTop w:val="0"/>
          <w:marBottom w:val="0"/>
          <w:divBdr>
            <w:top w:val="none" w:sz="0" w:space="0" w:color="auto"/>
            <w:left w:val="none" w:sz="0" w:space="0" w:color="auto"/>
            <w:bottom w:val="none" w:sz="0" w:space="0" w:color="auto"/>
            <w:right w:val="none" w:sz="0" w:space="0" w:color="auto"/>
          </w:divBdr>
          <w:divsChild>
            <w:div w:id="816343933">
              <w:marLeft w:val="0"/>
              <w:marRight w:val="0"/>
              <w:marTop w:val="0"/>
              <w:marBottom w:val="0"/>
              <w:divBdr>
                <w:top w:val="none" w:sz="0" w:space="0" w:color="auto"/>
                <w:left w:val="none" w:sz="0" w:space="0" w:color="auto"/>
                <w:bottom w:val="none" w:sz="0" w:space="0" w:color="auto"/>
                <w:right w:val="none" w:sz="0" w:space="0" w:color="auto"/>
              </w:divBdr>
            </w:div>
          </w:divsChild>
        </w:div>
        <w:div w:id="1090397223">
          <w:marLeft w:val="0"/>
          <w:marRight w:val="0"/>
          <w:marTop w:val="0"/>
          <w:marBottom w:val="0"/>
          <w:divBdr>
            <w:top w:val="none" w:sz="0" w:space="0" w:color="auto"/>
            <w:left w:val="none" w:sz="0" w:space="0" w:color="auto"/>
            <w:bottom w:val="none" w:sz="0" w:space="0" w:color="auto"/>
            <w:right w:val="none" w:sz="0" w:space="0" w:color="auto"/>
          </w:divBdr>
          <w:divsChild>
            <w:div w:id="720328632">
              <w:marLeft w:val="0"/>
              <w:marRight w:val="0"/>
              <w:marTop w:val="0"/>
              <w:marBottom w:val="0"/>
              <w:divBdr>
                <w:top w:val="none" w:sz="0" w:space="0" w:color="auto"/>
                <w:left w:val="none" w:sz="0" w:space="0" w:color="auto"/>
                <w:bottom w:val="none" w:sz="0" w:space="0" w:color="auto"/>
                <w:right w:val="none" w:sz="0" w:space="0" w:color="auto"/>
              </w:divBdr>
            </w:div>
          </w:divsChild>
        </w:div>
        <w:div w:id="1128163728">
          <w:marLeft w:val="0"/>
          <w:marRight w:val="0"/>
          <w:marTop w:val="0"/>
          <w:marBottom w:val="0"/>
          <w:divBdr>
            <w:top w:val="none" w:sz="0" w:space="0" w:color="auto"/>
            <w:left w:val="none" w:sz="0" w:space="0" w:color="auto"/>
            <w:bottom w:val="none" w:sz="0" w:space="0" w:color="auto"/>
            <w:right w:val="none" w:sz="0" w:space="0" w:color="auto"/>
          </w:divBdr>
          <w:divsChild>
            <w:div w:id="2023698157">
              <w:marLeft w:val="0"/>
              <w:marRight w:val="0"/>
              <w:marTop w:val="0"/>
              <w:marBottom w:val="0"/>
              <w:divBdr>
                <w:top w:val="none" w:sz="0" w:space="0" w:color="auto"/>
                <w:left w:val="none" w:sz="0" w:space="0" w:color="auto"/>
                <w:bottom w:val="none" w:sz="0" w:space="0" w:color="auto"/>
                <w:right w:val="none" w:sz="0" w:space="0" w:color="auto"/>
              </w:divBdr>
            </w:div>
          </w:divsChild>
        </w:div>
        <w:div w:id="1207452335">
          <w:marLeft w:val="0"/>
          <w:marRight w:val="0"/>
          <w:marTop w:val="0"/>
          <w:marBottom w:val="0"/>
          <w:divBdr>
            <w:top w:val="none" w:sz="0" w:space="0" w:color="auto"/>
            <w:left w:val="none" w:sz="0" w:space="0" w:color="auto"/>
            <w:bottom w:val="none" w:sz="0" w:space="0" w:color="auto"/>
            <w:right w:val="none" w:sz="0" w:space="0" w:color="auto"/>
          </w:divBdr>
          <w:divsChild>
            <w:div w:id="91972840">
              <w:marLeft w:val="0"/>
              <w:marRight w:val="0"/>
              <w:marTop w:val="0"/>
              <w:marBottom w:val="0"/>
              <w:divBdr>
                <w:top w:val="none" w:sz="0" w:space="0" w:color="auto"/>
                <w:left w:val="none" w:sz="0" w:space="0" w:color="auto"/>
                <w:bottom w:val="none" w:sz="0" w:space="0" w:color="auto"/>
                <w:right w:val="none" w:sz="0" w:space="0" w:color="auto"/>
              </w:divBdr>
            </w:div>
          </w:divsChild>
        </w:div>
        <w:div w:id="1219051577">
          <w:marLeft w:val="0"/>
          <w:marRight w:val="0"/>
          <w:marTop w:val="0"/>
          <w:marBottom w:val="0"/>
          <w:divBdr>
            <w:top w:val="none" w:sz="0" w:space="0" w:color="auto"/>
            <w:left w:val="none" w:sz="0" w:space="0" w:color="auto"/>
            <w:bottom w:val="none" w:sz="0" w:space="0" w:color="auto"/>
            <w:right w:val="none" w:sz="0" w:space="0" w:color="auto"/>
          </w:divBdr>
          <w:divsChild>
            <w:div w:id="1362826523">
              <w:marLeft w:val="0"/>
              <w:marRight w:val="0"/>
              <w:marTop w:val="0"/>
              <w:marBottom w:val="0"/>
              <w:divBdr>
                <w:top w:val="none" w:sz="0" w:space="0" w:color="auto"/>
                <w:left w:val="none" w:sz="0" w:space="0" w:color="auto"/>
                <w:bottom w:val="none" w:sz="0" w:space="0" w:color="auto"/>
                <w:right w:val="none" w:sz="0" w:space="0" w:color="auto"/>
              </w:divBdr>
            </w:div>
          </w:divsChild>
        </w:div>
        <w:div w:id="1220246711">
          <w:marLeft w:val="0"/>
          <w:marRight w:val="0"/>
          <w:marTop w:val="0"/>
          <w:marBottom w:val="0"/>
          <w:divBdr>
            <w:top w:val="none" w:sz="0" w:space="0" w:color="auto"/>
            <w:left w:val="none" w:sz="0" w:space="0" w:color="auto"/>
            <w:bottom w:val="none" w:sz="0" w:space="0" w:color="auto"/>
            <w:right w:val="none" w:sz="0" w:space="0" w:color="auto"/>
          </w:divBdr>
          <w:divsChild>
            <w:div w:id="2120442945">
              <w:marLeft w:val="0"/>
              <w:marRight w:val="0"/>
              <w:marTop w:val="0"/>
              <w:marBottom w:val="0"/>
              <w:divBdr>
                <w:top w:val="none" w:sz="0" w:space="0" w:color="auto"/>
                <w:left w:val="none" w:sz="0" w:space="0" w:color="auto"/>
                <w:bottom w:val="none" w:sz="0" w:space="0" w:color="auto"/>
                <w:right w:val="none" w:sz="0" w:space="0" w:color="auto"/>
              </w:divBdr>
            </w:div>
          </w:divsChild>
        </w:div>
        <w:div w:id="1258901151">
          <w:marLeft w:val="0"/>
          <w:marRight w:val="0"/>
          <w:marTop w:val="0"/>
          <w:marBottom w:val="0"/>
          <w:divBdr>
            <w:top w:val="none" w:sz="0" w:space="0" w:color="auto"/>
            <w:left w:val="none" w:sz="0" w:space="0" w:color="auto"/>
            <w:bottom w:val="none" w:sz="0" w:space="0" w:color="auto"/>
            <w:right w:val="none" w:sz="0" w:space="0" w:color="auto"/>
          </w:divBdr>
          <w:divsChild>
            <w:div w:id="1020542642">
              <w:marLeft w:val="0"/>
              <w:marRight w:val="0"/>
              <w:marTop w:val="0"/>
              <w:marBottom w:val="0"/>
              <w:divBdr>
                <w:top w:val="none" w:sz="0" w:space="0" w:color="auto"/>
                <w:left w:val="none" w:sz="0" w:space="0" w:color="auto"/>
                <w:bottom w:val="none" w:sz="0" w:space="0" w:color="auto"/>
                <w:right w:val="none" w:sz="0" w:space="0" w:color="auto"/>
              </w:divBdr>
            </w:div>
          </w:divsChild>
        </w:div>
        <w:div w:id="1306079782">
          <w:marLeft w:val="0"/>
          <w:marRight w:val="0"/>
          <w:marTop w:val="0"/>
          <w:marBottom w:val="0"/>
          <w:divBdr>
            <w:top w:val="none" w:sz="0" w:space="0" w:color="auto"/>
            <w:left w:val="none" w:sz="0" w:space="0" w:color="auto"/>
            <w:bottom w:val="none" w:sz="0" w:space="0" w:color="auto"/>
            <w:right w:val="none" w:sz="0" w:space="0" w:color="auto"/>
          </w:divBdr>
          <w:divsChild>
            <w:div w:id="494418410">
              <w:marLeft w:val="0"/>
              <w:marRight w:val="0"/>
              <w:marTop w:val="0"/>
              <w:marBottom w:val="0"/>
              <w:divBdr>
                <w:top w:val="none" w:sz="0" w:space="0" w:color="auto"/>
                <w:left w:val="none" w:sz="0" w:space="0" w:color="auto"/>
                <w:bottom w:val="none" w:sz="0" w:space="0" w:color="auto"/>
                <w:right w:val="none" w:sz="0" w:space="0" w:color="auto"/>
              </w:divBdr>
            </w:div>
          </w:divsChild>
        </w:div>
        <w:div w:id="1348675394">
          <w:marLeft w:val="0"/>
          <w:marRight w:val="0"/>
          <w:marTop w:val="0"/>
          <w:marBottom w:val="0"/>
          <w:divBdr>
            <w:top w:val="none" w:sz="0" w:space="0" w:color="auto"/>
            <w:left w:val="none" w:sz="0" w:space="0" w:color="auto"/>
            <w:bottom w:val="none" w:sz="0" w:space="0" w:color="auto"/>
            <w:right w:val="none" w:sz="0" w:space="0" w:color="auto"/>
          </w:divBdr>
          <w:divsChild>
            <w:div w:id="1231773648">
              <w:marLeft w:val="0"/>
              <w:marRight w:val="0"/>
              <w:marTop w:val="0"/>
              <w:marBottom w:val="0"/>
              <w:divBdr>
                <w:top w:val="none" w:sz="0" w:space="0" w:color="auto"/>
                <w:left w:val="none" w:sz="0" w:space="0" w:color="auto"/>
                <w:bottom w:val="none" w:sz="0" w:space="0" w:color="auto"/>
                <w:right w:val="none" w:sz="0" w:space="0" w:color="auto"/>
              </w:divBdr>
            </w:div>
          </w:divsChild>
        </w:div>
        <w:div w:id="1386292695">
          <w:marLeft w:val="0"/>
          <w:marRight w:val="0"/>
          <w:marTop w:val="0"/>
          <w:marBottom w:val="0"/>
          <w:divBdr>
            <w:top w:val="none" w:sz="0" w:space="0" w:color="auto"/>
            <w:left w:val="none" w:sz="0" w:space="0" w:color="auto"/>
            <w:bottom w:val="none" w:sz="0" w:space="0" w:color="auto"/>
            <w:right w:val="none" w:sz="0" w:space="0" w:color="auto"/>
          </w:divBdr>
          <w:divsChild>
            <w:div w:id="1618021412">
              <w:marLeft w:val="0"/>
              <w:marRight w:val="0"/>
              <w:marTop w:val="0"/>
              <w:marBottom w:val="0"/>
              <w:divBdr>
                <w:top w:val="none" w:sz="0" w:space="0" w:color="auto"/>
                <w:left w:val="none" w:sz="0" w:space="0" w:color="auto"/>
                <w:bottom w:val="none" w:sz="0" w:space="0" w:color="auto"/>
                <w:right w:val="none" w:sz="0" w:space="0" w:color="auto"/>
              </w:divBdr>
            </w:div>
          </w:divsChild>
        </w:div>
        <w:div w:id="1418359766">
          <w:marLeft w:val="0"/>
          <w:marRight w:val="0"/>
          <w:marTop w:val="0"/>
          <w:marBottom w:val="0"/>
          <w:divBdr>
            <w:top w:val="none" w:sz="0" w:space="0" w:color="auto"/>
            <w:left w:val="none" w:sz="0" w:space="0" w:color="auto"/>
            <w:bottom w:val="none" w:sz="0" w:space="0" w:color="auto"/>
            <w:right w:val="none" w:sz="0" w:space="0" w:color="auto"/>
          </w:divBdr>
          <w:divsChild>
            <w:div w:id="337969981">
              <w:marLeft w:val="0"/>
              <w:marRight w:val="0"/>
              <w:marTop w:val="0"/>
              <w:marBottom w:val="0"/>
              <w:divBdr>
                <w:top w:val="none" w:sz="0" w:space="0" w:color="auto"/>
                <w:left w:val="none" w:sz="0" w:space="0" w:color="auto"/>
                <w:bottom w:val="none" w:sz="0" w:space="0" w:color="auto"/>
                <w:right w:val="none" w:sz="0" w:space="0" w:color="auto"/>
              </w:divBdr>
            </w:div>
          </w:divsChild>
        </w:div>
        <w:div w:id="1452894137">
          <w:marLeft w:val="0"/>
          <w:marRight w:val="0"/>
          <w:marTop w:val="0"/>
          <w:marBottom w:val="0"/>
          <w:divBdr>
            <w:top w:val="none" w:sz="0" w:space="0" w:color="auto"/>
            <w:left w:val="none" w:sz="0" w:space="0" w:color="auto"/>
            <w:bottom w:val="none" w:sz="0" w:space="0" w:color="auto"/>
            <w:right w:val="none" w:sz="0" w:space="0" w:color="auto"/>
          </w:divBdr>
          <w:divsChild>
            <w:div w:id="1342585976">
              <w:marLeft w:val="0"/>
              <w:marRight w:val="0"/>
              <w:marTop w:val="0"/>
              <w:marBottom w:val="0"/>
              <w:divBdr>
                <w:top w:val="none" w:sz="0" w:space="0" w:color="auto"/>
                <w:left w:val="none" w:sz="0" w:space="0" w:color="auto"/>
                <w:bottom w:val="none" w:sz="0" w:space="0" w:color="auto"/>
                <w:right w:val="none" w:sz="0" w:space="0" w:color="auto"/>
              </w:divBdr>
            </w:div>
          </w:divsChild>
        </w:div>
        <w:div w:id="1493984796">
          <w:marLeft w:val="0"/>
          <w:marRight w:val="0"/>
          <w:marTop w:val="0"/>
          <w:marBottom w:val="0"/>
          <w:divBdr>
            <w:top w:val="none" w:sz="0" w:space="0" w:color="auto"/>
            <w:left w:val="none" w:sz="0" w:space="0" w:color="auto"/>
            <w:bottom w:val="none" w:sz="0" w:space="0" w:color="auto"/>
            <w:right w:val="none" w:sz="0" w:space="0" w:color="auto"/>
          </w:divBdr>
          <w:divsChild>
            <w:div w:id="832067179">
              <w:marLeft w:val="0"/>
              <w:marRight w:val="0"/>
              <w:marTop w:val="0"/>
              <w:marBottom w:val="0"/>
              <w:divBdr>
                <w:top w:val="none" w:sz="0" w:space="0" w:color="auto"/>
                <w:left w:val="none" w:sz="0" w:space="0" w:color="auto"/>
                <w:bottom w:val="none" w:sz="0" w:space="0" w:color="auto"/>
                <w:right w:val="none" w:sz="0" w:space="0" w:color="auto"/>
              </w:divBdr>
            </w:div>
          </w:divsChild>
        </w:div>
        <w:div w:id="1536188601">
          <w:marLeft w:val="0"/>
          <w:marRight w:val="0"/>
          <w:marTop w:val="0"/>
          <w:marBottom w:val="0"/>
          <w:divBdr>
            <w:top w:val="none" w:sz="0" w:space="0" w:color="auto"/>
            <w:left w:val="none" w:sz="0" w:space="0" w:color="auto"/>
            <w:bottom w:val="none" w:sz="0" w:space="0" w:color="auto"/>
            <w:right w:val="none" w:sz="0" w:space="0" w:color="auto"/>
          </w:divBdr>
          <w:divsChild>
            <w:div w:id="1816603210">
              <w:marLeft w:val="0"/>
              <w:marRight w:val="0"/>
              <w:marTop w:val="0"/>
              <w:marBottom w:val="0"/>
              <w:divBdr>
                <w:top w:val="none" w:sz="0" w:space="0" w:color="auto"/>
                <w:left w:val="none" w:sz="0" w:space="0" w:color="auto"/>
                <w:bottom w:val="none" w:sz="0" w:space="0" w:color="auto"/>
                <w:right w:val="none" w:sz="0" w:space="0" w:color="auto"/>
              </w:divBdr>
            </w:div>
          </w:divsChild>
        </w:div>
        <w:div w:id="1547720065">
          <w:marLeft w:val="0"/>
          <w:marRight w:val="0"/>
          <w:marTop w:val="0"/>
          <w:marBottom w:val="0"/>
          <w:divBdr>
            <w:top w:val="none" w:sz="0" w:space="0" w:color="auto"/>
            <w:left w:val="none" w:sz="0" w:space="0" w:color="auto"/>
            <w:bottom w:val="none" w:sz="0" w:space="0" w:color="auto"/>
            <w:right w:val="none" w:sz="0" w:space="0" w:color="auto"/>
          </w:divBdr>
          <w:divsChild>
            <w:div w:id="1146045761">
              <w:marLeft w:val="0"/>
              <w:marRight w:val="0"/>
              <w:marTop w:val="0"/>
              <w:marBottom w:val="0"/>
              <w:divBdr>
                <w:top w:val="none" w:sz="0" w:space="0" w:color="auto"/>
                <w:left w:val="none" w:sz="0" w:space="0" w:color="auto"/>
                <w:bottom w:val="none" w:sz="0" w:space="0" w:color="auto"/>
                <w:right w:val="none" w:sz="0" w:space="0" w:color="auto"/>
              </w:divBdr>
            </w:div>
          </w:divsChild>
        </w:div>
        <w:div w:id="1563254329">
          <w:marLeft w:val="0"/>
          <w:marRight w:val="0"/>
          <w:marTop w:val="0"/>
          <w:marBottom w:val="0"/>
          <w:divBdr>
            <w:top w:val="none" w:sz="0" w:space="0" w:color="auto"/>
            <w:left w:val="none" w:sz="0" w:space="0" w:color="auto"/>
            <w:bottom w:val="none" w:sz="0" w:space="0" w:color="auto"/>
            <w:right w:val="none" w:sz="0" w:space="0" w:color="auto"/>
          </w:divBdr>
          <w:divsChild>
            <w:div w:id="1215584521">
              <w:marLeft w:val="0"/>
              <w:marRight w:val="0"/>
              <w:marTop w:val="0"/>
              <w:marBottom w:val="0"/>
              <w:divBdr>
                <w:top w:val="none" w:sz="0" w:space="0" w:color="auto"/>
                <w:left w:val="none" w:sz="0" w:space="0" w:color="auto"/>
                <w:bottom w:val="none" w:sz="0" w:space="0" w:color="auto"/>
                <w:right w:val="none" w:sz="0" w:space="0" w:color="auto"/>
              </w:divBdr>
            </w:div>
          </w:divsChild>
        </w:div>
        <w:div w:id="1606618897">
          <w:marLeft w:val="0"/>
          <w:marRight w:val="0"/>
          <w:marTop w:val="0"/>
          <w:marBottom w:val="0"/>
          <w:divBdr>
            <w:top w:val="none" w:sz="0" w:space="0" w:color="auto"/>
            <w:left w:val="none" w:sz="0" w:space="0" w:color="auto"/>
            <w:bottom w:val="none" w:sz="0" w:space="0" w:color="auto"/>
            <w:right w:val="none" w:sz="0" w:space="0" w:color="auto"/>
          </w:divBdr>
          <w:divsChild>
            <w:div w:id="342320184">
              <w:marLeft w:val="0"/>
              <w:marRight w:val="0"/>
              <w:marTop w:val="0"/>
              <w:marBottom w:val="0"/>
              <w:divBdr>
                <w:top w:val="none" w:sz="0" w:space="0" w:color="auto"/>
                <w:left w:val="none" w:sz="0" w:space="0" w:color="auto"/>
                <w:bottom w:val="none" w:sz="0" w:space="0" w:color="auto"/>
                <w:right w:val="none" w:sz="0" w:space="0" w:color="auto"/>
              </w:divBdr>
            </w:div>
          </w:divsChild>
        </w:div>
        <w:div w:id="1616911138">
          <w:marLeft w:val="0"/>
          <w:marRight w:val="0"/>
          <w:marTop w:val="0"/>
          <w:marBottom w:val="0"/>
          <w:divBdr>
            <w:top w:val="none" w:sz="0" w:space="0" w:color="auto"/>
            <w:left w:val="none" w:sz="0" w:space="0" w:color="auto"/>
            <w:bottom w:val="none" w:sz="0" w:space="0" w:color="auto"/>
            <w:right w:val="none" w:sz="0" w:space="0" w:color="auto"/>
          </w:divBdr>
          <w:divsChild>
            <w:div w:id="36859270">
              <w:marLeft w:val="0"/>
              <w:marRight w:val="0"/>
              <w:marTop w:val="0"/>
              <w:marBottom w:val="0"/>
              <w:divBdr>
                <w:top w:val="none" w:sz="0" w:space="0" w:color="auto"/>
                <w:left w:val="none" w:sz="0" w:space="0" w:color="auto"/>
                <w:bottom w:val="none" w:sz="0" w:space="0" w:color="auto"/>
                <w:right w:val="none" w:sz="0" w:space="0" w:color="auto"/>
              </w:divBdr>
            </w:div>
          </w:divsChild>
        </w:div>
        <w:div w:id="1648389974">
          <w:marLeft w:val="0"/>
          <w:marRight w:val="0"/>
          <w:marTop w:val="0"/>
          <w:marBottom w:val="0"/>
          <w:divBdr>
            <w:top w:val="none" w:sz="0" w:space="0" w:color="auto"/>
            <w:left w:val="none" w:sz="0" w:space="0" w:color="auto"/>
            <w:bottom w:val="none" w:sz="0" w:space="0" w:color="auto"/>
            <w:right w:val="none" w:sz="0" w:space="0" w:color="auto"/>
          </w:divBdr>
          <w:divsChild>
            <w:div w:id="1632707272">
              <w:marLeft w:val="0"/>
              <w:marRight w:val="0"/>
              <w:marTop w:val="0"/>
              <w:marBottom w:val="0"/>
              <w:divBdr>
                <w:top w:val="none" w:sz="0" w:space="0" w:color="auto"/>
                <w:left w:val="none" w:sz="0" w:space="0" w:color="auto"/>
                <w:bottom w:val="none" w:sz="0" w:space="0" w:color="auto"/>
                <w:right w:val="none" w:sz="0" w:space="0" w:color="auto"/>
              </w:divBdr>
            </w:div>
          </w:divsChild>
        </w:div>
        <w:div w:id="1720009434">
          <w:marLeft w:val="0"/>
          <w:marRight w:val="0"/>
          <w:marTop w:val="0"/>
          <w:marBottom w:val="0"/>
          <w:divBdr>
            <w:top w:val="none" w:sz="0" w:space="0" w:color="auto"/>
            <w:left w:val="none" w:sz="0" w:space="0" w:color="auto"/>
            <w:bottom w:val="none" w:sz="0" w:space="0" w:color="auto"/>
            <w:right w:val="none" w:sz="0" w:space="0" w:color="auto"/>
          </w:divBdr>
          <w:divsChild>
            <w:div w:id="1233274347">
              <w:marLeft w:val="0"/>
              <w:marRight w:val="0"/>
              <w:marTop w:val="0"/>
              <w:marBottom w:val="0"/>
              <w:divBdr>
                <w:top w:val="none" w:sz="0" w:space="0" w:color="auto"/>
                <w:left w:val="none" w:sz="0" w:space="0" w:color="auto"/>
                <w:bottom w:val="none" w:sz="0" w:space="0" w:color="auto"/>
                <w:right w:val="none" w:sz="0" w:space="0" w:color="auto"/>
              </w:divBdr>
            </w:div>
          </w:divsChild>
        </w:div>
        <w:div w:id="1725254149">
          <w:marLeft w:val="0"/>
          <w:marRight w:val="0"/>
          <w:marTop w:val="0"/>
          <w:marBottom w:val="0"/>
          <w:divBdr>
            <w:top w:val="none" w:sz="0" w:space="0" w:color="auto"/>
            <w:left w:val="none" w:sz="0" w:space="0" w:color="auto"/>
            <w:bottom w:val="none" w:sz="0" w:space="0" w:color="auto"/>
            <w:right w:val="none" w:sz="0" w:space="0" w:color="auto"/>
          </w:divBdr>
          <w:divsChild>
            <w:div w:id="1162551971">
              <w:marLeft w:val="0"/>
              <w:marRight w:val="0"/>
              <w:marTop w:val="0"/>
              <w:marBottom w:val="0"/>
              <w:divBdr>
                <w:top w:val="none" w:sz="0" w:space="0" w:color="auto"/>
                <w:left w:val="none" w:sz="0" w:space="0" w:color="auto"/>
                <w:bottom w:val="none" w:sz="0" w:space="0" w:color="auto"/>
                <w:right w:val="none" w:sz="0" w:space="0" w:color="auto"/>
              </w:divBdr>
            </w:div>
          </w:divsChild>
        </w:div>
        <w:div w:id="1806770990">
          <w:marLeft w:val="0"/>
          <w:marRight w:val="0"/>
          <w:marTop w:val="0"/>
          <w:marBottom w:val="0"/>
          <w:divBdr>
            <w:top w:val="none" w:sz="0" w:space="0" w:color="auto"/>
            <w:left w:val="none" w:sz="0" w:space="0" w:color="auto"/>
            <w:bottom w:val="none" w:sz="0" w:space="0" w:color="auto"/>
            <w:right w:val="none" w:sz="0" w:space="0" w:color="auto"/>
          </w:divBdr>
          <w:divsChild>
            <w:div w:id="1682047382">
              <w:marLeft w:val="0"/>
              <w:marRight w:val="0"/>
              <w:marTop w:val="0"/>
              <w:marBottom w:val="0"/>
              <w:divBdr>
                <w:top w:val="none" w:sz="0" w:space="0" w:color="auto"/>
                <w:left w:val="none" w:sz="0" w:space="0" w:color="auto"/>
                <w:bottom w:val="none" w:sz="0" w:space="0" w:color="auto"/>
                <w:right w:val="none" w:sz="0" w:space="0" w:color="auto"/>
              </w:divBdr>
            </w:div>
          </w:divsChild>
        </w:div>
        <w:div w:id="1821926333">
          <w:marLeft w:val="0"/>
          <w:marRight w:val="0"/>
          <w:marTop w:val="0"/>
          <w:marBottom w:val="0"/>
          <w:divBdr>
            <w:top w:val="none" w:sz="0" w:space="0" w:color="auto"/>
            <w:left w:val="none" w:sz="0" w:space="0" w:color="auto"/>
            <w:bottom w:val="none" w:sz="0" w:space="0" w:color="auto"/>
            <w:right w:val="none" w:sz="0" w:space="0" w:color="auto"/>
          </w:divBdr>
          <w:divsChild>
            <w:div w:id="261651147">
              <w:marLeft w:val="0"/>
              <w:marRight w:val="0"/>
              <w:marTop w:val="0"/>
              <w:marBottom w:val="0"/>
              <w:divBdr>
                <w:top w:val="none" w:sz="0" w:space="0" w:color="auto"/>
                <w:left w:val="none" w:sz="0" w:space="0" w:color="auto"/>
                <w:bottom w:val="none" w:sz="0" w:space="0" w:color="auto"/>
                <w:right w:val="none" w:sz="0" w:space="0" w:color="auto"/>
              </w:divBdr>
            </w:div>
          </w:divsChild>
        </w:div>
        <w:div w:id="1939824374">
          <w:marLeft w:val="0"/>
          <w:marRight w:val="0"/>
          <w:marTop w:val="0"/>
          <w:marBottom w:val="0"/>
          <w:divBdr>
            <w:top w:val="none" w:sz="0" w:space="0" w:color="auto"/>
            <w:left w:val="none" w:sz="0" w:space="0" w:color="auto"/>
            <w:bottom w:val="none" w:sz="0" w:space="0" w:color="auto"/>
            <w:right w:val="none" w:sz="0" w:space="0" w:color="auto"/>
          </w:divBdr>
          <w:divsChild>
            <w:div w:id="1843860581">
              <w:marLeft w:val="0"/>
              <w:marRight w:val="0"/>
              <w:marTop w:val="0"/>
              <w:marBottom w:val="0"/>
              <w:divBdr>
                <w:top w:val="none" w:sz="0" w:space="0" w:color="auto"/>
                <w:left w:val="none" w:sz="0" w:space="0" w:color="auto"/>
                <w:bottom w:val="none" w:sz="0" w:space="0" w:color="auto"/>
                <w:right w:val="none" w:sz="0" w:space="0" w:color="auto"/>
              </w:divBdr>
            </w:div>
          </w:divsChild>
        </w:div>
        <w:div w:id="1971671436">
          <w:marLeft w:val="0"/>
          <w:marRight w:val="0"/>
          <w:marTop w:val="0"/>
          <w:marBottom w:val="0"/>
          <w:divBdr>
            <w:top w:val="none" w:sz="0" w:space="0" w:color="auto"/>
            <w:left w:val="none" w:sz="0" w:space="0" w:color="auto"/>
            <w:bottom w:val="none" w:sz="0" w:space="0" w:color="auto"/>
            <w:right w:val="none" w:sz="0" w:space="0" w:color="auto"/>
          </w:divBdr>
          <w:divsChild>
            <w:div w:id="1409303349">
              <w:marLeft w:val="0"/>
              <w:marRight w:val="0"/>
              <w:marTop w:val="0"/>
              <w:marBottom w:val="0"/>
              <w:divBdr>
                <w:top w:val="none" w:sz="0" w:space="0" w:color="auto"/>
                <w:left w:val="none" w:sz="0" w:space="0" w:color="auto"/>
                <w:bottom w:val="none" w:sz="0" w:space="0" w:color="auto"/>
                <w:right w:val="none" w:sz="0" w:space="0" w:color="auto"/>
              </w:divBdr>
            </w:div>
          </w:divsChild>
        </w:div>
        <w:div w:id="1991861015">
          <w:marLeft w:val="0"/>
          <w:marRight w:val="0"/>
          <w:marTop w:val="0"/>
          <w:marBottom w:val="0"/>
          <w:divBdr>
            <w:top w:val="none" w:sz="0" w:space="0" w:color="auto"/>
            <w:left w:val="none" w:sz="0" w:space="0" w:color="auto"/>
            <w:bottom w:val="none" w:sz="0" w:space="0" w:color="auto"/>
            <w:right w:val="none" w:sz="0" w:space="0" w:color="auto"/>
          </w:divBdr>
          <w:divsChild>
            <w:div w:id="1850216255">
              <w:marLeft w:val="0"/>
              <w:marRight w:val="0"/>
              <w:marTop w:val="0"/>
              <w:marBottom w:val="0"/>
              <w:divBdr>
                <w:top w:val="none" w:sz="0" w:space="0" w:color="auto"/>
                <w:left w:val="none" w:sz="0" w:space="0" w:color="auto"/>
                <w:bottom w:val="none" w:sz="0" w:space="0" w:color="auto"/>
                <w:right w:val="none" w:sz="0" w:space="0" w:color="auto"/>
              </w:divBdr>
            </w:div>
          </w:divsChild>
        </w:div>
        <w:div w:id="2090033535">
          <w:marLeft w:val="0"/>
          <w:marRight w:val="0"/>
          <w:marTop w:val="0"/>
          <w:marBottom w:val="0"/>
          <w:divBdr>
            <w:top w:val="none" w:sz="0" w:space="0" w:color="auto"/>
            <w:left w:val="none" w:sz="0" w:space="0" w:color="auto"/>
            <w:bottom w:val="none" w:sz="0" w:space="0" w:color="auto"/>
            <w:right w:val="none" w:sz="0" w:space="0" w:color="auto"/>
          </w:divBdr>
          <w:divsChild>
            <w:div w:id="307516975">
              <w:marLeft w:val="0"/>
              <w:marRight w:val="0"/>
              <w:marTop w:val="0"/>
              <w:marBottom w:val="0"/>
              <w:divBdr>
                <w:top w:val="none" w:sz="0" w:space="0" w:color="auto"/>
                <w:left w:val="none" w:sz="0" w:space="0" w:color="auto"/>
                <w:bottom w:val="none" w:sz="0" w:space="0" w:color="auto"/>
                <w:right w:val="none" w:sz="0" w:space="0" w:color="auto"/>
              </w:divBdr>
            </w:div>
          </w:divsChild>
        </w:div>
        <w:div w:id="2114325572">
          <w:marLeft w:val="0"/>
          <w:marRight w:val="0"/>
          <w:marTop w:val="0"/>
          <w:marBottom w:val="0"/>
          <w:divBdr>
            <w:top w:val="none" w:sz="0" w:space="0" w:color="auto"/>
            <w:left w:val="none" w:sz="0" w:space="0" w:color="auto"/>
            <w:bottom w:val="none" w:sz="0" w:space="0" w:color="auto"/>
            <w:right w:val="none" w:sz="0" w:space="0" w:color="auto"/>
          </w:divBdr>
          <w:divsChild>
            <w:div w:id="1448354762">
              <w:marLeft w:val="0"/>
              <w:marRight w:val="0"/>
              <w:marTop w:val="0"/>
              <w:marBottom w:val="0"/>
              <w:divBdr>
                <w:top w:val="none" w:sz="0" w:space="0" w:color="auto"/>
                <w:left w:val="none" w:sz="0" w:space="0" w:color="auto"/>
                <w:bottom w:val="none" w:sz="0" w:space="0" w:color="auto"/>
                <w:right w:val="none" w:sz="0" w:space="0" w:color="auto"/>
              </w:divBdr>
            </w:div>
          </w:divsChild>
        </w:div>
        <w:div w:id="2119836757">
          <w:marLeft w:val="0"/>
          <w:marRight w:val="0"/>
          <w:marTop w:val="0"/>
          <w:marBottom w:val="0"/>
          <w:divBdr>
            <w:top w:val="none" w:sz="0" w:space="0" w:color="auto"/>
            <w:left w:val="none" w:sz="0" w:space="0" w:color="auto"/>
            <w:bottom w:val="none" w:sz="0" w:space="0" w:color="auto"/>
            <w:right w:val="none" w:sz="0" w:space="0" w:color="auto"/>
          </w:divBdr>
          <w:divsChild>
            <w:div w:id="983045208">
              <w:marLeft w:val="0"/>
              <w:marRight w:val="0"/>
              <w:marTop w:val="0"/>
              <w:marBottom w:val="0"/>
              <w:divBdr>
                <w:top w:val="none" w:sz="0" w:space="0" w:color="auto"/>
                <w:left w:val="none" w:sz="0" w:space="0" w:color="auto"/>
                <w:bottom w:val="none" w:sz="0" w:space="0" w:color="auto"/>
                <w:right w:val="none" w:sz="0" w:space="0" w:color="auto"/>
              </w:divBdr>
            </w:div>
          </w:divsChild>
        </w:div>
        <w:div w:id="2122022531">
          <w:marLeft w:val="0"/>
          <w:marRight w:val="0"/>
          <w:marTop w:val="0"/>
          <w:marBottom w:val="0"/>
          <w:divBdr>
            <w:top w:val="none" w:sz="0" w:space="0" w:color="auto"/>
            <w:left w:val="none" w:sz="0" w:space="0" w:color="auto"/>
            <w:bottom w:val="none" w:sz="0" w:space="0" w:color="auto"/>
            <w:right w:val="none" w:sz="0" w:space="0" w:color="auto"/>
          </w:divBdr>
          <w:divsChild>
            <w:div w:id="1351418583">
              <w:marLeft w:val="0"/>
              <w:marRight w:val="0"/>
              <w:marTop w:val="0"/>
              <w:marBottom w:val="0"/>
              <w:divBdr>
                <w:top w:val="none" w:sz="0" w:space="0" w:color="auto"/>
                <w:left w:val="none" w:sz="0" w:space="0" w:color="auto"/>
                <w:bottom w:val="none" w:sz="0" w:space="0" w:color="auto"/>
                <w:right w:val="none" w:sz="0" w:space="0" w:color="auto"/>
              </w:divBdr>
            </w:div>
          </w:divsChild>
        </w:div>
        <w:div w:id="2124689429">
          <w:marLeft w:val="0"/>
          <w:marRight w:val="0"/>
          <w:marTop w:val="0"/>
          <w:marBottom w:val="0"/>
          <w:divBdr>
            <w:top w:val="none" w:sz="0" w:space="0" w:color="auto"/>
            <w:left w:val="none" w:sz="0" w:space="0" w:color="auto"/>
            <w:bottom w:val="none" w:sz="0" w:space="0" w:color="auto"/>
            <w:right w:val="none" w:sz="0" w:space="0" w:color="auto"/>
          </w:divBdr>
          <w:divsChild>
            <w:div w:id="22912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60230">
      <w:bodyDiv w:val="1"/>
      <w:marLeft w:val="0"/>
      <w:marRight w:val="0"/>
      <w:marTop w:val="0"/>
      <w:marBottom w:val="0"/>
      <w:divBdr>
        <w:top w:val="none" w:sz="0" w:space="0" w:color="auto"/>
        <w:left w:val="none" w:sz="0" w:space="0" w:color="auto"/>
        <w:bottom w:val="none" w:sz="0" w:space="0" w:color="auto"/>
        <w:right w:val="none" w:sz="0" w:space="0" w:color="auto"/>
      </w:divBdr>
      <w:divsChild>
        <w:div w:id="130907937">
          <w:marLeft w:val="-720"/>
          <w:marRight w:val="0"/>
          <w:marTop w:val="0"/>
          <w:marBottom w:val="0"/>
          <w:divBdr>
            <w:top w:val="none" w:sz="0" w:space="0" w:color="auto"/>
            <w:left w:val="none" w:sz="0" w:space="0" w:color="auto"/>
            <w:bottom w:val="none" w:sz="0" w:space="0" w:color="auto"/>
            <w:right w:val="none" w:sz="0" w:space="0" w:color="auto"/>
          </w:divBdr>
        </w:div>
      </w:divsChild>
    </w:div>
    <w:div w:id="808935830">
      <w:bodyDiv w:val="1"/>
      <w:marLeft w:val="0"/>
      <w:marRight w:val="0"/>
      <w:marTop w:val="0"/>
      <w:marBottom w:val="0"/>
      <w:divBdr>
        <w:top w:val="none" w:sz="0" w:space="0" w:color="auto"/>
        <w:left w:val="none" w:sz="0" w:space="0" w:color="auto"/>
        <w:bottom w:val="none" w:sz="0" w:space="0" w:color="auto"/>
        <w:right w:val="none" w:sz="0" w:space="0" w:color="auto"/>
      </w:divBdr>
      <w:divsChild>
        <w:div w:id="30108217">
          <w:marLeft w:val="0"/>
          <w:marRight w:val="0"/>
          <w:marTop w:val="0"/>
          <w:marBottom w:val="0"/>
          <w:divBdr>
            <w:top w:val="none" w:sz="0" w:space="0" w:color="auto"/>
            <w:left w:val="none" w:sz="0" w:space="0" w:color="auto"/>
            <w:bottom w:val="none" w:sz="0" w:space="0" w:color="auto"/>
            <w:right w:val="none" w:sz="0" w:space="0" w:color="auto"/>
          </w:divBdr>
          <w:divsChild>
            <w:div w:id="1112626846">
              <w:marLeft w:val="0"/>
              <w:marRight w:val="0"/>
              <w:marTop w:val="0"/>
              <w:marBottom w:val="0"/>
              <w:divBdr>
                <w:top w:val="none" w:sz="0" w:space="0" w:color="auto"/>
                <w:left w:val="none" w:sz="0" w:space="0" w:color="auto"/>
                <w:bottom w:val="none" w:sz="0" w:space="0" w:color="auto"/>
                <w:right w:val="none" w:sz="0" w:space="0" w:color="auto"/>
              </w:divBdr>
            </w:div>
          </w:divsChild>
        </w:div>
        <w:div w:id="46295476">
          <w:marLeft w:val="0"/>
          <w:marRight w:val="0"/>
          <w:marTop w:val="0"/>
          <w:marBottom w:val="0"/>
          <w:divBdr>
            <w:top w:val="none" w:sz="0" w:space="0" w:color="auto"/>
            <w:left w:val="none" w:sz="0" w:space="0" w:color="auto"/>
            <w:bottom w:val="none" w:sz="0" w:space="0" w:color="auto"/>
            <w:right w:val="none" w:sz="0" w:space="0" w:color="auto"/>
          </w:divBdr>
          <w:divsChild>
            <w:div w:id="1283658129">
              <w:marLeft w:val="0"/>
              <w:marRight w:val="0"/>
              <w:marTop w:val="0"/>
              <w:marBottom w:val="0"/>
              <w:divBdr>
                <w:top w:val="none" w:sz="0" w:space="0" w:color="auto"/>
                <w:left w:val="none" w:sz="0" w:space="0" w:color="auto"/>
                <w:bottom w:val="none" w:sz="0" w:space="0" w:color="auto"/>
                <w:right w:val="none" w:sz="0" w:space="0" w:color="auto"/>
              </w:divBdr>
            </w:div>
          </w:divsChild>
        </w:div>
        <w:div w:id="138307051">
          <w:marLeft w:val="0"/>
          <w:marRight w:val="0"/>
          <w:marTop w:val="0"/>
          <w:marBottom w:val="0"/>
          <w:divBdr>
            <w:top w:val="none" w:sz="0" w:space="0" w:color="auto"/>
            <w:left w:val="none" w:sz="0" w:space="0" w:color="auto"/>
            <w:bottom w:val="none" w:sz="0" w:space="0" w:color="auto"/>
            <w:right w:val="none" w:sz="0" w:space="0" w:color="auto"/>
          </w:divBdr>
          <w:divsChild>
            <w:div w:id="641354694">
              <w:marLeft w:val="0"/>
              <w:marRight w:val="0"/>
              <w:marTop w:val="0"/>
              <w:marBottom w:val="0"/>
              <w:divBdr>
                <w:top w:val="none" w:sz="0" w:space="0" w:color="auto"/>
                <w:left w:val="none" w:sz="0" w:space="0" w:color="auto"/>
                <w:bottom w:val="none" w:sz="0" w:space="0" w:color="auto"/>
                <w:right w:val="none" w:sz="0" w:space="0" w:color="auto"/>
              </w:divBdr>
            </w:div>
          </w:divsChild>
        </w:div>
        <w:div w:id="322784562">
          <w:marLeft w:val="0"/>
          <w:marRight w:val="0"/>
          <w:marTop w:val="0"/>
          <w:marBottom w:val="0"/>
          <w:divBdr>
            <w:top w:val="none" w:sz="0" w:space="0" w:color="auto"/>
            <w:left w:val="none" w:sz="0" w:space="0" w:color="auto"/>
            <w:bottom w:val="none" w:sz="0" w:space="0" w:color="auto"/>
            <w:right w:val="none" w:sz="0" w:space="0" w:color="auto"/>
          </w:divBdr>
          <w:divsChild>
            <w:div w:id="344555116">
              <w:marLeft w:val="0"/>
              <w:marRight w:val="0"/>
              <w:marTop w:val="0"/>
              <w:marBottom w:val="0"/>
              <w:divBdr>
                <w:top w:val="none" w:sz="0" w:space="0" w:color="auto"/>
                <w:left w:val="none" w:sz="0" w:space="0" w:color="auto"/>
                <w:bottom w:val="none" w:sz="0" w:space="0" w:color="auto"/>
                <w:right w:val="none" w:sz="0" w:space="0" w:color="auto"/>
              </w:divBdr>
            </w:div>
          </w:divsChild>
        </w:div>
        <w:div w:id="496847298">
          <w:marLeft w:val="0"/>
          <w:marRight w:val="0"/>
          <w:marTop w:val="0"/>
          <w:marBottom w:val="0"/>
          <w:divBdr>
            <w:top w:val="none" w:sz="0" w:space="0" w:color="auto"/>
            <w:left w:val="none" w:sz="0" w:space="0" w:color="auto"/>
            <w:bottom w:val="none" w:sz="0" w:space="0" w:color="auto"/>
            <w:right w:val="none" w:sz="0" w:space="0" w:color="auto"/>
          </w:divBdr>
          <w:divsChild>
            <w:div w:id="1959406275">
              <w:marLeft w:val="0"/>
              <w:marRight w:val="0"/>
              <w:marTop w:val="0"/>
              <w:marBottom w:val="0"/>
              <w:divBdr>
                <w:top w:val="none" w:sz="0" w:space="0" w:color="auto"/>
                <w:left w:val="none" w:sz="0" w:space="0" w:color="auto"/>
                <w:bottom w:val="none" w:sz="0" w:space="0" w:color="auto"/>
                <w:right w:val="none" w:sz="0" w:space="0" w:color="auto"/>
              </w:divBdr>
            </w:div>
          </w:divsChild>
        </w:div>
        <w:div w:id="540632747">
          <w:marLeft w:val="0"/>
          <w:marRight w:val="0"/>
          <w:marTop w:val="0"/>
          <w:marBottom w:val="0"/>
          <w:divBdr>
            <w:top w:val="none" w:sz="0" w:space="0" w:color="auto"/>
            <w:left w:val="none" w:sz="0" w:space="0" w:color="auto"/>
            <w:bottom w:val="none" w:sz="0" w:space="0" w:color="auto"/>
            <w:right w:val="none" w:sz="0" w:space="0" w:color="auto"/>
          </w:divBdr>
          <w:divsChild>
            <w:div w:id="458573509">
              <w:marLeft w:val="0"/>
              <w:marRight w:val="0"/>
              <w:marTop w:val="0"/>
              <w:marBottom w:val="0"/>
              <w:divBdr>
                <w:top w:val="none" w:sz="0" w:space="0" w:color="auto"/>
                <w:left w:val="none" w:sz="0" w:space="0" w:color="auto"/>
                <w:bottom w:val="none" w:sz="0" w:space="0" w:color="auto"/>
                <w:right w:val="none" w:sz="0" w:space="0" w:color="auto"/>
              </w:divBdr>
            </w:div>
          </w:divsChild>
        </w:div>
        <w:div w:id="550658656">
          <w:marLeft w:val="0"/>
          <w:marRight w:val="0"/>
          <w:marTop w:val="0"/>
          <w:marBottom w:val="0"/>
          <w:divBdr>
            <w:top w:val="none" w:sz="0" w:space="0" w:color="auto"/>
            <w:left w:val="none" w:sz="0" w:space="0" w:color="auto"/>
            <w:bottom w:val="none" w:sz="0" w:space="0" w:color="auto"/>
            <w:right w:val="none" w:sz="0" w:space="0" w:color="auto"/>
          </w:divBdr>
          <w:divsChild>
            <w:div w:id="1770539161">
              <w:marLeft w:val="0"/>
              <w:marRight w:val="0"/>
              <w:marTop w:val="0"/>
              <w:marBottom w:val="0"/>
              <w:divBdr>
                <w:top w:val="none" w:sz="0" w:space="0" w:color="auto"/>
                <w:left w:val="none" w:sz="0" w:space="0" w:color="auto"/>
                <w:bottom w:val="none" w:sz="0" w:space="0" w:color="auto"/>
                <w:right w:val="none" w:sz="0" w:space="0" w:color="auto"/>
              </w:divBdr>
            </w:div>
          </w:divsChild>
        </w:div>
        <w:div w:id="582254130">
          <w:marLeft w:val="0"/>
          <w:marRight w:val="0"/>
          <w:marTop w:val="0"/>
          <w:marBottom w:val="0"/>
          <w:divBdr>
            <w:top w:val="none" w:sz="0" w:space="0" w:color="auto"/>
            <w:left w:val="none" w:sz="0" w:space="0" w:color="auto"/>
            <w:bottom w:val="none" w:sz="0" w:space="0" w:color="auto"/>
            <w:right w:val="none" w:sz="0" w:space="0" w:color="auto"/>
          </w:divBdr>
          <w:divsChild>
            <w:div w:id="226231160">
              <w:marLeft w:val="0"/>
              <w:marRight w:val="0"/>
              <w:marTop w:val="0"/>
              <w:marBottom w:val="0"/>
              <w:divBdr>
                <w:top w:val="none" w:sz="0" w:space="0" w:color="auto"/>
                <w:left w:val="none" w:sz="0" w:space="0" w:color="auto"/>
                <w:bottom w:val="none" w:sz="0" w:space="0" w:color="auto"/>
                <w:right w:val="none" w:sz="0" w:space="0" w:color="auto"/>
              </w:divBdr>
            </w:div>
          </w:divsChild>
        </w:div>
        <w:div w:id="622737594">
          <w:marLeft w:val="0"/>
          <w:marRight w:val="0"/>
          <w:marTop w:val="0"/>
          <w:marBottom w:val="0"/>
          <w:divBdr>
            <w:top w:val="none" w:sz="0" w:space="0" w:color="auto"/>
            <w:left w:val="none" w:sz="0" w:space="0" w:color="auto"/>
            <w:bottom w:val="none" w:sz="0" w:space="0" w:color="auto"/>
            <w:right w:val="none" w:sz="0" w:space="0" w:color="auto"/>
          </w:divBdr>
          <w:divsChild>
            <w:div w:id="341013630">
              <w:marLeft w:val="0"/>
              <w:marRight w:val="0"/>
              <w:marTop w:val="0"/>
              <w:marBottom w:val="0"/>
              <w:divBdr>
                <w:top w:val="none" w:sz="0" w:space="0" w:color="auto"/>
                <w:left w:val="none" w:sz="0" w:space="0" w:color="auto"/>
                <w:bottom w:val="none" w:sz="0" w:space="0" w:color="auto"/>
                <w:right w:val="none" w:sz="0" w:space="0" w:color="auto"/>
              </w:divBdr>
            </w:div>
          </w:divsChild>
        </w:div>
        <w:div w:id="697391566">
          <w:marLeft w:val="0"/>
          <w:marRight w:val="0"/>
          <w:marTop w:val="0"/>
          <w:marBottom w:val="0"/>
          <w:divBdr>
            <w:top w:val="none" w:sz="0" w:space="0" w:color="auto"/>
            <w:left w:val="none" w:sz="0" w:space="0" w:color="auto"/>
            <w:bottom w:val="none" w:sz="0" w:space="0" w:color="auto"/>
            <w:right w:val="none" w:sz="0" w:space="0" w:color="auto"/>
          </w:divBdr>
          <w:divsChild>
            <w:div w:id="2141609932">
              <w:marLeft w:val="0"/>
              <w:marRight w:val="0"/>
              <w:marTop w:val="0"/>
              <w:marBottom w:val="0"/>
              <w:divBdr>
                <w:top w:val="none" w:sz="0" w:space="0" w:color="auto"/>
                <w:left w:val="none" w:sz="0" w:space="0" w:color="auto"/>
                <w:bottom w:val="none" w:sz="0" w:space="0" w:color="auto"/>
                <w:right w:val="none" w:sz="0" w:space="0" w:color="auto"/>
              </w:divBdr>
            </w:div>
          </w:divsChild>
        </w:div>
        <w:div w:id="699934061">
          <w:marLeft w:val="0"/>
          <w:marRight w:val="0"/>
          <w:marTop w:val="0"/>
          <w:marBottom w:val="0"/>
          <w:divBdr>
            <w:top w:val="none" w:sz="0" w:space="0" w:color="auto"/>
            <w:left w:val="none" w:sz="0" w:space="0" w:color="auto"/>
            <w:bottom w:val="none" w:sz="0" w:space="0" w:color="auto"/>
            <w:right w:val="none" w:sz="0" w:space="0" w:color="auto"/>
          </w:divBdr>
          <w:divsChild>
            <w:div w:id="1836141968">
              <w:marLeft w:val="0"/>
              <w:marRight w:val="0"/>
              <w:marTop w:val="0"/>
              <w:marBottom w:val="0"/>
              <w:divBdr>
                <w:top w:val="none" w:sz="0" w:space="0" w:color="auto"/>
                <w:left w:val="none" w:sz="0" w:space="0" w:color="auto"/>
                <w:bottom w:val="none" w:sz="0" w:space="0" w:color="auto"/>
                <w:right w:val="none" w:sz="0" w:space="0" w:color="auto"/>
              </w:divBdr>
            </w:div>
          </w:divsChild>
        </w:div>
        <w:div w:id="702096890">
          <w:marLeft w:val="0"/>
          <w:marRight w:val="0"/>
          <w:marTop w:val="0"/>
          <w:marBottom w:val="0"/>
          <w:divBdr>
            <w:top w:val="none" w:sz="0" w:space="0" w:color="auto"/>
            <w:left w:val="none" w:sz="0" w:space="0" w:color="auto"/>
            <w:bottom w:val="none" w:sz="0" w:space="0" w:color="auto"/>
            <w:right w:val="none" w:sz="0" w:space="0" w:color="auto"/>
          </w:divBdr>
          <w:divsChild>
            <w:div w:id="850533249">
              <w:marLeft w:val="0"/>
              <w:marRight w:val="0"/>
              <w:marTop w:val="0"/>
              <w:marBottom w:val="0"/>
              <w:divBdr>
                <w:top w:val="none" w:sz="0" w:space="0" w:color="auto"/>
                <w:left w:val="none" w:sz="0" w:space="0" w:color="auto"/>
                <w:bottom w:val="none" w:sz="0" w:space="0" w:color="auto"/>
                <w:right w:val="none" w:sz="0" w:space="0" w:color="auto"/>
              </w:divBdr>
            </w:div>
          </w:divsChild>
        </w:div>
        <w:div w:id="735664085">
          <w:marLeft w:val="0"/>
          <w:marRight w:val="0"/>
          <w:marTop w:val="0"/>
          <w:marBottom w:val="0"/>
          <w:divBdr>
            <w:top w:val="none" w:sz="0" w:space="0" w:color="auto"/>
            <w:left w:val="none" w:sz="0" w:space="0" w:color="auto"/>
            <w:bottom w:val="none" w:sz="0" w:space="0" w:color="auto"/>
            <w:right w:val="none" w:sz="0" w:space="0" w:color="auto"/>
          </w:divBdr>
          <w:divsChild>
            <w:div w:id="526987872">
              <w:marLeft w:val="0"/>
              <w:marRight w:val="0"/>
              <w:marTop w:val="0"/>
              <w:marBottom w:val="0"/>
              <w:divBdr>
                <w:top w:val="none" w:sz="0" w:space="0" w:color="auto"/>
                <w:left w:val="none" w:sz="0" w:space="0" w:color="auto"/>
                <w:bottom w:val="none" w:sz="0" w:space="0" w:color="auto"/>
                <w:right w:val="none" w:sz="0" w:space="0" w:color="auto"/>
              </w:divBdr>
            </w:div>
          </w:divsChild>
        </w:div>
        <w:div w:id="808977243">
          <w:marLeft w:val="0"/>
          <w:marRight w:val="0"/>
          <w:marTop w:val="0"/>
          <w:marBottom w:val="0"/>
          <w:divBdr>
            <w:top w:val="none" w:sz="0" w:space="0" w:color="auto"/>
            <w:left w:val="none" w:sz="0" w:space="0" w:color="auto"/>
            <w:bottom w:val="none" w:sz="0" w:space="0" w:color="auto"/>
            <w:right w:val="none" w:sz="0" w:space="0" w:color="auto"/>
          </w:divBdr>
          <w:divsChild>
            <w:div w:id="1017971220">
              <w:marLeft w:val="0"/>
              <w:marRight w:val="0"/>
              <w:marTop w:val="0"/>
              <w:marBottom w:val="0"/>
              <w:divBdr>
                <w:top w:val="none" w:sz="0" w:space="0" w:color="auto"/>
                <w:left w:val="none" w:sz="0" w:space="0" w:color="auto"/>
                <w:bottom w:val="none" w:sz="0" w:space="0" w:color="auto"/>
                <w:right w:val="none" w:sz="0" w:space="0" w:color="auto"/>
              </w:divBdr>
            </w:div>
          </w:divsChild>
        </w:div>
        <w:div w:id="818032642">
          <w:marLeft w:val="0"/>
          <w:marRight w:val="0"/>
          <w:marTop w:val="0"/>
          <w:marBottom w:val="0"/>
          <w:divBdr>
            <w:top w:val="none" w:sz="0" w:space="0" w:color="auto"/>
            <w:left w:val="none" w:sz="0" w:space="0" w:color="auto"/>
            <w:bottom w:val="none" w:sz="0" w:space="0" w:color="auto"/>
            <w:right w:val="none" w:sz="0" w:space="0" w:color="auto"/>
          </w:divBdr>
          <w:divsChild>
            <w:div w:id="276835602">
              <w:marLeft w:val="0"/>
              <w:marRight w:val="0"/>
              <w:marTop w:val="0"/>
              <w:marBottom w:val="0"/>
              <w:divBdr>
                <w:top w:val="none" w:sz="0" w:space="0" w:color="auto"/>
                <w:left w:val="none" w:sz="0" w:space="0" w:color="auto"/>
                <w:bottom w:val="none" w:sz="0" w:space="0" w:color="auto"/>
                <w:right w:val="none" w:sz="0" w:space="0" w:color="auto"/>
              </w:divBdr>
            </w:div>
          </w:divsChild>
        </w:div>
        <w:div w:id="911430146">
          <w:marLeft w:val="0"/>
          <w:marRight w:val="0"/>
          <w:marTop w:val="0"/>
          <w:marBottom w:val="0"/>
          <w:divBdr>
            <w:top w:val="none" w:sz="0" w:space="0" w:color="auto"/>
            <w:left w:val="none" w:sz="0" w:space="0" w:color="auto"/>
            <w:bottom w:val="none" w:sz="0" w:space="0" w:color="auto"/>
            <w:right w:val="none" w:sz="0" w:space="0" w:color="auto"/>
          </w:divBdr>
          <w:divsChild>
            <w:div w:id="1946182904">
              <w:marLeft w:val="0"/>
              <w:marRight w:val="0"/>
              <w:marTop w:val="0"/>
              <w:marBottom w:val="0"/>
              <w:divBdr>
                <w:top w:val="none" w:sz="0" w:space="0" w:color="auto"/>
                <w:left w:val="none" w:sz="0" w:space="0" w:color="auto"/>
                <w:bottom w:val="none" w:sz="0" w:space="0" w:color="auto"/>
                <w:right w:val="none" w:sz="0" w:space="0" w:color="auto"/>
              </w:divBdr>
            </w:div>
          </w:divsChild>
        </w:div>
        <w:div w:id="933589477">
          <w:marLeft w:val="0"/>
          <w:marRight w:val="0"/>
          <w:marTop w:val="0"/>
          <w:marBottom w:val="0"/>
          <w:divBdr>
            <w:top w:val="none" w:sz="0" w:space="0" w:color="auto"/>
            <w:left w:val="none" w:sz="0" w:space="0" w:color="auto"/>
            <w:bottom w:val="none" w:sz="0" w:space="0" w:color="auto"/>
            <w:right w:val="none" w:sz="0" w:space="0" w:color="auto"/>
          </w:divBdr>
          <w:divsChild>
            <w:div w:id="87044137">
              <w:marLeft w:val="0"/>
              <w:marRight w:val="0"/>
              <w:marTop w:val="0"/>
              <w:marBottom w:val="0"/>
              <w:divBdr>
                <w:top w:val="none" w:sz="0" w:space="0" w:color="auto"/>
                <w:left w:val="none" w:sz="0" w:space="0" w:color="auto"/>
                <w:bottom w:val="none" w:sz="0" w:space="0" w:color="auto"/>
                <w:right w:val="none" w:sz="0" w:space="0" w:color="auto"/>
              </w:divBdr>
            </w:div>
          </w:divsChild>
        </w:div>
        <w:div w:id="933632132">
          <w:marLeft w:val="0"/>
          <w:marRight w:val="0"/>
          <w:marTop w:val="0"/>
          <w:marBottom w:val="0"/>
          <w:divBdr>
            <w:top w:val="none" w:sz="0" w:space="0" w:color="auto"/>
            <w:left w:val="none" w:sz="0" w:space="0" w:color="auto"/>
            <w:bottom w:val="none" w:sz="0" w:space="0" w:color="auto"/>
            <w:right w:val="none" w:sz="0" w:space="0" w:color="auto"/>
          </w:divBdr>
          <w:divsChild>
            <w:div w:id="68812945">
              <w:marLeft w:val="0"/>
              <w:marRight w:val="0"/>
              <w:marTop w:val="0"/>
              <w:marBottom w:val="0"/>
              <w:divBdr>
                <w:top w:val="none" w:sz="0" w:space="0" w:color="auto"/>
                <w:left w:val="none" w:sz="0" w:space="0" w:color="auto"/>
                <w:bottom w:val="none" w:sz="0" w:space="0" w:color="auto"/>
                <w:right w:val="none" w:sz="0" w:space="0" w:color="auto"/>
              </w:divBdr>
            </w:div>
          </w:divsChild>
        </w:div>
        <w:div w:id="966198440">
          <w:marLeft w:val="0"/>
          <w:marRight w:val="0"/>
          <w:marTop w:val="0"/>
          <w:marBottom w:val="0"/>
          <w:divBdr>
            <w:top w:val="none" w:sz="0" w:space="0" w:color="auto"/>
            <w:left w:val="none" w:sz="0" w:space="0" w:color="auto"/>
            <w:bottom w:val="none" w:sz="0" w:space="0" w:color="auto"/>
            <w:right w:val="none" w:sz="0" w:space="0" w:color="auto"/>
          </w:divBdr>
          <w:divsChild>
            <w:div w:id="74982377">
              <w:marLeft w:val="0"/>
              <w:marRight w:val="0"/>
              <w:marTop w:val="0"/>
              <w:marBottom w:val="0"/>
              <w:divBdr>
                <w:top w:val="none" w:sz="0" w:space="0" w:color="auto"/>
                <w:left w:val="none" w:sz="0" w:space="0" w:color="auto"/>
                <w:bottom w:val="none" w:sz="0" w:space="0" w:color="auto"/>
                <w:right w:val="none" w:sz="0" w:space="0" w:color="auto"/>
              </w:divBdr>
            </w:div>
          </w:divsChild>
        </w:div>
        <w:div w:id="970941154">
          <w:marLeft w:val="0"/>
          <w:marRight w:val="0"/>
          <w:marTop w:val="0"/>
          <w:marBottom w:val="0"/>
          <w:divBdr>
            <w:top w:val="none" w:sz="0" w:space="0" w:color="auto"/>
            <w:left w:val="none" w:sz="0" w:space="0" w:color="auto"/>
            <w:bottom w:val="none" w:sz="0" w:space="0" w:color="auto"/>
            <w:right w:val="none" w:sz="0" w:space="0" w:color="auto"/>
          </w:divBdr>
          <w:divsChild>
            <w:div w:id="436104535">
              <w:marLeft w:val="0"/>
              <w:marRight w:val="0"/>
              <w:marTop w:val="0"/>
              <w:marBottom w:val="0"/>
              <w:divBdr>
                <w:top w:val="none" w:sz="0" w:space="0" w:color="auto"/>
                <w:left w:val="none" w:sz="0" w:space="0" w:color="auto"/>
                <w:bottom w:val="none" w:sz="0" w:space="0" w:color="auto"/>
                <w:right w:val="none" w:sz="0" w:space="0" w:color="auto"/>
              </w:divBdr>
            </w:div>
          </w:divsChild>
        </w:div>
        <w:div w:id="1090852974">
          <w:marLeft w:val="0"/>
          <w:marRight w:val="0"/>
          <w:marTop w:val="0"/>
          <w:marBottom w:val="0"/>
          <w:divBdr>
            <w:top w:val="none" w:sz="0" w:space="0" w:color="auto"/>
            <w:left w:val="none" w:sz="0" w:space="0" w:color="auto"/>
            <w:bottom w:val="none" w:sz="0" w:space="0" w:color="auto"/>
            <w:right w:val="none" w:sz="0" w:space="0" w:color="auto"/>
          </w:divBdr>
          <w:divsChild>
            <w:div w:id="1130905589">
              <w:marLeft w:val="0"/>
              <w:marRight w:val="0"/>
              <w:marTop w:val="0"/>
              <w:marBottom w:val="0"/>
              <w:divBdr>
                <w:top w:val="none" w:sz="0" w:space="0" w:color="auto"/>
                <w:left w:val="none" w:sz="0" w:space="0" w:color="auto"/>
                <w:bottom w:val="none" w:sz="0" w:space="0" w:color="auto"/>
                <w:right w:val="none" w:sz="0" w:space="0" w:color="auto"/>
              </w:divBdr>
            </w:div>
          </w:divsChild>
        </w:div>
        <w:div w:id="1103107612">
          <w:marLeft w:val="0"/>
          <w:marRight w:val="0"/>
          <w:marTop w:val="0"/>
          <w:marBottom w:val="0"/>
          <w:divBdr>
            <w:top w:val="none" w:sz="0" w:space="0" w:color="auto"/>
            <w:left w:val="none" w:sz="0" w:space="0" w:color="auto"/>
            <w:bottom w:val="none" w:sz="0" w:space="0" w:color="auto"/>
            <w:right w:val="none" w:sz="0" w:space="0" w:color="auto"/>
          </w:divBdr>
          <w:divsChild>
            <w:div w:id="894315598">
              <w:marLeft w:val="0"/>
              <w:marRight w:val="0"/>
              <w:marTop w:val="0"/>
              <w:marBottom w:val="0"/>
              <w:divBdr>
                <w:top w:val="none" w:sz="0" w:space="0" w:color="auto"/>
                <w:left w:val="none" w:sz="0" w:space="0" w:color="auto"/>
                <w:bottom w:val="none" w:sz="0" w:space="0" w:color="auto"/>
                <w:right w:val="none" w:sz="0" w:space="0" w:color="auto"/>
              </w:divBdr>
            </w:div>
          </w:divsChild>
        </w:div>
        <w:div w:id="1154564683">
          <w:marLeft w:val="0"/>
          <w:marRight w:val="0"/>
          <w:marTop w:val="0"/>
          <w:marBottom w:val="0"/>
          <w:divBdr>
            <w:top w:val="none" w:sz="0" w:space="0" w:color="auto"/>
            <w:left w:val="none" w:sz="0" w:space="0" w:color="auto"/>
            <w:bottom w:val="none" w:sz="0" w:space="0" w:color="auto"/>
            <w:right w:val="none" w:sz="0" w:space="0" w:color="auto"/>
          </w:divBdr>
          <w:divsChild>
            <w:div w:id="1052267507">
              <w:marLeft w:val="0"/>
              <w:marRight w:val="0"/>
              <w:marTop w:val="0"/>
              <w:marBottom w:val="0"/>
              <w:divBdr>
                <w:top w:val="none" w:sz="0" w:space="0" w:color="auto"/>
                <w:left w:val="none" w:sz="0" w:space="0" w:color="auto"/>
                <w:bottom w:val="none" w:sz="0" w:space="0" w:color="auto"/>
                <w:right w:val="none" w:sz="0" w:space="0" w:color="auto"/>
              </w:divBdr>
            </w:div>
          </w:divsChild>
        </w:div>
        <w:div w:id="1175068220">
          <w:marLeft w:val="0"/>
          <w:marRight w:val="0"/>
          <w:marTop w:val="0"/>
          <w:marBottom w:val="0"/>
          <w:divBdr>
            <w:top w:val="none" w:sz="0" w:space="0" w:color="auto"/>
            <w:left w:val="none" w:sz="0" w:space="0" w:color="auto"/>
            <w:bottom w:val="none" w:sz="0" w:space="0" w:color="auto"/>
            <w:right w:val="none" w:sz="0" w:space="0" w:color="auto"/>
          </w:divBdr>
          <w:divsChild>
            <w:div w:id="1344093830">
              <w:marLeft w:val="0"/>
              <w:marRight w:val="0"/>
              <w:marTop w:val="0"/>
              <w:marBottom w:val="0"/>
              <w:divBdr>
                <w:top w:val="none" w:sz="0" w:space="0" w:color="auto"/>
                <w:left w:val="none" w:sz="0" w:space="0" w:color="auto"/>
                <w:bottom w:val="none" w:sz="0" w:space="0" w:color="auto"/>
                <w:right w:val="none" w:sz="0" w:space="0" w:color="auto"/>
              </w:divBdr>
            </w:div>
          </w:divsChild>
        </w:div>
        <w:div w:id="1202985011">
          <w:marLeft w:val="0"/>
          <w:marRight w:val="0"/>
          <w:marTop w:val="0"/>
          <w:marBottom w:val="0"/>
          <w:divBdr>
            <w:top w:val="none" w:sz="0" w:space="0" w:color="auto"/>
            <w:left w:val="none" w:sz="0" w:space="0" w:color="auto"/>
            <w:bottom w:val="none" w:sz="0" w:space="0" w:color="auto"/>
            <w:right w:val="none" w:sz="0" w:space="0" w:color="auto"/>
          </w:divBdr>
          <w:divsChild>
            <w:div w:id="394738334">
              <w:marLeft w:val="0"/>
              <w:marRight w:val="0"/>
              <w:marTop w:val="0"/>
              <w:marBottom w:val="0"/>
              <w:divBdr>
                <w:top w:val="none" w:sz="0" w:space="0" w:color="auto"/>
                <w:left w:val="none" w:sz="0" w:space="0" w:color="auto"/>
                <w:bottom w:val="none" w:sz="0" w:space="0" w:color="auto"/>
                <w:right w:val="none" w:sz="0" w:space="0" w:color="auto"/>
              </w:divBdr>
            </w:div>
          </w:divsChild>
        </w:div>
        <w:div w:id="1207983654">
          <w:marLeft w:val="0"/>
          <w:marRight w:val="0"/>
          <w:marTop w:val="0"/>
          <w:marBottom w:val="0"/>
          <w:divBdr>
            <w:top w:val="none" w:sz="0" w:space="0" w:color="auto"/>
            <w:left w:val="none" w:sz="0" w:space="0" w:color="auto"/>
            <w:bottom w:val="none" w:sz="0" w:space="0" w:color="auto"/>
            <w:right w:val="none" w:sz="0" w:space="0" w:color="auto"/>
          </w:divBdr>
          <w:divsChild>
            <w:div w:id="289283890">
              <w:marLeft w:val="0"/>
              <w:marRight w:val="0"/>
              <w:marTop w:val="0"/>
              <w:marBottom w:val="0"/>
              <w:divBdr>
                <w:top w:val="none" w:sz="0" w:space="0" w:color="auto"/>
                <w:left w:val="none" w:sz="0" w:space="0" w:color="auto"/>
                <w:bottom w:val="none" w:sz="0" w:space="0" w:color="auto"/>
                <w:right w:val="none" w:sz="0" w:space="0" w:color="auto"/>
              </w:divBdr>
            </w:div>
          </w:divsChild>
        </w:div>
        <w:div w:id="1238512387">
          <w:marLeft w:val="0"/>
          <w:marRight w:val="0"/>
          <w:marTop w:val="0"/>
          <w:marBottom w:val="0"/>
          <w:divBdr>
            <w:top w:val="none" w:sz="0" w:space="0" w:color="auto"/>
            <w:left w:val="none" w:sz="0" w:space="0" w:color="auto"/>
            <w:bottom w:val="none" w:sz="0" w:space="0" w:color="auto"/>
            <w:right w:val="none" w:sz="0" w:space="0" w:color="auto"/>
          </w:divBdr>
          <w:divsChild>
            <w:div w:id="2007631984">
              <w:marLeft w:val="0"/>
              <w:marRight w:val="0"/>
              <w:marTop w:val="0"/>
              <w:marBottom w:val="0"/>
              <w:divBdr>
                <w:top w:val="none" w:sz="0" w:space="0" w:color="auto"/>
                <w:left w:val="none" w:sz="0" w:space="0" w:color="auto"/>
                <w:bottom w:val="none" w:sz="0" w:space="0" w:color="auto"/>
                <w:right w:val="none" w:sz="0" w:space="0" w:color="auto"/>
              </w:divBdr>
            </w:div>
          </w:divsChild>
        </w:div>
        <w:div w:id="1382898501">
          <w:marLeft w:val="0"/>
          <w:marRight w:val="0"/>
          <w:marTop w:val="0"/>
          <w:marBottom w:val="0"/>
          <w:divBdr>
            <w:top w:val="none" w:sz="0" w:space="0" w:color="auto"/>
            <w:left w:val="none" w:sz="0" w:space="0" w:color="auto"/>
            <w:bottom w:val="none" w:sz="0" w:space="0" w:color="auto"/>
            <w:right w:val="none" w:sz="0" w:space="0" w:color="auto"/>
          </w:divBdr>
          <w:divsChild>
            <w:div w:id="953290101">
              <w:marLeft w:val="0"/>
              <w:marRight w:val="0"/>
              <w:marTop w:val="0"/>
              <w:marBottom w:val="0"/>
              <w:divBdr>
                <w:top w:val="none" w:sz="0" w:space="0" w:color="auto"/>
                <w:left w:val="none" w:sz="0" w:space="0" w:color="auto"/>
                <w:bottom w:val="none" w:sz="0" w:space="0" w:color="auto"/>
                <w:right w:val="none" w:sz="0" w:space="0" w:color="auto"/>
              </w:divBdr>
            </w:div>
          </w:divsChild>
        </w:div>
        <w:div w:id="1435124690">
          <w:marLeft w:val="0"/>
          <w:marRight w:val="0"/>
          <w:marTop w:val="0"/>
          <w:marBottom w:val="0"/>
          <w:divBdr>
            <w:top w:val="none" w:sz="0" w:space="0" w:color="auto"/>
            <w:left w:val="none" w:sz="0" w:space="0" w:color="auto"/>
            <w:bottom w:val="none" w:sz="0" w:space="0" w:color="auto"/>
            <w:right w:val="none" w:sz="0" w:space="0" w:color="auto"/>
          </w:divBdr>
          <w:divsChild>
            <w:div w:id="2131119375">
              <w:marLeft w:val="0"/>
              <w:marRight w:val="0"/>
              <w:marTop w:val="0"/>
              <w:marBottom w:val="0"/>
              <w:divBdr>
                <w:top w:val="none" w:sz="0" w:space="0" w:color="auto"/>
                <w:left w:val="none" w:sz="0" w:space="0" w:color="auto"/>
                <w:bottom w:val="none" w:sz="0" w:space="0" w:color="auto"/>
                <w:right w:val="none" w:sz="0" w:space="0" w:color="auto"/>
              </w:divBdr>
            </w:div>
          </w:divsChild>
        </w:div>
        <w:div w:id="1467774664">
          <w:marLeft w:val="0"/>
          <w:marRight w:val="0"/>
          <w:marTop w:val="0"/>
          <w:marBottom w:val="0"/>
          <w:divBdr>
            <w:top w:val="none" w:sz="0" w:space="0" w:color="auto"/>
            <w:left w:val="none" w:sz="0" w:space="0" w:color="auto"/>
            <w:bottom w:val="none" w:sz="0" w:space="0" w:color="auto"/>
            <w:right w:val="none" w:sz="0" w:space="0" w:color="auto"/>
          </w:divBdr>
          <w:divsChild>
            <w:div w:id="1643538698">
              <w:marLeft w:val="0"/>
              <w:marRight w:val="0"/>
              <w:marTop w:val="0"/>
              <w:marBottom w:val="0"/>
              <w:divBdr>
                <w:top w:val="none" w:sz="0" w:space="0" w:color="auto"/>
                <w:left w:val="none" w:sz="0" w:space="0" w:color="auto"/>
                <w:bottom w:val="none" w:sz="0" w:space="0" w:color="auto"/>
                <w:right w:val="none" w:sz="0" w:space="0" w:color="auto"/>
              </w:divBdr>
            </w:div>
          </w:divsChild>
        </w:div>
        <w:div w:id="1495802927">
          <w:marLeft w:val="0"/>
          <w:marRight w:val="0"/>
          <w:marTop w:val="0"/>
          <w:marBottom w:val="0"/>
          <w:divBdr>
            <w:top w:val="none" w:sz="0" w:space="0" w:color="auto"/>
            <w:left w:val="none" w:sz="0" w:space="0" w:color="auto"/>
            <w:bottom w:val="none" w:sz="0" w:space="0" w:color="auto"/>
            <w:right w:val="none" w:sz="0" w:space="0" w:color="auto"/>
          </w:divBdr>
          <w:divsChild>
            <w:div w:id="1096902579">
              <w:marLeft w:val="0"/>
              <w:marRight w:val="0"/>
              <w:marTop w:val="0"/>
              <w:marBottom w:val="0"/>
              <w:divBdr>
                <w:top w:val="none" w:sz="0" w:space="0" w:color="auto"/>
                <w:left w:val="none" w:sz="0" w:space="0" w:color="auto"/>
                <w:bottom w:val="none" w:sz="0" w:space="0" w:color="auto"/>
                <w:right w:val="none" w:sz="0" w:space="0" w:color="auto"/>
              </w:divBdr>
            </w:div>
          </w:divsChild>
        </w:div>
        <w:div w:id="1528716616">
          <w:marLeft w:val="0"/>
          <w:marRight w:val="0"/>
          <w:marTop w:val="0"/>
          <w:marBottom w:val="0"/>
          <w:divBdr>
            <w:top w:val="none" w:sz="0" w:space="0" w:color="auto"/>
            <w:left w:val="none" w:sz="0" w:space="0" w:color="auto"/>
            <w:bottom w:val="none" w:sz="0" w:space="0" w:color="auto"/>
            <w:right w:val="none" w:sz="0" w:space="0" w:color="auto"/>
          </w:divBdr>
          <w:divsChild>
            <w:div w:id="1280839557">
              <w:marLeft w:val="0"/>
              <w:marRight w:val="0"/>
              <w:marTop w:val="0"/>
              <w:marBottom w:val="0"/>
              <w:divBdr>
                <w:top w:val="none" w:sz="0" w:space="0" w:color="auto"/>
                <w:left w:val="none" w:sz="0" w:space="0" w:color="auto"/>
                <w:bottom w:val="none" w:sz="0" w:space="0" w:color="auto"/>
                <w:right w:val="none" w:sz="0" w:space="0" w:color="auto"/>
              </w:divBdr>
            </w:div>
          </w:divsChild>
        </w:div>
        <w:div w:id="1612318115">
          <w:marLeft w:val="0"/>
          <w:marRight w:val="0"/>
          <w:marTop w:val="0"/>
          <w:marBottom w:val="0"/>
          <w:divBdr>
            <w:top w:val="none" w:sz="0" w:space="0" w:color="auto"/>
            <w:left w:val="none" w:sz="0" w:space="0" w:color="auto"/>
            <w:bottom w:val="none" w:sz="0" w:space="0" w:color="auto"/>
            <w:right w:val="none" w:sz="0" w:space="0" w:color="auto"/>
          </w:divBdr>
          <w:divsChild>
            <w:div w:id="1938370926">
              <w:marLeft w:val="0"/>
              <w:marRight w:val="0"/>
              <w:marTop w:val="0"/>
              <w:marBottom w:val="0"/>
              <w:divBdr>
                <w:top w:val="none" w:sz="0" w:space="0" w:color="auto"/>
                <w:left w:val="none" w:sz="0" w:space="0" w:color="auto"/>
                <w:bottom w:val="none" w:sz="0" w:space="0" w:color="auto"/>
                <w:right w:val="none" w:sz="0" w:space="0" w:color="auto"/>
              </w:divBdr>
            </w:div>
          </w:divsChild>
        </w:div>
        <w:div w:id="1630696330">
          <w:marLeft w:val="0"/>
          <w:marRight w:val="0"/>
          <w:marTop w:val="0"/>
          <w:marBottom w:val="0"/>
          <w:divBdr>
            <w:top w:val="none" w:sz="0" w:space="0" w:color="auto"/>
            <w:left w:val="none" w:sz="0" w:space="0" w:color="auto"/>
            <w:bottom w:val="none" w:sz="0" w:space="0" w:color="auto"/>
            <w:right w:val="none" w:sz="0" w:space="0" w:color="auto"/>
          </w:divBdr>
          <w:divsChild>
            <w:div w:id="184908985">
              <w:marLeft w:val="0"/>
              <w:marRight w:val="0"/>
              <w:marTop w:val="0"/>
              <w:marBottom w:val="0"/>
              <w:divBdr>
                <w:top w:val="none" w:sz="0" w:space="0" w:color="auto"/>
                <w:left w:val="none" w:sz="0" w:space="0" w:color="auto"/>
                <w:bottom w:val="none" w:sz="0" w:space="0" w:color="auto"/>
                <w:right w:val="none" w:sz="0" w:space="0" w:color="auto"/>
              </w:divBdr>
            </w:div>
          </w:divsChild>
        </w:div>
        <w:div w:id="1632132783">
          <w:marLeft w:val="0"/>
          <w:marRight w:val="0"/>
          <w:marTop w:val="0"/>
          <w:marBottom w:val="0"/>
          <w:divBdr>
            <w:top w:val="none" w:sz="0" w:space="0" w:color="auto"/>
            <w:left w:val="none" w:sz="0" w:space="0" w:color="auto"/>
            <w:bottom w:val="none" w:sz="0" w:space="0" w:color="auto"/>
            <w:right w:val="none" w:sz="0" w:space="0" w:color="auto"/>
          </w:divBdr>
          <w:divsChild>
            <w:div w:id="523521953">
              <w:marLeft w:val="0"/>
              <w:marRight w:val="0"/>
              <w:marTop w:val="0"/>
              <w:marBottom w:val="0"/>
              <w:divBdr>
                <w:top w:val="none" w:sz="0" w:space="0" w:color="auto"/>
                <w:left w:val="none" w:sz="0" w:space="0" w:color="auto"/>
                <w:bottom w:val="none" w:sz="0" w:space="0" w:color="auto"/>
                <w:right w:val="none" w:sz="0" w:space="0" w:color="auto"/>
              </w:divBdr>
            </w:div>
          </w:divsChild>
        </w:div>
        <w:div w:id="1649549100">
          <w:marLeft w:val="0"/>
          <w:marRight w:val="0"/>
          <w:marTop w:val="0"/>
          <w:marBottom w:val="0"/>
          <w:divBdr>
            <w:top w:val="none" w:sz="0" w:space="0" w:color="auto"/>
            <w:left w:val="none" w:sz="0" w:space="0" w:color="auto"/>
            <w:bottom w:val="none" w:sz="0" w:space="0" w:color="auto"/>
            <w:right w:val="none" w:sz="0" w:space="0" w:color="auto"/>
          </w:divBdr>
          <w:divsChild>
            <w:div w:id="1547332681">
              <w:marLeft w:val="0"/>
              <w:marRight w:val="0"/>
              <w:marTop w:val="0"/>
              <w:marBottom w:val="0"/>
              <w:divBdr>
                <w:top w:val="none" w:sz="0" w:space="0" w:color="auto"/>
                <w:left w:val="none" w:sz="0" w:space="0" w:color="auto"/>
                <w:bottom w:val="none" w:sz="0" w:space="0" w:color="auto"/>
                <w:right w:val="none" w:sz="0" w:space="0" w:color="auto"/>
              </w:divBdr>
            </w:div>
          </w:divsChild>
        </w:div>
        <w:div w:id="1718818387">
          <w:marLeft w:val="0"/>
          <w:marRight w:val="0"/>
          <w:marTop w:val="0"/>
          <w:marBottom w:val="0"/>
          <w:divBdr>
            <w:top w:val="none" w:sz="0" w:space="0" w:color="auto"/>
            <w:left w:val="none" w:sz="0" w:space="0" w:color="auto"/>
            <w:bottom w:val="none" w:sz="0" w:space="0" w:color="auto"/>
            <w:right w:val="none" w:sz="0" w:space="0" w:color="auto"/>
          </w:divBdr>
          <w:divsChild>
            <w:div w:id="360596147">
              <w:marLeft w:val="0"/>
              <w:marRight w:val="0"/>
              <w:marTop w:val="0"/>
              <w:marBottom w:val="0"/>
              <w:divBdr>
                <w:top w:val="none" w:sz="0" w:space="0" w:color="auto"/>
                <w:left w:val="none" w:sz="0" w:space="0" w:color="auto"/>
                <w:bottom w:val="none" w:sz="0" w:space="0" w:color="auto"/>
                <w:right w:val="none" w:sz="0" w:space="0" w:color="auto"/>
              </w:divBdr>
            </w:div>
          </w:divsChild>
        </w:div>
        <w:div w:id="1770078329">
          <w:marLeft w:val="0"/>
          <w:marRight w:val="0"/>
          <w:marTop w:val="0"/>
          <w:marBottom w:val="0"/>
          <w:divBdr>
            <w:top w:val="none" w:sz="0" w:space="0" w:color="auto"/>
            <w:left w:val="none" w:sz="0" w:space="0" w:color="auto"/>
            <w:bottom w:val="none" w:sz="0" w:space="0" w:color="auto"/>
            <w:right w:val="none" w:sz="0" w:space="0" w:color="auto"/>
          </w:divBdr>
          <w:divsChild>
            <w:div w:id="84033049">
              <w:marLeft w:val="0"/>
              <w:marRight w:val="0"/>
              <w:marTop w:val="0"/>
              <w:marBottom w:val="0"/>
              <w:divBdr>
                <w:top w:val="none" w:sz="0" w:space="0" w:color="auto"/>
                <w:left w:val="none" w:sz="0" w:space="0" w:color="auto"/>
                <w:bottom w:val="none" w:sz="0" w:space="0" w:color="auto"/>
                <w:right w:val="none" w:sz="0" w:space="0" w:color="auto"/>
              </w:divBdr>
            </w:div>
          </w:divsChild>
        </w:div>
        <w:div w:id="1879388071">
          <w:marLeft w:val="0"/>
          <w:marRight w:val="0"/>
          <w:marTop w:val="0"/>
          <w:marBottom w:val="0"/>
          <w:divBdr>
            <w:top w:val="none" w:sz="0" w:space="0" w:color="auto"/>
            <w:left w:val="none" w:sz="0" w:space="0" w:color="auto"/>
            <w:bottom w:val="none" w:sz="0" w:space="0" w:color="auto"/>
            <w:right w:val="none" w:sz="0" w:space="0" w:color="auto"/>
          </w:divBdr>
          <w:divsChild>
            <w:div w:id="1345937828">
              <w:marLeft w:val="0"/>
              <w:marRight w:val="0"/>
              <w:marTop w:val="0"/>
              <w:marBottom w:val="0"/>
              <w:divBdr>
                <w:top w:val="none" w:sz="0" w:space="0" w:color="auto"/>
                <w:left w:val="none" w:sz="0" w:space="0" w:color="auto"/>
                <w:bottom w:val="none" w:sz="0" w:space="0" w:color="auto"/>
                <w:right w:val="none" w:sz="0" w:space="0" w:color="auto"/>
              </w:divBdr>
            </w:div>
          </w:divsChild>
        </w:div>
        <w:div w:id="1988048856">
          <w:marLeft w:val="0"/>
          <w:marRight w:val="0"/>
          <w:marTop w:val="0"/>
          <w:marBottom w:val="0"/>
          <w:divBdr>
            <w:top w:val="none" w:sz="0" w:space="0" w:color="auto"/>
            <w:left w:val="none" w:sz="0" w:space="0" w:color="auto"/>
            <w:bottom w:val="none" w:sz="0" w:space="0" w:color="auto"/>
            <w:right w:val="none" w:sz="0" w:space="0" w:color="auto"/>
          </w:divBdr>
          <w:divsChild>
            <w:div w:id="4942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952472">
      <w:bodyDiv w:val="1"/>
      <w:marLeft w:val="0"/>
      <w:marRight w:val="0"/>
      <w:marTop w:val="0"/>
      <w:marBottom w:val="0"/>
      <w:divBdr>
        <w:top w:val="none" w:sz="0" w:space="0" w:color="auto"/>
        <w:left w:val="none" w:sz="0" w:space="0" w:color="auto"/>
        <w:bottom w:val="none" w:sz="0" w:space="0" w:color="auto"/>
        <w:right w:val="none" w:sz="0" w:space="0" w:color="auto"/>
      </w:divBdr>
    </w:div>
    <w:div w:id="851065456">
      <w:bodyDiv w:val="1"/>
      <w:marLeft w:val="0"/>
      <w:marRight w:val="0"/>
      <w:marTop w:val="0"/>
      <w:marBottom w:val="0"/>
      <w:divBdr>
        <w:top w:val="none" w:sz="0" w:space="0" w:color="auto"/>
        <w:left w:val="none" w:sz="0" w:space="0" w:color="auto"/>
        <w:bottom w:val="none" w:sz="0" w:space="0" w:color="auto"/>
        <w:right w:val="none" w:sz="0" w:space="0" w:color="auto"/>
      </w:divBdr>
    </w:div>
    <w:div w:id="853349116">
      <w:bodyDiv w:val="1"/>
      <w:marLeft w:val="0"/>
      <w:marRight w:val="0"/>
      <w:marTop w:val="0"/>
      <w:marBottom w:val="0"/>
      <w:divBdr>
        <w:top w:val="none" w:sz="0" w:space="0" w:color="auto"/>
        <w:left w:val="none" w:sz="0" w:space="0" w:color="auto"/>
        <w:bottom w:val="none" w:sz="0" w:space="0" w:color="auto"/>
        <w:right w:val="none" w:sz="0" w:space="0" w:color="auto"/>
      </w:divBdr>
      <w:divsChild>
        <w:div w:id="531501450">
          <w:marLeft w:val="0"/>
          <w:marRight w:val="0"/>
          <w:marTop w:val="0"/>
          <w:marBottom w:val="0"/>
          <w:divBdr>
            <w:top w:val="none" w:sz="0" w:space="0" w:color="auto"/>
            <w:left w:val="none" w:sz="0" w:space="0" w:color="auto"/>
            <w:bottom w:val="none" w:sz="0" w:space="0" w:color="auto"/>
            <w:right w:val="none" w:sz="0" w:space="0" w:color="auto"/>
          </w:divBdr>
        </w:div>
        <w:div w:id="809976861">
          <w:marLeft w:val="0"/>
          <w:marRight w:val="0"/>
          <w:marTop w:val="0"/>
          <w:marBottom w:val="0"/>
          <w:divBdr>
            <w:top w:val="none" w:sz="0" w:space="0" w:color="auto"/>
            <w:left w:val="none" w:sz="0" w:space="0" w:color="auto"/>
            <w:bottom w:val="none" w:sz="0" w:space="0" w:color="auto"/>
            <w:right w:val="none" w:sz="0" w:space="0" w:color="auto"/>
          </w:divBdr>
        </w:div>
      </w:divsChild>
    </w:div>
    <w:div w:id="856584027">
      <w:bodyDiv w:val="1"/>
      <w:marLeft w:val="0"/>
      <w:marRight w:val="0"/>
      <w:marTop w:val="0"/>
      <w:marBottom w:val="0"/>
      <w:divBdr>
        <w:top w:val="none" w:sz="0" w:space="0" w:color="auto"/>
        <w:left w:val="none" w:sz="0" w:space="0" w:color="auto"/>
        <w:bottom w:val="none" w:sz="0" w:space="0" w:color="auto"/>
        <w:right w:val="none" w:sz="0" w:space="0" w:color="auto"/>
      </w:divBdr>
      <w:divsChild>
        <w:div w:id="1218517289">
          <w:marLeft w:val="0"/>
          <w:marRight w:val="0"/>
          <w:marTop w:val="0"/>
          <w:marBottom w:val="0"/>
          <w:divBdr>
            <w:top w:val="none" w:sz="0" w:space="0" w:color="auto"/>
            <w:left w:val="none" w:sz="0" w:space="0" w:color="auto"/>
            <w:bottom w:val="none" w:sz="0" w:space="0" w:color="auto"/>
            <w:right w:val="none" w:sz="0" w:space="0" w:color="auto"/>
          </w:divBdr>
        </w:div>
        <w:div w:id="1414817917">
          <w:marLeft w:val="0"/>
          <w:marRight w:val="0"/>
          <w:marTop w:val="0"/>
          <w:marBottom w:val="0"/>
          <w:divBdr>
            <w:top w:val="none" w:sz="0" w:space="0" w:color="auto"/>
            <w:left w:val="none" w:sz="0" w:space="0" w:color="auto"/>
            <w:bottom w:val="none" w:sz="0" w:space="0" w:color="auto"/>
            <w:right w:val="none" w:sz="0" w:space="0" w:color="auto"/>
          </w:divBdr>
          <w:divsChild>
            <w:div w:id="1575314648">
              <w:marLeft w:val="0"/>
              <w:marRight w:val="0"/>
              <w:marTop w:val="30"/>
              <w:marBottom w:val="30"/>
              <w:divBdr>
                <w:top w:val="none" w:sz="0" w:space="0" w:color="auto"/>
                <w:left w:val="none" w:sz="0" w:space="0" w:color="auto"/>
                <w:bottom w:val="none" w:sz="0" w:space="0" w:color="auto"/>
                <w:right w:val="none" w:sz="0" w:space="0" w:color="auto"/>
              </w:divBdr>
              <w:divsChild>
                <w:div w:id="35929816">
                  <w:marLeft w:val="0"/>
                  <w:marRight w:val="0"/>
                  <w:marTop w:val="0"/>
                  <w:marBottom w:val="0"/>
                  <w:divBdr>
                    <w:top w:val="none" w:sz="0" w:space="0" w:color="auto"/>
                    <w:left w:val="none" w:sz="0" w:space="0" w:color="auto"/>
                    <w:bottom w:val="none" w:sz="0" w:space="0" w:color="auto"/>
                    <w:right w:val="none" w:sz="0" w:space="0" w:color="auto"/>
                  </w:divBdr>
                  <w:divsChild>
                    <w:div w:id="124662507">
                      <w:marLeft w:val="0"/>
                      <w:marRight w:val="0"/>
                      <w:marTop w:val="0"/>
                      <w:marBottom w:val="0"/>
                      <w:divBdr>
                        <w:top w:val="none" w:sz="0" w:space="0" w:color="auto"/>
                        <w:left w:val="none" w:sz="0" w:space="0" w:color="auto"/>
                        <w:bottom w:val="none" w:sz="0" w:space="0" w:color="auto"/>
                        <w:right w:val="none" w:sz="0" w:space="0" w:color="auto"/>
                      </w:divBdr>
                    </w:div>
                  </w:divsChild>
                </w:div>
                <w:div w:id="124085742">
                  <w:marLeft w:val="0"/>
                  <w:marRight w:val="0"/>
                  <w:marTop w:val="0"/>
                  <w:marBottom w:val="0"/>
                  <w:divBdr>
                    <w:top w:val="none" w:sz="0" w:space="0" w:color="auto"/>
                    <w:left w:val="none" w:sz="0" w:space="0" w:color="auto"/>
                    <w:bottom w:val="none" w:sz="0" w:space="0" w:color="auto"/>
                    <w:right w:val="none" w:sz="0" w:space="0" w:color="auto"/>
                  </w:divBdr>
                  <w:divsChild>
                    <w:div w:id="1973443270">
                      <w:marLeft w:val="0"/>
                      <w:marRight w:val="0"/>
                      <w:marTop w:val="0"/>
                      <w:marBottom w:val="0"/>
                      <w:divBdr>
                        <w:top w:val="none" w:sz="0" w:space="0" w:color="auto"/>
                        <w:left w:val="none" w:sz="0" w:space="0" w:color="auto"/>
                        <w:bottom w:val="none" w:sz="0" w:space="0" w:color="auto"/>
                        <w:right w:val="none" w:sz="0" w:space="0" w:color="auto"/>
                      </w:divBdr>
                    </w:div>
                  </w:divsChild>
                </w:div>
                <w:div w:id="199099918">
                  <w:marLeft w:val="0"/>
                  <w:marRight w:val="0"/>
                  <w:marTop w:val="0"/>
                  <w:marBottom w:val="0"/>
                  <w:divBdr>
                    <w:top w:val="none" w:sz="0" w:space="0" w:color="auto"/>
                    <w:left w:val="none" w:sz="0" w:space="0" w:color="auto"/>
                    <w:bottom w:val="none" w:sz="0" w:space="0" w:color="auto"/>
                    <w:right w:val="none" w:sz="0" w:space="0" w:color="auto"/>
                  </w:divBdr>
                  <w:divsChild>
                    <w:div w:id="1067220194">
                      <w:marLeft w:val="0"/>
                      <w:marRight w:val="0"/>
                      <w:marTop w:val="0"/>
                      <w:marBottom w:val="0"/>
                      <w:divBdr>
                        <w:top w:val="none" w:sz="0" w:space="0" w:color="auto"/>
                        <w:left w:val="none" w:sz="0" w:space="0" w:color="auto"/>
                        <w:bottom w:val="none" w:sz="0" w:space="0" w:color="auto"/>
                        <w:right w:val="none" w:sz="0" w:space="0" w:color="auto"/>
                      </w:divBdr>
                    </w:div>
                  </w:divsChild>
                </w:div>
                <w:div w:id="262154644">
                  <w:marLeft w:val="0"/>
                  <w:marRight w:val="0"/>
                  <w:marTop w:val="0"/>
                  <w:marBottom w:val="0"/>
                  <w:divBdr>
                    <w:top w:val="none" w:sz="0" w:space="0" w:color="auto"/>
                    <w:left w:val="none" w:sz="0" w:space="0" w:color="auto"/>
                    <w:bottom w:val="none" w:sz="0" w:space="0" w:color="auto"/>
                    <w:right w:val="none" w:sz="0" w:space="0" w:color="auto"/>
                  </w:divBdr>
                  <w:divsChild>
                    <w:div w:id="1230925061">
                      <w:marLeft w:val="0"/>
                      <w:marRight w:val="0"/>
                      <w:marTop w:val="0"/>
                      <w:marBottom w:val="0"/>
                      <w:divBdr>
                        <w:top w:val="none" w:sz="0" w:space="0" w:color="auto"/>
                        <w:left w:val="none" w:sz="0" w:space="0" w:color="auto"/>
                        <w:bottom w:val="none" w:sz="0" w:space="0" w:color="auto"/>
                        <w:right w:val="none" w:sz="0" w:space="0" w:color="auto"/>
                      </w:divBdr>
                    </w:div>
                  </w:divsChild>
                </w:div>
                <w:div w:id="311981183">
                  <w:marLeft w:val="0"/>
                  <w:marRight w:val="0"/>
                  <w:marTop w:val="0"/>
                  <w:marBottom w:val="0"/>
                  <w:divBdr>
                    <w:top w:val="none" w:sz="0" w:space="0" w:color="auto"/>
                    <w:left w:val="none" w:sz="0" w:space="0" w:color="auto"/>
                    <w:bottom w:val="none" w:sz="0" w:space="0" w:color="auto"/>
                    <w:right w:val="none" w:sz="0" w:space="0" w:color="auto"/>
                  </w:divBdr>
                  <w:divsChild>
                    <w:div w:id="443428070">
                      <w:marLeft w:val="0"/>
                      <w:marRight w:val="0"/>
                      <w:marTop w:val="0"/>
                      <w:marBottom w:val="0"/>
                      <w:divBdr>
                        <w:top w:val="none" w:sz="0" w:space="0" w:color="auto"/>
                        <w:left w:val="none" w:sz="0" w:space="0" w:color="auto"/>
                        <w:bottom w:val="none" w:sz="0" w:space="0" w:color="auto"/>
                        <w:right w:val="none" w:sz="0" w:space="0" w:color="auto"/>
                      </w:divBdr>
                    </w:div>
                  </w:divsChild>
                </w:div>
                <w:div w:id="333843910">
                  <w:marLeft w:val="0"/>
                  <w:marRight w:val="0"/>
                  <w:marTop w:val="0"/>
                  <w:marBottom w:val="0"/>
                  <w:divBdr>
                    <w:top w:val="none" w:sz="0" w:space="0" w:color="auto"/>
                    <w:left w:val="none" w:sz="0" w:space="0" w:color="auto"/>
                    <w:bottom w:val="none" w:sz="0" w:space="0" w:color="auto"/>
                    <w:right w:val="none" w:sz="0" w:space="0" w:color="auto"/>
                  </w:divBdr>
                  <w:divsChild>
                    <w:div w:id="856190881">
                      <w:marLeft w:val="0"/>
                      <w:marRight w:val="0"/>
                      <w:marTop w:val="0"/>
                      <w:marBottom w:val="0"/>
                      <w:divBdr>
                        <w:top w:val="none" w:sz="0" w:space="0" w:color="auto"/>
                        <w:left w:val="none" w:sz="0" w:space="0" w:color="auto"/>
                        <w:bottom w:val="none" w:sz="0" w:space="0" w:color="auto"/>
                        <w:right w:val="none" w:sz="0" w:space="0" w:color="auto"/>
                      </w:divBdr>
                    </w:div>
                  </w:divsChild>
                </w:div>
                <w:div w:id="368142731">
                  <w:marLeft w:val="0"/>
                  <w:marRight w:val="0"/>
                  <w:marTop w:val="0"/>
                  <w:marBottom w:val="0"/>
                  <w:divBdr>
                    <w:top w:val="none" w:sz="0" w:space="0" w:color="auto"/>
                    <w:left w:val="none" w:sz="0" w:space="0" w:color="auto"/>
                    <w:bottom w:val="none" w:sz="0" w:space="0" w:color="auto"/>
                    <w:right w:val="none" w:sz="0" w:space="0" w:color="auto"/>
                  </w:divBdr>
                  <w:divsChild>
                    <w:div w:id="1994096176">
                      <w:marLeft w:val="0"/>
                      <w:marRight w:val="0"/>
                      <w:marTop w:val="0"/>
                      <w:marBottom w:val="0"/>
                      <w:divBdr>
                        <w:top w:val="none" w:sz="0" w:space="0" w:color="auto"/>
                        <w:left w:val="none" w:sz="0" w:space="0" w:color="auto"/>
                        <w:bottom w:val="none" w:sz="0" w:space="0" w:color="auto"/>
                        <w:right w:val="none" w:sz="0" w:space="0" w:color="auto"/>
                      </w:divBdr>
                    </w:div>
                  </w:divsChild>
                </w:div>
                <w:div w:id="408844930">
                  <w:marLeft w:val="0"/>
                  <w:marRight w:val="0"/>
                  <w:marTop w:val="0"/>
                  <w:marBottom w:val="0"/>
                  <w:divBdr>
                    <w:top w:val="none" w:sz="0" w:space="0" w:color="auto"/>
                    <w:left w:val="none" w:sz="0" w:space="0" w:color="auto"/>
                    <w:bottom w:val="none" w:sz="0" w:space="0" w:color="auto"/>
                    <w:right w:val="none" w:sz="0" w:space="0" w:color="auto"/>
                  </w:divBdr>
                  <w:divsChild>
                    <w:div w:id="1915552195">
                      <w:marLeft w:val="0"/>
                      <w:marRight w:val="0"/>
                      <w:marTop w:val="0"/>
                      <w:marBottom w:val="0"/>
                      <w:divBdr>
                        <w:top w:val="none" w:sz="0" w:space="0" w:color="auto"/>
                        <w:left w:val="none" w:sz="0" w:space="0" w:color="auto"/>
                        <w:bottom w:val="none" w:sz="0" w:space="0" w:color="auto"/>
                        <w:right w:val="none" w:sz="0" w:space="0" w:color="auto"/>
                      </w:divBdr>
                    </w:div>
                  </w:divsChild>
                </w:div>
                <w:div w:id="497114896">
                  <w:marLeft w:val="0"/>
                  <w:marRight w:val="0"/>
                  <w:marTop w:val="0"/>
                  <w:marBottom w:val="0"/>
                  <w:divBdr>
                    <w:top w:val="none" w:sz="0" w:space="0" w:color="auto"/>
                    <w:left w:val="none" w:sz="0" w:space="0" w:color="auto"/>
                    <w:bottom w:val="none" w:sz="0" w:space="0" w:color="auto"/>
                    <w:right w:val="none" w:sz="0" w:space="0" w:color="auto"/>
                  </w:divBdr>
                  <w:divsChild>
                    <w:div w:id="1044215710">
                      <w:marLeft w:val="0"/>
                      <w:marRight w:val="0"/>
                      <w:marTop w:val="0"/>
                      <w:marBottom w:val="0"/>
                      <w:divBdr>
                        <w:top w:val="none" w:sz="0" w:space="0" w:color="auto"/>
                        <w:left w:val="none" w:sz="0" w:space="0" w:color="auto"/>
                        <w:bottom w:val="none" w:sz="0" w:space="0" w:color="auto"/>
                        <w:right w:val="none" w:sz="0" w:space="0" w:color="auto"/>
                      </w:divBdr>
                    </w:div>
                  </w:divsChild>
                </w:div>
                <w:div w:id="523792155">
                  <w:marLeft w:val="0"/>
                  <w:marRight w:val="0"/>
                  <w:marTop w:val="0"/>
                  <w:marBottom w:val="0"/>
                  <w:divBdr>
                    <w:top w:val="none" w:sz="0" w:space="0" w:color="auto"/>
                    <w:left w:val="none" w:sz="0" w:space="0" w:color="auto"/>
                    <w:bottom w:val="none" w:sz="0" w:space="0" w:color="auto"/>
                    <w:right w:val="none" w:sz="0" w:space="0" w:color="auto"/>
                  </w:divBdr>
                  <w:divsChild>
                    <w:div w:id="406802755">
                      <w:marLeft w:val="0"/>
                      <w:marRight w:val="0"/>
                      <w:marTop w:val="0"/>
                      <w:marBottom w:val="0"/>
                      <w:divBdr>
                        <w:top w:val="none" w:sz="0" w:space="0" w:color="auto"/>
                        <w:left w:val="none" w:sz="0" w:space="0" w:color="auto"/>
                        <w:bottom w:val="none" w:sz="0" w:space="0" w:color="auto"/>
                        <w:right w:val="none" w:sz="0" w:space="0" w:color="auto"/>
                      </w:divBdr>
                    </w:div>
                  </w:divsChild>
                </w:div>
                <w:div w:id="596794823">
                  <w:marLeft w:val="0"/>
                  <w:marRight w:val="0"/>
                  <w:marTop w:val="0"/>
                  <w:marBottom w:val="0"/>
                  <w:divBdr>
                    <w:top w:val="none" w:sz="0" w:space="0" w:color="auto"/>
                    <w:left w:val="none" w:sz="0" w:space="0" w:color="auto"/>
                    <w:bottom w:val="none" w:sz="0" w:space="0" w:color="auto"/>
                    <w:right w:val="none" w:sz="0" w:space="0" w:color="auto"/>
                  </w:divBdr>
                  <w:divsChild>
                    <w:div w:id="1503937168">
                      <w:marLeft w:val="0"/>
                      <w:marRight w:val="0"/>
                      <w:marTop w:val="0"/>
                      <w:marBottom w:val="0"/>
                      <w:divBdr>
                        <w:top w:val="none" w:sz="0" w:space="0" w:color="auto"/>
                        <w:left w:val="none" w:sz="0" w:space="0" w:color="auto"/>
                        <w:bottom w:val="none" w:sz="0" w:space="0" w:color="auto"/>
                        <w:right w:val="none" w:sz="0" w:space="0" w:color="auto"/>
                      </w:divBdr>
                    </w:div>
                  </w:divsChild>
                </w:div>
                <w:div w:id="637418683">
                  <w:marLeft w:val="0"/>
                  <w:marRight w:val="0"/>
                  <w:marTop w:val="0"/>
                  <w:marBottom w:val="0"/>
                  <w:divBdr>
                    <w:top w:val="none" w:sz="0" w:space="0" w:color="auto"/>
                    <w:left w:val="none" w:sz="0" w:space="0" w:color="auto"/>
                    <w:bottom w:val="none" w:sz="0" w:space="0" w:color="auto"/>
                    <w:right w:val="none" w:sz="0" w:space="0" w:color="auto"/>
                  </w:divBdr>
                  <w:divsChild>
                    <w:div w:id="1360929442">
                      <w:marLeft w:val="0"/>
                      <w:marRight w:val="0"/>
                      <w:marTop w:val="0"/>
                      <w:marBottom w:val="0"/>
                      <w:divBdr>
                        <w:top w:val="none" w:sz="0" w:space="0" w:color="auto"/>
                        <w:left w:val="none" w:sz="0" w:space="0" w:color="auto"/>
                        <w:bottom w:val="none" w:sz="0" w:space="0" w:color="auto"/>
                        <w:right w:val="none" w:sz="0" w:space="0" w:color="auto"/>
                      </w:divBdr>
                    </w:div>
                  </w:divsChild>
                </w:div>
                <w:div w:id="734402305">
                  <w:marLeft w:val="0"/>
                  <w:marRight w:val="0"/>
                  <w:marTop w:val="0"/>
                  <w:marBottom w:val="0"/>
                  <w:divBdr>
                    <w:top w:val="none" w:sz="0" w:space="0" w:color="auto"/>
                    <w:left w:val="none" w:sz="0" w:space="0" w:color="auto"/>
                    <w:bottom w:val="none" w:sz="0" w:space="0" w:color="auto"/>
                    <w:right w:val="none" w:sz="0" w:space="0" w:color="auto"/>
                  </w:divBdr>
                  <w:divsChild>
                    <w:div w:id="1283070075">
                      <w:marLeft w:val="0"/>
                      <w:marRight w:val="0"/>
                      <w:marTop w:val="0"/>
                      <w:marBottom w:val="0"/>
                      <w:divBdr>
                        <w:top w:val="none" w:sz="0" w:space="0" w:color="auto"/>
                        <w:left w:val="none" w:sz="0" w:space="0" w:color="auto"/>
                        <w:bottom w:val="none" w:sz="0" w:space="0" w:color="auto"/>
                        <w:right w:val="none" w:sz="0" w:space="0" w:color="auto"/>
                      </w:divBdr>
                    </w:div>
                  </w:divsChild>
                </w:div>
                <w:div w:id="774178119">
                  <w:marLeft w:val="0"/>
                  <w:marRight w:val="0"/>
                  <w:marTop w:val="0"/>
                  <w:marBottom w:val="0"/>
                  <w:divBdr>
                    <w:top w:val="none" w:sz="0" w:space="0" w:color="auto"/>
                    <w:left w:val="none" w:sz="0" w:space="0" w:color="auto"/>
                    <w:bottom w:val="none" w:sz="0" w:space="0" w:color="auto"/>
                    <w:right w:val="none" w:sz="0" w:space="0" w:color="auto"/>
                  </w:divBdr>
                  <w:divsChild>
                    <w:div w:id="440688528">
                      <w:marLeft w:val="0"/>
                      <w:marRight w:val="0"/>
                      <w:marTop w:val="0"/>
                      <w:marBottom w:val="0"/>
                      <w:divBdr>
                        <w:top w:val="none" w:sz="0" w:space="0" w:color="auto"/>
                        <w:left w:val="none" w:sz="0" w:space="0" w:color="auto"/>
                        <w:bottom w:val="none" w:sz="0" w:space="0" w:color="auto"/>
                        <w:right w:val="none" w:sz="0" w:space="0" w:color="auto"/>
                      </w:divBdr>
                    </w:div>
                  </w:divsChild>
                </w:div>
                <w:div w:id="803698255">
                  <w:marLeft w:val="0"/>
                  <w:marRight w:val="0"/>
                  <w:marTop w:val="0"/>
                  <w:marBottom w:val="0"/>
                  <w:divBdr>
                    <w:top w:val="none" w:sz="0" w:space="0" w:color="auto"/>
                    <w:left w:val="none" w:sz="0" w:space="0" w:color="auto"/>
                    <w:bottom w:val="none" w:sz="0" w:space="0" w:color="auto"/>
                    <w:right w:val="none" w:sz="0" w:space="0" w:color="auto"/>
                  </w:divBdr>
                  <w:divsChild>
                    <w:div w:id="1893228659">
                      <w:marLeft w:val="0"/>
                      <w:marRight w:val="0"/>
                      <w:marTop w:val="0"/>
                      <w:marBottom w:val="0"/>
                      <w:divBdr>
                        <w:top w:val="none" w:sz="0" w:space="0" w:color="auto"/>
                        <w:left w:val="none" w:sz="0" w:space="0" w:color="auto"/>
                        <w:bottom w:val="none" w:sz="0" w:space="0" w:color="auto"/>
                        <w:right w:val="none" w:sz="0" w:space="0" w:color="auto"/>
                      </w:divBdr>
                    </w:div>
                  </w:divsChild>
                </w:div>
                <w:div w:id="857353031">
                  <w:marLeft w:val="0"/>
                  <w:marRight w:val="0"/>
                  <w:marTop w:val="0"/>
                  <w:marBottom w:val="0"/>
                  <w:divBdr>
                    <w:top w:val="none" w:sz="0" w:space="0" w:color="auto"/>
                    <w:left w:val="none" w:sz="0" w:space="0" w:color="auto"/>
                    <w:bottom w:val="none" w:sz="0" w:space="0" w:color="auto"/>
                    <w:right w:val="none" w:sz="0" w:space="0" w:color="auto"/>
                  </w:divBdr>
                  <w:divsChild>
                    <w:div w:id="1369257692">
                      <w:marLeft w:val="0"/>
                      <w:marRight w:val="0"/>
                      <w:marTop w:val="0"/>
                      <w:marBottom w:val="0"/>
                      <w:divBdr>
                        <w:top w:val="none" w:sz="0" w:space="0" w:color="auto"/>
                        <w:left w:val="none" w:sz="0" w:space="0" w:color="auto"/>
                        <w:bottom w:val="none" w:sz="0" w:space="0" w:color="auto"/>
                        <w:right w:val="none" w:sz="0" w:space="0" w:color="auto"/>
                      </w:divBdr>
                    </w:div>
                  </w:divsChild>
                </w:div>
                <w:div w:id="902135372">
                  <w:marLeft w:val="0"/>
                  <w:marRight w:val="0"/>
                  <w:marTop w:val="0"/>
                  <w:marBottom w:val="0"/>
                  <w:divBdr>
                    <w:top w:val="none" w:sz="0" w:space="0" w:color="auto"/>
                    <w:left w:val="none" w:sz="0" w:space="0" w:color="auto"/>
                    <w:bottom w:val="none" w:sz="0" w:space="0" w:color="auto"/>
                    <w:right w:val="none" w:sz="0" w:space="0" w:color="auto"/>
                  </w:divBdr>
                  <w:divsChild>
                    <w:div w:id="1066563894">
                      <w:marLeft w:val="0"/>
                      <w:marRight w:val="0"/>
                      <w:marTop w:val="0"/>
                      <w:marBottom w:val="0"/>
                      <w:divBdr>
                        <w:top w:val="none" w:sz="0" w:space="0" w:color="auto"/>
                        <w:left w:val="none" w:sz="0" w:space="0" w:color="auto"/>
                        <w:bottom w:val="none" w:sz="0" w:space="0" w:color="auto"/>
                        <w:right w:val="none" w:sz="0" w:space="0" w:color="auto"/>
                      </w:divBdr>
                    </w:div>
                  </w:divsChild>
                </w:div>
                <w:div w:id="1012411340">
                  <w:marLeft w:val="0"/>
                  <w:marRight w:val="0"/>
                  <w:marTop w:val="0"/>
                  <w:marBottom w:val="0"/>
                  <w:divBdr>
                    <w:top w:val="none" w:sz="0" w:space="0" w:color="auto"/>
                    <w:left w:val="none" w:sz="0" w:space="0" w:color="auto"/>
                    <w:bottom w:val="none" w:sz="0" w:space="0" w:color="auto"/>
                    <w:right w:val="none" w:sz="0" w:space="0" w:color="auto"/>
                  </w:divBdr>
                  <w:divsChild>
                    <w:div w:id="1675646189">
                      <w:marLeft w:val="0"/>
                      <w:marRight w:val="0"/>
                      <w:marTop w:val="0"/>
                      <w:marBottom w:val="0"/>
                      <w:divBdr>
                        <w:top w:val="none" w:sz="0" w:space="0" w:color="auto"/>
                        <w:left w:val="none" w:sz="0" w:space="0" w:color="auto"/>
                        <w:bottom w:val="none" w:sz="0" w:space="0" w:color="auto"/>
                        <w:right w:val="none" w:sz="0" w:space="0" w:color="auto"/>
                      </w:divBdr>
                    </w:div>
                  </w:divsChild>
                </w:div>
                <w:div w:id="1088574541">
                  <w:marLeft w:val="0"/>
                  <w:marRight w:val="0"/>
                  <w:marTop w:val="0"/>
                  <w:marBottom w:val="0"/>
                  <w:divBdr>
                    <w:top w:val="none" w:sz="0" w:space="0" w:color="auto"/>
                    <w:left w:val="none" w:sz="0" w:space="0" w:color="auto"/>
                    <w:bottom w:val="none" w:sz="0" w:space="0" w:color="auto"/>
                    <w:right w:val="none" w:sz="0" w:space="0" w:color="auto"/>
                  </w:divBdr>
                  <w:divsChild>
                    <w:div w:id="1275744633">
                      <w:marLeft w:val="0"/>
                      <w:marRight w:val="0"/>
                      <w:marTop w:val="0"/>
                      <w:marBottom w:val="0"/>
                      <w:divBdr>
                        <w:top w:val="none" w:sz="0" w:space="0" w:color="auto"/>
                        <w:left w:val="none" w:sz="0" w:space="0" w:color="auto"/>
                        <w:bottom w:val="none" w:sz="0" w:space="0" w:color="auto"/>
                        <w:right w:val="none" w:sz="0" w:space="0" w:color="auto"/>
                      </w:divBdr>
                    </w:div>
                  </w:divsChild>
                </w:div>
                <w:div w:id="1129663126">
                  <w:marLeft w:val="0"/>
                  <w:marRight w:val="0"/>
                  <w:marTop w:val="0"/>
                  <w:marBottom w:val="0"/>
                  <w:divBdr>
                    <w:top w:val="none" w:sz="0" w:space="0" w:color="auto"/>
                    <w:left w:val="none" w:sz="0" w:space="0" w:color="auto"/>
                    <w:bottom w:val="none" w:sz="0" w:space="0" w:color="auto"/>
                    <w:right w:val="none" w:sz="0" w:space="0" w:color="auto"/>
                  </w:divBdr>
                  <w:divsChild>
                    <w:div w:id="255863646">
                      <w:marLeft w:val="0"/>
                      <w:marRight w:val="0"/>
                      <w:marTop w:val="0"/>
                      <w:marBottom w:val="0"/>
                      <w:divBdr>
                        <w:top w:val="none" w:sz="0" w:space="0" w:color="auto"/>
                        <w:left w:val="none" w:sz="0" w:space="0" w:color="auto"/>
                        <w:bottom w:val="none" w:sz="0" w:space="0" w:color="auto"/>
                        <w:right w:val="none" w:sz="0" w:space="0" w:color="auto"/>
                      </w:divBdr>
                    </w:div>
                  </w:divsChild>
                </w:div>
                <w:div w:id="1196966817">
                  <w:marLeft w:val="0"/>
                  <w:marRight w:val="0"/>
                  <w:marTop w:val="0"/>
                  <w:marBottom w:val="0"/>
                  <w:divBdr>
                    <w:top w:val="none" w:sz="0" w:space="0" w:color="auto"/>
                    <w:left w:val="none" w:sz="0" w:space="0" w:color="auto"/>
                    <w:bottom w:val="none" w:sz="0" w:space="0" w:color="auto"/>
                    <w:right w:val="none" w:sz="0" w:space="0" w:color="auto"/>
                  </w:divBdr>
                  <w:divsChild>
                    <w:div w:id="1400521127">
                      <w:marLeft w:val="0"/>
                      <w:marRight w:val="0"/>
                      <w:marTop w:val="0"/>
                      <w:marBottom w:val="0"/>
                      <w:divBdr>
                        <w:top w:val="none" w:sz="0" w:space="0" w:color="auto"/>
                        <w:left w:val="none" w:sz="0" w:space="0" w:color="auto"/>
                        <w:bottom w:val="none" w:sz="0" w:space="0" w:color="auto"/>
                        <w:right w:val="none" w:sz="0" w:space="0" w:color="auto"/>
                      </w:divBdr>
                    </w:div>
                  </w:divsChild>
                </w:div>
                <w:div w:id="1233275461">
                  <w:marLeft w:val="0"/>
                  <w:marRight w:val="0"/>
                  <w:marTop w:val="0"/>
                  <w:marBottom w:val="0"/>
                  <w:divBdr>
                    <w:top w:val="none" w:sz="0" w:space="0" w:color="auto"/>
                    <w:left w:val="none" w:sz="0" w:space="0" w:color="auto"/>
                    <w:bottom w:val="none" w:sz="0" w:space="0" w:color="auto"/>
                    <w:right w:val="none" w:sz="0" w:space="0" w:color="auto"/>
                  </w:divBdr>
                  <w:divsChild>
                    <w:div w:id="1541241506">
                      <w:marLeft w:val="0"/>
                      <w:marRight w:val="0"/>
                      <w:marTop w:val="0"/>
                      <w:marBottom w:val="0"/>
                      <w:divBdr>
                        <w:top w:val="none" w:sz="0" w:space="0" w:color="auto"/>
                        <w:left w:val="none" w:sz="0" w:space="0" w:color="auto"/>
                        <w:bottom w:val="none" w:sz="0" w:space="0" w:color="auto"/>
                        <w:right w:val="none" w:sz="0" w:space="0" w:color="auto"/>
                      </w:divBdr>
                    </w:div>
                  </w:divsChild>
                </w:div>
                <w:div w:id="1276015864">
                  <w:marLeft w:val="0"/>
                  <w:marRight w:val="0"/>
                  <w:marTop w:val="0"/>
                  <w:marBottom w:val="0"/>
                  <w:divBdr>
                    <w:top w:val="none" w:sz="0" w:space="0" w:color="auto"/>
                    <w:left w:val="none" w:sz="0" w:space="0" w:color="auto"/>
                    <w:bottom w:val="none" w:sz="0" w:space="0" w:color="auto"/>
                    <w:right w:val="none" w:sz="0" w:space="0" w:color="auto"/>
                  </w:divBdr>
                  <w:divsChild>
                    <w:div w:id="2021858331">
                      <w:marLeft w:val="0"/>
                      <w:marRight w:val="0"/>
                      <w:marTop w:val="0"/>
                      <w:marBottom w:val="0"/>
                      <w:divBdr>
                        <w:top w:val="none" w:sz="0" w:space="0" w:color="auto"/>
                        <w:left w:val="none" w:sz="0" w:space="0" w:color="auto"/>
                        <w:bottom w:val="none" w:sz="0" w:space="0" w:color="auto"/>
                        <w:right w:val="none" w:sz="0" w:space="0" w:color="auto"/>
                      </w:divBdr>
                    </w:div>
                  </w:divsChild>
                </w:div>
                <w:div w:id="1331252840">
                  <w:marLeft w:val="0"/>
                  <w:marRight w:val="0"/>
                  <w:marTop w:val="0"/>
                  <w:marBottom w:val="0"/>
                  <w:divBdr>
                    <w:top w:val="none" w:sz="0" w:space="0" w:color="auto"/>
                    <w:left w:val="none" w:sz="0" w:space="0" w:color="auto"/>
                    <w:bottom w:val="none" w:sz="0" w:space="0" w:color="auto"/>
                    <w:right w:val="none" w:sz="0" w:space="0" w:color="auto"/>
                  </w:divBdr>
                  <w:divsChild>
                    <w:div w:id="28115119">
                      <w:marLeft w:val="0"/>
                      <w:marRight w:val="0"/>
                      <w:marTop w:val="0"/>
                      <w:marBottom w:val="0"/>
                      <w:divBdr>
                        <w:top w:val="none" w:sz="0" w:space="0" w:color="auto"/>
                        <w:left w:val="none" w:sz="0" w:space="0" w:color="auto"/>
                        <w:bottom w:val="none" w:sz="0" w:space="0" w:color="auto"/>
                        <w:right w:val="none" w:sz="0" w:space="0" w:color="auto"/>
                      </w:divBdr>
                    </w:div>
                  </w:divsChild>
                </w:div>
                <w:div w:id="1383365392">
                  <w:marLeft w:val="0"/>
                  <w:marRight w:val="0"/>
                  <w:marTop w:val="0"/>
                  <w:marBottom w:val="0"/>
                  <w:divBdr>
                    <w:top w:val="none" w:sz="0" w:space="0" w:color="auto"/>
                    <w:left w:val="none" w:sz="0" w:space="0" w:color="auto"/>
                    <w:bottom w:val="none" w:sz="0" w:space="0" w:color="auto"/>
                    <w:right w:val="none" w:sz="0" w:space="0" w:color="auto"/>
                  </w:divBdr>
                  <w:divsChild>
                    <w:div w:id="1320813083">
                      <w:marLeft w:val="0"/>
                      <w:marRight w:val="0"/>
                      <w:marTop w:val="0"/>
                      <w:marBottom w:val="0"/>
                      <w:divBdr>
                        <w:top w:val="none" w:sz="0" w:space="0" w:color="auto"/>
                        <w:left w:val="none" w:sz="0" w:space="0" w:color="auto"/>
                        <w:bottom w:val="none" w:sz="0" w:space="0" w:color="auto"/>
                        <w:right w:val="none" w:sz="0" w:space="0" w:color="auto"/>
                      </w:divBdr>
                    </w:div>
                  </w:divsChild>
                </w:div>
                <w:div w:id="1558517127">
                  <w:marLeft w:val="0"/>
                  <w:marRight w:val="0"/>
                  <w:marTop w:val="0"/>
                  <w:marBottom w:val="0"/>
                  <w:divBdr>
                    <w:top w:val="none" w:sz="0" w:space="0" w:color="auto"/>
                    <w:left w:val="none" w:sz="0" w:space="0" w:color="auto"/>
                    <w:bottom w:val="none" w:sz="0" w:space="0" w:color="auto"/>
                    <w:right w:val="none" w:sz="0" w:space="0" w:color="auto"/>
                  </w:divBdr>
                  <w:divsChild>
                    <w:div w:id="129788130">
                      <w:marLeft w:val="0"/>
                      <w:marRight w:val="0"/>
                      <w:marTop w:val="0"/>
                      <w:marBottom w:val="0"/>
                      <w:divBdr>
                        <w:top w:val="none" w:sz="0" w:space="0" w:color="auto"/>
                        <w:left w:val="none" w:sz="0" w:space="0" w:color="auto"/>
                        <w:bottom w:val="none" w:sz="0" w:space="0" w:color="auto"/>
                        <w:right w:val="none" w:sz="0" w:space="0" w:color="auto"/>
                      </w:divBdr>
                    </w:div>
                  </w:divsChild>
                </w:div>
                <w:div w:id="1614289302">
                  <w:marLeft w:val="0"/>
                  <w:marRight w:val="0"/>
                  <w:marTop w:val="0"/>
                  <w:marBottom w:val="0"/>
                  <w:divBdr>
                    <w:top w:val="none" w:sz="0" w:space="0" w:color="auto"/>
                    <w:left w:val="none" w:sz="0" w:space="0" w:color="auto"/>
                    <w:bottom w:val="none" w:sz="0" w:space="0" w:color="auto"/>
                    <w:right w:val="none" w:sz="0" w:space="0" w:color="auto"/>
                  </w:divBdr>
                  <w:divsChild>
                    <w:div w:id="1227297325">
                      <w:marLeft w:val="0"/>
                      <w:marRight w:val="0"/>
                      <w:marTop w:val="0"/>
                      <w:marBottom w:val="0"/>
                      <w:divBdr>
                        <w:top w:val="none" w:sz="0" w:space="0" w:color="auto"/>
                        <w:left w:val="none" w:sz="0" w:space="0" w:color="auto"/>
                        <w:bottom w:val="none" w:sz="0" w:space="0" w:color="auto"/>
                        <w:right w:val="none" w:sz="0" w:space="0" w:color="auto"/>
                      </w:divBdr>
                    </w:div>
                  </w:divsChild>
                </w:div>
                <w:div w:id="1725564286">
                  <w:marLeft w:val="0"/>
                  <w:marRight w:val="0"/>
                  <w:marTop w:val="0"/>
                  <w:marBottom w:val="0"/>
                  <w:divBdr>
                    <w:top w:val="none" w:sz="0" w:space="0" w:color="auto"/>
                    <w:left w:val="none" w:sz="0" w:space="0" w:color="auto"/>
                    <w:bottom w:val="none" w:sz="0" w:space="0" w:color="auto"/>
                    <w:right w:val="none" w:sz="0" w:space="0" w:color="auto"/>
                  </w:divBdr>
                  <w:divsChild>
                    <w:div w:id="741175977">
                      <w:marLeft w:val="0"/>
                      <w:marRight w:val="0"/>
                      <w:marTop w:val="0"/>
                      <w:marBottom w:val="0"/>
                      <w:divBdr>
                        <w:top w:val="none" w:sz="0" w:space="0" w:color="auto"/>
                        <w:left w:val="none" w:sz="0" w:space="0" w:color="auto"/>
                        <w:bottom w:val="none" w:sz="0" w:space="0" w:color="auto"/>
                        <w:right w:val="none" w:sz="0" w:space="0" w:color="auto"/>
                      </w:divBdr>
                    </w:div>
                  </w:divsChild>
                </w:div>
                <w:div w:id="1740051192">
                  <w:marLeft w:val="0"/>
                  <w:marRight w:val="0"/>
                  <w:marTop w:val="0"/>
                  <w:marBottom w:val="0"/>
                  <w:divBdr>
                    <w:top w:val="none" w:sz="0" w:space="0" w:color="auto"/>
                    <w:left w:val="none" w:sz="0" w:space="0" w:color="auto"/>
                    <w:bottom w:val="none" w:sz="0" w:space="0" w:color="auto"/>
                    <w:right w:val="none" w:sz="0" w:space="0" w:color="auto"/>
                  </w:divBdr>
                  <w:divsChild>
                    <w:div w:id="16272936">
                      <w:marLeft w:val="0"/>
                      <w:marRight w:val="0"/>
                      <w:marTop w:val="0"/>
                      <w:marBottom w:val="0"/>
                      <w:divBdr>
                        <w:top w:val="none" w:sz="0" w:space="0" w:color="auto"/>
                        <w:left w:val="none" w:sz="0" w:space="0" w:color="auto"/>
                        <w:bottom w:val="none" w:sz="0" w:space="0" w:color="auto"/>
                        <w:right w:val="none" w:sz="0" w:space="0" w:color="auto"/>
                      </w:divBdr>
                    </w:div>
                  </w:divsChild>
                </w:div>
                <w:div w:id="1837265516">
                  <w:marLeft w:val="0"/>
                  <w:marRight w:val="0"/>
                  <w:marTop w:val="0"/>
                  <w:marBottom w:val="0"/>
                  <w:divBdr>
                    <w:top w:val="none" w:sz="0" w:space="0" w:color="auto"/>
                    <w:left w:val="none" w:sz="0" w:space="0" w:color="auto"/>
                    <w:bottom w:val="none" w:sz="0" w:space="0" w:color="auto"/>
                    <w:right w:val="none" w:sz="0" w:space="0" w:color="auto"/>
                  </w:divBdr>
                  <w:divsChild>
                    <w:div w:id="1373964068">
                      <w:marLeft w:val="0"/>
                      <w:marRight w:val="0"/>
                      <w:marTop w:val="0"/>
                      <w:marBottom w:val="0"/>
                      <w:divBdr>
                        <w:top w:val="none" w:sz="0" w:space="0" w:color="auto"/>
                        <w:left w:val="none" w:sz="0" w:space="0" w:color="auto"/>
                        <w:bottom w:val="none" w:sz="0" w:space="0" w:color="auto"/>
                        <w:right w:val="none" w:sz="0" w:space="0" w:color="auto"/>
                      </w:divBdr>
                    </w:div>
                  </w:divsChild>
                </w:div>
                <w:div w:id="1842773567">
                  <w:marLeft w:val="0"/>
                  <w:marRight w:val="0"/>
                  <w:marTop w:val="0"/>
                  <w:marBottom w:val="0"/>
                  <w:divBdr>
                    <w:top w:val="none" w:sz="0" w:space="0" w:color="auto"/>
                    <w:left w:val="none" w:sz="0" w:space="0" w:color="auto"/>
                    <w:bottom w:val="none" w:sz="0" w:space="0" w:color="auto"/>
                    <w:right w:val="none" w:sz="0" w:space="0" w:color="auto"/>
                  </w:divBdr>
                  <w:divsChild>
                    <w:div w:id="1152673495">
                      <w:marLeft w:val="0"/>
                      <w:marRight w:val="0"/>
                      <w:marTop w:val="0"/>
                      <w:marBottom w:val="0"/>
                      <w:divBdr>
                        <w:top w:val="none" w:sz="0" w:space="0" w:color="auto"/>
                        <w:left w:val="none" w:sz="0" w:space="0" w:color="auto"/>
                        <w:bottom w:val="none" w:sz="0" w:space="0" w:color="auto"/>
                        <w:right w:val="none" w:sz="0" w:space="0" w:color="auto"/>
                      </w:divBdr>
                    </w:div>
                  </w:divsChild>
                </w:div>
                <w:div w:id="1874075820">
                  <w:marLeft w:val="0"/>
                  <w:marRight w:val="0"/>
                  <w:marTop w:val="0"/>
                  <w:marBottom w:val="0"/>
                  <w:divBdr>
                    <w:top w:val="none" w:sz="0" w:space="0" w:color="auto"/>
                    <w:left w:val="none" w:sz="0" w:space="0" w:color="auto"/>
                    <w:bottom w:val="none" w:sz="0" w:space="0" w:color="auto"/>
                    <w:right w:val="none" w:sz="0" w:space="0" w:color="auto"/>
                  </w:divBdr>
                  <w:divsChild>
                    <w:div w:id="1909071824">
                      <w:marLeft w:val="0"/>
                      <w:marRight w:val="0"/>
                      <w:marTop w:val="0"/>
                      <w:marBottom w:val="0"/>
                      <w:divBdr>
                        <w:top w:val="none" w:sz="0" w:space="0" w:color="auto"/>
                        <w:left w:val="none" w:sz="0" w:space="0" w:color="auto"/>
                        <w:bottom w:val="none" w:sz="0" w:space="0" w:color="auto"/>
                        <w:right w:val="none" w:sz="0" w:space="0" w:color="auto"/>
                      </w:divBdr>
                    </w:div>
                  </w:divsChild>
                </w:div>
                <w:div w:id="1896113425">
                  <w:marLeft w:val="0"/>
                  <w:marRight w:val="0"/>
                  <w:marTop w:val="0"/>
                  <w:marBottom w:val="0"/>
                  <w:divBdr>
                    <w:top w:val="none" w:sz="0" w:space="0" w:color="auto"/>
                    <w:left w:val="none" w:sz="0" w:space="0" w:color="auto"/>
                    <w:bottom w:val="none" w:sz="0" w:space="0" w:color="auto"/>
                    <w:right w:val="none" w:sz="0" w:space="0" w:color="auto"/>
                  </w:divBdr>
                  <w:divsChild>
                    <w:div w:id="1071535603">
                      <w:marLeft w:val="0"/>
                      <w:marRight w:val="0"/>
                      <w:marTop w:val="0"/>
                      <w:marBottom w:val="0"/>
                      <w:divBdr>
                        <w:top w:val="none" w:sz="0" w:space="0" w:color="auto"/>
                        <w:left w:val="none" w:sz="0" w:space="0" w:color="auto"/>
                        <w:bottom w:val="none" w:sz="0" w:space="0" w:color="auto"/>
                        <w:right w:val="none" w:sz="0" w:space="0" w:color="auto"/>
                      </w:divBdr>
                    </w:div>
                  </w:divsChild>
                </w:div>
                <w:div w:id="1957324786">
                  <w:marLeft w:val="0"/>
                  <w:marRight w:val="0"/>
                  <w:marTop w:val="0"/>
                  <w:marBottom w:val="0"/>
                  <w:divBdr>
                    <w:top w:val="none" w:sz="0" w:space="0" w:color="auto"/>
                    <w:left w:val="none" w:sz="0" w:space="0" w:color="auto"/>
                    <w:bottom w:val="none" w:sz="0" w:space="0" w:color="auto"/>
                    <w:right w:val="none" w:sz="0" w:space="0" w:color="auto"/>
                  </w:divBdr>
                  <w:divsChild>
                    <w:div w:id="1042631345">
                      <w:marLeft w:val="0"/>
                      <w:marRight w:val="0"/>
                      <w:marTop w:val="0"/>
                      <w:marBottom w:val="0"/>
                      <w:divBdr>
                        <w:top w:val="none" w:sz="0" w:space="0" w:color="auto"/>
                        <w:left w:val="none" w:sz="0" w:space="0" w:color="auto"/>
                        <w:bottom w:val="none" w:sz="0" w:space="0" w:color="auto"/>
                        <w:right w:val="none" w:sz="0" w:space="0" w:color="auto"/>
                      </w:divBdr>
                    </w:div>
                  </w:divsChild>
                </w:div>
                <w:div w:id="1959296465">
                  <w:marLeft w:val="0"/>
                  <w:marRight w:val="0"/>
                  <w:marTop w:val="0"/>
                  <w:marBottom w:val="0"/>
                  <w:divBdr>
                    <w:top w:val="none" w:sz="0" w:space="0" w:color="auto"/>
                    <w:left w:val="none" w:sz="0" w:space="0" w:color="auto"/>
                    <w:bottom w:val="none" w:sz="0" w:space="0" w:color="auto"/>
                    <w:right w:val="none" w:sz="0" w:space="0" w:color="auto"/>
                  </w:divBdr>
                  <w:divsChild>
                    <w:div w:id="1916355255">
                      <w:marLeft w:val="0"/>
                      <w:marRight w:val="0"/>
                      <w:marTop w:val="0"/>
                      <w:marBottom w:val="0"/>
                      <w:divBdr>
                        <w:top w:val="none" w:sz="0" w:space="0" w:color="auto"/>
                        <w:left w:val="none" w:sz="0" w:space="0" w:color="auto"/>
                        <w:bottom w:val="none" w:sz="0" w:space="0" w:color="auto"/>
                        <w:right w:val="none" w:sz="0" w:space="0" w:color="auto"/>
                      </w:divBdr>
                    </w:div>
                  </w:divsChild>
                </w:div>
                <w:div w:id="1971355158">
                  <w:marLeft w:val="0"/>
                  <w:marRight w:val="0"/>
                  <w:marTop w:val="0"/>
                  <w:marBottom w:val="0"/>
                  <w:divBdr>
                    <w:top w:val="none" w:sz="0" w:space="0" w:color="auto"/>
                    <w:left w:val="none" w:sz="0" w:space="0" w:color="auto"/>
                    <w:bottom w:val="none" w:sz="0" w:space="0" w:color="auto"/>
                    <w:right w:val="none" w:sz="0" w:space="0" w:color="auto"/>
                  </w:divBdr>
                  <w:divsChild>
                    <w:div w:id="1845633249">
                      <w:marLeft w:val="0"/>
                      <w:marRight w:val="0"/>
                      <w:marTop w:val="0"/>
                      <w:marBottom w:val="0"/>
                      <w:divBdr>
                        <w:top w:val="none" w:sz="0" w:space="0" w:color="auto"/>
                        <w:left w:val="none" w:sz="0" w:space="0" w:color="auto"/>
                        <w:bottom w:val="none" w:sz="0" w:space="0" w:color="auto"/>
                        <w:right w:val="none" w:sz="0" w:space="0" w:color="auto"/>
                      </w:divBdr>
                    </w:div>
                  </w:divsChild>
                </w:div>
                <w:div w:id="1971476499">
                  <w:marLeft w:val="0"/>
                  <w:marRight w:val="0"/>
                  <w:marTop w:val="0"/>
                  <w:marBottom w:val="0"/>
                  <w:divBdr>
                    <w:top w:val="none" w:sz="0" w:space="0" w:color="auto"/>
                    <w:left w:val="none" w:sz="0" w:space="0" w:color="auto"/>
                    <w:bottom w:val="none" w:sz="0" w:space="0" w:color="auto"/>
                    <w:right w:val="none" w:sz="0" w:space="0" w:color="auto"/>
                  </w:divBdr>
                  <w:divsChild>
                    <w:div w:id="1852255115">
                      <w:marLeft w:val="0"/>
                      <w:marRight w:val="0"/>
                      <w:marTop w:val="0"/>
                      <w:marBottom w:val="0"/>
                      <w:divBdr>
                        <w:top w:val="none" w:sz="0" w:space="0" w:color="auto"/>
                        <w:left w:val="none" w:sz="0" w:space="0" w:color="auto"/>
                        <w:bottom w:val="none" w:sz="0" w:space="0" w:color="auto"/>
                        <w:right w:val="none" w:sz="0" w:space="0" w:color="auto"/>
                      </w:divBdr>
                    </w:div>
                  </w:divsChild>
                </w:div>
                <w:div w:id="1975140995">
                  <w:marLeft w:val="0"/>
                  <w:marRight w:val="0"/>
                  <w:marTop w:val="0"/>
                  <w:marBottom w:val="0"/>
                  <w:divBdr>
                    <w:top w:val="none" w:sz="0" w:space="0" w:color="auto"/>
                    <w:left w:val="none" w:sz="0" w:space="0" w:color="auto"/>
                    <w:bottom w:val="none" w:sz="0" w:space="0" w:color="auto"/>
                    <w:right w:val="none" w:sz="0" w:space="0" w:color="auto"/>
                  </w:divBdr>
                  <w:divsChild>
                    <w:div w:id="1834949670">
                      <w:marLeft w:val="0"/>
                      <w:marRight w:val="0"/>
                      <w:marTop w:val="0"/>
                      <w:marBottom w:val="0"/>
                      <w:divBdr>
                        <w:top w:val="none" w:sz="0" w:space="0" w:color="auto"/>
                        <w:left w:val="none" w:sz="0" w:space="0" w:color="auto"/>
                        <w:bottom w:val="none" w:sz="0" w:space="0" w:color="auto"/>
                        <w:right w:val="none" w:sz="0" w:space="0" w:color="auto"/>
                      </w:divBdr>
                    </w:div>
                  </w:divsChild>
                </w:div>
                <w:div w:id="2043360041">
                  <w:marLeft w:val="0"/>
                  <w:marRight w:val="0"/>
                  <w:marTop w:val="0"/>
                  <w:marBottom w:val="0"/>
                  <w:divBdr>
                    <w:top w:val="none" w:sz="0" w:space="0" w:color="auto"/>
                    <w:left w:val="none" w:sz="0" w:space="0" w:color="auto"/>
                    <w:bottom w:val="none" w:sz="0" w:space="0" w:color="auto"/>
                    <w:right w:val="none" w:sz="0" w:space="0" w:color="auto"/>
                  </w:divBdr>
                  <w:divsChild>
                    <w:div w:id="226310281">
                      <w:marLeft w:val="0"/>
                      <w:marRight w:val="0"/>
                      <w:marTop w:val="0"/>
                      <w:marBottom w:val="0"/>
                      <w:divBdr>
                        <w:top w:val="none" w:sz="0" w:space="0" w:color="auto"/>
                        <w:left w:val="none" w:sz="0" w:space="0" w:color="auto"/>
                        <w:bottom w:val="none" w:sz="0" w:space="0" w:color="auto"/>
                        <w:right w:val="none" w:sz="0" w:space="0" w:color="auto"/>
                      </w:divBdr>
                    </w:div>
                  </w:divsChild>
                </w:div>
                <w:div w:id="2101023369">
                  <w:marLeft w:val="0"/>
                  <w:marRight w:val="0"/>
                  <w:marTop w:val="0"/>
                  <w:marBottom w:val="0"/>
                  <w:divBdr>
                    <w:top w:val="none" w:sz="0" w:space="0" w:color="auto"/>
                    <w:left w:val="none" w:sz="0" w:space="0" w:color="auto"/>
                    <w:bottom w:val="none" w:sz="0" w:space="0" w:color="auto"/>
                    <w:right w:val="none" w:sz="0" w:space="0" w:color="auto"/>
                  </w:divBdr>
                  <w:divsChild>
                    <w:div w:id="5929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46608">
      <w:bodyDiv w:val="1"/>
      <w:marLeft w:val="0"/>
      <w:marRight w:val="0"/>
      <w:marTop w:val="0"/>
      <w:marBottom w:val="0"/>
      <w:divBdr>
        <w:top w:val="none" w:sz="0" w:space="0" w:color="auto"/>
        <w:left w:val="none" w:sz="0" w:space="0" w:color="auto"/>
        <w:bottom w:val="none" w:sz="0" w:space="0" w:color="auto"/>
        <w:right w:val="none" w:sz="0" w:space="0" w:color="auto"/>
      </w:divBdr>
    </w:div>
    <w:div w:id="930969499">
      <w:bodyDiv w:val="1"/>
      <w:marLeft w:val="0"/>
      <w:marRight w:val="0"/>
      <w:marTop w:val="0"/>
      <w:marBottom w:val="0"/>
      <w:divBdr>
        <w:top w:val="none" w:sz="0" w:space="0" w:color="auto"/>
        <w:left w:val="none" w:sz="0" w:space="0" w:color="auto"/>
        <w:bottom w:val="none" w:sz="0" w:space="0" w:color="auto"/>
        <w:right w:val="none" w:sz="0" w:space="0" w:color="auto"/>
      </w:divBdr>
    </w:div>
    <w:div w:id="991565223">
      <w:bodyDiv w:val="1"/>
      <w:marLeft w:val="0"/>
      <w:marRight w:val="0"/>
      <w:marTop w:val="0"/>
      <w:marBottom w:val="0"/>
      <w:divBdr>
        <w:top w:val="none" w:sz="0" w:space="0" w:color="auto"/>
        <w:left w:val="none" w:sz="0" w:space="0" w:color="auto"/>
        <w:bottom w:val="none" w:sz="0" w:space="0" w:color="auto"/>
        <w:right w:val="none" w:sz="0" w:space="0" w:color="auto"/>
      </w:divBdr>
    </w:div>
    <w:div w:id="995845343">
      <w:bodyDiv w:val="1"/>
      <w:marLeft w:val="0"/>
      <w:marRight w:val="0"/>
      <w:marTop w:val="0"/>
      <w:marBottom w:val="0"/>
      <w:divBdr>
        <w:top w:val="none" w:sz="0" w:space="0" w:color="auto"/>
        <w:left w:val="none" w:sz="0" w:space="0" w:color="auto"/>
        <w:bottom w:val="none" w:sz="0" w:space="0" w:color="auto"/>
        <w:right w:val="none" w:sz="0" w:space="0" w:color="auto"/>
      </w:divBdr>
    </w:div>
    <w:div w:id="1002703058">
      <w:bodyDiv w:val="1"/>
      <w:marLeft w:val="0"/>
      <w:marRight w:val="0"/>
      <w:marTop w:val="0"/>
      <w:marBottom w:val="0"/>
      <w:divBdr>
        <w:top w:val="none" w:sz="0" w:space="0" w:color="auto"/>
        <w:left w:val="none" w:sz="0" w:space="0" w:color="auto"/>
        <w:bottom w:val="none" w:sz="0" w:space="0" w:color="auto"/>
        <w:right w:val="none" w:sz="0" w:space="0" w:color="auto"/>
      </w:divBdr>
    </w:div>
    <w:div w:id="1004892038">
      <w:bodyDiv w:val="1"/>
      <w:marLeft w:val="0"/>
      <w:marRight w:val="0"/>
      <w:marTop w:val="0"/>
      <w:marBottom w:val="0"/>
      <w:divBdr>
        <w:top w:val="none" w:sz="0" w:space="0" w:color="auto"/>
        <w:left w:val="none" w:sz="0" w:space="0" w:color="auto"/>
        <w:bottom w:val="none" w:sz="0" w:space="0" w:color="auto"/>
        <w:right w:val="none" w:sz="0" w:space="0" w:color="auto"/>
      </w:divBdr>
    </w:div>
    <w:div w:id="1016228544">
      <w:bodyDiv w:val="1"/>
      <w:marLeft w:val="0"/>
      <w:marRight w:val="0"/>
      <w:marTop w:val="0"/>
      <w:marBottom w:val="0"/>
      <w:divBdr>
        <w:top w:val="none" w:sz="0" w:space="0" w:color="auto"/>
        <w:left w:val="none" w:sz="0" w:space="0" w:color="auto"/>
        <w:bottom w:val="none" w:sz="0" w:space="0" w:color="auto"/>
        <w:right w:val="none" w:sz="0" w:space="0" w:color="auto"/>
      </w:divBdr>
      <w:divsChild>
        <w:div w:id="380403495">
          <w:marLeft w:val="0"/>
          <w:marRight w:val="0"/>
          <w:marTop w:val="0"/>
          <w:marBottom w:val="0"/>
          <w:divBdr>
            <w:top w:val="none" w:sz="0" w:space="0" w:color="auto"/>
            <w:left w:val="none" w:sz="0" w:space="0" w:color="auto"/>
            <w:bottom w:val="none" w:sz="0" w:space="0" w:color="auto"/>
            <w:right w:val="none" w:sz="0" w:space="0" w:color="auto"/>
          </w:divBdr>
        </w:div>
        <w:div w:id="622076328">
          <w:marLeft w:val="0"/>
          <w:marRight w:val="0"/>
          <w:marTop w:val="0"/>
          <w:marBottom w:val="0"/>
          <w:divBdr>
            <w:top w:val="none" w:sz="0" w:space="0" w:color="auto"/>
            <w:left w:val="none" w:sz="0" w:space="0" w:color="auto"/>
            <w:bottom w:val="none" w:sz="0" w:space="0" w:color="auto"/>
            <w:right w:val="none" w:sz="0" w:space="0" w:color="auto"/>
          </w:divBdr>
        </w:div>
        <w:div w:id="982269800">
          <w:marLeft w:val="0"/>
          <w:marRight w:val="0"/>
          <w:marTop w:val="0"/>
          <w:marBottom w:val="0"/>
          <w:divBdr>
            <w:top w:val="none" w:sz="0" w:space="0" w:color="auto"/>
            <w:left w:val="none" w:sz="0" w:space="0" w:color="auto"/>
            <w:bottom w:val="none" w:sz="0" w:space="0" w:color="auto"/>
            <w:right w:val="none" w:sz="0" w:space="0" w:color="auto"/>
          </w:divBdr>
        </w:div>
        <w:div w:id="1812281493">
          <w:marLeft w:val="0"/>
          <w:marRight w:val="0"/>
          <w:marTop w:val="0"/>
          <w:marBottom w:val="0"/>
          <w:divBdr>
            <w:top w:val="none" w:sz="0" w:space="0" w:color="auto"/>
            <w:left w:val="none" w:sz="0" w:space="0" w:color="auto"/>
            <w:bottom w:val="none" w:sz="0" w:space="0" w:color="auto"/>
            <w:right w:val="none" w:sz="0" w:space="0" w:color="auto"/>
          </w:divBdr>
        </w:div>
        <w:div w:id="2001227939">
          <w:marLeft w:val="0"/>
          <w:marRight w:val="0"/>
          <w:marTop w:val="0"/>
          <w:marBottom w:val="0"/>
          <w:divBdr>
            <w:top w:val="none" w:sz="0" w:space="0" w:color="auto"/>
            <w:left w:val="none" w:sz="0" w:space="0" w:color="auto"/>
            <w:bottom w:val="none" w:sz="0" w:space="0" w:color="auto"/>
            <w:right w:val="none" w:sz="0" w:space="0" w:color="auto"/>
          </w:divBdr>
        </w:div>
        <w:div w:id="2124228649">
          <w:marLeft w:val="0"/>
          <w:marRight w:val="0"/>
          <w:marTop w:val="0"/>
          <w:marBottom w:val="0"/>
          <w:divBdr>
            <w:top w:val="none" w:sz="0" w:space="0" w:color="auto"/>
            <w:left w:val="none" w:sz="0" w:space="0" w:color="auto"/>
            <w:bottom w:val="none" w:sz="0" w:space="0" w:color="auto"/>
            <w:right w:val="none" w:sz="0" w:space="0" w:color="auto"/>
          </w:divBdr>
        </w:div>
      </w:divsChild>
    </w:div>
    <w:div w:id="1021665921">
      <w:bodyDiv w:val="1"/>
      <w:marLeft w:val="0"/>
      <w:marRight w:val="0"/>
      <w:marTop w:val="0"/>
      <w:marBottom w:val="0"/>
      <w:divBdr>
        <w:top w:val="none" w:sz="0" w:space="0" w:color="auto"/>
        <w:left w:val="none" w:sz="0" w:space="0" w:color="auto"/>
        <w:bottom w:val="none" w:sz="0" w:space="0" w:color="auto"/>
        <w:right w:val="none" w:sz="0" w:space="0" w:color="auto"/>
      </w:divBdr>
    </w:div>
    <w:div w:id="1027871994">
      <w:bodyDiv w:val="1"/>
      <w:marLeft w:val="0"/>
      <w:marRight w:val="0"/>
      <w:marTop w:val="0"/>
      <w:marBottom w:val="0"/>
      <w:divBdr>
        <w:top w:val="none" w:sz="0" w:space="0" w:color="auto"/>
        <w:left w:val="none" w:sz="0" w:space="0" w:color="auto"/>
        <w:bottom w:val="none" w:sz="0" w:space="0" w:color="auto"/>
        <w:right w:val="none" w:sz="0" w:space="0" w:color="auto"/>
      </w:divBdr>
    </w:div>
    <w:div w:id="1049839128">
      <w:bodyDiv w:val="1"/>
      <w:marLeft w:val="0"/>
      <w:marRight w:val="0"/>
      <w:marTop w:val="0"/>
      <w:marBottom w:val="0"/>
      <w:divBdr>
        <w:top w:val="none" w:sz="0" w:space="0" w:color="auto"/>
        <w:left w:val="none" w:sz="0" w:space="0" w:color="auto"/>
        <w:bottom w:val="none" w:sz="0" w:space="0" w:color="auto"/>
        <w:right w:val="none" w:sz="0" w:space="0" w:color="auto"/>
      </w:divBdr>
      <w:divsChild>
        <w:div w:id="203712635">
          <w:marLeft w:val="0"/>
          <w:marRight w:val="0"/>
          <w:marTop w:val="0"/>
          <w:marBottom w:val="0"/>
          <w:divBdr>
            <w:top w:val="none" w:sz="0" w:space="0" w:color="auto"/>
            <w:left w:val="none" w:sz="0" w:space="0" w:color="auto"/>
            <w:bottom w:val="none" w:sz="0" w:space="0" w:color="auto"/>
            <w:right w:val="none" w:sz="0" w:space="0" w:color="auto"/>
          </w:divBdr>
        </w:div>
        <w:div w:id="863052527">
          <w:marLeft w:val="0"/>
          <w:marRight w:val="0"/>
          <w:marTop w:val="0"/>
          <w:marBottom w:val="0"/>
          <w:divBdr>
            <w:top w:val="none" w:sz="0" w:space="0" w:color="auto"/>
            <w:left w:val="none" w:sz="0" w:space="0" w:color="auto"/>
            <w:bottom w:val="none" w:sz="0" w:space="0" w:color="auto"/>
            <w:right w:val="none" w:sz="0" w:space="0" w:color="auto"/>
          </w:divBdr>
          <w:divsChild>
            <w:div w:id="1772429522">
              <w:marLeft w:val="0"/>
              <w:marRight w:val="0"/>
              <w:marTop w:val="30"/>
              <w:marBottom w:val="30"/>
              <w:divBdr>
                <w:top w:val="none" w:sz="0" w:space="0" w:color="auto"/>
                <w:left w:val="none" w:sz="0" w:space="0" w:color="auto"/>
                <w:bottom w:val="none" w:sz="0" w:space="0" w:color="auto"/>
                <w:right w:val="none" w:sz="0" w:space="0" w:color="auto"/>
              </w:divBdr>
              <w:divsChild>
                <w:div w:id="19280345">
                  <w:marLeft w:val="0"/>
                  <w:marRight w:val="0"/>
                  <w:marTop w:val="0"/>
                  <w:marBottom w:val="0"/>
                  <w:divBdr>
                    <w:top w:val="none" w:sz="0" w:space="0" w:color="auto"/>
                    <w:left w:val="none" w:sz="0" w:space="0" w:color="auto"/>
                    <w:bottom w:val="none" w:sz="0" w:space="0" w:color="auto"/>
                    <w:right w:val="none" w:sz="0" w:space="0" w:color="auto"/>
                  </w:divBdr>
                  <w:divsChild>
                    <w:div w:id="1774786108">
                      <w:marLeft w:val="0"/>
                      <w:marRight w:val="0"/>
                      <w:marTop w:val="0"/>
                      <w:marBottom w:val="0"/>
                      <w:divBdr>
                        <w:top w:val="none" w:sz="0" w:space="0" w:color="auto"/>
                        <w:left w:val="none" w:sz="0" w:space="0" w:color="auto"/>
                        <w:bottom w:val="none" w:sz="0" w:space="0" w:color="auto"/>
                        <w:right w:val="none" w:sz="0" w:space="0" w:color="auto"/>
                      </w:divBdr>
                    </w:div>
                  </w:divsChild>
                </w:div>
                <w:div w:id="59059413">
                  <w:marLeft w:val="0"/>
                  <w:marRight w:val="0"/>
                  <w:marTop w:val="0"/>
                  <w:marBottom w:val="0"/>
                  <w:divBdr>
                    <w:top w:val="none" w:sz="0" w:space="0" w:color="auto"/>
                    <w:left w:val="none" w:sz="0" w:space="0" w:color="auto"/>
                    <w:bottom w:val="none" w:sz="0" w:space="0" w:color="auto"/>
                    <w:right w:val="none" w:sz="0" w:space="0" w:color="auto"/>
                  </w:divBdr>
                  <w:divsChild>
                    <w:div w:id="297154083">
                      <w:marLeft w:val="0"/>
                      <w:marRight w:val="0"/>
                      <w:marTop w:val="0"/>
                      <w:marBottom w:val="0"/>
                      <w:divBdr>
                        <w:top w:val="none" w:sz="0" w:space="0" w:color="auto"/>
                        <w:left w:val="none" w:sz="0" w:space="0" w:color="auto"/>
                        <w:bottom w:val="none" w:sz="0" w:space="0" w:color="auto"/>
                        <w:right w:val="none" w:sz="0" w:space="0" w:color="auto"/>
                      </w:divBdr>
                    </w:div>
                  </w:divsChild>
                </w:div>
                <w:div w:id="139419028">
                  <w:marLeft w:val="0"/>
                  <w:marRight w:val="0"/>
                  <w:marTop w:val="0"/>
                  <w:marBottom w:val="0"/>
                  <w:divBdr>
                    <w:top w:val="none" w:sz="0" w:space="0" w:color="auto"/>
                    <w:left w:val="none" w:sz="0" w:space="0" w:color="auto"/>
                    <w:bottom w:val="none" w:sz="0" w:space="0" w:color="auto"/>
                    <w:right w:val="none" w:sz="0" w:space="0" w:color="auto"/>
                  </w:divBdr>
                  <w:divsChild>
                    <w:div w:id="1886746963">
                      <w:marLeft w:val="0"/>
                      <w:marRight w:val="0"/>
                      <w:marTop w:val="0"/>
                      <w:marBottom w:val="0"/>
                      <w:divBdr>
                        <w:top w:val="none" w:sz="0" w:space="0" w:color="auto"/>
                        <w:left w:val="none" w:sz="0" w:space="0" w:color="auto"/>
                        <w:bottom w:val="none" w:sz="0" w:space="0" w:color="auto"/>
                        <w:right w:val="none" w:sz="0" w:space="0" w:color="auto"/>
                      </w:divBdr>
                    </w:div>
                  </w:divsChild>
                </w:div>
                <w:div w:id="152573937">
                  <w:marLeft w:val="0"/>
                  <w:marRight w:val="0"/>
                  <w:marTop w:val="0"/>
                  <w:marBottom w:val="0"/>
                  <w:divBdr>
                    <w:top w:val="none" w:sz="0" w:space="0" w:color="auto"/>
                    <w:left w:val="none" w:sz="0" w:space="0" w:color="auto"/>
                    <w:bottom w:val="none" w:sz="0" w:space="0" w:color="auto"/>
                    <w:right w:val="none" w:sz="0" w:space="0" w:color="auto"/>
                  </w:divBdr>
                  <w:divsChild>
                    <w:div w:id="1584606041">
                      <w:marLeft w:val="0"/>
                      <w:marRight w:val="0"/>
                      <w:marTop w:val="0"/>
                      <w:marBottom w:val="0"/>
                      <w:divBdr>
                        <w:top w:val="none" w:sz="0" w:space="0" w:color="auto"/>
                        <w:left w:val="none" w:sz="0" w:space="0" w:color="auto"/>
                        <w:bottom w:val="none" w:sz="0" w:space="0" w:color="auto"/>
                        <w:right w:val="none" w:sz="0" w:space="0" w:color="auto"/>
                      </w:divBdr>
                    </w:div>
                  </w:divsChild>
                </w:div>
                <w:div w:id="199589532">
                  <w:marLeft w:val="0"/>
                  <w:marRight w:val="0"/>
                  <w:marTop w:val="0"/>
                  <w:marBottom w:val="0"/>
                  <w:divBdr>
                    <w:top w:val="none" w:sz="0" w:space="0" w:color="auto"/>
                    <w:left w:val="none" w:sz="0" w:space="0" w:color="auto"/>
                    <w:bottom w:val="none" w:sz="0" w:space="0" w:color="auto"/>
                    <w:right w:val="none" w:sz="0" w:space="0" w:color="auto"/>
                  </w:divBdr>
                  <w:divsChild>
                    <w:div w:id="1176844692">
                      <w:marLeft w:val="0"/>
                      <w:marRight w:val="0"/>
                      <w:marTop w:val="0"/>
                      <w:marBottom w:val="0"/>
                      <w:divBdr>
                        <w:top w:val="none" w:sz="0" w:space="0" w:color="auto"/>
                        <w:left w:val="none" w:sz="0" w:space="0" w:color="auto"/>
                        <w:bottom w:val="none" w:sz="0" w:space="0" w:color="auto"/>
                        <w:right w:val="none" w:sz="0" w:space="0" w:color="auto"/>
                      </w:divBdr>
                    </w:div>
                  </w:divsChild>
                </w:div>
                <w:div w:id="245458708">
                  <w:marLeft w:val="0"/>
                  <w:marRight w:val="0"/>
                  <w:marTop w:val="0"/>
                  <w:marBottom w:val="0"/>
                  <w:divBdr>
                    <w:top w:val="none" w:sz="0" w:space="0" w:color="auto"/>
                    <w:left w:val="none" w:sz="0" w:space="0" w:color="auto"/>
                    <w:bottom w:val="none" w:sz="0" w:space="0" w:color="auto"/>
                    <w:right w:val="none" w:sz="0" w:space="0" w:color="auto"/>
                  </w:divBdr>
                  <w:divsChild>
                    <w:div w:id="1083263201">
                      <w:marLeft w:val="0"/>
                      <w:marRight w:val="0"/>
                      <w:marTop w:val="0"/>
                      <w:marBottom w:val="0"/>
                      <w:divBdr>
                        <w:top w:val="none" w:sz="0" w:space="0" w:color="auto"/>
                        <w:left w:val="none" w:sz="0" w:space="0" w:color="auto"/>
                        <w:bottom w:val="none" w:sz="0" w:space="0" w:color="auto"/>
                        <w:right w:val="none" w:sz="0" w:space="0" w:color="auto"/>
                      </w:divBdr>
                    </w:div>
                  </w:divsChild>
                </w:div>
                <w:div w:id="270210460">
                  <w:marLeft w:val="0"/>
                  <w:marRight w:val="0"/>
                  <w:marTop w:val="0"/>
                  <w:marBottom w:val="0"/>
                  <w:divBdr>
                    <w:top w:val="none" w:sz="0" w:space="0" w:color="auto"/>
                    <w:left w:val="none" w:sz="0" w:space="0" w:color="auto"/>
                    <w:bottom w:val="none" w:sz="0" w:space="0" w:color="auto"/>
                    <w:right w:val="none" w:sz="0" w:space="0" w:color="auto"/>
                  </w:divBdr>
                  <w:divsChild>
                    <w:div w:id="1014767188">
                      <w:marLeft w:val="0"/>
                      <w:marRight w:val="0"/>
                      <w:marTop w:val="0"/>
                      <w:marBottom w:val="0"/>
                      <w:divBdr>
                        <w:top w:val="none" w:sz="0" w:space="0" w:color="auto"/>
                        <w:left w:val="none" w:sz="0" w:space="0" w:color="auto"/>
                        <w:bottom w:val="none" w:sz="0" w:space="0" w:color="auto"/>
                        <w:right w:val="none" w:sz="0" w:space="0" w:color="auto"/>
                      </w:divBdr>
                    </w:div>
                  </w:divsChild>
                </w:div>
                <w:div w:id="356007214">
                  <w:marLeft w:val="0"/>
                  <w:marRight w:val="0"/>
                  <w:marTop w:val="0"/>
                  <w:marBottom w:val="0"/>
                  <w:divBdr>
                    <w:top w:val="none" w:sz="0" w:space="0" w:color="auto"/>
                    <w:left w:val="none" w:sz="0" w:space="0" w:color="auto"/>
                    <w:bottom w:val="none" w:sz="0" w:space="0" w:color="auto"/>
                    <w:right w:val="none" w:sz="0" w:space="0" w:color="auto"/>
                  </w:divBdr>
                  <w:divsChild>
                    <w:div w:id="92018406">
                      <w:marLeft w:val="0"/>
                      <w:marRight w:val="0"/>
                      <w:marTop w:val="0"/>
                      <w:marBottom w:val="0"/>
                      <w:divBdr>
                        <w:top w:val="none" w:sz="0" w:space="0" w:color="auto"/>
                        <w:left w:val="none" w:sz="0" w:space="0" w:color="auto"/>
                        <w:bottom w:val="none" w:sz="0" w:space="0" w:color="auto"/>
                        <w:right w:val="none" w:sz="0" w:space="0" w:color="auto"/>
                      </w:divBdr>
                    </w:div>
                  </w:divsChild>
                </w:div>
                <w:div w:id="412820858">
                  <w:marLeft w:val="0"/>
                  <w:marRight w:val="0"/>
                  <w:marTop w:val="0"/>
                  <w:marBottom w:val="0"/>
                  <w:divBdr>
                    <w:top w:val="none" w:sz="0" w:space="0" w:color="auto"/>
                    <w:left w:val="none" w:sz="0" w:space="0" w:color="auto"/>
                    <w:bottom w:val="none" w:sz="0" w:space="0" w:color="auto"/>
                    <w:right w:val="none" w:sz="0" w:space="0" w:color="auto"/>
                  </w:divBdr>
                  <w:divsChild>
                    <w:div w:id="299309202">
                      <w:marLeft w:val="0"/>
                      <w:marRight w:val="0"/>
                      <w:marTop w:val="0"/>
                      <w:marBottom w:val="0"/>
                      <w:divBdr>
                        <w:top w:val="none" w:sz="0" w:space="0" w:color="auto"/>
                        <w:left w:val="none" w:sz="0" w:space="0" w:color="auto"/>
                        <w:bottom w:val="none" w:sz="0" w:space="0" w:color="auto"/>
                        <w:right w:val="none" w:sz="0" w:space="0" w:color="auto"/>
                      </w:divBdr>
                    </w:div>
                  </w:divsChild>
                </w:div>
                <w:div w:id="506139254">
                  <w:marLeft w:val="0"/>
                  <w:marRight w:val="0"/>
                  <w:marTop w:val="0"/>
                  <w:marBottom w:val="0"/>
                  <w:divBdr>
                    <w:top w:val="none" w:sz="0" w:space="0" w:color="auto"/>
                    <w:left w:val="none" w:sz="0" w:space="0" w:color="auto"/>
                    <w:bottom w:val="none" w:sz="0" w:space="0" w:color="auto"/>
                    <w:right w:val="none" w:sz="0" w:space="0" w:color="auto"/>
                  </w:divBdr>
                  <w:divsChild>
                    <w:div w:id="2782263">
                      <w:marLeft w:val="0"/>
                      <w:marRight w:val="0"/>
                      <w:marTop w:val="0"/>
                      <w:marBottom w:val="0"/>
                      <w:divBdr>
                        <w:top w:val="none" w:sz="0" w:space="0" w:color="auto"/>
                        <w:left w:val="none" w:sz="0" w:space="0" w:color="auto"/>
                        <w:bottom w:val="none" w:sz="0" w:space="0" w:color="auto"/>
                        <w:right w:val="none" w:sz="0" w:space="0" w:color="auto"/>
                      </w:divBdr>
                    </w:div>
                  </w:divsChild>
                </w:div>
                <w:div w:id="532765979">
                  <w:marLeft w:val="0"/>
                  <w:marRight w:val="0"/>
                  <w:marTop w:val="0"/>
                  <w:marBottom w:val="0"/>
                  <w:divBdr>
                    <w:top w:val="none" w:sz="0" w:space="0" w:color="auto"/>
                    <w:left w:val="none" w:sz="0" w:space="0" w:color="auto"/>
                    <w:bottom w:val="none" w:sz="0" w:space="0" w:color="auto"/>
                    <w:right w:val="none" w:sz="0" w:space="0" w:color="auto"/>
                  </w:divBdr>
                  <w:divsChild>
                    <w:div w:id="1380787146">
                      <w:marLeft w:val="0"/>
                      <w:marRight w:val="0"/>
                      <w:marTop w:val="0"/>
                      <w:marBottom w:val="0"/>
                      <w:divBdr>
                        <w:top w:val="none" w:sz="0" w:space="0" w:color="auto"/>
                        <w:left w:val="none" w:sz="0" w:space="0" w:color="auto"/>
                        <w:bottom w:val="none" w:sz="0" w:space="0" w:color="auto"/>
                        <w:right w:val="none" w:sz="0" w:space="0" w:color="auto"/>
                      </w:divBdr>
                    </w:div>
                  </w:divsChild>
                </w:div>
                <w:div w:id="569510329">
                  <w:marLeft w:val="0"/>
                  <w:marRight w:val="0"/>
                  <w:marTop w:val="0"/>
                  <w:marBottom w:val="0"/>
                  <w:divBdr>
                    <w:top w:val="none" w:sz="0" w:space="0" w:color="auto"/>
                    <w:left w:val="none" w:sz="0" w:space="0" w:color="auto"/>
                    <w:bottom w:val="none" w:sz="0" w:space="0" w:color="auto"/>
                    <w:right w:val="none" w:sz="0" w:space="0" w:color="auto"/>
                  </w:divBdr>
                  <w:divsChild>
                    <w:div w:id="2021085394">
                      <w:marLeft w:val="0"/>
                      <w:marRight w:val="0"/>
                      <w:marTop w:val="0"/>
                      <w:marBottom w:val="0"/>
                      <w:divBdr>
                        <w:top w:val="none" w:sz="0" w:space="0" w:color="auto"/>
                        <w:left w:val="none" w:sz="0" w:space="0" w:color="auto"/>
                        <w:bottom w:val="none" w:sz="0" w:space="0" w:color="auto"/>
                        <w:right w:val="none" w:sz="0" w:space="0" w:color="auto"/>
                      </w:divBdr>
                    </w:div>
                  </w:divsChild>
                </w:div>
                <w:div w:id="580484510">
                  <w:marLeft w:val="0"/>
                  <w:marRight w:val="0"/>
                  <w:marTop w:val="0"/>
                  <w:marBottom w:val="0"/>
                  <w:divBdr>
                    <w:top w:val="none" w:sz="0" w:space="0" w:color="auto"/>
                    <w:left w:val="none" w:sz="0" w:space="0" w:color="auto"/>
                    <w:bottom w:val="none" w:sz="0" w:space="0" w:color="auto"/>
                    <w:right w:val="none" w:sz="0" w:space="0" w:color="auto"/>
                  </w:divBdr>
                  <w:divsChild>
                    <w:div w:id="2141608767">
                      <w:marLeft w:val="0"/>
                      <w:marRight w:val="0"/>
                      <w:marTop w:val="0"/>
                      <w:marBottom w:val="0"/>
                      <w:divBdr>
                        <w:top w:val="none" w:sz="0" w:space="0" w:color="auto"/>
                        <w:left w:val="none" w:sz="0" w:space="0" w:color="auto"/>
                        <w:bottom w:val="none" w:sz="0" w:space="0" w:color="auto"/>
                        <w:right w:val="none" w:sz="0" w:space="0" w:color="auto"/>
                      </w:divBdr>
                    </w:div>
                  </w:divsChild>
                </w:div>
                <w:div w:id="590702558">
                  <w:marLeft w:val="0"/>
                  <w:marRight w:val="0"/>
                  <w:marTop w:val="0"/>
                  <w:marBottom w:val="0"/>
                  <w:divBdr>
                    <w:top w:val="none" w:sz="0" w:space="0" w:color="auto"/>
                    <w:left w:val="none" w:sz="0" w:space="0" w:color="auto"/>
                    <w:bottom w:val="none" w:sz="0" w:space="0" w:color="auto"/>
                    <w:right w:val="none" w:sz="0" w:space="0" w:color="auto"/>
                  </w:divBdr>
                  <w:divsChild>
                    <w:div w:id="1427190702">
                      <w:marLeft w:val="0"/>
                      <w:marRight w:val="0"/>
                      <w:marTop w:val="0"/>
                      <w:marBottom w:val="0"/>
                      <w:divBdr>
                        <w:top w:val="none" w:sz="0" w:space="0" w:color="auto"/>
                        <w:left w:val="none" w:sz="0" w:space="0" w:color="auto"/>
                        <w:bottom w:val="none" w:sz="0" w:space="0" w:color="auto"/>
                        <w:right w:val="none" w:sz="0" w:space="0" w:color="auto"/>
                      </w:divBdr>
                    </w:div>
                  </w:divsChild>
                </w:div>
                <w:div w:id="655232600">
                  <w:marLeft w:val="0"/>
                  <w:marRight w:val="0"/>
                  <w:marTop w:val="0"/>
                  <w:marBottom w:val="0"/>
                  <w:divBdr>
                    <w:top w:val="none" w:sz="0" w:space="0" w:color="auto"/>
                    <w:left w:val="none" w:sz="0" w:space="0" w:color="auto"/>
                    <w:bottom w:val="none" w:sz="0" w:space="0" w:color="auto"/>
                    <w:right w:val="none" w:sz="0" w:space="0" w:color="auto"/>
                  </w:divBdr>
                  <w:divsChild>
                    <w:div w:id="1097484150">
                      <w:marLeft w:val="0"/>
                      <w:marRight w:val="0"/>
                      <w:marTop w:val="0"/>
                      <w:marBottom w:val="0"/>
                      <w:divBdr>
                        <w:top w:val="none" w:sz="0" w:space="0" w:color="auto"/>
                        <w:left w:val="none" w:sz="0" w:space="0" w:color="auto"/>
                        <w:bottom w:val="none" w:sz="0" w:space="0" w:color="auto"/>
                        <w:right w:val="none" w:sz="0" w:space="0" w:color="auto"/>
                      </w:divBdr>
                    </w:div>
                  </w:divsChild>
                </w:div>
                <w:div w:id="678701423">
                  <w:marLeft w:val="0"/>
                  <w:marRight w:val="0"/>
                  <w:marTop w:val="0"/>
                  <w:marBottom w:val="0"/>
                  <w:divBdr>
                    <w:top w:val="none" w:sz="0" w:space="0" w:color="auto"/>
                    <w:left w:val="none" w:sz="0" w:space="0" w:color="auto"/>
                    <w:bottom w:val="none" w:sz="0" w:space="0" w:color="auto"/>
                    <w:right w:val="none" w:sz="0" w:space="0" w:color="auto"/>
                  </w:divBdr>
                  <w:divsChild>
                    <w:div w:id="1667129168">
                      <w:marLeft w:val="0"/>
                      <w:marRight w:val="0"/>
                      <w:marTop w:val="0"/>
                      <w:marBottom w:val="0"/>
                      <w:divBdr>
                        <w:top w:val="none" w:sz="0" w:space="0" w:color="auto"/>
                        <w:left w:val="none" w:sz="0" w:space="0" w:color="auto"/>
                        <w:bottom w:val="none" w:sz="0" w:space="0" w:color="auto"/>
                        <w:right w:val="none" w:sz="0" w:space="0" w:color="auto"/>
                      </w:divBdr>
                    </w:div>
                  </w:divsChild>
                </w:div>
                <w:div w:id="753012778">
                  <w:marLeft w:val="0"/>
                  <w:marRight w:val="0"/>
                  <w:marTop w:val="0"/>
                  <w:marBottom w:val="0"/>
                  <w:divBdr>
                    <w:top w:val="none" w:sz="0" w:space="0" w:color="auto"/>
                    <w:left w:val="none" w:sz="0" w:space="0" w:color="auto"/>
                    <w:bottom w:val="none" w:sz="0" w:space="0" w:color="auto"/>
                    <w:right w:val="none" w:sz="0" w:space="0" w:color="auto"/>
                  </w:divBdr>
                  <w:divsChild>
                    <w:div w:id="1591694463">
                      <w:marLeft w:val="0"/>
                      <w:marRight w:val="0"/>
                      <w:marTop w:val="0"/>
                      <w:marBottom w:val="0"/>
                      <w:divBdr>
                        <w:top w:val="none" w:sz="0" w:space="0" w:color="auto"/>
                        <w:left w:val="none" w:sz="0" w:space="0" w:color="auto"/>
                        <w:bottom w:val="none" w:sz="0" w:space="0" w:color="auto"/>
                        <w:right w:val="none" w:sz="0" w:space="0" w:color="auto"/>
                      </w:divBdr>
                    </w:div>
                  </w:divsChild>
                </w:div>
                <w:div w:id="804155009">
                  <w:marLeft w:val="0"/>
                  <w:marRight w:val="0"/>
                  <w:marTop w:val="0"/>
                  <w:marBottom w:val="0"/>
                  <w:divBdr>
                    <w:top w:val="none" w:sz="0" w:space="0" w:color="auto"/>
                    <w:left w:val="none" w:sz="0" w:space="0" w:color="auto"/>
                    <w:bottom w:val="none" w:sz="0" w:space="0" w:color="auto"/>
                    <w:right w:val="none" w:sz="0" w:space="0" w:color="auto"/>
                  </w:divBdr>
                  <w:divsChild>
                    <w:div w:id="934634214">
                      <w:marLeft w:val="0"/>
                      <w:marRight w:val="0"/>
                      <w:marTop w:val="0"/>
                      <w:marBottom w:val="0"/>
                      <w:divBdr>
                        <w:top w:val="none" w:sz="0" w:space="0" w:color="auto"/>
                        <w:left w:val="none" w:sz="0" w:space="0" w:color="auto"/>
                        <w:bottom w:val="none" w:sz="0" w:space="0" w:color="auto"/>
                        <w:right w:val="none" w:sz="0" w:space="0" w:color="auto"/>
                      </w:divBdr>
                    </w:div>
                  </w:divsChild>
                </w:div>
                <w:div w:id="893279299">
                  <w:marLeft w:val="0"/>
                  <w:marRight w:val="0"/>
                  <w:marTop w:val="0"/>
                  <w:marBottom w:val="0"/>
                  <w:divBdr>
                    <w:top w:val="none" w:sz="0" w:space="0" w:color="auto"/>
                    <w:left w:val="none" w:sz="0" w:space="0" w:color="auto"/>
                    <w:bottom w:val="none" w:sz="0" w:space="0" w:color="auto"/>
                    <w:right w:val="none" w:sz="0" w:space="0" w:color="auto"/>
                  </w:divBdr>
                  <w:divsChild>
                    <w:div w:id="1096826829">
                      <w:marLeft w:val="0"/>
                      <w:marRight w:val="0"/>
                      <w:marTop w:val="0"/>
                      <w:marBottom w:val="0"/>
                      <w:divBdr>
                        <w:top w:val="none" w:sz="0" w:space="0" w:color="auto"/>
                        <w:left w:val="none" w:sz="0" w:space="0" w:color="auto"/>
                        <w:bottom w:val="none" w:sz="0" w:space="0" w:color="auto"/>
                        <w:right w:val="none" w:sz="0" w:space="0" w:color="auto"/>
                      </w:divBdr>
                    </w:div>
                  </w:divsChild>
                </w:div>
                <w:div w:id="925264478">
                  <w:marLeft w:val="0"/>
                  <w:marRight w:val="0"/>
                  <w:marTop w:val="0"/>
                  <w:marBottom w:val="0"/>
                  <w:divBdr>
                    <w:top w:val="none" w:sz="0" w:space="0" w:color="auto"/>
                    <w:left w:val="none" w:sz="0" w:space="0" w:color="auto"/>
                    <w:bottom w:val="none" w:sz="0" w:space="0" w:color="auto"/>
                    <w:right w:val="none" w:sz="0" w:space="0" w:color="auto"/>
                  </w:divBdr>
                  <w:divsChild>
                    <w:div w:id="1352688325">
                      <w:marLeft w:val="0"/>
                      <w:marRight w:val="0"/>
                      <w:marTop w:val="0"/>
                      <w:marBottom w:val="0"/>
                      <w:divBdr>
                        <w:top w:val="none" w:sz="0" w:space="0" w:color="auto"/>
                        <w:left w:val="none" w:sz="0" w:space="0" w:color="auto"/>
                        <w:bottom w:val="none" w:sz="0" w:space="0" w:color="auto"/>
                        <w:right w:val="none" w:sz="0" w:space="0" w:color="auto"/>
                      </w:divBdr>
                    </w:div>
                  </w:divsChild>
                </w:div>
                <w:div w:id="1029798035">
                  <w:marLeft w:val="0"/>
                  <w:marRight w:val="0"/>
                  <w:marTop w:val="0"/>
                  <w:marBottom w:val="0"/>
                  <w:divBdr>
                    <w:top w:val="none" w:sz="0" w:space="0" w:color="auto"/>
                    <w:left w:val="none" w:sz="0" w:space="0" w:color="auto"/>
                    <w:bottom w:val="none" w:sz="0" w:space="0" w:color="auto"/>
                    <w:right w:val="none" w:sz="0" w:space="0" w:color="auto"/>
                  </w:divBdr>
                  <w:divsChild>
                    <w:div w:id="2146653985">
                      <w:marLeft w:val="0"/>
                      <w:marRight w:val="0"/>
                      <w:marTop w:val="0"/>
                      <w:marBottom w:val="0"/>
                      <w:divBdr>
                        <w:top w:val="none" w:sz="0" w:space="0" w:color="auto"/>
                        <w:left w:val="none" w:sz="0" w:space="0" w:color="auto"/>
                        <w:bottom w:val="none" w:sz="0" w:space="0" w:color="auto"/>
                        <w:right w:val="none" w:sz="0" w:space="0" w:color="auto"/>
                      </w:divBdr>
                    </w:div>
                  </w:divsChild>
                </w:div>
                <w:div w:id="1112632489">
                  <w:marLeft w:val="0"/>
                  <w:marRight w:val="0"/>
                  <w:marTop w:val="0"/>
                  <w:marBottom w:val="0"/>
                  <w:divBdr>
                    <w:top w:val="none" w:sz="0" w:space="0" w:color="auto"/>
                    <w:left w:val="none" w:sz="0" w:space="0" w:color="auto"/>
                    <w:bottom w:val="none" w:sz="0" w:space="0" w:color="auto"/>
                    <w:right w:val="none" w:sz="0" w:space="0" w:color="auto"/>
                  </w:divBdr>
                  <w:divsChild>
                    <w:div w:id="1400982658">
                      <w:marLeft w:val="0"/>
                      <w:marRight w:val="0"/>
                      <w:marTop w:val="0"/>
                      <w:marBottom w:val="0"/>
                      <w:divBdr>
                        <w:top w:val="none" w:sz="0" w:space="0" w:color="auto"/>
                        <w:left w:val="none" w:sz="0" w:space="0" w:color="auto"/>
                        <w:bottom w:val="none" w:sz="0" w:space="0" w:color="auto"/>
                        <w:right w:val="none" w:sz="0" w:space="0" w:color="auto"/>
                      </w:divBdr>
                    </w:div>
                  </w:divsChild>
                </w:div>
                <w:div w:id="1144852446">
                  <w:marLeft w:val="0"/>
                  <w:marRight w:val="0"/>
                  <w:marTop w:val="0"/>
                  <w:marBottom w:val="0"/>
                  <w:divBdr>
                    <w:top w:val="none" w:sz="0" w:space="0" w:color="auto"/>
                    <w:left w:val="none" w:sz="0" w:space="0" w:color="auto"/>
                    <w:bottom w:val="none" w:sz="0" w:space="0" w:color="auto"/>
                    <w:right w:val="none" w:sz="0" w:space="0" w:color="auto"/>
                  </w:divBdr>
                  <w:divsChild>
                    <w:div w:id="147675004">
                      <w:marLeft w:val="0"/>
                      <w:marRight w:val="0"/>
                      <w:marTop w:val="0"/>
                      <w:marBottom w:val="0"/>
                      <w:divBdr>
                        <w:top w:val="none" w:sz="0" w:space="0" w:color="auto"/>
                        <w:left w:val="none" w:sz="0" w:space="0" w:color="auto"/>
                        <w:bottom w:val="none" w:sz="0" w:space="0" w:color="auto"/>
                        <w:right w:val="none" w:sz="0" w:space="0" w:color="auto"/>
                      </w:divBdr>
                    </w:div>
                  </w:divsChild>
                </w:div>
                <w:div w:id="1339695871">
                  <w:marLeft w:val="0"/>
                  <w:marRight w:val="0"/>
                  <w:marTop w:val="0"/>
                  <w:marBottom w:val="0"/>
                  <w:divBdr>
                    <w:top w:val="none" w:sz="0" w:space="0" w:color="auto"/>
                    <w:left w:val="none" w:sz="0" w:space="0" w:color="auto"/>
                    <w:bottom w:val="none" w:sz="0" w:space="0" w:color="auto"/>
                    <w:right w:val="none" w:sz="0" w:space="0" w:color="auto"/>
                  </w:divBdr>
                  <w:divsChild>
                    <w:div w:id="1133328780">
                      <w:marLeft w:val="0"/>
                      <w:marRight w:val="0"/>
                      <w:marTop w:val="0"/>
                      <w:marBottom w:val="0"/>
                      <w:divBdr>
                        <w:top w:val="none" w:sz="0" w:space="0" w:color="auto"/>
                        <w:left w:val="none" w:sz="0" w:space="0" w:color="auto"/>
                        <w:bottom w:val="none" w:sz="0" w:space="0" w:color="auto"/>
                        <w:right w:val="none" w:sz="0" w:space="0" w:color="auto"/>
                      </w:divBdr>
                    </w:div>
                  </w:divsChild>
                </w:div>
                <w:div w:id="1349915094">
                  <w:marLeft w:val="0"/>
                  <w:marRight w:val="0"/>
                  <w:marTop w:val="0"/>
                  <w:marBottom w:val="0"/>
                  <w:divBdr>
                    <w:top w:val="none" w:sz="0" w:space="0" w:color="auto"/>
                    <w:left w:val="none" w:sz="0" w:space="0" w:color="auto"/>
                    <w:bottom w:val="none" w:sz="0" w:space="0" w:color="auto"/>
                    <w:right w:val="none" w:sz="0" w:space="0" w:color="auto"/>
                  </w:divBdr>
                  <w:divsChild>
                    <w:div w:id="1691302047">
                      <w:marLeft w:val="0"/>
                      <w:marRight w:val="0"/>
                      <w:marTop w:val="0"/>
                      <w:marBottom w:val="0"/>
                      <w:divBdr>
                        <w:top w:val="none" w:sz="0" w:space="0" w:color="auto"/>
                        <w:left w:val="none" w:sz="0" w:space="0" w:color="auto"/>
                        <w:bottom w:val="none" w:sz="0" w:space="0" w:color="auto"/>
                        <w:right w:val="none" w:sz="0" w:space="0" w:color="auto"/>
                      </w:divBdr>
                    </w:div>
                  </w:divsChild>
                </w:div>
                <w:div w:id="1350183956">
                  <w:marLeft w:val="0"/>
                  <w:marRight w:val="0"/>
                  <w:marTop w:val="0"/>
                  <w:marBottom w:val="0"/>
                  <w:divBdr>
                    <w:top w:val="none" w:sz="0" w:space="0" w:color="auto"/>
                    <w:left w:val="none" w:sz="0" w:space="0" w:color="auto"/>
                    <w:bottom w:val="none" w:sz="0" w:space="0" w:color="auto"/>
                    <w:right w:val="none" w:sz="0" w:space="0" w:color="auto"/>
                  </w:divBdr>
                  <w:divsChild>
                    <w:div w:id="222301160">
                      <w:marLeft w:val="0"/>
                      <w:marRight w:val="0"/>
                      <w:marTop w:val="0"/>
                      <w:marBottom w:val="0"/>
                      <w:divBdr>
                        <w:top w:val="none" w:sz="0" w:space="0" w:color="auto"/>
                        <w:left w:val="none" w:sz="0" w:space="0" w:color="auto"/>
                        <w:bottom w:val="none" w:sz="0" w:space="0" w:color="auto"/>
                        <w:right w:val="none" w:sz="0" w:space="0" w:color="auto"/>
                      </w:divBdr>
                    </w:div>
                  </w:divsChild>
                </w:div>
                <w:div w:id="1411925993">
                  <w:marLeft w:val="0"/>
                  <w:marRight w:val="0"/>
                  <w:marTop w:val="0"/>
                  <w:marBottom w:val="0"/>
                  <w:divBdr>
                    <w:top w:val="none" w:sz="0" w:space="0" w:color="auto"/>
                    <w:left w:val="none" w:sz="0" w:space="0" w:color="auto"/>
                    <w:bottom w:val="none" w:sz="0" w:space="0" w:color="auto"/>
                    <w:right w:val="none" w:sz="0" w:space="0" w:color="auto"/>
                  </w:divBdr>
                  <w:divsChild>
                    <w:div w:id="424037140">
                      <w:marLeft w:val="0"/>
                      <w:marRight w:val="0"/>
                      <w:marTop w:val="0"/>
                      <w:marBottom w:val="0"/>
                      <w:divBdr>
                        <w:top w:val="none" w:sz="0" w:space="0" w:color="auto"/>
                        <w:left w:val="none" w:sz="0" w:space="0" w:color="auto"/>
                        <w:bottom w:val="none" w:sz="0" w:space="0" w:color="auto"/>
                        <w:right w:val="none" w:sz="0" w:space="0" w:color="auto"/>
                      </w:divBdr>
                    </w:div>
                  </w:divsChild>
                </w:div>
                <w:div w:id="1434012109">
                  <w:marLeft w:val="0"/>
                  <w:marRight w:val="0"/>
                  <w:marTop w:val="0"/>
                  <w:marBottom w:val="0"/>
                  <w:divBdr>
                    <w:top w:val="none" w:sz="0" w:space="0" w:color="auto"/>
                    <w:left w:val="none" w:sz="0" w:space="0" w:color="auto"/>
                    <w:bottom w:val="none" w:sz="0" w:space="0" w:color="auto"/>
                    <w:right w:val="none" w:sz="0" w:space="0" w:color="auto"/>
                  </w:divBdr>
                  <w:divsChild>
                    <w:div w:id="717126447">
                      <w:marLeft w:val="0"/>
                      <w:marRight w:val="0"/>
                      <w:marTop w:val="0"/>
                      <w:marBottom w:val="0"/>
                      <w:divBdr>
                        <w:top w:val="none" w:sz="0" w:space="0" w:color="auto"/>
                        <w:left w:val="none" w:sz="0" w:space="0" w:color="auto"/>
                        <w:bottom w:val="none" w:sz="0" w:space="0" w:color="auto"/>
                        <w:right w:val="none" w:sz="0" w:space="0" w:color="auto"/>
                      </w:divBdr>
                    </w:div>
                  </w:divsChild>
                </w:div>
                <w:div w:id="1459951833">
                  <w:marLeft w:val="0"/>
                  <w:marRight w:val="0"/>
                  <w:marTop w:val="0"/>
                  <w:marBottom w:val="0"/>
                  <w:divBdr>
                    <w:top w:val="none" w:sz="0" w:space="0" w:color="auto"/>
                    <w:left w:val="none" w:sz="0" w:space="0" w:color="auto"/>
                    <w:bottom w:val="none" w:sz="0" w:space="0" w:color="auto"/>
                    <w:right w:val="none" w:sz="0" w:space="0" w:color="auto"/>
                  </w:divBdr>
                  <w:divsChild>
                    <w:div w:id="661079424">
                      <w:marLeft w:val="0"/>
                      <w:marRight w:val="0"/>
                      <w:marTop w:val="0"/>
                      <w:marBottom w:val="0"/>
                      <w:divBdr>
                        <w:top w:val="none" w:sz="0" w:space="0" w:color="auto"/>
                        <w:left w:val="none" w:sz="0" w:space="0" w:color="auto"/>
                        <w:bottom w:val="none" w:sz="0" w:space="0" w:color="auto"/>
                        <w:right w:val="none" w:sz="0" w:space="0" w:color="auto"/>
                      </w:divBdr>
                    </w:div>
                  </w:divsChild>
                </w:div>
                <w:div w:id="1474591728">
                  <w:marLeft w:val="0"/>
                  <w:marRight w:val="0"/>
                  <w:marTop w:val="0"/>
                  <w:marBottom w:val="0"/>
                  <w:divBdr>
                    <w:top w:val="none" w:sz="0" w:space="0" w:color="auto"/>
                    <w:left w:val="none" w:sz="0" w:space="0" w:color="auto"/>
                    <w:bottom w:val="none" w:sz="0" w:space="0" w:color="auto"/>
                    <w:right w:val="none" w:sz="0" w:space="0" w:color="auto"/>
                  </w:divBdr>
                  <w:divsChild>
                    <w:div w:id="393550885">
                      <w:marLeft w:val="0"/>
                      <w:marRight w:val="0"/>
                      <w:marTop w:val="0"/>
                      <w:marBottom w:val="0"/>
                      <w:divBdr>
                        <w:top w:val="none" w:sz="0" w:space="0" w:color="auto"/>
                        <w:left w:val="none" w:sz="0" w:space="0" w:color="auto"/>
                        <w:bottom w:val="none" w:sz="0" w:space="0" w:color="auto"/>
                        <w:right w:val="none" w:sz="0" w:space="0" w:color="auto"/>
                      </w:divBdr>
                    </w:div>
                  </w:divsChild>
                </w:div>
                <w:div w:id="1543132036">
                  <w:marLeft w:val="0"/>
                  <w:marRight w:val="0"/>
                  <w:marTop w:val="0"/>
                  <w:marBottom w:val="0"/>
                  <w:divBdr>
                    <w:top w:val="none" w:sz="0" w:space="0" w:color="auto"/>
                    <w:left w:val="none" w:sz="0" w:space="0" w:color="auto"/>
                    <w:bottom w:val="none" w:sz="0" w:space="0" w:color="auto"/>
                    <w:right w:val="none" w:sz="0" w:space="0" w:color="auto"/>
                  </w:divBdr>
                  <w:divsChild>
                    <w:div w:id="361828789">
                      <w:marLeft w:val="0"/>
                      <w:marRight w:val="0"/>
                      <w:marTop w:val="0"/>
                      <w:marBottom w:val="0"/>
                      <w:divBdr>
                        <w:top w:val="none" w:sz="0" w:space="0" w:color="auto"/>
                        <w:left w:val="none" w:sz="0" w:space="0" w:color="auto"/>
                        <w:bottom w:val="none" w:sz="0" w:space="0" w:color="auto"/>
                        <w:right w:val="none" w:sz="0" w:space="0" w:color="auto"/>
                      </w:divBdr>
                    </w:div>
                  </w:divsChild>
                </w:div>
                <w:div w:id="1706322832">
                  <w:marLeft w:val="0"/>
                  <w:marRight w:val="0"/>
                  <w:marTop w:val="0"/>
                  <w:marBottom w:val="0"/>
                  <w:divBdr>
                    <w:top w:val="none" w:sz="0" w:space="0" w:color="auto"/>
                    <w:left w:val="none" w:sz="0" w:space="0" w:color="auto"/>
                    <w:bottom w:val="none" w:sz="0" w:space="0" w:color="auto"/>
                    <w:right w:val="none" w:sz="0" w:space="0" w:color="auto"/>
                  </w:divBdr>
                  <w:divsChild>
                    <w:div w:id="1671253143">
                      <w:marLeft w:val="0"/>
                      <w:marRight w:val="0"/>
                      <w:marTop w:val="0"/>
                      <w:marBottom w:val="0"/>
                      <w:divBdr>
                        <w:top w:val="none" w:sz="0" w:space="0" w:color="auto"/>
                        <w:left w:val="none" w:sz="0" w:space="0" w:color="auto"/>
                        <w:bottom w:val="none" w:sz="0" w:space="0" w:color="auto"/>
                        <w:right w:val="none" w:sz="0" w:space="0" w:color="auto"/>
                      </w:divBdr>
                    </w:div>
                  </w:divsChild>
                </w:div>
                <w:div w:id="1753888008">
                  <w:marLeft w:val="0"/>
                  <w:marRight w:val="0"/>
                  <w:marTop w:val="0"/>
                  <w:marBottom w:val="0"/>
                  <w:divBdr>
                    <w:top w:val="none" w:sz="0" w:space="0" w:color="auto"/>
                    <w:left w:val="none" w:sz="0" w:space="0" w:color="auto"/>
                    <w:bottom w:val="none" w:sz="0" w:space="0" w:color="auto"/>
                    <w:right w:val="none" w:sz="0" w:space="0" w:color="auto"/>
                  </w:divBdr>
                  <w:divsChild>
                    <w:div w:id="1084258408">
                      <w:marLeft w:val="0"/>
                      <w:marRight w:val="0"/>
                      <w:marTop w:val="0"/>
                      <w:marBottom w:val="0"/>
                      <w:divBdr>
                        <w:top w:val="none" w:sz="0" w:space="0" w:color="auto"/>
                        <w:left w:val="none" w:sz="0" w:space="0" w:color="auto"/>
                        <w:bottom w:val="none" w:sz="0" w:space="0" w:color="auto"/>
                        <w:right w:val="none" w:sz="0" w:space="0" w:color="auto"/>
                      </w:divBdr>
                    </w:div>
                  </w:divsChild>
                </w:div>
                <w:div w:id="1822037576">
                  <w:marLeft w:val="0"/>
                  <w:marRight w:val="0"/>
                  <w:marTop w:val="0"/>
                  <w:marBottom w:val="0"/>
                  <w:divBdr>
                    <w:top w:val="none" w:sz="0" w:space="0" w:color="auto"/>
                    <w:left w:val="none" w:sz="0" w:space="0" w:color="auto"/>
                    <w:bottom w:val="none" w:sz="0" w:space="0" w:color="auto"/>
                    <w:right w:val="none" w:sz="0" w:space="0" w:color="auto"/>
                  </w:divBdr>
                  <w:divsChild>
                    <w:div w:id="532306890">
                      <w:marLeft w:val="0"/>
                      <w:marRight w:val="0"/>
                      <w:marTop w:val="0"/>
                      <w:marBottom w:val="0"/>
                      <w:divBdr>
                        <w:top w:val="none" w:sz="0" w:space="0" w:color="auto"/>
                        <w:left w:val="none" w:sz="0" w:space="0" w:color="auto"/>
                        <w:bottom w:val="none" w:sz="0" w:space="0" w:color="auto"/>
                        <w:right w:val="none" w:sz="0" w:space="0" w:color="auto"/>
                      </w:divBdr>
                    </w:div>
                  </w:divsChild>
                </w:div>
                <w:div w:id="1895005122">
                  <w:marLeft w:val="0"/>
                  <w:marRight w:val="0"/>
                  <w:marTop w:val="0"/>
                  <w:marBottom w:val="0"/>
                  <w:divBdr>
                    <w:top w:val="none" w:sz="0" w:space="0" w:color="auto"/>
                    <w:left w:val="none" w:sz="0" w:space="0" w:color="auto"/>
                    <w:bottom w:val="none" w:sz="0" w:space="0" w:color="auto"/>
                    <w:right w:val="none" w:sz="0" w:space="0" w:color="auto"/>
                  </w:divBdr>
                  <w:divsChild>
                    <w:div w:id="599604771">
                      <w:marLeft w:val="0"/>
                      <w:marRight w:val="0"/>
                      <w:marTop w:val="0"/>
                      <w:marBottom w:val="0"/>
                      <w:divBdr>
                        <w:top w:val="none" w:sz="0" w:space="0" w:color="auto"/>
                        <w:left w:val="none" w:sz="0" w:space="0" w:color="auto"/>
                        <w:bottom w:val="none" w:sz="0" w:space="0" w:color="auto"/>
                        <w:right w:val="none" w:sz="0" w:space="0" w:color="auto"/>
                      </w:divBdr>
                    </w:div>
                  </w:divsChild>
                </w:div>
                <w:div w:id="1920476605">
                  <w:marLeft w:val="0"/>
                  <w:marRight w:val="0"/>
                  <w:marTop w:val="0"/>
                  <w:marBottom w:val="0"/>
                  <w:divBdr>
                    <w:top w:val="none" w:sz="0" w:space="0" w:color="auto"/>
                    <w:left w:val="none" w:sz="0" w:space="0" w:color="auto"/>
                    <w:bottom w:val="none" w:sz="0" w:space="0" w:color="auto"/>
                    <w:right w:val="none" w:sz="0" w:space="0" w:color="auto"/>
                  </w:divBdr>
                  <w:divsChild>
                    <w:div w:id="935289479">
                      <w:marLeft w:val="0"/>
                      <w:marRight w:val="0"/>
                      <w:marTop w:val="0"/>
                      <w:marBottom w:val="0"/>
                      <w:divBdr>
                        <w:top w:val="none" w:sz="0" w:space="0" w:color="auto"/>
                        <w:left w:val="none" w:sz="0" w:space="0" w:color="auto"/>
                        <w:bottom w:val="none" w:sz="0" w:space="0" w:color="auto"/>
                        <w:right w:val="none" w:sz="0" w:space="0" w:color="auto"/>
                      </w:divBdr>
                    </w:div>
                  </w:divsChild>
                </w:div>
                <w:div w:id="2004965083">
                  <w:marLeft w:val="0"/>
                  <w:marRight w:val="0"/>
                  <w:marTop w:val="0"/>
                  <w:marBottom w:val="0"/>
                  <w:divBdr>
                    <w:top w:val="none" w:sz="0" w:space="0" w:color="auto"/>
                    <w:left w:val="none" w:sz="0" w:space="0" w:color="auto"/>
                    <w:bottom w:val="none" w:sz="0" w:space="0" w:color="auto"/>
                    <w:right w:val="none" w:sz="0" w:space="0" w:color="auto"/>
                  </w:divBdr>
                  <w:divsChild>
                    <w:div w:id="1531532774">
                      <w:marLeft w:val="0"/>
                      <w:marRight w:val="0"/>
                      <w:marTop w:val="0"/>
                      <w:marBottom w:val="0"/>
                      <w:divBdr>
                        <w:top w:val="none" w:sz="0" w:space="0" w:color="auto"/>
                        <w:left w:val="none" w:sz="0" w:space="0" w:color="auto"/>
                        <w:bottom w:val="none" w:sz="0" w:space="0" w:color="auto"/>
                        <w:right w:val="none" w:sz="0" w:space="0" w:color="auto"/>
                      </w:divBdr>
                    </w:div>
                  </w:divsChild>
                </w:div>
                <w:div w:id="2104180288">
                  <w:marLeft w:val="0"/>
                  <w:marRight w:val="0"/>
                  <w:marTop w:val="0"/>
                  <w:marBottom w:val="0"/>
                  <w:divBdr>
                    <w:top w:val="none" w:sz="0" w:space="0" w:color="auto"/>
                    <w:left w:val="none" w:sz="0" w:space="0" w:color="auto"/>
                    <w:bottom w:val="none" w:sz="0" w:space="0" w:color="auto"/>
                    <w:right w:val="none" w:sz="0" w:space="0" w:color="auto"/>
                  </w:divBdr>
                  <w:divsChild>
                    <w:div w:id="1113017226">
                      <w:marLeft w:val="0"/>
                      <w:marRight w:val="0"/>
                      <w:marTop w:val="0"/>
                      <w:marBottom w:val="0"/>
                      <w:divBdr>
                        <w:top w:val="none" w:sz="0" w:space="0" w:color="auto"/>
                        <w:left w:val="none" w:sz="0" w:space="0" w:color="auto"/>
                        <w:bottom w:val="none" w:sz="0" w:space="0" w:color="auto"/>
                        <w:right w:val="none" w:sz="0" w:space="0" w:color="auto"/>
                      </w:divBdr>
                    </w:div>
                  </w:divsChild>
                </w:div>
                <w:div w:id="2114667291">
                  <w:marLeft w:val="0"/>
                  <w:marRight w:val="0"/>
                  <w:marTop w:val="0"/>
                  <w:marBottom w:val="0"/>
                  <w:divBdr>
                    <w:top w:val="none" w:sz="0" w:space="0" w:color="auto"/>
                    <w:left w:val="none" w:sz="0" w:space="0" w:color="auto"/>
                    <w:bottom w:val="none" w:sz="0" w:space="0" w:color="auto"/>
                    <w:right w:val="none" w:sz="0" w:space="0" w:color="auto"/>
                  </w:divBdr>
                  <w:divsChild>
                    <w:div w:id="1445269408">
                      <w:marLeft w:val="0"/>
                      <w:marRight w:val="0"/>
                      <w:marTop w:val="0"/>
                      <w:marBottom w:val="0"/>
                      <w:divBdr>
                        <w:top w:val="none" w:sz="0" w:space="0" w:color="auto"/>
                        <w:left w:val="none" w:sz="0" w:space="0" w:color="auto"/>
                        <w:bottom w:val="none" w:sz="0" w:space="0" w:color="auto"/>
                        <w:right w:val="none" w:sz="0" w:space="0" w:color="auto"/>
                      </w:divBdr>
                    </w:div>
                  </w:divsChild>
                </w:div>
                <w:div w:id="2125223377">
                  <w:marLeft w:val="0"/>
                  <w:marRight w:val="0"/>
                  <w:marTop w:val="0"/>
                  <w:marBottom w:val="0"/>
                  <w:divBdr>
                    <w:top w:val="none" w:sz="0" w:space="0" w:color="auto"/>
                    <w:left w:val="none" w:sz="0" w:space="0" w:color="auto"/>
                    <w:bottom w:val="none" w:sz="0" w:space="0" w:color="auto"/>
                    <w:right w:val="none" w:sz="0" w:space="0" w:color="auto"/>
                  </w:divBdr>
                  <w:divsChild>
                    <w:div w:id="19841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016363">
      <w:bodyDiv w:val="1"/>
      <w:marLeft w:val="0"/>
      <w:marRight w:val="0"/>
      <w:marTop w:val="0"/>
      <w:marBottom w:val="0"/>
      <w:divBdr>
        <w:top w:val="none" w:sz="0" w:space="0" w:color="auto"/>
        <w:left w:val="none" w:sz="0" w:space="0" w:color="auto"/>
        <w:bottom w:val="none" w:sz="0" w:space="0" w:color="auto"/>
        <w:right w:val="none" w:sz="0" w:space="0" w:color="auto"/>
      </w:divBdr>
    </w:div>
    <w:div w:id="1115365054">
      <w:bodyDiv w:val="1"/>
      <w:marLeft w:val="0"/>
      <w:marRight w:val="0"/>
      <w:marTop w:val="0"/>
      <w:marBottom w:val="0"/>
      <w:divBdr>
        <w:top w:val="none" w:sz="0" w:space="0" w:color="auto"/>
        <w:left w:val="none" w:sz="0" w:space="0" w:color="auto"/>
        <w:bottom w:val="none" w:sz="0" w:space="0" w:color="auto"/>
        <w:right w:val="none" w:sz="0" w:space="0" w:color="auto"/>
      </w:divBdr>
    </w:div>
    <w:div w:id="1115369173">
      <w:bodyDiv w:val="1"/>
      <w:marLeft w:val="0"/>
      <w:marRight w:val="0"/>
      <w:marTop w:val="0"/>
      <w:marBottom w:val="0"/>
      <w:divBdr>
        <w:top w:val="none" w:sz="0" w:space="0" w:color="auto"/>
        <w:left w:val="none" w:sz="0" w:space="0" w:color="auto"/>
        <w:bottom w:val="none" w:sz="0" w:space="0" w:color="auto"/>
        <w:right w:val="none" w:sz="0" w:space="0" w:color="auto"/>
      </w:divBdr>
      <w:divsChild>
        <w:div w:id="48313152">
          <w:marLeft w:val="0"/>
          <w:marRight w:val="0"/>
          <w:marTop w:val="0"/>
          <w:marBottom w:val="0"/>
          <w:divBdr>
            <w:top w:val="none" w:sz="0" w:space="0" w:color="auto"/>
            <w:left w:val="none" w:sz="0" w:space="0" w:color="auto"/>
            <w:bottom w:val="none" w:sz="0" w:space="0" w:color="auto"/>
            <w:right w:val="none" w:sz="0" w:space="0" w:color="auto"/>
          </w:divBdr>
        </w:div>
        <w:div w:id="53044228">
          <w:marLeft w:val="0"/>
          <w:marRight w:val="0"/>
          <w:marTop w:val="0"/>
          <w:marBottom w:val="0"/>
          <w:divBdr>
            <w:top w:val="none" w:sz="0" w:space="0" w:color="auto"/>
            <w:left w:val="none" w:sz="0" w:space="0" w:color="auto"/>
            <w:bottom w:val="none" w:sz="0" w:space="0" w:color="auto"/>
            <w:right w:val="none" w:sz="0" w:space="0" w:color="auto"/>
          </w:divBdr>
          <w:divsChild>
            <w:div w:id="56586941">
              <w:marLeft w:val="0"/>
              <w:marRight w:val="0"/>
              <w:marTop w:val="0"/>
              <w:marBottom w:val="0"/>
              <w:divBdr>
                <w:top w:val="none" w:sz="0" w:space="0" w:color="auto"/>
                <w:left w:val="none" w:sz="0" w:space="0" w:color="auto"/>
                <w:bottom w:val="none" w:sz="0" w:space="0" w:color="auto"/>
                <w:right w:val="none" w:sz="0" w:space="0" w:color="auto"/>
              </w:divBdr>
            </w:div>
            <w:div w:id="536698587">
              <w:marLeft w:val="0"/>
              <w:marRight w:val="0"/>
              <w:marTop w:val="0"/>
              <w:marBottom w:val="0"/>
              <w:divBdr>
                <w:top w:val="none" w:sz="0" w:space="0" w:color="auto"/>
                <w:left w:val="none" w:sz="0" w:space="0" w:color="auto"/>
                <w:bottom w:val="none" w:sz="0" w:space="0" w:color="auto"/>
                <w:right w:val="none" w:sz="0" w:space="0" w:color="auto"/>
              </w:divBdr>
            </w:div>
            <w:div w:id="572544215">
              <w:marLeft w:val="0"/>
              <w:marRight w:val="0"/>
              <w:marTop w:val="0"/>
              <w:marBottom w:val="0"/>
              <w:divBdr>
                <w:top w:val="none" w:sz="0" w:space="0" w:color="auto"/>
                <w:left w:val="none" w:sz="0" w:space="0" w:color="auto"/>
                <w:bottom w:val="none" w:sz="0" w:space="0" w:color="auto"/>
                <w:right w:val="none" w:sz="0" w:space="0" w:color="auto"/>
              </w:divBdr>
            </w:div>
            <w:div w:id="617376026">
              <w:marLeft w:val="0"/>
              <w:marRight w:val="0"/>
              <w:marTop w:val="0"/>
              <w:marBottom w:val="0"/>
              <w:divBdr>
                <w:top w:val="none" w:sz="0" w:space="0" w:color="auto"/>
                <w:left w:val="none" w:sz="0" w:space="0" w:color="auto"/>
                <w:bottom w:val="none" w:sz="0" w:space="0" w:color="auto"/>
                <w:right w:val="none" w:sz="0" w:space="0" w:color="auto"/>
              </w:divBdr>
            </w:div>
            <w:div w:id="706367771">
              <w:marLeft w:val="0"/>
              <w:marRight w:val="0"/>
              <w:marTop w:val="0"/>
              <w:marBottom w:val="0"/>
              <w:divBdr>
                <w:top w:val="none" w:sz="0" w:space="0" w:color="auto"/>
                <w:left w:val="none" w:sz="0" w:space="0" w:color="auto"/>
                <w:bottom w:val="none" w:sz="0" w:space="0" w:color="auto"/>
                <w:right w:val="none" w:sz="0" w:space="0" w:color="auto"/>
              </w:divBdr>
            </w:div>
            <w:div w:id="732659129">
              <w:marLeft w:val="0"/>
              <w:marRight w:val="0"/>
              <w:marTop w:val="0"/>
              <w:marBottom w:val="0"/>
              <w:divBdr>
                <w:top w:val="none" w:sz="0" w:space="0" w:color="auto"/>
                <w:left w:val="none" w:sz="0" w:space="0" w:color="auto"/>
                <w:bottom w:val="none" w:sz="0" w:space="0" w:color="auto"/>
                <w:right w:val="none" w:sz="0" w:space="0" w:color="auto"/>
              </w:divBdr>
            </w:div>
            <w:div w:id="791481205">
              <w:marLeft w:val="0"/>
              <w:marRight w:val="0"/>
              <w:marTop w:val="0"/>
              <w:marBottom w:val="0"/>
              <w:divBdr>
                <w:top w:val="none" w:sz="0" w:space="0" w:color="auto"/>
                <w:left w:val="none" w:sz="0" w:space="0" w:color="auto"/>
                <w:bottom w:val="none" w:sz="0" w:space="0" w:color="auto"/>
                <w:right w:val="none" w:sz="0" w:space="0" w:color="auto"/>
              </w:divBdr>
            </w:div>
            <w:div w:id="857355641">
              <w:marLeft w:val="0"/>
              <w:marRight w:val="0"/>
              <w:marTop w:val="0"/>
              <w:marBottom w:val="0"/>
              <w:divBdr>
                <w:top w:val="none" w:sz="0" w:space="0" w:color="auto"/>
                <w:left w:val="none" w:sz="0" w:space="0" w:color="auto"/>
                <w:bottom w:val="none" w:sz="0" w:space="0" w:color="auto"/>
                <w:right w:val="none" w:sz="0" w:space="0" w:color="auto"/>
              </w:divBdr>
            </w:div>
            <w:div w:id="1040282638">
              <w:marLeft w:val="0"/>
              <w:marRight w:val="0"/>
              <w:marTop w:val="0"/>
              <w:marBottom w:val="0"/>
              <w:divBdr>
                <w:top w:val="none" w:sz="0" w:space="0" w:color="auto"/>
                <w:left w:val="none" w:sz="0" w:space="0" w:color="auto"/>
                <w:bottom w:val="none" w:sz="0" w:space="0" w:color="auto"/>
                <w:right w:val="none" w:sz="0" w:space="0" w:color="auto"/>
              </w:divBdr>
            </w:div>
            <w:div w:id="1105227967">
              <w:marLeft w:val="0"/>
              <w:marRight w:val="0"/>
              <w:marTop w:val="0"/>
              <w:marBottom w:val="0"/>
              <w:divBdr>
                <w:top w:val="none" w:sz="0" w:space="0" w:color="auto"/>
                <w:left w:val="none" w:sz="0" w:space="0" w:color="auto"/>
                <w:bottom w:val="none" w:sz="0" w:space="0" w:color="auto"/>
                <w:right w:val="none" w:sz="0" w:space="0" w:color="auto"/>
              </w:divBdr>
            </w:div>
            <w:div w:id="1195997331">
              <w:marLeft w:val="0"/>
              <w:marRight w:val="0"/>
              <w:marTop w:val="0"/>
              <w:marBottom w:val="0"/>
              <w:divBdr>
                <w:top w:val="none" w:sz="0" w:space="0" w:color="auto"/>
                <w:left w:val="none" w:sz="0" w:space="0" w:color="auto"/>
                <w:bottom w:val="none" w:sz="0" w:space="0" w:color="auto"/>
                <w:right w:val="none" w:sz="0" w:space="0" w:color="auto"/>
              </w:divBdr>
            </w:div>
            <w:div w:id="1255628306">
              <w:marLeft w:val="0"/>
              <w:marRight w:val="0"/>
              <w:marTop w:val="0"/>
              <w:marBottom w:val="0"/>
              <w:divBdr>
                <w:top w:val="none" w:sz="0" w:space="0" w:color="auto"/>
                <w:left w:val="none" w:sz="0" w:space="0" w:color="auto"/>
                <w:bottom w:val="none" w:sz="0" w:space="0" w:color="auto"/>
                <w:right w:val="none" w:sz="0" w:space="0" w:color="auto"/>
              </w:divBdr>
            </w:div>
            <w:div w:id="1360549923">
              <w:marLeft w:val="0"/>
              <w:marRight w:val="0"/>
              <w:marTop w:val="0"/>
              <w:marBottom w:val="0"/>
              <w:divBdr>
                <w:top w:val="none" w:sz="0" w:space="0" w:color="auto"/>
                <w:left w:val="none" w:sz="0" w:space="0" w:color="auto"/>
                <w:bottom w:val="none" w:sz="0" w:space="0" w:color="auto"/>
                <w:right w:val="none" w:sz="0" w:space="0" w:color="auto"/>
              </w:divBdr>
            </w:div>
            <w:div w:id="1612055439">
              <w:marLeft w:val="0"/>
              <w:marRight w:val="0"/>
              <w:marTop w:val="0"/>
              <w:marBottom w:val="0"/>
              <w:divBdr>
                <w:top w:val="none" w:sz="0" w:space="0" w:color="auto"/>
                <w:left w:val="none" w:sz="0" w:space="0" w:color="auto"/>
                <w:bottom w:val="none" w:sz="0" w:space="0" w:color="auto"/>
                <w:right w:val="none" w:sz="0" w:space="0" w:color="auto"/>
              </w:divBdr>
            </w:div>
            <w:div w:id="1616982053">
              <w:marLeft w:val="0"/>
              <w:marRight w:val="0"/>
              <w:marTop w:val="0"/>
              <w:marBottom w:val="0"/>
              <w:divBdr>
                <w:top w:val="none" w:sz="0" w:space="0" w:color="auto"/>
                <w:left w:val="none" w:sz="0" w:space="0" w:color="auto"/>
                <w:bottom w:val="none" w:sz="0" w:space="0" w:color="auto"/>
                <w:right w:val="none" w:sz="0" w:space="0" w:color="auto"/>
              </w:divBdr>
            </w:div>
            <w:div w:id="1665743772">
              <w:marLeft w:val="0"/>
              <w:marRight w:val="0"/>
              <w:marTop w:val="0"/>
              <w:marBottom w:val="0"/>
              <w:divBdr>
                <w:top w:val="none" w:sz="0" w:space="0" w:color="auto"/>
                <w:left w:val="none" w:sz="0" w:space="0" w:color="auto"/>
                <w:bottom w:val="none" w:sz="0" w:space="0" w:color="auto"/>
                <w:right w:val="none" w:sz="0" w:space="0" w:color="auto"/>
              </w:divBdr>
            </w:div>
            <w:div w:id="1914461931">
              <w:marLeft w:val="0"/>
              <w:marRight w:val="0"/>
              <w:marTop w:val="0"/>
              <w:marBottom w:val="0"/>
              <w:divBdr>
                <w:top w:val="none" w:sz="0" w:space="0" w:color="auto"/>
                <w:left w:val="none" w:sz="0" w:space="0" w:color="auto"/>
                <w:bottom w:val="none" w:sz="0" w:space="0" w:color="auto"/>
                <w:right w:val="none" w:sz="0" w:space="0" w:color="auto"/>
              </w:divBdr>
            </w:div>
            <w:div w:id="1993636303">
              <w:marLeft w:val="0"/>
              <w:marRight w:val="0"/>
              <w:marTop w:val="0"/>
              <w:marBottom w:val="0"/>
              <w:divBdr>
                <w:top w:val="none" w:sz="0" w:space="0" w:color="auto"/>
                <w:left w:val="none" w:sz="0" w:space="0" w:color="auto"/>
                <w:bottom w:val="none" w:sz="0" w:space="0" w:color="auto"/>
                <w:right w:val="none" w:sz="0" w:space="0" w:color="auto"/>
              </w:divBdr>
            </w:div>
            <w:div w:id="2031639107">
              <w:marLeft w:val="0"/>
              <w:marRight w:val="0"/>
              <w:marTop w:val="0"/>
              <w:marBottom w:val="0"/>
              <w:divBdr>
                <w:top w:val="none" w:sz="0" w:space="0" w:color="auto"/>
                <w:left w:val="none" w:sz="0" w:space="0" w:color="auto"/>
                <w:bottom w:val="none" w:sz="0" w:space="0" w:color="auto"/>
                <w:right w:val="none" w:sz="0" w:space="0" w:color="auto"/>
              </w:divBdr>
            </w:div>
            <w:div w:id="2133163297">
              <w:marLeft w:val="0"/>
              <w:marRight w:val="0"/>
              <w:marTop w:val="0"/>
              <w:marBottom w:val="0"/>
              <w:divBdr>
                <w:top w:val="none" w:sz="0" w:space="0" w:color="auto"/>
                <w:left w:val="none" w:sz="0" w:space="0" w:color="auto"/>
                <w:bottom w:val="none" w:sz="0" w:space="0" w:color="auto"/>
                <w:right w:val="none" w:sz="0" w:space="0" w:color="auto"/>
              </w:divBdr>
            </w:div>
          </w:divsChild>
        </w:div>
        <w:div w:id="72432737">
          <w:marLeft w:val="0"/>
          <w:marRight w:val="0"/>
          <w:marTop w:val="0"/>
          <w:marBottom w:val="0"/>
          <w:divBdr>
            <w:top w:val="none" w:sz="0" w:space="0" w:color="auto"/>
            <w:left w:val="none" w:sz="0" w:space="0" w:color="auto"/>
            <w:bottom w:val="none" w:sz="0" w:space="0" w:color="auto"/>
            <w:right w:val="none" w:sz="0" w:space="0" w:color="auto"/>
          </w:divBdr>
        </w:div>
        <w:div w:id="128937779">
          <w:marLeft w:val="0"/>
          <w:marRight w:val="0"/>
          <w:marTop w:val="0"/>
          <w:marBottom w:val="0"/>
          <w:divBdr>
            <w:top w:val="none" w:sz="0" w:space="0" w:color="auto"/>
            <w:left w:val="none" w:sz="0" w:space="0" w:color="auto"/>
            <w:bottom w:val="none" w:sz="0" w:space="0" w:color="auto"/>
            <w:right w:val="none" w:sz="0" w:space="0" w:color="auto"/>
          </w:divBdr>
        </w:div>
        <w:div w:id="203758492">
          <w:marLeft w:val="0"/>
          <w:marRight w:val="0"/>
          <w:marTop w:val="0"/>
          <w:marBottom w:val="0"/>
          <w:divBdr>
            <w:top w:val="none" w:sz="0" w:space="0" w:color="auto"/>
            <w:left w:val="none" w:sz="0" w:space="0" w:color="auto"/>
            <w:bottom w:val="none" w:sz="0" w:space="0" w:color="auto"/>
            <w:right w:val="none" w:sz="0" w:space="0" w:color="auto"/>
          </w:divBdr>
        </w:div>
        <w:div w:id="232006555">
          <w:marLeft w:val="0"/>
          <w:marRight w:val="0"/>
          <w:marTop w:val="0"/>
          <w:marBottom w:val="0"/>
          <w:divBdr>
            <w:top w:val="none" w:sz="0" w:space="0" w:color="auto"/>
            <w:left w:val="none" w:sz="0" w:space="0" w:color="auto"/>
            <w:bottom w:val="none" w:sz="0" w:space="0" w:color="auto"/>
            <w:right w:val="none" w:sz="0" w:space="0" w:color="auto"/>
          </w:divBdr>
          <w:divsChild>
            <w:div w:id="2141026970">
              <w:marLeft w:val="-75"/>
              <w:marRight w:val="0"/>
              <w:marTop w:val="30"/>
              <w:marBottom w:val="30"/>
              <w:divBdr>
                <w:top w:val="none" w:sz="0" w:space="0" w:color="auto"/>
                <w:left w:val="none" w:sz="0" w:space="0" w:color="auto"/>
                <w:bottom w:val="none" w:sz="0" w:space="0" w:color="auto"/>
                <w:right w:val="none" w:sz="0" w:space="0" w:color="auto"/>
              </w:divBdr>
              <w:divsChild>
                <w:div w:id="3483131">
                  <w:marLeft w:val="0"/>
                  <w:marRight w:val="0"/>
                  <w:marTop w:val="0"/>
                  <w:marBottom w:val="0"/>
                  <w:divBdr>
                    <w:top w:val="none" w:sz="0" w:space="0" w:color="auto"/>
                    <w:left w:val="none" w:sz="0" w:space="0" w:color="auto"/>
                    <w:bottom w:val="none" w:sz="0" w:space="0" w:color="auto"/>
                    <w:right w:val="none" w:sz="0" w:space="0" w:color="auto"/>
                  </w:divBdr>
                  <w:divsChild>
                    <w:div w:id="221911108">
                      <w:marLeft w:val="0"/>
                      <w:marRight w:val="0"/>
                      <w:marTop w:val="0"/>
                      <w:marBottom w:val="0"/>
                      <w:divBdr>
                        <w:top w:val="none" w:sz="0" w:space="0" w:color="auto"/>
                        <w:left w:val="none" w:sz="0" w:space="0" w:color="auto"/>
                        <w:bottom w:val="none" w:sz="0" w:space="0" w:color="auto"/>
                        <w:right w:val="none" w:sz="0" w:space="0" w:color="auto"/>
                      </w:divBdr>
                    </w:div>
                  </w:divsChild>
                </w:div>
                <w:div w:id="72051401">
                  <w:marLeft w:val="0"/>
                  <w:marRight w:val="0"/>
                  <w:marTop w:val="0"/>
                  <w:marBottom w:val="0"/>
                  <w:divBdr>
                    <w:top w:val="none" w:sz="0" w:space="0" w:color="auto"/>
                    <w:left w:val="none" w:sz="0" w:space="0" w:color="auto"/>
                    <w:bottom w:val="none" w:sz="0" w:space="0" w:color="auto"/>
                    <w:right w:val="none" w:sz="0" w:space="0" w:color="auto"/>
                  </w:divBdr>
                  <w:divsChild>
                    <w:div w:id="873423469">
                      <w:marLeft w:val="0"/>
                      <w:marRight w:val="0"/>
                      <w:marTop w:val="0"/>
                      <w:marBottom w:val="0"/>
                      <w:divBdr>
                        <w:top w:val="none" w:sz="0" w:space="0" w:color="auto"/>
                        <w:left w:val="none" w:sz="0" w:space="0" w:color="auto"/>
                        <w:bottom w:val="none" w:sz="0" w:space="0" w:color="auto"/>
                        <w:right w:val="none" w:sz="0" w:space="0" w:color="auto"/>
                      </w:divBdr>
                    </w:div>
                  </w:divsChild>
                </w:div>
                <w:div w:id="92166198">
                  <w:marLeft w:val="0"/>
                  <w:marRight w:val="0"/>
                  <w:marTop w:val="0"/>
                  <w:marBottom w:val="0"/>
                  <w:divBdr>
                    <w:top w:val="none" w:sz="0" w:space="0" w:color="auto"/>
                    <w:left w:val="none" w:sz="0" w:space="0" w:color="auto"/>
                    <w:bottom w:val="none" w:sz="0" w:space="0" w:color="auto"/>
                    <w:right w:val="none" w:sz="0" w:space="0" w:color="auto"/>
                  </w:divBdr>
                  <w:divsChild>
                    <w:div w:id="45643297">
                      <w:marLeft w:val="0"/>
                      <w:marRight w:val="0"/>
                      <w:marTop w:val="0"/>
                      <w:marBottom w:val="0"/>
                      <w:divBdr>
                        <w:top w:val="none" w:sz="0" w:space="0" w:color="auto"/>
                        <w:left w:val="none" w:sz="0" w:space="0" w:color="auto"/>
                        <w:bottom w:val="none" w:sz="0" w:space="0" w:color="auto"/>
                        <w:right w:val="none" w:sz="0" w:space="0" w:color="auto"/>
                      </w:divBdr>
                    </w:div>
                  </w:divsChild>
                </w:div>
                <w:div w:id="141166520">
                  <w:marLeft w:val="0"/>
                  <w:marRight w:val="0"/>
                  <w:marTop w:val="0"/>
                  <w:marBottom w:val="0"/>
                  <w:divBdr>
                    <w:top w:val="none" w:sz="0" w:space="0" w:color="auto"/>
                    <w:left w:val="none" w:sz="0" w:space="0" w:color="auto"/>
                    <w:bottom w:val="none" w:sz="0" w:space="0" w:color="auto"/>
                    <w:right w:val="none" w:sz="0" w:space="0" w:color="auto"/>
                  </w:divBdr>
                  <w:divsChild>
                    <w:div w:id="690650184">
                      <w:marLeft w:val="0"/>
                      <w:marRight w:val="0"/>
                      <w:marTop w:val="0"/>
                      <w:marBottom w:val="0"/>
                      <w:divBdr>
                        <w:top w:val="none" w:sz="0" w:space="0" w:color="auto"/>
                        <w:left w:val="none" w:sz="0" w:space="0" w:color="auto"/>
                        <w:bottom w:val="none" w:sz="0" w:space="0" w:color="auto"/>
                        <w:right w:val="none" w:sz="0" w:space="0" w:color="auto"/>
                      </w:divBdr>
                    </w:div>
                  </w:divsChild>
                </w:div>
                <w:div w:id="184371159">
                  <w:marLeft w:val="0"/>
                  <w:marRight w:val="0"/>
                  <w:marTop w:val="0"/>
                  <w:marBottom w:val="0"/>
                  <w:divBdr>
                    <w:top w:val="none" w:sz="0" w:space="0" w:color="auto"/>
                    <w:left w:val="none" w:sz="0" w:space="0" w:color="auto"/>
                    <w:bottom w:val="none" w:sz="0" w:space="0" w:color="auto"/>
                    <w:right w:val="none" w:sz="0" w:space="0" w:color="auto"/>
                  </w:divBdr>
                  <w:divsChild>
                    <w:div w:id="1808429938">
                      <w:marLeft w:val="0"/>
                      <w:marRight w:val="0"/>
                      <w:marTop w:val="0"/>
                      <w:marBottom w:val="0"/>
                      <w:divBdr>
                        <w:top w:val="none" w:sz="0" w:space="0" w:color="auto"/>
                        <w:left w:val="none" w:sz="0" w:space="0" w:color="auto"/>
                        <w:bottom w:val="none" w:sz="0" w:space="0" w:color="auto"/>
                        <w:right w:val="none" w:sz="0" w:space="0" w:color="auto"/>
                      </w:divBdr>
                    </w:div>
                  </w:divsChild>
                </w:div>
                <w:div w:id="203711500">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
                  </w:divsChild>
                </w:div>
                <w:div w:id="295722087">
                  <w:marLeft w:val="0"/>
                  <w:marRight w:val="0"/>
                  <w:marTop w:val="0"/>
                  <w:marBottom w:val="0"/>
                  <w:divBdr>
                    <w:top w:val="none" w:sz="0" w:space="0" w:color="auto"/>
                    <w:left w:val="none" w:sz="0" w:space="0" w:color="auto"/>
                    <w:bottom w:val="none" w:sz="0" w:space="0" w:color="auto"/>
                    <w:right w:val="none" w:sz="0" w:space="0" w:color="auto"/>
                  </w:divBdr>
                  <w:divsChild>
                    <w:div w:id="415369260">
                      <w:marLeft w:val="0"/>
                      <w:marRight w:val="0"/>
                      <w:marTop w:val="0"/>
                      <w:marBottom w:val="0"/>
                      <w:divBdr>
                        <w:top w:val="none" w:sz="0" w:space="0" w:color="auto"/>
                        <w:left w:val="none" w:sz="0" w:space="0" w:color="auto"/>
                        <w:bottom w:val="none" w:sz="0" w:space="0" w:color="auto"/>
                        <w:right w:val="none" w:sz="0" w:space="0" w:color="auto"/>
                      </w:divBdr>
                    </w:div>
                  </w:divsChild>
                </w:div>
                <w:div w:id="350689654">
                  <w:marLeft w:val="0"/>
                  <w:marRight w:val="0"/>
                  <w:marTop w:val="0"/>
                  <w:marBottom w:val="0"/>
                  <w:divBdr>
                    <w:top w:val="none" w:sz="0" w:space="0" w:color="auto"/>
                    <w:left w:val="none" w:sz="0" w:space="0" w:color="auto"/>
                    <w:bottom w:val="none" w:sz="0" w:space="0" w:color="auto"/>
                    <w:right w:val="none" w:sz="0" w:space="0" w:color="auto"/>
                  </w:divBdr>
                  <w:divsChild>
                    <w:div w:id="2065906653">
                      <w:marLeft w:val="0"/>
                      <w:marRight w:val="0"/>
                      <w:marTop w:val="0"/>
                      <w:marBottom w:val="0"/>
                      <w:divBdr>
                        <w:top w:val="none" w:sz="0" w:space="0" w:color="auto"/>
                        <w:left w:val="none" w:sz="0" w:space="0" w:color="auto"/>
                        <w:bottom w:val="none" w:sz="0" w:space="0" w:color="auto"/>
                        <w:right w:val="none" w:sz="0" w:space="0" w:color="auto"/>
                      </w:divBdr>
                    </w:div>
                  </w:divsChild>
                </w:div>
                <w:div w:id="429736327">
                  <w:marLeft w:val="0"/>
                  <w:marRight w:val="0"/>
                  <w:marTop w:val="0"/>
                  <w:marBottom w:val="0"/>
                  <w:divBdr>
                    <w:top w:val="none" w:sz="0" w:space="0" w:color="auto"/>
                    <w:left w:val="none" w:sz="0" w:space="0" w:color="auto"/>
                    <w:bottom w:val="none" w:sz="0" w:space="0" w:color="auto"/>
                    <w:right w:val="none" w:sz="0" w:space="0" w:color="auto"/>
                  </w:divBdr>
                  <w:divsChild>
                    <w:div w:id="1288047848">
                      <w:marLeft w:val="0"/>
                      <w:marRight w:val="0"/>
                      <w:marTop w:val="0"/>
                      <w:marBottom w:val="0"/>
                      <w:divBdr>
                        <w:top w:val="none" w:sz="0" w:space="0" w:color="auto"/>
                        <w:left w:val="none" w:sz="0" w:space="0" w:color="auto"/>
                        <w:bottom w:val="none" w:sz="0" w:space="0" w:color="auto"/>
                        <w:right w:val="none" w:sz="0" w:space="0" w:color="auto"/>
                      </w:divBdr>
                    </w:div>
                  </w:divsChild>
                </w:div>
                <w:div w:id="507525270">
                  <w:marLeft w:val="0"/>
                  <w:marRight w:val="0"/>
                  <w:marTop w:val="0"/>
                  <w:marBottom w:val="0"/>
                  <w:divBdr>
                    <w:top w:val="none" w:sz="0" w:space="0" w:color="auto"/>
                    <w:left w:val="none" w:sz="0" w:space="0" w:color="auto"/>
                    <w:bottom w:val="none" w:sz="0" w:space="0" w:color="auto"/>
                    <w:right w:val="none" w:sz="0" w:space="0" w:color="auto"/>
                  </w:divBdr>
                  <w:divsChild>
                    <w:div w:id="1200388936">
                      <w:marLeft w:val="0"/>
                      <w:marRight w:val="0"/>
                      <w:marTop w:val="0"/>
                      <w:marBottom w:val="0"/>
                      <w:divBdr>
                        <w:top w:val="none" w:sz="0" w:space="0" w:color="auto"/>
                        <w:left w:val="none" w:sz="0" w:space="0" w:color="auto"/>
                        <w:bottom w:val="none" w:sz="0" w:space="0" w:color="auto"/>
                        <w:right w:val="none" w:sz="0" w:space="0" w:color="auto"/>
                      </w:divBdr>
                    </w:div>
                  </w:divsChild>
                </w:div>
                <w:div w:id="548884121">
                  <w:marLeft w:val="0"/>
                  <w:marRight w:val="0"/>
                  <w:marTop w:val="0"/>
                  <w:marBottom w:val="0"/>
                  <w:divBdr>
                    <w:top w:val="none" w:sz="0" w:space="0" w:color="auto"/>
                    <w:left w:val="none" w:sz="0" w:space="0" w:color="auto"/>
                    <w:bottom w:val="none" w:sz="0" w:space="0" w:color="auto"/>
                    <w:right w:val="none" w:sz="0" w:space="0" w:color="auto"/>
                  </w:divBdr>
                  <w:divsChild>
                    <w:div w:id="1631203532">
                      <w:marLeft w:val="0"/>
                      <w:marRight w:val="0"/>
                      <w:marTop w:val="0"/>
                      <w:marBottom w:val="0"/>
                      <w:divBdr>
                        <w:top w:val="none" w:sz="0" w:space="0" w:color="auto"/>
                        <w:left w:val="none" w:sz="0" w:space="0" w:color="auto"/>
                        <w:bottom w:val="none" w:sz="0" w:space="0" w:color="auto"/>
                        <w:right w:val="none" w:sz="0" w:space="0" w:color="auto"/>
                      </w:divBdr>
                    </w:div>
                  </w:divsChild>
                </w:div>
                <w:div w:id="562764616">
                  <w:marLeft w:val="0"/>
                  <w:marRight w:val="0"/>
                  <w:marTop w:val="0"/>
                  <w:marBottom w:val="0"/>
                  <w:divBdr>
                    <w:top w:val="none" w:sz="0" w:space="0" w:color="auto"/>
                    <w:left w:val="none" w:sz="0" w:space="0" w:color="auto"/>
                    <w:bottom w:val="none" w:sz="0" w:space="0" w:color="auto"/>
                    <w:right w:val="none" w:sz="0" w:space="0" w:color="auto"/>
                  </w:divBdr>
                  <w:divsChild>
                    <w:div w:id="1796411711">
                      <w:marLeft w:val="0"/>
                      <w:marRight w:val="0"/>
                      <w:marTop w:val="0"/>
                      <w:marBottom w:val="0"/>
                      <w:divBdr>
                        <w:top w:val="none" w:sz="0" w:space="0" w:color="auto"/>
                        <w:left w:val="none" w:sz="0" w:space="0" w:color="auto"/>
                        <w:bottom w:val="none" w:sz="0" w:space="0" w:color="auto"/>
                        <w:right w:val="none" w:sz="0" w:space="0" w:color="auto"/>
                      </w:divBdr>
                    </w:div>
                  </w:divsChild>
                </w:div>
                <w:div w:id="584846990">
                  <w:marLeft w:val="0"/>
                  <w:marRight w:val="0"/>
                  <w:marTop w:val="0"/>
                  <w:marBottom w:val="0"/>
                  <w:divBdr>
                    <w:top w:val="none" w:sz="0" w:space="0" w:color="auto"/>
                    <w:left w:val="none" w:sz="0" w:space="0" w:color="auto"/>
                    <w:bottom w:val="none" w:sz="0" w:space="0" w:color="auto"/>
                    <w:right w:val="none" w:sz="0" w:space="0" w:color="auto"/>
                  </w:divBdr>
                  <w:divsChild>
                    <w:div w:id="114955860">
                      <w:marLeft w:val="0"/>
                      <w:marRight w:val="0"/>
                      <w:marTop w:val="0"/>
                      <w:marBottom w:val="0"/>
                      <w:divBdr>
                        <w:top w:val="none" w:sz="0" w:space="0" w:color="auto"/>
                        <w:left w:val="none" w:sz="0" w:space="0" w:color="auto"/>
                        <w:bottom w:val="none" w:sz="0" w:space="0" w:color="auto"/>
                        <w:right w:val="none" w:sz="0" w:space="0" w:color="auto"/>
                      </w:divBdr>
                    </w:div>
                  </w:divsChild>
                </w:div>
                <w:div w:id="592053248">
                  <w:marLeft w:val="0"/>
                  <w:marRight w:val="0"/>
                  <w:marTop w:val="0"/>
                  <w:marBottom w:val="0"/>
                  <w:divBdr>
                    <w:top w:val="none" w:sz="0" w:space="0" w:color="auto"/>
                    <w:left w:val="none" w:sz="0" w:space="0" w:color="auto"/>
                    <w:bottom w:val="none" w:sz="0" w:space="0" w:color="auto"/>
                    <w:right w:val="none" w:sz="0" w:space="0" w:color="auto"/>
                  </w:divBdr>
                  <w:divsChild>
                    <w:div w:id="1372146257">
                      <w:marLeft w:val="0"/>
                      <w:marRight w:val="0"/>
                      <w:marTop w:val="0"/>
                      <w:marBottom w:val="0"/>
                      <w:divBdr>
                        <w:top w:val="none" w:sz="0" w:space="0" w:color="auto"/>
                        <w:left w:val="none" w:sz="0" w:space="0" w:color="auto"/>
                        <w:bottom w:val="none" w:sz="0" w:space="0" w:color="auto"/>
                        <w:right w:val="none" w:sz="0" w:space="0" w:color="auto"/>
                      </w:divBdr>
                    </w:div>
                  </w:divsChild>
                </w:div>
                <w:div w:id="995259474">
                  <w:marLeft w:val="0"/>
                  <w:marRight w:val="0"/>
                  <w:marTop w:val="0"/>
                  <w:marBottom w:val="0"/>
                  <w:divBdr>
                    <w:top w:val="none" w:sz="0" w:space="0" w:color="auto"/>
                    <w:left w:val="none" w:sz="0" w:space="0" w:color="auto"/>
                    <w:bottom w:val="none" w:sz="0" w:space="0" w:color="auto"/>
                    <w:right w:val="none" w:sz="0" w:space="0" w:color="auto"/>
                  </w:divBdr>
                  <w:divsChild>
                    <w:div w:id="1726640157">
                      <w:marLeft w:val="0"/>
                      <w:marRight w:val="0"/>
                      <w:marTop w:val="0"/>
                      <w:marBottom w:val="0"/>
                      <w:divBdr>
                        <w:top w:val="none" w:sz="0" w:space="0" w:color="auto"/>
                        <w:left w:val="none" w:sz="0" w:space="0" w:color="auto"/>
                        <w:bottom w:val="none" w:sz="0" w:space="0" w:color="auto"/>
                        <w:right w:val="none" w:sz="0" w:space="0" w:color="auto"/>
                      </w:divBdr>
                    </w:div>
                  </w:divsChild>
                </w:div>
                <w:div w:id="997809676">
                  <w:marLeft w:val="0"/>
                  <w:marRight w:val="0"/>
                  <w:marTop w:val="0"/>
                  <w:marBottom w:val="0"/>
                  <w:divBdr>
                    <w:top w:val="none" w:sz="0" w:space="0" w:color="auto"/>
                    <w:left w:val="none" w:sz="0" w:space="0" w:color="auto"/>
                    <w:bottom w:val="none" w:sz="0" w:space="0" w:color="auto"/>
                    <w:right w:val="none" w:sz="0" w:space="0" w:color="auto"/>
                  </w:divBdr>
                  <w:divsChild>
                    <w:div w:id="1045372081">
                      <w:marLeft w:val="0"/>
                      <w:marRight w:val="0"/>
                      <w:marTop w:val="0"/>
                      <w:marBottom w:val="0"/>
                      <w:divBdr>
                        <w:top w:val="none" w:sz="0" w:space="0" w:color="auto"/>
                        <w:left w:val="none" w:sz="0" w:space="0" w:color="auto"/>
                        <w:bottom w:val="none" w:sz="0" w:space="0" w:color="auto"/>
                        <w:right w:val="none" w:sz="0" w:space="0" w:color="auto"/>
                      </w:divBdr>
                    </w:div>
                  </w:divsChild>
                </w:div>
                <w:div w:id="1008405161">
                  <w:marLeft w:val="0"/>
                  <w:marRight w:val="0"/>
                  <w:marTop w:val="0"/>
                  <w:marBottom w:val="0"/>
                  <w:divBdr>
                    <w:top w:val="none" w:sz="0" w:space="0" w:color="auto"/>
                    <w:left w:val="none" w:sz="0" w:space="0" w:color="auto"/>
                    <w:bottom w:val="none" w:sz="0" w:space="0" w:color="auto"/>
                    <w:right w:val="none" w:sz="0" w:space="0" w:color="auto"/>
                  </w:divBdr>
                  <w:divsChild>
                    <w:div w:id="876086777">
                      <w:marLeft w:val="0"/>
                      <w:marRight w:val="0"/>
                      <w:marTop w:val="0"/>
                      <w:marBottom w:val="0"/>
                      <w:divBdr>
                        <w:top w:val="none" w:sz="0" w:space="0" w:color="auto"/>
                        <w:left w:val="none" w:sz="0" w:space="0" w:color="auto"/>
                        <w:bottom w:val="none" w:sz="0" w:space="0" w:color="auto"/>
                        <w:right w:val="none" w:sz="0" w:space="0" w:color="auto"/>
                      </w:divBdr>
                    </w:div>
                  </w:divsChild>
                </w:div>
                <w:div w:id="1041907233">
                  <w:marLeft w:val="0"/>
                  <w:marRight w:val="0"/>
                  <w:marTop w:val="0"/>
                  <w:marBottom w:val="0"/>
                  <w:divBdr>
                    <w:top w:val="none" w:sz="0" w:space="0" w:color="auto"/>
                    <w:left w:val="none" w:sz="0" w:space="0" w:color="auto"/>
                    <w:bottom w:val="none" w:sz="0" w:space="0" w:color="auto"/>
                    <w:right w:val="none" w:sz="0" w:space="0" w:color="auto"/>
                  </w:divBdr>
                  <w:divsChild>
                    <w:div w:id="1402411812">
                      <w:marLeft w:val="0"/>
                      <w:marRight w:val="0"/>
                      <w:marTop w:val="0"/>
                      <w:marBottom w:val="0"/>
                      <w:divBdr>
                        <w:top w:val="none" w:sz="0" w:space="0" w:color="auto"/>
                        <w:left w:val="none" w:sz="0" w:space="0" w:color="auto"/>
                        <w:bottom w:val="none" w:sz="0" w:space="0" w:color="auto"/>
                        <w:right w:val="none" w:sz="0" w:space="0" w:color="auto"/>
                      </w:divBdr>
                    </w:div>
                  </w:divsChild>
                </w:div>
                <w:div w:id="1085878160">
                  <w:marLeft w:val="0"/>
                  <w:marRight w:val="0"/>
                  <w:marTop w:val="0"/>
                  <w:marBottom w:val="0"/>
                  <w:divBdr>
                    <w:top w:val="none" w:sz="0" w:space="0" w:color="auto"/>
                    <w:left w:val="none" w:sz="0" w:space="0" w:color="auto"/>
                    <w:bottom w:val="none" w:sz="0" w:space="0" w:color="auto"/>
                    <w:right w:val="none" w:sz="0" w:space="0" w:color="auto"/>
                  </w:divBdr>
                  <w:divsChild>
                    <w:div w:id="351231011">
                      <w:marLeft w:val="0"/>
                      <w:marRight w:val="0"/>
                      <w:marTop w:val="0"/>
                      <w:marBottom w:val="0"/>
                      <w:divBdr>
                        <w:top w:val="none" w:sz="0" w:space="0" w:color="auto"/>
                        <w:left w:val="none" w:sz="0" w:space="0" w:color="auto"/>
                        <w:bottom w:val="none" w:sz="0" w:space="0" w:color="auto"/>
                        <w:right w:val="none" w:sz="0" w:space="0" w:color="auto"/>
                      </w:divBdr>
                    </w:div>
                  </w:divsChild>
                </w:div>
                <w:div w:id="1116096994">
                  <w:marLeft w:val="0"/>
                  <w:marRight w:val="0"/>
                  <w:marTop w:val="0"/>
                  <w:marBottom w:val="0"/>
                  <w:divBdr>
                    <w:top w:val="none" w:sz="0" w:space="0" w:color="auto"/>
                    <w:left w:val="none" w:sz="0" w:space="0" w:color="auto"/>
                    <w:bottom w:val="none" w:sz="0" w:space="0" w:color="auto"/>
                    <w:right w:val="none" w:sz="0" w:space="0" w:color="auto"/>
                  </w:divBdr>
                  <w:divsChild>
                    <w:div w:id="79572523">
                      <w:marLeft w:val="0"/>
                      <w:marRight w:val="0"/>
                      <w:marTop w:val="0"/>
                      <w:marBottom w:val="0"/>
                      <w:divBdr>
                        <w:top w:val="none" w:sz="0" w:space="0" w:color="auto"/>
                        <w:left w:val="none" w:sz="0" w:space="0" w:color="auto"/>
                        <w:bottom w:val="none" w:sz="0" w:space="0" w:color="auto"/>
                        <w:right w:val="none" w:sz="0" w:space="0" w:color="auto"/>
                      </w:divBdr>
                    </w:div>
                  </w:divsChild>
                </w:div>
                <w:div w:id="1174346630">
                  <w:marLeft w:val="0"/>
                  <w:marRight w:val="0"/>
                  <w:marTop w:val="0"/>
                  <w:marBottom w:val="0"/>
                  <w:divBdr>
                    <w:top w:val="none" w:sz="0" w:space="0" w:color="auto"/>
                    <w:left w:val="none" w:sz="0" w:space="0" w:color="auto"/>
                    <w:bottom w:val="none" w:sz="0" w:space="0" w:color="auto"/>
                    <w:right w:val="none" w:sz="0" w:space="0" w:color="auto"/>
                  </w:divBdr>
                  <w:divsChild>
                    <w:div w:id="432019883">
                      <w:marLeft w:val="0"/>
                      <w:marRight w:val="0"/>
                      <w:marTop w:val="0"/>
                      <w:marBottom w:val="0"/>
                      <w:divBdr>
                        <w:top w:val="none" w:sz="0" w:space="0" w:color="auto"/>
                        <w:left w:val="none" w:sz="0" w:space="0" w:color="auto"/>
                        <w:bottom w:val="none" w:sz="0" w:space="0" w:color="auto"/>
                        <w:right w:val="none" w:sz="0" w:space="0" w:color="auto"/>
                      </w:divBdr>
                    </w:div>
                  </w:divsChild>
                </w:div>
                <w:div w:id="1178885283">
                  <w:marLeft w:val="0"/>
                  <w:marRight w:val="0"/>
                  <w:marTop w:val="0"/>
                  <w:marBottom w:val="0"/>
                  <w:divBdr>
                    <w:top w:val="none" w:sz="0" w:space="0" w:color="auto"/>
                    <w:left w:val="none" w:sz="0" w:space="0" w:color="auto"/>
                    <w:bottom w:val="none" w:sz="0" w:space="0" w:color="auto"/>
                    <w:right w:val="none" w:sz="0" w:space="0" w:color="auto"/>
                  </w:divBdr>
                  <w:divsChild>
                    <w:div w:id="905795208">
                      <w:marLeft w:val="0"/>
                      <w:marRight w:val="0"/>
                      <w:marTop w:val="0"/>
                      <w:marBottom w:val="0"/>
                      <w:divBdr>
                        <w:top w:val="none" w:sz="0" w:space="0" w:color="auto"/>
                        <w:left w:val="none" w:sz="0" w:space="0" w:color="auto"/>
                        <w:bottom w:val="none" w:sz="0" w:space="0" w:color="auto"/>
                        <w:right w:val="none" w:sz="0" w:space="0" w:color="auto"/>
                      </w:divBdr>
                    </w:div>
                  </w:divsChild>
                </w:div>
                <w:div w:id="1237009921">
                  <w:marLeft w:val="0"/>
                  <w:marRight w:val="0"/>
                  <w:marTop w:val="0"/>
                  <w:marBottom w:val="0"/>
                  <w:divBdr>
                    <w:top w:val="none" w:sz="0" w:space="0" w:color="auto"/>
                    <w:left w:val="none" w:sz="0" w:space="0" w:color="auto"/>
                    <w:bottom w:val="none" w:sz="0" w:space="0" w:color="auto"/>
                    <w:right w:val="none" w:sz="0" w:space="0" w:color="auto"/>
                  </w:divBdr>
                  <w:divsChild>
                    <w:div w:id="2106148597">
                      <w:marLeft w:val="0"/>
                      <w:marRight w:val="0"/>
                      <w:marTop w:val="0"/>
                      <w:marBottom w:val="0"/>
                      <w:divBdr>
                        <w:top w:val="none" w:sz="0" w:space="0" w:color="auto"/>
                        <w:left w:val="none" w:sz="0" w:space="0" w:color="auto"/>
                        <w:bottom w:val="none" w:sz="0" w:space="0" w:color="auto"/>
                        <w:right w:val="none" w:sz="0" w:space="0" w:color="auto"/>
                      </w:divBdr>
                    </w:div>
                  </w:divsChild>
                </w:div>
                <w:div w:id="1238519520">
                  <w:marLeft w:val="0"/>
                  <w:marRight w:val="0"/>
                  <w:marTop w:val="0"/>
                  <w:marBottom w:val="0"/>
                  <w:divBdr>
                    <w:top w:val="none" w:sz="0" w:space="0" w:color="auto"/>
                    <w:left w:val="none" w:sz="0" w:space="0" w:color="auto"/>
                    <w:bottom w:val="none" w:sz="0" w:space="0" w:color="auto"/>
                    <w:right w:val="none" w:sz="0" w:space="0" w:color="auto"/>
                  </w:divBdr>
                  <w:divsChild>
                    <w:div w:id="2119063283">
                      <w:marLeft w:val="0"/>
                      <w:marRight w:val="0"/>
                      <w:marTop w:val="0"/>
                      <w:marBottom w:val="0"/>
                      <w:divBdr>
                        <w:top w:val="none" w:sz="0" w:space="0" w:color="auto"/>
                        <w:left w:val="none" w:sz="0" w:space="0" w:color="auto"/>
                        <w:bottom w:val="none" w:sz="0" w:space="0" w:color="auto"/>
                        <w:right w:val="none" w:sz="0" w:space="0" w:color="auto"/>
                      </w:divBdr>
                    </w:div>
                  </w:divsChild>
                </w:div>
                <w:div w:id="1381586018">
                  <w:marLeft w:val="0"/>
                  <w:marRight w:val="0"/>
                  <w:marTop w:val="0"/>
                  <w:marBottom w:val="0"/>
                  <w:divBdr>
                    <w:top w:val="none" w:sz="0" w:space="0" w:color="auto"/>
                    <w:left w:val="none" w:sz="0" w:space="0" w:color="auto"/>
                    <w:bottom w:val="none" w:sz="0" w:space="0" w:color="auto"/>
                    <w:right w:val="none" w:sz="0" w:space="0" w:color="auto"/>
                  </w:divBdr>
                  <w:divsChild>
                    <w:div w:id="1843616207">
                      <w:marLeft w:val="0"/>
                      <w:marRight w:val="0"/>
                      <w:marTop w:val="0"/>
                      <w:marBottom w:val="0"/>
                      <w:divBdr>
                        <w:top w:val="none" w:sz="0" w:space="0" w:color="auto"/>
                        <w:left w:val="none" w:sz="0" w:space="0" w:color="auto"/>
                        <w:bottom w:val="none" w:sz="0" w:space="0" w:color="auto"/>
                        <w:right w:val="none" w:sz="0" w:space="0" w:color="auto"/>
                      </w:divBdr>
                    </w:div>
                    <w:div w:id="1895045868">
                      <w:marLeft w:val="0"/>
                      <w:marRight w:val="0"/>
                      <w:marTop w:val="0"/>
                      <w:marBottom w:val="0"/>
                      <w:divBdr>
                        <w:top w:val="none" w:sz="0" w:space="0" w:color="auto"/>
                        <w:left w:val="none" w:sz="0" w:space="0" w:color="auto"/>
                        <w:bottom w:val="none" w:sz="0" w:space="0" w:color="auto"/>
                        <w:right w:val="none" w:sz="0" w:space="0" w:color="auto"/>
                      </w:divBdr>
                    </w:div>
                  </w:divsChild>
                </w:div>
                <w:div w:id="1734037943">
                  <w:marLeft w:val="0"/>
                  <w:marRight w:val="0"/>
                  <w:marTop w:val="0"/>
                  <w:marBottom w:val="0"/>
                  <w:divBdr>
                    <w:top w:val="none" w:sz="0" w:space="0" w:color="auto"/>
                    <w:left w:val="none" w:sz="0" w:space="0" w:color="auto"/>
                    <w:bottom w:val="none" w:sz="0" w:space="0" w:color="auto"/>
                    <w:right w:val="none" w:sz="0" w:space="0" w:color="auto"/>
                  </w:divBdr>
                  <w:divsChild>
                    <w:div w:id="149371867">
                      <w:marLeft w:val="0"/>
                      <w:marRight w:val="0"/>
                      <w:marTop w:val="0"/>
                      <w:marBottom w:val="0"/>
                      <w:divBdr>
                        <w:top w:val="none" w:sz="0" w:space="0" w:color="auto"/>
                        <w:left w:val="none" w:sz="0" w:space="0" w:color="auto"/>
                        <w:bottom w:val="none" w:sz="0" w:space="0" w:color="auto"/>
                        <w:right w:val="none" w:sz="0" w:space="0" w:color="auto"/>
                      </w:divBdr>
                    </w:div>
                  </w:divsChild>
                </w:div>
                <w:div w:id="1744180839">
                  <w:marLeft w:val="0"/>
                  <w:marRight w:val="0"/>
                  <w:marTop w:val="0"/>
                  <w:marBottom w:val="0"/>
                  <w:divBdr>
                    <w:top w:val="none" w:sz="0" w:space="0" w:color="auto"/>
                    <w:left w:val="none" w:sz="0" w:space="0" w:color="auto"/>
                    <w:bottom w:val="none" w:sz="0" w:space="0" w:color="auto"/>
                    <w:right w:val="none" w:sz="0" w:space="0" w:color="auto"/>
                  </w:divBdr>
                  <w:divsChild>
                    <w:div w:id="633681032">
                      <w:marLeft w:val="0"/>
                      <w:marRight w:val="0"/>
                      <w:marTop w:val="0"/>
                      <w:marBottom w:val="0"/>
                      <w:divBdr>
                        <w:top w:val="none" w:sz="0" w:space="0" w:color="auto"/>
                        <w:left w:val="none" w:sz="0" w:space="0" w:color="auto"/>
                        <w:bottom w:val="none" w:sz="0" w:space="0" w:color="auto"/>
                        <w:right w:val="none" w:sz="0" w:space="0" w:color="auto"/>
                      </w:divBdr>
                    </w:div>
                  </w:divsChild>
                </w:div>
                <w:div w:id="1797603296">
                  <w:marLeft w:val="0"/>
                  <w:marRight w:val="0"/>
                  <w:marTop w:val="0"/>
                  <w:marBottom w:val="0"/>
                  <w:divBdr>
                    <w:top w:val="none" w:sz="0" w:space="0" w:color="auto"/>
                    <w:left w:val="none" w:sz="0" w:space="0" w:color="auto"/>
                    <w:bottom w:val="none" w:sz="0" w:space="0" w:color="auto"/>
                    <w:right w:val="none" w:sz="0" w:space="0" w:color="auto"/>
                  </w:divBdr>
                  <w:divsChild>
                    <w:div w:id="1384136191">
                      <w:marLeft w:val="0"/>
                      <w:marRight w:val="0"/>
                      <w:marTop w:val="0"/>
                      <w:marBottom w:val="0"/>
                      <w:divBdr>
                        <w:top w:val="none" w:sz="0" w:space="0" w:color="auto"/>
                        <w:left w:val="none" w:sz="0" w:space="0" w:color="auto"/>
                        <w:bottom w:val="none" w:sz="0" w:space="0" w:color="auto"/>
                        <w:right w:val="none" w:sz="0" w:space="0" w:color="auto"/>
                      </w:divBdr>
                    </w:div>
                  </w:divsChild>
                </w:div>
                <w:div w:id="1833793947">
                  <w:marLeft w:val="0"/>
                  <w:marRight w:val="0"/>
                  <w:marTop w:val="0"/>
                  <w:marBottom w:val="0"/>
                  <w:divBdr>
                    <w:top w:val="none" w:sz="0" w:space="0" w:color="auto"/>
                    <w:left w:val="none" w:sz="0" w:space="0" w:color="auto"/>
                    <w:bottom w:val="none" w:sz="0" w:space="0" w:color="auto"/>
                    <w:right w:val="none" w:sz="0" w:space="0" w:color="auto"/>
                  </w:divBdr>
                  <w:divsChild>
                    <w:div w:id="219874887">
                      <w:marLeft w:val="0"/>
                      <w:marRight w:val="0"/>
                      <w:marTop w:val="0"/>
                      <w:marBottom w:val="0"/>
                      <w:divBdr>
                        <w:top w:val="none" w:sz="0" w:space="0" w:color="auto"/>
                        <w:left w:val="none" w:sz="0" w:space="0" w:color="auto"/>
                        <w:bottom w:val="none" w:sz="0" w:space="0" w:color="auto"/>
                        <w:right w:val="none" w:sz="0" w:space="0" w:color="auto"/>
                      </w:divBdr>
                    </w:div>
                  </w:divsChild>
                </w:div>
                <w:div w:id="1882787103">
                  <w:marLeft w:val="0"/>
                  <w:marRight w:val="0"/>
                  <w:marTop w:val="0"/>
                  <w:marBottom w:val="0"/>
                  <w:divBdr>
                    <w:top w:val="none" w:sz="0" w:space="0" w:color="auto"/>
                    <w:left w:val="none" w:sz="0" w:space="0" w:color="auto"/>
                    <w:bottom w:val="none" w:sz="0" w:space="0" w:color="auto"/>
                    <w:right w:val="none" w:sz="0" w:space="0" w:color="auto"/>
                  </w:divBdr>
                  <w:divsChild>
                    <w:div w:id="1739092763">
                      <w:marLeft w:val="0"/>
                      <w:marRight w:val="0"/>
                      <w:marTop w:val="0"/>
                      <w:marBottom w:val="0"/>
                      <w:divBdr>
                        <w:top w:val="none" w:sz="0" w:space="0" w:color="auto"/>
                        <w:left w:val="none" w:sz="0" w:space="0" w:color="auto"/>
                        <w:bottom w:val="none" w:sz="0" w:space="0" w:color="auto"/>
                        <w:right w:val="none" w:sz="0" w:space="0" w:color="auto"/>
                      </w:divBdr>
                    </w:div>
                  </w:divsChild>
                </w:div>
                <w:div w:id="2009408111">
                  <w:marLeft w:val="0"/>
                  <w:marRight w:val="0"/>
                  <w:marTop w:val="0"/>
                  <w:marBottom w:val="0"/>
                  <w:divBdr>
                    <w:top w:val="none" w:sz="0" w:space="0" w:color="auto"/>
                    <w:left w:val="none" w:sz="0" w:space="0" w:color="auto"/>
                    <w:bottom w:val="none" w:sz="0" w:space="0" w:color="auto"/>
                    <w:right w:val="none" w:sz="0" w:space="0" w:color="auto"/>
                  </w:divBdr>
                  <w:divsChild>
                    <w:div w:id="1597519956">
                      <w:marLeft w:val="0"/>
                      <w:marRight w:val="0"/>
                      <w:marTop w:val="0"/>
                      <w:marBottom w:val="0"/>
                      <w:divBdr>
                        <w:top w:val="none" w:sz="0" w:space="0" w:color="auto"/>
                        <w:left w:val="none" w:sz="0" w:space="0" w:color="auto"/>
                        <w:bottom w:val="none" w:sz="0" w:space="0" w:color="auto"/>
                        <w:right w:val="none" w:sz="0" w:space="0" w:color="auto"/>
                      </w:divBdr>
                    </w:div>
                  </w:divsChild>
                </w:div>
                <w:div w:id="2091459901">
                  <w:marLeft w:val="0"/>
                  <w:marRight w:val="0"/>
                  <w:marTop w:val="0"/>
                  <w:marBottom w:val="0"/>
                  <w:divBdr>
                    <w:top w:val="none" w:sz="0" w:space="0" w:color="auto"/>
                    <w:left w:val="none" w:sz="0" w:space="0" w:color="auto"/>
                    <w:bottom w:val="none" w:sz="0" w:space="0" w:color="auto"/>
                    <w:right w:val="none" w:sz="0" w:space="0" w:color="auto"/>
                  </w:divBdr>
                  <w:divsChild>
                    <w:div w:id="761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78385">
          <w:marLeft w:val="0"/>
          <w:marRight w:val="0"/>
          <w:marTop w:val="0"/>
          <w:marBottom w:val="0"/>
          <w:divBdr>
            <w:top w:val="none" w:sz="0" w:space="0" w:color="auto"/>
            <w:left w:val="none" w:sz="0" w:space="0" w:color="auto"/>
            <w:bottom w:val="none" w:sz="0" w:space="0" w:color="auto"/>
            <w:right w:val="none" w:sz="0" w:space="0" w:color="auto"/>
          </w:divBdr>
        </w:div>
        <w:div w:id="340354504">
          <w:marLeft w:val="0"/>
          <w:marRight w:val="0"/>
          <w:marTop w:val="0"/>
          <w:marBottom w:val="0"/>
          <w:divBdr>
            <w:top w:val="none" w:sz="0" w:space="0" w:color="auto"/>
            <w:left w:val="none" w:sz="0" w:space="0" w:color="auto"/>
            <w:bottom w:val="none" w:sz="0" w:space="0" w:color="auto"/>
            <w:right w:val="none" w:sz="0" w:space="0" w:color="auto"/>
          </w:divBdr>
        </w:div>
        <w:div w:id="410156868">
          <w:marLeft w:val="0"/>
          <w:marRight w:val="0"/>
          <w:marTop w:val="0"/>
          <w:marBottom w:val="0"/>
          <w:divBdr>
            <w:top w:val="none" w:sz="0" w:space="0" w:color="auto"/>
            <w:left w:val="none" w:sz="0" w:space="0" w:color="auto"/>
            <w:bottom w:val="none" w:sz="0" w:space="0" w:color="auto"/>
            <w:right w:val="none" w:sz="0" w:space="0" w:color="auto"/>
          </w:divBdr>
        </w:div>
        <w:div w:id="516846544">
          <w:marLeft w:val="0"/>
          <w:marRight w:val="0"/>
          <w:marTop w:val="0"/>
          <w:marBottom w:val="0"/>
          <w:divBdr>
            <w:top w:val="none" w:sz="0" w:space="0" w:color="auto"/>
            <w:left w:val="none" w:sz="0" w:space="0" w:color="auto"/>
            <w:bottom w:val="none" w:sz="0" w:space="0" w:color="auto"/>
            <w:right w:val="none" w:sz="0" w:space="0" w:color="auto"/>
          </w:divBdr>
        </w:div>
        <w:div w:id="531068015">
          <w:marLeft w:val="0"/>
          <w:marRight w:val="0"/>
          <w:marTop w:val="0"/>
          <w:marBottom w:val="0"/>
          <w:divBdr>
            <w:top w:val="none" w:sz="0" w:space="0" w:color="auto"/>
            <w:left w:val="none" w:sz="0" w:space="0" w:color="auto"/>
            <w:bottom w:val="none" w:sz="0" w:space="0" w:color="auto"/>
            <w:right w:val="none" w:sz="0" w:space="0" w:color="auto"/>
          </w:divBdr>
          <w:divsChild>
            <w:div w:id="117383367">
              <w:marLeft w:val="0"/>
              <w:marRight w:val="0"/>
              <w:marTop w:val="0"/>
              <w:marBottom w:val="0"/>
              <w:divBdr>
                <w:top w:val="none" w:sz="0" w:space="0" w:color="auto"/>
                <w:left w:val="none" w:sz="0" w:space="0" w:color="auto"/>
                <w:bottom w:val="none" w:sz="0" w:space="0" w:color="auto"/>
                <w:right w:val="none" w:sz="0" w:space="0" w:color="auto"/>
              </w:divBdr>
            </w:div>
            <w:div w:id="147864453">
              <w:marLeft w:val="0"/>
              <w:marRight w:val="0"/>
              <w:marTop w:val="0"/>
              <w:marBottom w:val="0"/>
              <w:divBdr>
                <w:top w:val="none" w:sz="0" w:space="0" w:color="auto"/>
                <w:left w:val="none" w:sz="0" w:space="0" w:color="auto"/>
                <w:bottom w:val="none" w:sz="0" w:space="0" w:color="auto"/>
                <w:right w:val="none" w:sz="0" w:space="0" w:color="auto"/>
              </w:divBdr>
            </w:div>
            <w:div w:id="246497726">
              <w:marLeft w:val="0"/>
              <w:marRight w:val="0"/>
              <w:marTop w:val="0"/>
              <w:marBottom w:val="0"/>
              <w:divBdr>
                <w:top w:val="none" w:sz="0" w:space="0" w:color="auto"/>
                <w:left w:val="none" w:sz="0" w:space="0" w:color="auto"/>
                <w:bottom w:val="none" w:sz="0" w:space="0" w:color="auto"/>
                <w:right w:val="none" w:sz="0" w:space="0" w:color="auto"/>
              </w:divBdr>
            </w:div>
            <w:div w:id="251284596">
              <w:marLeft w:val="0"/>
              <w:marRight w:val="0"/>
              <w:marTop w:val="0"/>
              <w:marBottom w:val="0"/>
              <w:divBdr>
                <w:top w:val="none" w:sz="0" w:space="0" w:color="auto"/>
                <w:left w:val="none" w:sz="0" w:space="0" w:color="auto"/>
                <w:bottom w:val="none" w:sz="0" w:space="0" w:color="auto"/>
                <w:right w:val="none" w:sz="0" w:space="0" w:color="auto"/>
              </w:divBdr>
            </w:div>
            <w:div w:id="339240513">
              <w:marLeft w:val="0"/>
              <w:marRight w:val="0"/>
              <w:marTop w:val="0"/>
              <w:marBottom w:val="0"/>
              <w:divBdr>
                <w:top w:val="none" w:sz="0" w:space="0" w:color="auto"/>
                <w:left w:val="none" w:sz="0" w:space="0" w:color="auto"/>
                <w:bottom w:val="none" w:sz="0" w:space="0" w:color="auto"/>
                <w:right w:val="none" w:sz="0" w:space="0" w:color="auto"/>
              </w:divBdr>
            </w:div>
            <w:div w:id="556205255">
              <w:marLeft w:val="0"/>
              <w:marRight w:val="0"/>
              <w:marTop w:val="0"/>
              <w:marBottom w:val="0"/>
              <w:divBdr>
                <w:top w:val="none" w:sz="0" w:space="0" w:color="auto"/>
                <w:left w:val="none" w:sz="0" w:space="0" w:color="auto"/>
                <w:bottom w:val="none" w:sz="0" w:space="0" w:color="auto"/>
                <w:right w:val="none" w:sz="0" w:space="0" w:color="auto"/>
              </w:divBdr>
            </w:div>
            <w:div w:id="632178840">
              <w:marLeft w:val="0"/>
              <w:marRight w:val="0"/>
              <w:marTop w:val="0"/>
              <w:marBottom w:val="0"/>
              <w:divBdr>
                <w:top w:val="none" w:sz="0" w:space="0" w:color="auto"/>
                <w:left w:val="none" w:sz="0" w:space="0" w:color="auto"/>
                <w:bottom w:val="none" w:sz="0" w:space="0" w:color="auto"/>
                <w:right w:val="none" w:sz="0" w:space="0" w:color="auto"/>
              </w:divBdr>
            </w:div>
            <w:div w:id="1098063401">
              <w:marLeft w:val="0"/>
              <w:marRight w:val="0"/>
              <w:marTop w:val="0"/>
              <w:marBottom w:val="0"/>
              <w:divBdr>
                <w:top w:val="none" w:sz="0" w:space="0" w:color="auto"/>
                <w:left w:val="none" w:sz="0" w:space="0" w:color="auto"/>
                <w:bottom w:val="none" w:sz="0" w:space="0" w:color="auto"/>
                <w:right w:val="none" w:sz="0" w:space="0" w:color="auto"/>
              </w:divBdr>
            </w:div>
            <w:div w:id="1282422827">
              <w:marLeft w:val="0"/>
              <w:marRight w:val="0"/>
              <w:marTop w:val="0"/>
              <w:marBottom w:val="0"/>
              <w:divBdr>
                <w:top w:val="none" w:sz="0" w:space="0" w:color="auto"/>
                <w:left w:val="none" w:sz="0" w:space="0" w:color="auto"/>
                <w:bottom w:val="none" w:sz="0" w:space="0" w:color="auto"/>
                <w:right w:val="none" w:sz="0" w:space="0" w:color="auto"/>
              </w:divBdr>
            </w:div>
            <w:div w:id="1339456530">
              <w:marLeft w:val="0"/>
              <w:marRight w:val="0"/>
              <w:marTop w:val="0"/>
              <w:marBottom w:val="0"/>
              <w:divBdr>
                <w:top w:val="none" w:sz="0" w:space="0" w:color="auto"/>
                <w:left w:val="none" w:sz="0" w:space="0" w:color="auto"/>
                <w:bottom w:val="none" w:sz="0" w:space="0" w:color="auto"/>
                <w:right w:val="none" w:sz="0" w:space="0" w:color="auto"/>
              </w:divBdr>
            </w:div>
            <w:div w:id="1358120411">
              <w:marLeft w:val="0"/>
              <w:marRight w:val="0"/>
              <w:marTop w:val="0"/>
              <w:marBottom w:val="0"/>
              <w:divBdr>
                <w:top w:val="none" w:sz="0" w:space="0" w:color="auto"/>
                <w:left w:val="none" w:sz="0" w:space="0" w:color="auto"/>
                <w:bottom w:val="none" w:sz="0" w:space="0" w:color="auto"/>
                <w:right w:val="none" w:sz="0" w:space="0" w:color="auto"/>
              </w:divBdr>
            </w:div>
            <w:div w:id="1390687736">
              <w:marLeft w:val="0"/>
              <w:marRight w:val="0"/>
              <w:marTop w:val="0"/>
              <w:marBottom w:val="0"/>
              <w:divBdr>
                <w:top w:val="none" w:sz="0" w:space="0" w:color="auto"/>
                <w:left w:val="none" w:sz="0" w:space="0" w:color="auto"/>
                <w:bottom w:val="none" w:sz="0" w:space="0" w:color="auto"/>
                <w:right w:val="none" w:sz="0" w:space="0" w:color="auto"/>
              </w:divBdr>
            </w:div>
            <w:div w:id="1453742403">
              <w:marLeft w:val="0"/>
              <w:marRight w:val="0"/>
              <w:marTop w:val="0"/>
              <w:marBottom w:val="0"/>
              <w:divBdr>
                <w:top w:val="none" w:sz="0" w:space="0" w:color="auto"/>
                <w:left w:val="none" w:sz="0" w:space="0" w:color="auto"/>
                <w:bottom w:val="none" w:sz="0" w:space="0" w:color="auto"/>
                <w:right w:val="none" w:sz="0" w:space="0" w:color="auto"/>
              </w:divBdr>
            </w:div>
            <w:div w:id="1476677511">
              <w:marLeft w:val="0"/>
              <w:marRight w:val="0"/>
              <w:marTop w:val="0"/>
              <w:marBottom w:val="0"/>
              <w:divBdr>
                <w:top w:val="none" w:sz="0" w:space="0" w:color="auto"/>
                <w:left w:val="none" w:sz="0" w:space="0" w:color="auto"/>
                <w:bottom w:val="none" w:sz="0" w:space="0" w:color="auto"/>
                <w:right w:val="none" w:sz="0" w:space="0" w:color="auto"/>
              </w:divBdr>
            </w:div>
            <w:div w:id="1487744241">
              <w:marLeft w:val="0"/>
              <w:marRight w:val="0"/>
              <w:marTop w:val="0"/>
              <w:marBottom w:val="0"/>
              <w:divBdr>
                <w:top w:val="none" w:sz="0" w:space="0" w:color="auto"/>
                <w:left w:val="none" w:sz="0" w:space="0" w:color="auto"/>
                <w:bottom w:val="none" w:sz="0" w:space="0" w:color="auto"/>
                <w:right w:val="none" w:sz="0" w:space="0" w:color="auto"/>
              </w:divBdr>
            </w:div>
            <w:div w:id="1584560521">
              <w:marLeft w:val="0"/>
              <w:marRight w:val="0"/>
              <w:marTop w:val="0"/>
              <w:marBottom w:val="0"/>
              <w:divBdr>
                <w:top w:val="none" w:sz="0" w:space="0" w:color="auto"/>
                <w:left w:val="none" w:sz="0" w:space="0" w:color="auto"/>
                <w:bottom w:val="none" w:sz="0" w:space="0" w:color="auto"/>
                <w:right w:val="none" w:sz="0" w:space="0" w:color="auto"/>
              </w:divBdr>
            </w:div>
            <w:div w:id="1867870066">
              <w:marLeft w:val="0"/>
              <w:marRight w:val="0"/>
              <w:marTop w:val="0"/>
              <w:marBottom w:val="0"/>
              <w:divBdr>
                <w:top w:val="none" w:sz="0" w:space="0" w:color="auto"/>
                <w:left w:val="none" w:sz="0" w:space="0" w:color="auto"/>
                <w:bottom w:val="none" w:sz="0" w:space="0" w:color="auto"/>
                <w:right w:val="none" w:sz="0" w:space="0" w:color="auto"/>
              </w:divBdr>
            </w:div>
            <w:div w:id="1907378170">
              <w:marLeft w:val="0"/>
              <w:marRight w:val="0"/>
              <w:marTop w:val="0"/>
              <w:marBottom w:val="0"/>
              <w:divBdr>
                <w:top w:val="none" w:sz="0" w:space="0" w:color="auto"/>
                <w:left w:val="none" w:sz="0" w:space="0" w:color="auto"/>
                <w:bottom w:val="none" w:sz="0" w:space="0" w:color="auto"/>
                <w:right w:val="none" w:sz="0" w:space="0" w:color="auto"/>
              </w:divBdr>
            </w:div>
          </w:divsChild>
        </w:div>
        <w:div w:id="537278072">
          <w:marLeft w:val="0"/>
          <w:marRight w:val="0"/>
          <w:marTop w:val="0"/>
          <w:marBottom w:val="0"/>
          <w:divBdr>
            <w:top w:val="none" w:sz="0" w:space="0" w:color="auto"/>
            <w:left w:val="none" w:sz="0" w:space="0" w:color="auto"/>
            <w:bottom w:val="none" w:sz="0" w:space="0" w:color="auto"/>
            <w:right w:val="none" w:sz="0" w:space="0" w:color="auto"/>
          </w:divBdr>
          <w:divsChild>
            <w:div w:id="1199471712">
              <w:marLeft w:val="-75"/>
              <w:marRight w:val="0"/>
              <w:marTop w:val="30"/>
              <w:marBottom w:val="30"/>
              <w:divBdr>
                <w:top w:val="none" w:sz="0" w:space="0" w:color="auto"/>
                <w:left w:val="none" w:sz="0" w:space="0" w:color="auto"/>
                <w:bottom w:val="none" w:sz="0" w:space="0" w:color="auto"/>
                <w:right w:val="none" w:sz="0" w:space="0" w:color="auto"/>
              </w:divBdr>
              <w:divsChild>
                <w:div w:id="27920828">
                  <w:marLeft w:val="0"/>
                  <w:marRight w:val="0"/>
                  <w:marTop w:val="0"/>
                  <w:marBottom w:val="0"/>
                  <w:divBdr>
                    <w:top w:val="none" w:sz="0" w:space="0" w:color="auto"/>
                    <w:left w:val="none" w:sz="0" w:space="0" w:color="auto"/>
                    <w:bottom w:val="none" w:sz="0" w:space="0" w:color="auto"/>
                    <w:right w:val="none" w:sz="0" w:space="0" w:color="auto"/>
                  </w:divBdr>
                  <w:divsChild>
                    <w:div w:id="1949581673">
                      <w:marLeft w:val="0"/>
                      <w:marRight w:val="0"/>
                      <w:marTop w:val="0"/>
                      <w:marBottom w:val="0"/>
                      <w:divBdr>
                        <w:top w:val="none" w:sz="0" w:space="0" w:color="auto"/>
                        <w:left w:val="none" w:sz="0" w:space="0" w:color="auto"/>
                        <w:bottom w:val="none" w:sz="0" w:space="0" w:color="auto"/>
                        <w:right w:val="none" w:sz="0" w:space="0" w:color="auto"/>
                      </w:divBdr>
                    </w:div>
                  </w:divsChild>
                </w:div>
                <w:div w:id="120804558">
                  <w:marLeft w:val="0"/>
                  <w:marRight w:val="0"/>
                  <w:marTop w:val="0"/>
                  <w:marBottom w:val="0"/>
                  <w:divBdr>
                    <w:top w:val="none" w:sz="0" w:space="0" w:color="auto"/>
                    <w:left w:val="none" w:sz="0" w:space="0" w:color="auto"/>
                    <w:bottom w:val="none" w:sz="0" w:space="0" w:color="auto"/>
                    <w:right w:val="none" w:sz="0" w:space="0" w:color="auto"/>
                  </w:divBdr>
                  <w:divsChild>
                    <w:div w:id="1403680703">
                      <w:marLeft w:val="0"/>
                      <w:marRight w:val="0"/>
                      <w:marTop w:val="0"/>
                      <w:marBottom w:val="0"/>
                      <w:divBdr>
                        <w:top w:val="none" w:sz="0" w:space="0" w:color="auto"/>
                        <w:left w:val="none" w:sz="0" w:space="0" w:color="auto"/>
                        <w:bottom w:val="none" w:sz="0" w:space="0" w:color="auto"/>
                        <w:right w:val="none" w:sz="0" w:space="0" w:color="auto"/>
                      </w:divBdr>
                    </w:div>
                  </w:divsChild>
                </w:div>
                <w:div w:id="133184718">
                  <w:marLeft w:val="0"/>
                  <w:marRight w:val="0"/>
                  <w:marTop w:val="0"/>
                  <w:marBottom w:val="0"/>
                  <w:divBdr>
                    <w:top w:val="none" w:sz="0" w:space="0" w:color="auto"/>
                    <w:left w:val="none" w:sz="0" w:space="0" w:color="auto"/>
                    <w:bottom w:val="none" w:sz="0" w:space="0" w:color="auto"/>
                    <w:right w:val="none" w:sz="0" w:space="0" w:color="auto"/>
                  </w:divBdr>
                  <w:divsChild>
                    <w:div w:id="249775716">
                      <w:marLeft w:val="0"/>
                      <w:marRight w:val="0"/>
                      <w:marTop w:val="0"/>
                      <w:marBottom w:val="0"/>
                      <w:divBdr>
                        <w:top w:val="none" w:sz="0" w:space="0" w:color="auto"/>
                        <w:left w:val="none" w:sz="0" w:space="0" w:color="auto"/>
                        <w:bottom w:val="none" w:sz="0" w:space="0" w:color="auto"/>
                        <w:right w:val="none" w:sz="0" w:space="0" w:color="auto"/>
                      </w:divBdr>
                    </w:div>
                  </w:divsChild>
                </w:div>
                <w:div w:id="285738446">
                  <w:marLeft w:val="0"/>
                  <w:marRight w:val="0"/>
                  <w:marTop w:val="0"/>
                  <w:marBottom w:val="0"/>
                  <w:divBdr>
                    <w:top w:val="none" w:sz="0" w:space="0" w:color="auto"/>
                    <w:left w:val="none" w:sz="0" w:space="0" w:color="auto"/>
                    <w:bottom w:val="none" w:sz="0" w:space="0" w:color="auto"/>
                    <w:right w:val="none" w:sz="0" w:space="0" w:color="auto"/>
                  </w:divBdr>
                  <w:divsChild>
                    <w:div w:id="1225943875">
                      <w:marLeft w:val="0"/>
                      <w:marRight w:val="0"/>
                      <w:marTop w:val="0"/>
                      <w:marBottom w:val="0"/>
                      <w:divBdr>
                        <w:top w:val="none" w:sz="0" w:space="0" w:color="auto"/>
                        <w:left w:val="none" w:sz="0" w:space="0" w:color="auto"/>
                        <w:bottom w:val="none" w:sz="0" w:space="0" w:color="auto"/>
                        <w:right w:val="none" w:sz="0" w:space="0" w:color="auto"/>
                      </w:divBdr>
                    </w:div>
                  </w:divsChild>
                </w:div>
                <w:div w:id="380131448">
                  <w:marLeft w:val="0"/>
                  <w:marRight w:val="0"/>
                  <w:marTop w:val="0"/>
                  <w:marBottom w:val="0"/>
                  <w:divBdr>
                    <w:top w:val="none" w:sz="0" w:space="0" w:color="auto"/>
                    <w:left w:val="none" w:sz="0" w:space="0" w:color="auto"/>
                    <w:bottom w:val="none" w:sz="0" w:space="0" w:color="auto"/>
                    <w:right w:val="none" w:sz="0" w:space="0" w:color="auto"/>
                  </w:divBdr>
                  <w:divsChild>
                    <w:div w:id="969550404">
                      <w:marLeft w:val="0"/>
                      <w:marRight w:val="0"/>
                      <w:marTop w:val="0"/>
                      <w:marBottom w:val="0"/>
                      <w:divBdr>
                        <w:top w:val="none" w:sz="0" w:space="0" w:color="auto"/>
                        <w:left w:val="none" w:sz="0" w:space="0" w:color="auto"/>
                        <w:bottom w:val="none" w:sz="0" w:space="0" w:color="auto"/>
                        <w:right w:val="none" w:sz="0" w:space="0" w:color="auto"/>
                      </w:divBdr>
                    </w:div>
                  </w:divsChild>
                </w:div>
                <w:div w:id="383795362">
                  <w:marLeft w:val="0"/>
                  <w:marRight w:val="0"/>
                  <w:marTop w:val="0"/>
                  <w:marBottom w:val="0"/>
                  <w:divBdr>
                    <w:top w:val="none" w:sz="0" w:space="0" w:color="auto"/>
                    <w:left w:val="none" w:sz="0" w:space="0" w:color="auto"/>
                    <w:bottom w:val="none" w:sz="0" w:space="0" w:color="auto"/>
                    <w:right w:val="none" w:sz="0" w:space="0" w:color="auto"/>
                  </w:divBdr>
                  <w:divsChild>
                    <w:div w:id="1817142743">
                      <w:marLeft w:val="0"/>
                      <w:marRight w:val="0"/>
                      <w:marTop w:val="0"/>
                      <w:marBottom w:val="0"/>
                      <w:divBdr>
                        <w:top w:val="none" w:sz="0" w:space="0" w:color="auto"/>
                        <w:left w:val="none" w:sz="0" w:space="0" w:color="auto"/>
                        <w:bottom w:val="none" w:sz="0" w:space="0" w:color="auto"/>
                        <w:right w:val="none" w:sz="0" w:space="0" w:color="auto"/>
                      </w:divBdr>
                    </w:div>
                  </w:divsChild>
                </w:div>
                <w:div w:id="494953389">
                  <w:marLeft w:val="0"/>
                  <w:marRight w:val="0"/>
                  <w:marTop w:val="0"/>
                  <w:marBottom w:val="0"/>
                  <w:divBdr>
                    <w:top w:val="none" w:sz="0" w:space="0" w:color="auto"/>
                    <w:left w:val="none" w:sz="0" w:space="0" w:color="auto"/>
                    <w:bottom w:val="none" w:sz="0" w:space="0" w:color="auto"/>
                    <w:right w:val="none" w:sz="0" w:space="0" w:color="auto"/>
                  </w:divBdr>
                  <w:divsChild>
                    <w:div w:id="1306004441">
                      <w:marLeft w:val="0"/>
                      <w:marRight w:val="0"/>
                      <w:marTop w:val="0"/>
                      <w:marBottom w:val="0"/>
                      <w:divBdr>
                        <w:top w:val="none" w:sz="0" w:space="0" w:color="auto"/>
                        <w:left w:val="none" w:sz="0" w:space="0" w:color="auto"/>
                        <w:bottom w:val="none" w:sz="0" w:space="0" w:color="auto"/>
                        <w:right w:val="none" w:sz="0" w:space="0" w:color="auto"/>
                      </w:divBdr>
                    </w:div>
                  </w:divsChild>
                </w:div>
                <w:div w:id="495651445">
                  <w:marLeft w:val="0"/>
                  <w:marRight w:val="0"/>
                  <w:marTop w:val="0"/>
                  <w:marBottom w:val="0"/>
                  <w:divBdr>
                    <w:top w:val="none" w:sz="0" w:space="0" w:color="auto"/>
                    <w:left w:val="none" w:sz="0" w:space="0" w:color="auto"/>
                    <w:bottom w:val="none" w:sz="0" w:space="0" w:color="auto"/>
                    <w:right w:val="none" w:sz="0" w:space="0" w:color="auto"/>
                  </w:divBdr>
                  <w:divsChild>
                    <w:div w:id="160314462">
                      <w:marLeft w:val="0"/>
                      <w:marRight w:val="0"/>
                      <w:marTop w:val="0"/>
                      <w:marBottom w:val="0"/>
                      <w:divBdr>
                        <w:top w:val="none" w:sz="0" w:space="0" w:color="auto"/>
                        <w:left w:val="none" w:sz="0" w:space="0" w:color="auto"/>
                        <w:bottom w:val="none" w:sz="0" w:space="0" w:color="auto"/>
                        <w:right w:val="none" w:sz="0" w:space="0" w:color="auto"/>
                      </w:divBdr>
                    </w:div>
                    <w:div w:id="604726630">
                      <w:marLeft w:val="0"/>
                      <w:marRight w:val="0"/>
                      <w:marTop w:val="0"/>
                      <w:marBottom w:val="0"/>
                      <w:divBdr>
                        <w:top w:val="none" w:sz="0" w:space="0" w:color="auto"/>
                        <w:left w:val="none" w:sz="0" w:space="0" w:color="auto"/>
                        <w:bottom w:val="none" w:sz="0" w:space="0" w:color="auto"/>
                        <w:right w:val="none" w:sz="0" w:space="0" w:color="auto"/>
                      </w:divBdr>
                    </w:div>
                  </w:divsChild>
                </w:div>
                <w:div w:id="517741526">
                  <w:marLeft w:val="0"/>
                  <w:marRight w:val="0"/>
                  <w:marTop w:val="0"/>
                  <w:marBottom w:val="0"/>
                  <w:divBdr>
                    <w:top w:val="none" w:sz="0" w:space="0" w:color="auto"/>
                    <w:left w:val="none" w:sz="0" w:space="0" w:color="auto"/>
                    <w:bottom w:val="none" w:sz="0" w:space="0" w:color="auto"/>
                    <w:right w:val="none" w:sz="0" w:space="0" w:color="auto"/>
                  </w:divBdr>
                  <w:divsChild>
                    <w:div w:id="673917275">
                      <w:marLeft w:val="0"/>
                      <w:marRight w:val="0"/>
                      <w:marTop w:val="0"/>
                      <w:marBottom w:val="0"/>
                      <w:divBdr>
                        <w:top w:val="none" w:sz="0" w:space="0" w:color="auto"/>
                        <w:left w:val="none" w:sz="0" w:space="0" w:color="auto"/>
                        <w:bottom w:val="none" w:sz="0" w:space="0" w:color="auto"/>
                        <w:right w:val="none" w:sz="0" w:space="0" w:color="auto"/>
                      </w:divBdr>
                    </w:div>
                  </w:divsChild>
                </w:div>
                <w:div w:id="528683506">
                  <w:marLeft w:val="0"/>
                  <w:marRight w:val="0"/>
                  <w:marTop w:val="0"/>
                  <w:marBottom w:val="0"/>
                  <w:divBdr>
                    <w:top w:val="none" w:sz="0" w:space="0" w:color="auto"/>
                    <w:left w:val="none" w:sz="0" w:space="0" w:color="auto"/>
                    <w:bottom w:val="none" w:sz="0" w:space="0" w:color="auto"/>
                    <w:right w:val="none" w:sz="0" w:space="0" w:color="auto"/>
                  </w:divBdr>
                  <w:divsChild>
                    <w:div w:id="159153205">
                      <w:marLeft w:val="0"/>
                      <w:marRight w:val="0"/>
                      <w:marTop w:val="0"/>
                      <w:marBottom w:val="0"/>
                      <w:divBdr>
                        <w:top w:val="none" w:sz="0" w:space="0" w:color="auto"/>
                        <w:left w:val="none" w:sz="0" w:space="0" w:color="auto"/>
                        <w:bottom w:val="none" w:sz="0" w:space="0" w:color="auto"/>
                        <w:right w:val="none" w:sz="0" w:space="0" w:color="auto"/>
                      </w:divBdr>
                    </w:div>
                  </w:divsChild>
                </w:div>
                <w:div w:id="704406322">
                  <w:marLeft w:val="0"/>
                  <w:marRight w:val="0"/>
                  <w:marTop w:val="0"/>
                  <w:marBottom w:val="0"/>
                  <w:divBdr>
                    <w:top w:val="none" w:sz="0" w:space="0" w:color="auto"/>
                    <w:left w:val="none" w:sz="0" w:space="0" w:color="auto"/>
                    <w:bottom w:val="none" w:sz="0" w:space="0" w:color="auto"/>
                    <w:right w:val="none" w:sz="0" w:space="0" w:color="auto"/>
                  </w:divBdr>
                  <w:divsChild>
                    <w:div w:id="45876178">
                      <w:marLeft w:val="0"/>
                      <w:marRight w:val="0"/>
                      <w:marTop w:val="0"/>
                      <w:marBottom w:val="0"/>
                      <w:divBdr>
                        <w:top w:val="none" w:sz="0" w:space="0" w:color="auto"/>
                        <w:left w:val="none" w:sz="0" w:space="0" w:color="auto"/>
                        <w:bottom w:val="none" w:sz="0" w:space="0" w:color="auto"/>
                        <w:right w:val="none" w:sz="0" w:space="0" w:color="auto"/>
                      </w:divBdr>
                    </w:div>
                    <w:div w:id="452211419">
                      <w:marLeft w:val="0"/>
                      <w:marRight w:val="0"/>
                      <w:marTop w:val="0"/>
                      <w:marBottom w:val="0"/>
                      <w:divBdr>
                        <w:top w:val="none" w:sz="0" w:space="0" w:color="auto"/>
                        <w:left w:val="none" w:sz="0" w:space="0" w:color="auto"/>
                        <w:bottom w:val="none" w:sz="0" w:space="0" w:color="auto"/>
                        <w:right w:val="none" w:sz="0" w:space="0" w:color="auto"/>
                      </w:divBdr>
                    </w:div>
                  </w:divsChild>
                </w:div>
                <w:div w:id="745692669">
                  <w:marLeft w:val="0"/>
                  <w:marRight w:val="0"/>
                  <w:marTop w:val="0"/>
                  <w:marBottom w:val="0"/>
                  <w:divBdr>
                    <w:top w:val="none" w:sz="0" w:space="0" w:color="auto"/>
                    <w:left w:val="none" w:sz="0" w:space="0" w:color="auto"/>
                    <w:bottom w:val="none" w:sz="0" w:space="0" w:color="auto"/>
                    <w:right w:val="none" w:sz="0" w:space="0" w:color="auto"/>
                  </w:divBdr>
                  <w:divsChild>
                    <w:div w:id="736436381">
                      <w:marLeft w:val="0"/>
                      <w:marRight w:val="0"/>
                      <w:marTop w:val="0"/>
                      <w:marBottom w:val="0"/>
                      <w:divBdr>
                        <w:top w:val="none" w:sz="0" w:space="0" w:color="auto"/>
                        <w:left w:val="none" w:sz="0" w:space="0" w:color="auto"/>
                        <w:bottom w:val="none" w:sz="0" w:space="0" w:color="auto"/>
                        <w:right w:val="none" w:sz="0" w:space="0" w:color="auto"/>
                      </w:divBdr>
                    </w:div>
                  </w:divsChild>
                </w:div>
                <w:div w:id="782306372">
                  <w:marLeft w:val="0"/>
                  <w:marRight w:val="0"/>
                  <w:marTop w:val="0"/>
                  <w:marBottom w:val="0"/>
                  <w:divBdr>
                    <w:top w:val="none" w:sz="0" w:space="0" w:color="auto"/>
                    <w:left w:val="none" w:sz="0" w:space="0" w:color="auto"/>
                    <w:bottom w:val="none" w:sz="0" w:space="0" w:color="auto"/>
                    <w:right w:val="none" w:sz="0" w:space="0" w:color="auto"/>
                  </w:divBdr>
                  <w:divsChild>
                    <w:div w:id="65496926">
                      <w:marLeft w:val="0"/>
                      <w:marRight w:val="0"/>
                      <w:marTop w:val="0"/>
                      <w:marBottom w:val="0"/>
                      <w:divBdr>
                        <w:top w:val="none" w:sz="0" w:space="0" w:color="auto"/>
                        <w:left w:val="none" w:sz="0" w:space="0" w:color="auto"/>
                        <w:bottom w:val="none" w:sz="0" w:space="0" w:color="auto"/>
                        <w:right w:val="none" w:sz="0" w:space="0" w:color="auto"/>
                      </w:divBdr>
                    </w:div>
                  </w:divsChild>
                </w:div>
                <w:div w:id="825896921">
                  <w:marLeft w:val="0"/>
                  <w:marRight w:val="0"/>
                  <w:marTop w:val="0"/>
                  <w:marBottom w:val="0"/>
                  <w:divBdr>
                    <w:top w:val="none" w:sz="0" w:space="0" w:color="auto"/>
                    <w:left w:val="none" w:sz="0" w:space="0" w:color="auto"/>
                    <w:bottom w:val="none" w:sz="0" w:space="0" w:color="auto"/>
                    <w:right w:val="none" w:sz="0" w:space="0" w:color="auto"/>
                  </w:divBdr>
                  <w:divsChild>
                    <w:div w:id="661549123">
                      <w:marLeft w:val="0"/>
                      <w:marRight w:val="0"/>
                      <w:marTop w:val="0"/>
                      <w:marBottom w:val="0"/>
                      <w:divBdr>
                        <w:top w:val="none" w:sz="0" w:space="0" w:color="auto"/>
                        <w:left w:val="none" w:sz="0" w:space="0" w:color="auto"/>
                        <w:bottom w:val="none" w:sz="0" w:space="0" w:color="auto"/>
                        <w:right w:val="none" w:sz="0" w:space="0" w:color="auto"/>
                      </w:divBdr>
                    </w:div>
                    <w:div w:id="1753500502">
                      <w:marLeft w:val="0"/>
                      <w:marRight w:val="0"/>
                      <w:marTop w:val="0"/>
                      <w:marBottom w:val="0"/>
                      <w:divBdr>
                        <w:top w:val="none" w:sz="0" w:space="0" w:color="auto"/>
                        <w:left w:val="none" w:sz="0" w:space="0" w:color="auto"/>
                        <w:bottom w:val="none" w:sz="0" w:space="0" w:color="auto"/>
                        <w:right w:val="none" w:sz="0" w:space="0" w:color="auto"/>
                      </w:divBdr>
                    </w:div>
                  </w:divsChild>
                </w:div>
                <w:div w:id="917860308">
                  <w:marLeft w:val="0"/>
                  <w:marRight w:val="0"/>
                  <w:marTop w:val="0"/>
                  <w:marBottom w:val="0"/>
                  <w:divBdr>
                    <w:top w:val="none" w:sz="0" w:space="0" w:color="auto"/>
                    <w:left w:val="none" w:sz="0" w:space="0" w:color="auto"/>
                    <w:bottom w:val="none" w:sz="0" w:space="0" w:color="auto"/>
                    <w:right w:val="none" w:sz="0" w:space="0" w:color="auto"/>
                  </w:divBdr>
                  <w:divsChild>
                    <w:div w:id="611938967">
                      <w:marLeft w:val="0"/>
                      <w:marRight w:val="0"/>
                      <w:marTop w:val="0"/>
                      <w:marBottom w:val="0"/>
                      <w:divBdr>
                        <w:top w:val="none" w:sz="0" w:space="0" w:color="auto"/>
                        <w:left w:val="none" w:sz="0" w:space="0" w:color="auto"/>
                        <w:bottom w:val="none" w:sz="0" w:space="0" w:color="auto"/>
                        <w:right w:val="none" w:sz="0" w:space="0" w:color="auto"/>
                      </w:divBdr>
                    </w:div>
                  </w:divsChild>
                </w:div>
                <w:div w:id="929969123">
                  <w:marLeft w:val="0"/>
                  <w:marRight w:val="0"/>
                  <w:marTop w:val="0"/>
                  <w:marBottom w:val="0"/>
                  <w:divBdr>
                    <w:top w:val="none" w:sz="0" w:space="0" w:color="auto"/>
                    <w:left w:val="none" w:sz="0" w:space="0" w:color="auto"/>
                    <w:bottom w:val="none" w:sz="0" w:space="0" w:color="auto"/>
                    <w:right w:val="none" w:sz="0" w:space="0" w:color="auto"/>
                  </w:divBdr>
                  <w:divsChild>
                    <w:div w:id="301741615">
                      <w:marLeft w:val="0"/>
                      <w:marRight w:val="0"/>
                      <w:marTop w:val="0"/>
                      <w:marBottom w:val="0"/>
                      <w:divBdr>
                        <w:top w:val="none" w:sz="0" w:space="0" w:color="auto"/>
                        <w:left w:val="none" w:sz="0" w:space="0" w:color="auto"/>
                        <w:bottom w:val="none" w:sz="0" w:space="0" w:color="auto"/>
                        <w:right w:val="none" w:sz="0" w:space="0" w:color="auto"/>
                      </w:divBdr>
                    </w:div>
                  </w:divsChild>
                </w:div>
                <w:div w:id="959258941">
                  <w:marLeft w:val="0"/>
                  <w:marRight w:val="0"/>
                  <w:marTop w:val="0"/>
                  <w:marBottom w:val="0"/>
                  <w:divBdr>
                    <w:top w:val="none" w:sz="0" w:space="0" w:color="auto"/>
                    <w:left w:val="none" w:sz="0" w:space="0" w:color="auto"/>
                    <w:bottom w:val="none" w:sz="0" w:space="0" w:color="auto"/>
                    <w:right w:val="none" w:sz="0" w:space="0" w:color="auto"/>
                  </w:divBdr>
                  <w:divsChild>
                    <w:div w:id="1524130674">
                      <w:marLeft w:val="0"/>
                      <w:marRight w:val="0"/>
                      <w:marTop w:val="0"/>
                      <w:marBottom w:val="0"/>
                      <w:divBdr>
                        <w:top w:val="none" w:sz="0" w:space="0" w:color="auto"/>
                        <w:left w:val="none" w:sz="0" w:space="0" w:color="auto"/>
                        <w:bottom w:val="none" w:sz="0" w:space="0" w:color="auto"/>
                        <w:right w:val="none" w:sz="0" w:space="0" w:color="auto"/>
                      </w:divBdr>
                    </w:div>
                  </w:divsChild>
                </w:div>
                <w:div w:id="988562076">
                  <w:marLeft w:val="0"/>
                  <w:marRight w:val="0"/>
                  <w:marTop w:val="0"/>
                  <w:marBottom w:val="0"/>
                  <w:divBdr>
                    <w:top w:val="none" w:sz="0" w:space="0" w:color="auto"/>
                    <w:left w:val="none" w:sz="0" w:space="0" w:color="auto"/>
                    <w:bottom w:val="none" w:sz="0" w:space="0" w:color="auto"/>
                    <w:right w:val="none" w:sz="0" w:space="0" w:color="auto"/>
                  </w:divBdr>
                  <w:divsChild>
                    <w:div w:id="897976422">
                      <w:marLeft w:val="0"/>
                      <w:marRight w:val="0"/>
                      <w:marTop w:val="0"/>
                      <w:marBottom w:val="0"/>
                      <w:divBdr>
                        <w:top w:val="none" w:sz="0" w:space="0" w:color="auto"/>
                        <w:left w:val="none" w:sz="0" w:space="0" w:color="auto"/>
                        <w:bottom w:val="none" w:sz="0" w:space="0" w:color="auto"/>
                        <w:right w:val="none" w:sz="0" w:space="0" w:color="auto"/>
                      </w:divBdr>
                    </w:div>
                  </w:divsChild>
                </w:div>
                <w:div w:id="1015108786">
                  <w:marLeft w:val="0"/>
                  <w:marRight w:val="0"/>
                  <w:marTop w:val="0"/>
                  <w:marBottom w:val="0"/>
                  <w:divBdr>
                    <w:top w:val="none" w:sz="0" w:space="0" w:color="auto"/>
                    <w:left w:val="none" w:sz="0" w:space="0" w:color="auto"/>
                    <w:bottom w:val="none" w:sz="0" w:space="0" w:color="auto"/>
                    <w:right w:val="none" w:sz="0" w:space="0" w:color="auto"/>
                  </w:divBdr>
                  <w:divsChild>
                    <w:div w:id="42486777">
                      <w:marLeft w:val="0"/>
                      <w:marRight w:val="0"/>
                      <w:marTop w:val="0"/>
                      <w:marBottom w:val="0"/>
                      <w:divBdr>
                        <w:top w:val="none" w:sz="0" w:space="0" w:color="auto"/>
                        <w:left w:val="none" w:sz="0" w:space="0" w:color="auto"/>
                        <w:bottom w:val="none" w:sz="0" w:space="0" w:color="auto"/>
                        <w:right w:val="none" w:sz="0" w:space="0" w:color="auto"/>
                      </w:divBdr>
                    </w:div>
                  </w:divsChild>
                </w:div>
                <w:div w:id="1268659431">
                  <w:marLeft w:val="0"/>
                  <w:marRight w:val="0"/>
                  <w:marTop w:val="0"/>
                  <w:marBottom w:val="0"/>
                  <w:divBdr>
                    <w:top w:val="none" w:sz="0" w:space="0" w:color="auto"/>
                    <w:left w:val="none" w:sz="0" w:space="0" w:color="auto"/>
                    <w:bottom w:val="none" w:sz="0" w:space="0" w:color="auto"/>
                    <w:right w:val="none" w:sz="0" w:space="0" w:color="auto"/>
                  </w:divBdr>
                  <w:divsChild>
                    <w:div w:id="2067949804">
                      <w:marLeft w:val="0"/>
                      <w:marRight w:val="0"/>
                      <w:marTop w:val="0"/>
                      <w:marBottom w:val="0"/>
                      <w:divBdr>
                        <w:top w:val="none" w:sz="0" w:space="0" w:color="auto"/>
                        <w:left w:val="none" w:sz="0" w:space="0" w:color="auto"/>
                        <w:bottom w:val="none" w:sz="0" w:space="0" w:color="auto"/>
                        <w:right w:val="none" w:sz="0" w:space="0" w:color="auto"/>
                      </w:divBdr>
                    </w:div>
                  </w:divsChild>
                </w:div>
                <w:div w:id="1308819646">
                  <w:marLeft w:val="0"/>
                  <w:marRight w:val="0"/>
                  <w:marTop w:val="0"/>
                  <w:marBottom w:val="0"/>
                  <w:divBdr>
                    <w:top w:val="none" w:sz="0" w:space="0" w:color="auto"/>
                    <w:left w:val="none" w:sz="0" w:space="0" w:color="auto"/>
                    <w:bottom w:val="none" w:sz="0" w:space="0" w:color="auto"/>
                    <w:right w:val="none" w:sz="0" w:space="0" w:color="auto"/>
                  </w:divBdr>
                  <w:divsChild>
                    <w:div w:id="865869514">
                      <w:marLeft w:val="0"/>
                      <w:marRight w:val="0"/>
                      <w:marTop w:val="0"/>
                      <w:marBottom w:val="0"/>
                      <w:divBdr>
                        <w:top w:val="none" w:sz="0" w:space="0" w:color="auto"/>
                        <w:left w:val="none" w:sz="0" w:space="0" w:color="auto"/>
                        <w:bottom w:val="none" w:sz="0" w:space="0" w:color="auto"/>
                        <w:right w:val="none" w:sz="0" w:space="0" w:color="auto"/>
                      </w:divBdr>
                    </w:div>
                  </w:divsChild>
                </w:div>
                <w:div w:id="1559780877">
                  <w:marLeft w:val="0"/>
                  <w:marRight w:val="0"/>
                  <w:marTop w:val="0"/>
                  <w:marBottom w:val="0"/>
                  <w:divBdr>
                    <w:top w:val="none" w:sz="0" w:space="0" w:color="auto"/>
                    <w:left w:val="none" w:sz="0" w:space="0" w:color="auto"/>
                    <w:bottom w:val="none" w:sz="0" w:space="0" w:color="auto"/>
                    <w:right w:val="none" w:sz="0" w:space="0" w:color="auto"/>
                  </w:divBdr>
                  <w:divsChild>
                    <w:div w:id="946081449">
                      <w:marLeft w:val="0"/>
                      <w:marRight w:val="0"/>
                      <w:marTop w:val="0"/>
                      <w:marBottom w:val="0"/>
                      <w:divBdr>
                        <w:top w:val="none" w:sz="0" w:space="0" w:color="auto"/>
                        <w:left w:val="none" w:sz="0" w:space="0" w:color="auto"/>
                        <w:bottom w:val="none" w:sz="0" w:space="0" w:color="auto"/>
                        <w:right w:val="none" w:sz="0" w:space="0" w:color="auto"/>
                      </w:divBdr>
                    </w:div>
                    <w:div w:id="2009164286">
                      <w:marLeft w:val="0"/>
                      <w:marRight w:val="0"/>
                      <w:marTop w:val="0"/>
                      <w:marBottom w:val="0"/>
                      <w:divBdr>
                        <w:top w:val="none" w:sz="0" w:space="0" w:color="auto"/>
                        <w:left w:val="none" w:sz="0" w:space="0" w:color="auto"/>
                        <w:bottom w:val="none" w:sz="0" w:space="0" w:color="auto"/>
                        <w:right w:val="none" w:sz="0" w:space="0" w:color="auto"/>
                      </w:divBdr>
                    </w:div>
                  </w:divsChild>
                </w:div>
                <w:div w:id="1598245697">
                  <w:marLeft w:val="0"/>
                  <w:marRight w:val="0"/>
                  <w:marTop w:val="0"/>
                  <w:marBottom w:val="0"/>
                  <w:divBdr>
                    <w:top w:val="none" w:sz="0" w:space="0" w:color="auto"/>
                    <w:left w:val="none" w:sz="0" w:space="0" w:color="auto"/>
                    <w:bottom w:val="none" w:sz="0" w:space="0" w:color="auto"/>
                    <w:right w:val="none" w:sz="0" w:space="0" w:color="auto"/>
                  </w:divBdr>
                  <w:divsChild>
                    <w:div w:id="1056248008">
                      <w:marLeft w:val="0"/>
                      <w:marRight w:val="0"/>
                      <w:marTop w:val="0"/>
                      <w:marBottom w:val="0"/>
                      <w:divBdr>
                        <w:top w:val="none" w:sz="0" w:space="0" w:color="auto"/>
                        <w:left w:val="none" w:sz="0" w:space="0" w:color="auto"/>
                        <w:bottom w:val="none" w:sz="0" w:space="0" w:color="auto"/>
                        <w:right w:val="none" w:sz="0" w:space="0" w:color="auto"/>
                      </w:divBdr>
                    </w:div>
                  </w:divsChild>
                </w:div>
                <w:div w:id="1609851773">
                  <w:marLeft w:val="0"/>
                  <w:marRight w:val="0"/>
                  <w:marTop w:val="0"/>
                  <w:marBottom w:val="0"/>
                  <w:divBdr>
                    <w:top w:val="none" w:sz="0" w:space="0" w:color="auto"/>
                    <w:left w:val="none" w:sz="0" w:space="0" w:color="auto"/>
                    <w:bottom w:val="none" w:sz="0" w:space="0" w:color="auto"/>
                    <w:right w:val="none" w:sz="0" w:space="0" w:color="auto"/>
                  </w:divBdr>
                  <w:divsChild>
                    <w:div w:id="1063599901">
                      <w:marLeft w:val="0"/>
                      <w:marRight w:val="0"/>
                      <w:marTop w:val="0"/>
                      <w:marBottom w:val="0"/>
                      <w:divBdr>
                        <w:top w:val="none" w:sz="0" w:space="0" w:color="auto"/>
                        <w:left w:val="none" w:sz="0" w:space="0" w:color="auto"/>
                        <w:bottom w:val="none" w:sz="0" w:space="0" w:color="auto"/>
                        <w:right w:val="none" w:sz="0" w:space="0" w:color="auto"/>
                      </w:divBdr>
                    </w:div>
                    <w:div w:id="1697340932">
                      <w:marLeft w:val="0"/>
                      <w:marRight w:val="0"/>
                      <w:marTop w:val="0"/>
                      <w:marBottom w:val="0"/>
                      <w:divBdr>
                        <w:top w:val="none" w:sz="0" w:space="0" w:color="auto"/>
                        <w:left w:val="none" w:sz="0" w:space="0" w:color="auto"/>
                        <w:bottom w:val="none" w:sz="0" w:space="0" w:color="auto"/>
                        <w:right w:val="none" w:sz="0" w:space="0" w:color="auto"/>
                      </w:divBdr>
                    </w:div>
                  </w:divsChild>
                </w:div>
                <w:div w:id="1692032240">
                  <w:marLeft w:val="0"/>
                  <w:marRight w:val="0"/>
                  <w:marTop w:val="0"/>
                  <w:marBottom w:val="0"/>
                  <w:divBdr>
                    <w:top w:val="none" w:sz="0" w:space="0" w:color="auto"/>
                    <w:left w:val="none" w:sz="0" w:space="0" w:color="auto"/>
                    <w:bottom w:val="none" w:sz="0" w:space="0" w:color="auto"/>
                    <w:right w:val="none" w:sz="0" w:space="0" w:color="auto"/>
                  </w:divBdr>
                  <w:divsChild>
                    <w:div w:id="1062607136">
                      <w:marLeft w:val="0"/>
                      <w:marRight w:val="0"/>
                      <w:marTop w:val="0"/>
                      <w:marBottom w:val="0"/>
                      <w:divBdr>
                        <w:top w:val="none" w:sz="0" w:space="0" w:color="auto"/>
                        <w:left w:val="none" w:sz="0" w:space="0" w:color="auto"/>
                        <w:bottom w:val="none" w:sz="0" w:space="0" w:color="auto"/>
                        <w:right w:val="none" w:sz="0" w:space="0" w:color="auto"/>
                      </w:divBdr>
                    </w:div>
                  </w:divsChild>
                </w:div>
                <w:div w:id="1712725246">
                  <w:marLeft w:val="0"/>
                  <w:marRight w:val="0"/>
                  <w:marTop w:val="0"/>
                  <w:marBottom w:val="0"/>
                  <w:divBdr>
                    <w:top w:val="none" w:sz="0" w:space="0" w:color="auto"/>
                    <w:left w:val="none" w:sz="0" w:space="0" w:color="auto"/>
                    <w:bottom w:val="none" w:sz="0" w:space="0" w:color="auto"/>
                    <w:right w:val="none" w:sz="0" w:space="0" w:color="auto"/>
                  </w:divBdr>
                  <w:divsChild>
                    <w:div w:id="1611080812">
                      <w:marLeft w:val="0"/>
                      <w:marRight w:val="0"/>
                      <w:marTop w:val="0"/>
                      <w:marBottom w:val="0"/>
                      <w:divBdr>
                        <w:top w:val="none" w:sz="0" w:space="0" w:color="auto"/>
                        <w:left w:val="none" w:sz="0" w:space="0" w:color="auto"/>
                        <w:bottom w:val="none" w:sz="0" w:space="0" w:color="auto"/>
                        <w:right w:val="none" w:sz="0" w:space="0" w:color="auto"/>
                      </w:divBdr>
                    </w:div>
                  </w:divsChild>
                </w:div>
                <w:div w:id="1817452922">
                  <w:marLeft w:val="0"/>
                  <w:marRight w:val="0"/>
                  <w:marTop w:val="0"/>
                  <w:marBottom w:val="0"/>
                  <w:divBdr>
                    <w:top w:val="none" w:sz="0" w:space="0" w:color="auto"/>
                    <w:left w:val="none" w:sz="0" w:space="0" w:color="auto"/>
                    <w:bottom w:val="none" w:sz="0" w:space="0" w:color="auto"/>
                    <w:right w:val="none" w:sz="0" w:space="0" w:color="auto"/>
                  </w:divBdr>
                  <w:divsChild>
                    <w:div w:id="1996493107">
                      <w:marLeft w:val="0"/>
                      <w:marRight w:val="0"/>
                      <w:marTop w:val="0"/>
                      <w:marBottom w:val="0"/>
                      <w:divBdr>
                        <w:top w:val="none" w:sz="0" w:space="0" w:color="auto"/>
                        <w:left w:val="none" w:sz="0" w:space="0" w:color="auto"/>
                        <w:bottom w:val="none" w:sz="0" w:space="0" w:color="auto"/>
                        <w:right w:val="none" w:sz="0" w:space="0" w:color="auto"/>
                      </w:divBdr>
                    </w:div>
                  </w:divsChild>
                </w:div>
                <w:div w:id="1889028099">
                  <w:marLeft w:val="0"/>
                  <w:marRight w:val="0"/>
                  <w:marTop w:val="0"/>
                  <w:marBottom w:val="0"/>
                  <w:divBdr>
                    <w:top w:val="none" w:sz="0" w:space="0" w:color="auto"/>
                    <w:left w:val="none" w:sz="0" w:space="0" w:color="auto"/>
                    <w:bottom w:val="none" w:sz="0" w:space="0" w:color="auto"/>
                    <w:right w:val="none" w:sz="0" w:space="0" w:color="auto"/>
                  </w:divBdr>
                  <w:divsChild>
                    <w:div w:id="354697340">
                      <w:marLeft w:val="0"/>
                      <w:marRight w:val="0"/>
                      <w:marTop w:val="0"/>
                      <w:marBottom w:val="0"/>
                      <w:divBdr>
                        <w:top w:val="none" w:sz="0" w:space="0" w:color="auto"/>
                        <w:left w:val="none" w:sz="0" w:space="0" w:color="auto"/>
                        <w:bottom w:val="none" w:sz="0" w:space="0" w:color="auto"/>
                        <w:right w:val="none" w:sz="0" w:space="0" w:color="auto"/>
                      </w:divBdr>
                    </w:div>
                  </w:divsChild>
                </w:div>
                <w:div w:id="1897274321">
                  <w:marLeft w:val="0"/>
                  <w:marRight w:val="0"/>
                  <w:marTop w:val="0"/>
                  <w:marBottom w:val="0"/>
                  <w:divBdr>
                    <w:top w:val="none" w:sz="0" w:space="0" w:color="auto"/>
                    <w:left w:val="none" w:sz="0" w:space="0" w:color="auto"/>
                    <w:bottom w:val="none" w:sz="0" w:space="0" w:color="auto"/>
                    <w:right w:val="none" w:sz="0" w:space="0" w:color="auto"/>
                  </w:divBdr>
                  <w:divsChild>
                    <w:div w:id="2014530218">
                      <w:marLeft w:val="0"/>
                      <w:marRight w:val="0"/>
                      <w:marTop w:val="0"/>
                      <w:marBottom w:val="0"/>
                      <w:divBdr>
                        <w:top w:val="none" w:sz="0" w:space="0" w:color="auto"/>
                        <w:left w:val="none" w:sz="0" w:space="0" w:color="auto"/>
                        <w:bottom w:val="none" w:sz="0" w:space="0" w:color="auto"/>
                        <w:right w:val="none" w:sz="0" w:space="0" w:color="auto"/>
                      </w:divBdr>
                    </w:div>
                  </w:divsChild>
                </w:div>
                <w:div w:id="1941834926">
                  <w:marLeft w:val="0"/>
                  <w:marRight w:val="0"/>
                  <w:marTop w:val="0"/>
                  <w:marBottom w:val="0"/>
                  <w:divBdr>
                    <w:top w:val="none" w:sz="0" w:space="0" w:color="auto"/>
                    <w:left w:val="none" w:sz="0" w:space="0" w:color="auto"/>
                    <w:bottom w:val="none" w:sz="0" w:space="0" w:color="auto"/>
                    <w:right w:val="none" w:sz="0" w:space="0" w:color="auto"/>
                  </w:divBdr>
                  <w:divsChild>
                    <w:div w:id="2052335885">
                      <w:marLeft w:val="0"/>
                      <w:marRight w:val="0"/>
                      <w:marTop w:val="0"/>
                      <w:marBottom w:val="0"/>
                      <w:divBdr>
                        <w:top w:val="none" w:sz="0" w:space="0" w:color="auto"/>
                        <w:left w:val="none" w:sz="0" w:space="0" w:color="auto"/>
                        <w:bottom w:val="none" w:sz="0" w:space="0" w:color="auto"/>
                        <w:right w:val="none" w:sz="0" w:space="0" w:color="auto"/>
                      </w:divBdr>
                    </w:div>
                    <w:div w:id="21037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21702">
          <w:marLeft w:val="0"/>
          <w:marRight w:val="0"/>
          <w:marTop w:val="0"/>
          <w:marBottom w:val="0"/>
          <w:divBdr>
            <w:top w:val="none" w:sz="0" w:space="0" w:color="auto"/>
            <w:left w:val="none" w:sz="0" w:space="0" w:color="auto"/>
            <w:bottom w:val="none" w:sz="0" w:space="0" w:color="auto"/>
            <w:right w:val="none" w:sz="0" w:space="0" w:color="auto"/>
          </w:divBdr>
        </w:div>
        <w:div w:id="707074356">
          <w:marLeft w:val="0"/>
          <w:marRight w:val="0"/>
          <w:marTop w:val="0"/>
          <w:marBottom w:val="0"/>
          <w:divBdr>
            <w:top w:val="none" w:sz="0" w:space="0" w:color="auto"/>
            <w:left w:val="none" w:sz="0" w:space="0" w:color="auto"/>
            <w:bottom w:val="none" w:sz="0" w:space="0" w:color="auto"/>
            <w:right w:val="none" w:sz="0" w:space="0" w:color="auto"/>
          </w:divBdr>
        </w:div>
        <w:div w:id="844595099">
          <w:marLeft w:val="0"/>
          <w:marRight w:val="0"/>
          <w:marTop w:val="0"/>
          <w:marBottom w:val="0"/>
          <w:divBdr>
            <w:top w:val="none" w:sz="0" w:space="0" w:color="auto"/>
            <w:left w:val="none" w:sz="0" w:space="0" w:color="auto"/>
            <w:bottom w:val="none" w:sz="0" w:space="0" w:color="auto"/>
            <w:right w:val="none" w:sz="0" w:space="0" w:color="auto"/>
          </w:divBdr>
          <w:divsChild>
            <w:div w:id="75398553">
              <w:marLeft w:val="0"/>
              <w:marRight w:val="0"/>
              <w:marTop w:val="0"/>
              <w:marBottom w:val="0"/>
              <w:divBdr>
                <w:top w:val="none" w:sz="0" w:space="0" w:color="auto"/>
                <w:left w:val="none" w:sz="0" w:space="0" w:color="auto"/>
                <w:bottom w:val="none" w:sz="0" w:space="0" w:color="auto"/>
                <w:right w:val="none" w:sz="0" w:space="0" w:color="auto"/>
              </w:divBdr>
            </w:div>
            <w:div w:id="290325013">
              <w:marLeft w:val="0"/>
              <w:marRight w:val="0"/>
              <w:marTop w:val="0"/>
              <w:marBottom w:val="0"/>
              <w:divBdr>
                <w:top w:val="none" w:sz="0" w:space="0" w:color="auto"/>
                <w:left w:val="none" w:sz="0" w:space="0" w:color="auto"/>
                <w:bottom w:val="none" w:sz="0" w:space="0" w:color="auto"/>
                <w:right w:val="none" w:sz="0" w:space="0" w:color="auto"/>
              </w:divBdr>
            </w:div>
            <w:div w:id="314337461">
              <w:marLeft w:val="0"/>
              <w:marRight w:val="0"/>
              <w:marTop w:val="0"/>
              <w:marBottom w:val="0"/>
              <w:divBdr>
                <w:top w:val="none" w:sz="0" w:space="0" w:color="auto"/>
                <w:left w:val="none" w:sz="0" w:space="0" w:color="auto"/>
                <w:bottom w:val="none" w:sz="0" w:space="0" w:color="auto"/>
                <w:right w:val="none" w:sz="0" w:space="0" w:color="auto"/>
              </w:divBdr>
            </w:div>
            <w:div w:id="337536316">
              <w:marLeft w:val="0"/>
              <w:marRight w:val="0"/>
              <w:marTop w:val="0"/>
              <w:marBottom w:val="0"/>
              <w:divBdr>
                <w:top w:val="none" w:sz="0" w:space="0" w:color="auto"/>
                <w:left w:val="none" w:sz="0" w:space="0" w:color="auto"/>
                <w:bottom w:val="none" w:sz="0" w:space="0" w:color="auto"/>
                <w:right w:val="none" w:sz="0" w:space="0" w:color="auto"/>
              </w:divBdr>
            </w:div>
            <w:div w:id="451434891">
              <w:marLeft w:val="0"/>
              <w:marRight w:val="0"/>
              <w:marTop w:val="0"/>
              <w:marBottom w:val="0"/>
              <w:divBdr>
                <w:top w:val="none" w:sz="0" w:space="0" w:color="auto"/>
                <w:left w:val="none" w:sz="0" w:space="0" w:color="auto"/>
                <w:bottom w:val="none" w:sz="0" w:space="0" w:color="auto"/>
                <w:right w:val="none" w:sz="0" w:space="0" w:color="auto"/>
              </w:divBdr>
            </w:div>
            <w:div w:id="459417276">
              <w:marLeft w:val="0"/>
              <w:marRight w:val="0"/>
              <w:marTop w:val="0"/>
              <w:marBottom w:val="0"/>
              <w:divBdr>
                <w:top w:val="none" w:sz="0" w:space="0" w:color="auto"/>
                <w:left w:val="none" w:sz="0" w:space="0" w:color="auto"/>
                <w:bottom w:val="none" w:sz="0" w:space="0" w:color="auto"/>
                <w:right w:val="none" w:sz="0" w:space="0" w:color="auto"/>
              </w:divBdr>
            </w:div>
            <w:div w:id="597249633">
              <w:marLeft w:val="0"/>
              <w:marRight w:val="0"/>
              <w:marTop w:val="0"/>
              <w:marBottom w:val="0"/>
              <w:divBdr>
                <w:top w:val="none" w:sz="0" w:space="0" w:color="auto"/>
                <w:left w:val="none" w:sz="0" w:space="0" w:color="auto"/>
                <w:bottom w:val="none" w:sz="0" w:space="0" w:color="auto"/>
                <w:right w:val="none" w:sz="0" w:space="0" w:color="auto"/>
              </w:divBdr>
            </w:div>
            <w:div w:id="849177885">
              <w:marLeft w:val="0"/>
              <w:marRight w:val="0"/>
              <w:marTop w:val="0"/>
              <w:marBottom w:val="0"/>
              <w:divBdr>
                <w:top w:val="none" w:sz="0" w:space="0" w:color="auto"/>
                <w:left w:val="none" w:sz="0" w:space="0" w:color="auto"/>
                <w:bottom w:val="none" w:sz="0" w:space="0" w:color="auto"/>
                <w:right w:val="none" w:sz="0" w:space="0" w:color="auto"/>
              </w:divBdr>
            </w:div>
            <w:div w:id="880479720">
              <w:marLeft w:val="0"/>
              <w:marRight w:val="0"/>
              <w:marTop w:val="0"/>
              <w:marBottom w:val="0"/>
              <w:divBdr>
                <w:top w:val="none" w:sz="0" w:space="0" w:color="auto"/>
                <w:left w:val="none" w:sz="0" w:space="0" w:color="auto"/>
                <w:bottom w:val="none" w:sz="0" w:space="0" w:color="auto"/>
                <w:right w:val="none" w:sz="0" w:space="0" w:color="auto"/>
              </w:divBdr>
            </w:div>
            <w:div w:id="1169366585">
              <w:marLeft w:val="0"/>
              <w:marRight w:val="0"/>
              <w:marTop w:val="0"/>
              <w:marBottom w:val="0"/>
              <w:divBdr>
                <w:top w:val="none" w:sz="0" w:space="0" w:color="auto"/>
                <w:left w:val="none" w:sz="0" w:space="0" w:color="auto"/>
                <w:bottom w:val="none" w:sz="0" w:space="0" w:color="auto"/>
                <w:right w:val="none" w:sz="0" w:space="0" w:color="auto"/>
              </w:divBdr>
            </w:div>
            <w:div w:id="1175069555">
              <w:marLeft w:val="0"/>
              <w:marRight w:val="0"/>
              <w:marTop w:val="0"/>
              <w:marBottom w:val="0"/>
              <w:divBdr>
                <w:top w:val="none" w:sz="0" w:space="0" w:color="auto"/>
                <w:left w:val="none" w:sz="0" w:space="0" w:color="auto"/>
                <w:bottom w:val="none" w:sz="0" w:space="0" w:color="auto"/>
                <w:right w:val="none" w:sz="0" w:space="0" w:color="auto"/>
              </w:divBdr>
            </w:div>
            <w:div w:id="1318194217">
              <w:marLeft w:val="0"/>
              <w:marRight w:val="0"/>
              <w:marTop w:val="0"/>
              <w:marBottom w:val="0"/>
              <w:divBdr>
                <w:top w:val="none" w:sz="0" w:space="0" w:color="auto"/>
                <w:left w:val="none" w:sz="0" w:space="0" w:color="auto"/>
                <w:bottom w:val="none" w:sz="0" w:space="0" w:color="auto"/>
                <w:right w:val="none" w:sz="0" w:space="0" w:color="auto"/>
              </w:divBdr>
            </w:div>
            <w:div w:id="1371102719">
              <w:marLeft w:val="0"/>
              <w:marRight w:val="0"/>
              <w:marTop w:val="0"/>
              <w:marBottom w:val="0"/>
              <w:divBdr>
                <w:top w:val="none" w:sz="0" w:space="0" w:color="auto"/>
                <w:left w:val="none" w:sz="0" w:space="0" w:color="auto"/>
                <w:bottom w:val="none" w:sz="0" w:space="0" w:color="auto"/>
                <w:right w:val="none" w:sz="0" w:space="0" w:color="auto"/>
              </w:divBdr>
            </w:div>
            <w:div w:id="1424298126">
              <w:marLeft w:val="0"/>
              <w:marRight w:val="0"/>
              <w:marTop w:val="0"/>
              <w:marBottom w:val="0"/>
              <w:divBdr>
                <w:top w:val="none" w:sz="0" w:space="0" w:color="auto"/>
                <w:left w:val="none" w:sz="0" w:space="0" w:color="auto"/>
                <w:bottom w:val="none" w:sz="0" w:space="0" w:color="auto"/>
                <w:right w:val="none" w:sz="0" w:space="0" w:color="auto"/>
              </w:divBdr>
            </w:div>
            <w:div w:id="1473061342">
              <w:marLeft w:val="0"/>
              <w:marRight w:val="0"/>
              <w:marTop w:val="0"/>
              <w:marBottom w:val="0"/>
              <w:divBdr>
                <w:top w:val="none" w:sz="0" w:space="0" w:color="auto"/>
                <w:left w:val="none" w:sz="0" w:space="0" w:color="auto"/>
                <w:bottom w:val="none" w:sz="0" w:space="0" w:color="auto"/>
                <w:right w:val="none" w:sz="0" w:space="0" w:color="auto"/>
              </w:divBdr>
            </w:div>
            <w:div w:id="1572621384">
              <w:marLeft w:val="0"/>
              <w:marRight w:val="0"/>
              <w:marTop w:val="0"/>
              <w:marBottom w:val="0"/>
              <w:divBdr>
                <w:top w:val="none" w:sz="0" w:space="0" w:color="auto"/>
                <w:left w:val="none" w:sz="0" w:space="0" w:color="auto"/>
                <w:bottom w:val="none" w:sz="0" w:space="0" w:color="auto"/>
                <w:right w:val="none" w:sz="0" w:space="0" w:color="auto"/>
              </w:divBdr>
            </w:div>
            <w:div w:id="1593588451">
              <w:marLeft w:val="0"/>
              <w:marRight w:val="0"/>
              <w:marTop w:val="0"/>
              <w:marBottom w:val="0"/>
              <w:divBdr>
                <w:top w:val="none" w:sz="0" w:space="0" w:color="auto"/>
                <w:left w:val="none" w:sz="0" w:space="0" w:color="auto"/>
                <w:bottom w:val="none" w:sz="0" w:space="0" w:color="auto"/>
                <w:right w:val="none" w:sz="0" w:space="0" w:color="auto"/>
              </w:divBdr>
            </w:div>
            <w:div w:id="1773742136">
              <w:marLeft w:val="0"/>
              <w:marRight w:val="0"/>
              <w:marTop w:val="0"/>
              <w:marBottom w:val="0"/>
              <w:divBdr>
                <w:top w:val="none" w:sz="0" w:space="0" w:color="auto"/>
                <w:left w:val="none" w:sz="0" w:space="0" w:color="auto"/>
                <w:bottom w:val="none" w:sz="0" w:space="0" w:color="auto"/>
                <w:right w:val="none" w:sz="0" w:space="0" w:color="auto"/>
              </w:divBdr>
            </w:div>
            <w:div w:id="1807971629">
              <w:marLeft w:val="0"/>
              <w:marRight w:val="0"/>
              <w:marTop w:val="0"/>
              <w:marBottom w:val="0"/>
              <w:divBdr>
                <w:top w:val="none" w:sz="0" w:space="0" w:color="auto"/>
                <w:left w:val="none" w:sz="0" w:space="0" w:color="auto"/>
                <w:bottom w:val="none" w:sz="0" w:space="0" w:color="auto"/>
                <w:right w:val="none" w:sz="0" w:space="0" w:color="auto"/>
              </w:divBdr>
            </w:div>
            <w:div w:id="2134594568">
              <w:marLeft w:val="0"/>
              <w:marRight w:val="0"/>
              <w:marTop w:val="0"/>
              <w:marBottom w:val="0"/>
              <w:divBdr>
                <w:top w:val="none" w:sz="0" w:space="0" w:color="auto"/>
                <w:left w:val="none" w:sz="0" w:space="0" w:color="auto"/>
                <w:bottom w:val="none" w:sz="0" w:space="0" w:color="auto"/>
                <w:right w:val="none" w:sz="0" w:space="0" w:color="auto"/>
              </w:divBdr>
            </w:div>
          </w:divsChild>
        </w:div>
        <w:div w:id="855965937">
          <w:marLeft w:val="0"/>
          <w:marRight w:val="0"/>
          <w:marTop w:val="0"/>
          <w:marBottom w:val="0"/>
          <w:divBdr>
            <w:top w:val="none" w:sz="0" w:space="0" w:color="auto"/>
            <w:left w:val="none" w:sz="0" w:space="0" w:color="auto"/>
            <w:bottom w:val="none" w:sz="0" w:space="0" w:color="auto"/>
            <w:right w:val="none" w:sz="0" w:space="0" w:color="auto"/>
          </w:divBdr>
          <w:divsChild>
            <w:div w:id="1433012579">
              <w:marLeft w:val="-75"/>
              <w:marRight w:val="0"/>
              <w:marTop w:val="30"/>
              <w:marBottom w:val="30"/>
              <w:divBdr>
                <w:top w:val="none" w:sz="0" w:space="0" w:color="auto"/>
                <w:left w:val="none" w:sz="0" w:space="0" w:color="auto"/>
                <w:bottom w:val="none" w:sz="0" w:space="0" w:color="auto"/>
                <w:right w:val="none" w:sz="0" w:space="0" w:color="auto"/>
              </w:divBdr>
              <w:divsChild>
                <w:div w:id="21170312">
                  <w:marLeft w:val="0"/>
                  <w:marRight w:val="0"/>
                  <w:marTop w:val="0"/>
                  <w:marBottom w:val="0"/>
                  <w:divBdr>
                    <w:top w:val="none" w:sz="0" w:space="0" w:color="auto"/>
                    <w:left w:val="none" w:sz="0" w:space="0" w:color="auto"/>
                    <w:bottom w:val="none" w:sz="0" w:space="0" w:color="auto"/>
                    <w:right w:val="none" w:sz="0" w:space="0" w:color="auto"/>
                  </w:divBdr>
                  <w:divsChild>
                    <w:div w:id="1179199834">
                      <w:marLeft w:val="0"/>
                      <w:marRight w:val="0"/>
                      <w:marTop w:val="0"/>
                      <w:marBottom w:val="0"/>
                      <w:divBdr>
                        <w:top w:val="none" w:sz="0" w:space="0" w:color="auto"/>
                        <w:left w:val="none" w:sz="0" w:space="0" w:color="auto"/>
                        <w:bottom w:val="none" w:sz="0" w:space="0" w:color="auto"/>
                        <w:right w:val="none" w:sz="0" w:space="0" w:color="auto"/>
                      </w:divBdr>
                    </w:div>
                  </w:divsChild>
                </w:div>
                <w:div w:id="120805529">
                  <w:marLeft w:val="0"/>
                  <w:marRight w:val="0"/>
                  <w:marTop w:val="0"/>
                  <w:marBottom w:val="0"/>
                  <w:divBdr>
                    <w:top w:val="none" w:sz="0" w:space="0" w:color="auto"/>
                    <w:left w:val="none" w:sz="0" w:space="0" w:color="auto"/>
                    <w:bottom w:val="none" w:sz="0" w:space="0" w:color="auto"/>
                    <w:right w:val="none" w:sz="0" w:space="0" w:color="auto"/>
                  </w:divBdr>
                  <w:divsChild>
                    <w:div w:id="1023626082">
                      <w:marLeft w:val="0"/>
                      <w:marRight w:val="0"/>
                      <w:marTop w:val="0"/>
                      <w:marBottom w:val="0"/>
                      <w:divBdr>
                        <w:top w:val="none" w:sz="0" w:space="0" w:color="auto"/>
                        <w:left w:val="none" w:sz="0" w:space="0" w:color="auto"/>
                        <w:bottom w:val="none" w:sz="0" w:space="0" w:color="auto"/>
                        <w:right w:val="none" w:sz="0" w:space="0" w:color="auto"/>
                      </w:divBdr>
                    </w:div>
                  </w:divsChild>
                </w:div>
                <w:div w:id="145360186">
                  <w:marLeft w:val="0"/>
                  <w:marRight w:val="0"/>
                  <w:marTop w:val="0"/>
                  <w:marBottom w:val="0"/>
                  <w:divBdr>
                    <w:top w:val="none" w:sz="0" w:space="0" w:color="auto"/>
                    <w:left w:val="none" w:sz="0" w:space="0" w:color="auto"/>
                    <w:bottom w:val="none" w:sz="0" w:space="0" w:color="auto"/>
                    <w:right w:val="none" w:sz="0" w:space="0" w:color="auto"/>
                  </w:divBdr>
                  <w:divsChild>
                    <w:div w:id="638804082">
                      <w:marLeft w:val="0"/>
                      <w:marRight w:val="0"/>
                      <w:marTop w:val="0"/>
                      <w:marBottom w:val="0"/>
                      <w:divBdr>
                        <w:top w:val="none" w:sz="0" w:space="0" w:color="auto"/>
                        <w:left w:val="none" w:sz="0" w:space="0" w:color="auto"/>
                        <w:bottom w:val="none" w:sz="0" w:space="0" w:color="auto"/>
                        <w:right w:val="none" w:sz="0" w:space="0" w:color="auto"/>
                      </w:divBdr>
                    </w:div>
                  </w:divsChild>
                </w:div>
                <w:div w:id="305398854">
                  <w:marLeft w:val="0"/>
                  <w:marRight w:val="0"/>
                  <w:marTop w:val="0"/>
                  <w:marBottom w:val="0"/>
                  <w:divBdr>
                    <w:top w:val="none" w:sz="0" w:space="0" w:color="auto"/>
                    <w:left w:val="none" w:sz="0" w:space="0" w:color="auto"/>
                    <w:bottom w:val="none" w:sz="0" w:space="0" w:color="auto"/>
                    <w:right w:val="none" w:sz="0" w:space="0" w:color="auto"/>
                  </w:divBdr>
                  <w:divsChild>
                    <w:div w:id="271521524">
                      <w:marLeft w:val="0"/>
                      <w:marRight w:val="0"/>
                      <w:marTop w:val="0"/>
                      <w:marBottom w:val="0"/>
                      <w:divBdr>
                        <w:top w:val="none" w:sz="0" w:space="0" w:color="auto"/>
                        <w:left w:val="none" w:sz="0" w:space="0" w:color="auto"/>
                        <w:bottom w:val="none" w:sz="0" w:space="0" w:color="auto"/>
                        <w:right w:val="none" w:sz="0" w:space="0" w:color="auto"/>
                      </w:divBdr>
                    </w:div>
                  </w:divsChild>
                </w:div>
                <w:div w:id="780566308">
                  <w:marLeft w:val="0"/>
                  <w:marRight w:val="0"/>
                  <w:marTop w:val="0"/>
                  <w:marBottom w:val="0"/>
                  <w:divBdr>
                    <w:top w:val="none" w:sz="0" w:space="0" w:color="auto"/>
                    <w:left w:val="none" w:sz="0" w:space="0" w:color="auto"/>
                    <w:bottom w:val="none" w:sz="0" w:space="0" w:color="auto"/>
                    <w:right w:val="none" w:sz="0" w:space="0" w:color="auto"/>
                  </w:divBdr>
                  <w:divsChild>
                    <w:div w:id="1258059038">
                      <w:marLeft w:val="0"/>
                      <w:marRight w:val="0"/>
                      <w:marTop w:val="0"/>
                      <w:marBottom w:val="0"/>
                      <w:divBdr>
                        <w:top w:val="none" w:sz="0" w:space="0" w:color="auto"/>
                        <w:left w:val="none" w:sz="0" w:space="0" w:color="auto"/>
                        <w:bottom w:val="none" w:sz="0" w:space="0" w:color="auto"/>
                        <w:right w:val="none" w:sz="0" w:space="0" w:color="auto"/>
                      </w:divBdr>
                    </w:div>
                  </w:divsChild>
                </w:div>
                <w:div w:id="838153280">
                  <w:marLeft w:val="0"/>
                  <w:marRight w:val="0"/>
                  <w:marTop w:val="0"/>
                  <w:marBottom w:val="0"/>
                  <w:divBdr>
                    <w:top w:val="none" w:sz="0" w:space="0" w:color="auto"/>
                    <w:left w:val="none" w:sz="0" w:space="0" w:color="auto"/>
                    <w:bottom w:val="none" w:sz="0" w:space="0" w:color="auto"/>
                    <w:right w:val="none" w:sz="0" w:space="0" w:color="auto"/>
                  </w:divBdr>
                  <w:divsChild>
                    <w:div w:id="196897974">
                      <w:marLeft w:val="0"/>
                      <w:marRight w:val="0"/>
                      <w:marTop w:val="0"/>
                      <w:marBottom w:val="0"/>
                      <w:divBdr>
                        <w:top w:val="none" w:sz="0" w:space="0" w:color="auto"/>
                        <w:left w:val="none" w:sz="0" w:space="0" w:color="auto"/>
                        <w:bottom w:val="none" w:sz="0" w:space="0" w:color="auto"/>
                        <w:right w:val="none" w:sz="0" w:space="0" w:color="auto"/>
                      </w:divBdr>
                    </w:div>
                  </w:divsChild>
                </w:div>
                <w:div w:id="874849959">
                  <w:marLeft w:val="0"/>
                  <w:marRight w:val="0"/>
                  <w:marTop w:val="0"/>
                  <w:marBottom w:val="0"/>
                  <w:divBdr>
                    <w:top w:val="none" w:sz="0" w:space="0" w:color="auto"/>
                    <w:left w:val="none" w:sz="0" w:space="0" w:color="auto"/>
                    <w:bottom w:val="none" w:sz="0" w:space="0" w:color="auto"/>
                    <w:right w:val="none" w:sz="0" w:space="0" w:color="auto"/>
                  </w:divBdr>
                  <w:divsChild>
                    <w:div w:id="775949601">
                      <w:marLeft w:val="0"/>
                      <w:marRight w:val="0"/>
                      <w:marTop w:val="0"/>
                      <w:marBottom w:val="0"/>
                      <w:divBdr>
                        <w:top w:val="none" w:sz="0" w:space="0" w:color="auto"/>
                        <w:left w:val="none" w:sz="0" w:space="0" w:color="auto"/>
                        <w:bottom w:val="none" w:sz="0" w:space="0" w:color="auto"/>
                        <w:right w:val="none" w:sz="0" w:space="0" w:color="auto"/>
                      </w:divBdr>
                    </w:div>
                  </w:divsChild>
                </w:div>
                <w:div w:id="884758740">
                  <w:marLeft w:val="0"/>
                  <w:marRight w:val="0"/>
                  <w:marTop w:val="0"/>
                  <w:marBottom w:val="0"/>
                  <w:divBdr>
                    <w:top w:val="none" w:sz="0" w:space="0" w:color="auto"/>
                    <w:left w:val="none" w:sz="0" w:space="0" w:color="auto"/>
                    <w:bottom w:val="none" w:sz="0" w:space="0" w:color="auto"/>
                    <w:right w:val="none" w:sz="0" w:space="0" w:color="auto"/>
                  </w:divBdr>
                  <w:divsChild>
                    <w:div w:id="1156993648">
                      <w:marLeft w:val="0"/>
                      <w:marRight w:val="0"/>
                      <w:marTop w:val="0"/>
                      <w:marBottom w:val="0"/>
                      <w:divBdr>
                        <w:top w:val="none" w:sz="0" w:space="0" w:color="auto"/>
                        <w:left w:val="none" w:sz="0" w:space="0" w:color="auto"/>
                        <w:bottom w:val="none" w:sz="0" w:space="0" w:color="auto"/>
                        <w:right w:val="none" w:sz="0" w:space="0" w:color="auto"/>
                      </w:divBdr>
                    </w:div>
                  </w:divsChild>
                </w:div>
                <w:div w:id="1089043243">
                  <w:marLeft w:val="0"/>
                  <w:marRight w:val="0"/>
                  <w:marTop w:val="0"/>
                  <w:marBottom w:val="0"/>
                  <w:divBdr>
                    <w:top w:val="none" w:sz="0" w:space="0" w:color="auto"/>
                    <w:left w:val="none" w:sz="0" w:space="0" w:color="auto"/>
                    <w:bottom w:val="none" w:sz="0" w:space="0" w:color="auto"/>
                    <w:right w:val="none" w:sz="0" w:space="0" w:color="auto"/>
                  </w:divBdr>
                  <w:divsChild>
                    <w:div w:id="1943612304">
                      <w:marLeft w:val="0"/>
                      <w:marRight w:val="0"/>
                      <w:marTop w:val="0"/>
                      <w:marBottom w:val="0"/>
                      <w:divBdr>
                        <w:top w:val="none" w:sz="0" w:space="0" w:color="auto"/>
                        <w:left w:val="none" w:sz="0" w:space="0" w:color="auto"/>
                        <w:bottom w:val="none" w:sz="0" w:space="0" w:color="auto"/>
                        <w:right w:val="none" w:sz="0" w:space="0" w:color="auto"/>
                      </w:divBdr>
                    </w:div>
                  </w:divsChild>
                </w:div>
                <w:div w:id="1154108733">
                  <w:marLeft w:val="0"/>
                  <w:marRight w:val="0"/>
                  <w:marTop w:val="0"/>
                  <w:marBottom w:val="0"/>
                  <w:divBdr>
                    <w:top w:val="none" w:sz="0" w:space="0" w:color="auto"/>
                    <w:left w:val="none" w:sz="0" w:space="0" w:color="auto"/>
                    <w:bottom w:val="none" w:sz="0" w:space="0" w:color="auto"/>
                    <w:right w:val="none" w:sz="0" w:space="0" w:color="auto"/>
                  </w:divBdr>
                  <w:divsChild>
                    <w:div w:id="370157676">
                      <w:marLeft w:val="0"/>
                      <w:marRight w:val="0"/>
                      <w:marTop w:val="0"/>
                      <w:marBottom w:val="0"/>
                      <w:divBdr>
                        <w:top w:val="none" w:sz="0" w:space="0" w:color="auto"/>
                        <w:left w:val="none" w:sz="0" w:space="0" w:color="auto"/>
                        <w:bottom w:val="none" w:sz="0" w:space="0" w:color="auto"/>
                        <w:right w:val="none" w:sz="0" w:space="0" w:color="auto"/>
                      </w:divBdr>
                    </w:div>
                  </w:divsChild>
                </w:div>
                <w:div w:id="1211383266">
                  <w:marLeft w:val="0"/>
                  <w:marRight w:val="0"/>
                  <w:marTop w:val="0"/>
                  <w:marBottom w:val="0"/>
                  <w:divBdr>
                    <w:top w:val="none" w:sz="0" w:space="0" w:color="auto"/>
                    <w:left w:val="none" w:sz="0" w:space="0" w:color="auto"/>
                    <w:bottom w:val="none" w:sz="0" w:space="0" w:color="auto"/>
                    <w:right w:val="none" w:sz="0" w:space="0" w:color="auto"/>
                  </w:divBdr>
                  <w:divsChild>
                    <w:div w:id="1233857744">
                      <w:marLeft w:val="0"/>
                      <w:marRight w:val="0"/>
                      <w:marTop w:val="0"/>
                      <w:marBottom w:val="0"/>
                      <w:divBdr>
                        <w:top w:val="none" w:sz="0" w:space="0" w:color="auto"/>
                        <w:left w:val="none" w:sz="0" w:space="0" w:color="auto"/>
                        <w:bottom w:val="none" w:sz="0" w:space="0" w:color="auto"/>
                        <w:right w:val="none" w:sz="0" w:space="0" w:color="auto"/>
                      </w:divBdr>
                    </w:div>
                  </w:divsChild>
                </w:div>
                <w:div w:id="1217625498">
                  <w:marLeft w:val="0"/>
                  <w:marRight w:val="0"/>
                  <w:marTop w:val="0"/>
                  <w:marBottom w:val="0"/>
                  <w:divBdr>
                    <w:top w:val="none" w:sz="0" w:space="0" w:color="auto"/>
                    <w:left w:val="none" w:sz="0" w:space="0" w:color="auto"/>
                    <w:bottom w:val="none" w:sz="0" w:space="0" w:color="auto"/>
                    <w:right w:val="none" w:sz="0" w:space="0" w:color="auto"/>
                  </w:divBdr>
                  <w:divsChild>
                    <w:div w:id="699163156">
                      <w:marLeft w:val="0"/>
                      <w:marRight w:val="0"/>
                      <w:marTop w:val="0"/>
                      <w:marBottom w:val="0"/>
                      <w:divBdr>
                        <w:top w:val="none" w:sz="0" w:space="0" w:color="auto"/>
                        <w:left w:val="none" w:sz="0" w:space="0" w:color="auto"/>
                        <w:bottom w:val="none" w:sz="0" w:space="0" w:color="auto"/>
                        <w:right w:val="none" w:sz="0" w:space="0" w:color="auto"/>
                      </w:divBdr>
                    </w:div>
                  </w:divsChild>
                </w:div>
                <w:div w:id="1249997870">
                  <w:marLeft w:val="0"/>
                  <w:marRight w:val="0"/>
                  <w:marTop w:val="0"/>
                  <w:marBottom w:val="0"/>
                  <w:divBdr>
                    <w:top w:val="none" w:sz="0" w:space="0" w:color="auto"/>
                    <w:left w:val="none" w:sz="0" w:space="0" w:color="auto"/>
                    <w:bottom w:val="none" w:sz="0" w:space="0" w:color="auto"/>
                    <w:right w:val="none" w:sz="0" w:space="0" w:color="auto"/>
                  </w:divBdr>
                  <w:divsChild>
                    <w:div w:id="1435049774">
                      <w:marLeft w:val="0"/>
                      <w:marRight w:val="0"/>
                      <w:marTop w:val="0"/>
                      <w:marBottom w:val="0"/>
                      <w:divBdr>
                        <w:top w:val="none" w:sz="0" w:space="0" w:color="auto"/>
                        <w:left w:val="none" w:sz="0" w:space="0" w:color="auto"/>
                        <w:bottom w:val="none" w:sz="0" w:space="0" w:color="auto"/>
                        <w:right w:val="none" w:sz="0" w:space="0" w:color="auto"/>
                      </w:divBdr>
                    </w:div>
                  </w:divsChild>
                </w:div>
                <w:div w:id="1743796935">
                  <w:marLeft w:val="0"/>
                  <w:marRight w:val="0"/>
                  <w:marTop w:val="0"/>
                  <w:marBottom w:val="0"/>
                  <w:divBdr>
                    <w:top w:val="none" w:sz="0" w:space="0" w:color="auto"/>
                    <w:left w:val="none" w:sz="0" w:space="0" w:color="auto"/>
                    <w:bottom w:val="none" w:sz="0" w:space="0" w:color="auto"/>
                    <w:right w:val="none" w:sz="0" w:space="0" w:color="auto"/>
                  </w:divBdr>
                  <w:divsChild>
                    <w:div w:id="448549753">
                      <w:marLeft w:val="0"/>
                      <w:marRight w:val="0"/>
                      <w:marTop w:val="0"/>
                      <w:marBottom w:val="0"/>
                      <w:divBdr>
                        <w:top w:val="none" w:sz="0" w:space="0" w:color="auto"/>
                        <w:left w:val="none" w:sz="0" w:space="0" w:color="auto"/>
                        <w:bottom w:val="none" w:sz="0" w:space="0" w:color="auto"/>
                        <w:right w:val="none" w:sz="0" w:space="0" w:color="auto"/>
                      </w:divBdr>
                    </w:div>
                  </w:divsChild>
                </w:div>
                <w:div w:id="1829245298">
                  <w:marLeft w:val="0"/>
                  <w:marRight w:val="0"/>
                  <w:marTop w:val="0"/>
                  <w:marBottom w:val="0"/>
                  <w:divBdr>
                    <w:top w:val="none" w:sz="0" w:space="0" w:color="auto"/>
                    <w:left w:val="none" w:sz="0" w:space="0" w:color="auto"/>
                    <w:bottom w:val="none" w:sz="0" w:space="0" w:color="auto"/>
                    <w:right w:val="none" w:sz="0" w:space="0" w:color="auto"/>
                  </w:divBdr>
                  <w:divsChild>
                    <w:div w:id="145317784">
                      <w:marLeft w:val="0"/>
                      <w:marRight w:val="0"/>
                      <w:marTop w:val="0"/>
                      <w:marBottom w:val="0"/>
                      <w:divBdr>
                        <w:top w:val="none" w:sz="0" w:space="0" w:color="auto"/>
                        <w:left w:val="none" w:sz="0" w:space="0" w:color="auto"/>
                        <w:bottom w:val="none" w:sz="0" w:space="0" w:color="auto"/>
                        <w:right w:val="none" w:sz="0" w:space="0" w:color="auto"/>
                      </w:divBdr>
                    </w:div>
                  </w:divsChild>
                </w:div>
                <w:div w:id="1866282056">
                  <w:marLeft w:val="0"/>
                  <w:marRight w:val="0"/>
                  <w:marTop w:val="0"/>
                  <w:marBottom w:val="0"/>
                  <w:divBdr>
                    <w:top w:val="none" w:sz="0" w:space="0" w:color="auto"/>
                    <w:left w:val="none" w:sz="0" w:space="0" w:color="auto"/>
                    <w:bottom w:val="none" w:sz="0" w:space="0" w:color="auto"/>
                    <w:right w:val="none" w:sz="0" w:space="0" w:color="auto"/>
                  </w:divBdr>
                  <w:divsChild>
                    <w:div w:id="317811065">
                      <w:marLeft w:val="0"/>
                      <w:marRight w:val="0"/>
                      <w:marTop w:val="0"/>
                      <w:marBottom w:val="0"/>
                      <w:divBdr>
                        <w:top w:val="none" w:sz="0" w:space="0" w:color="auto"/>
                        <w:left w:val="none" w:sz="0" w:space="0" w:color="auto"/>
                        <w:bottom w:val="none" w:sz="0" w:space="0" w:color="auto"/>
                        <w:right w:val="none" w:sz="0" w:space="0" w:color="auto"/>
                      </w:divBdr>
                    </w:div>
                  </w:divsChild>
                </w:div>
                <w:div w:id="1899124059">
                  <w:marLeft w:val="0"/>
                  <w:marRight w:val="0"/>
                  <w:marTop w:val="0"/>
                  <w:marBottom w:val="0"/>
                  <w:divBdr>
                    <w:top w:val="none" w:sz="0" w:space="0" w:color="auto"/>
                    <w:left w:val="none" w:sz="0" w:space="0" w:color="auto"/>
                    <w:bottom w:val="none" w:sz="0" w:space="0" w:color="auto"/>
                    <w:right w:val="none" w:sz="0" w:space="0" w:color="auto"/>
                  </w:divBdr>
                  <w:divsChild>
                    <w:div w:id="1181044044">
                      <w:marLeft w:val="0"/>
                      <w:marRight w:val="0"/>
                      <w:marTop w:val="0"/>
                      <w:marBottom w:val="0"/>
                      <w:divBdr>
                        <w:top w:val="none" w:sz="0" w:space="0" w:color="auto"/>
                        <w:left w:val="none" w:sz="0" w:space="0" w:color="auto"/>
                        <w:bottom w:val="none" w:sz="0" w:space="0" w:color="auto"/>
                        <w:right w:val="none" w:sz="0" w:space="0" w:color="auto"/>
                      </w:divBdr>
                    </w:div>
                  </w:divsChild>
                </w:div>
                <w:div w:id="2018270976">
                  <w:marLeft w:val="0"/>
                  <w:marRight w:val="0"/>
                  <w:marTop w:val="0"/>
                  <w:marBottom w:val="0"/>
                  <w:divBdr>
                    <w:top w:val="none" w:sz="0" w:space="0" w:color="auto"/>
                    <w:left w:val="none" w:sz="0" w:space="0" w:color="auto"/>
                    <w:bottom w:val="none" w:sz="0" w:space="0" w:color="auto"/>
                    <w:right w:val="none" w:sz="0" w:space="0" w:color="auto"/>
                  </w:divBdr>
                  <w:divsChild>
                    <w:div w:id="1716925927">
                      <w:marLeft w:val="0"/>
                      <w:marRight w:val="0"/>
                      <w:marTop w:val="0"/>
                      <w:marBottom w:val="0"/>
                      <w:divBdr>
                        <w:top w:val="none" w:sz="0" w:space="0" w:color="auto"/>
                        <w:left w:val="none" w:sz="0" w:space="0" w:color="auto"/>
                        <w:bottom w:val="none" w:sz="0" w:space="0" w:color="auto"/>
                        <w:right w:val="none" w:sz="0" w:space="0" w:color="auto"/>
                      </w:divBdr>
                    </w:div>
                  </w:divsChild>
                </w:div>
                <w:div w:id="2060125118">
                  <w:marLeft w:val="0"/>
                  <w:marRight w:val="0"/>
                  <w:marTop w:val="0"/>
                  <w:marBottom w:val="0"/>
                  <w:divBdr>
                    <w:top w:val="none" w:sz="0" w:space="0" w:color="auto"/>
                    <w:left w:val="none" w:sz="0" w:space="0" w:color="auto"/>
                    <w:bottom w:val="none" w:sz="0" w:space="0" w:color="auto"/>
                    <w:right w:val="none" w:sz="0" w:space="0" w:color="auto"/>
                  </w:divBdr>
                  <w:divsChild>
                    <w:div w:id="1949383497">
                      <w:marLeft w:val="0"/>
                      <w:marRight w:val="0"/>
                      <w:marTop w:val="0"/>
                      <w:marBottom w:val="0"/>
                      <w:divBdr>
                        <w:top w:val="none" w:sz="0" w:space="0" w:color="auto"/>
                        <w:left w:val="none" w:sz="0" w:space="0" w:color="auto"/>
                        <w:bottom w:val="none" w:sz="0" w:space="0" w:color="auto"/>
                        <w:right w:val="none" w:sz="0" w:space="0" w:color="auto"/>
                      </w:divBdr>
                    </w:div>
                  </w:divsChild>
                </w:div>
                <w:div w:id="2102021475">
                  <w:marLeft w:val="0"/>
                  <w:marRight w:val="0"/>
                  <w:marTop w:val="0"/>
                  <w:marBottom w:val="0"/>
                  <w:divBdr>
                    <w:top w:val="none" w:sz="0" w:space="0" w:color="auto"/>
                    <w:left w:val="none" w:sz="0" w:space="0" w:color="auto"/>
                    <w:bottom w:val="none" w:sz="0" w:space="0" w:color="auto"/>
                    <w:right w:val="none" w:sz="0" w:space="0" w:color="auto"/>
                  </w:divBdr>
                  <w:divsChild>
                    <w:div w:id="213320751">
                      <w:marLeft w:val="0"/>
                      <w:marRight w:val="0"/>
                      <w:marTop w:val="0"/>
                      <w:marBottom w:val="0"/>
                      <w:divBdr>
                        <w:top w:val="none" w:sz="0" w:space="0" w:color="auto"/>
                        <w:left w:val="none" w:sz="0" w:space="0" w:color="auto"/>
                        <w:bottom w:val="none" w:sz="0" w:space="0" w:color="auto"/>
                        <w:right w:val="none" w:sz="0" w:space="0" w:color="auto"/>
                      </w:divBdr>
                    </w:div>
                  </w:divsChild>
                </w:div>
                <w:div w:id="2103255611">
                  <w:marLeft w:val="0"/>
                  <w:marRight w:val="0"/>
                  <w:marTop w:val="0"/>
                  <w:marBottom w:val="0"/>
                  <w:divBdr>
                    <w:top w:val="none" w:sz="0" w:space="0" w:color="auto"/>
                    <w:left w:val="none" w:sz="0" w:space="0" w:color="auto"/>
                    <w:bottom w:val="none" w:sz="0" w:space="0" w:color="auto"/>
                    <w:right w:val="none" w:sz="0" w:space="0" w:color="auto"/>
                  </w:divBdr>
                  <w:divsChild>
                    <w:div w:id="19216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75105">
          <w:marLeft w:val="0"/>
          <w:marRight w:val="0"/>
          <w:marTop w:val="0"/>
          <w:marBottom w:val="0"/>
          <w:divBdr>
            <w:top w:val="none" w:sz="0" w:space="0" w:color="auto"/>
            <w:left w:val="none" w:sz="0" w:space="0" w:color="auto"/>
            <w:bottom w:val="none" w:sz="0" w:space="0" w:color="auto"/>
            <w:right w:val="none" w:sz="0" w:space="0" w:color="auto"/>
          </w:divBdr>
          <w:divsChild>
            <w:div w:id="86998176">
              <w:marLeft w:val="-75"/>
              <w:marRight w:val="0"/>
              <w:marTop w:val="30"/>
              <w:marBottom w:val="30"/>
              <w:divBdr>
                <w:top w:val="none" w:sz="0" w:space="0" w:color="auto"/>
                <w:left w:val="none" w:sz="0" w:space="0" w:color="auto"/>
                <w:bottom w:val="none" w:sz="0" w:space="0" w:color="auto"/>
                <w:right w:val="none" w:sz="0" w:space="0" w:color="auto"/>
              </w:divBdr>
              <w:divsChild>
                <w:div w:id="29763722">
                  <w:marLeft w:val="0"/>
                  <w:marRight w:val="0"/>
                  <w:marTop w:val="0"/>
                  <w:marBottom w:val="0"/>
                  <w:divBdr>
                    <w:top w:val="none" w:sz="0" w:space="0" w:color="auto"/>
                    <w:left w:val="none" w:sz="0" w:space="0" w:color="auto"/>
                    <w:bottom w:val="none" w:sz="0" w:space="0" w:color="auto"/>
                    <w:right w:val="none" w:sz="0" w:space="0" w:color="auto"/>
                  </w:divBdr>
                  <w:divsChild>
                    <w:div w:id="494613191">
                      <w:marLeft w:val="0"/>
                      <w:marRight w:val="0"/>
                      <w:marTop w:val="0"/>
                      <w:marBottom w:val="0"/>
                      <w:divBdr>
                        <w:top w:val="none" w:sz="0" w:space="0" w:color="auto"/>
                        <w:left w:val="none" w:sz="0" w:space="0" w:color="auto"/>
                        <w:bottom w:val="none" w:sz="0" w:space="0" w:color="auto"/>
                        <w:right w:val="none" w:sz="0" w:space="0" w:color="auto"/>
                      </w:divBdr>
                    </w:div>
                  </w:divsChild>
                </w:div>
                <w:div w:id="181476259">
                  <w:marLeft w:val="0"/>
                  <w:marRight w:val="0"/>
                  <w:marTop w:val="0"/>
                  <w:marBottom w:val="0"/>
                  <w:divBdr>
                    <w:top w:val="none" w:sz="0" w:space="0" w:color="auto"/>
                    <w:left w:val="none" w:sz="0" w:space="0" w:color="auto"/>
                    <w:bottom w:val="none" w:sz="0" w:space="0" w:color="auto"/>
                    <w:right w:val="none" w:sz="0" w:space="0" w:color="auto"/>
                  </w:divBdr>
                  <w:divsChild>
                    <w:div w:id="469174293">
                      <w:marLeft w:val="0"/>
                      <w:marRight w:val="0"/>
                      <w:marTop w:val="0"/>
                      <w:marBottom w:val="0"/>
                      <w:divBdr>
                        <w:top w:val="none" w:sz="0" w:space="0" w:color="auto"/>
                        <w:left w:val="none" w:sz="0" w:space="0" w:color="auto"/>
                        <w:bottom w:val="none" w:sz="0" w:space="0" w:color="auto"/>
                        <w:right w:val="none" w:sz="0" w:space="0" w:color="auto"/>
                      </w:divBdr>
                    </w:div>
                  </w:divsChild>
                </w:div>
                <w:div w:id="421341417">
                  <w:marLeft w:val="0"/>
                  <w:marRight w:val="0"/>
                  <w:marTop w:val="0"/>
                  <w:marBottom w:val="0"/>
                  <w:divBdr>
                    <w:top w:val="none" w:sz="0" w:space="0" w:color="auto"/>
                    <w:left w:val="none" w:sz="0" w:space="0" w:color="auto"/>
                    <w:bottom w:val="none" w:sz="0" w:space="0" w:color="auto"/>
                    <w:right w:val="none" w:sz="0" w:space="0" w:color="auto"/>
                  </w:divBdr>
                  <w:divsChild>
                    <w:div w:id="548882831">
                      <w:marLeft w:val="0"/>
                      <w:marRight w:val="0"/>
                      <w:marTop w:val="0"/>
                      <w:marBottom w:val="0"/>
                      <w:divBdr>
                        <w:top w:val="none" w:sz="0" w:space="0" w:color="auto"/>
                        <w:left w:val="none" w:sz="0" w:space="0" w:color="auto"/>
                        <w:bottom w:val="none" w:sz="0" w:space="0" w:color="auto"/>
                        <w:right w:val="none" w:sz="0" w:space="0" w:color="auto"/>
                      </w:divBdr>
                    </w:div>
                  </w:divsChild>
                </w:div>
                <w:div w:id="452526882">
                  <w:marLeft w:val="0"/>
                  <w:marRight w:val="0"/>
                  <w:marTop w:val="0"/>
                  <w:marBottom w:val="0"/>
                  <w:divBdr>
                    <w:top w:val="none" w:sz="0" w:space="0" w:color="auto"/>
                    <w:left w:val="none" w:sz="0" w:space="0" w:color="auto"/>
                    <w:bottom w:val="none" w:sz="0" w:space="0" w:color="auto"/>
                    <w:right w:val="none" w:sz="0" w:space="0" w:color="auto"/>
                  </w:divBdr>
                  <w:divsChild>
                    <w:div w:id="745227143">
                      <w:marLeft w:val="0"/>
                      <w:marRight w:val="0"/>
                      <w:marTop w:val="0"/>
                      <w:marBottom w:val="0"/>
                      <w:divBdr>
                        <w:top w:val="none" w:sz="0" w:space="0" w:color="auto"/>
                        <w:left w:val="none" w:sz="0" w:space="0" w:color="auto"/>
                        <w:bottom w:val="none" w:sz="0" w:space="0" w:color="auto"/>
                        <w:right w:val="none" w:sz="0" w:space="0" w:color="auto"/>
                      </w:divBdr>
                    </w:div>
                  </w:divsChild>
                </w:div>
                <w:div w:id="482429063">
                  <w:marLeft w:val="0"/>
                  <w:marRight w:val="0"/>
                  <w:marTop w:val="0"/>
                  <w:marBottom w:val="0"/>
                  <w:divBdr>
                    <w:top w:val="none" w:sz="0" w:space="0" w:color="auto"/>
                    <w:left w:val="none" w:sz="0" w:space="0" w:color="auto"/>
                    <w:bottom w:val="none" w:sz="0" w:space="0" w:color="auto"/>
                    <w:right w:val="none" w:sz="0" w:space="0" w:color="auto"/>
                  </w:divBdr>
                  <w:divsChild>
                    <w:div w:id="1451586796">
                      <w:marLeft w:val="0"/>
                      <w:marRight w:val="0"/>
                      <w:marTop w:val="0"/>
                      <w:marBottom w:val="0"/>
                      <w:divBdr>
                        <w:top w:val="none" w:sz="0" w:space="0" w:color="auto"/>
                        <w:left w:val="none" w:sz="0" w:space="0" w:color="auto"/>
                        <w:bottom w:val="none" w:sz="0" w:space="0" w:color="auto"/>
                        <w:right w:val="none" w:sz="0" w:space="0" w:color="auto"/>
                      </w:divBdr>
                    </w:div>
                  </w:divsChild>
                </w:div>
                <w:div w:id="678780336">
                  <w:marLeft w:val="0"/>
                  <w:marRight w:val="0"/>
                  <w:marTop w:val="0"/>
                  <w:marBottom w:val="0"/>
                  <w:divBdr>
                    <w:top w:val="none" w:sz="0" w:space="0" w:color="auto"/>
                    <w:left w:val="none" w:sz="0" w:space="0" w:color="auto"/>
                    <w:bottom w:val="none" w:sz="0" w:space="0" w:color="auto"/>
                    <w:right w:val="none" w:sz="0" w:space="0" w:color="auto"/>
                  </w:divBdr>
                  <w:divsChild>
                    <w:div w:id="913003133">
                      <w:marLeft w:val="0"/>
                      <w:marRight w:val="0"/>
                      <w:marTop w:val="0"/>
                      <w:marBottom w:val="0"/>
                      <w:divBdr>
                        <w:top w:val="none" w:sz="0" w:space="0" w:color="auto"/>
                        <w:left w:val="none" w:sz="0" w:space="0" w:color="auto"/>
                        <w:bottom w:val="none" w:sz="0" w:space="0" w:color="auto"/>
                        <w:right w:val="none" w:sz="0" w:space="0" w:color="auto"/>
                      </w:divBdr>
                    </w:div>
                  </w:divsChild>
                </w:div>
                <w:div w:id="732394119">
                  <w:marLeft w:val="0"/>
                  <w:marRight w:val="0"/>
                  <w:marTop w:val="0"/>
                  <w:marBottom w:val="0"/>
                  <w:divBdr>
                    <w:top w:val="none" w:sz="0" w:space="0" w:color="auto"/>
                    <w:left w:val="none" w:sz="0" w:space="0" w:color="auto"/>
                    <w:bottom w:val="none" w:sz="0" w:space="0" w:color="auto"/>
                    <w:right w:val="none" w:sz="0" w:space="0" w:color="auto"/>
                  </w:divBdr>
                  <w:divsChild>
                    <w:div w:id="37971149">
                      <w:marLeft w:val="0"/>
                      <w:marRight w:val="0"/>
                      <w:marTop w:val="0"/>
                      <w:marBottom w:val="0"/>
                      <w:divBdr>
                        <w:top w:val="none" w:sz="0" w:space="0" w:color="auto"/>
                        <w:left w:val="none" w:sz="0" w:space="0" w:color="auto"/>
                        <w:bottom w:val="none" w:sz="0" w:space="0" w:color="auto"/>
                        <w:right w:val="none" w:sz="0" w:space="0" w:color="auto"/>
                      </w:divBdr>
                    </w:div>
                  </w:divsChild>
                </w:div>
                <w:div w:id="961692654">
                  <w:marLeft w:val="0"/>
                  <w:marRight w:val="0"/>
                  <w:marTop w:val="0"/>
                  <w:marBottom w:val="0"/>
                  <w:divBdr>
                    <w:top w:val="none" w:sz="0" w:space="0" w:color="auto"/>
                    <w:left w:val="none" w:sz="0" w:space="0" w:color="auto"/>
                    <w:bottom w:val="none" w:sz="0" w:space="0" w:color="auto"/>
                    <w:right w:val="none" w:sz="0" w:space="0" w:color="auto"/>
                  </w:divBdr>
                  <w:divsChild>
                    <w:div w:id="1119178939">
                      <w:marLeft w:val="0"/>
                      <w:marRight w:val="0"/>
                      <w:marTop w:val="0"/>
                      <w:marBottom w:val="0"/>
                      <w:divBdr>
                        <w:top w:val="none" w:sz="0" w:space="0" w:color="auto"/>
                        <w:left w:val="none" w:sz="0" w:space="0" w:color="auto"/>
                        <w:bottom w:val="none" w:sz="0" w:space="0" w:color="auto"/>
                        <w:right w:val="none" w:sz="0" w:space="0" w:color="auto"/>
                      </w:divBdr>
                    </w:div>
                  </w:divsChild>
                </w:div>
                <w:div w:id="1195994438">
                  <w:marLeft w:val="0"/>
                  <w:marRight w:val="0"/>
                  <w:marTop w:val="0"/>
                  <w:marBottom w:val="0"/>
                  <w:divBdr>
                    <w:top w:val="none" w:sz="0" w:space="0" w:color="auto"/>
                    <w:left w:val="none" w:sz="0" w:space="0" w:color="auto"/>
                    <w:bottom w:val="none" w:sz="0" w:space="0" w:color="auto"/>
                    <w:right w:val="none" w:sz="0" w:space="0" w:color="auto"/>
                  </w:divBdr>
                  <w:divsChild>
                    <w:div w:id="886180947">
                      <w:marLeft w:val="0"/>
                      <w:marRight w:val="0"/>
                      <w:marTop w:val="0"/>
                      <w:marBottom w:val="0"/>
                      <w:divBdr>
                        <w:top w:val="none" w:sz="0" w:space="0" w:color="auto"/>
                        <w:left w:val="none" w:sz="0" w:space="0" w:color="auto"/>
                        <w:bottom w:val="none" w:sz="0" w:space="0" w:color="auto"/>
                        <w:right w:val="none" w:sz="0" w:space="0" w:color="auto"/>
                      </w:divBdr>
                    </w:div>
                  </w:divsChild>
                </w:div>
                <w:div w:id="1289505825">
                  <w:marLeft w:val="0"/>
                  <w:marRight w:val="0"/>
                  <w:marTop w:val="0"/>
                  <w:marBottom w:val="0"/>
                  <w:divBdr>
                    <w:top w:val="none" w:sz="0" w:space="0" w:color="auto"/>
                    <w:left w:val="none" w:sz="0" w:space="0" w:color="auto"/>
                    <w:bottom w:val="none" w:sz="0" w:space="0" w:color="auto"/>
                    <w:right w:val="none" w:sz="0" w:space="0" w:color="auto"/>
                  </w:divBdr>
                  <w:divsChild>
                    <w:div w:id="934940602">
                      <w:marLeft w:val="0"/>
                      <w:marRight w:val="0"/>
                      <w:marTop w:val="0"/>
                      <w:marBottom w:val="0"/>
                      <w:divBdr>
                        <w:top w:val="none" w:sz="0" w:space="0" w:color="auto"/>
                        <w:left w:val="none" w:sz="0" w:space="0" w:color="auto"/>
                        <w:bottom w:val="none" w:sz="0" w:space="0" w:color="auto"/>
                        <w:right w:val="none" w:sz="0" w:space="0" w:color="auto"/>
                      </w:divBdr>
                    </w:div>
                  </w:divsChild>
                </w:div>
                <w:div w:id="1362900256">
                  <w:marLeft w:val="0"/>
                  <w:marRight w:val="0"/>
                  <w:marTop w:val="0"/>
                  <w:marBottom w:val="0"/>
                  <w:divBdr>
                    <w:top w:val="none" w:sz="0" w:space="0" w:color="auto"/>
                    <w:left w:val="none" w:sz="0" w:space="0" w:color="auto"/>
                    <w:bottom w:val="none" w:sz="0" w:space="0" w:color="auto"/>
                    <w:right w:val="none" w:sz="0" w:space="0" w:color="auto"/>
                  </w:divBdr>
                  <w:divsChild>
                    <w:div w:id="1056900178">
                      <w:marLeft w:val="0"/>
                      <w:marRight w:val="0"/>
                      <w:marTop w:val="0"/>
                      <w:marBottom w:val="0"/>
                      <w:divBdr>
                        <w:top w:val="none" w:sz="0" w:space="0" w:color="auto"/>
                        <w:left w:val="none" w:sz="0" w:space="0" w:color="auto"/>
                        <w:bottom w:val="none" w:sz="0" w:space="0" w:color="auto"/>
                        <w:right w:val="none" w:sz="0" w:space="0" w:color="auto"/>
                      </w:divBdr>
                    </w:div>
                  </w:divsChild>
                </w:div>
                <w:div w:id="1379360719">
                  <w:marLeft w:val="0"/>
                  <w:marRight w:val="0"/>
                  <w:marTop w:val="0"/>
                  <w:marBottom w:val="0"/>
                  <w:divBdr>
                    <w:top w:val="none" w:sz="0" w:space="0" w:color="auto"/>
                    <w:left w:val="none" w:sz="0" w:space="0" w:color="auto"/>
                    <w:bottom w:val="none" w:sz="0" w:space="0" w:color="auto"/>
                    <w:right w:val="none" w:sz="0" w:space="0" w:color="auto"/>
                  </w:divBdr>
                  <w:divsChild>
                    <w:div w:id="946235118">
                      <w:marLeft w:val="0"/>
                      <w:marRight w:val="0"/>
                      <w:marTop w:val="0"/>
                      <w:marBottom w:val="0"/>
                      <w:divBdr>
                        <w:top w:val="none" w:sz="0" w:space="0" w:color="auto"/>
                        <w:left w:val="none" w:sz="0" w:space="0" w:color="auto"/>
                        <w:bottom w:val="none" w:sz="0" w:space="0" w:color="auto"/>
                        <w:right w:val="none" w:sz="0" w:space="0" w:color="auto"/>
                      </w:divBdr>
                    </w:div>
                  </w:divsChild>
                </w:div>
                <w:div w:id="1397318907">
                  <w:marLeft w:val="0"/>
                  <w:marRight w:val="0"/>
                  <w:marTop w:val="0"/>
                  <w:marBottom w:val="0"/>
                  <w:divBdr>
                    <w:top w:val="none" w:sz="0" w:space="0" w:color="auto"/>
                    <w:left w:val="none" w:sz="0" w:space="0" w:color="auto"/>
                    <w:bottom w:val="none" w:sz="0" w:space="0" w:color="auto"/>
                    <w:right w:val="none" w:sz="0" w:space="0" w:color="auto"/>
                  </w:divBdr>
                  <w:divsChild>
                    <w:div w:id="1462531286">
                      <w:marLeft w:val="0"/>
                      <w:marRight w:val="0"/>
                      <w:marTop w:val="0"/>
                      <w:marBottom w:val="0"/>
                      <w:divBdr>
                        <w:top w:val="none" w:sz="0" w:space="0" w:color="auto"/>
                        <w:left w:val="none" w:sz="0" w:space="0" w:color="auto"/>
                        <w:bottom w:val="none" w:sz="0" w:space="0" w:color="auto"/>
                        <w:right w:val="none" w:sz="0" w:space="0" w:color="auto"/>
                      </w:divBdr>
                    </w:div>
                  </w:divsChild>
                </w:div>
                <w:div w:id="1494948809">
                  <w:marLeft w:val="0"/>
                  <w:marRight w:val="0"/>
                  <w:marTop w:val="0"/>
                  <w:marBottom w:val="0"/>
                  <w:divBdr>
                    <w:top w:val="none" w:sz="0" w:space="0" w:color="auto"/>
                    <w:left w:val="none" w:sz="0" w:space="0" w:color="auto"/>
                    <w:bottom w:val="none" w:sz="0" w:space="0" w:color="auto"/>
                    <w:right w:val="none" w:sz="0" w:space="0" w:color="auto"/>
                  </w:divBdr>
                  <w:divsChild>
                    <w:div w:id="523518356">
                      <w:marLeft w:val="0"/>
                      <w:marRight w:val="0"/>
                      <w:marTop w:val="0"/>
                      <w:marBottom w:val="0"/>
                      <w:divBdr>
                        <w:top w:val="none" w:sz="0" w:space="0" w:color="auto"/>
                        <w:left w:val="none" w:sz="0" w:space="0" w:color="auto"/>
                        <w:bottom w:val="none" w:sz="0" w:space="0" w:color="auto"/>
                        <w:right w:val="none" w:sz="0" w:space="0" w:color="auto"/>
                      </w:divBdr>
                    </w:div>
                  </w:divsChild>
                </w:div>
                <w:div w:id="1673533489">
                  <w:marLeft w:val="0"/>
                  <w:marRight w:val="0"/>
                  <w:marTop w:val="0"/>
                  <w:marBottom w:val="0"/>
                  <w:divBdr>
                    <w:top w:val="none" w:sz="0" w:space="0" w:color="auto"/>
                    <w:left w:val="none" w:sz="0" w:space="0" w:color="auto"/>
                    <w:bottom w:val="none" w:sz="0" w:space="0" w:color="auto"/>
                    <w:right w:val="none" w:sz="0" w:space="0" w:color="auto"/>
                  </w:divBdr>
                  <w:divsChild>
                    <w:div w:id="2100254111">
                      <w:marLeft w:val="0"/>
                      <w:marRight w:val="0"/>
                      <w:marTop w:val="0"/>
                      <w:marBottom w:val="0"/>
                      <w:divBdr>
                        <w:top w:val="none" w:sz="0" w:space="0" w:color="auto"/>
                        <w:left w:val="none" w:sz="0" w:space="0" w:color="auto"/>
                        <w:bottom w:val="none" w:sz="0" w:space="0" w:color="auto"/>
                        <w:right w:val="none" w:sz="0" w:space="0" w:color="auto"/>
                      </w:divBdr>
                    </w:div>
                  </w:divsChild>
                </w:div>
                <w:div w:id="2029258133">
                  <w:marLeft w:val="0"/>
                  <w:marRight w:val="0"/>
                  <w:marTop w:val="0"/>
                  <w:marBottom w:val="0"/>
                  <w:divBdr>
                    <w:top w:val="none" w:sz="0" w:space="0" w:color="auto"/>
                    <w:left w:val="none" w:sz="0" w:space="0" w:color="auto"/>
                    <w:bottom w:val="none" w:sz="0" w:space="0" w:color="auto"/>
                    <w:right w:val="none" w:sz="0" w:space="0" w:color="auto"/>
                  </w:divBdr>
                  <w:divsChild>
                    <w:div w:id="107952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87056">
          <w:marLeft w:val="0"/>
          <w:marRight w:val="0"/>
          <w:marTop w:val="0"/>
          <w:marBottom w:val="0"/>
          <w:divBdr>
            <w:top w:val="none" w:sz="0" w:space="0" w:color="auto"/>
            <w:left w:val="none" w:sz="0" w:space="0" w:color="auto"/>
            <w:bottom w:val="none" w:sz="0" w:space="0" w:color="auto"/>
            <w:right w:val="none" w:sz="0" w:space="0" w:color="auto"/>
          </w:divBdr>
        </w:div>
        <w:div w:id="1037387592">
          <w:marLeft w:val="0"/>
          <w:marRight w:val="0"/>
          <w:marTop w:val="0"/>
          <w:marBottom w:val="0"/>
          <w:divBdr>
            <w:top w:val="none" w:sz="0" w:space="0" w:color="auto"/>
            <w:left w:val="none" w:sz="0" w:space="0" w:color="auto"/>
            <w:bottom w:val="none" w:sz="0" w:space="0" w:color="auto"/>
            <w:right w:val="none" w:sz="0" w:space="0" w:color="auto"/>
          </w:divBdr>
          <w:divsChild>
            <w:div w:id="73672017">
              <w:marLeft w:val="0"/>
              <w:marRight w:val="0"/>
              <w:marTop w:val="0"/>
              <w:marBottom w:val="0"/>
              <w:divBdr>
                <w:top w:val="none" w:sz="0" w:space="0" w:color="auto"/>
                <w:left w:val="none" w:sz="0" w:space="0" w:color="auto"/>
                <w:bottom w:val="none" w:sz="0" w:space="0" w:color="auto"/>
                <w:right w:val="none" w:sz="0" w:space="0" w:color="auto"/>
              </w:divBdr>
            </w:div>
            <w:div w:id="152189208">
              <w:marLeft w:val="0"/>
              <w:marRight w:val="0"/>
              <w:marTop w:val="0"/>
              <w:marBottom w:val="0"/>
              <w:divBdr>
                <w:top w:val="none" w:sz="0" w:space="0" w:color="auto"/>
                <w:left w:val="none" w:sz="0" w:space="0" w:color="auto"/>
                <w:bottom w:val="none" w:sz="0" w:space="0" w:color="auto"/>
                <w:right w:val="none" w:sz="0" w:space="0" w:color="auto"/>
              </w:divBdr>
            </w:div>
            <w:div w:id="167912603">
              <w:marLeft w:val="0"/>
              <w:marRight w:val="0"/>
              <w:marTop w:val="0"/>
              <w:marBottom w:val="0"/>
              <w:divBdr>
                <w:top w:val="none" w:sz="0" w:space="0" w:color="auto"/>
                <w:left w:val="none" w:sz="0" w:space="0" w:color="auto"/>
                <w:bottom w:val="none" w:sz="0" w:space="0" w:color="auto"/>
                <w:right w:val="none" w:sz="0" w:space="0" w:color="auto"/>
              </w:divBdr>
            </w:div>
            <w:div w:id="172303011">
              <w:marLeft w:val="0"/>
              <w:marRight w:val="0"/>
              <w:marTop w:val="0"/>
              <w:marBottom w:val="0"/>
              <w:divBdr>
                <w:top w:val="none" w:sz="0" w:space="0" w:color="auto"/>
                <w:left w:val="none" w:sz="0" w:space="0" w:color="auto"/>
                <w:bottom w:val="none" w:sz="0" w:space="0" w:color="auto"/>
                <w:right w:val="none" w:sz="0" w:space="0" w:color="auto"/>
              </w:divBdr>
            </w:div>
            <w:div w:id="173299809">
              <w:marLeft w:val="0"/>
              <w:marRight w:val="0"/>
              <w:marTop w:val="0"/>
              <w:marBottom w:val="0"/>
              <w:divBdr>
                <w:top w:val="none" w:sz="0" w:space="0" w:color="auto"/>
                <w:left w:val="none" w:sz="0" w:space="0" w:color="auto"/>
                <w:bottom w:val="none" w:sz="0" w:space="0" w:color="auto"/>
                <w:right w:val="none" w:sz="0" w:space="0" w:color="auto"/>
              </w:divBdr>
            </w:div>
            <w:div w:id="213975180">
              <w:marLeft w:val="0"/>
              <w:marRight w:val="0"/>
              <w:marTop w:val="0"/>
              <w:marBottom w:val="0"/>
              <w:divBdr>
                <w:top w:val="none" w:sz="0" w:space="0" w:color="auto"/>
                <w:left w:val="none" w:sz="0" w:space="0" w:color="auto"/>
                <w:bottom w:val="none" w:sz="0" w:space="0" w:color="auto"/>
                <w:right w:val="none" w:sz="0" w:space="0" w:color="auto"/>
              </w:divBdr>
            </w:div>
            <w:div w:id="399641396">
              <w:marLeft w:val="0"/>
              <w:marRight w:val="0"/>
              <w:marTop w:val="0"/>
              <w:marBottom w:val="0"/>
              <w:divBdr>
                <w:top w:val="none" w:sz="0" w:space="0" w:color="auto"/>
                <w:left w:val="none" w:sz="0" w:space="0" w:color="auto"/>
                <w:bottom w:val="none" w:sz="0" w:space="0" w:color="auto"/>
                <w:right w:val="none" w:sz="0" w:space="0" w:color="auto"/>
              </w:divBdr>
            </w:div>
            <w:div w:id="500200884">
              <w:marLeft w:val="0"/>
              <w:marRight w:val="0"/>
              <w:marTop w:val="0"/>
              <w:marBottom w:val="0"/>
              <w:divBdr>
                <w:top w:val="none" w:sz="0" w:space="0" w:color="auto"/>
                <w:left w:val="none" w:sz="0" w:space="0" w:color="auto"/>
                <w:bottom w:val="none" w:sz="0" w:space="0" w:color="auto"/>
                <w:right w:val="none" w:sz="0" w:space="0" w:color="auto"/>
              </w:divBdr>
            </w:div>
            <w:div w:id="830608390">
              <w:marLeft w:val="0"/>
              <w:marRight w:val="0"/>
              <w:marTop w:val="0"/>
              <w:marBottom w:val="0"/>
              <w:divBdr>
                <w:top w:val="none" w:sz="0" w:space="0" w:color="auto"/>
                <w:left w:val="none" w:sz="0" w:space="0" w:color="auto"/>
                <w:bottom w:val="none" w:sz="0" w:space="0" w:color="auto"/>
                <w:right w:val="none" w:sz="0" w:space="0" w:color="auto"/>
              </w:divBdr>
            </w:div>
            <w:div w:id="849412632">
              <w:marLeft w:val="0"/>
              <w:marRight w:val="0"/>
              <w:marTop w:val="0"/>
              <w:marBottom w:val="0"/>
              <w:divBdr>
                <w:top w:val="none" w:sz="0" w:space="0" w:color="auto"/>
                <w:left w:val="none" w:sz="0" w:space="0" w:color="auto"/>
                <w:bottom w:val="none" w:sz="0" w:space="0" w:color="auto"/>
                <w:right w:val="none" w:sz="0" w:space="0" w:color="auto"/>
              </w:divBdr>
            </w:div>
            <w:div w:id="1309440435">
              <w:marLeft w:val="0"/>
              <w:marRight w:val="0"/>
              <w:marTop w:val="0"/>
              <w:marBottom w:val="0"/>
              <w:divBdr>
                <w:top w:val="none" w:sz="0" w:space="0" w:color="auto"/>
                <w:left w:val="none" w:sz="0" w:space="0" w:color="auto"/>
                <w:bottom w:val="none" w:sz="0" w:space="0" w:color="auto"/>
                <w:right w:val="none" w:sz="0" w:space="0" w:color="auto"/>
              </w:divBdr>
            </w:div>
            <w:div w:id="1339965887">
              <w:marLeft w:val="0"/>
              <w:marRight w:val="0"/>
              <w:marTop w:val="0"/>
              <w:marBottom w:val="0"/>
              <w:divBdr>
                <w:top w:val="none" w:sz="0" w:space="0" w:color="auto"/>
                <w:left w:val="none" w:sz="0" w:space="0" w:color="auto"/>
                <w:bottom w:val="none" w:sz="0" w:space="0" w:color="auto"/>
                <w:right w:val="none" w:sz="0" w:space="0" w:color="auto"/>
              </w:divBdr>
            </w:div>
            <w:div w:id="1501693558">
              <w:marLeft w:val="0"/>
              <w:marRight w:val="0"/>
              <w:marTop w:val="0"/>
              <w:marBottom w:val="0"/>
              <w:divBdr>
                <w:top w:val="none" w:sz="0" w:space="0" w:color="auto"/>
                <w:left w:val="none" w:sz="0" w:space="0" w:color="auto"/>
                <w:bottom w:val="none" w:sz="0" w:space="0" w:color="auto"/>
                <w:right w:val="none" w:sz="0" w:space="0" w:color="auto"/>
              </w:divBdr>
            </w:div>
            <w:div w:id="1555508599">
              <w:marLeft w:val="0"/>
              <w:marRight w:val="0"/>
              <w:marTop w:val="0"/>
              <w:marBottom w:val="0"/>
              <w:divBdr>
                <w:top w:val="none" w:sz="0" w:space="0" w:color="auto"/>
                <w:left w:val="none" w:sz="0" w:space="0" w:color="auto"/>
                <w:bottom w:val="none" w:sz="0" w:space="0" w:color="auto"/>
                <w:right w:val="none" w:sz="0" w:space="0" w:color="auto"/>
              </w:divBdr>
            </w:div>
            <w:div w:id="1733430933">
              <w:marLeft w:val="0"/>
              <w:marRight w:val="0"/>
              <w:marTop w:val="0"/>
              <w:marBottom w:val="0"/>
              <w:divBdr>
                <w:top w:val="none" w:sz="0" w:space="0" w:color="auto"/>
                <w:left w:val="none" w:sz="0" w:space="0" w:color="auto"/>
                <w:bottom w:val="none" w:sz="0" w:space="0" w:color="auto"/>
                <w:right w:val="none" w:sz="0" w:space="0" w:color="auto"/>
              </w:divBdr>
            </w:div>
            <w:div w:id="1826697995">
              <w:marLeft w:val="0"/>
              <w:marRight w:val="0"/>
              <w:marTop w:val="0"/>
              <w:marBottom w:val="0"/>
              <w:divBdr>
                <w:top w:val="none" w:sz="0" w:space="0" w:color="auto"/>
                <w:left w:val="none" w:sz="0" w:space="0" w:color="auto"/>
                <w:bottom w:val="none" w:sz="0" w:space="0" w:color="auto"/>
                <w:right w:val="none" w:sz="0" w:space="0" w:color="auto"/>
              </w:divBdr>
            </w:div>
            <w:div w:id="1835874246">
              <w:marLeft w:val="0"/>
              <w:marRight w:val="0"/>
              <w:marTop w:val="0"/>
              <w:marBottom w:val="0"/>
              <w:divBdr>
                <w:top w:val="none" w:sz="0" w:space="0" w:color="auto"/>
                <w:left w:val="none" w:sz="0" w:space="0" w:color="auto"/>
                <w:bottom w:val="none" w:sz="0" w:space="0" w:color="auto"/>
                <w:right w:val="none" w:sz="0" w:space="0" w:color="auto"/>
              </w:divBdr>
            </w:div>
            <w:div w:id="1861117378">
              <w:marLeft w:val="0"/>
              <w:marRight w:val="0"/>
              <w:marTop w:val="0"/>
              <w:marBottom w:val="0"/>
              <w:divBdr>
                <w:top w:val="none" w:sz="0" w:space="0" w:color="auto"/>
                <w:left w:val="none" w:sz="0" w:space="0" w:color="auto"/>
                <w:bottom w:val="none" w:sz="0" w:space="0" w:color="auto"/>
                <w:right w:val="none" w:sz="0" w:space="0" w:color="auto"/>
              </w:divBdr>
            </w:div>
            <w:div w:id="1870802859">
              <w:marLeft w:val="0"/>
              <w:marRight w:val="0"/>
              <w:marTop w:val="0"/>
              <w:marBottom w:val="0"/>
              <w:divBdr>
                <w:top w:val="none" w:sz="0" w:space="0" w:color="auto"/>
                <w:left w:val="none" w:sz="0" w:space="0" w:color="auto"/>
                <w:bottom w:val="none" w:sz="0" w:space="0" w:color="auto"/>
                <w:right w:val="none" w:sz="0" w:space="0" w:color="auto"/>
              </w:divBdr>
            </w:div>
            <w:div w:id="2004626189">
              <w:marLeft w:val="0"/>
              <w:marRight w:val="0"/>
              <w:marTop w:val="0"/>
              <w:marBottom w:val="0"/>
              <w:divBdr>
                <w:top w:val="none" w:sz="0" w:space="0" w:color="auto"/>
                <w:left w:val="none" w:sz="0" w:space="0" w:color="auto"/>
                <w:bottom w:val="none" w:sz="0" w:space="0" w:color="auto"/>
                <w:right w:val="none" w:sz="0" w:space="0" w:color="auto"/>
              </w:divBdr>
            </w:div>
          </w:divsChild>
        </w:div>
        <w:div w:id="1094014515">
          <w:marLeft w:val="0"/>
          <w:marRight w:val="0"/>
          <w:marTop w:val="0"/>
          <w:marBottom w:val="0"/>
          <w:divBdr>
            <w:top w:val="none" w:sz="0" w:space="0" w:color="auto"/>
            <w:left w:val="none" w:sz="0" w:space="0" w:color="auto"/>
            <w:bottom w:val="none" w:sz="0" w:space="0" w:color="auto"/>
            <w:right w:val="none" w:sz="0" w:space="0" w:color="auto"/>
          </w:divBdr>
        </w:div>
        <w:div w:id="1121413142">
          <w:marLeft w:val="0"/>
          <w:marRight w:val="0"/>
          <w:marTop w:val="0"/>
          <w:marBottom w:val="0"/>
          <w:divBdr>
            <w:top w:val="none" w:sz="0" w:space="0" w:color="auto"/>
            <w:left w:val="none" w:sz="0" w:space="0" w:color="auto"/>
            <w:bottom w:val="none" w:sz="0" w:space="0" w:color="auto"/>
            <w:right w:val="none" w:sz="0" w:space="0" w:color="auto"/>
          </w:divBdr>
        </w:div>
        <w:div w:id="1169714146">
          <w:marLeft w:val="0"/>
          <w:marRight w:val="0"/>
          <w:marTop w:val="0"/>
          <w:marBottom w:val="0"/>
          <w:divBdr>
            <w:top w:val="none" w:sz="0" w:space="0" w:color="auto"/>
            <w:left w:val="none" w:sz="0" w:space="0" w:color="auto"/>
            <w:bottom w:val="none" w:sz="0" w:space="0" w:color="auto"/>
            <w:right w:val="none" w:sz="0" w:space="0" w:color="auto"/>
          </w:divBdr>
        </w:div>
        <w:div w:id="1317221005">
          <w:marLeft w:val="0"/>
          <w:marRight w:val="0"/>
          <w:marTop w:val="0"/>
          <w:marBottom w:val="0"/>
          <w:divBdr>
            <w:top w:val="none" w:sz="0" w:space="0" w:color="auto"/>
            <w:left w:val="none" w:sz="0" w:space="0" w:color="auto"/>
            <w:bottom w:val="none" w:sz="0" w:space="0" w:color="auto"/>
            <w:right w:val="none" w:sz="0" w:space="0" w:color="auto"/>
          </w:divBdr>
          <w:divsChild>
            <w:div w:id="97142624">
              <w:marLeft w:val="0"/>
              <w:marRight w:val="0"/>
              <w:marTop w:val="0"/>
              <w:marBottom w:val="0"/>
              <w:divBdr>
                <w:top w:val="none" w:sz="0" w:space="0" w:color="auto"/>
                <w:left w:val="none" w:sz="0" w:space="0" w:color="auto"/>
                <w:bottom w:val="none" w:sz="0" w:space="0" w:color="auto"/>
                <w:right w:val="none" w:sz="0" w:space="0" w:color="auto"/>
              </w:divBdr>
            </w:div>
            <w:div w:id="198863342">
              <w:marLeft w:val="0"/>
              <w:marRight w:val="0"/>
              <w:marTop w:val="0"/>
              <w:marBottom w:val="0"/>
              <w:divBdr>
                <w:top w:val="none" w:sz="0" w:space="0" w:color="auto"/>
                <w:left w:val="none" w:sz="0" w:space="0" w:color="auto"/>
                <w:bottom w:val="none" w:sz="0" w:space="0" w:color="auto"/>
                <w:right w:val="none" w:sz="0" w:space="0" w:color="auto"/>
              </w:divBdr>
            </w:div>
            <w:div w:id="279846518">
              <w:marLeft w:val="0"/>
              <w:marRight w:val="0"/>
              <w:marTop w:val="0"/>
              <w:marBottom w:val="0"/>
              <w:divBdr>
                <w:top w:val="none" w:sz="0" w:space="0" w:color="auto"/>
                <w:left w:val="none" w:sz="0" w:space="0" w:color="auto"/>
                <w:bottom w:val="none" w:sz="0" w:space="0" w:color="auto"/>
                <w:right w:val="none" w:sz="0" w:space="0" w:color="auto"/>
              </w:divBdr>
            </w:div>
            <w:div w:id="725181111">
              <w:marLeft w:val="0"/>
              <w:marRight w:val="0"/>
              <w:marTop w:val="0"/>
              <w:marBottom w:val="0"/>
              <w:divBdr>
                <w:top w:val="none" w:sz="0" w:space="0" w:color="auto"/>
                <w:left w:val="none" w:sz="0" w:space="0" w:color="auto"/>
                <w:bottom w:val="none" w:sz="0" w:space="0" w:color="auto"/>
                <w:right w:val="none" w:sz="0" w:space="0" w:color="auto"/>
              </w:divBdr>
            </w:div>
            <w:div w:id="799421079">
              <w:marLeft w:val="0"/>
              <w:marRight w:val="0"/>
              <w:marTop w:val="0"/>
              <w:marBottom w:val="0"/>
              <w:divBdr>
                <w:top w:val="none" w:sz="0" w:space="0" w:color="auto"/>
                <w:left w:val="none" w:sz="0" w:space="0" w:color="auto"/>
                <w:bottom w:val="none" w:sz="0" w:space="0" w:color="auto"/>
                <w:right w:val="none" w:sz="0" w:space="0" w:color="auto"/>
              </w:divBdr>
            </w:div>
            <w:div w:id="829103526">
              <w:marLeft w:val="0"/>
              <w:marRight w:val="0"/>
              <w:marTop w:val="0"/>
              <w:marBottom w:val="0"/>
              <w:divBdr>
                <w:top w:val="none" w:sz="0" w:space="0" w:color="auto"/>
                <w:left w:val="none" w:sz="0" w:space="0" w:color="auto"/>
                <w:bottom w:val="none" w:sz="0" w:space="0" w:color="auto"/>
                <w:right w:val="none" w:sz="0" w:space="0" w:color="auto"/>
              </w:divBdr>
            </w:div>
            <w:div w:id="861623591">
              <w:marLeft w:val="0"/>
              <w:marRight w:val="0"/>
              <w:marTop w:val="0"/>
              <w:marBottom w:val="0"/>
              <w:divBdr>
                <w:top w:val="none" w:sz="0" w:space="0" w:color="auto"/>
                <w:left w:val="none" w:sz="0" w:space="0" w:color="auto"/>
                <w:bottom w:val="none" w:sz="0" w:space="0" w:color="auto"/>
                <w:right w:val="none" w:sz="0" w:space="0" w:color="auto"/>
              </w:divBdr>
            </w:div>
            <w:div w:id="1109857347">
              <w:marLeft w:val="0"/>
              <w:marRight w:val="0"/>
              <w:marTop w:val="0"/>
              <w:marBottom w:val="0"/>
              <w:divBdr>
                <w:top w:val="none" w:sz="0" w:space="0" w:color="auto"/>
                <w:left w:val="none" w:sz="0" w:space="0" w:color="auto"/>
                <w:bottom w:val="none" w:sz="0" w:space="0" w:color="auto"/>
                <w:right w:val="none" w:sz="0" w:space="0" w:color="auto"/>
              </w:divBdr>
            </w:div>
            <w:div w:id="1162507236">
              <w:marLeft w:val="0"/>
              <w:marRight w:val="0"/>
              <w:marTop w:val="0"/>
              <w:marBottom w:val="0"/>
              <w:divBdr>
                <w:top w:val="none" w:sz="0" w:space="0" w:color="auto"/>
                <w:left w:val="none" w:sz="0" w:space="0" w:color="auto"/>
                <w:bottom w:val="none" w:sz="0" w:space="0" w:color="auto"/>
                <w:right w:val="none" w:sz="0" w:space="0" w:color="auto"/>
              </w:divBdr>
            </w:div>
            <w:div w:id="1377777736">
              <w:marLeft w:val="0"/>
              <w:marRight w:val="0"/>
              <w:marTop w:val="0"/>
              <w:marBottom w:val="0"/>
              <w:divBdr>
                <w:top w:val="none" w:sz="0" w:space="0" w:color="auto"/>
                <w:left w:val="none" w:sz="0" w:space="0" w:color="auto"/>
                <w:bottom w:val="none" w:sz="0" w:space="0" w:color="auto"/>
                <w:right w:val="none" w:sz="0" w:space="0" w:color="auto"/>
              </w:divBdr>
            </w:div>
            <w:div w:id="1459180589">
              <w:marLeft w:val="0"/>
              <w:marRight w:val="0"/>
              <w:marTop w:val="0"/>
              <w:marBottom w:val="0"/>
              <w:divBdr>
                <w:top w:val="none" w:sz="0" w:space="0" w:color="auto"/>
                <w:left w:val="none" w:sz="0" w:space="0" w:color="auto"/>
                <w:bottom w:val="none" w:sz="0" w:space="0" w:color="auto"/>
                <w:right w:val="none" w:sz="0" w:space="0" w:color="auto"/>
              </w:divBdr>
            </w:div>
            <w:div w:id="1641568318">
              <w:marLeft w:val="0"/>
              <w:marRight w:val="0"/>
              <w:marTop w:val="0"/>
              <w:marBottom w:val="0"/>
              <w:divBdr>
                <w:top w:val="none" w:sz="0" w:space="0" w:color="auto"/>
                <w:left w:val="none" w:sz="0" w:space="0" w:color="auto"/>
                <w:bottom w:val="none" w:sz="0" w:space="0" w:color="auto"/>
                <w:right w:val="none" w:sz="0" w:space="0" w:color="auto"/>
              </w:divBdr>
            </w:div>
            <w:div w:id="1700356823">
              <w:marLeft w:val="0"/>
              <w:marRight w:val="0"/>
              <w:marTop w:val="0"/>
              <w:marBottom w:val="0"/>
              <w:divBdr>
                <w:top w:val="none" w:sz="0" w:space="0" w:color="auto"/>
                <w:left w:val="none" w:sz="0" w:space="0" w:color="auto"/>
                <w:bottom w:val="none" w:sz="0" w:space="0" w:color="auto"/>
                <w:right w:val="none" w:sz="0" w:space="0" w:color="auto"/>
              </w:divBdr>
            </w:div>
            <w:div w:id="1862282851">
              <w:marLeft w:val="0"/>
              <w:marRight w:val="0"/>
              <w:marTop w:val="0"/>
              <w:marBottom w:val="0"/>
              <w:divBdr>
                <w:top w:val="none" w:sz="0" w:space="0" w:color="auto"/>
                <w:left w:val="none" w:sz="0" w:space="0" w:color="auto"/>
                <w:bottom w:val="none" w:sz="0" w:space="0" w:color="auto"/>
                <w:right w:val="none" w:sz="0" w:space="0" w:color="auto"/>
              </w:divBdr>
            </w:div>
            <w:div w:id="1934584246">
              <w:marLeft w:val="0"/>
              <w:marRight w:val="0"/>
              <w:marTop w:val="0"/>
              <w:marBottom w:val="0"/>
              <w:divBdr>
                <w:top w:val="none" w:sz="0" w:space="0" w:color="auto"/>
                <w:left w:val="none" w:sz="0" w:space="0" w:color="auto"/>
                <w:bottom w:val="none" w:sz="0" w:space="0" w:color="auto"/>
                <w:right w:val="none" w:sz="0" w:space="0" w:color="auto"/>
              </w:divBdr>
            </w:div>
            <w:div w:id="1951887805">
              <w:marLeft w:val="0"/>
              <w:marRight w:val="0"/>
              <w:marTop w:val="0"/>
              <w:marBottom w:val="0"/>
              <w:divBdr>
                <w:top w:val="none" w:sz="0" w:space="0" w:color="auto"/>
                <w:left w:val="none" w:sz="0" w:space="0" w:color="auto"/>
                <w:bottom w:val="none" w:sz="0" w:space="0" w:color="auto"/>
                <w:right w:val="none" w:sz="0" w:space="0" w:color="auto"/>
              </w:divBdr>
            </w:div>
          </w:divsChild>
        </w:div>
        <w:div w:id="1403485900">
          <w:marLeft w:val="0"/>
          <w:marRight w:val="0"/>
          <w:marTop w:val="0"/>
          <w:marBottom w:val="0"/>
          <w:divBdr>
            <w:top w:val="none" w:sz="0" w:space="0" w:color="auto"/>
            <w:left w:val="none" w:sz="0" w:space="0" w:color="auto"/>
            <w:bottom w:val="none" w:sz="0" w:space="0" w:color="auto"/>
            <w:right w:val="none" w:sz="0" w:space="0" w:color="auto"/>
          </w:divBdr>
          <w:divsChild>
            <w:div w:id="125860910">
              <w:marLeft w:val="0"/>
              <w:marRight w:val="0"/>
              <w:marTop w:val="0"/>
              <w:marBottom w:val="0"/>
              <w:divBdr>
                <w:top w:val="none" w:sz="0" w:space="0" w:color="auto"/>
                <w:left w:val="none" w:sz="0" w:space="0" w:color="auto"/>
                <w:bottom w:val="none" w:sz="0" w:space="0" w:color="auto"/>
                <w:right w:val="none" w:sz="0" w:space="0" w:color="auto"/>
              </w:divBdr>
            </w:div>
            <w:div w:id="193887782">
              <w:marLeft w:val="0"/>
              <w:marRight w:val="0"/>
              <w:marTop w:val="0"/>
              <w:marBottom w:val="0"/>
              <w:divBdr>
                <w:top w:val="none" w:sz="0" w:space="0" w:color="auto"/>
                <w:left w:val="none" w:sz="0" w:space="0" w:color="auto"/>
                <w:bottom w:val="none" w:sz="0" w:space="0" w:color="auto"/>
                <w:right w:val="none" w:sz="0" w:space="0" w:color="auto"/>
              </w:divBdr>
            </w:div>
            <w:div w:id="233399479">
              <w:marLeft w:val="0"/>
              <w:marRight w:val="0"/>
              <w:marTop w:val="0"/>
              <w:marBottom w:val="0"/>
              <w:divBdr>
                <w:top w:val="none" w:sz="0" w:space="0" w:color="auto"/>
                <w:left w:val="none" w:sz="0" w:space="0" w:color="auto"/>
                <w:bottom w:val="none" w:sz="0" w:space="0" w:color="auto"/>
                <w:right w:val="none" w:sz="0" w:space="0" w:color="auto"/>
              </w:divBdr>
            </w:div>
            <w:div w:id="243609387">
              <w:marLeft w:val="0"/>
              <w:marRight w:val="0"/>
              <w:marTop w:val="0"/>
              <w:marBottom w:val="0"/>
              <w:divBdr>
                <w:top w:val="none" w:sz="0" w:space="0" w:color="auto"/>
                <w:left w:val="none" w:sz="0" w:space="0" w:color="auto"/>
                <w:bottom w:val="none" w:sz="0" w:space="0" w:color="auto"/>
                <w:right w:val="none" w:sz="0" w:space="0" w:color="auto"/>
              </w:divBdr>
            </w:div>
            <w:div w:id="424542691">
              <w:marLeft w:val="0"/>
              <w:marRight w:val="0"/>
              <w:marTop w:val="0"/>
              <w:marBottom w:val="0"/>
              <w:divBdr>
                <w:top w:val="none" w:sz="0" w:space="0" w:color="auto"/>
                <w:left w:val="none" w:sz="0" w:space="0" w:color="auto"/>
                <w:bottom w:val="none" w:sz="0" w:space="0" w:color="auto"/>
                <w:right w:val="none" w:sz="0" w:space="0" w:color="auto"/>
              </w:divBdr>
            </w:div>
            <w:div w:id="613367978">
              <w:marLeft w:val="0"/>
              <w:marRight w:val="0"/>
              <w:marTop w:val="0"/>
              <w:marBottom w:val="0"/>
              <w:divBdr>
                <w:top w:val="none" w:sz="0" w:space="0" w:color="auto"/>
                <w:left w:val="none" w:sz="0" w:space="0" w:color="auto"/>
                <w:bottom w:val="none" w:sz="0" w:space="0" w:color="auto"/>
                <w:right w:val="none" w:sz="0" w:space="0" w:color="auto"/>
              </w:divBdr>
            </w:div>
            <w:div w:id="700479480">
              <w:marLeft w:val="0"/>
              <w:marRight w:val="0"/>
              <w:marTop w:val="0"/>
              <w:marBottom w:val="0"/>
              <w:divBdr>
                <w:top w:val="none" w:sz="0" w:space="0" w:color="auto"/>
                <w:left w:val="none" w:sz="0" w:space="0" w:color="auto"/>
                <w:bottom w:val="none" w:sz="0" w:space="0" w:color="auto"/>
                <w:right w:val="none" w:sz="0" w:space="0" w:color="auto"/>
              </w:divBdr>
            </w:div>
            <w:div w:id="727143870">
              <w:marLeft w:val="0"/>
              <w:marRight w:val="0"/>
              <w:marTop w:val="0"/>
              <w:marBottom w:val="0"/>
              <w:divBdr>
                <w:top w:val="none" w:sz="0" w:space="0" w:color="auto"/>
                <w:left w:val="none" w:sz="0" w:space="0" w:color="auto"/>
                <w:bottom w:val="none" w:sz="0" w:space="0" w:color="auto"/>
                <w:right w:val="none" w:sz="0" w:space="0" w:color="auto"/>
              </w:divBdr>
            </w:div>
            <w:div w:id="748581267">
              <w:marLeft w:val="0"/>
              <w:marRight w:val="0"/>
              <w:marTop w:val="0"/>
              <w:marBottom w:val="0"/>
              <w:divBdr>
                <w:top w:val="none" w:sz="0" w:space="0" w:color="auto"/>
                <w:left w:val="none" w:sz="0" w:space="0" w:color="auto"/>
                <w:bottom w:val="none" w:sz="0" w:space="0" w:color="auto"/>
                <w:right w:val="none" w:sz="0" w:space="0" w:color="auto"/>
              </w:divBdr>
            </w:div>
            <w:div w:id="774637158">
              <w:marLeft w:val="0"/>
              <w:marRight w:val="0"/>
              <w:marTop w:val="0"/>
              <w:marBottom w:val="0"/>
              <w:divBdr>
                <w:top w:val="none" w:sz="0" w:space="0" w:color="auto"/>
                <w:left w:val="none" w:sz="0" w:space="0" w:color="auto"/>
                <w:bottom w:val="none" w:sz="0" w:space="0" w:color="auto"/>
                <w:right w:val="none" w:sz="0" w:space="0" w:color="auto"/>
              </w:divBdr>
            </w:div>
            <w:div w:id="1184437887">
              <w:marLeft w:val="0"/>
              <w:marRight w:val="0"/>
              <w:marTop w:val="0"/>
              <w:marBottom w:val="0"/>
              <w:divBdr>
                <w:top w:val="none" w:sz="0" w:space="0" w:color="auto"/>
                <w:left w:val="none" w:sz="0" w:space="0" w:color="auto"/>
                <w:bottom w:val="none" w:sz="0" w:space="0" w:color="auto"/>
                <w:right w:val="none" w:sz="0" w:space="0" w:color="auto"/>
              </w:divBdr>
            </w:div>
            <w:div w:id="1227496263">
              <w:marLeft w:val="0"/>
              <w:marRight w:val="0"/>
              <w:marTop w:val="0"/>
              <w:marBottom w:val="0"/>
              <w:divBdr>
                <w:top w:val="none" w:sz="0" w:space="0" w:color="auto"/>
                <w:left w:val="none" w:sz="0" w:space="0" w:color="auto"/>
                <w:bottom w:val="none" w:sz="0" w:space="0" w:color="auto"/>
                <w:right w:val="none" w:sz="0" w:space="0" w:color="auto"/>
              </w:divBdr>
            </w:div>
            <w:div w:id="1238058534">
              <w:marLeft w:val="0"/>
              <w:marRight w:val="0"/>
              <w:marTop w:val="0"/>
              <w:marBottom w:val="0"/>
              <w:divBdr>
                <w:top w:val="none" w:sz="0" w:space="0" w:color="auto"/>
                <w:left w:val="none" w:sz="0" w:space="0" w:color="auto"/>
                <w:bottom w:val="none" w:sz="0" w:space="0" w:color="auto"/>
                <w:right w:val="none" w:sz="0" w:space="0" w:color="auto"/>
              </w:divBdr>
            </w:div>
            <w:div w:id="1487358902">
              <w:marLeft w:val="0"/>
              <w:marRight w:val="0"/>
              <w:marTop w:val="0"/>
              <w:marBottom w:val="0"/>
              <w:divBdr>
                <w:top w:val="none" w:sz="0" w:space="0" w:color="auto"/>
                <w:left w:val="none" w:sz="0" w:space="0" w:color="auto"/>
                <w:bottom w:val="none" w:sz="0" w:space="0" w:color="auto"/>
                <w:right w:val="none" w:sz="0" w:space="0" w:color="auto"/>
              </w:divBdr>
            </w:div>
            <w:div w:id="1592200294">
              <w:marLeft w:val="0"/>
              <w:marRight w:val="0"/>
              <w:marTop w:val="0"/>
              <w:marBottom w:val="0"/>
              <w:divBdr>
                <w:top w:val="none" w:sz="0" w:space="0" w:color="auto"/>
                <w:left w:val="none" w:sz="0" w:space="0" w:color="auto"/>
                <w:bottom w:val="none" w:sz="0" w:space="0" w:color="auto"/>
                <w:right w:val="none" w:sz="0" w:space="0" w:color="auto"/>
              </w:divBdr>
            </w:div>
            <w:div w:id="1810633775">
              <w:marLeft w:val="0"/>
              <w:marRight w:val="0"/>
              <w:marTop w:val="0"/>
              <w:marBottom w:val="0"/>
              <w:divBdr>
                <w:top w:val="none" w:sz="0" w:space="0" w:color="auto"/>
                <w:left w:val="none" w:sz="0" w:space="0" w:color="auto"/>
                <w:bottom w:val="none" w:sz="0" w:space="0" w:color="auto"/>
                <w:right w:val="none" w:sz="0" w:space="0" w:color="auto"/>
              </w:divBdr>
            </w:div>
            <w:div w:id="1827281475">
              <w:marLeft w:val="0"/>
              <w:marRight w:val="0"/>
              <w:marTop w:val="0"/>
              <w:marBottom w:val="0"/>
              <w:divBdr>
                <w:top w:val="none" w:sz="0" w:space="0" w:color="auto"/>
                <w:left w:val="none" w:sz="0" w:space="0" w:color="auto"/>
                <w:bottom w:val="none" w:sz="0" w:space="0" w:color="auto"/>
                <w:right w:val="none" w:sz="0" w:space="0" w:color="auto"/>
              </w:divBdr>
            </w:div>
            <w:div w:id="1890871533">
              <w:marLeft w:val="0"/>
              <w:marRight w:val="0"/>
              <w:marTop w:val="0"/>
              <w:marBottom w:val="0"/>
              <w:divBdr>
                <w:top w:val="none" w:sz="0" w:space="0" w:color="auto"/>
                <w:left w:val="none" w:sz="0" w:space="0" w:color="auto"/>
                <w:bottom w:val="none" w:sz="0" w:space="0" w:color="auto"/>
                <w:right w:val="none" w:sz="0" w:space="0" w:color="auto"/>
              </w:divBdr>
            </w:div>
            <w:div w:id="2042702678">
              <w:marLeft w:val="0"/>
              <w:marRight w:val="0"/>
              <w:marTop w:val="0"/>
              <w:marBottom w:val="0"/>
              <w:divBdr>
                <w:top w:val="none" w:sz="0" w:space="0" w:color="auto"/>
                <w:left w:val="none" w:sz="0" w:space="0" w:color="auto"/>
                <w:bottom w:val="none" w:sz="0" w:space="0" w:color="auto"/>
                <w:right w:val="none" w:sz="0" w:space="0" w:color="auto"/>
              </w:divBdr>
            </w:div>
            <w:div w:id="2046248320">
              <w:marLeft w:val="0"/>
              <w:marRight w:val="0"/>
              <w:marTop w:val="0"/>
              <w:marBottom w:val="0"/>
              <w:divBdr>
                <w:top w:val="none" w:sz="0" w:space="0" w:color="auto"/>
                <w:left w:val="none" w:sz="0" w:space="0" w:color="auto"/>
                <w:bottom w:val="none" w:sz="0" w:space="0" w:color="auto"/>
                <w:right w:val="none" w:sz="0" w:space="0" w:color="auto"/>
              </w:divBdr>
            </w:div>
          </w:divsChild>
        </w:div>
        <w:div w:id="1436754029">
          <w:marLeft w:val="0"/>
          <w:marRight w:val="0"/>
          <w:marTop w:val="0"/>
          <w:marBottom w:val="0"/>
          <w:divBdr>
            <w:top w:val="none" w:sz="0" w:space="0" w:color="auto"/>
            <w:left w:val="none" w:sz="0" w:space="0" w:color="auto"/>
            <w:bottom w:val="none" w:sz="0" w:space="0" w:color="auto"/>
            <w:right w:val="none" w:sz="0" w:space="0" w:color="auto"/>
          </w:divBdr>
        </w:div>
        <w:div w:id="1440374208">
          <w:marLeft w:val="0"/>
          <w:marRight w:val="0"/>
          <w:marTop w:val="0"/>
          <w:marBottom w:val="0"/>
          <w:divBdr>
            <w:top w:val="none" w:sz="0" w:space="0" w:color="auto"/>
            <w:left w:val="none" w:sz="0" w:space="0" w:color="auto"/>
            <w:bottom w:val="none" w:sz="0" w:space="0" w:color="auto"/>
            <w:right w:val="none" w:sz="0" w:space="0" w:color="auto"/>
          </w:divBdr>
        </w:div>
        <w:div w:id="1593122356">
          <w:marLeft w:val="0"/>
          <w:marRight w:val="0"/>
          <w:marTop w:val="0"/>
          <w:marBottom w:val="0"/>
          <w:divBdr>
            <w:top w:val="none" w:sz="0" w:space="0" w:color="auto"/>
            <w:left w:val="none" w:sz="0" w:space="0" w:color="auto"/>
            <w:bottom w:val="none" w:sz="0" w:space="0" w:color="auto"/>
            <w:right w:val="none" w:sz="0" w:space="0" w:color="auto"/>
          </w:divBdr>
        </w:div>
        <w:div w:id="1662003523">
          <w:marLeft w:val="0"/>
          <w:marRight w:val="0"/>
          <w:marTop w:val="0"/>
          <w:marBottom w:val="0"/>
          <w:divBdr>
            <w:top w:val="none" w:sz="0" w:space="0" w:color="auto"/>
            <w:left w:val="none" w:sz="0" w:space="0" w:color="auto"/>
            <w:bottom w:val="none" w:sz="0" w:space="0" w:color="auto"/>
            <w:right w:val="none" w:sz="0" w:space="0" w:color="auto"/>
          </w:divBdr>
          <w:divsChild>
            <w:div w:id="173571261">
              <w:marLeft w:val="0"/>
              <w:marRight w:val="0"/>
              <w:marTop w:val="0"/>
              <w:marBottom w:val="0"/>
              <w:divBdr>
                <w:top w:val="none" w:sz="0" w:space="0" w:color="auto"/>
                <w:left w:val="none" w:sz="0" w:space="0" w:color="auto"/>
                <w:bottom w:val="none" w:sz="0" w:space="0" w:color="auto"/>
                <w:right w:val="none" w:sz="0" w:space="0" w:color="auto"/>
              </w:divBdr>
            </w:div>
            <w:div w:id="199324873">
              <w:marLeft w:val="0"/>
              <w:marRight w:val="0"/>
              <w:marTop w:val="0"/>
              <w:marBottom w:val="0"/>
              <w:divBdr>
                <w:top w:val="none" w:sz="0" w:space="0" w:color="auto"/>
                <w:left w:val="none" w:sz="0" w:space="0" w:color="auto"/>
                <w:bottom w:val="none" w:sz="0" w:space="0" w:color="auto"/>
                <w:right w:val="none" w:sz="0" w:space="0" w:color="auto"/>
              </w:divBdr>
            </w:div>
            <w:div w:id="345210203">
              <w:marLeft w:val="0"/>
              <w:marRight w:val="0"/>
              <w:marTop w:val="0"/>
              <w:marBottom w:val="0"/>
              <w:divBdr>
                <w:top w:val="none" w:sz="0" w:space="0" w:color="auto"/>
                <w:left w:val="none" w:sz="0" w:space="0" w:color="auto"/>
                <w:bottom w:val="none" w:sz="0" w:space="0" w:color="auto"/>
                <w:right w:val="none" w:sz="0" w:space="0" w:color="auto"/>
              </w:divBdr>
            </w:div>
            <w:div w:id="429207763">
              <w:marLeft w:val="0"/>
              <w:marRight w:val="0"/>
              <w:marTop w:val="0"/>
              <w:marBottom w:val="0"/>
              <w:divBdr>
                <w:top w:val="none" w:sz="0" w:space="0" w:color="auto"/>
                <w:left w:val="none" w:sz="0" w:space="0" w:color="auto"/>
                <w:bottom w:val="none" w:sz="0" w:space="0" w:color="auto"/>
                <w:right w:val="none" w:sz="0" w:space="0" w:color="auto"/>
              </w:divBdr>
            </w:div>
            <w:div w:id="504709858">
              <w:marLeft w:val="0"/>
              <w:marRight w:val="0"/>
              <w:marTop w:val="0"/>
              <w:marBottom w:val="0"/>
              <w:divBdr>
                <w:top w:val="none" w:sz="0" w:space="0" w:color="auto"/>
                <w:left w:val="none" w:sz="0" w:space="0" w:color="auto"/>
                <w:bottom w:val="none" w:sz="0" w:space="0" w:color="auto"/>
                <w:right w:val="none" w:sz="0" w:space="0" w:color="auto"/>
              </w:divBdr>
            </w:div>
            <w:div w:id="558054562">
              <w:marLeft w:val="0"/>
              <w:marRight w:val="0"/>
              <w:marTop w:val="0"/>
              <w:marBottom w:val="0"/>
              <w:divBdr>
                <w:top w:val="none" w:sz="0" w:space="0" w:color="auto"/>
                <w:left w:val="none" w:sz="0" w:space="0" w:color="auto"/>
                <w:bottom w:val="none" w:sz="0" w:space="0" w:color="auto"/>
                <w:right w:val="none" w:sz="0" w:space="0" w:color="auto"/>
              </w:divBdr>
            </w:div>
            <w:div w:id="558908307">
              <w:marLeft w:val="0"/>
              <w:marRight w:val="0"/>
              <w:marTop w:val="0"/>
              <w:marBottom w:val="0"/>
              <w:divBdr>
                <w:top w:val="none" w:sz="0" w:space="0" w:color="auto"/>
                <w:left w:val="none" w:sz="0" w:space="0" w:color="auto"/>
                <w:bottom w:val="none" w:sz="0" w:space="0" w:color="auto"/>
                <w:right w:val="none" w:sz="0" w:space="0" w:color="auto"/>
              </w:divBdr>
            </w:div>
            <w:div w:id="562642659">
              <w:marLeft w:val="0"/>
              <w:marRight w:val="0"/>
              <w:marTop w:val="0"/>
              <w:marBottom w:val="0"/>
              <w:divBdr>
                <w:top w:val="none" w:sz="0" w:space="0" w:color="auto"/>
                <w:left w:val="none" w:sz="0" w:space="0" w:color="auto"/>
                <w:bottom w:val="none" w:sz="0" w:space="0" w:color="auto"/>
                <w:right w:val="none" w:sz="0" w:space="0" w:color="auto"/>
              </w:divBdr>
            </w:div>
            <w:div w:id="983774627">
              <w:marLeft w:val="0"/>
              <w:marRight w:val="0"/>
              <w:marTop w:val="0"/>
              <w:marBottom w:val="0"/>
              <w:divBdr>
                <w:top w:val="none" w:sz="0" w:space="0" w:color="auto"/>
                <w:left w:val="none" w:sz="0" w:space="0" w:color="auto"/>
                <w:bottom w:val="none" w:sz="0" w:space="0" w:color="auto"/>
                <w:right w:val="none" w:sz="0" w:space="0" w:color="auto"/>
              </w:divBdr>
            </w:div>
            <w:div w:id="1087113167">
              <w:marLeft w:val="0"/>
              <w:marRight w:val="0"/>
              <w:marTop w:val="0"/>
              <w:marBottom w:val="0"/>
              <w:divBdr>
                <w:top w:val="none" w:sz="0" w:space="0" w:color="auto"/>
                <w:left w:val="none" w:sz="0" w:space="0" w:color="auto"/>
                <w:bottom w:val="none" w:sz="0" w:space="0" w:color="auto"/>
                <w:right w:val="none" w:sz="0" w:space="0" w:color="auto"/>
              </w:divBdr>
            </w:div>
            <w:div w:id="1128277259">
              <w:marLeft w:val="0"/>
              <w:marRight w:val="0"/>
              <w:marTop w:val="0"/>
              <w:marBottom w:val="0"/>
              <w:divBdr>
                <w:top w:val="none" w:sz="0" w:space="0" w:color="auto"/>
                <w:left w:val="none" w:sz="0" w:space="0" w:color="auto"/>
                <w:bottom w:val="none" w:sz="0" w:space="0" w:color="auto"/>
                <w:right w:val="none" w:sz="0" w:space="0" w:color="auto"/>
              </w:divBdr>
            </w:div>
            <w:div w:id="1246304776">
              <w:marLeft w:val="0"/>
              <w:marRight w:val="0"/>
              <w:marTop w:val="0"/>
              <w:marBottom w:val="0"/>
              <w:divBdr>
                <w:top w:val="none" w:sz="0" w:space="0" w:color="auto"/>
                <w:left w:val="none" w:sz="0" w:space="0" w:color="auto"/>
                <w:bottom w:val="none" w:sz="0" w:space="0" w:color="auto"/>
                <w:right w:val="none" w:sz="0" w:space="0" w:color="auto"/>
              </w:divBdr>
            </w:div>
            <w:div w:id="1571774049">
              <w:marLeft w:val="0"/>
              <w:marRight w:val="0"/>
              <w:marTop w:val="0"/>
              <w:marBottom w:val="0"/>
              <w:divBdr>
                <w:top w:val="none" w:sz="0" w:space="0" w:color="auto"/>
                <w:left w:val="none" w:sz="0" w:space="0" w:color="auto"/>
                <w:bottom w:val="none" w:sz="0" w:space="0" w:color="auto"/>
                <w:right w:val="none" w:sz="0" w:space="0" w:color="auto"/>
              </w:divBdr>
            </w:div>
            <w:div w:id="1585262924">
              <w:marLeft w:val="0"/>
              <w:marRight w:val="0"/>
              <w:marTop w:val="0"/>
              <w:marBottom w:val="0"/>
              <w:divBdr>
                <w:top w:val="none" w:sz="0" w:space="0" w:color="auto"/>
                <w:left w:val="none" w:sz="0" w:space="0" w:color="auto"/>
                <w:bottom w:val="none" w:sz="0" w:space="0" w:color="auto"/>
                <w:right w:val="none" w:sz="0" w:space="0" w:color="auto"/>
              </w:divBdr>
            </w:div>
            <w:div w:id="1719279980">
              <w:marLeft w:val="0"/>
              <w:marRight w:val="0"/>
              <w:marTop w:val="0"/>
              <w:marBottom w:val="0"/>
              <w:divBdr>
                <w:top w:val="none" w:sz="0" w:space="0" w:color="auto"/>
                <w:left w:val="none" w:sz="0" w:space="0" w:color="auto"/>
                <w:bottom w:val="none" w:sz="0" w:space="0" w:color="auto"/>
                <w:right w:val="none" w:sz="0" w:space="0" w:color="auto"/>
              </w:divBdr>
            </w:div>
            <w:div w:id="1806460774">
              <w:marLeft w:val="0"/>
              <w:marRight w:val="0"/>
              <w:marTop w:val="0"/>
              <w:marBottom w:val="0"/>
              <w:divBdr>
                <w:top w:val="none" w:sz="0" w:space="0" w:color="auto"/>
                <w:left w:val="none" w:sz="0" w:space="0" w:color="auto"/>
                <w:bottom w:val="none" w:sz="0" w:space="0" w:color="auto"/>
                <w:right w:val="none" w:sz="0" w:space="0" w:color="auto"/>
              </w:divBdr>
            </w:div>
            <w:div w:id="1932276500">
              <w:marLeft w:val="0"/>
              <w:marRight w:val="0"/>
              <w:marTop w:val="0"/>
              <w:marBottom w:val="0"/>
              <w:divBdr>
                <w:top w:val="none" w:sz="0" w:space="0" w:color="auto"/>
                <w:left w:val="none" w:sz="0" w:space="0" w:color="auto"/>
                <w:bottom w:val="none" w:sz="0" w:space="0" w:color="auto"/>
                <w:right w:val="none" w:sz="0" w:space="0" w:color="auto"/>
              </w:divBdr>
            </w:div>
          </w:divsChild>
        </w:div>
        <w:div w:id="1724868007">
          <w:marLeft w:val="0"/>
          <w:marRight w:val="0"/>
          <w:marTop w:val="0"/>
          <w:marBottom w:val="0"/>
          <w:divBdr>
            <w:top w:val="none" w:sz="0" w:space="0" w:color="auto"/>
            <w:left w:val="none" w:sz="0" w:space="0" w:color="auto"/>
            <w:bottom w:val="none" w:sz="0" w:space="0" w:color="auto"/>
            <w:right w:val="none" w:sz="0" w:space="0" w:color="auto"/>
          </w:divBdr>
        </w:div>
        <w:div w:id="1749961720">
          <w:marLeft w:val="0"/>
          <w:marRight w:val="0"/>
          <w:marTop w:val="0"/>
          <w:marBottom w:val="0"/>
          <w:divBdr>
            <w:top w:val="none" w:sz="0" w:space="0" w:color="auto"/>
            <w:left w:val="none" w:sz="0" w:space="0" w:color="auto"/>
            <w:bottom w:val="none" w:sz="0" w:space="0" w:color="auto"/>
            <w:right w:val="none" w:sz="0" w:space="0" w:color="auto"/>
          </w:divBdr>
        </w:div>
        <w:div w:id="1776097561">
          <w:marLeft w:val="0"/>
          <w:marRight w:val="0"/>
          <w:marTop w:val="0"/>
          <w:marBottom w:val="0"/>
          <w:divBdr>
            <w:top w:val="none" w:sz="0" w:space="0" w:color="auto"/>
            <w:left w:val="none" w:sz="0" w:space="0" w:color="auto"/>
            <w:bottom w:val="none" w:sz="0" w:space="0" w:color="auto"/>
            <w:right w:val="none" w:sz="0" w:space="0" w:color="auto"/>
          </w:divBdr>
          <w:divsChild>
            <w:div w:id="105348475">
              <w:marLeft w:val="0"/>
              <w:marRight w:val="0"/>
              <w:marTop w:val="0"/>
              <w:marBottom w:val="0"/>
              <w:divBdr>
                <w:top w:val="none" w:sz="0" w:space="0" w:color="auto"/>
                <w:left w:val="none" w:sz="0" w:space="0" w:color="auto"/>
                <w:bottom w:val="none" w:sz="0" w:space="0" w:color="auto"/>
                <w:right w:val="none" w:sz="0" w:space="0" w:color="auto"/>
              </w:divBdr>
            </w:div>
            <w:div w:id="111678618">
              <w:marLeft w:val="0"/>
              <w:marRight w:val="0"/>
              <w:marTop w:val="0"/>
              <w:marBottom w:val="0"/>
              <w:divBdr>
                <w:top w:val="none" w:sz="0" w:space="0" w:color="auto"/>
                <w:left w:val="none" w:sz="0" w:space="0" w:color="auto"/>
                <w:bottom w:val="none" w:sz="0" w:space="0" w:color="auto"/>
                <w:right w:val="none" w:sz="0" w:space="0" w:color="auto"/>
              </w:divBdr>
            </w:div>
            <w:div w:id="147093572">
              <w:marLeft w:val="0"/>
              <w:marRight w:val="0"/>
              <w:marTop w:val="0"/>
              <w:marBottom w:val="0"/>
              <w:divBdr>
                <w:top w:val="none" w:sz="0" w:space="0" w:color="auto"/>
                <w:left w:val="none" w:sz="0" w:space="0" w:color="auto"/>
                <w:bottom w:val="none" w:sz="0" w:space="0" w:color="auto"/>
                <w:right w:val="none" w:sz="0" w:space="0" w:color="auto"/>
              </w:divBdr>
            </w:div>
            <w:div w:id="152376737">
              <w:marLeft w:val="0"/>
              <w:marRight w:val="0"/>
              <w:marTop w:val="0"/>
              <w:marBottom w:val="0"/>
              <w:divBdr>
                <w:top w:val="none" w:sz="0" w:space="0" w:color="auto"/>
                <w:left w:val="none" w:sz="0" w:space="0" w:color="auto"/>
                <w:bottom w:val="none" w:sz="0" w:space="0" w:color="auto"/>
                <w:right w:val="none" w:sz="0" w:space="0" w:color="auto"/>
              </w:divBdr>
            </w:div>
            <w:div w:id="202525507">
              <w:marLeft w:val="0"/>
              <w:marRight w:val="0"/>
              <w:marTop w:val="0"/>
              <w:marBottom w:val="0"/>
              <w:divBdr>
                <w:top w:val="none" w:sz="0" w:space="0" w:color="auto"/>
                <w:left w:val="none" w:sz="0" w:space="0" w:color="auto"/>
                <w:bottom w:val="none" w:sz="0" w:space="0" w:color="auto"/>
                <w:right w:val="none" w:sz="0" w:space="0" w:color="auto"/>
              </w:divBdr>
            </w:div>
            <w:div w:id="257371445">
              <w:marLeft w:val="0"/>
              <w:marRight w:val="0"/>
              <w:marTop w:val="0"/>
              <w:marBottom w:val="0"/>
              <w:divBdr>
                <w:top w:val="none" w:sz="0" w:space="0" w:color="auto"/>
                <w:left w:val="none" w:sz="0" w:space="0" w:color="auto"/>
                <w:bottom w:val="none" w:sz="0" w:space="0" w:color="auto"/>
                <w:right w:val="none" w:sz="0" w:space="0" w:color="auto"/>
              </w:divBdr>
            </w:div>
            <w:div w:id="553590746">
              <w:marLeft w:val="0"/>
              <w:marRight w:val="0"/>
              <w:marTop w:val="0"/>
              <w:marBottom w:val="0"/>
              <w:divBdr>
                <w:top w:val="none" w:sz="0" w:space="0" w:color="auto"/>
                <w:left w:val="none" w:sz="0" w:space="0" w:color="auto"/>
                <w:bottom w:val="none" w:sz="0" w:space="0" w:color="auto"/>
                <w:right w:val="none" w:sz="0" w:space="0" w:color="auto"/>
              </w:divBdr>
            </w:div>
            <w:div w:id="571963481">
              <w:marLeft w:val="0"/>
              <w:marRight w:val="0"/>
              <w:marTop w:val="0"/>
              <w:marBottom w:val="0"/>
              <w:divBdr>
                <w:top w:val="none" w:sz="0" w:space="0" w:color="auto"/>
                <w:left w:val="none" w:sz="0" w:space="0" w:color="auto"/>
                <w:bottom w:val="none" w:sz="0" w:space="0" w:color="auto"/>
                <w:right w:val="none" w:sz="0" w:space="0" w:color="auto"/>
              </w:divBdr>
            </w:div>
            <w:div w:id="994410209">
              <w:marLeft w:val="0"/>
              <w:marRight w:val="0"/>
              <w:marTop w:val="0"/>
              <w:marBottom w:val="0"/>
              <w:divBdr>
                <w:top w:val="none" w:sz="0" w:space="0" w:color="auto"/>
                <w:left w:val="none" w:sz="0" w:space="0" w:color="auto"/>
                <w:bottom w:val="none" w:sz="0" w:space="0" w:color="auto"/>
                <w:right w:val="none" w:sz="0" w:space="0" w:color="auto"/>
              </w:divBdr>
            </w:div>
            <w:div w:id="1186945129">
              <w:marLeft w:val="0"/>
              <w:marRight w:val="0"/>
              <w:marTop w:val="0"/>
              <w:marBottom w:val="0"/>
              <w:divBdr>
                <w:top w:val="none" w:sz="0" w:space="0" w:color="auto"/>
                <w:left w:val="none" w:sz="0" w:space="0" w:color="auto"/>
                <w:bottom w:val="none" w:sz="0" w:space="0" w:color="auto"/>
                <w:right w:val="none" w:sz="0" w:space="0" w:color="auto"/>
              </w:divBdr>
            </w:div>
            <w:div w:id="1415086054">
              <w:marLeft w:val="0"/>
              <w:marRight w:val="0"/>
              <w:marTop w:val="0"/>
              <w:marBottom w:val="0"/>
              <w:divBdr>
                <w:top w:val="none" w:sz="0" w:space="0" w:color="auto"/>
                <w:left w:val="none" w:sz="0" w:space="0" w:color="auto"/>
                <w:bottom w:val="none" w:sz="0" w:space="0" w:color="auto"/>
                <w:right w:val="none" w:sz="0" w:space="0" w:color="auto"/>
              </w:divBdr>
            </w:div>
            <w:div w:id="1428382080">
              <w:marLeft w:val="0"/>
              <w:marRight w:val="0"/>
              <w:marTop w:val="0"/>
              <w:marBottom w:val="0"/>
              <w:divBdr>
                <w:top w:val="none" w:sz="0" w:space="0" w:color="auto"/>
                <w:left w:val="none" w:sz="0" w:space="0" w:color="auto"/>
                <w:bottom w:val="none" w:sz="0" w:space="0" w:color="auto"/>
                <w:right w:val="none" w:sz="0" w:space="0" w:color="auto"/>
              </w:divBdr>
            </w:div>
            <w:div w:id="1437675826">
              <w:marLeft w:val="0"/>
              <w:marRight w:val="0"/>
              <w:marTop w:val="0"/>
              <w:marBottom w:val="0"/>
              <w:divBdr>
                <w:top w:val="none" w:sz="0" w:space="0" w:color="auto"/>
                <w:left w:val="none" w:sz="0" w:space="0" w:color="auto"/>
                <w:bottom w:val="none" w:sz="0" w:space="0" w:color="auto"/>
                <w:right w:val="none" w:sz="0" w:space="0" w:color="auto"/>
              </w:divBdr>
            </w:div>
            <w:div w:id="1519155182">
              <w:marLeft w:val="0"/>
              <w:marRight w:val="0"/>
              <w:marTop w:val="0"/>
              <w:marBottom w:val="0"/>
              <w:divBdr>
                <w:top w:val="none" w:sz="0" w:space="0" w:color="auto"/>
                <w:left w:val="none" w:sz="0" w:space="0" w:color="auto"/>
                <w:bottom w:val="none" w:sz="0" w:space="0" w:color="auto"/>
                <w:right w:val="none" w:sz="0" w:space="0" w:color="auto"/>
              </w:divBdr>
            </w:div>
            <w:div w:id="1523400521">
              <w:marLeft w:val="0"/>
              <w:marRight w:val="0"/>
              <w:marTop w:val="0"/>
              <w:marBottom w:val="0"/>
              <w:divBdr>
                <w:top w:val="none" w:sz="0" w:space="0" w:color="auto"/>
                <w:left w:val="none" w:sz="0" w:space="0" w:color="auto"/>
                <w:bottom w:val="none" w:sz="0" w:space="0" w:color="auto"/>
                <w:right w:val="none" w:sz="0" w:space="0" w:color="auto"/>
              </w:divBdr>
            </w:div>
            <w:div w:id="1575042790">
              <w:marLeft w:val="0"/>
              <w:marRight w:val="0"/>
              <w:marTop w:val="0"/>
              <w:marBottom w:val="0"/>
              <w:divBdr>
                <w:top w:val="none" w:sz="0" w:space="0" w:color="auto"/>
                <w:left w:val="none" w:sz="0" w:space="0" w:color="auto"/>
                <w:bottom w:val="none" w:sz="0" w:space="0" w:color="auto"/>
                <w:right w:val="none" w:sz="0" w:space="0" w:color="auto"/>
              </w:divBdr>
            </w:div>
            <w:div w:id="1642884130">
              <w:marLeft w:val="0"/>
              <w:marRight w:val="0"/>
              <w:marTop w:val="0"/>
              <w:marBottom w:val="0"/>
              <w:divBdr>
                <w:top w:val="none" w:sz="0" w:space="0" w:color="auto"/>
                <w:left w:val="none" w:sz="0" w:space="0" w:color="auto"/>
                <w:bottom w:val="none" w:sz="0" w:space="0" w:color="auto"/>
                <w:right w:val="none" w:sz="0" w:space="0" w:color="auto"/>
              </w:divBdr>
            </w:div>
            <w:div w:id="1730692497">
              <w:marLeft w:val="0"/>
              <w:marRight w:val="0"/>
              <w:marTop w:val="0"/>
              <w:marBottom w:val="0"/>
              <w:divBdr>
                <w:top w:val="none" w:sz="0" w:space="0" w:color="auto"/>
                <w:left w:val="none" w:sz="0" w:space="0" w:color="auto"/>
                <w:bottom w:val="none" w:sz="0" w:space="0" w:color="auto"/>
                <w:right w:val="none" w:sz="0" w:space="0" w:color="auto"/>
              </w:divBdr>
            </w:div>
            <w:div w:id="1953130259">
              <w:marLeft w:val="0"/>
              <w:marRight w:val="0"/>
              <w:marTop w:val="0"/>
              <w:marBottom w:val="0"/>
              <w:divBdr>
                <w:top w:val="none" w:sz="0" w:space="0" w:color="auto"/>
                <w:left w:val="none" w:sz="0" w:space="0" w:color="auto"/>
                <w:bottom w:val="none" w:sz="0" w:space="0" w:color="auto"/>
                <w:right w:val="none" w:sz="0" w:space="0" w:color="auto"/>
              </w:divBdr>
            </w:div>
            <w:div w:id="2146660275">
              <w:marLeft w:val="0"/>
              <w:marRight w:val="0"/>
              <w:marTop w:val="0"/>
              <w:marBottom w:val="0"/>
              <w:divBdr>
                <w:top w:val="none" w:sz="0" w:space="0" w:color="auto"/>
                <w:left w:val="none" w:sz="0" w:space="0" w:color="auto"/>
                <w:bottom w:val="none" w:sz="0" w:space="0" w:color="auto"/>
                <w:right w:val="none" w:sz="0" w:space="0" w:color="auto"/>
              </w:divBdr>
            </w:div>
          </w:divsChild>
        </w:div>
        <w:div w:id="1808552090">
          <w:marLeft w:val="0"/>
          <w:marRight w:val="0"/>
          <w:marTop w:val="0"/>
          <w:marBottom w:val="0"/>
          <w:divBdr>
            <w:top w:val="none" w:sz="0" w:space="0" w:color="auto"/>
            <w:left w:val="none" w:sz="0" w:space="0" w:color="auto"/>
            <w:bottom w:val="none" w:sz="0" w:space="0" w:color="auto"/>
            <w:right w:val="none" w:sz="0" w:space="0" w:color="auto"/>
          </w:divBdr>
        </w:div>
        <w:div w:id="1819958482">
          <w:marLeft w:val="0"/>
          <w:marRight w:val="0"/>
          <w:marTop w:val="0"/>
          <w:marBottom w:val="0"/>
          <w:divBdr>
            <w:top w:val="none" w:sz="0" w:space="0" w:color="auto"/>
            <w:left w:val="none" w:sz="0" w:space="0" w:color="auto"/>
            <w:bottom w:val="none" w:sz="0" w:space="0" w:color="auto"/>
            <w:right w:val="none" w:sz="0" w:space="0" w:color="auto"/>
          </w:divBdr>
        </w:div>
        <w:div w:id="1974826770">
          <w:marLeft w:val="0"/>
          <w:marRight w:val="0"/>
          <w:marTop w:val="0"/>
          <w:marBottom w:val="0"/>
          <w:divBdr>
            <w:top w:val="none" w:sz="0" w:space="0" w:color="auto"/>
            <w:left w:val="none" w:sz="0" w:space="0" w:color="auto"/>
            <w:bottom w:val="none" w:sz="0" w:space="0" w:color="auto"/>
            <w:right w:val="none" w:sz="0" w:space="0" w:color="auto"/>
          </w:divBdr>
        </w:div>
        <w:div w:id="2063629925">
          <w:marLeft w:val="0"/>
          <w:marRight w:val="0"/>
          <w:marTop w:val="0"/>
          <w:marBottom w:val="0"/>
          <w:divBdr>
            <w:top w:val="none" w:sz="0" w:space="0" w:color="auto"/>
            <w:left w:val="none" w:sz="0" w:space="0" w:color="auto"/>
            <w:bottom w:val="none" w:sz="0" w:space="0" w:color="auto"/>
            <w:right w:val="none" w:sz="0" w:space="0" w:color="auto"/>
          </w:divBdr>
        </w:div>
      </w:divsChild>
    </w:div>
    <w:div w:id="1131437310">
      <w:bodyDiv w:val="1"/>
      <w:marLeft w:val="0"/>
      <w:marRight w:val="0"/>
      <w:marTop w:val="0"/>
      <w:marBottom w:val="0"/>
      <w:divBdr>
        <w:top w:val="none" w:sz="0" w:space="0" w:color="auto"/>
        <w:left w:val="none" w:sz="0" w:space="0" w:color="auto"/>
        <w:bottom w:val="none" w:sz="0" w:space="0" w:color="auto"/>
        <w:right w:val="none" w:sz="0" w:space="0" w:color="auto"/>
      </w:divBdr>
    </w:div>
    <w:div w:id="1199199155">
      <w:bodyDiv w:val="1"/>
      <w:marLeft w:val="0"/>
      <w:marRight w:val="0"/>
      <w:marTop w:val="0"/>
      <w:marBottom w:val="0"/>
      <w:divBdr>
        <w:top w:val="none" w:sz="0" w:space="0" w:color="auto"/>
        <w:left w:val="none" w:sz="0" w:space="0" w:color="auto"/>
        <w:bottom w:val="none" w:sz="0" w:space="0" w:color="auto"/>
        <w:right w:val="none" w:sz="0" w:space="0" w:color="auto"/>
      </w:divBdr>
    </w:div>
    <w:div w:id="1222643609">
      <w:bodyDiv w:val="1"/>
      <w:marLeft w:val="0"/>
      <w:marRight w:val="0"/>
      <w:marTop w:val="0"/>
      <w:marBottom w:val="0"/>
      <w:divBdr>
        <w:top w:val="none" w:sz="0" w:space="0" w:color="auto"/>
        <w:left w:val="none" w:sz="0" w:space="0" w:color="auto"/>
        <w:bottom w:val="none" w:sz="0" w:space="0" w:color="auto"/>
        <w:right w:val="none" w:sz="0" w:space="0" w:color="auto"/>
      </w:divBdr>
      <w:divsChild>
        <w:div w:id="804129221">
          <w:marLeft w:val="0"/>
          <w:marRight w:val="0"/>
          <w:marTop w:val="0"/>
          <w:marBottom w:val="0"/>
          <w:divBdr>
            <w:top w:val="none" w:sz="0" w:space="0" w:color="auto"/>
            <w:left w:val="none" w:sz="0" w:space="0" w:color="auto"/>
            <w:bottom w:val="none" w:sz="0" w:space="0" w:color="auto"/>
            <w:right w:val="none" w:sz="0" w:space="0" w:color="auto"/>
          </w:divBdr>
        </w:div>
      </w:divsChild>
    </w:div>
    <w:div w:id="1225415134">
      <w:bodyDiv w:val="1"/>
      <w:marLeft w:val="0"/>
      <w:marRight w:val="0"/>
      <w:marTop w:val="0"/>
      <w:marBottom w:val="0"/>
      <w:divBdr>
        <w:top w:val="none" w:sz="0" w:space="0" w:color="auto"/>
        <w:left w:val="none" w:sz="0" w:space="0" w:color="auto"/>
        <w:bottom w:val="none" w:sz="0" w:space="0" w:color="auto"/>
        <w:right w:val="none" w:sz="0" w:space="0" w:color="auto"/>
      </w:divBdr>
    </w:div>
    <w:div w:id="1225679501">
      <w:bodyDiv w:val="1"/>
      <w:marLeft w:val="0"/>
      <w:marRight w:val="0"/>
      <w:marTop w:val="0"/>
      <w:marBottom w:val="0"/>
      <w:divBdr>
        <w:top w:val="none" w:sz="0" w:space="0" w:color="auto"/>
        <w:left w:val="none" w:sz="0" w:space="0" w:color="auto"/>
        <w:bottom w:val="none" w:sz="0" w:space="0" w:color="auto"/>
        <w:right w:val="none" w:sz="0" w:space="0" w:color="auto"/>
      </w:divBdr>
      <w:divsChild>
        <w:div w:id="776561830">
          <w:marLeft w:val="0"/>
          <w:marRight w:val="0"/>
          <w:marTop w:val="0"/>
          <w:marBottom w:val="0"/>
          <w:divBdr>
            <w:top w:val="none" w:sz="0" w:space="0" w:color="auto"/>
            <w:left w:val="none" w:sz="0" w:space="0" w:color="auto"/>
            <w:bottom w:val="none" w:sz="0" w:space="0" w:color="auto"/>
            <w:right w:val="none" w:sz="0" w:space="0" w:color="auto"/>
          </w:divBdr>
        </w:div>
        <w:div w:id="1042442491">
          <w:marLeft w:val="0"/>
          <w:marRight w:val="0"/>
          <w:marTop w:val="0"/>
          <w:marBottom w:val="0"/>
          <w:divBdr>
            <w:top w:val="none" w:sz="0" w:space="0" w:color="auto"/>
            <w:left w:val="none" w:sz="0" w:space="0" w:color="auto"/>
            <w:bottom w:val="none" w:sz="0" w:space="0" w:color="auto"/>
            <w:right w:val="none" w:sz="0" w:space="0" w:color="auto"/>
          </w:divBdr>
        </w:div>
        <w:div w:id="1648895489">
          <w:marLeft w:val="0"/>
          <w:marRight w:val="0"/>
          <w:marTop w:val="0"/>
          <w:marBottom w:val="0"/>
          <w:divBdr>
            <w:top w:val="none" w:sz="0" w:space="0" w:color="auto"/>
            <w:left w:val="none" w:sz="0" w:space="0" w:color="auto"/>
            <w:bottom w:val="none" w:sz="0" w:space="0" w:color="auto"/>
            <w:right w:val="none" w:sz="0" w:space="0" w:color="auto"/>
          </w:divBdr>
        </w:div>
        <w:div w:id="1663315252">
          <w:marLeft w:val="0"/>
          <w:marRight w:val="0"/>
          <w:marTop w:val="0"/>
          <w:marBottom w:val="0"/>
          <w:divBdr>
            <w:top w:val="none" w:sz="0" w:space="0" w:color="auto"/>
            <w:left w:val="none" w:sz="0" w:space="0" w:color="auto"/>
            <w:bottom w:val="none" w:sz="0" w:space="0" w:color="auto"/>
            <w:right w:val="none" w:sz="0" w:space="0" w:color="auto"/>
          </w:divBdr>
        </w:div>
        <w:div w:id="2111661151">
          <w:marLeft w:val="0"/>
          <w:marRight w:val="0"/>
          <w:marTop w:val="0"/>
          <w:marBottom w:val="0"/>
          <w:divBdr>
            <w:top w:val="none" w:sz="0" w:space="0" w:color="auto"/>
            <w:left w:val="none" w:sz="0" w:space="0" w:color="auto"/>
            <w:bottom w:val="none" w:sz="0" w:space="0" w:color="auto"/>
            <w:right w:val="none" w:sz="0" w:space="0" w:color="auto"/>
          </w:divBdr>
        </w:div>
        <w:div w:id="2138138236">
          <w:marLeft w:val="0"/>
          <w:marRight w:val="0"/>
          <w:marTop w:val="0"/>
          <w:marBottom w:val="0"/>
          <w:divBdr>
            <w:top w:val="none" w:sz="0" w:space="0" w:color="auto"/>
            <w:left w:val="none" w:sz="0" w:space="0" w:color="auto"/>
            <w:bottom w:val="none" w:sz="0" w:space="0" w:color="auto"/>
            <w:right w:val="none" w:sz="0" w:space="0" w:color="auto"/>
          </w:divBdr>
        </w:div>
      </w:divsChild>
    </w:div>
    <w:div w:id="1257715889">
      <w:bodyDiv w:val="1"/>
      <w:marLeft w:val="0"/>
      <w:marRight w:val="0"/>
      <w:marTop w:val="0"/>
      <w:marBottom w:val="0"/>
      <w:divBdr>
        <w:top w:val="none" w:sz="0" w:space="0" w:color="auto"/>
        <w:left w:val="none" w:sz="0" w:space="0" w:color="auto"/>
        <w:bottom w:val="none" w:sz="0" w:space="0" w:color="auto"/>
        <w:right w:val="none" w:sz="0" w:space="0" w:color="auto"/>
      </w:divBdr>
      <w:divsChild>
        <w:div w:id="52430100">
          <w:marLeft w:val="0"/>
          <w:marRight w:val="0"/>
          <w:marTop w:val="0"/>
          <w:marBottom w:val="0"/>
          <w:divBdr>
            <w:top w:val="none" w:sz="0" w:space="0" w:color="auto"/>
            <w:left w:val="none" w:sz="0" w:space="0" w:color="auto"/>
            <w:bottom w:val="none" w:sz="0" w:space="0" w:color="auto"/>
            <w:right w:val="none" w:sz="0" w:space="0" w:color="auto"/>
          </w:divBdr>
        </w:div>
        <w:div w:id="825364080">
          <w:marLeft w:val="0"/>
          <w:marRight w:val="0"/>
          <w:marTop w:val="0"/>
          <w:marBottom w:val="0"/>
          <w:divBdr>
            <w:top w:val="none" w:sz="0" w:space="0" w:color="auto"/>
            <w:left w:val="none" w:sz="0" w:space="0" w:color="auto"/>
            <w:bottom w:val="none" w:sz="0" w:space="0" w:color="auto"/>
            <w:right w:val="none" w:sz="0" w:space="0" w:color="auto"/>
          </w:divBdr>
        </w:div>
        <w:div w:id="939483805">
          <w:marLeft w:val="0"/>
          <w:marRight w:val="0"/>
          <w:marTop w:val="0"/>
          <w:marBottom w:val="0"/>
          <w:divBdr>
            <w:top w:val="none" w:sz="0" w:space="0" w:color="auto"/>
            <w:left w:val="none" w:sz="0" w:space="0" w:color="auto"/>
            <w:bottom w:val="none" w:sz="0" w:space="0" w:color="auto"/>
            <w:right w:val="none" w:sz="0" w:space="0" w:color="auto"/>
          </w:divBdr>
        </w:div>
        <w:div w:id="1290554655">
          <w:marLeft w:val="0"/>
          <w:marRight w:val="0"/>
          <w:marTop w:val="0"/>
          <w:marBottom w:val="0"/>
          <w:divBdr>
            <w:top w:val="none" w:sz="0" w:space="0" w:color="auto"/>
            <w:left w:val="none" w:sz="0" w:space="0" w:color="auto"/>
            <w:bottom w:val="none" w:sz="0" w:space="0" w:color="auto"/>
            <w:right w:val="none" w:sz="0" w:space="0" w:color="auto"/>
          </w:divBdr>
        </w:div>
        <w:div w:id="1807163005">
          <w:marLeft w:val="0"/>
          <w:marRight w:val="0"/>
          <w:marTop w:val="0"/>
          <w:marBottom w:val="0"/>
          <w:divBdr>
            <w:top w:val="none" w:sz="0" w:space="0" w:color="auto"/>
            <w:left w:val="none" w:sz="0" w:space="0" w:color="auto"/>
            <w:bottom w:val="none" w:sz="0" w:space="0" w:color="auto"/>
            <w:right w:val="none" w:sz="0" w:space="0" w:color="auto"/>
          </w:divBdr>
        </w:div>
        <w:div w:id="1991861277">
          <w:marLeft w:val="0"/>
          <w:marRight w:val="0"/>
          <w:marTop w:val="0"/>
          <w:marBottom w:val="0"/>
          <w:divBdr>
            <w:top w:val="none" w:sz="0" w:space="0" w:color="auto"/>
            <w:left w:val="none" w:sz="0" w:space="0" w:color="auto"/>
            <w:bottom w:val="none" w:sz="0" w:space="0" w:color="auto"/>
            <w:right w:val="none" w:sz="0" w:space="0" w:color="auto"/>
          </w:divBdr>
        </w:div>
      </w:divsChild>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6885820">
      <w:bodyDiv w:val="1"/>
      <w:marLeft w:val="0"/>
      <w:marRight w:val="0"/>
      <w:marTop w:val="0"/>
      <w:marBottom w:val="0"/>
      <w:divBdr>
        <w:top w:val="none" w:sz="0" w:space="0" w:color="auto"/>
        <w:left w:val="none" w:sz="0" w:space="0" w:color="auto"/>
        <w:bottom w:val="none" w:sz="0" w:space="0" w:color="auto"/>
        <w:right w:val="none" w:sz="0" w:space="0" w:color="auto"/>
      </w:divBdr>
    </w:div>
    <w:div w:id="1339189163">
      <w:bodyDiv w:val="1"/>
      <w:marLeft w:val="0"/>
      <w:marRight w:val="0"/>
      <w:marTop w:val="0"/>
      <w:marBottom w:val="0"/>
      <w:divBdr>
        <w:top w:val="none" w:sz="0" w:space="0" w:color="auto"/>
        <w:left w:val="none" w:sz="0" w:space="0" w:color="auto"/>
        <w:bottom w:val="none" w:sz="0" w:space="0" w:color="auto"/>
        <w:right w:val="none" w:sz="0" w:space="0" w:color="auto"/>
      </w:divBdr>
    </w:div>
    <w:div w:id="1388185214">
      <w:bodyDiv w:val="1"/>
      <w:marLeft w:val="0"/>
      <w:marRight w:val="0"/>
      <w:marTop w:val="0"/>
      <w:marBottom w:val="0"/>
      <w:divBdr>
        <w:top w:val="none" w:sz="0" w:space="0" w:color="auto"/>
        <w:left w:val="none" w:sz="0" w:space="0" w:color="auto"/>
        <w:bottom w:val="none" w:sz="0" w:space="0" w:color="auto"/>
        <w:right w:val="none" w:sz="0" w:space="0" w:color="auto"/>
      </w:divBdr>
    </w:div>
    <w:div w:id="1407848432">
      <w:bodyDiv w:val="1"/>
      <w:marLeft w:val="0"/>
      <w:marRight w:val="0"/>
      <w:marTop w:val="0"/>
      <w:marBottom w:val="0"/>
      <w:divBdr>
        <w:top w:val="none" w:sz="0" w:space="0" w:color="auto"/>
        <w:left w:val="none" w:sz="0" w:space="0" w:color="auto"/>
        <w:bottom w:val="none" w:sz="0" w:space="0" w:color="auto"/>
        <w:right w:val="none" w:sz="0" w:space="0" w:color="auto"/>
      </w:divBdr>
      <w:divsChild>
        <w:div w:id="931164824">
          <w:marLeft w:val="0"/>
          <w:marRight w:val="0"/>
          <w:marTop w:val="0"/>
          <w:marBottom w:val="0"/>
          <w:divBdr>
            <w:top w:val="none" w:sz="0" w:space="0" w:color="auto"/>
            <w:left w:val="none" w:sz="0" w:space="0" w:color="auto"/>
            <w:bottom w:val="none" w:sz="0" w:space="0" w:color="auto"/>
            <w:right w:val="none" w:sz="0" w:space="0" w:color="auto"/>
          </w:divBdr>
        </w:div>
      </w:divsChild>
    </w:div>
    <w:div w:id="1440416086">
      <w:bodyDiv w:val="1"/>
      <w:marLeft w:val="0"/>
      <w:marRight w:val="0"/>
      <w:marTop w:val="0"/>
      <w:marBottom w:val="0"/>
      <w:divBdr>
        <w:top w:val="none" w:sz="0" w:space="0" w:color="auto"/>
        <w:left w:val="none" w:sz="0" w:space="0" w:color="auto"/>
        <w:bottom w:val="none" w:sz="0" w:space="0" w:color="auto"/>
        <w:right w:val="none" w:sz="0" w:space="0" w:color="auto"/>
      </w:divBdr>
      <w:divsChild>
        <w:div w:id="336614715">
          <w:marLeft w:val="0"/>
          <w:marRight w:val="0"/>
          <w:marTop w:val="0"/>
          <w:marBottom w:val="0"/>
          <w:divBdr>
            <w:top w:val="none" w:sz="0" w:space="0" w:color="auto"/>
            <w:left w:val="none" w:sz="0" w:space="0" w:color="auto"/>
            <w:bottom w:val="none" w:sz="0" w:space="0" w:color="auto"/>
            <w:right w:val="none" w:sz="0" w:space="0" w:color="auto"/>
          </w:divBdr>
          <w:divsChild>
            <w:div w:id="229967930">
              <w:marLeft w:val="0"/>
              <w:marRight w:val="0"/>
              <w:marTop w:val="0"/>
              <w:marBottom w:val="0"/>
              <w:divBdr>
                <w:top w:val="none" w:sz="0" w:space="0" w:color="auto"/>
                <w:left w:val="none" w:sz="0" w:space="0" w:color="auto"/>
                <w:bottom w:val="none" w:sz="0" w:space="0" w:color="auto"/>
                <w:right w:val="none" w:sz="0" w:space="0" w:color="auto"/>
              </w:divBdr>
            </w:div>
            <w:div w:id="2116168894">
              <w:marLeft w:val="0"/>
              <w:marRight w:val="0"/>
              <w:marTop w:val="0"/>
              <w:marBottom w:val="0"/>
              <w:divBdr>
                <w:top w:val="none" w:sz="0" w:space="0" w:color="auto"/>
                <w:left w:val="none" w:sz="0" w:space="0" w:color="auto"/>
                <w:bottom w:val="none" w:sz="0" w:space="0" w:color="auto"/>
                <w:right w:val="none" w:sz="0" w:space="0" w:color="auto"/>
              </w:divBdr>
            </w:div>
          </w:divsChild>
        </w:div>
        <w:div w:id="1477839268">
          <w:marLeft w:val="0"/>
          <w:marRight w:val="0"/>
          <w:marTop w:val="0"/>
          <w:marBottom w:val="0"/>
          <w:divBdr>
            <w:top w:val="none" w:sz="0" w:space="0" w:color="auto"/>
            <w:left w:val="none" w:sz="0" w:space="0" w:color="auto"/>
            <w:bottom w:val="none" w:sz="0" w:space="0" w:color="auto"/>
            <w:right w:val="none" w:sz="0" w:space="0" w:color="auto"/>
          </w:divBdr>
        </w:div>
      </w:divsChild>
    </w:div>
    <w:div w:id="1451581789">
      <w:bodyDiv w:val="1"/>
      <w:marLeft w:val="0"/>
      <w:marRight w:val="0"/>
      <w:marTop w:val="0"/>
      <w:marBottom w:val="0"/>
      <w:divBdr>
        <w:top w:val="none" w:sz="0" w:space="0" w:color="auto"/>
        <w:left w:val="none" w:sz="0" w:space="0" w:color="auto"/>
        <w:bottom w:val="none" w:sz="0" w:space="0" w:color="auto"/>
        <w:right w:val="none" w:sz="0" w:space="0" w:color="auto"/>
      </w:divBdr>
      <w:divsChild>
        <w:div w:id="8258688">
          <w:marLeft w:val="0"/>
          <w:marRight w:val="0"/>
          <w:marTop w:val="0"/>
          <w:marBottom w:val="0"/>
          <w:divBdr>
            <w:top w:val="none" w:sz="0" w:space="0" w:color="auto"/>
            <w:left w:val="none" w:sz="0" w:space="0" w:color="auto"/>
            <w:bottom w:val="none" w:sz="0" w:space="0" w:color="auto"/>
            <w:right w:val="none" w:sz="0" w:space="0" w:color="auto"/>
          </w:divBdr>
        </w:div>
        <w:div w:id="65886021">
          <w:marLeft w:val="0"/>
          <w:marRight w:val="0"/>
          <w:marTop w:val="0"/>
          <w:marBottom w:val="0"/>
          <w:divBdr>
            <w:top w:val="none" w:sz="0" w:space="0" w:color="auto"/>
            <w:left w:val="none" w:sz="0" w:space="0" w:color="auto"/>
            <w:bottom w:val="none" w:sz="0" w:space="0" w:color="auto"/>
            <w:right w:val="none" w:sz="0" w:space="0" w:color="auto"/>
          </w:divBdr>
          <w:divsChild>
            <w:div w:id="1676112837">
              <w:marLeft w:val="-75"/>
              <w:marRight w:val="0"/>
              <w:marTop w:val="30"/>
              <w:marBottom w:val="30"/>
              <w:divBdr>
                <w:top w:val="none" w:sz="0" w:space="0" w:color="auto"/>
                <w:left w:val="none" w:sz="0" w:space="0" w:color="auto"/>
                <w:bottom w:val="none" w:sz="0" w:space="0" w:color="auto"/>
                <w:right w:val="none" w:sz="0" w:space="0" w:color="auto"/>
              </w:divBdr>
              <w:divsChild>
                <w:div w:id="23527822">
                  <w:marLeft w:val="0"/>
                  <w:marRight w:val="0"/>
                  <w:marTop w:val="0"/>
                  <w:marBottom w:val="0"/>
                  <w:divBdr>
                    <w:top w:val="none" w:sz="0" w:space="0" w:color="auto"/>
                    <w:left w:val="none" w:sz="0" w:space="0" w:color="auto"/>
                    <w:bottom w:val="none" w:sz="0" w:space="0" w:color="auto"/>
                    <w:right w:val="none" w:sz="0" w:space="0" w:color="auto"/>
                  </w:divBdr>
                  <w:divsChild>
                    <w:div w:id="775446468">
                      <w:marLeft w:val="0"/>
                      <w:marRight w:val="0"/>
                      <w:marTop w:val="0"/>
                      <w:marBottom w:val="0"/>
                      <w:divBdr>
                        <w:top w:val="none" w:sz="0" w:space="0" w:color="auto"/>
                        <w:left w:val="none" w:sz="0" w:space="0" w:color="auto"/>
                        <w:bottom w:val="none" w:sz="0" w:space="0" w:color="auto"/>
                        <w:right w:val="none" w:sz="0" w:space="0" w:color="auto"/>
                      </w:divBdr>
                    </w:div>
                  </w:divsChild>
                </w:div>
                <w:div w:id="202331468">
                  <w:marLeft w:val="0"/>
                  <w:marRight w:val="0"/>
                  <w:marTop w:val="0"/>
                  <w:marBottom w:val="0"/>
                  <w:divBdr>
                    <w:top w:val="none" w:sz="0" w:space="0" w:color="auto"/>
                    <w:left w:val="none" w:sz="0" w:space="0" w:color="auto"/>
                    <w:bottom w:val="none" w:sz="0" w:space="0" w:color="auto"/>
                    <w:right w:val="none" w:sz="0" w:space="0" w:color="auto"/>
                  </w:divBdr>
                  <w:divsChild>
                    <w:div w:id="1981614805">
                      <w:marLeft w:val="0"/>
                      <w:marRight w:val="0"/>
                      <w:marTop w:val="0"/>
                      <w:marBottom w:val="0"/>
                      <w:divBdr>
                        <w:top w:val="none" w:sz="0" w:space="0" w:color="auto"/>
                        <w:left w:val="none" w:sz="0" w:space="0" w:color="auto"/>
                        <w:bottom w:val="none" w:sz="0" w:space="0" w:color="auto"/>
                        <w:right w:val="none" w:sz="0" w:space="0" w:color="auto"/>
                      </w:divBdr>
                    </w:div>
                  </w:divsChild>
                </w:div>
                <w:div w:id="583690063">
                  <w:marLeft w:val="0"/>
                  <w:marRight w:val="0"/>
                  <w:marTop w:val="0"/>
                  <w:marBottom w:val="0"/>
                  <w:divBdr>
                    <w:top w:val="none" w:sz="0" w:space="0" w:color="auto"/>
                    <w:left w:val="none" w:sz="0" w:space="0" w:color="auto"/>
                    <w:bottom w:val="none" w:sz="0" w:space="0" w:color="auto"/>
                    <w:right w:val="none" w:sz="0" w:space="0" w:color="auto"/>
                  </w:divBdr>
                  <w:divsChild>
                    <w:div w:id="1452553594">
                      <w:marLeft w:val="0"/>
                      <w:marRight w:val="0"/>
                      <w:marTop w:val="0"/>
                      <w:marBottom w:val="0"/>
                      <w:divBdr>
                        <w:top w:val="none" w:sz="0" w:space="0" w:color="auto"/>
                        <w:left w:val="none" w:sz="0" w:space="0" w:color="auto"/>
                        <w:bottom w:val="none" w:sz="0" w:space="0" w:color="auto"/>
                        <w:right w:val="none" w:sz="0" w:space="0" w:color="auto"/>
                      </w:divBdr>
                    </w:div>
                  </w:divsChild>
                </w:div>
                <w:div w:id="593637849">
                  <w:marLeft w:val="0"/>
                  <w:marRight w:val="0"/>
                  <w:marTop w:val="0"/>
                  <w:marBottom w:val="0"/>
                  <w:divBdr>
                    <w:top w:val="none" w:sz="0" w:space="0" w:color="auto"/>
                    <w:left w:val="none" w:sz="0" w:space="0" w:color="auto"/>
                    <w:bottom w:val="none" w:sz="0" w:space="0" w:color="auto"/>
                    <w:right w:val="none" w:sz="0" w:space="0" w:color="auto"/>
                  </w:divBdr>
                  <w:divsChild>
                    <w:div w:id="1417172629">
                      <w:marLeft w:val="0"/>
                      <w:marRight w:val="0"/>
                      <w:marTop w:val="0"/>
                      <w:marBottom w:val="0"/>
                      <w:divBdr>
                        <w:top w:val="none" w:sz="0" w:space="0" w:color="auto"/>
                        <w:left w:val="none" w:sz="0" w:space="0" w:color="auto"/>
                        <w:bottom w:val="none" w:sz="0" w:space="0" w:color="auto"/>
                        <w:right w:val="none" w:sz="0" w:space="0" w:color="auto"/>
                      </w:divBdr>
                    </w:div>
                  </w:divsChild>
                </w:div>
                <w:div w:id="601303334">
                  <w:marLeft w:val="0"/>
                  <w:marRight w:val="0"/>
                  <w:marTop w:val="0"/>
                  <w:marBottom w:val="0"/>
                  <w:divBdr>
                    <w:top w:val="none" w:sz="0" w:space="0" w:color="auto"/>
                    <w:left w:val="none" w:sz="0" w:space="0" w:color="auto"/>
                    <w:bottom w:val="none" w:sz="0" w:space="0" w:color="auto"/>
                    <w:right w:val="none" w:sz="0" w:space="0" w:color="auto"/>
                  </w:divBdr>
                  <w:divsChild>
                    <w:div w:id="522407028">
                      <w:marLeft w:val="0"/>
                      <w:marRight w:val="0"/>
                      <w:marTop w:val="0"/>
                      <w:marBottom w:val="0"/>
                      <w:divBdr>
                        <w:top w:val="none" w:sz="0" w:space="0" w:color="auto"/>
                        <w:left w:val="none" w:sz="0" w:space="0" w:color="auto"/>
                        <w:bottom w:val="none" w:sz="0" w:space="0" w:color="auto"/>
                        <w:right w:val="none" w:sz="0" w:space="0" w:color="auto"/>
                      </w:divBdr>
                    </w:div>
                  </w:divsChild>
                </w:div>
                <w:div w:id="729965847">
                  <w:marLeft w:val="0"/>
                  <w:marRight w:val="0"/>
                  <w:marTop w:val="0"/>
                  <w:marBottom w:val="0"/>
                  <w:divBdr>
                    <w:top w:val="none" w:sz="0" w:space="0" w:color="auto"/>
                    <w:left w:val="none" w:sz="0" w:space="0" w:color="auto"/>
                    <w:bottom w:val="none" w:sz="0" w:space="0" w:color="auto"/>
                    <w:right w:val="none" w:sz="0" w:space="0" w:color="auto"/>
                  </w:divBdr>
                  <w:divsChild>
                    <w:div w:id="1769428195">
                      <w:marLeft w:val="0"/>
                      <w:marRight w:val="0"/>
                      <w:marTop w:val="0"/>
                      <w:marBottom w:val="0"/>
                      <w:divBdr>
                        <w:top w:val="none" w:sz="0" w:space="0" w:color="auto"/>
                        <w:left w:val="none" w:sz="0" w:space="0" w:color="auto"/>
                        <w:bottom w:val="none" w:sz="0" w:space="0" w:color="auto"/>
                        <w:right w:val="none" w:sz="0" w:space="0" w:color="auto"/>
                      </w:divBdr>
                    </w:div>
                  </w:divsChild>
                </w:div>
                <w:div w:id="805590922">
                  <w:marLeft w:val="0"/>
                  <w:marRight w:val="0"/>
                  <w:marTop w:val="0"/>
                  <w:marBottom w:val="0"/>
                  <w:divBdr>
                    <w:top w:val="none" w:sz="0" w:space="0" w:color="auto"/>
                    <w:left w:val="none" w:sz="0" w:space="0" w:color="auto"/>
                    <w:bottom w:val="none" w:sz="0" w:space="0" w:color="auto"/>
                    <w:right w:val="none" w:sz="0" w:space="0" w:color="auto"/>
                  </w:divBdr>
                  <w:divsChild>
                    <w:div w:id="1366633072">
                      <w:marLeft w:val="0"/>
                      <w:marRight w:val="0"/>
                      <w:marTop w:val="0"/>
                      <w:marBottom w:val="0"/>
                      <w:divBdr>
                        <w:top w:val="none" w:sz="0" w:space="0" w:color="auto"/>
                        <w:left w:val="none" w:sz="0" w:space="0" w:color="auto"/>
                        <w:bottom w:val="none" w:sz="0" w:space="0" w:color="auto"/>
                        <w:right w:val="none" w:sz="0" w:space="0" w:color="auto"/>
                      </w:divBdr>
                    </w:div>
                  </w:divsChild>
                </w:div>
                <w:div w:id="812604122">
                  <w:marLeft w:val="0"/>
                  <w:marRight w:val="0"/>
                  <w:marTop w:val="0"/>
                  <w:marBottom w:val="0"/>
                  <w:divBdr>
                    <w:top w:val="none" w:sz="0" w:space="0" w:color="auto"/>
                    <w:left w:val="none" w:sz="0" w:space="0" w:color="auto"/>
                    <w:bottom w:val="none" w:sz="0" w:space="0" w:color="auto"/>
                    <w:right w:val="none" w:sz="0" w:space="0" w:color="auto"/>
                  </w:divBdr>
                  <w:divsChild>
                    <w:div w:id="718163414">
                      <w:marLeft w:val="0"/>
                      <w:marRight w:val="0"/>
                      <w:marTop w:val="0"/>
                      <w:marBottom w:val="0"/>
                      <w:divBdr>
                        <w:top w:val="none" w:sz="0" w:space="0" w:color="auto"/>
                        <w:left w:val="none" w:sz="0" w:space="0" w:color="auto"/>
                        <w:bottom w:val="none" w:sz="0" w:space="0" w:color="auto"/>
                        <w:right w:val="none" w:sz="0" w:space="0" w:color="auto"/>
                      </w:divBdr>
                    </w:div>
                  </w:divsChild>
                </w:div>
                <w:div w:id="824976421">
                  <w:marLeft w:val="0"/>
                  <w:marRight w:val="0"/>
                  <w:marTop w:val="0"/>
                  <w:marBottom w:val="0"/>
                  <w:divBdr>
                    <w:top w:val="none" w:sz="0" w:space="0" w:color="auto"/>
                    <w:left w:val="none" w:sz="0" w:space="0" w:color="auto"/>
                    <w:bottom w:val="none" w:sz="0" w:space="0" w:color="auto"/>
                    <w:right w:val="none" w:sz="0" w:space="0" w:color="auto"/>
                  </w:divBdr>
                  <w:divsChild>
                    <w:div w:id="9332184">
                      <w:marLeft w:val="0"/>
                      <w:marRight w:val="0"/>
                      <w:marTop w:val="0"/>
                      <w:marBottom w:val="0"/>
                      <w:divBdr>
                        <w:top w:val="none" w:sz="0" w:space="0" w:color="auto"/>
                        <w:left w:val="none" w:sz="0" w:space="0" w:color="auto"/>
                        <w:bottom w:val="none" w:sz="0" w:space="0" w:color="auto"/>
                        <w:right w:val="none" w:sz="0" w:space="0" w:color="auto"/>
                      </w:divBdr>
                    </w:div>
                  </w:divsChild>
                </w:div>
                <w:div w:id="1015621101">
                  <w:marLeft w:val="0"/>
                  <w:marRight w:val="0"/>
                  <w:marTop w:val="0"/>
                  <w:marBottom w:val="0"/>
                  <w:divBdr>
                    <w:top w:val="none" w:sz="0" w:space="0" w:color="auto"/>
                    <w:left w:val="none" w:sz="0" w:space="0" w:color="auto"/>
                    <w:bottom w:val="none" w:sz="0" w:space="0" w:color="auto"/>
                    <w:right w:val="none" w:sz="0" w:space="0" w:color="auto"/>
                  </w:divBdr>
                  <w:divsChild>
                    <w:div w:id="243533162">
                      <w:marLeft w:val="0"/>
                      <w:marRight w:val="0"/>
                      <w:marTop w:val="0"/>
                      <w:marBottom w:val="0"/>
                      <w:divBdr>
                        <w:top w:val="none" w:sz="0" w:space="0" w:color="auto"/>
                        <w:left w:val="none" w:sz="0" w:space="0" w:color="auto"/>
                        <w:bottom w:val="none" w:sz="0" w:space="0" w:color="auto"/>
                        <w:right w:val="none" w:sz="0" w:space="0" w:color="auto"/>
                      </w:divBdr>
                    </w:div>
                  </w:divsChild>
                </w:div>
                <w:div w:id="1438670513">
                  <w:marLeft w:val="0"/>
                  <w:marRight w:val="0"/>
                  <w:marTop w:val="0"/>
                  <w:marBottom w:val="0"/>
                  <w:divBdr>
                    <w:top w:val="none" w:sz="0" w:space="0" w:color="auto"/>
                    <w:left w:val="none" w:sz="0" w:space="0" w:color="auto"/>
                    <w:bottom w:val="none" w:sz="0" w:space="0" w:color="auto"/>
                    <w:right w:val="none" w:sz="0" w:space="0" w:color="auto"/>
                  </w:divBdr>
                  <w:divsChild>
                    <w:div w:id="271590885">
                      <w:marLeft w:val="0"/>
                      <w:marRight w:val="0"/>
                      <w:marTop w:val="0"/>
                      <w:marBottom w:val="0"/>
                      <w:divBdr>
                        <w:top w:val="none" w:sz="0" w:space="0" w:color="auto"/>
                        <w:left w:val="none" w:sz="0" w:space="0" w:color="auto"/>
                        <w:bottom w:val="none" w:sz="0" w:space="0" w:color="auto"/>
                        <w:right w:val="none" w:sz="0" w:space="0" w:color="auto"/>
                      </w:divBdr>
                    </w:div>
                  </w:divsChild>
                </w:div>
                <w:div w:id="1496192069">
                  <w:marLeft w:val="0"/>
                  <w:marRight w:val="0"/>
                  <w:marTop w:val="0"/>
                  <w:marBottom w:val="0"/>
                  <w:divBdr>
                    <w:top w:val="none" w:sz="0" w:space="0" w:color="auto"/>
                    <w:left w:val="none" w:sz="0" w:space="0" w:color="auto"/>
                    <w:bottom w:val="none" w:sz="0" w:space="0" w:color="auto"/>
                    <w:right w:val="none" w:sz="0" w:space="0" w:color="auto"/>
                  </w:divBdr>
                  <w:divsChild>
                    <w:div w:id="1523325202">
                      <w:marLeft w:val="0"/>
                      <w:marRight w:val="0"/>
                      <w:marTop w:val="0"/>
                      <w:marBottom w:val="0"/>
                      <w:divBdr>
                        <w:top w:val="none" w:sz="0" w:space="0" w:color="auto"/>
                        <w:left w:val="none" w:sz="0" w:space="0" w:color="auto"/>
                        <w:bottom w:val="none" w:sz="0" w:space="0" w:color="auto"/>
                        <w:right w:val="none" w:sz="0" w:space="0" w:color="auto"/>
                      </w:divBdr>
                    </w:div>
                  </w:divsChild>
                </w:div>
                <w:div w:id="1637175518">
                  <w:marLeft w:val="0"/>
                  <w:marRight w:val="0"/>
                  <w:marTop w:val="0"/>
                  <w:marBottom w:val="0"/>
                  <w:divBdr>
                    <w:top w:val="none" w:sz="0" w:space="0" w:color="auto"/>
                    <w:left w:val="none" w:sz="0" w:space="0" w:color="auto"/>
                    <w:bottom w:val="none" w:sz="0" w:space="0" w:color="auto"/>
                    <w:right w:val="none" w:sz="0" w:space="0" w:color="auto"/>
                  </w:divBdr>
                  <w:divsChild>
                    <w:div w:id="300774731">
                      <w:marLeft w:val="0"/>
                      <w:marRight w:val="0"/>
                      <w:marTop w:val="0"/>
                      <w:marBottom w:val="0"/>
                      <w:divBdr>
                        <w:top w:val="none" w:sz="0" w:space="0" w:color="auto"/>
                        <w:left w:val="none" w:sz="0" w:space="0" w:color="auto"/>
                        <w:bottom w:val="none" w:sz="0" w:space="0" w:color="auto"/>
                        <w:right w:val="none" w:sz="0" w:space="0" w:color="auto"/>
                      </w:divBdr>
                    </w:div>
                  </w:divsChild>
                </w:div>
                <w:div w:id="1732726036">
                  <w:marLeft w:val="0"/>
                  <w:marRight w:val="0"/>
                  <w:marTop w:val="0"/>
                  <w:marBottom w:val="0"/>
                  <w:divBdr>
                    <w:top w:val="none" w:sz="0" w:space="0" w:color="auto"/>
                    <w:left w:val="none" w:sz="0" w:space="0" w:color="auto"/>
                    <w:bottom w:val="none" w:sz="0" w:space="0" w:color="auto"/>
                    <w:right w:val="none" w:sz="0" w:space="0" w:color="auto"/>
                  </w:divBdr>
                  <w:divsChild>
                    <w:div w:id="1107698813">
                      <w:marLeft w:val="0"/>
                      <w:marRight w:val="0"/>
                      <w:marTop w:val="0"/>
                      <w:marBottom w:val="0"/>
                      <w:divBdr>
                        <w:top w:val="none" w:sz="0" w:space="0" w:color="auto"/>
                        <w:left w:val="none" w:sz="0" w:space="0" w:color="auto"/>
                        <w:bottom w:val="none" w:sz="0" w:space="0" w:color="auto"/>
                        <w:right w:val="none" w:sz="0" w:space="0" w:color="auto"/>
                      </w:divBdr>
                    </w:div>
                  </w:divsChild>
                </w:div>
                <w:div w:id="1781679713">
                  <w:marLeft w:val="0"/>
                  <w:marRight w:val="0"/>
                  <w:marTop w:val="0"/>
                  <w:marBottom w:val="0"/>
                  <w:divBdr>
                    <w:top w:val="none" w:sz="0" w:space="0" w:color="auto"/>
                    <w:left w:val="none" w:sz="0" w:space="0" w:color="auto"/>
                    <w:bottom w:val="none" w:sz="0" w:space="0" w:color="auto"/>
                    <w:right w:val="none" w:sz="0" w:space="0" w:color="auto"/>
                  </w:divBdr>
                  <w:divsChild>
                    <w:div w:id="781342545">
                      <w:marLeft w:val="0"/>
                      <w:marRight w:val="0"/>
                      <w:marTop w:val="0"/>
                      <w:marBottom w:val="0"/>
                      <w:divBdr>
                        <w:top w:val="none" w:sz="0" w:space="0" w:color="auto"/>
                        <w:left w:val="none" w:sz="0" w:space="0" w:color="auto"/>
                        <w:bottom w:val="none" w:sz="0" w:space="0" w:color="auto"/>
                        <w:right w:val="none" w:sz="0" w:space="0" w:color="auto"/>
                      </w:divBdr>
                    </w:div>
                  </w:divsChild>
                </w:div>
                <w:div w:id="1844052271">
                  <w:marLeft w:val="0"/>
                  <w:marRight w:val="0"/>
                  <w:marTop w:val="0"/>
                  <w:marBottom w:val="0"/>
                  <w:divBdr>
                    <w:top w:val="none" w:sz="0" w:space="0" w:color="auto"/>
                    <w:left w:val="none" w:sz="0" w:space="0" w:color="auto"/>
                    <w:bottom w:val="none" w:sz="0" w:space="0" w:color="auto"/>
                    <w:right w:val="none" w:sz="0" w:space="0" w:color="auto"/>
                  </w:divBdr>
                  <w:divsChild>
                    <w:div w:id="1663461016">
                      <w:marLeft w:val="0"/>
                      <w:marRight w:val="0"/>
                      <w:marTop w:val="0"/>
                      <w:marBottom w:val="0"/>
                      <w:divBdr>
                        <w:top w:val="none" w:sz="0" w:space="0" w:color="auto"/>
                        <w:left w:val="none" w:sz="0" w:space="0" w:color="auto"/>
                        <w:bottom w:val="none" w:sz="0" w:space="0" w:color="auto"/>
                        <w:right w:val="none" w:sz="0" w:space="0" w:color="auto"/>
                      </w:divBdr>
                    </w:div>
                  </w:divsChild>
                </w:div>
                <w:div w:id="1957524597">
                  <w:marLeft w:val="0"/>
                  <w:marRight w:val="0"/>
                  <w:marTop w:val="0"/>
                  <w:marBottom w:val="0"/>
                  <w:divBdr>
                    <w:top w:val="none" w:sz="0" w:space="0" w:color="auto"/>
                    <w:left w:val="none" w:sz="0" w:space="0" w:color="auto"/>
                    <w:bottom w:val="none" w:sz="0" w:space="0" w:color="auto"/>
                    <w:right w:val="none" w:sz="0" w:space="0" w:color="auto"/>
                  </w:divBdr>
                  <w:divsChild>
                    <w:div w:id="2036731007">
                      <w:marLeft w:val="0"/>
                      <w:marRight w:val="0"/>
                      <w:marTop w:val="0"/>
                      <w:marBottom w:val="0"/>
                      <w:divBdr>
                        <w:top w:val="none" w:sz="0" w:space="0" w:color="auto"/>
                        <w:left w:val="none" w:sz="0" w:space="0" w:color="auto"/>
                        <w:bottom w:val="none" w:sz="0" w:space="0" w:color="auto"/>
                        <w:right w:val="none" w:sz="0" w:space="0" w:color="auto"/>
                      </w:divBdr>
                    </w:div>
                  </w:divsChild>
                </w:div>
                <w:div w:id="1986541663">
                  <w:marLeft w:val="0"/>
                  <w:marRight w:val="0"/>
                  <w:marTop w:val="0"/>
                  <w:marBottom w:val="0"/>
                  <w:divBdr>
                    <w:top w:val="none" w:sz="0" w:space="0" w:color="auto"/>
                    <w:left w:val="none" w:sz="0" w:space="0" w:color="auto"/>
                    <w:bottom w:val="none" w:sz="0" w:space="0" w:color="auto"/>
                    <w:right w:val="none" w:sz="0" w:space="0" w:color="auto"/>
                  </w:divBdr>
                  <w:divsChild>
                    <w:div w:id="2076583952">
                      <w:marLeft w:val="0"/>
                      <w:marRight w:val="0"/>
                      <w:marTop w:val="0"/>
                      <w:marBottom w:val="0"/>
                      <w:divBdr>
                        <w:top w:val="none" w:sz="0" w:space="0" w:color="auto"/>
                        <w:left w:val="none" w:sz="0" w:space="0" w:color="auto"/>
                        <w:bottom w:val="none" w:sz="0" w:space="0" w:color="auto"/>
                        <w:right w:val="none" w:sz="0" w:space="0" w:color="auto"/>
                      </w:divBdr>
                    </w:div>
                  </w:divsChild>
                </w:div>
                <w:div w:id="2018266480">
                  <w:marLeft w:val="0"/>
                  <w:marRight w:val="0"/>
                  <w:marTop w:val="0"/>
                  <w:marBottom w:val="0"/>
                  <w:divBdr>
                    <w:top w:val="none" w:sz="0" w:space="0" w:color="auto"/>
                    <w:left w:val="none" w:sz="0" w:space="0" w:color="auto"/>
                    <w:bottom w:val="none" w:sz="0" w:space="0" w:color="auto"/>
                    <w:right w:val="none" w:sz="0" w:space="0" w:color="auto"/>
                  </w:divBdr>
                  <w:divsChild>
                    <w:div w:id="329917489">
                      <w:marLeft w:val="0"/>
                      <w:marRight w:val="0"/>
                      <w:marTop w:val="0"/>
                      <w:marBottom w:val="0"/>
                      <w:divBdr>
                        <w:top w:val="none" w:sz="0" w:space="0" w:color="auto"/>
                        <w:left w:val="none" w:sz="0" w:space="0" w:color="auto"/>
                        <w:bottom w:val="none" w:sz="0" w:space="0" w:color="auto"/>
                        <w:right w:val="none" w:sz="0" w:space="0" w:color="auto"/>
                      </w:divBdr>
                    </w:div>
                  </w:divsChild>
                </w:div>
                <w:div w:id="2115129198">
                  <w:marLeft w:val="0"/>
                  <w:marRight w:val="0"/>
                  <w:marTop w:val="0"/>
                  <w:marBottom w:val="0"/>
                  <w:divBdr>
                    <w:top w:val="none" w:sz="0" w:space="0" w:color="auto"/>
                    <w:left w:val="none" w:sz="0" w:space="0" w:color="auto"/>
                    <w:bottom w:val="none" w:sz="0" w:space="0" w:color="auto"/>
                    <w:right w:val="none" w:sz="0" w:space="0" w:color="auto"/>
                  </w:divBdr>
                  <w:divsChild>
                    <w:div w:id="863131564">
                      <w:marLeft w:val="0"/>
                      <w:marRight w:val="0"/>
                      <w:marTop w:val="0"/>
                      <w:marBottom w:val="0"/>
                      <w:divBdr>
                        <w:top w:val="none" w:sz="0" w:space="0" w:color="auto"/>
                        <w:left w:val="none" w:sz="0" w:space="0" w:color="auto"/>
                        <w:bottom w:val="none" w:sz="0" w:space="0" w:color="auto"/>
                        <w:right w:val="none" w:sz="0" w:space="0" w:color="auto"/>
                      </w:divBdr>
                    </w:div>
                  </w:divsChild>
                </w:div>
                <w:div w:id="2139840000">
                  <w:marLeft w:val="0"/>
                  <w:marRight w:val="0"/>
                  <w:marTop w:val="0"/>
                  <w:marBottom w:val="0"/>
                  <w:divBdr>
                    <w:top w:val="none" w:sz="0" w:space="0" w:color="auto"/>
                    <w:left w:val="none" w:sz="0" w:space="0" w:color="auto"/>
                    <w:bottom w:val="none" w:sz="0" w:space="0" w:color="auto"/>
                    <w:right w:val="none" w:sz="0" w:space="0" w:color="auto"/>
                  </w:divBdr>
                  <w:divsChild>
                    <w:div w:id="179444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8803">
          <w:marLeft w:val="0"/>
          <w:marRight w:val="0"/>
          <w:marTop w:val="0"/>
          <w:marBottom w:val="0"/>
          <w:divBdr>
            <w:top w:val="none" w:sz="0" w:space="0" w:color="auto"/>
            <w:left w:val="none" w:sz="0" w:space="0" w:color="auto"/>
            <w:bottom w:val="none" w:sz="0" w:space="0" w:color="auto"/>
            <w:right w:val="none" w:sz="0" w:space="0" w:color="auto"/>
          </w:divBdr>
        </w:div>
        <w:div w:id="88351800">
          <w:marLeft w:val="0"/>
          <w:marRight w:val="0"/>
          <w:marTop w:val="0"/>
          <w:marBottom w:val="0"/>
          <w:divBdr>
            <w:top w:val="none" w:sz="0" w:space="0" w:color="auto"/>
            <w:left w:val="none" w:sz="0" w:space="0" w:color="auto"/>
            <w:bottom w:val="none" w:sz="0" w:space="0" w:color="auto"/>
            <w:right w:val="none" w:sz="0" w:space="0" w:color="auto"/>
          </w:divBdr>
          <w:divsChild>
            <w:div w:id="14575727">
              <w:marLeft w:val="0"/>
              <w:marRight w:val="0"/>
              <w:marTop w:val="0"/>
              <w:marBottom w:val="0"/>
              <w:divBdr>
                <w:top w:val="none" w:sz="0" w:space="0" w:color="auto"/>
                <w:left w:val="none" w:sz="0" w:space="0" w:color="auto"/>
                <w:bottom w:val="none" w:sz="0" w:space="0" w:color="auto"/>
                <w:right w:val="none" w:sz="0" w:space="0" w:color="auto"/>
              </w:divBdr>
            </w:div>
            <w:div w:id="72895169">
              <w:marLeft w:val="0"/>
              <w:marRight w:val="0"/>
              <w:marTop w:val="0"/>
              <w:marBottom w:val="0"/>
              <w:divBdr>
                <w:top w:val="none" w:sz="0" w:space="0" w:color="auto"/>
                <w:left w:val="none" w:sz="0" w:space="0" w:color="auto"/>
                <w:bottom w:val="none" w:sz="0" w:space="0" w:color="auto"/>
                <w:right w:val="none" w:sz="0" w:space="0" w:color="auto"/>
              </w:divBdr>
            </w:div>
            <w:div w:id="212230859">
              <w:marLeft w:val="0"/>
              <w:marRight w:val="0"/>
              <w:marTop w:val="0"/>
              <w:marBottom w:val="0"/>
              <w:divBdr>
                <w:top w:val="none" w:sz="0" w:space="0" w:color="auto"/>
                <w:left w:val="none" w:sz="0" w:space="0" w:color="auto"/>
                <w:bottom w:val="none" w:sz="0" w:space="0" w:color="auto"/>
                <w:right w:val="none" w:sz="0" w:space="0" w:color="auto"/>
              </w:divBdr>
            </w:div>
            <w:div w:id="221597505">
              <w:marLeft w:val="0"/>
              <w:marRight w:val="0"/>
              <w:marTop w:val="0"/>
              <w:marBottom w:val="0"/>
              <w:divBdr>
                <w:top w:val="none" w:sz="0" w:space="0" w:color="auto"/>
                <w:left w:val="none" w:sz="0" w:space="0" w:color="auto"/>
                <w:bottom w:val="none" w:sz="0" w:space="0" w:color="auto"/>
                <w:right w:val="none" w:sz="0" w:space="0" w:color="auto"/>
              </w:divBdr>
            </w:div>
            <w:div w:id="317541245">
              <w:marLeft w:val="0"/>
              <w:marRight w:val="0"/>
              <w:marTop w:val="0"/>
              <w:marBottom w:val="0"/>
              <w:divBdr>
                <w:top w:val="none" w:sz="0" w:space="0" w:color="auto"/>
                <w:left w:val="none" w:sz="0" w:space="0" w:color="auto"/>
                <w:bottom w:val="none" w:sz="0" w:space="0" w:color="auto"/>
                <w:right w:val="none" w:sz="0" w:space="0" w:color="auto"/>
              </w:divBdr>
            </w:div>
            <w:div w:id="400559931">
              <w:marLeft w:val="0"/>
              <w:marRight w:val="0"/>
              <w:marTop w:val="0"/>
              <w:marBottom w:val="0"/>
              <w:divBdr>
                <w:top w:val="none" w:sz="0" w:space="0" w:color="auto"/>
                <w:left w:val="none" w:sz="0" w:space="0" w:color="auto"/>
                <w:bottom w:val="none" w:sz="0" w:space="0" w:color="auto"/>
                <w:right w:val="none" w:sz="0" w:space="0" w:color="auto"/>
              </w:divBdr>
            </w:div>
            <w:div w:id="504176583">
              <w:marLeft w:val="0"/>
              <w:marRight w:val="0"/>
              <w:marTop w:val="0"/>
              <w:marBottom w:val="0"/>
              <w:divBdr>
                <w:top w:val="none" w:sz="0" w:space="0" w:color="auto"/>
                <w:left w:val="none" w:sz="0" w:space="0" w:color="auto"/>
                <w:bottom w:val="none" w:sz="0" w:space="0" w:color="auto"/>
                <w:right w:val="none" w:sz="0" w:space="0" w:color="auto"/>
              </w:divBdr>
            </w:div>
            <w:div w:id="593317556">
              <w:marLeft w:val="0"/>
              <w:marRight w:val="0"/>
              <w:marTop w:val="0"/>
              <w:marBottom w:val="0"/>
              <w:divBdr>
                <w:top w:val="none" w:sz="0" w:space="0" w:color="auto"/>
                <w:left w:val="none" w:sz="0" w:space="0" w:color="auto"/>
                <w:bottom w:val="none" w:sz="0" w:space="0" w:color="auto"/>
                <w:right w:val="none" w:sz="0" w:space="0" w:color="auto"/>
              </w:divBdr>
            </w:div>
            <w:div w:id="815997287">
              <w:marLeft w:val="0"/>
              <w:marRight w:val="0"/>
              <w:marTop w:val="0"/>
              <w:marBottom w:val="0"/>
              <w:divBdr>
                <w:top w:val="none" w:sz="0" w:space="0" w:color="auto"/>
                <w:left w:val="none" w:sz="0" w:space="0" w:color="auto"/>
                <w:bottom w:val="none" w:sz="0" w:space="0" w:color="auto"/>
                <w:right w:val="none" w:sz="0" w:space="0" w:color="auto"/>
              </w:divBdr>
            </w:div>
            <w:div w:id="1066950826">
              <w:marLeft w:val="0"/>
              <w:marRight w:val="0"/>
              <w:marTop w:val="0"/>
              <w:marBottom w:val="0"/>
              <w:divBdr>
                <w:top w:val="none" w:sz="0" w:space="0" w:color="auto"/>
                <w:left w:val="none" w:sz="0" w:space="0" w:color="auto"/>
                <w:bottom w:val="none" w:sz="0" w:space="0" w:color="auto"/>
                <w:right w:val="none" w:sz="0" w:space="0" w:color="auto"/>
              </w:divBdr>
            </w:div>
            <w:div w:id="1091701126">
              <w:marLeft w:val="0"/>
              <w:marRight w:val="0"/>
              <w:marTop w:val="0"/>
              <w:marBottom w:val="0"/>
              <w:divBdr>
                <w:top w:val="none" w:sz="0" w:space="0" w:color="auto"/>
                <w:left w:val="none" w:sz="0" w:space="0" w:color="auto"/>
                <w:bottom w:val="none" w:sz="0" w:space="0" w:color="auto"/>
                <w:right w:val="none" w:sz="0" w:space="0" w:color="auto"/>
              </w:divBdr>
            </w:div>
            <w:div w:id="1381440158">
              <w:marLeft w:val="0"/>
              <w:marRight w:val="0"/>
              <w:marTop w:val="0"/>
              <w:marBottom w:val="0"/>
              <w:divBdr>
                <w:top w:val="none" w:sz="0" w:space="0" w:color="auto"/>
                <w:left w:val="none" w:sz="0" w:space="0" w:color="auto"/>
                <w:bottom w:val="none" w:sz="0" w:space="0" w:color="auto"/>
                <w:right w:val="none" w:sz="0" w:space="0" w:color="auto"/>
              </w:divBdr>
            </w:div>
            <w:div w:id="1401172175">
              <w:marLeft w:val="0"/>
              <w:marRight w:val="0"/>
              <w:marTop w:val="0"/>
              <w:marBottom w:val="0"/>
              <w:divBdr>
                <w:top w:val="none" w:sz="0" w:space="0" w:color="auto"/>
                <w:left w:val="none" w:sz="0" w:space="0" w:color="auto"/>
                <w:bottom w:val="none" w:sz="0" w:space="0" w:color="auto"/>
                <w:right w:val="none" w:sz="0" w:space="0" w:color="auto"/>
              </w:divBdr>
            </w:div>
            <w:div w:id="1474326001">
              <w:marLeft w:val="0"/>
              <w:marRight w:val="0"/>
              <w:marTop w:val="0"/>
              <w:marBottom w:val="0"/>
              <w:divBdr>
                <w:top w:val="none" w:sz="0" w:space="0" w:color="auto"/>
                <w:left w:val="none" w:sz="0" w:space="0" w:color="auto"/>
                <w:bottom w:val="none" w:sz="0" w:space="0" w:color="auto"/>
                <w:right w:val="none" w:sz="0" w:space="0" w:color="auto"/>
              </w:divBdr>
            </w:div>
            <w:div w:id="1493646156">
              <w:marLeft w:val="0"/>
              <w:marRight w:val="0"/>
              <w:marTop w:val="0"/>
              <w:marBottom w:val="0"/>
              <w:divBdr>
                <w:top w:val="none" w:sz="0" w:space="0" w:color="auto"/>
                <w:left w:val="none" w:sz="0" w:space="0" w:color="auto"/>
                <w:bottom w:val="none" w:sz="0" w:space="0" w:color="auto"/>
                <w:right w:val="none" w:sz="0" w:space="0" w:color="auto"/>
              </w:divBdr>
            </w:div>
            <w:div w:id="1592545929">
              <w:marLeft w:val="0"/>
              <w:marRight w:val="0"/>
              <w:marTop w:val="0"/>
              <w:marBottom w:val="0"/>
              <w:divBdr>
                <w:top w:val="none" w:sz="0" w:space="0" w:color="auto"/>
                <w:left w:val="none" w:sz="0" w:space="0" w:color="auto"/>
                <w:bottom w:val="none" w:sz="0" w:space="0" w:color="auto"/>
                <w:right w:val="none" w:sz="0" w:space="0" w:color="auto"/>
              </w:divBdr>
            </w:div>
            <w:div w:id="1709647189">
              <w:marLeft w:val="0"/>
              <w:marRight w:val="0"/>
              <w:marTop w:val="0"/>
              <w:marBottom w:val="0"/>
              <w:divBdr>
                <w:top w:val="none" w:sz="0" w:space="0" w:color="auto"/>
                <w:left w:val="none" w:sz="0" w:space="0" w:color="auto"/>
                <w:bottom w:val="none" w:sz="0" w:space="0" w:color="auto"/>
                <w:right w:val="none" w:sz="0" w:space="0" w:color="auto"/>
              </w:divBdr>
            </w:div>
            <w:div w:id="1722633146">
              <w:marLeft w:val="0"/>
              <w:marRight w:val="0"/>
              <w:marTop w:val="0"/>
              <w:marBottom w:val="0"/>
              <w:divBdr>
                <w:top w:val="none" w:sz="0" w:space="0" w:color="auto"/>
                <w:left w:val="none" w:sz="0" w:space="0" w:color="auto"/>
                <w:bottom w:val="none" w:sz="0" w:space="0" w:color="auto"/>
                <w:right w:val="none" w:sz="0" w:space="0" w:color="auto"/>
              </w:divBdr>
            </w:div>
            <w:div w:id="1762145202">
              <w:marLeft w:val="0"/>
              <w:marRight w:val="0"/>
              <w:marTop w:val="0"/>
              <w:marBottom w:val="0"/>
              <w:divBdr>
                <w:top w:val="none" w:sz="0" w:space="0" w:color="auto"/>
                <w:left w:val="none" w:sz="0" w:space="0" w:color="auto"/>
                <w:bottom w:val="none" w:sz="0" w:space="0" w:color="auto"/>
                <w:right w:val="none" w:sz="0" w:space="0" w:color="auto"/>
              </w:divBdr>
            </w:div>
            <w:div w:id="1808158976">
              <w:marLeft w:val="0"/>
              <w:marRight w:val="0"/>
              <w:marTop w:val="0"/>
              <w:marBottom w:val="0"/>
              <w:divBdr>
                <w:top w:val="none" w:sz="0" w:space="0" w:color="auto"/>
                <w:left w:val="none" w:sz="0" w:space="0" w:color="auto"/>
                <w:bottom w:val="none" w:sz="0" w:space="0" w:color="auto"/>
                <w:right w:val="none" w:sz="0" w:space="0" w:color="auto"/>
              </w:divBdr>
            </w:div>
          </w:divsChild>
        </w:div>
        <w:div w:id="189537270">
          <w:marLeft w:val="0"/>
          <w:marRight w:val="0"/>
          <w:marTop w:val="0"/>
          <w:marBottom w:val="0"/>
          <w:divBdr>
            <w:top w:val="none" w:sz="0" w:space="0" w:color="auto"/>
            <w:left w:val="none" w:sz="0" w:space="0" w:color="auto"/>
            <w:bottom w:val="none" w:sz="0" w:space="0" w:color="auto"/>
            <w:right w:val="none" w:sz="0" w:space="0" w:color="auto"/>
          </w:divBdr>
        </w:div>
        <w:div w:id="266349542">
          <w:marLeft w:val="0"/>
          <w:marRight w:val="0"/>
          <w:marTop w:val="0"/>
          <w:marBottom w:val="0"/>
          <w:divBdr>
            <w:top w:val="none" w:sz="0" w:space="0" w:color="auto"/>
            <w:left w:val="none" w:sz="0" w:space="0" w:color="auto"/>
            <w:bottom w:val="none" w:sz="0" w:space="0" w:color="auto"/>
            <w:right w:val="none" w:sz="0" w:space="0" w:color="auto"/>
          </w:divBdr>
          <w:divsChild>
            <w:div w:id="123931048">
              <w:marLeft w:val="0"/>
              <w:marRight w:val="0"/>
              <w:marTop w:val="0"/>
              <w:marBottom w:val="0"/>
              <w:divBdr>
                <w:top w:val="none" w:sz="0" w:space="0" w:color="auto"/>
                <w:left w:val="none" w:sz="0" w:space="0" w:color="auto"/>
                <w:bottom w:val="none" w:sz="0" w:space="0" w:color="auto"/>
                <w:right w:val="none" w:sz="0" w:space="0" w:color="auto"/>
              </w:divBdr>
            </w:div>
            <w:div w:id="134220964">
              <w:marLeft w:val="0"/>
              <w:marRight w:val="0"/>
              <w:marTop w:val="0"/>
              <w:marBottom w:val="0"/>
              <w:divBdr>
                <w:top w:val="none" w:sz="0" w:space="0" w:color="auto"/>
                <w:left w:val="none" w:sz="0" w:space="0" w:color="auto"/>
                <w:bottom w:val="none" w:sz="0" w:space="0" w:color="auto"/>
                <w:right w:val="none" w:sz="0" w:space="0" w:color="auto"/>
              </w:divBdr>
            </w:div>
            <w:div w:id="146870523">
              <w:marLeft w:val="0"/>
              <w:marRight w:val="0"/>
              <w:marTop w:val="0"/>
              <w:marBottom w:val="0"/>
              <w:divBdr>
                <w:top w:val="none" w:sz="0" w:space="0" w:color="auto"/>
                <w:left w:val="none" w:sz="0" w:space="0" w:color="auto"/>
                <w:bottom w:val="none" w:sz="0" w:space="0" w:color="auto"/>
                <w:right w:val="none" w:sz="0" w:space="0" w:color="auto"/>
              </w:divBdr>
            </w:div>
            <w:div w:id="185751118">
              <w:marLeft w:val="0"/>
              <w:marRight w:val="0"/>
              <w:marTop w:val="0"/>
              <w:marBottom w:val="0"/>
              <w:divBdr>
                <w:top w:val="none" w:sz="0" w:space="0" w:color="auto"/>
                <w:left w:val="none" w:sz="0" w:space="0" w:color="auto"/>
                <w:bottom w:val="none" w:sz="0" w:space="0" w:color="auto"/>
                <w:right w:val="none" w:sz="0" w:space="0" w:color="auto"/>
              </w:divBdr>
            </w:div>
            <w:div w:id="197666939">
              <w:marLeft w:val="0"/>
              <w:marRight w:val="0"/>
              <w:marTop w:val="0"/>
              <w:marBottom w:val="0"/>
              <w:divBdr>
                <w:top w:val="none" w:sz="0" w:space="0" w:color="auto"/>
                <w:left w:val="none" w:sz="0" w:space="0" w:color="auto"/>
                <w:bottom w:val="none" w:sz="0" w:space="0" w:color="auto"/>
                <w:right w:val="none" w:sz="0" w:space="0" w:color="auto"/>
              </w:divBdr>
            </w:div>
            <w:div w:id="319577335">
              <w:marLeft w:val="0"/>
              <w:marRight w:val="0"/>
              <w:marTop w:val="0"/>
              <w:marBottom w:val="0"/>
              <w:divBdr>
                <w:top w:val="none" w:sz="0" w:space="0" w:color="auto"/>
                <w:left w:val="none" w:sz="0" w:space="0" w:color="auto"/>
                <w:bottom w:val="none" w:sz="0" w:space="0" w:color="auto"/>
                <w:right w:val="none" w:sz="0" w:space="0" w:color="auto"/>
              </w:divBdr>
            </w:div>
            <w:div w:id="602878609">
              <w:marLeft w:val="0"/>
              <w:marRight w:val="0"/>
              <w:marTop w:val="0"/>
              <w:marBottom w:val="0"/>
              <w:divBdr>
                <w:top w:val="none" w:sz="0" w:space="0" w:color="auto"/>
                <w:left w:val="none" w:sz="0" w:space="0" w:color="auto"/>
                <w:bottom w:val="none" w:sz="0" w:space="0" w:color="auto"/>
                <w:right w:val="none" w:sz="0" w:space="0" w:color="auto"/>
              </w:divBdr>
            </w:div>
            <w:div w:id="657077392">
              <w:marLeft w:val="0"/>
              <w:marRight w:val="0"/>
              <w:marTop w:val="0"/>
              <w:marBottom w:val="0"/>
              <w:divBdr>
                <w:top w:val="none" w:sz="0" w:space="0" w:color="auto"/>
                <w:left w:val="none" w:sz="0" w:space="0" w:color="auto"/>
                <w:bottom w:val="none" w:sz="0" w:space="0" w:color="auto"/>
                <w:right w:val="none" w:sz="0" w:space="0" w:color="auto"/>
              </w:divBdr>
            </w:div>
            <w:div w:id="702637598">
              <w:marLeft w:val="0"/>
              <w:marRight w:val="0"/>
              <w:marTop w:val="0"/>
              <w:marBottom w:val="0"/>
              <w:divBdr>
                <w:top w:val="none" w:sz="0" w:space="0" w:color="auto"/>
                <w:left w:val="none" w:sz="0" w:space="0" w:color="auto"/>
                <w:bottom w:val="none" w:sz="0" w:space="0" w:color="auto"/>
                <w:right w:val="none" w:sz="0" w:space="0" w:color="auto"/>
              </w:divBdr>
            </w:div>
            <w:div w:id="821194132">
              <w:marLeft w:val="0"/>
              <w:marRight w:val="0"/>
              <w:marTop w:val="0"/>
              <w:marBottom w:val="0"/>
              <w:divBdr>
                <w:top w:val="none" w:sz="0" w:space="0" w:color="auto"/>
                <w:left w:val="none" w:sz="0" w:space="0" w:color="auto"/>
                <w:bottom w:val="none" w:sz="0" w:space="0" w:color="auto"/>
                <w:right w:val="none" w:sz="0" w:space="0" w:color="auto"/>
              </w:divBdr>
            </w:div>
            <w:div w:id="833378946">
              <w:marLeft w:val="0"/>
              <w:marRight w:val="0"/>
              <w:marTop w:val="0"/>
              <w:marBottom w:val="0"/>
              <w:divBdr>
                <w:top w:val="none" w:sz="0" w:space="0" w:color="auto"/>
                <w:left w:val="none" w:sz="0" w:space="0" w:color="auto"/>
                <w:bottom w:val="none" w:sz="0" w:space="0" w:color="auto"/>
                <w:right w:val="none" w:sz="0" w:space="0" w:color="auto"/>
              </w:divBdr>
            </w:div>
            <w:div w:id="1134130505">
              <w:marLeft w:val="0"/>
              <w:marRight w:val="0"/>
              <w:marTop w:val="0"/>
              <w:marBottom w:val="0"/>
              <w:divBdr>
                <w:top w:val="none" w:sz="0" w:space="0" w:color="auto"/>
                <w:left w:val="none" w:sz="0" w:space="0" w:color="auto"/>
                <w:bottom w:val="none" w:sz="0" w:space="0" w:color="auto"/>
                <w:right w:val="none" w:sz="0" w:space="0" w:color="auto"/>
              </w:divBdr>
            </w:div>
            <w:div w:id="1189029985">
              <w:marLeft w:val="0"/>
              <w:marRight w:val="0"/>
              <w:marTop w:val="0"/>
              <w:marBottom w:val="0"/>
              <w:divBdr>
                <w:top w:val="none" w:sz="0" w:space="0" w:color="auto"/>
                <w:left w:val="none" w:sz="0" w:space="0" w:color="auto"/>
                <w:bottom w:val="none" w:sz="0" w:space="0" w:color="auto"/>
                <w:right w:val="none" w:sz="0" w:space="0" w:color="auto"/>
              </w:divBdr>
            </w:div>
            <w:div w:id="1342315159">
              <w:marLeft w:val="0"/>
              <w:marRight w:val="0"/>
              <w:marTop w:val="0"/>
              <w:marBottom w:val="0"/>
              <w:divBdr>
                <w:top w:val="none" w:sz="0" w:space="0" w:color="auto"/>
                <w:left w:val="none" w:sz="0" w:space="0" w:color="auto"/>
                <w:bottom w:val="none" w:sz="0" w:space="0" w:color="auto"/>
                <w:right w:val="none" w:sz="0" w:space="0" w:color="auto"/>
              </w:divBdr>
            </w:div>
            <w:div w:id="1585727905">
              <w:marLeft w:val="0"/>
              <w:marRight w:val="0"/>
              <w:marTop w:val="0"/>
              <w:marBottom w:val="0"/>
              <w:divBdr>
                <w:top w:val="none" w:sz="0" w:space="0" w:color="auto"/>
                <w:left w:val="none" w:sz="0" w:space="0" w:color="auto"/>
                <w:bottom w:val="none" w:sz="0" w:space="0" w:color="auto"/>
                <w:right w:val="none" w:sz="0" w:space="0" w:color="auto"/>
              </w:divBdr>
            </w:div>
            <w:div w:id="1785036253">
              <w:marLeft w:val="0"/>
              <w:marRight w:val="0"/>
              <w:marTop w:val="0"/>
              <w:marBottom w:val="0"/>
              <w:divBdr>
                <w:top w:val="none" w:sz="0" w:space="0" w:color="auto"/>
                <w:left w:val="none" w:sz="0" w:space="0" w:color="auto"/>
                <w:bottom w:val="none" w:sz="0" w:space="0" w:color="auto"/>
                <w:right w:val="none" w:sz="0" w:space="0" w:color="auto"/>
              </w:divBdr>
            </w:div>
            <w:div w:id="2033141179">
              <w:marLeft w:val="0"/>
              <w:marRight w:val="0"/>
              <w:marTop w:val="0"/>
              <w:marBottom w:val="0"/>
              <w:divBdr>
                <w:top w:val="none" w:sz="0" w:space="0" w:color="auto"/>
                <w:left w:val="none" w:sz="0" w:space="0" w:color="auto"/>
                <w:bottom w:val="none" w:sz="0" w:space="0" w:color="auto"/>
                <w:right w:val="none" w:sz="0" w:space="0" w:color="auto"/>
              </w:divBdr>
            </w:div>
            <w:div w:id="2071808849">
              <w:marLeft w:val="0"/>
              <w:marRight w:val="0"/>
              <w:marTop w:val="0"/>
              <w:marBottom w:val="0"/>
              <w:divBdr>
                <w:top w:val="none" w:sz="0" w:space="0" w:color="auto"/>
                <w:left w:val="none" w:sz="0" w:space="0" w:color="auto"/>
                <w:bottom w:val="none" w:sz="0" w:space="0" w:color="auto"/>
                <w:right w:val="none" w:sz="0" w:space="0" w:color="auto"/>
              </w:divBdr>
            </w:div>
          </w:divsChild>
        </w:div>
        <w:div w:id="306908001">
          <w:marLeft w:val="0"/>
          <w:marRight w:val="0"/>
          <w:marTop w:val="0"/>
          <w:marBottom w:val="0"/>
          <w:divBdr>
            <w:top w:val="none" w:sz="0" w:space="0" w:color="auto"/>
            <w:left w:val="none" w:sz="0" w:space="0" w:color="auto"/>
            <w:bottom w:val="none" w:sz="0" w:space="0" w:color="auto"/>
            <w:right w:val="none" w:sz="0" w:space="0" w:color="auto"/>
          </w:divBdr>
          <w:divsChild>
            <w:div w:id="262884540">
              <w:marLeft w:val="0"/>
              <w:marRight w:val="0"/>
              <w:marTop w:val="0"/>
              <w:marBottom w:val="0"/>
              <w:divBdr>
                <w:top w:val="none" w:sz="0" w:space="0" w:color="auto"/>
                <w:left w:val="none" w:sz="0" w:space="0" w:color="auto"/>
                <w:bottom w:val="none" w:sz="0" w:space="0" w:color="auto"/>
                <w:right w:val="none" w:sz="0" w:space="0" w:color="auto"/>
              </w:divBdr>
            </w:div>
            <w:div w:id="308483943">
              <w:marLeft w:val="0"/>
              <w:marRight w:val="0"/>
              <w:marTop w:val="0"/>
              <w:marBottom w:val="0"/>
              <w:divBdr>
                <w:top w:val="none" w:sz="0" w:space="0" w:color="auto"/>
                <w:left w:val="none" w:sz="0" w:space="0" w:color="auto"/>
                <w:bottom w:val="none" w:sz="0" w:space="0" w:color="auto"/>
                <w:right w:val="none" w:sz="0" w:space="0" w:color="auto"/>
              </w:divBdr>
            </w:div>
            <w:div w:id="327056049">
              <w:marLeft w:val="0"/>
              <w:marRight w:val="0"/>
              <w:marTop w:val="0"/>
              <w:marBottom w:val="0"/>
              <w:divBdr>
                <w:top w:val="none" w:sz="0" w:space="0" w:color="auto"/>
                <w:left w:val="none" w:sz="0" w:space="0" w:color="auto"/>
                <w:bottom w:val="none" w:sz="0" w:space="0" w:color="auto"/>
                <w:right w:val="none" w:sz="0" w:space="0" w:color="auto"/>
              </w:divBdr>
            </w:div>
            <w:div w:id="480199274">
              <w:marLeft w:val="0"/>
              <w:marRight w:val="0"/>
              <w:marTop w:val="0"/>
              <w:marBottom w:val="0"/>
              <w:divBdr>
                <w:top w:val="none" w:sz="0" w:space="0" w:color="auto"/>
                <w:left w:val="none" w:sz="0" w:space="0" w:color="auto"/>
                <w:bottom w:val="none" w:sz="0" w:space="0" w:color="auto"/>
                <w:right w:val="none" w:sz="0" w:space="0" w:color="auto"/>
              </w:divBdr>
            </w:div>
            <w:div w:id="509415729">
              <w:marLeft w:val="0"/>
              <w:marRight w:val="0"/>
              <w:marTop w:val="0"/>
              <w:marBottom w:val="0"/>
              <w:divBdr>
                <w:top w:val="none" w:sz="0" w:space="0" w:color="auto"/>
                <w:left w:val="none" w:sz="0" w:space="0" w:color="auto"/>
                <w:bottom w:val="none" w:sz="0" w:space="0" w:color="auto"/>
                <w:right w:val="none" w:sz="0" w:space="0" w:color="auto"/>
              </w:divBdr>
            </w:div>
            <w:div w:id="709577528">
              <w:marLeft w:val="0"/>
              <w:marRight w:val="0"/>
              <w:marTop w:val="0"/>
              <w:marBottom w:val="0"/>
              <w:divBdr>
                <w:top w:val="none" w:sz="0" w:space="0" w:color="auto"/>
                <w:left w:val="none" w:sz="0" w:space="0" w:color="auto"/>
                <w:bottom w:val="none" w:sz="0" w:space="0" w:color="auto"/>
                <w:right w:val="none" w:sz="0" w:space="0" w:color="auto"/>
              </w:divBdr>
            </w:div>
            <w:div w:id="734359046">
              <w:marLeft w:val="0"/>
              <w:marRight w:val="0"/>
              <w:marTop w:val="0"/>
              <w:marBottom w:val="0"/>
              <w:divBdr>
                <w:top w:val="none" w:sz="0" w:space="0" w:color="auto"/>
                <w:left w:val="none" w:sz="0" w:space="0" w:color="auto"/>
                <w:bottom w:val="none" w:sz="0" w:space="0" w:color="auto"/>
                <w:right w:val="none" w:sz="0" w:space="0" w:color="auto"/>
              </w:divBdr>
            </w:div>
            <w:div w:id="792746760">
              <w:marLeft w:val="0"/>
              <w:marRight w:val="0"/>
              <w:marTop w:val="0"/>
              <w:marBottom w:val="0"/>
              <w:divBdr>
                <w:top w:val="none" w:sz="0" w:space="0" w:color="auto"/>
                <w:left w:val="none" w:sz="0" w:space="0" w:color="auto"/>
                <w:bottom w:val="none" w:sz="0" w:space="0" w:color="auto"/>
                <w:right w:val="none" w:sz="0" w:space="0" w:color="auto"/>
              </w:divBdr>
            </w:div>
            <w:div w:id="823159186">
              <w:marLeft w:val="0"/>
              <w:marRight w:val="0"/>
              <w:marTop w:val="0"/>
              <w:marBottom w:val="0"/>
              <w:divBdr>
                <w:top w:val="none" w:sz="0" w:space="0" w:color="auto"/>
                <w:left w:val="none" w:sz="0" w:space="0" w:color="auto"/>
                <w:bottom w:val="none" w:sz="0" w:space="0" w:color="auto"/>
                <w:right w:val="none" w:sz="0" w:space="0" w:color="auto"/>
              </w:divBdr>
            </w:div>
            <w:div w:id="1036931819">
              <w:marLeft w:val="0"/>
              <w:marRight w:val="0"/>
              <w:marTop w:val="0"/>
              <w:marBottom w:val="0"/>
              <w:divBdr>
                <w:top w:val="none" w:sz="0" w:space="0" w:color="auto"/>
                <w:left w:val="none" w:sz="0" w:space="0" w:color="auto"/>
                <w:bottom w:val="none" w:sz="0" w:space="0" w:color="auto"/>
                <w:right w:val="none" w:sz="0" w:space="0" w:color="auto"/>
              </w:divBdr>
            </w:div>
            <w:div w:id="1136677882">
              <w:marLeft w:val="0"/>
              <w:marRight w:val="0"/>
              <w:marTop w:val="0"/>
              <w:marBottom w:val="0"/>
              <w:divBdr>
                <w:top w:val="none" w:sz="0" w:space="0" w:color="auto"/>
                <w:left w:val="none" w:sz="0" w:space="0" w:color="auto"/>
                <w:bottom w:val="none" w:sz="0" w:space="0" w:color="auto"/>
                <w:right w:val="none" w:sz="0" w:space="0" w:color="auto"/>
              </w:divBdr>
            </w:div>
            <w:div w:id="1159273056">
              <w:marLeft w:val="0"/>
              <w:marRight w:val="0"/>
              <w:marTop w:val="0"/>
              <w:marBottom w:val="0"/>
              <w:divBdr>
                <w:top w:val="none" w:sz="0" w:space="0" w:color="auto"/>
                <w:left w:val="none" w:sz="0" w:space="0" w:color="auto"/>
                <w:bottom w:val="none" w:sz="0" w:space="0" w:color="auto"/>
                <w:right w:val="none" w:sz="0" w:space="0" w:color="auto"/>
              </w:divBdr>
            </w:div>
            <w:div w:id="1334601538">
              <w:marLeft w:val="0"/>
              <w:marRight w:val="0"/>
              <w:marTop w:val="0"/>
              <w:marBottom w:val="0"/>
              <w:divBdr>
                <w:top w:val="none" w:sz="0" w:space="0" w:color="auto"/>
                <w:left w:val="none" w:sz="0" w:space="0" w:color="auto"/>
                <w:bottom w:val="none" w:sz="0" w:space="0" w:color="auto"/>
                <w:right w:val="none" w:sz="0" w:space="0" w:color="auto"/>
              </w:divBdr>
            </w:div>
            <w:div w:id="1517037879">
              <w:marLeft w:val="0"/>
              <w:marRight w:val="0"/>
              <w:marTop w:val="0"/>
              <w:marBottom w:val="0"/>
              <w:divBdr>
                <w:top w:val="none" w:sz="0" w:space="0" w:color="auto"/>
                <w:left w:val="none" w:sz="0" w:space="0" w:color="auto"/>
                <w:bottom w:val="none" w:sz="0" w:space="0" w:color="auto"/>
                <w:right w:val="none" w:sz="0" w:space="0" w:color="auto"/>
              </w:divBdr>
            </w:div>
            <w:div w:id="1690177015">
              <w:marLeft w:val="0"/>
              <w:marRight w:val="0"/>
              <w:marTop w:val="0"/>
              <w:marBottom w:val="0"/>
              <w:divBdr>
                <w:top w:val="none" w:sz="0" w:space="0" w:color="auto"/>
                <w:left w:val="none" w:sz="0" w:space="0" w:color="auto"/>
                <w:bottom w:val="none" w:sz="0" w:space="0" w:color="auto"/>
                <w:right w:val="none" w:sz="0" w:space="0" w:color="auto"/>
              </w:divBdr>
            </w:div>
            <w:div w:id="1734739486">
              <w:marLeft w:val="0"/>
              <w:marRight w:val="0"/>
              <w:marTop w:val="0"/>
              <w:marBottom w:val="0"/>
              <w:divBdr>
                <w:top w:val="none" w:sz="0" w:space="0" w:color="auto"/>
                <w:left w:val="none" w:sz="0" w:space="0" w:color="auto"/>
                <w:bottom w:val="none" w:sz="0" w:space="0" w:color="auto"/>
                <w:right w:val="none" w:sz="0" w:space="0" w:color="auto"/>
              </w:divBdr>
            </w:div>
            <w:div w:id="1766264783">
              <w:marLeft w:val="0"/>
              <w:marRight w:val="0"/>
              <w:marTop w:val="0"/>
              <w:marBottom w:val="0"/>
              <w:divBdr>
                <w:top w:val="none" w:sz="0" w:space="0" w:color="auto"/>
                <w:left w:val="none" w:sz="0" w:space="0" w:color="auto"/>
                <w:bottom w:val="none" w:sz="0" w:space="0" w:color="auto"/>
                <w:right w:val="none" w:sz="0" w:space="0" w:color="auto"/>
              </w:divBdr>
            </w:div>
            <w:div w:id="1766807429">
              <w:marLeft w:val="0"/>
              <w:marRight w:val="0"/>
              <w:marTop w:val="0"/>
              <w:marBottom w:val="0"/>
              <w:divBdr>
                <w:top w:val="none" w:sz="0" w:space="0" w:color="auto"/>
                <w:left w:val="none" w:sz="0" w:space="0" w:color="auto"/>
                <w:bottom w:val="none" w:sz="0" w:space="0" w:color="auto"/>
                <w:right w:val="none" w:sz="0" w:space="0" w:color="auto"/>
              </w:divBdr>
            </w:div>
            <w:div w:id="1880556467">
              <w:marLeft w:val="0"/>
              <w:marRight w:val="0"/>
              <w:marTop w:val="0"/>
              <w:marBottom w:val="0"/>
              <w:divBdr>
                <w:top w:val="none" w:sz="0" w:space="0" w:color="auto"/>
                <w:left w:val="none" w:sz="0" w:space="0" w:color="auto"/>
                <w:bottom w:val="none" w:sz="0" w:space="0" w:color="auto"/>
                <w:right w:val="none" w:sz="0" w:space="0" w:color="auto"/>
              </w:divBdr>
            </w:div>
            <w:div w:id="2023126439">
              <w:marLeft w:val="0"/>
              <w:marRight w:val="0"/>
              <w:marTop w:val="0"/>
              <w:marBottom w:val="0"/>
              <w:divBdr>
                <w:top w:val="none" w:sz="0" w:space="0" w:color="auto"/>
                <w:left w:val="none" w:sz="0" w:space="0" w:color="auto"/>
                <w:bottom w:val="none" w:sz="0" w:space="0" w:color="auto"/>
                <w:right w:val="none" w:sz="0" w:space="0" w:color="auto"/>
              </w:divBdr>
            </w:div>
          </w:divsChild>
        </w:div>
        <w:div w:id="368533134">
          <w:marLeft w:val="0"/>
          <w:marRight w:val="0"/>
          <w:marTop w:val="0"/>
          <w:marBottom w:val="0"/>
          <w:divBdr>
            <w:top w:val="none" w:sz="0" w:space="0" w:color="auto"/>
            <w:left w:val="none" w:sz="0" w:space="0" w:color="auto"/>
            <w:bottom w:val="none" w:sz="0" w:space="0" w:color="auto"/>
            <w:right w:val="none" w:sz="0" w:space="0" w:color="auto"/>
          </w:divBdr>
        </w:div>
        <w:div w:id="410077701">
          <w:marLeft w:val="0"/>
          <w:marRight w:val="0"/>
          <w:marTop w:val="0"/>
          <w:marBottom w:val="0"/>
          <w:divBdr>
            <w:top w:val="none" w:sz="0" w:space="0" w:color="auto"/>
            <w:left w:val="none" w:sz="0" w:space="0" w:color="auto"/>
            <w:bottom w:val="none" w:sz="0" w:space="0" w:color="auto"/>
            <w:right w:val="none" w:sz="0" w:space="0" w:color="auto"/>
          </w:divBdr>
        </w:div>
        <w:div w:id="440340722">
          <w:marLeft w:val="0"/>
          <w:marRight w:val="0"/>
          <w:marTop w:val="0"/>
          <w:marBottom w:val="0"/>
          <w:divBdr>
            <w:top w:val="none" w:sz="0" w:space="0" w:color="auto"/>
            <w:left w:val="none" w:sz="0" w:space="0" w:color="auto"/>
            <w:bottom w:val="none" w:sz="0" w:space="0" w:color="auto"/>
            <w:right w:val="none" w:sz="0" w:space="0" w:color="auto"/>
          </w:divBdr>
        </w:div>
        <w:div w:id="440876321">
          <w:marLeft w:val="0"/>
          <w:marRight w:val="0"/>
          <w:marTop w:val="0"/>
          <w:marBottom w:val="0"/>
          <w:divBdr>
            <w:top w:val="none" w:sz="0" w:space="0" w:color="auto"/>
            <w:left w:val="none" w:sz="0" w:space="0" w:color="auto"/>
            <w:bottom w:val="none" w:sz="0" w:space="0" w:color="auto"/>
            <w:right w:val="none" w:sz="0" w:space="0" w:color="auto"/>
          </w:divBdr>
          <w:divsChild>
            <w:div w:id="1175001784">
              <w:marLeft w:val="-75"/>
              <w:marRight w:val="0"/>
              <w:marTop w:val="30"/>
              <w:marBottom w:val="30"/>
              <w:divBdr>
                <w:top w:val="none" w:sz="0" w:space="0" w:color="auto"/>
                <w:left w:val="none" w:sz="0" w:space="0" w:color="auto"/>
                <w:bottom w:val="none" w:sz="0" w:space="0" w:color="auto"/>
                <w:right w:val="none" w:sz="0" w:space="0" w:color="auto"/>
              </w:divBdr>
              <w:divsChild>
                <w:div w:id="37168011">
                  <w:marLeft w:val="0"/>
                  <w:marRight w:val="0"/>
                  <w:marTop w:val="0"/>
                  <w:marBottom w:val="0"/>
                  <w:divBdr>
                    <w:top w:val="none" w:sz="0" w:space="0" w:color="auto"/>
                    <w:left w:val="none" w:sz="0" w:space="0" w:color="auto"/>
                    <w:bottom w:val="none" w:sz="0" w:space="0" w:color="auto"/>
                    <w:right w:val="none" w:sz="0" w:space="0" w:color="auto"/>
                  </w:divBdr>
                  <w:divsChild>
                    <w:div w:id="1904638084">
                      <w:marLeft w:val="0"/>
                      <w:marRight w:val="0"/>
                      <w:marTop w:val="0"/>
                      <w:marBottom w:val="0"/>
                      <w:divBdr>
                        <w:top w:val="none" w:sz="0" w:space="0" w:color="auto"/>
                        <w:left w:val="none" w:sz="0" w:space="0" w:color="auto"/>
                        <w:bottom w:val="none" w:sz="0" w:space="0" w:color="auto"/>
                        <w:right w:val="none" w:sz="0" w:space="0" w:color="auto"/>
                      </w:divBdr>
                    </w:div>
                  </w:divsChild>
                </w:div>
                <w:div w:id="147595532">
                  <w:marLeft w:val="0"/>
                  <w:marRight w:val="0"/>
                  <w:marTop w:val="0"/>
                  <w:marBottom w:val="0"/>
                  <w:divBdr>
                    <w:top w:val="none" w:sz="0" w:space="0" w:color="auto"/>
                    <w:left w:val="none" w:sz="0" w:space="0" w:color="auto"/>
                    <w:bottom w:val="none" w:sz="0" w:space="0" w:color="auto"/>
                    <w:right w:val="none" w:sz="0" w:space="0" w:color="auto"/>
                  </w:divBdr>
                  <w:divsChild>
                    <w:div w:id="474300200">
                      <w:marLeft w:val="0"/>
                      <w:marRight w:val="0"/>
                      <w:marTop w:val="0"/>
                      <w:marBottom w:val="0"/>
                      <w:divBdr>
                        <w:top w:val="none" w:sz="0" w:space="0" w:color="auto"/>
                        <w:left w:val="none" w:sz="0" w:space="0" w:color="auto"/>
                        <w:bottom w:val="none" w:sz="0" w:space="0" w:color="auto"/>
                        <w:right w:val="none" w:sz="0" w:space="0" w:color="auto"/>
                      </w:divBdr>
                    </w:div>
                  </w:divsChild>
                </w:div>
                <w:div w:id="304048435">
                  <w:marLeft w:val="0"/>
                  <w:marRight w:val="0"/>
                  <w:marTop w:val="0"/>
                  <w:marBottom w:val="0"/>
                  <w:divBdr>
                    <w:top w:val="none" w:sz="0" w:space="0" w:color="auto"/>
                    <w:left w:val="none" w:sz="0" w:space="0" w:color="auto"/>
                    <w:bottom w:val="none" w:sz="0" w:space="0" w:color="auto"/>
                    <w:right w:val="none" w:sz="0" w:space="0" w:color="auto"/>
                  </w:divBdr>
                  <w:divsChild>
                    <w:div w:id="1544101310">
                      <w:marLeft w:val="0"/>
                      <w:marRight w:val="0"/>
                      <w:marTop w:val="0"/>
                      <w:marBottom w:val="0"/>
                      <w:divBdr>
                        <w:top w:val="none" w:sz="0" w:space="0" w:color="auto"/>
                        <w:left w:val="none" w:sz="0" w:space="0" w:color="auto"/>
                        <w:bottom w:val="none" w:sz="0" w:space="0" w:color="auto"/>
                        <w:right w:val="none" w:sz="0" w:space="0" w:color="auto"/>
                      </w:divBdr>
                    </w:div>
                  </w:divsChild>
                </w:div>
                <w:div w:id="353924096">
                  <w:marLeft w:val="0"/>
                  <w:marRight w:val="0"/>
                  <w:marTop w:val="0"/>
                  <w:marBottom w:val="0"/>
                  <w:divBdr>
                    <w:top w:val="none" w:sz="0" w:space="0" w:color="auto"/>
                    <w:left w:val="none" w:sz="0" w:space="0" w:color="auto"/>
                    <w:bottom w:val="none" w:sz="0" w:space="0" w:color="auto"/>
                    <w:right w:val="none" w:sz="0" w:space="0" w:color="auto"/>
                  </w:divBdr>
                  <w:divsChild>
                    <w:div w:id="597830513">
                      <w:marLeft w:val="0"/>
                      <w:marRight w:val="0"/>
                      <w:marTop w:val="0"/>
                      <w:marBottom w:val="0"/>
                      <w:divBdr>
                        <w:top w:val="none" w:sz="0" w:space="0" w:color="auto"/>
                        <w:left w:val="none" w:sz="0" w:space="0" w:color="auto"/>
                        <w:bottom w:val="none" w:sz="0" w:space="0" w:color="auto"/>
                        <w:right w:val="none" w:sz="0" w:space="0" w:color="auto"/>
                      </w:divBdr>
                    </w:div>
                  </w:divsChild>
                </w:div>
                <w:div w:id="422531559">
                  <w:marLeft w:val="0"/>
                  <w:marRight w:val="0"/>
                  <w:marTop w:val="0"/>
                  <w:marBottom w:val="0"/>
                  <w:divBdr>
                    <w:top w:val="none" w:sz="0" w:space="0" w:color="auto"/>
                    <w:left w:val="none" w:sz="0" w:space="0" w:color="auto"/>
                    <w:bottom w:val="none" w:sz="0" w:space="0" w:color="auto"/>
                    <w:right w:val="none" w:sz="0" w:space="0" w:color="auto"/>
                  </w:divBdr>
                  <w:divsChild>
                    <w:div w:id="913782378">
                      <w:marLeft w:val="0"/>
                      <w:marRight w:val="0"/>
                      <w:marTop w:val="0"/>
                      <w:marBottom w:val="0"/>
                      <w:divBdr>
                        <w:top w:val="none" w:sz="0" w:space="0" w:color="auto"/>
                        <w:left w:val="none" w:sz="0" w:space="0" w:color="auto"/>
                        <w:bottom w:val="none" w:sz="0" w:space="0" w:color="auto"/>
                        <w:right w:val="none" w:sz="0" w:space="0" w:color="auto"/>
                      </w:divBdr>
                    </w:div>
                  </w:divsChild>
                </w:div>
                <w:div w:id="438254653">
                  <w:marLeft w:val="0"/>
                  <w:marRight w:val="0"/>
                  <w:marTop w:val="0"/>
                  <w:marBottom w:val="0"/>
                  <w:divBdr>
                    <w:top w:val="none" w:sz="0" w:space="0" w:color="auto"/>
                    <w:left w:val="none" w:sz="0" w:space="0" w:color="auto"/>
                    <w:bottom w:val="none" w:sz="0" w:space="0" w:color="auto"/>
                    <w:right w:val="none" w:sz="0" w:space="0" w:color="auto"/>
                  </w:divBdr>
                  <w:divsChild>
                    <w:div w:id="1905095919">
                      <w:marLeft w:val="0"/>
                      <w:marRight w:val="0"/>
                      <w:marTop w:val="0"/>
                      <w:marBottom w:val="0"/>
                      <w:divBdr>
                        <w:top w:val="none" w:sz="0" w:space="0" w:color="auto"/>
                        <w:left w:val="none" w:sz="0" w:space="0" w:color="auto"/>
                        <w:bottom w:val="none" w:sz="0" w:space="0" w:color="auto"/>
                        <w:right w:val="none" w:sz="0" w:space="0" w:color="auto"/>
                      </w:divBdr>
                    </w:div>
                  </w:divsChild>
                </w:div>
                <w:div w:id="615334690">
                  <w:marLeft w:val="0"/>
                  <w:marRight w:val="0"/>
                  <w:marTop w:val="0"/>
                  <w:marBottom w:val="0"/>
                  <w:divBdr>
                    <w:top w:val="none" w:sz="0" w:space="0" w:color="auto"/>
                    <w:left w:val="none" w:sz="0" w:space="0" w:color="auto"/>
                    <w:bottom w:val="none" w:sz="0" w:space="0" w:color="auto"/>
                    <w:right w:val="none" w:sz="0" w:space="0" w:color="auto"/>
                  </w:divBdr>
                  <w:divsChild>
                    <w:div w:id="730618917">
                      <w:marLeft w:val="0"/>
                      <w:marRight w:val="0"/>
                      <w:marTop w:val="0"/>
                      <w:marBottom w:val="0"/>
                      <w:divBdr>
                        <w:top w:val="none" w:sz="0" w:space="0" w:color="auto"/>
                        <w:left w:val="none" w:sz="0" w:space="0" w:color="auto"/>
                        <w:bottom w:val="none" w:sz="0" w:space="0" w:color="auto"/>
                        <w:right w:val="none" w:sz="0" w:space="0" w:color="auto"/>
                      </w:divBdr>
                    </w:div>
                  </w:divsChild>
                </w:div>
                <w:div w:id="792601381">
                  <w:marLeft w:val="0"/>
                  <w:marRight w:val="0"/>
                  <w:marTop w:val="0"/>
                  <w:marBottom w:val="0"/>
                  <w:divBdr>
                    <w:top w:val="none" w:sz="0" w:space="0" w:color="auto"/>
                    <w:left w:val="none" w:sz="0" w:space="0" w:color="auto"/>
                    <w:bottom w:val="none" w:sz="0" w:space="0" w:color="auto"/>
                    <w:right w:val="none" w:sz="0" w:space="0" w:color="auto"/>
                  </w:divBdr>
                  <w:divsChild>
                    <w:div w:id="384180417">
                      <w:marLeft w:val="0"/>
                      <w:marRight w:val="0"/>
                      <w:marTop w:val="0"/>
                      <w:marBottom w:val="0"/>
                      <w:divBdr>
                        <w:top w:val="none" w:sz="0" w:space="0" w:color="auto"/>
                        <w:left w:val="none" w:sz="0" w:space="0" w:color="auto"/>
                        <w:bottom w:val="none" w:sz="0" w:space="0" w:color="auto"/>
                        <w:right w:val="none" w:sz="0" w:space="0" w:color="auto"/>
                      </w:divBdr>
                    </w:div>
                  </w:divsChild>
                </w:div>
                <w:div w:id="800002407">
                  <w:marLeft w:val="0"/>
                  <w:marRight w:val="0"/>
                  <w:marTop w:val="0"/>
                  <w:marBottom w:val="0"/>
                  <w:divBdr>
                    <w:top w:val="none" w:sz="0" w:space="0" w:color="auto"/>
                    <w:left w:val="none" w:sz="0" w:space="0" w:color="auto"/>
                    <w:bottom w:val="none" w:sz="0" w:space="0" w:color="auto"/>
                    <w:right w:val="none" w:sz="0" w:space="0" w:color="auto"/>
                  </w:divBdr>
                  <w:divsChild>
                    <w:div w:id="111440455">
                      <w:marLeft w:val="0"/>
                      <w:marRight w:val="0"/>
                      <w:marTop w:val="0"/>
                      <w:marBottom w:val="0"/>
                      <w:divBdr>
                        <w:top w:val="none" w:sz="0" w:space="0" w:color="auto"/>
                        <w:left w:val="none" w:sz="0" w:space="0" w:color="auto"/>
                        <w:bottom w:val="none" w:sz="0" w:space="0" w:color="auto"/>
                        <w:right w:val="none" w:sz="0" w:space="0" w:color="auto"/>
                      </w:divBdr>
                    </w:div>
                  </w:divsChild>
                </w:div>
                <w:div w:id="849415729">
                  <w:marLeft w:val="0"/>
                  <w:marRight w:val="0"/>
                  <w:marTop w:val="0"/>
                  <w:marBottom w:val="0"/>
                  <w:divBdr>
                    <w:top w:val="none" w:sz="0" w:space="0" w:color="auto"/>
                    <w:left w:val="none" w:sz="0" w:space="0" w:color="auto"/>
                    <w:bottom w:val="none" w:sz="0" w:space="0" w:color="auto"/>
                    <w:right w:val="none" w:sz="0" w:space="0" w:color="auto"/>
                  </w:divBdr>
                  <w:divsChild>
                    <w:div w:id="840657248">
                      <w:marLeft w:val="0"/>
                      <w:marRight w:val="0"/>
                      <w:marTop w:val="0"/>
                      <w:marBottom w:val="0"/>
                      <w:divBdr>
                        <w:top w:val="none" w:sz="0" w:space="0" w:color="auto"/>
                        <w:left w:val="none" w:sz="0" w:space="0" w:color="auto"/>
                        <w:bottom w:val="none" w:sz="0" w:space="0" w:color="auto"/>
                        <w:right w:val="none" w:sz="0" w:space="0" w:color="auto"/>
                      </w:divBdr>
                    </w:div>
                  </w:divsChild>
                </w:div>
                <w:div w:id="907807515">
                  <w:marLeft w:val="0"/>
                  <w:marRight w:val="0"/>
                  <w:marTop w:val="0"/>
                  <w:marBottom w:val="0"/>
                  <w:divBdr>
                    <w:top w:val="none" w:sz="0" w:space="0" w:color="auto"/>
                    <w:left w:val="none" w:sz="0" w:space="0" w:color="auto"/>
                    <w:bottom w:val="none" w:sz="0" w:space="0" w:color="auto"/>
                    <w:right w:val="none" w:sz="0" w:space="0" w:color="auto"/>
                  </w:divBdr>
                  <w:divsChild>
                    <w:div w:id="798844286">
                      <w:marLeft w:val="0"/>
                      <w:marRight w:val="0"/>
                      <w:marTop w:val="0"/>
                      <w:marBottom w:val="0"/>
                      <w:divBdr>
                        <w:top w:val="none" w:sz="0" w:space="0" w:color="auto"/>
                        <w:left w:val="none" w:sz="0" w:space="0" w:color="auto"/>
                        <w:bottom w:val="none" w:sz="0" w:space="0" w:color="auto"/>
                        <w:right w:val="none" w:sz="0" w:space="0" w:color="auto"/>
                      </w:divBdr>
                    </w:div>
                  </w:divsChild>
                </w:div>
                <w:div w:id="918439541">
                  <w:marLeft w:val="0"/>
                  <w:marRight w:val="0"/>
                  <w:marTop w:val="0"/>
                  <w:marBottom w:val="0"/>
                  <w:divBdr>
                    <w:top w:val="none" w:sz="0" w:space="0" w:color="auto"/>
                    <w:left w:val="none" w:sz="0" w:space="0" w:color="auto"/>
                    <w:bottom w:val="none" w:sz="0" w:space="0" w:color="auto"/>
                    <w:right w:val="none" w:sz="0" w:space="0" w:color="auto"/>
                  </w:divBdr>
                  <w:divsChild>
                    <w:div w:id="2057774481">
                      <w:marLeft w:val="0"/>
                      <w:marRight w:val="0"/>
                      <w:marTop w:val="0"/>
                      <w:marBottom w:val="0"/>
                      <w:divBdr>
                        <w:top w:val="none" w:sz="0" w:space="0" w:color="auto"/>
                        <w:left w:val="none" w:sz="0" w:space="0" w:color="auto"/>
                        <w:bottom w:val="none" w:sz="0" w:space="0" w:color="auto"/>
                        <w:right w:val="none" w:sz="0" w:space="0" w:color="auto"/>
                      </w:divBdr>
                    </w:div>
                  </w:divsChild>
                </w:div>
                <w:div w:id="982462816">
                  <w:marLeft w:val="0"/>
                  <w:marRight w:val="0"/>
                  <w:marTop w:val="0"/>
                  <w:marBottom w:val="0"/>
                  <w:divBdr>
                    <w:top w:val="none" w:sz="0" w:space="0" w:color="auto"/>
                    <w:left w:val="none" w:sz="0" w:space="0" w:color="auto"/>
                    <w:bottom w:val="none" w:sz="0" w:space="0" w:color="auto"/>
                    <w:right w:val="none" w:sz="0" w:space="0" w:color="auto"/>
                  </w:divBdr>
                  <w:divsChild>
                    <w:div w:id="372849523">
                      <w:marLeft w:val="0"/>
                      <w:marRight w:val="0"/>
                      <w:marTop w:val="0"/>
                      <w:marBottom w:val="0"/>
                      <w:divBdr>
                        <w:top w:val="none" w:sz="0" w:space="0" w:color="auto"/>
                        <w:left w:val="none" w:sz="0" w:space="0" w:color="auto"/>
                        <w:bottom w:val="none" w:sz="0" w:space="0" w:color="auto"/>
                        <w:right w:val="none" w:sz="0" w:space="0" w:color="auto"/>
                      </w:divBdr>
                    </w:div>
                  </w:divsChild>
                </w:div>
                <w:div w:id="992484437">
                  <w:marLeft w:val="0"/>
                  <w:marRight w:val="0"/>
                  <w:marTop w:val="0"/>
                  <w:marBottom w:val="0"/>
                  <w:divBdr>
                    <w:top w:val="none" w:sz="0" w:space="0" w:color="auto"/>
                    <w:left w:val="none" w:sz="0" w:space="0" w:color="auto"/>
                    <w:bottom w:val="none" w:sz="0" w:space="0" w:color="auto"/>
                    <w:right w:val="none" w:sz="0" w:space="0" w:color="auto"/>
                  </w:divBdr>
                  <w:divsChild>
                    <w:div w:id="1007052665">
                      <w:marLeft w:val="0"/>
                      <w:marRight w:val="0"/>
                      <w:marTop w:val="0"/>
                      <w:marBottom w:val="0"/>
                      <w:divBdr>
                        <w:top w:val="none" w:sz="0" w:space="0" w:color="auto"/>
                        <w:left w:val="none" w:sz="0" w:space="0" w:color="auto"/>
                        <w:bottom w:val="none" w:sz="0" w:space="0" w:color="auto"/>
                        <w:right w:val="none" w:sz="0" w:space="0" w:color="auto"/>
                      </w:divBdr>
                    </w:div>
                  </w:divsChild>
                </w:div>
                <w:div w:id="1107235519">
                  <w:marLeft w:val="0"/>
                  <w:marRight w:val="0"/>
                  <w:marTop w:val="0"/>
                  <w:marBottom w:val="0"/>
                  <w:divBdr>
                    <w:top w:val="none" w:sz="0" w:space="0" w:color="auto"/>
                    <w:left w:val="none" w:sz="0" w:space="0" w:color="auto"/>
                    <w:bottom w:val="none" w:sz="0" w:space="0" w:color="auto"/>
                    <w:right w:val="none" w:sz="0" w:space="0" w:color="auto"/>
                  </w:divBdr>
                  <w:divsChild>
                    <w:div w:id="413555303">
                      <w:marLeft w:val="0"/>
                      <w:marRight w:val="0"/>
                      <w:marTop w:val="0"/>
                      <w:marBottom w:val="0"/>
                      <w:divBdr>
                        <w:top w:val="none" w:sz="0" w:space="0" w:color="auto"/>
                        <w:left w:val="none" w:sz="0" w:space="0" w:color="auto"/>
                        <w:bottom w:val="none" w:sz="0" w:space="0" w:color="auto"/>
                        <w:right w:val="none" w:sz="0" w:space="0" w:color="auto"/>
                      </w:divBdr>
                    </w:div>
                  </w:divsChild>
                </w:div>
                <w:div w:id="1120420759">
                  <w:marLeft w:val="0"/>
                  <w:marRight w:val="0"/>
                  <w:marTop w:val="0"/>
                  <w:marBottom w:val="0"/>
                  <w:divBdr>
                    <w:top w:val="none" w:sz="0" w:space="0" w:color="auto"/>
                    <w:left w:val="none" w:sz="0" w:space="0" w:color="auto"/>
                    <w:bottom w:val="none" w:sz="0" w:space="0" w:color="auto"/>
                    <w:right w:val="none" w:sz="0" w:space="0" w:color="auto"/>
                  </w:divBdr>
                  <w:divsChild>
                    <w:div w:id="267741507">
                      <w:marLeft w:val="0"/>
                      <w:marRight w:val="0"/>
                      <w:marTop w:val="0"/>
                      <w:marBottom w:val="0"/>
                      <w:divBdr>
                        <w:top w:val="none" w:sz="0" w:space="0" w:color="auto"/>
                        <w:left w:val="none" w:sz="0" w:space="0" w:color="auto"/>
                        <w:bottom w:val="none" w:sz="0" w:space="0" w:color="auto"/>
                        <w:right w:val="none" w:sz="0" w:space="0" w:color="auto"/>
                      </w:divBdr>
                    </w:div>
                    <w:div w:id="1297757773">
                      <w:marLeft w:val="0"/>
                      <w:marRight w:val="0"/>
                      <w:marTop w:val="0"/>
                      <w:marBottom w:val="0"/>
                      <w:divBdr>
                        <w:top w:val="none" w:sz="0" w:space="0" w:color="auto"/>
                        <w:left w:val="none" w:sz="0" w:space="0" w:color="auto"/>
                        <w:bottom w:val="none" w:sz="0" w:space="0" w:color="auto"/>
                        <w:right w:val="none" w:sz="0" w:space="0" w:color="auto"/>
                      </w:divBdr>
                    </w:div>
                  </w:divsChild>
                </w:div>
                <w:div w:id="1354956829">
                  <w:marLeft w:val="0"/>
                  <w:marRight w:val="0"/>
                  <w:marTop w:val="0"/>
                  <w:marBottom w:val="0"/>
                  <w:divBdr>
                    <w:top w:val="none" w:sz="0" w:space="0" w:color="auto"/>
                    <w:left w:val="none" w:sz="0" w:space="0" w:color="auto"/>
                    <w:bottom w:val="none" w:sz="0" w:space="0" w:color="auto"/>
                    <w:right w:val="none" w:sz="0" w:space="0" w:color="auto"/>
                  </w:divBdr>
                  <w:divsChild>
                    <w:div w:id="631178639">
                      <w:marLeft w:val="0"/>
                      <w:marRight w:val="0"/>
                      <w:marTop w:val="0"/>
                      <w:marBottom w:val="0"/>
                      <w:divBdr>
                        <w:top w:val="none" w:sz="0" w:space="0" w:color="auto"/>
                        <w:left w:val="none" w:sz="0" w:space="0" w:color="auto"/>
                        <w:bottom w:val="none" w:sz="0" w:space="0" w:color="auto"/>
                        <w:right w:val="none" w:sz="0" w:space="0" w:color="auto"/>
                      </w:divBdr>
                    </w:div>
                    <w:div w:id="2105109916">
                      <w:marLeft w:val="0"/>
                      <w:marRight w:val="0"/>
                      <w:marTop w:val="0"/>
                      <w:marBottom w:val="0"/>
                      <w:divBdr>
                        <w:top w:val="none" w:sz="0" w:space="0" w:color="auto"/>
                        <w:left w:val="none" w:sz="0" w:space="0" w:color="auto"/>
                        <w:bottom w:val="none" w:sz="0" w:space="0" w:color="auto"/>
                        <w:right w:val="none" w:sz="0" w:space="0" w:color="auto"/>
                      </w:divBdr>
                    </w:div>
                  </w:divsChild>
                </w:div>
                <w:div w:id="1355813974">
                  <w:marLeft w:val="0"/>
                  <w:marRight w:val="0"/>
                  <w:marTop w:val="0"/>
                  <w:marBottom w:val="0"/>
                  <w:divBdr>
                    <w:top w:val="none" w:sz="0" w:space="0" w:color="auto"/>
                    <w:left w:val="none" w:sz="0" w:space="0" w:color="auto"/>
                    <w:bottom w:val="none" w:sz="0" w:space="0" w:color="auto"/>
                    <w:right w:val="none" w:sz="0" w:space="0" w:color="auto"/>
                  </w:divBdr>
                  <w:divsChild>
                    <w:div w:id="526528774">
                      <w:marLeft w:val="0"/>
                      <w:marRight w:val="0"/>
                      <w:marTop w:val="0"/>
                      <w:marBottom w:val="0"/>
                      <w:divBdr>
                        <w:top w:val="none" w:sz="0" w:space="0" w:color="auto"/>
                        <w:left w:val="none" w:sz="0" w:space="0" w:color="auto"/>
                        <w:bottom w:val="none" w:sz="0" w:space="0" w:color="auto"/>
                        <w:right w:val="none" w:sz="0" w:space="0" w:color="auto"/>
                      </w:divBdr>
                    </w:div>
                  </w:divsChild>
                </w:div>
                <w:div w:id="1368409010">
                  <w:marLeft w:val="0"/>
                  <w:marRight w:val="0"/>
                  <w:marTop w:val="0"/>
                  <w:marBottom w:val="0"/>
                  <w:divBdr>
                    <w:top w:val="none" w:sz="0" w:space="0" w:color="auto"/>
                    <w:left w:val="none" w:sz="0" w:space="0" w:color="auto"/>
                    <w:bottom w:val="none" w:sz="0" w:space="0" w:color="auto"/>
                    <w:right w:val="none" w:sz="0" w:space="0" w:color="auto"/>
                  </w:divBdr>
                  <w:divsChild>
                    <w:div w:id="274365640">
                      <w:marLeft w:val="0"/>
                      <w:marRight w:val="0"/>
                      <w:marTop w:val="0"/>
                      <w:marBottom w:val="0"/>
                      <w:divBdr>
                        <w:top w:val="none" w:sz="0" w:space="0" w:color="auto"/>
                        <w:left w:val="none" w:sz="0" w:space="0" w:color="auto"/>
                        <w:bottom w:val="none" w:sz="0" w:space="0" w:color="auto"/>
                        <w:right w:val="none" w:sz="0" w:space="0" w:color="auto"/>
                      </w:divBdr>
                    </w:div>
                    <w:div w:id="868494201">
                      <w:marLeft w:val="0"/>
                      <w:marRight w:val="0"/>
                      <w:marTop w:val="0"/>
                      <w:marBottom w:val="0"/>
                      <w:divBdr>
                        <w:top w:val="none" w:sz="0" w:space="0" w:color="auto"/>
                        <w:left w:val="none" w:sz="0" w:space="0" w:color="auto"/>
                        <w:bottom w:val="none" w:sz="0" w:space="0" w:color="auto"/>
                        <w:right w:val="none" w:sz="0" w:space="0" w:color="auto"/>
                      </w:divBdr>
                    </w:div>
                  </w:divsChild>
                </w:div>
                <w:div w:id="1465805471">
                  <w:marLeft w:val="0"/>
                  <w:marRight w:val="0"/>
                  <w:marTop w:val="0"/>
                  <w:marBottom w:val="0"/>
                  <w:divBdr>
                    <w:top w:val="none" w:sz="0" w:space="0" w:color="auto"/>
                    <w:left w:val="none" w:sz="0" w:space="0" w:color="auto"/>
                    <w:bottom w:val="none" w:sz="0" w:space="0" w:color="auto"/>
                    <w:right w:val="none" w:sz="0" w:space="0" w:color="auto"/>
                  </w:divBdr>
                  <w:divsChild>
                    <w:div w:id="1162233319">
                      <w:marLeft w:val="0"/>
                      <w:marRight w:val="0"/>
                      <w:marTop w:val="0"/>
                      <w:marBottom w:val="0"/>
                      <w:divBdr>
                        <w:top w:val="none" w:sz="0" w:space="0" w:color="auto"/>
                        <w:left w:val="none" w:sz="0" w:space="0" w:color="auto"/>
                        <w:bottom w:val="none" w:sz="0" w:space="0" w:color="auto"/>
                        <w:right w:val="none" w:sz="0" w:space="0" w:color="auto"/>
                      </w:divBdr>
                    </w:div>
                  </w:divsChild>
                </w:div>
                <w:div w:id="1635989945">
                  <w:marLeft w:val="0"/>
                  <w:marRight w:val="0"/>
                  <w:marTop w:val="0"/>
                  <w:marBottom w:val="0"/>
                  <w:divBdr>
                    <w:top w:val="none" w:sz="0" w:space="0" w:color="auto"/>
                    <w:left w:val="none" w:sz="0" w:space="0" w:color="auto"/>
                    <w:bottom w:val="none" w:sz="0" w:space="0" w:color="auto"/>
                    <w:right w:val="none" w:sz="0" w:space="0" w:color="auto"/>
                  </w:divBdr>
                  <w:divsChild>
                    <w:div w:id="1518612699">
                      <w:marLeft w:val="0"/>
                      <w:marRight w:val="0"/>
                      <w:marTop w:val="0"/>
                      <w:marBottom w:val="0"/>
                      <w:divBdr>
                        <w:top w:val="none" w:sz="0" w:space="0" w:color="auto"/>
                        <w:left w:val="none" w:sz="0" w:space="0" w:color="auto"/>
                        <w:bottom w:val="none" w:sz="0" w:space="0" w:color="auto"/>
                        <w:right w:val="none" w:sz="0" w:space="0" w:color="auto"/>
                      </w:divBdr>
                    </w:div>
                  </w:divsChild>
                </w:div>
                <w:div w:id="1642343778">
                  <w:marLeft w:val="0"/>
                  <w:marRight w:val="0"/>
                  <w:marTop w:val="0"/>
                  <w:marBottom w:val="0"/>
                  <w:divBdr>
                    <w:top w:val="none" w:sz="0" w:space="0" w:color="auto"/>
                    <w:left w:val="none" w:sz="0" w:space="0" w:color="auto"/>
                    <w:bottom w:val="none" w:sz="0" w:space="0" w:color="auto"/>
                    <w:right w:val="none" w:sz="0" w:space="0" w:color="auto"/>
                  </w:divBdr>
                  <w:divsChild>
                    <w:div w:id="873930596">
                      <w:marLeft w:val="0"/>
                      <w:marRight w:val="0"/>
                      <w:marTop w:val="0"/>
                      <w:marBottom w:val="0"/>
                      <w:divBdr>
                        <w:top w:val="none" w:sz="0" w:space="0" w:color="auto"/>
                        <w:left w:val="none" w:sz="0" w:space="0" w:color="auto"/>
                        <w:bottom w:val="none" w:sz="0" w:space="0" w:color="auto"/>
                        <w:right w:val="none" w:sz="0" w:space="0" w:color="auto"/>
                      </w:divBdr>
                    </w:div>
                  </w:divsChild>
                </w:div>
                <w:div w:id="1710379315">
                  <w:marLeft w:val="0"/>
                  <w:marRight w:val="0"/>
                  <w:marTop w:val="0"/>
                  <w:marBottom w:val="0"/>
                  <w:divBdr>
                    <w:top w:val="none" w:sz="0" w:space="0" w:color="auto"/>
                    <w:left w:val="none" w:sz="0" w:space="0" w:color="auto"/>
                    <w:bottom w:val="none" w:sz="0" w:space="0" w:color="auto"/>
                    <w:right w:val="none" w:sz="0" w:space="0" w:color="auto"/>
                  </w:divBdr>
                  <w:divsChild>
                    <w:div w:id="1498960577">
                      <w:marLeft w:val="0"/>
                      <w:marRight w:val="0"/>
                      <w:marTop w:val="0"/>
                      <w:marBottom w:val="0"/>
                      <w:divBdr>
                        <w:top w:val="none" w:sz="0" w:space="0" w:color="auto"/>
                        <w:left w:val="none" w:sz="0" w:space="0" w:color="auto"/>
                        <w:bottom w:val="none" w:sz="0" w:space="0" w:color="auto"/>
                        <w:right w:val="none" w:sz="0" w:space="0" w:color="auto"/>
                      </w:divBdr>
                    </w:div>
                  </w:divsChild>
                </w:div>
                <w:div w:id="1713572779">
                  <w:marLeft w:val="0"/>
                  <w:marRight w:val="0"/>
                  <w:marTop w:val="0"/>
                  <w:marBottom w:val="0"/>
                  <w:divBdr>
                    <w:top w:val="none" w:sz="0" w:space="0" w:color="auto"/>
                    <w:left w:val="none" w:sz="0" w:space="0" w:color="auto"/>
                    <w:bottom w:val="none" w:sz="0" w:space="0" w:color="auto"/>
                    <w:right w:val="none" w:sz="0" w:space="0" w:color="auto"/>
                  </w:divBdr>
                  <w:divsChild>
                    <w:div w:id="1304195637">
                      <w:marLeft w:val="0"/>
                      <w:marRight w:val="0"/>
                      <w:marTop w:val="0"/>
                      <w:marBottom w:val="0"/>
                      <w:divBdr>
                        <w:top w:val="none" w:sz="0" w:space="0" w:color="auto"/>
                        <w:left w:val="none" w:sz="0" w:space="0" w:color="auto"/>
                        <w:bottom w:val="none" w:sz="0" w:space="0" w:color="auto"/>
                        <w:right w:val="none" w:sz="0" w:space="0" w:color="auto"/>
                      </w:divBdr>
                    </w:div>
                    <w:div w:id="2007128390">
                      <w:marLeft w:val="0"/>
                      <w:marRight w:val="0"/>
                      <w:marTop w:val="0"/>
                      <w:marBottom w:val="0"/>
                      <w:divBdr>
                        <w:top w:val="none" w:sz="0" w:space="0" w:color="auto"/>
                        <w:left w:val="none" w:sz="0" w:space="0" w:color="auto"/>
                        <w:bottom w:val="none" w:sz="0" w:space="0" w:color="auto"/>
                        <w:right w:val="none" w:sz="0" w:space="0" w:color="auto"/>
                      </w:divBdr>
                    </w:div>
                  </w:divsChild>
                </w:div>
                <w:div w:id="1770807352">
                  <w:marLeft w:val="0"/>
                  <w:marRight w:val="0"/>
                  <w:marTop w:val="0"/>
                  <w:marBottom w:val="0"/>
                  <w:divBdr>
                    <w:top w:val="none" w:sz="0" w:space="0" w:color="auto"/>
                    <w:left w:val="none" w:sz="0" w:space="0" w:color="auto"/>
                    <w:bottom w:val="none" w:sz="0" w:space="0" w:color="auto"/>
                    <w:right w:val="none" w:sz="0" w:space="0" w:color="auto"/>
                  </w:divBdr>
                  <w:divsChild>
                    <w:div w:id="1521773091">
                      <w:marLeft w:val="0"/>
                      <w:marRight w:val="0"/>
                      <w:marTop w:val="0"/>
                      <w:marBottom w:val="0"/>
                      <w:divBdr>
                        <w:top w:val="none" w:sz="0" w:space="0" w:color="auto"/>
                        <w:left w:val="none" w:sz="0" w:space="0" w:color="auto"/>
                        <w:bottom w:val="none" w:sz="0" w:space="0" w:color="auto"/>
                        <w:right w:val="none" w:sz="0" w:space="0" w:color="auto"/>
                      </w:divBdr>
                    </w:div>
                    <w:div w:id="1914777275">
                      <w:marLeft w:val="0"/>
                      <w:marRight w:val="0"/>
                      <w:marTop w:val="0"/>
                      <w:marBottom w:val="0"/>
                      <w:divBdr>
                        <w:top w:val="none" w:sz="0" w:space="0" w:color="auto"/>
                        <w:left w:val="none" w:sz="0" w:space="0" w:color="auto"/>
                        <w:bottom w:val="none" w:sz="0" w:space="0" w:color="auto"/>
                        <w:right w:val="none" w:sz="0" w:space="0" w:color="auto"/>
                      </w:divBdr>
                    </w:div>
                  </w:divsChild>
                </w:div>
                <w:div w:id="1838039265">
                  <w:marLeft w:val="0"/>
                  <w:marRight w:val="0"/>
                  <w:marTop w:val="0"/>
                  <w:marBottom w:val="0"/>
                  <w:divBdr>
                    <w:top w:val="none" w:sz="0" w:space="0" w:color="auto"/>
                    <w:left w:val="none" w:sz="0" w:space="0" w:color="auto"/>
                    <w:bottom w:val="none" w:sz="0" w:space="0" w:color="auto"/>
                    <w:right w:val="none" w:sz="0" w:space="0" w:color="auto"/>
                  </w:divBdr>
                  <w:divsChild>
                    <w:div w:id="538325750">
                      <w:marLeft w:val="0"/>
                      <w:marRight w:val="0"/>
                      <w:marTop w:val="0"/>
                      <w:marBottom w:val="0"/>
                      <w:divBdr>
                        <w:top w:val="none" w:sz="0" w:space="0" w:color="auto"/>
                        <w:left w:val="none" w:sz="0" w:space="0" w:color="auto"/>
                        <w:bottom w:val="none" w:sz="0" w:space="0" w:color="auto"/>
                        <w:right w:val="none" w:sz="0" w:space="0" w:color="auto"/>
                      </w:divBdr>
                    </w:div>
                    <w:div w:id="622423237">
                      <w:marLeft w:val="0"/>
                      <w:marRight w:val="0"/>
                      <w:marTop w:val="0"/>
                      <w:marBottom w:val="0"/>
                      <w:divBdr>
                        <w:top w:val="none" w:sz="0" w:space="0" w:color="auto"/>
                        <w:left w:val="none" w:sz="0" w:space="0" w:color="auto"/>
                        <w:bottom w:val="none" w:sz="0" w:space="0" w:color="auto"/>
                        <w:right w:val="none" w:sz="0" w:space="0" w:color="auto"/>
                      </w:divBdr>
                    </w:div>
                  </w:divsChild>
                </w:div>
                <w:div w:id="1948266203">
                  <w:marLeft w:val="0"/>
                  <w:marRight w:val="0"/>
                  <w:marTop w:val="0"/>
                  <w:marBottom w:val="0"/>
                  <w:divBdr>
                    <w:top w:val="none" w:sz="0" w:space="0" w:color="auto"/>
                    <w:left w:val="none" w:sz="0" w:space="0" w:color="auto"/>
                    <w:bottom w:val="none" w:sz="0" w:space="0" w:color="auto"/>
                    <w:right w:val="none" w:sz="0" w:space="0" w:color="auto"/>
                  </w:divBdr>
                  <w:divsChild>
                    <w:div w:id="47731314">
                      <w:marLeft w:val="0"/>
                      <w:marRight w:val="0"/>
                      <w:marTop w:val="0"/>
                      <w:marBottom w:val="0"/>
                      <w:divBdr>
                        <w:top w:val="none" w:sz="0" w:space="0" w:color="auto"/>
                        <w:left w:val="none" w:sz="0" w:space="0" w:color="auto"/>
                        <w:bottom w:val="none" w:sz="0" w:space="0" w:color="auto"/>
                        <w:right w:val="none" w:sz="0" w:space="0" w:color="auto"/>
                      </w:divBdr>
                    </w:div>
                  </w:divsChild>
                </w:div>
                <w:div w:id="1987314238">
                  <w:marLeft w:val="0"/>
                  <w:marRight w:val="0"/>
                  <w:marTop w:val="0"/>
                  <w:marBottom w:val="0"/>
                  <w:divBdr>
                    <w:top w:val="none" w:sz="0" w:space="0" w:color="auto"/>
                    <w:left w:val="none" w:sz="0" w:space="0" w:color="auto"/>
                    <w:bottom w:val="none" w:sz="0" w:space="0" w:color="auto"/>
                    <w:right w:val="none" w:sz="0" w:space="0" w:color="auto"/>
                  </w:divBdr>
                  <w:divsChild>
                    <w:div w:id="127011810">
                      <w:marLeft w:val="0"/>
                      <w:marRight w:val="0"/>
                      <w:marTop w:val="0"/>
                      <w:marBottom w:val="0"/>
                      <w:divBdr>
                        <w:top w:val="none" w:sz="0" w:space="0" w:color="auto"/>
                        <w:left w:val="none" w:sz="0" w:space="0" w:color="auto"/>
                        <w:bottom w:val="none" w:sz="0" w:space="0" w:color="auto"/>
                        <w:right w:val="none" w:sz="0" w:space="0" w:color="auto"/>
                      </w:divBdr>
                    </w:div>
                  </w:divsChild>
                </w:div>
                <w:div w:id="2058581515">
                  <w:marLeft w:val="0"/>
                  <w:marRight w:val="0"/>
                  <w:marTop w:val="0"/>
                  <w:marBottom w:val="0"/>
                  <w:divBdr>
                    <w:top w:val="none" w:sz="0" w:space="0" w:color="auto"/>
                    <w:left w:val="none" w:sz="0" w:space="0" w:color="auto"/>
                    <w:bottom w:val="none" w:sz="0" w:space="0" w:color="auto"/>
                    <w:right w:val="none" w:sz="0" w:space="0" w:color="auto"/>
                  </w:divBdr>
                  <w:divsChild>
                    <w:div w:id="1212037811">
                      <w:marLeft w:val="0"/>
                      <w:marRight w:val="0"/>
                      <w:marTop w:val="0"/>
                      <w:marBottom w:val="0"/>
                      <w:divBdr>
                        <w:top w:val="none" w:sz="0" w:space="0" w:color="auto"/>
                        <w:left w:val="none" w:sz="0" w:space="0" w:color="auto"/>
                        <w:bottom w:val="none" w:sz="0" w:space="0" w:color="auto"/>
                        <w:right w:val="none" w:sz="0" w:space="0" w:color="auto"/>
                      </w:divBdr>
                    </w:div>
                  </w:divsChild>
                </w:div>
                <w:div w:id="2098667817">
                  <w:marLeft w:val="0"/>
                  <w:marRight w:val="0"/>
                  <w:marTop w:val="0"/>
                  <w:marBottom w:val="0"/>
                  <w:divBdr>
                    <w:top w:val="none" w:sz="0" w:space="0" w:color="auto"/>
                    <w:left w:val="none" w:sz="0" w:space="0" w:color="auto"/>
                    <w:bottom w:val="none" w:sz="0" w:space="0" w:color="auto"/>
                    <w:right w:val="none" w:sz="0" w:space="0" w:color="auto"/>
                  </w:divBdr>
                  <w:divsChild>
                    <w:div w:id="6953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12261">
          <w:marLeft w:val="0"/>
          <w:marRight w:val="0"/>
          <w:marTop w:val="0"/>
          <w:marBottom w:val="0"/>
          <w:divBdr>
            <w:top w:val="none" w:sz="0" w:space="0" w:color="auto"/>
            <w:left w:val="none" w:sz="0" w:space="0" w:color="auto"/>
            <w:bottom w:val="none" w:sz="0" w:space="0" w:color="auto"/>
            <w:right w:val="none" w:sz="0" w:space="0" w:color="auto"/>
          </w:divBdr>
        </w:div>
        <w:div w:id="596451065">
          <w:marLeft w:val="0"/>
          <w:marRight w:val="0"/>
          <w:marTop w:val="0"/>
          <w:marBottom w:val="0"/>
          <w:divBdr>
            <w:top w:val="none" w:sz="0" w:space="0" w:color="auto"/>
            <w:left w:val="none" w:sz="0" w:space="0" w:color="auto"/>
            <w:bottom w:val="none" w:sz="0" w:space="0" w:color="auto"/>
            <w:right w:val="none" w:sz="0" w:space="0" w:color="auto"/>
          </w:divBdr>
        </w:div>
        <w:div w:id="635836492">
          <w:marLeft w:val="0"/>
          <w:marRight w:val="0"/>
          <w:marTop w:val="0"/>
          <w:marBottom w:val="0"/>
          <w:divBdr>
            <w:top w:val="none" w:sz="0" w:space="0" w:color="auto"/>
            <w:left w:val="none" w:sz="0" w:space="0" w:color="auto"/>
            <w:bottom w:val="none" w:sz="0" w:space="0" w:color="auto"/>
            <w:right w:val="none" w:sz="0" w:space="0" w:color="auto"/>
          </w:divBdr>
        </w:div>
        <w:div w:id="636226578">
          <w:marLeft w:val="0"/>
          <w:marRight w:val="0"/>
          <w:marTop w:val="0"/>
          <w:marBottom w:val="0"/>
          <w:divBdr>
            <w:top w:val="none" w:sz="0" w:space="0" w:color="auto"/>
            <w:left w:val="none" w:sz="0" w:space="0" w:color="auto"/>
            <w:bottom w:val="none" w:sz="0" w:space="0" w:color="auto"/>
            <w:right w:val="none" w:sz="0" w:space="0" w:color="auto"/>
          </w:divBdr>
        </w:div>
        <w:div w:id="759300505">
          <w:marLeft w:val="0"/>
          <w:marRight w:val="0"/>
          <w:marTop w:val="0"/>
          <w:marBottom w:val="0"/>
          <w:divBdr>
            <w:top w:val="none" w:sz="0" w:space="0" w:color="auto"/>
            <w:left w:val="none" w:sz="0" w:space="0" w:color="auto"/>
            <w:bottom w:val="none" w:sz="0" w:space="0" w:color="auto"/>
            <w:right w:val="none" w:sz="0" w:space="0" w:color="auto"/>
          </w:divBdr>
        </w:div>
        <w:div w:id="775561674">
          <w:marLeft w:val="0"/>
          <w:marRight w:val="0"/>
          <w:marTop w:val="0"/>
          <w:marBottom w:val="0"/>
          <w:divBdr>
            <w:top w:val="none" w:sz="0" w:space="0" w:color="auto"/>
            <w:left w:val="none" w:sz="0" w:space="0" w:color="auto"/>
            <w:bottom w:val="none" w:sz="0" w:space="0" w:color="auto"/>
            <w:right w:val="none" w:sz="0" w:space="0" w:color="auto"/>
          </w:divBdr>
        </w:div>
        <w:div w:id="788667947">
          <w:marLeft w:val="0"/>
          <w:marRight w:val="0"/>
          <w:marTop w:val="0"/>
          <w:marBottom w:val="0"/>
          <w:divBdr>
            <w:top w:val="none" w:sz="0" w:space="0" w:color="auto"/>
            <w:left w:val="none" w:sz="0" w:space="0" w:color="auto"/>
            <w:bottom w:val="none" w:sz="0" w:space="0" w:color="auto"/>
            <w:right w:val="none" w:sz="0" w:space="0" w:color="auto"/>
          </w:divBdr>
        </w:div>
        <w:div w:id="792404830">
          <w:marLeft w:val="0"/>
          <w:marRight w:val="0"/>
          <w:marTop w:val="0"/>
          <w:marBottom w:val="0"/>
          <w:divBdr>
            <w:top w:val="none" w:sz="0" w:space="0" w:color="auto"/>
            <w:left w:val="none" w:sz="0" w:space="0" w:color="auto"/>
            <w:bottom w:val="none" w:sz="0" w:space="0" w:color="auto"/>
            <w:right w:val="none" w:sz="0" w:space="0" w:color="auto"/>
          </w:divBdr>
        </w:div>
        <w:div w:id="902788248">
          <w:marLeft w:val="0"/>
          <w:marRight w:val="0"/>
          <w:marTop w:val="0"/>
          <w:marBottom w:val="0"/>
          <w:divBdr>
            <w:top w:val="none" w:sz="0" w:space="0" w:color="auto"/>
            <w:left w:val="none" w:sz="0" w:space="0" w:color="auto"/>
            <w:bottom w:val="none" w:sz="0" w:space="0" w:color="auto"/>
            <w:right w:val="none" w:sz="0" w:space="0" w:color="auto"/>
          </w:divBdr>
          <w:divsChild>
            <w:div w:id="1682972889">
              <w:marLeft w:val="-75"/>
              <w:marRight w:val="0"/>
              <w:marTop w:val="30"/>
              <w:marBottom w:val="30"/>
              <w:divBdr>
                <w:top w:val="none" w:sz="0" w:space="0" w:color="auto"/>
                <w:left w:val="none" w:sz="0" w:space="0" w:color="auto"/>
                <w:bottom w:val="none" w:sz="0" w:space="0" w:color="auto"/>
                <w:right w:val="none" w:sz="0" w:space="0" w:color="auto"/>
              </w:divBdr>
              <w:divsChild>
                <w:div w:id="115684124">
                  <w:marLeft w:val="0"/>
                  <w:marRight w:val="0"/>
                  <w:marTop w:val="0"/>
                  <w:marBottom w:val="0"/>
                  <w:divBdr>
                    <w:top w:val="none" w:sz="0" w:space="0" w:color="auto"/>
                    <w:left w:val="none" w:sz="0" w:space="0" w:color="auto"/>
                    <w:bottom w:val="none" w:sz="0" w:space="0" w:color="auto"/>
                    <w:right w:val="none" w:sz="0" w:space="0" w:color="auto"/>
                  </w:divBdr>
                  <w:divsChild>
                    <w:div w:id="1867058244">
                      <w:marLeft w:val="0"/>
                      <w:marRight w:val="0"/>
                      <w:marTop w:val="0"/>
                      <w:marBottom w:val="0"/>
                      <w:divBdr>
                        <w:top w:val="none" w:sz="0" w:space="0" w:color="auto"/>
                        <w:left w:val="none" w:sz="0" w:space="0" w:color="auto"/>
                        <w:bottom w:val="none" w:sz="0" w:space="0" w:color="auto"/>
                        <w:right w:val="none" w:sz="0" w:space="0" w:color="auto"/>
                      </w:divBdr>
                    </w:div>
                  </w:divsChild>
                </w:div>
                <w:div w:id="283771932">
                  <w:marLeft w:val="0"/>
                  <w:marRight w:val="0"/>
                  <w:marTop w:val="0"/>
                  <w:marBottom w:val="0"/>
                  <w:divBdr>
                    <w:top w:val="none" w:sz="0" w:space="0" w:color="auto"/>
                    <w:left w:val="none" w:sz="0" w:space="0" w:color="auto"/>
                    <w:bottom w:val="none" w:sz="0" w:space="0" w:color="auto"/>
                    <w:right w:val="none" w:sz="0" w:space="0" w:color="auto"/>
                  </w:divBdr>
                  <w:divsChild>
                    <w:div w:id="116219107">
                      <w:marLeft w:val="0"/>
                      <w:marRight w:val="0"/>
                      <w:marTop w:val="0"/>
                      <w:marBottom w:val="0"/>
                      <w:divBdr>
                        <w:top w:val="none" w:sz="0" w:space="0" w:color="auto"/>
                        <w:left w:val="none" w:sz="0" w:space="0" w:color="auto"/>
                        <w:bottom w:val="none" w:sz="0" w:space="0" w:color="auto"/>
                        <w:right w:val="none" w:sz="0" w:space="0" w:color="auto"/>
                      </w:divBdr>
                    </w:div>
                  </w:divsChild>
                </w:div>
                <w:div w:id="580679742">
                  <w:marLeft w:val="0"/>
                  <w:marRight w:val="0"/>
                  <w:marTop w:val="0"/>
                  <w:marBottom w:val="0"/>
                  <w:divBdr>
                    <w:top w:val="none" w:sz="0" w:space="0" w:color="auto"/>
                    <w:left w:val="none" w:sz="0" w:space="0" w:color="auto"/>
                    <w:bottom w:val="none" w:sz="0" w:space="0" w:color="auto"/>
                    <w:right w:val="none" w:sz="0" w:space="0" w:color="auto"/>
                  </w:divBdr>
                  <w:divsChild>
                    <w:div w:id="192691795">
                      <w:marLeft w:val="0"/>
                      <w:marRight w:val="0"/>
                      <w:marTop w:val="0"/>
                      <w:marBottom w:val="0"/>
                      <w:divBdr>
                        <w:top w:val="none" w:sz="0" w:space="0" w:color="auto"/>
                        <w:left w:val="none" w:sz="0" w:space="0" w:color="auto"/>
                        <w:bottom w:val="none" w:sz="0" w:space="0" w:color="auto"/>
                        <w:right w:val="none" w:sz="0" w:space="0" w:color="auto"/>
                      </w:divBdr>
                    </w:div>
                  </w:divsChild>
                </w:div>
                <w:div w:id="599413806">
                  <w:marLeft w:val="0"/>
                  <w:marRight w:val="0"/>
                  <w:marTop w:val="0"/>
                  <w:marBottom w:val="0"/>
                  <w:divBdr>
                    <w:top w:val="none" w:sz="0" w:space="0" w:color="auto"/>
                    <w:left w:val="none" w:sz="0" w:space="0" w:color="auto"/>
                    <w:bottom w:val="none" w:sz="0" w:space="0" w:color="auto"/>
                    <w:right w:val="none" w:sz="0" w:space="0" w:color="auto"/>
                  </w:divBdr>
                  <w:divsChild>
                    <w:div w:id="377361063">
                      <w:marLeft w:val="0"/>
                      <w:marRight w:val="0"/>
                      <w:marTop w:val="0"/>
                      <w:marBottom w:val="0"/>
                      <w:divBdr>
                        <w:top w:val="none" w:sz="0" w:space="0" w:color="auto"/>
                        <w:left w:val="none" w:sz="0" w:space="0" w:color="auto"/>
                        <w:bottom w:val="none" w:sz="0" w:space="0" w:color="auto"/>
                        <w:right w:val="none" w:sz="0" w:space="0" w:color="auto"/>
                      </w:divBdr>
                    </w:div>
                  </w:divsChild>
                </w:div>
                <w:div w:id="759332815">
                  <w:marLeft w:val="0"/>
                  <w:marRight w:val="0"/>
                  <w:marTop w:val="0"/>
                  <w:marBottom w:val="0"/>
                  <w:divBdr>
                    <w:top w:val="none" w:sz="0" w:space="0" w:color="auto"/>
                    <w:left w:val="none" w:sz="0" w:space="0" w:color="auto"/>
                    <w:bottom w:val="none" w:sz="0" w:space="0" w:color="auto"/>
                    <w:right w:val="none" w:sz="0" w:space="0" w:color="auto"/>
                  </w:divBdr>
                  <w:divsChild>
                    <w:div w:id="1586649159">
                      <w:marLeft w:val="0"/>
                      <w:marRight w:val="0"/>
                      <w:marTop w:val="0"/>
                      <w:marBottom w:val="0"/>
                      <w:divBdr>
                        <w:top w:val="none" w:sz="0" w:space="0" w:color="auto"/>
                        <w:left w:val="none" w:sz="0" w:space="0" w:color="auto"/>
                        <w:bottom w:val="none" w:sz="0" w:space="0" w:color="auto"/>
                        <w:right w:val="none" w:sz="0" w:space="0" w:color="auto"/>
                      </w:divBdr>
                    </w:div>
                  </w:divsChild>
                </w:div>
                <w:div w:id="764031299">
                  <w:marLeft w:val="0"/>
                  <w:marRight w:val="0"/>
                  <w:marTop w:val="0"/>
                  <w:marBottom w:val="0"/>
                  <w:divBdr>
                    <w:top w:val="none" w:sz="0" w:space="0" w:color="auto"/>
                    <w:left w:val="none" w:sz="0" w:space="0" w:color="auto"/>
                    <w:bottom w:val="none" w:sz="0" w:space="0" w:color="auto"/>
                    <w:right w:val="none" w:sz="0" w:space="0" w:color="auto"/>
                  </w:divBdr>
                  <w:divsChild>
                    <w:div w:id="402262782">
                      <w:marLeft w:val="0"/>
                      <w:marRight w:val="0"/>
                      <w:marTop w:val="0"/>
                      <w:marBottom w:val="0"/>
                      <w:divBdr>
                        <w:top w:val="none" w:sz="0" w:space="0" w:color="auto"/>
                        <w:left w:val="none" w:sz="0" w:space="0" w:color="auto"/>
                        <w:bottom w:val="none" w:sz="0" w:space="0" w:color="auto"/>
                        <w:right w:val="none" w:sz="0" w:space="0" w:color="auto"/>
                      </w:divBdr>
                    </w:div>
                  </w:divsChild>
                </w:div>
                <w:div w:id="835917871">
                  <w:marLeft w:val="0"/>
                  <w:marRight w:val="0"/>
                  <w:marTop w:val="0"/>
                  <w:marBottom w:val="0"/>
                  <w:divBdr>
                    <w:top w:val="none" w:sz="0" w:space="0" w:color="auto"/>
                    <w:left w:val="none" w:sz="0" w:space="0" w:color="auto"/>
                    <w:bottom w:val="none" w:sz="0" w:space="0" w:color="auto"/>
                    <w:right w:val="none" w:sz="0" w:space="0" w:color="auto"/>
                  </w:divBdr>
                  <w:divsChild>
                    <w:div w:id="1276446822">
                      <w:marLeft w:val="0"/>
                      <w:marRight w:val="0"/>
                      <w:marTop w:val="0"/>
                      <w:marBottom w:val="0"/>
                      <w:divBdr>
                        <w:top w:val="none" w:sz="0" w:space="0" w:color="auto"/>
                        <w:left w:val="none" w:sz="0" w:space="0" w:color="auto"/>
                        <w:bottom w:val="none" w:sz="0" w:space="0" w:color="auto"/>
                        <w:right w:val="none" w:sz="0" w:space="0" w:color="auto"/>
                      </w:divBdr>
                    </w:div>
                  </w:divsChild>
                </w:div>
                <w:div w:id="1106274003">
                  <w:marLeft w:val="0"/>
                  <w:marRight w:val="0"/>
                  <w:marTop w:val="0"/>
                  <w:marBottom w:val="0"/>
                  <w:divBdr>
                    <w:top w:val="none" w:sz="0" w:space="0" w:color="auto"/>
                    <w:left w:val="none" w:sz="0" w:space="0" w:color="auto"/>
                    <w:bottom w:val="none" w:sz="0" w:space="0" w:color="auto"/>
                    <w:right w:val="none" w:sz="0" w:space="0" w:color="auto"/>
                  </w:divBdr>
                  <w:divsChild>
                    <w:div w:id="1046028602">
                      <w:marLeft w:val="0"/>
                      <w:marRight w:val="0"/>
                      <w:marTop w:val="0"/>
                      <w:marBottom w:val="0"/>
                      <w:divBdr>
                        <w:top w:val="none" w:sz="0" w:space="0" w:color="auto"/>
                        <w:left w:val="none" w:sz="0" w:space="0" w:color="auto"/>
                        <w:bottom w:val="none" w:sz="0" w:space="0" w:color="auto"/>
                        <w:right w:val="none" w:sz="0" w:space="0" w:color="auto"/>
                      </w:divBdr>
                    </w:div>
                  </w:divsChild>
                </w:div>
                <w:div w:id="1113746133">
                  <w:marLeft w:val="0"/>
                  <w:marRight w:val="0"/>
                  <w:marTop w:val="0"/>
                  <w:marBottom w:val="0"/>
                  <w:divBdr>
                    <w:top w:val="none" w:sz="0" w:space="0" w:color="auto"/>
                    <w:left w:val="none" w:sz="0" w:space="0" w:color="auto"/>
                    <w:bottom w:val="none" w:sz="0" w:space="0" w:color="auto"/>
                    <w:right w:val="none" w:sz="0" w:space="0" w:color="auto"/>
                  </w:divBdr>
                  <w:divsChild>
                    <w:div w:id="429550167">
                      <w:marLeft w:val="0"/>
                      <w:marRight w:val="0"/>
                      <w:marTop w:val="0"/>
                      <w:marBottom w:val="0"/>
                      <w:divBdr>
                        <w:top w:val="none" w:sz="0" w:space="0" w:color="auto"/>
                        <w:left w:val="none" w:sz="0" w:space="0" w:color="auto"/>
                        <w:bottom w:val="none" w:sz="0" w:space="0" w:color="auto"/>
                        <w:right w:val="none" w:sz="0" w:space="0" w:color="auto"/>
                      </w:divBdr>
                    </w:div>
                  </w:divsChild>
                </w:div>
                <w:div w:id="1221599551">
                  <w:marLeft w:val="0"/>
                  <w:marRight w:val="0"/>
                  <w:marTop w:val="0"/>
                  <w:marBottom w:val="0"/>
                  <w:divBdr>
                    <w:top w:val="none" w:sz="0" w:space="0" w:color="auto"/>
                    <w:left w:val="none" w:sz="0" w:space="0" w:color="auto"/>
                    <w:bottom w:val="none" w:sz="0" w:space="0" w:color="auto"/>
                    <w:right w:val="none" w:sz="0" w:space="0" w:color="auto"/>
                  </w:divBdr>
                  <w:divsChild>
                    <w:div w:id="1545562778">
                      <w:marLeft w:val="0"/>
                      <w:marRight w:val="0"/>
                      <w:marTop w:val="0"/>
                      <w:marBottom w:val="0"/>
                      <w:divBdr>
                        <w:top w:val="none" w:sz="0" w:space="0" w:color="auto"/>
                        <w:left w:val="none" w:sz="0" w:space="0" w:color="auto"/>
                        <w:bottom w:val="none" w:sz="0" w:space="0" w:color="auto"/>
                        <w:right w:val="none" w:sz="0" w:space="0" w:color="auto"/>
                      </w:divBdr>
                    </w:div>
                  </w:divsChild>
                </w:div>
                <w:div w:id="1307929851">
                  <w:marLeft w:val="0"/>
                  <w:marRight w:val="0"/>
                  <w:marTop w:val="0"/>
                  <w:marBottom w:val="0"/>
                  <w:divBdr>
                    <w:top w:val="none" w:sz="0" w:space="0" w:color="auto"/>
                    <w:left w:val="none" w:sz="0" w:space="0" w:color="auto"/>
                    <w:bottom w:val="none" w:sz="0" w:space="0" w:color="auto"/>
                    <w:right w:val="none" w:sz="0" w:space="0" w:color="auto"/>
                  </w:divBdr>
                  <w:divsChild>
                    <w:div w:id="1094132907">
                      <w:marLeft w:val="0"/>
                      <w:marRight w:val="0"/>
                      <w:marTop w:val="0"/>
                      <w:marBottom w:val="0"/>
                      <w:divBdr>
                        <w:top w:val="none" w:sz="0" w:space="0" w:color="auto"/>
                        <w:left w:val="none" w:sz="0" w:space="0" w:color="auto"/>
                        <w:bottom w:val="none" w:sz="0" w:space="0" w:color="auto"/>
                        <w:right w:val="none" w:sz="0" w:space="0" w:color="auto"/>
                      </w:divBdr>
                    </w:div>
                  </w:divsChild>
                </w:div>
                <w:div w:id="1562599124">
                  <w:marLeft w:val="0"/>
                  <w:marRight w:val="0"/>
                  <w:marTop w:val="0"/>
                  <w:marBottom w:val="0"/>
                  <w:divBdr>
                    <w:top w:val="none" w:sz="0" w:space="0" w:color="auto"/>
                    <w:left w:val="none" w:sz="0" w:space="0" w:color="auto"/>
                    <w:bottom w:val="none" w:sz="0" w:space="0" w:color="auto"/>
                    <w:right w:val="none" w:sz="0" w:space="0" w:color="auto"/>
                  </w:divBdr>
                  <w:divsChild>
                    <w:div w:id="1616784940">
                      <w:marLeft w:val="0"/>
                      <w:marRight w:val="0"/>
                      <w:marTop w:val="0"/>
                      <w:marBottom w:val="0"/>
                      <w:divBdr>
                        <w:top w:val="none" w:sz="0" w:space="0" w:color="auto"/>
                        <w:left w:val="none" w:sz="0" w:space="0" w:color="auto"/>
                        <w:bottom w:val="none" w:sz="0" w:space="0" w:color="auto"/>
                        <w:right w:val="none" w:sz="0" w:space="0" w:color="auto"/>
                      </w:divBdr>
                    </w:div>
                  </w:divsChild>
                </w:div>
                <w:div w:id="1569730296">
                  <w:marLeft w:val="0"/>
                  <w:marRight w:val="0"/>
                  <w:marTop w:val="0"/>
                  <w:marBottom w:val="0"/>
                  <w:divBdr>
                    <w:top w:val="none" w:sz="0" w:space="0" w:color="auto"/>
                    <w:left w:val="none" w:sz="0" w:space="0" w:color="auto"/>
                    <w:bottom w:val="none" w:sz="0" w:space="0" w:color="auto"/>
                    <w:right w:val="none" w:sz="0" w:space="0" w:color="auto"/>
                  </w:divBdr>
                  <w:divsChild>
                    <w:div w:id="1154370281">
                      <w:marLeft w:val="0"/>
                      <w:marRight w:val="0"/>
                      <w:marTop w:val="0"/>
                      <w:marBottom w:val="0"/>
                      <w:divBdr>
                        <w:top w:val="none" w:sz="0" w:space="0" w:color="auto"/>
                        <w:left w:val="none" w:sz="0" w:space="0" w:color="auto"/>
                        <w:bottom w:val="none" w:sz="0" w:space="0" w:color="auto"/>
                        <w:right w:val="none" w:sz="0" w:space="0" w:color="auto"/>
                      </w:divBdr>
                    </w:div>
                  </w:divsChild>
                </w:div>
                <w:div w:id="1759521912">
                  <w:marLeft w:val="0"/>
                  <w:marRight w:val="0"/>
                  <w:marTop w:val="0"/>
                  <w:marBottom w:val="0"/>
                  <w:divBdr>
                    <w:top w:val="none" w:sz="0" w:space="0" w:color="auto"/>
                    <w:left w:val="none" w:sz="0" w:space="0" w:color="auto"/>
                    <w:bottom w:val="none" w:sz="0" w:space="0" w:color="auto"/>
                    <w:right w:val="none" w:sz="0" w:space="0" w:color="auto"/>
                  </w:divBdr>
                  <w:divsChild>
                    <w:div w:id="1853371201">
                      <w:marLeft w:val="0"/>
                      <w:marRight w:val="0"/>
                      <w:marTop w:val="0"/>
                      <w:marBottom w:val="0"/>
                      <w:divBdr>
                        <w:top w:val="none" w:sz="0" w:space="0" w:color="auto"/>
                        <w:left w:val="none" w:sz="0" w:space="0" w:color="auto"/>
                        <w:bottom w:val="none" w:sz="0" w:space="0" w:color="auto"/>
                        <w:right w:val="none" w:sz="0" w:space="0" w:color="auto"/>
                      </w:divBdr>
                    </w:div>
                  </w:divsChild>
                </w:div>
                <w:div w:id="2054846562">
                  <w:marLeft w:val="0"/>
                  <w:marRight w:val="0"/>
                  <w:marTop w:val="0"/>
                  <w:marBottom w:val="0"/>
                  <w:divBdr>
                    <w:top w:val="none" w:sz="0" w:space="0" w:color="auto"/>
                    <w:left w:val="none" w:sz="0" w:space="0" w:color="auto"/>
                    <w:bottom w:val="none" w:sz="0" w:space="0" w:color="auto"/>
                    <w:right w:val="none" w:sz="0" w:space="0" w:color="auto"/>
                  </w:divBdr>
                  <w:divsChild>
                    <w:div w:id="450783886">
                      <w:marLeft w:val="0"/>
                      <w:marRight w:val="0"/>
                      <w:marTop w:val="0"/>
                      <w:marBottom w:val="0"/>
                      <w:divBdr>
                        <w:top w:val="none" w:sz="0" w:space="0" w:color="auto"/>
                        <w:left w:val="none" w:sz="0" w:space="0" w:color="auto"/>
                        <w:bottom w:val="none" w:sz="0" w:space="0" w:color="auto"/>
                        <w:right w:val="none" w:sz="0" w:space="0" w:color="auto"/>
                      </w:divBdr>
                    </w:div>
                  </w:divsChild>
                </w:div>
                <w:div w:id="2121945479">
                  <w:marLeft w:val="0"/>
                  <w:marRight w:val="0"/>
                  <w:marTop w:val="0"/>
                  <w:marBottom w:val="0"/>
                  <w:divBdr>
                    <w:top w:val="none" w:sz="0" w:space="0" w:color="auto"/>
                    <w:left w:val="none" w:sz="0" w:space="0" w:color="auto"/>
                    <w:bottom w:val="none" w:sz="0" w:space="0" w:color="auto"/>
                    <w:right w:val="none" w:sz="0" w:space="0" w:color="auto"/>
                  </w:divBdr>
                  <w:divsChild>
                    <w:div w:id="17525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697552">
          <w:marLeft w:val="0"/>
          <w:marRight w:val="0"/>
          <w:marTop w:val="0"/>
          <w:marBottom w:val="0"/>
          <w:divBdr>
            <w:top w:val="none" w:sz="0" w:space="0" w:color="auto"/>
            <w:left w:val="none" w:sz="0" w:space="0" w:color="auto"/>
            <w:bottom w:val="none" w:sz="0" w:space="0" w:color="auto"/>
            <w:right w:val="none" w:sz="0" w:space="0" w:color="auto"/>
          </w:divBdr>
        </w:div>
        <w:div w:id="1303995979">
          <w:marLeft w:val="0"/>
          <w:marRight w:val="0"/>
          <w:marTop w:val="0"/>
          <w:marBottom w:val="0"/>
          <w:divBdr>
            <w:top w:val="none" w:sz="0" w:space="0" w:color="auto"/>
            <w:left w:val="none" w:sz="0" w:space="0" w:color="auto"/>
            <w:bottom w:val="none" w:sz="0" w:space="0" w:color="auto"/>
            <w:right w:val="none" w:sz="0" w:space="0" w:color="auto"/>
          </w:divBdr>
          <w:divsChild>
            <w:div w:id="812792381">
              <w:marLeft w:val="-75"/>
              <w:marRight w:val="0"/>
              <w:marTop w:val="30"/>
              <w:marBottom w:val="30"/>
              <w:divBdr>
                <w:top w:val="none" w:sz="0" w:space="0" w:color="auto"/>
                <w:left w:val="none" w:sz="0" w:space="0" w:color="auto"/>
                <w:bottom w:val="none" w:sz="0" w:space="0" w:color="auto"/>
                <w:right w:val="none" w:sz="0" w:space="0" w:color="auto"/>
              </w:divBdr>
              <w:divsChild>
                <w:div w:id="22051810">
                  <w:marLeft w:val="0"/>
                  <w:marRight w:val="0"/>
                  <w:marTop w:val="0"/>
                  <w:marBottom w:val="0"/>
                  <w:divBdr>
                    <w:top w:val="none" w:sz="0" w:space="0" w:color="auto"/>
                    <w:left w:val="none" w:sz="0" w:space="0" w:color="auto"/>
                    <w:bottom w:val="none" w:sz="0" w:space="0" w:color="auto"/>
                    <w:right w:val="none" w:sz="0" w:space="0" w:color="auto"/>
                  </w:divBdr>
                  <w:divsChild>
                    <w:div w:id="1891381348">
                      <w:marLeft w:val="0"/>
                      <w:marRight w:val="0"/>
                      <w:marTop w:val="0"/>
                      <w:marBottom w:val="0"/>
                      <w:divBdr>
                        <w:top w:val="none" w:sz="0" w:space="0" w:color="auto"/>
                        <w:left w:val="none" w:sz="0" w:space="0" w:color="auto"/>
                        <w:bottom w:val="none" w:sz="0" w:space="0" w:color="auto"/>
                        <w:right w:val="none" w:sz="0" w:space="0" w:color="auto"/>
                      </w:divBdr>
                    </w:div>
                  </w:divsChild>
                </w:div>
                <w:div w:id="29957067">
                  <w:marLeft w:val="0"/>
                  <w:marRight w:val="0"/>
                  <w:marTop w:val="0"/>
                  <w:marBottom w:val="0"/>
                  <w:divBdr>
                    <w:top w:val="none" w:sz="0" w:space="0" w:color="auto"/>
                    <w:left w:val="none" w:sz="0" w:space="0" w:color="auto"/>
                    <w:bottom w:val="none" w:sz="0" w:space="0" w:color="auto"/>
                    <w:right w:val="none" w:sz="0" w:space="0" w:color="auto"/>
                  </w:divBdr>
                  <w:divsChild>
                    <w:div w:id="1948730803">
                      <w:marLeft w:val="0"/>
                      <w:marRight w:val="0"/>
                      <w:marTop w:val="0"/>
                      <w:marBottom w:val="0"/>
                      <w:divBdr>
                        <w:top w:val="none" w:sz="0" w:space="0" w:color="auto"/>
                        <w:left w:val="none" w:sz="0" w:space="0" w:color="auto"/>
                        <w:bottom w:val="none" w:sz="0" w:space="0" w:color="auto"/>
                        <w:right w:val="none" w:sz="0" w:space="0" w:color="auto"/>
                      </w:divBdr>
                    </w:div>
                  </w:divsChild>
                </w:div>
                <w:div w:id="138815303">
                  <w:marLeft w:val="0"/>
                  <w:marRight w:val="0"/>
                  <w:marTop w:val="0"/>
                  <w:marBottom w:val="0"/>
                  <w:divBdr>
                    <w:top w:val="none" w:sz="0" w:space="0" w:color="auto"/>
                    <w:left w:val="none" w:sz="0" w:space="0" w:color="auto"/>
                    <w:bottom w:val="none" w:sz="0" w:space="0" w:color="auto"/>
                    <w:right w:val="none" w:sz="0" w:space="0" w:color="auto"/>
                  </w:divBdr>
                  <w:divsChild>
                    <w:div w:id="930773754">
                      <w:marLeft w:val="0"/>
                      <w:marRight w:val="0"/>
                      <w:marTop w:val="0"/>
                      <w:marBottom w:val="0"/>
                      <w:divBdr>
                        <w:top w:val="none" w:sz="0" w:space="0" w:color="auto"/>
                        <w:left w:val="none" w:sz="0" w:space="0" w:color="auto"/>
                        <w:bottom w:val="none" w:sz="0" w:space="0" w:color="auto"/>
                        <w:right w:val="none" w:sz="0" w:space="0" w:color="auto"/>
                      </w:divBdr>
                    </w:div>
                  </w:divsChild>
                </w:div>
                <w:div w:id="149101150">
                  <w:marLeft w:val="0"/>
                  <w:marRight w:val="0"/>
                  <w:marTop w:val="0"/>
                  <w:marBottom w:val="0"/>
                  <w:divBdr>
                    <w:top w:val="none" w:sz="0" w:space="0" w:color="auto"/>
                    <w:left w:val="none" w:sz="0" w:space="0" w:color="auto"/>
                    <w:bottom w:val="none" w:sz="0" w:space="0" w:color="auto"/>
                    <w:right w:val="none" w:sz="0" w:space="0" w:color="auto"/>
                  </w:divBdr>
                  <w:divsChild>
                    <w:div w:id="1423647703">
                      <w:marLeft w:val="0"/>
                      <w:marRight w:val="0"/>
                      <w:marTop w:val="0"/>
                      <w:marBottom w:val="0"/>
                      <w:divBdr>
                        <w:top w:val="none" w:sz="0" w:space="0" w:color="auto"/>
                        <w:left w:val="none" w:sz="0" w:space="0" w:color="auto"/>
                        <w:bottom w:val="none" w:sz="0" w:space="0" w:color="auto"/>
                        <w:right w:val="none" w:sz="0" w:space="0" w:color="auto"/>
                      </w:divBdr>
                    </w:div>
                  </w:divsChild>
                </w:div>
                <w:div w:id="179929023">
                  <w:marLeft w:val="0"/>
                  <w:marRight w:val="0"/>
                  <w:marTop w:val="0"/>
                  <w:marBottom w:val="0"/>
                  <w:divBdr>
                    <w:top w:val="none" w:sz="0" w:space="0" w:color="auto"/>
                    <w:left w:val="none" w:sz="0" w:space="0" w:color="auto"/>
                    <w:bottom w:val="none" w:sz="0" w:space="0" w:color="auto"/>
                    <w:right w:val="none" w:sz="0" w:space="0" w:color="auto"/>
                  </w:divBdr>
                  <w:divsChild>
                    <w:div w:id="1100488816">
                      <w:marLeft w:val="0"/>
                      <w:marRight w:val="0"/>
                      <w:marTop w:val="0"/>
                      <w:marBottom w:val="0"/>
                      <w:divBdr>
                        <w:top w:val="none" w:sz="0" w:space="0" w:color="auto"/>
                        <w:left w:val="none" w:sz="0" w:space="0" w:color="auto"/>
                        <w:bottom w:val="none" w:sz="0" w:space="0" w:color="auto"/>
                        <w:right w:val="none" w:sz="0" w:space="0" w:color="auto"/>
                      </w:divBdr>
                    </w:div>
                  </w:divsChild>
                </w:div>
                <w:div w:id="204485838">
                  <w:marLeft w:val="0"/>
                  <w:marRight w:val="0"/>
                  <w:marTop w:val="0"/>
                  <w:marBottom w:val="0"/>
                  <w:divBdr>
                    <w:top w:val="none" w:sz="0" w:space="0" w:color="auto"/>
                    <w:left w:val="none" w:sz="0" w:space="0" w:color="auto"/>
                    <w:bottom w:val="none" w:sz="0" w:space="0" w:color="auto"/>
                    <w:right w:val="none" w:sz="0" w:space="0" w:color="auto"/>
                  </w:divBdr>
                  <w:divsChild>
                    <w:div w:id="1164079683">
                      <w:marLeft w:val="0"/>
                      <w:marRight w:val="0"/>
                      <w:marTop w:val="0"/>
                      <w:marBottom w:val="0"/>
                      <w:divBdr>
                        <w:top w:val="none" w:sz="0" w:space="0" w:color="auto"/>
                        <w:left w:val="none" w:sz="0" w:space="0" w:color="auto"/>
                        <w:bottom w:val="none" w:sz="0" w:space="0" w:color="auto"/>
                        <w:right w:val="none" w:sz="0" w:space="0" w:color="auto"/>
                      </w:divBdr>
                    </w:div>
                  </w:divsChild>
                </w:div>
                <w:div w:id="241182049">
                  <w:marLeft w:val="0"/>
                  <w:marRight w:val="0"/>
                  <w:marTop w:val="0"/>
                  <w:marBottom w:val="0"/>
                  <w:divBdr>
                    <w:top w:val="none" w:sz="0" w:space="0" w:color="auto"/>
                    <w:left w:val="none" w:sz="0" w:space="0" w:color="auto"/>
                    <w:bottom w:val="none" w:sz="0" w:space="0" w:color="auto"/>
                    <w:right w:val="none" w:sz="0" w:space="0" w:color="auto"/>
                  </w:divBdr>
                  <w:divsChild>
                    <w:div w:id="1071923648">
                      <w:marLeft w:val="0"/>
                      <w:marRight w:val="0"/>
                      <w:marTop w:val="0"/>
                      <w:marBottom w:val="0"/>
                      <w:divBdr>
                        <w:top w:val="none" w:sz="0" w:space="0" w:color="auto"/>
                        <w:left w:val="none" w:sz="0" w:space="0" w:color="auto"/>
                        <w:bottom w:val="none" w:sz="0" w:space="0" w:color="auto"/>
                        <w:right w:val="none" w:sz="0" w:space="0" w:color="auto"/>
                      </w:divBdr>
                    </w:div>
                  </w:divsChild>
                </w:div>
                <w:div w:id="398330470">
                  <w:marLeft w:val="0"/>
                  <w:marRight w:val="0"/>
                  <w:marTop w:val="0"/>
                  <w:marBottom w:val="0"/>
                  <w:divBdr>
                    <w:top w:val="none" w:sz="0" w:space="0" w:color="auto"/>
                    <w:left w:val="none" w:sz="0" w:space="0" w:color="auto"/>
                    <w:bottom w:val="none" w:sz="0" w:space="0" w:color="auto"/>
                    <w:right w:val="none" w:sz="0" w:space="0" w:color="auto"/>
                  </w:divBdr>
                  <w:divsChild>
                    <w:div w:id="1708598795">
                      <w:marLeft w:val="0"/>
                      <w:marRight w:val="0"/>
                      <w:marTop w:val="0"/>
                      <w:marBottom w:val="0"/>
                      <w:divBdr>
                        <w:top w:val="none" w:sz="0" w:space="0" w:color="auto"/>
                        <w:left w:val="none" w:sz="0" w:space="0" w:color="auto"/>
                        <w:bottom w:val="none" w:sz="0" w:space="0" w:color="auto"/>
                        <w:right w:val="none" w:sz="0" w:space="0" w:color="auto"/>
                      </w:divBdr>
                    </w:div>
                  </w:divsChild>
                </w:div>
                <w:div w:id="457067751">
                  <w:marLeft w:val="0"/>
                  <w:marRight w:val="0"/>
                  <w:marTop w:val="0"/>
                  <w:marBottom w:val="0"/>
                  <w:divBdr>
                    <w:top w:val="none" w:sz="0" w:space="0" w:color="auto"/>
                    <w:left w:val="none" w:sz="0" w:space="0" w:color="auto"/>
                    <w:bottom w:val="none" w:sz="0" w:space="0" w:color="auto"/>
                    <w:right w:val="none" w:sz="0" w:space="0" w:color="auto"/>
                  </w:divBdr>
                  <w:divsChild>
                    <w:div w:id="1358968626">
                      <w:marLeft w:val="0"/>
                      <w:marRight w:val="0"/>
                      <w:marTop w:val="0"/>
                      <w:marBottom w:val="0"/>
                      <w:divBdr>
                        <w:top w:val="none" w:sz="0" w:space="0" w:color="auto"/>
                        <w:left w:val="none" w:sz="0" w:space="0" w:color="auto"/>
                        <w:bottom w:val="none" w:sz="0" w:space="0" w:color="auto"/>
                        <w:right w:val="none" w:sz="0" w:space="0" w:color="auto"/>
                      </w:divBdr>
                    </w:div>
                  </w:divsChild>
                </w:div>
                <w:div w:id="513493793">
                  <w:marLeft w:val="0"/>
                  <w:marRight w:val="0"/>
                  <w:marTop w:val="0"/>
                  <w:marBottom w:val="0"/>
                  <w:divBdr>
                    <w:top w:val="none" w:sz="0" w:space="0" w:color="auto"/>
                    <w:left w:val="none" w:sz="0" w:space="0" w:color="auto"/>
                    <w:bottom w:val="none" w:sz="0" w:space="0" w:color="auto"/>
                    <w:right w:val="none" w:sz="0" w:space="0" w:color="auto"/>
                  </w:divBdr>
                  <w:divsChild>
                    <w:div w:id="1869490396">
                      <w:marLeft w:val="0"/>
                      <w:marRight w:val="0"/>
                      <w:marTop w:val="0"/>
                      <w:marBottom w:val="0"/>
                      <w:divBdr>
                        <w:top w:val="none" w:sz="0" w:space="0" w:color="auto"/>
                        <w:left w:val="none" w:sz="0" w:space="0" w:color="auto"/>
                        <w:bottom w:val="none" w:sz="0" w:space="0" w:color="auto"/>
                        <w:right w:val="none" w:sz="0" w:space="0" w:color="auto"/>
                      </w:divBdr>
                    </w:div>
                  </w:divsChild>
                </w:div>
                <w:div w:id="552421825">
                  <w:marLeft w:val="0"/>
                  <w:marRight w:val="0"/>
                  <w:marTop w:val="0"/>
                  <w:marBottom w:val="0"/>
                  <w:divBdr>
                    <w:top w:val="none" w:sz="0" w:space="0" w:color="auto"/>
                    <w:left w:val="none" w:sz="0" w:space="0" w:color="auto"/>
                    <w:bottom w:val="none" w:sz="0" w:space="0" w:color="auto"/>
                    <w:right w:val="none" w:sz="0" w:space="0" w:color="auto"/>
                  </w:divBdr>
                  <w:divsChild>
                    <w:div w:id="1957786946">
                      <w:marLeft w:val="0"/>
                      <w:marRight w:val="0"/>
                      <w:marTop w:val="0"/>
                      <w:marBottom w:val="0"/>
                      <w:divBdr>
                        <w:top w:val="none" w:sz="0" w:space="0" w:color="auto"/>
                        <w:left w:val="none" w:sz="0" w:space="0" w:color="auto"/>
                        <w:bottom w:val="none" w:sz="0" w:space="0" w:color="auto"/>
                        <w:right w:val="none" w:sz="0" w:space="0" w:color="auto"/>
                      </w:divBdr>
                    </w:div>
                  </w:divsChild>
                </w:div>
                <w:div w:id="568803699">
                  <w:marLeft w:val="0"/>
                  <w:marRight w:val="0"/>
                  <w:marTop w:val="0"/>
                  <w:marBottom w:val="0"/>
                  <w:divBdr>
                    <w:top w:val="none" w:sz="0" w:space="0" w:color="auto"/>
                    <w:left w:val="none" w:sz="0" w:space="0" w:color="auto"/>
                    <w:bottom w:val="none" w:sz="0" w:space="0" w:color="auto"/>
                    <w:right w:val="none" w:sz="0" w:space="0" w:color="auto"/>
                  </w:divBdr>
                  <w:divsChild>
                    <w:div w:id="238515826">
                      <w:marLeft w:val="0"/>
                      <w:marRight w:val="0"/>
                      <w:marTop w:val="0"/>
                      <w:marBottom w:val="0"/>
                      <w:divBdr>
                        <w:top w:val="none" w:sz="0" w:space="0" w:color="auto"/>
                        <w:left w:val="none" w:sz="0" w:space="0" w:color="auto"/>
                        <w:bottom w:val="none" w:sz="0" w:space="0" w:color="auto"/>
                        <w:right w:val="none" w:sz="0" w:space="0" w:color="auto"/>
                      </w:divBdr>
                    </w:div>
                  </w:divsChild>
                </w:div>
                <w:div w:id="634869910">
                  <w:marLeft w:val="0"/>
                  <w:marRight w:val="0"/>
                  <w:marTop w:val="0"/>
                  <w:marBottom w:val="0"/>
                  <w:divBdr>
                    <w:top w:val="none" w:sz="0" w:space="0" w:color="auto"/>
                    <w:left w:val="none" w:sz="0" w:space="0" w:color="auto"/>
                    <w:bottom w:val="none" w:sz="0" w:space="0" w:color="auto"/>
                    <w:right w:val="none" w:sz="0" w:space="0" w:color="auto"/>
                  </w:divBdr>
                  <w:divsChild>
                    <w:div w:id="1655647072">
                      <w:marLeft w:val="0"/>
                      <w:marRight w:val="0"/>
                      <w:marTop w:val="0"/>
                      <w:marBottom w:val="0"/>
                      <w:divBdr>
                        <w:top w:val="none" w:sz="0" w:space="0" w:color="auto"/>
                        <w:left w:val="none" w:sz="0" w:space="0" w:color="auto"/>
                        <w:bottom w:val="none" w:sz="0" w:space="0" w:color="auto"/>
                        <w:right w:val="none" w:sz="0" w:space="0" w:color="auto"/>
                      </w:divBdr>
                    </w:div>
                  </w:divsChild>
                </w:div>
                <w:div w:id="639307363">
                  <w:marLeft w:val="0"/>
                  <w:marRight w:val="0"/>
                  <w:marTop w:val="0"/>
                  <w:marBottom w:val="0"/>
                  <w:divBdr>
                    <w:top w:val="none" w:sz="0" w:space="0" w:color="auto"/>
                    <w:left w:val="none" w:sz="0" w:space="0" w:color="auto"/>
                    <w:bottom w:val="none" w:sz="0" w:space="0" w:color="auto"/>
                    <w:right w:val="none" w:sz="0" w:space="0" w:color="auto"/>
                  </w:divBdr>
                  <w:divsChild>
                    <w:div w:id="392237902">
                      <w:marLeft w:val="0"/>
                      <w:marRight w:val="0"/>
                      <w:marTop w:val="0"/>
                      <w:marBottom w:val="0"/>
                      <w:divBdr>
                        <w:top w:val="none" w:sz="0" w:space="0" w:color="auto"/>
                        <w:left w:val="none" w:sz="0" w:space="0" w:color="auto"/>
                        <w:bottom w:val="none" w:sz="0" w:space="0" w:color="auto"/>
                        <w:right w:val="none" w:sz="0" w:space="0" w:color="auto"/>
                      </w:divBdr>
                    </w:div>
                  </w:divsChild>
                </w:div>
                <w:div w:id="644774814">
                  <w:marLeft w:val="0"/>
                  <w:marRight w:val="0"/>
                  <w:marTop w:val="0"/>
                  <w:marBottom w:val="0"/>
                  <w:divBdr>
                    <w:top w:val="none" w:sz="0" w:space="0" w:color="auto"/>
                    <w:left w:val="none" w:sz="0" w:space="0" w:color="auto"/>
                    <w:bottom w:val="none" w:sz="0" w:space="0" w:color="auto"/>
                    <w:right w:val="none" w:sz="0" w:space="0" w:color="auto"/>
                  </w:divBdr>
                  <w:divsChild>
                    <w:div w:id="853154482">
                      <w:marLeft w:val="0"/>
                      <w:marRight w:val="0"/>
                      <w:marTop w:val="0"/>
                      <w:marBottom w:val="0"/>
                      <w:divBdr>
                        <w:top w:val="none" w:sz="0" w:space="0" w:color="auto"/>
                        <w:left w:val="none" w:sz="0" w:space="0" w:color="auto"/>
                        <w:bottom w:val="none" w:sz="0" w:space="0" w:color="auto"/>
                        <w:right w:val="none" w:sz="0" w:space="0" w:color="auto"/>
                      </w:divBdr>
                    </w:div>
                  </w:divsChild>
                </w:div>
                <w:div w:id="668754962">
                  <w:marLeft w:val="0"/>
                  <w:marRight w:val="0"/>
                  <w:marTop w:val="0"/>
                  <w:marBottom w:val="0"/>
                  <w:divBdr>
                    <w:top w:val="none" w:sz="0" w:space="0" w:color="auto"/>
                    <w:left w:val="none" w:sz="0" w:space="0" w:color="auto"/>
                    <w:bottom w:val="none" w:sz="0" w:space="0" w:color="auto"/>
                    <w:right w:val="none" w:sz="0" w:space="0" w:color="auto"/>
                  </w:divBdr>
                  <w:divsChild>
                    <w:div w:id="1718361047">
                      <w:marLeft w:val="0"/>
                      <w:marRight w:val="0"/>
                      <w:marTop w:val="0"/>
                      <w:marBottom w:val="0"/>
                      <w:divBdr>
                        <w:top w:val="none" w:sz="0" w:space="0" w:color="auto"/>
                        <w:left w:val="none" w:sz="0" w:space="0" w:color="auto"/>
                        <w:bottom w:val="none" w:sz="0" w:space="0" w:color="auto"/>
                        <w:right w:val="none" w:sz="0" w:space="0" w:color="auto"/>
                      </w:divBdr>
                    </w:div>
                  </w:divsChild>
                </w:div>
                <w:div w:id="687682732">
                  <w:marLeft w:val="0"/>
                  <w:marRight w:val="0"/>
                  <w:marTop w:val="0"/>
                  <w:marBottom w:val="0"/>
                  <w:divBdr>
                    <w:top w:val="none" w:sz="0" w:space="0" w:color="auto"/>
                    <w:left w:val="none" w:sz="0" w:space="0" w:color="auto"/>
                    <w:bottom w:val="none" w:sz="0" w:space="0" w:color="auto"/>
                    <w:right w:val="none" w:sz="0" w:space="0" w:color="auto"/>
                  </w:divBdr>
                  <w:divsChild>
                    <w:div w:id="958412975">
                      <w:marLeft w:val="0"/>
                      <w:marRight w:val="0"/>
                      <w:marTop w:val="0"/>
                      <w:marBottom w:val="0"/>
                      <w:divBdr>
                        <w:top w:val="none" w:sz="0" w:space="0" w:color="auto"/>
                        <w:left w:val="none" w:sz="0" w:space="0" w:color="auto"/>
                        <w:bottom w:val="none" w:sz="0" w:space="0" w:color="auto"/>
                        <w:right w:val="none" w:sz="0" w:space="0" w:color="auto"/>
                      </w:divBdr>
                    </w:div>
                  </w:divsChild>
                </w:div>
                <w:div w:id="757366402">
                  <w:marLeft w:val="0"/>
                  <w:marRight w:val="0"/>
                  <w:marTop w:val="0"/>
                  <w:marBottom w:val="0"/>
                  <w:divBdr>
                    <w:top w:val="none" w:sz="0" w:space="0" w:color="auto"/>
                    <w:left w:val="none" w:sz="0" w:space="0" w:color="auto"/>
                    <w:bottom w:val="none" w:sz="0" w:space="0" w:color="auto"/>
                    <w:right w:val="none" w:sz="0" w:space="0" w:color="auto"/>
                  </w:divBdr>
                  <w:divsChild>
                    <w:div w:id="1697997782">
                      <w:marLeft w:val="0"/>
                      <w:marRight w:val="0"/>
                      <w:marTop w:val="0"/>
                      <w:marBottom w:val="0"/>
                      <w:divBdr>
                        <w:top w:val="none" w:sz="0" w:space="0" w:color="auto"/>
                        <w:left w:val="none" w:sz="0" w:space="0" w:color="auto"/>
                        <w:bottom w:val="none" w:sz="0" w:space="0" w:color="auto"/>
                        <w:right w:val="none" w:sz="0" w:space="0" w:color="auto"/>
                      </w:divBdr>
                    </w:div>
                  </w:divsChild>
                </w:div>
                <w:div w:id="853149824">
                  <w:marLeft w:val="0"/>
                  <w:marRight w:val="0"/>
                  <w:marTop w:val="0"/>
                  <w:marBottom w:val="0"/>
                  <w:divBdr>
                    <w:top w:val="none" w:sz="0" w:space="0" w:color="auto"/>
                    <w:left w:val="none" w:sz="0" w:space="0" w:color="auto"/>
                    <w:bottom w:val="none" w:sz="0" w:space="0" w:color="auto"/>
                    <w:right w:val="none" w:sz="0" w:space="0" w:color="auto"/>
                  </w:divBdr>
                  <w:divsChild>
                    <w:div w:id="818545195">
                      <w:marLeft w:val="0"/>
                      <w:marRight w:val="0"/>
                      <w:marTop w:val="0"/>
                      <w:marBottom w:val="0"/>
                      <w:divBdr>
                        <w:top w:val="none" w:sz="0" w:space="0" w:color="auto"/>
                        <w:left w:val="none" w:sz="0" w:space="0" w:color="auto"/>
                        <w:bottom w:val="none" w:sz="0" w:space="0" w:color="auto"/>
                        <w:right w:val="none" w:sz="0" w:space="0" w:color="auto"/>
                      </w:divBdr>
                    </w:div>
                  </w:divsChild>
                </w:div>
                <w:div w:id="1043941136">
                  <w:marLeft w:val="0"/>
                  <w:marRight w:val="0"/>
                  <w:marTop w:val="0"/>
                  <w:marBottom w:val="0"/>
                  <w:divBdr>
                    <w:top w:val="none" w:sz="0" w:space="0" w:color="auto"/>
                    <w:left w:val="none" w:sz="0" w:space="0" w:color="auto"/>
                    <w:bottom w:val="none" w:sz="0" w:space="0" w:color="auto"/>
                    <w:right w:val="none" w:sz="0" w:space="0" w:color="auto"/>
                  </w:divBdr>
                  <w:divsChild>
                    <w:div w:id="1462307048">
                      <w:marLeft w:val="0"/>
                      <w:marRight w:val="0"/>
                      <w:marTop w:val="0"/>
                      <w:marBottom w:val="0"/>
                      <w:divBdr>
                        <w:top w:val="none" w:sz="0" w:space="0" w:color="auto"/>
                        <w:left w:val="none" w:sz="0" w:space="0" w:color="auto"/>
                        <w:bottom w:val="none" w:sz="0" w:space="0" w:color="auto"/>
                        <w:right w:val="none" w:sz="0" w:space="0" w:color="auto"/>
                      </w:divBdr>
                    </w:div>
                  </w:divsChild>
                </w:div>
                <w:div w:id="1053893193">
                  <w:marLeft w:val="0"/>
                  <w:marRight w:val="0"/>
                  <w:marTop w:val="0"/>
                  <w:marBottom w:val="0"/>
                  <w:divBdr>
                    <w:top w:val="none" w:sz="0" w:space="0" w:color="auto"/>
                    <w:left w:val="none" w:sz="0" w:space="0" w:color="auto"/>
                    <w:bottom w:val="none" w:sz="0" w:space="0" w:color="auto"/>
                    <w:right w:val="none" w:sz="0" w:space="0" w:color="auto"/>
                  </w:divBdr>
                  <w:divsChild>
                    <w:div w:id="1417049054">
                      <w:marLeft w:val="0"/>
                      <w:marRight w:val="0"/>
                      <w:marTop w:val="0"/>
                      <w:marBottom w:val="0"/>
                      <w:divBdr>
                        <w:top w:val="none" w:sz="0" w:space="0" w:color="auto"/>
                        <w:left w:val="none" w:sz="0" w:space="0" w:color="auto"/>
                        <w:bottom w:val="none" w:sz="0" w:space="0" w:color="auto"/>
                        <w:right w:val="none" w:sz="0" w:space="0" w:color="auto"/>
                      </w:divBdr>
                    </w:div>
                  </w:divsChild>
                </w:div>
                <w:div w:id="1124347168">
                  <w:marLeft w:val="0"/>
                  <w:marRight w:val="0"/>
                  <w:marTop w:val="0"/>
                  <w:marBottom w:val="0"/>
                  <w:divBdr>
                    <w:top w:val="none" w:sz="0" w:space="0" w:color="auto"/>
                    <w:left w:val="none" w:sz="0" w:space="0" w:color="auto"/>
                    <w:bottom w:val="none" w:sz="0" w:space="0" w:color="auto"/>
                    <w:right w:val="none" w:sz="0" w:space="0" w:color="auto"/>
                  </w:divBdr>
                  <w:divsChild>
                    <w:div w:id="411045871">
                      <w:marLeft w:val="0"/>
                      <w:marRight w:val="0"/>
                      <w:marTop w:val="0"/>
                      <w:marBottom w:val="0"/>
                      <w:divBdr>
                        <w:top w:val="none" w:sz="0" w:space="0" w:color="auto"/>
                        <w:left w:val="none" w:sz="0" w:space="0" w:color="auto"/>
                        <w:bottom w:val="none" w:sz="0" w:space="0" w:color="auto"/>
                        <w:right w:val="none" w:sz="0" w:space="0" w:color="auto"/>
                      </w:divBdr>
                    </w:div>
                  </w:divsChild>
                </w:div>
                <w:div w:id="1409957301">
                  <w:marLeft w:val="0"/>
                  <w:marRight w:val="0"/>
                  <w:marTop w:val="0"/>
                  <w:marBottom w:val="0"/>
                  <w:divBdr>
                    <w:top w:val="none" w:sz="0" w:space="0" w:color="auto"/>
                    <w:left w:val="none" w:sz="0" w:space="0" w:color="auto"/>
                    <w:bottom w:val="none" w:sz="0" w:space="0" w:color="auto"/>
                    <w:right w:val="none" w:sz="0" w:space="0" w:color="auto"/>
                  </w:divBdr>
                  <w:divsChild>
                    <w:div w:id="1824083702">
                      <w:marLeft w:val="0"/>
                      <w:marRight w:val="0"/>
                      <w:marTop w:val="0"/>
                      <w:marBottom w:val="0"/>
                      <w:divBdr>
                        <w:top w:val="none" w:sz="0" w:space="0" w:color="auto"/>
                        <w:left w:val="none" w:sz="0" w:space="0" w:color="auto"/>
                        <w:bottom w:val="none" w:sz="0" w:space="0" w:color="auto"/>
                        <w:right w:val="none" w:sz="0" w:space="0" w:color="auto"/>
                      </w:divBdr>
                    </w:div>
                  </w:divsChild>
                </w:div>
                <w:div w:id="1430194249">
                  <w:marLeft w:val="0"/>
                  <w:marRight w:val="0"/>
                  <w:marTop w:val="0"/>
                  <w:marBottom w:val="0"/>
                  <w:divBdr>
                    <w:top w:val="none" w:sz="0" w:space="0" w:color="auto"/>
                    <w:left w:val="none" w:sz="0" w:space="0" w:color="auto"/>
                    <w:bottom w:val="none" w:sz="0" w:space="0" w:color="auto"/>
                    <w:right w:val="none" w:sz="0" w:space="0" w:color="auto"/>
                  </w:divBdr>
                  <w:divsChild>
                    <w:div w:id="611665407">
                      <w:marLeft w:val="0"/>
                      <w:marRight w:val="0"/>
                      <w:marTop w:val="0"/>
                      <w:marBottom w:val="0"/>
                      <w:divBdr>
                        <w:top w:val="none" w:sz="0" w:space="0" w:color="auto"/>
                        <w:left w:val="none" w:sz="0" w:space="0" w:color="auto"/>
                        <w:bottom w:val="none" w:sz="0" w:space="0" w:color="auto"/>
                        <w:right w:val="none" w:sz="0" w:space="0" w:color="auto"/>
                      </w:divBdr>
                    </w:div>
                  </w:divsChild>
                </w:div>
                <w:div w:id="1447768978">
                  <w:marLeft w:val="0"/>
                  <w:marRight w:val="0"/>
                  <w:marTop w:val="0"/>
                  <w:marBottom w:val="0"/>
                  <w:divBdr>
                    <w:top w:val="none" w:sz="0" w:space="0" w:color="auto"/>
                    <w:left w:val="none" w:sz="0" w:space="0" w:color="auto"/>
                    <w:bottom w:val="none" w:sz="0" w:space="0" w:color="auto"/>
                    <w:right w:val="none" w:sz="0" w:space="0" w:color="auto"/>
                  </w:divBdr>
                  <w:divsChild>
                    <w:div w:id="474107001">
                      <w:marLeft w:val="0"/>
                      <w:marRight w:val="0"/>
                      <w:marTop w:val="0"/>
                      <w:marBottom w:val="0"/>
                      <w:divBdr>
                        <w:top w:val="none" w:sz="0" w:space="0" w:color="auto"/>
                        <w:left w:val="none" w:sz="0" w:space="0" w:color="auto"/>
                        <w:bottom w:val="none" w:sz="0" w:space="0" w:color="auto"/>
                        <w:right w:val="none" w:sz="0" w:space="0" w:color="auto"/>
                      </w:divBdr>
                    </w:div>
                  </w:divsChild>
                </w:div>
                <w:div w:id="1487092929">
                  <w:marLeft w:val="0"/>
                  <w:marRight w:val="0"/>
                  <w:marTop w:val="0"/>
                  <w:marBottom w:val="0"/>
                  <w:divBdr>
                    <w:top w:val="none" w:sz="0" w:space="0" w:color="auto"/>
                    <w:left w:val="none" w:sz="0" w:space="0" w:color="auto"/>
                    <w:bottom w:val="none" w:sz="0" w:space="0" w:color="auto"/>
                    <w:right w:val="none" w:sz="0" w:space="0" w:color="auto"/>
                  </w:divBdr>
                  <w:divsChild>
                    <w:div w:id="325520173">
                      <w:marLeft w:val="0"/>
                      <w:marRight w:val="0"/>
                      <w:marTop w:val="0"/>
                      <w:marBottom w:val="0"/>
                      <w:divBdr>
                        <w:top w:val="none" w:sz="0" w:space="0" w:color="auto"/>
                        <w:left w:val="none" w:sz="0" w:space="0" w:color="auto"/>
                        <w:bottom w:val="none" w:sz="0" w:space="0" w:color="auto"/>
                        <w:right w:val="none" w:sz="0" w:space="0" w:color="auto"/>
                      </w:divBdr>
                    </w:div>
                  </w:divsChild>
                </w:div>
                <w:div w:id="1531261792">
                  <w:marLeft w:val="0"/>
                  <w:marRight w:val="0"/>
                  <w:marTop w:val="0"/>
                  <w:marBottom w:val="0"/>
                  <w:divBdr>
                    <w:top w:val="none" w:sz="0" w:space="0" w:color="auto"/>
                    <w:left w:val="none" w:sz="0" w:space="0" w:color="auto"/>
                    <w:bottom w:val="none" w:sz="0" w:space="0" w:color="auto"/>
                    <w:right w:val="none" w:sz="0" w:space="0" w:color="auto"/>
                  </w:divBdr>
                  <w:divsChild>
                    <w:div w:id="1730379180">
                      <w:marLeft w:val="0"/>
                      <w:marRight w:val="0"/>
                      <w:marTop w:val="0"/>
                      <w:marBottom w:val="0"/>
                      <w:divBdr>
                        <w:top w:val="none" w:sz="0" w:space="0" w:color="auto"/>
                        <w:left w:val="none" w:sz="0" w:space="0" w:color="auto"/>
                        <w:bottom w:val="none" w:sz="0" w:space="0" w:color="auto"/>
                        <w:right w:val="none" w:sz="0" w:space="0" w:color="auto"/>
                      </w:divBdr>
                    </w:div>
                  </w:divsChild>
                </w:div>
                <w:div w:id="1583635467">
                  <w:marLeft w:val="0"/>
                  <w:marRight w:val="0"/>
                  <w:marTop w:val="0"/>
                  <w:marBottom w:val="0"/>
                  <w:divBdr>
                    <w:top w:val="none" w:sz="0" w:space="0" w:color="auto"/>
                    <w:left w:val="none" w:sz="0" w:space="0" w:color="auto"/>
                    <w:bottom w:val="none" w:sz="0" w:space="0" w:color="auto"/>
                    <w:right w:val="none" w:sz="0" w:space="0" w:color="auto"/>
                  </w:divBdr>
                  <w:divsChild>
                    <w:div w:id="1375499381">
                      <w:marLeft w:val="0"/>
                      <w:marRight w:val="0"/>
                      <w:marTop w:val="0"/>
                      <w:marBottom w:val="0"/>
                      <w:divBdr>
                        <w:top w:val="none" w:sz="0" w:space="0" w:color="auto"/>
                        <w:left w:val="none" w:sz="0" w:space="0" w:color="auto"/>
                        <w:bottom w:val="none" w:sz="0" w:space="0" w:color="auto"/>
                        <w:right w:val="none" w:sz="0" w:space="0" w:color="auto"/>
                      </w:divBdr>
                    </w:div>
                  </w:divsChild>
                </w:div>
                <w:div w:id="1743018805">
                  <w:marLeft w:val="0"/>
                  <w:marRight w:val="0"/>
                  <w:marTop w:val="0"/>
                  <w:marBottom w:val="0"/>
                  <w:divBdr>
                    <w:top w:val="none" w:sz="0" w:space="0" w:color="auto"/>
                    <w:left w:val="none" w:sz="0" w:space="0" w:color="auto"/>
                    <w:bottom w:val="none" w:sz="0" w:space="0" w:color="auto"/>
                    <w:right w:val="none" w:sz="0" w:space="0" w:color="auto"/>
                  </w:divBdr>
                  <w:divsChild>
                    <w:div w:id="834108585">
                      <w:marLeft w:val="0"/>
                      <w:marRight w:val="0"/>
                      <w:marTop w:val="0"/>
                      <w:marBottom w:val="0"/>
                      <w:divBdr>
                        <w:top w:val="none" w:sz="0" w:space="0" w:color="auto"/>
                        <w:left w:val="none" w:sz="0" w:space="0" w:color="auto"/>
                        <w:bottom w:val="none" w:sz="0" w:space="0" w:color="auto"/>
                        <w:right w:val="none" w:sz="0" w:space="0" w:color="auto"/>
                      </w:divBdr>
                    </w:div>
                    <w:div w:id="2070617226">
                      <w:marLeft w:val="0"/>
                      <w:marRight w:val="0"/>
                      <w:marTop w:val="0"/>
                      <w:marBottom w:val="0"/>
                      <w:divBdr>
                        <w:top w:val="none" w:sz="0" w:space="0" w:color="auto"/>
                        <w:left w:val="none" w:sz="0" w:space="0" w:color="auto"/>
                        <w:bottom w:val="none" w:sz="0" w:space="0" w:color="auto"/>
                        <w:right w:val="none" w:sz="0" w:space="0" w:color="auto"/>
                      </w:divBdr>
                    </w:div>
                  </w:divsChild>
                </w:div>
                <w:div w:id="1776711242">
                  <w:marLeft w:val="0"/>
                  <w:marRight w:val="0"/>
                  <w:marTop w:val="0"/>
                  <w:marBottom w:val="0"/>
                  <w:divBdr>
                    <w:top w:val="none" w:sz="0" w:space="0" w:color="auto"/>
                    <w:left w:val="none" w:sz="0" w:space="0" w:color="auto"/>
                    <w:bottom w:val="none" w:sz="0" w:space="0" w:color="auto"/>
                    <w:right w:val="none" w:sz="0" w:space="0" w:color="auto"/>
                  </w:divBdr>
                  <w:divsChild>
                    <w:div w:id="1382825681">
                      <w:marLeft w:val="0"/>
                      <w:marRight w:val="0"/>
                      <w:marTop w:val="0"/>
                      <w:marBottom w:val="0"/>
                      <w:divBdr>
                        <w:top w:val="none" w:sz="0" w:space="0" w:color="auto"/>
                        <w:left w:val="none" w:sz="0" w:space="0" w:color="auto"/>
                        <w:bottom w:val="none" w:sz="0" w:space="0" w:color="auto"/>
                        <w:right w:val="none" w:sz="0" w:space="0" w:color="auto"/>
                      </w:divBdr>
                    </w:div>
                  </w:divsChild>
                </w:div>
                <w:div w:id="1907759772">
                  <w:marLeft w:val="0"/>
                  <w:marRight w:val="0"/>
                  <w:marTop w:val="0"/>
                  <w:marBottom w:val="0"/>
                  <w:divBdr>
                    <w:top w:val="none" w:sz="0" w:space="0" w:color="auto"/>
                    <w:left w:val="none" w:sz="0" w:space="0" w:color="auto"/>
                    <w:bottom w:val="none" w:sz="0" w:space="0" w:color="auto"/>
                    <w:right w:val="none" w:sz="0" w:space="0" w:color="auto"/>
                  </w:divBdr>
                  <w:divsChild>
                    <w:div w:id="310444916">
                      <w:marLeft w:val="0"/>
                      <w:marRight w:val="0"/>
                      <w:marTop w:val="0"/>
                      <w:marBottom w:val="0"/>
                      <w:divBdr>
                        <w:top w:val="none" w:sz="0" w:space="0" w:color="auto"/>
                        <w:left w:val="none" w:sz="0" w:space="0" w:color="auto"/>
                        <w:bottom w:val="none" w:sz="0" w:space="0" w:color="auto"/>
                        <w:right w:val="none" w:sz="0" w:space="0" w:color="auto"/>
                      </w:divBdr>
                    </w:div>
                  </w:divsChild>
                </w:div>
                <w:div w:id="1968974066">
                  <w:marLeft w:val="0"/>
                  <w:marRight w:val="0"/>
                  <w:marTop w:val="0"/>
                  <w:marBottom w:val="0"/>
                  <w:divBdr>
                    <w:top w:val="none" w:sz="0" w:space="0" w:color="auto"/>
                    <w:left w:val="none" w:sz="0" w:space="0" w:color="auto"/>
                    <w:bottom w:val="none" w:sz="0" w:space="0" w:color="auto"/>
                    <w:right w:val="none" w:sz="0" w:space="0" w:color="auto"/>
                  </w:divBdr>
                  <w:divsChild>
                    <w:div w:id="13950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457728">
          <w:marLeft w:val="0"/>
          <w:marRight w:val="0"/>
          <w:marTop w:val="0"/>
          <w:marBottom w:val="0"/>
          <w:divBdr>
            <w:top w:val="none" w:sz="0" w:space="0" w:color="auto"/>
            <w:left w:val="none" w:sz="0" w:space="0" w:color="auto"/>
            <w:bottom w:val="none" w:sz="0" w:space="0" w:color="auto"/>
            <w:right w:val="none" w:sz="0" w:space="0" w:color="auto"/>
          </w:divBdr>
          <w:divsChild>
            <w:div w:id="108361462">
              <w:marLeft w:val="0"/>
              <w:marRight w:val="0"/>
              <w:marTop w:val="0"/>
              <w:marBottom w:val="0"/>
              <w:divBdr>
                <w:top w:val="none" w:sz="0" w:space="0" w:color="auto"/>
                <w:left w:val="none" w:sz="0" w:space="0" w:color="auto"/>
                <w:bottom w:val="none" w:sz="0" w:space="0" w:color="auto"/>
                <w:right w:val="none" w:sz="0" w:space="0" w:color="auto"/>
              </w:divBdr>
            </w:div>
            <w:div w:id="362486264">
              <w:marLeft w:val="0"/>
              <w:marRight w:val="0"/>
              <w:marTop w:val="0"/>
              <w:marBottom w:val="0"/>
              <w:divBdr>
                <w:top w:val="none" w:sz="0" w:space="0" w:color="auto"/>
                <w:left w:val="none" w:sz="0" w:space="0" w:color="auto"/>
                <w:bottom w:val="none" w:sz="0" w:space="0" w:color="auto"/>
                <w:right w:val="none" w:sz="0" w:space="0" w:color="auto"/>
              </w:divBdr>
            </w:div>
            <w:div w:id="577905185">
              <w:marLeft w:val="0"/>
              <w:marRight w:val="0"/>
              <w:marTop w:val="0"/>
              <w:marBottom w:val="0"/>
              <w:divBdr>
                <w:top w:val="none" w:sz="0" w:space="0" w:color="auto"/>
                <w:left w:val="none" w:sz="0" w:space="0" w:color="auto"/>
                <w:bottom w:val="none" w:sz="0" w:space="0" w:color="auto"/>
                <w:right w:val="none" w:sz="0" w:space="0" w:color="auto"/>
              </w:divBdr>
            </w:div>
            <w:div w:id="619650511">
              <w:marLeft w:val="0"/>
              <w:marRight w:val="0"/>
              <w:marTop w:val="0"/>
              <w:marBottom w:val="0"/>
              <w:divBdr>
                <w:top w:val="none" w:sz="0" w:space="0" w:color="auto"/>
                <w:left w:val="none" w:sz="0" w:space="0" w:color="auto"/>
                <w:bottom w:val="none" w:sz="0" w:space="0" w:color="auto"/>
                <w:right w:val="none" w:sz="0" w:space="0" w:color="auto"/>
              </w:divBdr>
            </w:div>
            <w:div w:id="665284275">
              <w:marLeft w:val="0"/>
              <w:marRight w:val="0"/>
              <w:marTop w:val="0"/>
              <w:marBottom w:val="0"/>
              <w:divBdr>
                <w:top w:val="none" w:sz="0" w:space="0" w:color="auto"/>
                <w:left w:val="none" w:sz="0" w:space="0" w:color="auto"/>
                <w:bottom w:val="none" w:sz="0" w:space="0" w:color="auto"/>
                <w:right w:val="none" w:sz="0" w:space="0" w:color="auto"/>
              </w:divBdr>
            </w:div>
            <w:div w:id="855728832">
              <w:marLeft w:val="0"/>
              <w:marRight w:val="0"/>
              <w:marTop w:val="0"/>
              <w:marBottom w:val="0"/>
              <w:divBdr>
                <w:top w:val="none" w:sz="0" w:space="0" w:color="auto"/>
                <w:left w:val="none" w:sz="0" w:space="0" w:color="auto"/>
                <w:bottom w:val="none" w:sz="0" w:space="0" w:color="auto"/>
                <w:right w:val="none" w:sz="0" w:space="0" w:color="auto"/>
              </w:divBdr>
            </w:div>
            <w:div w:id="872353318">
              <w:marLeft w:val="0"/>
              <w:marRight w:val="0"/>
              <w:marTop w:val="0"/>
              <w:marBottom w:val="0"/>
              <w:divBdr>
                <w:top w:val="none" w:sz="0" w:space="0" w:color="auto"/>
                <w:left w:val="none" w:sz="0" w:space="0" w:color="auto"/>
                <w:bottom w:val="none" w:sz="0" w:space="0" w:color="auto"/>
                <w:right w:val="none" w:sz="0" w:space="0" w:color="auto"/>
              </w:divBdr>
            </w:div>
            <w:div w:id="1295328892">
              <w:marLeft w:val="0"/>
              <w:marRight w:val="0"/>
              <w:marTop w:val="0"/>
              <w:marBottom w:val="0"/>
              <w:divBdr>
                <w:top w:val="none" w:sz="0" w:space="0" w:color="auto"/>
                <w:left w:val="none" w:sz="0" w:space="0" w:color="auto"/>
                <w:bottom w:val="none" w:sz="0" w:space="0" w:color="auto"/>
                <w:right w:val="none" w:sz="0" w:space="0" w:color="auto"/>
              </w:divBdr>
            </w:div>
            <w:div w:id="1342977381">
              <w:marLeft w:val="0"/>
              <w:marRight w:val="0"/>
              <w:marTop w:val="0"/>
              <w:marBottom w:val="0"/>
              <w:divBdr>
                <w:top w:val="none" w:sz="0" w:space="0" w:color="auto"/>
                <w:left w:val="none" w:sz="0" w:space="0" w:color="auto"/>
                <w:bottom w:val="none" w:sz="0" w:space="0" w:color="auto"/>
                <w:right w:val="none" w:sz="0" w:space="0" w:color="auto"/>
              </w:divBdr>
            </w:div>
            <w:div w:id="1600990035">
              <w:marLeft w:val="0"/>
              <w:marRight w:val="0"/>
              <w:marTop w:val="0"/>
              <w:marBottom w:val="0"/>
              <w:divBdr>
                <w:top w:val="none" w:sz="0" w:space="0" w:color="auto"/>
                <w:left w:val="none" w:sz="0" w:space="0" w:color="auto"/>
                <w:bottom w:val="none" w:sz="0" w:space="0" w:color="auto"/>
                <w:right w:val="none" w:sz="0" w:space="0" w:color="auto"/>
              </w:divBdr>
            </w:div>
            <w:div w:id="1622804168">
              <w:marLeft w:val="0"/>
              <w:marRight w:val="0"/>
              <w:marTop w:val="0"/>
              <w:marBottom w:val="0"/>
              <w:divBdr>
                <w:top w:val="none" w:sz="0" w:space="0" w:color="auto"/>
                <w:left w:val="none" w:sz="0" w:space="0" w:color="auto"/>
                <w:bottom w:val="none" w:sz="0" w:space="0" w:color="auto"/>
                <w:right w:val="none" w:sz="0" w:space="0" w:color="auto"/>
              </w:divBdr>
            </w:div>
            <w:div w:id="1636643831">
              <w:marLeft w:val="0"/>
              <w:marRight w:val="0"/>
              <w:marTop w:val="0"/>
              <w:marBottom w:val="0"/>
              <w:divBdr>
                <w:top w:val="none" w:sz="0" w:space="0" w:color="auto"/>
                <w:left w:val="none" w:sz="0" w:space="0" w:color="auto"/>
                <w:bottom w:val="none" w:sz="0" w:space="0" w:color="auto"/>
                <w:right w:val="none" w:sz="0" w:space="0" w:color="auto"/>
              </w:divBdr>
            </w:div>
            <w:div w:id="1645309222">
              <w:marLeft w:val="0"/>
              <w:marRight w:val="0"/>
              <w:marTop w:val="0"/>
              <w:marBottom w:val="0"/>
              <w:divBdr>
                <w:top w:val="none" w:sz="0" w:space="0" w:color="auto"/>
                <w:left w:val="none" w:sz="0" w:space="0" w:color="auto"/>
                <w:bottom w:val="none" w:sz="0" w:space="0" w:color="auto"/>
                <w:right w:val="none" w:sz="0" w:space="0" w:color="auto"/>
              </w:divBdr>
            </w:div>
            <w:div w:id="1830754057">
              <w:marLeft w:val="0"/>
              <w:marRight w:val="0"/>
              <w:marTop w:val="0"/>
              <w:marBottom w:val="0"/>
              <w:divBdr>
                <w:top w:val="none" w:sz="0" w:space="0" w:color="auto"/>
                <w:left w:val="none" w:sz="0" w:space="0" w:color="auto"/>
                <w:bottom w:val="none" w:sz="0" w:space="0" w:color="auto"/>
                <w:right w:val="none" w:sz="0" w:space="0" w:color="auto"/>
              </w:divBdr>
            </w:div>
            <w:div w:id="2046439856">
              <w:marLeft w:val="0"/>
              <w:marRight w:val="0"/>
              <w:marTop w:val="0"/>
              <w:marBottom w:val="0"/>
              <w:divBdr>
                <w:top w:val="none" w:sz="0" w:space="0" w:color="auto"/>
                <w:left w:val="none" w:sz="0" w:space="0" w:color="auto"/>
                <w:bottom w:val="none" w:sz="0" w:space="0" w:color="auto"/>
                <w:right w:val="none" w:sz="0" w:space="0" w:color="auto"/>
              </w:divBdr>
            </w:div>
            <w:div w:id="2141028157">
              <w:marLeft w:val="0"/>
              <w:marRight w:val="0"/>
              <w:marTop w:val="0"/>
              <w:marBottom w:val="0"/>
              <w:divBdr>
                <w:top w:val="none" w:sz="0" w:space="0" w:color="auto"/>
                <w:left w:val="none" w:sz="0" w:space="0" w:color="auto"/>
                <w:bottom w:val="none" w:sz="0" w:space="0" w:color="auto"/>
                <w:right w:val="none" w:sz="0" w:space="0" w:color="auto"/>
              </w:divBdr>
            </w:div>
          </w:divsChild>
        </w:div>
        <w:div w:id="1406537436">
          <w:marLeft w:val="0"/>
          <w:marRight w:val="0"/>
          <w:marTop w:val="0"/>
          <w:marBottom w:val="0"/>
          <w:divBdr>
            <w:top w:val="none" w:sz="0" w:space="0" w:color="auto"/>
            <w:left w:val="none" w:sz="0" w:space="0" w:color="auto"/>
            <w:bottom w:val="none" w:sz="0" w:space="0" w:color="auto"/>
            <w:right w:val="none" w:sz="0" w:space="0" w:color="auto"/>
          </w:divBdr>
        </w:div>
        <w:div w:id="1449275497">
          <w:marLeft w:val="0"/>
          <w:marRight w:val="0"/>
          <w:marTop w:val="0"/>
          <w:marBottom w:val="0"/>
          <w:divBdr>
            <w:top w:val="none" w:sz="0" w:space="0" w:color="auto"/>
            <w:left w:val="none" w:sz="0" w:space="0" w:color="auto"/>
            <w:bottom w:val="none" w:sz="0" w:space="0" w:color="auto"/>
            <w:right w:val="none" w:sz="0" w:space="0" w:color="auto"/>
          </w:divBdr>
          <w:divsChild>
            <w:div w:id="22755148">
              <w:marLeft w:val="0"/>
              <w:marRight w:val="0"/>
              <w:marTop w:val="0"/>
              <w:marBottom w:val="0"/>
              <w:divBdr>
                <w:top w:val="none" w:sz="0" w:space="0" w:color="auto"/>
                <w:left w:val="none" w:sz="0" w:space="0" w:color="auto"/>
                <w:bottom w:val="none" w:sz="0" w:space="0" w:color="auto"/>
                <w:right w:val="none" w:sz="0" w:space="0" w:color="auto"/>
              </w:divBdr>
            </w:div>
            <w:div w:id="67533370">
              <w:marLeft w:val="0"/>
              <w:marRight w:val="0"/>
              <w:marTop w:val="0"/>
              <w:marBottom w:val="0"/>
              <w:divBdr>
                <w:top w:val="none" w:sz="0" w:space="0" w:color="auto"/>
                <w:left w:val="none" w:sz="0" w:space="0" w:color="auto"/>
                <w:bottom w:val="none" w:sz="0" w:space="0" w:color="auto"/>
                <w:right w:val="none" w:sz="0" w:space="0" w:color="auto"/>
              </w:divBdr>
            </w:div>
            <w:div w:id="251742705">
              <w:marLeft w:val="0"/>
              <w:marRight w:val="0"/>
              <w:marTop w:val="0"/>
              <w:marBottom w:val="0"/>
              <w:divBdr>
                <w:top w:val="none" w:sz="0" w:space="0" w:color="auto"/>
                <w:left w:val="none" w:sz="0" w:space="0" w:color="auto"/>
                <w:bottom w:val="none" w:sz="0" w:space="0" w:color="auto"/>
                <w:right w:val="none" w:sz="0" w:space="0" w:color="auto"/>
              </w:divBdr>
            </w:div>
            <w:div w:id="388386985">
              <w:marLeft w:val="0"/>
              <w:marRight w:val="0"/>
              <w:marTop w:val="0"/>
              <w:marBottom w:val="0"/>
              <w:divBdr>
                <w:top w:val="none" w:sz="0" w:space="0" w:color="auto"/>
                <w:left w:val="none" w:sz="0" w:space="0" w:color="auto"/>
                <w:bottom w:val="none" w:sz="0" w:space="0" w:color="auto"/>
                <w:right w:val="none" w:sz="0" w:space="0" w:color="auto"/>
              </w:divBdr>
            </w:div>
            <w:div w:id="408844746">
              <w:marLeft w:val="0"/>
              <w:marRight w:val="0"/>
              <w:marTop w:val="0"/>
              <w:marBottom w:val="0"/>
              <w:divBdr>
                <w:top w:val="none" w:sz="0" w:space="0" w:color="auto"/>
                <w:left w:val="none" w:sz="0" w:space="0" w:color="auto"/>
                <w:bottom w:val="none" w:sz="0" w:space="0" w:color="auto"/>
                <w:right w:val="none" w:sz="0" w:space="0" w:color="auto"/>
              </w:divBdr>
            </w:div>
            <w:div w:id="512453225">
              <w:marLeft w:val="0"/>
              <w:marRight w:val="0"/>
              <w:marTop w:val="0"/>
              <w:marBottom w:val="0"/>
              <w:divBdr>
                <w:top w:val="none" w:sz="0" w:space="0" w:color="auto"/>
                <w:left w:val="none" w:sz="0" w:space="0" w:color="auto"/>
                <w:bottom w:val="none" w:sz="0" w:space="0" w:color="auto"/>
                <w:right w:val="none" w:sz="0" w:space="0" w:color="auto"/>
              </w:divBdr>
            </w:div>
            <w:div w:id="562178021">
              <w:marLeft w:val="0"/>
              <w:marRight w:val="0"/>
              <w:marTop w:val="0"/>
              <w:marBottom w:val="0"/>
              <w:divBdr>
                <w:top w:val="none" w:sz="0" w:space="0" w:color="auto"/>
                <w:left w:val="none" w:sz="0" w:space="0" w:color="auto"/>
                <w:bottom w:val="none" w:sz="0" w:space="0" w:color="auto"/>
                <w:right w:val="none" w:sz="0" w:space="0" w:color="auto"/>
              </w:divBdr>
            </w:div>
            <w:div w:id="799304312">
              <w:marLeft w:val="0"/>
              <w:marRight w:val="0"/>
              <w:marTop w:val="0"/>
              <w:marBottom w:val="0"/>
              <w:divBdr>
                <w:top w:val="none" w:sz="0" w:space="0" w:color="auto"/>
                <w:left w:val="none" w:sz="0" w:space="0" w:color="auto"/>
                <w:bottom w:val="none" w:sz="0" w:space="0" w:color="auto"/>
                <w:right w:val="none" w:sz="0" w:space="0" w:color="auto"/>
              </w:divBdr>
            </w:div>
            <w:div w:id="800345110">
              <w:marLeft w:val="0"/>
              <w:marRight w:val="0"/>
              <w:marTop w:val="0"/>
              <w:marBottom w:val="0"/>
              <w:divBdr>
                <w:top w:val="none" w:sz="0" w:space="0" w:color="auto"/>
                <w:left w:val="none" w:sz="0" w:space="0" w:color="auto"/>
                <w:bottom w:val="none" w:sz="0" w:space="0" w:color="auto"/>
                <w:right w:val="none" w:sz="0" w:space="0" w:color="auto"/>
              </w:divBdr>
            </w:div>
            <w:div w:id="816187443">
              <w:marLeft w:val="0"/>
              <w:marRight w:val="0"/>
              <w:marTop w:val="0"/>
              <w:marBottom w:val="0"/>
              <w:divBdr>
                <w:top w:val="none" w:sz="0" w:space="0" w:color="auto"/>
                <w:left w:val="none" w:sz="0" w:space="0" w:color="auto"/>
                <w:bottom w:val="none" w:sz="0" w:space="0" w:color="auto"/>
                <w:right w:val="none" w:sz="0" w:space="0" w:color="auto"/>
              </w:divBdr>
            </w:div>
            <w:div w:id="894850309">
              <w:marLeft w:val="0"/>
              <w:marRight w:val="0"/>
              <w:marTop w:val="0"/>
              <w:marBottom w:val="0"/>
              <w:divBdr>
                <w:top w:val="none" w:sz="0" w:space="0" w:color="auto"/>
                <w:left w:val="none" w:sz="0" w:space="0" w:color="auto"/>
                <w:bottom w:val="none" w:sz="0" w:space="0" w:color="auto"/>
                <w:right w:val="none" w:sz="0" w:space="0" w:color="auto"/>
              </w:divBdr>
            </w:div>
            <w:div w:id="1030304644">
              <w:marLeft w:val="0"/>
              <w:marRight w:val="0"/>
              <w:marTop w:val="0"/>
              <w:marBottom w:val="0"/>
              <w:divBdr>
                <w:top w:val="none" w:sz="0" w:space="0" w:color="auto"/>
                <w:left w:val="none" w:sz="0" w:space="0" w:color="auto"/>
                <w:bottom w:val="none" w:sz="0" w:space="0" w:color="auto"/>
                <w:right w:val="none" w:sz="0" w:space="0" w:color="auto"/>
              </w:divBdr>
            </w:div>
            <w:div w:id="1121680638">
              <w:marLeft w:val="0"/>
              <w:marRight w:val="0"/>
              <w:marTop w:val="0"/>
              <w:marBottom w:val="0"/>
              <w:divBdr>
                <w:top w:val="none" w:sz="0" w:space="0" w:color="auto"/>
                <w:left w:val="none" w:sz="0" w:space="0" w:color="auto"/>
                <w:bottom w:val="none" w:sz="0" w:space="0" w:color="auto"/>
                <w:right w:val="none" w:sz="0" w:space="0" w:color="auto"/>
              </w:divBdr>
            </w:div>
            <w:div w:id="1154566426">
              <w:marLeft w:val="0"/>
              <w:marRight w:val="0"/>
              <w:marTop w:val="0"/>
              <w:marBottom w:val="0"/>
              <w:divBdr>
                <w:top w:val="none" w:sz="0" w:space="0" w:color="auto"/>
                <w:left w:val="none" w:sz="0" w:space="0" w:color="auto"/>
                <w:bottom w:val="none" w:sz="0" w:space="0" w:color="auto"/>
                <w:right w:val="none" w:sz="0" w:space="0" w:color="auto"/>
              </w:divBdr>
            </w:div>
            <w:div w:id="1216744775">
              <w:marLeft w:val="0"/>
              <w:marRight w:val="0"/>
              <w:marTop w:val="0"/>
              <w:marBottom w:val="0"/>
              <w:divBdr>
                <w:top w:val="none" w:sz="0" w:space="0" w:color="auto"/>
                <w:left w:val="none" w:sz="0" w:space="0" w:color="auto"/>
                <w:bottom w:val="none" w:sz="0" w:space="0" w:color="auto"/>
                <w:right w:val="none" w:sz="0" w:space="0" w:color="auto"/>
              </w:divBdr>
            </w:div>
            <w:div w:id="1502037821">
              <w:marLeft w:val="0"/>
              <w:marRight w:val="0"/>
              <w:marTop w:val="0"/>
              <w:marBottom w:val="0"/>
              <w:divBdr>
                <w:top w:val="none" w:sz="0" w:space="0" w:color="auto"/>
                <w:left w:val="none" w:sz="0" w:space="0" w:color="auto"/>
                <w:bottom w:val="none" w:sz="0" w:space="0" w:color="auto"/>
                <w:right w:val="none" w:sz="0" w:space="0" w:color="auto"/>
              </w:divBdr>
            </w:div>
            <w:div w:id="1761561909">
              <w:marLeft w:val="0"/>
              <w:marRight w:val="0"/>
              <w:marTop w:val="0"/>
              <w:marBottom w:val="0"/>
              <w:divBdr>
                <w:top w:val="none" w:sz="0" w:space="0" w:color="auto"/>
                <w:left w:val="none" w:sz="0" w:space="0" w:color="auto"/>
                <w:bottom w:val="none" w:sz="0" w:space="0" w:color="auto"/>
                <w:right w:val="none" w:sz="0" w:space="0" w:color="auto"/>
              </w:divBdr>
            </w:div>
            <w:div w:id="1809592841">
              <w:marLeft w:val="0"/>
              <w:marRight w:val="0"/>
              <w:marTop w:val="0"/>
              <w:marBottom w:val="0"/>
              <w:divBdr>
                <w:top w:val="none" w:sz="0" w:space="0" w:color="auto"/>
                <w:left w:val="none" w:sz="0" w:space="0" w:color="auto"/>
                <w:bottom w:val="none" w:sz="0" w:space="0" w:color="auto"/>
                <w:right w:val="none" w:sz="0" w:space="0" w:color="auto"/>
              </w:divBdr>
            </w:div>
            <w:div w:id="2037846166">
              <w:marLeft w:val="0"/>
              <w:marRight w:val="0"/>
              <w:marTop w:val="0"/>
              <w:marBottom w:val="0"/>
              <w:divBdr>
                <w:top w:val="none" w:sz="0" w:space="0" w:color="auto"/>
                <w:left w:val="none" w:sz="0" w:space="0" w:color="auto"/>
                <w:bottom w:val="none" w:sz="0" w:space="0" w:color="auto"/>
                <w:right w:val="none" w:sz="0" w:space="0" w:color="auto"/>
              </w:divBdr>
            </w:div>
            <w:div w:id="2104111442">
              <w:marLeft w:val="0"/>
              <w:marRight w:val="0"/>
              <w:marTop w:val="0"/>
              <w:marBottom w:val="0"/>
              <w:divBdr>
                <w:top w:val="none" w:sz="0" w:space="0" w:color="auto"/>
                <w:left w:val="none" w:sz="0" w:space="0" w:color="auto"/>
                <w:bottom w:val="none" w:sz="0" w:space="0" w:color="auto"/>
                <w:right w:val="none" w:sz="0" w:space="0" w:color="auto"/>
              </w:divBdr>
            </w:div>
          </w:divsChild>
        </w:div>
        <w:div w:id="1491486202">
          <w:marLeft w:val="0"/>
          <w:marRight w:val="0"/>
          <w:marTop w:val="0"/>
          <w:marBottom w:val="0"/>
          <w:divBdr>
            <w:top w:val="none" w:sz="0" w:space="0" w:color="auto"/>
            <w:left w:val="none" w:sz="0" w:space="0" w:color="auto"/>
            <w:bottom w:val="none" w:sz="0" w:space="0" w:color="auto"/>
            <w:right w:val="none" w:sz="0" w:space="0" w:color="auto"/>
          </w:divBdr>
        </w:div>
        <w:div w:id="1552376939">
          <w:marLeft w:val="0"/>
          <w:marRight w:val="0"/>
          <w:marTop w:val="0"/>
          <w:marBottom w:val="0"/>
          <w:divBdr>
            <w:top w:val="none" w:sz="0" w:space="0" w:color="auto"/>
            <w:left w:val="none" w:sz="0" w:space="0" w:color="auto"/>
            <w:bottom w:val="none" w:sz="0" w:space="0" w:color="auto"/>
            <w:right w:val="none" w:sz="0" w:space="0" w:color="auto"/>
          </w:divBdr>
        </w:div>
        <w:div w:id="1599169092">
          <w:marLeft w:val="0"/>
          <w:marRight w:val="0"/>
          <w:marTop w:val="0"/>
          <w:marBottom w:val="0"/>
          <w:divBdr>
            <w:top w:val="none" w:sz="0" w:space="0" w:color="auto"/>
            <w:left w:val="none" w:sz="0" w:space="0" w:color="auto"/>
            <w:bottom w:val="none" w:sz="0" w:space="0" w:color="auto"/>
            <w:right w:val="none" w:sz="0" w:space="0" w:color="auto"/>
          </w:divBdr>
        </w:div>
        <w:div w:id="1617328602">
          <w:marLeft w:val="0"/>
          <w:marRight w:val="0"/>
          <w:marTop w:val="0"/>
          <w:marBottom w:val="0"/>
          <w:divBdr>
            <w:top w:val="none" w:sz="0" w:space="0" w:color="auto"/>
            <w:left w:val="none" w:sz="0" w:space="0" w:color="auto"/>
            <w:bottom w:val="none" w:sz="0" w:space="0" w:color="auto"/>
            <w:right w:val="none" w:sz="0" w:space="0" w:color="auto"/>
          </w:divBdr>
        </w:div>
        <w:div w:id="1649435950">
          <w:marLeft w:val="0"/>
          <w:marRight w:val="0"/>
          <w:marTop w:val="0"/>
          <w:marBottom w:val="0"/>
          <w:divBdr>
            <w:top w:val="none" w:sz="0" w:space="0" w:color="auto"/>
            <w:left w:val="none" w:sz="0" w:space="0" w:color="auto"/>
            <w:bottom w:val="none" w:sz="0" w:space="0" w:color="auto"/>
            <w:right w:val="none" w:sz="0" w:space="0" w:color="auto"/>
          </w:divBdr>
        </w:div>
        <w:div w:id="1730298961">
          <w:marLeft w:val="0"/>
          <w:marRight w:val="0"/>
          <w:marTop w:val="0"/>
          <w:marBottom w:val="0"/>
          <w:divBdr>
            <w:top w:val="none" w:sz="0" w:space="0" w:color="auto"/>
            <w:left w:val="none" w:sz="0" w:space="0" w:color="auto"/>
            <w:bottom w:val="none" w:sz="0" w:space="0" w:color="auto"/>
            <w:right w:val="none" w:sz="0" w:space="0" w:color="auto"/>
          </w:divBdr>
          <w:divsChild>
            <w:div w:id="419185017">
              <w:marLeft w:val="0"/>
              <w:marRight w:val="0"/>
              <w:marTop w:val="0"/>
              <w:marBottom w:val="0"/>
              <w:divBdr>
                <w:top w:val="none" w:sz="0" w:space="0" w:color="auto"/>
                <w:left w:val="none" w:sz="0" w:space="0" w:color="auto"/>
                <w:bottom w:val="none" w:sz="0" w:space="0" w:color="auto"/>
                <w:right w:val="none" w:sz="0" w:space="0" w:color="auto"/>
              </w:divBdr>
            </w:div>
            <w:div w:id="722290851">
              <w:marLeft w:val="0"/>
              <w:marRight w:val="0"/>
              <w:marTop w:val="0"/>
              <w:marBottom w:val="0"/>
              <w:divBdr>
                <w:top w:val="none" w:sz="0" w:space="0" w:color="auto"/>
                <w:left w:val="none" w:sz="0" w:space="0" w:color="auto"/>
                <w:bottom w:val="none" w:sz="0" w:space="0" w:color="auto"/>
                <w:right w:val="none" w:sz="0" w:space="0" w:color="auto"/>
              </w:divBdr>
            </w:div>
            <w:div w:id="841702028">
              <w:marLeft w:val="0"/>
              <w:marRight w:val="0"/>
              <w:marTop w:val="0"/>
              <w:marBottom w:val="0"/>
              <w:divBdr>
                <w:top w:val="none" w:sz="0" w:space="0" w:color="auto"/>
                <w:left w:val="none" w:sz="0" w:space="0" w:color="auto"/>
                <w:bottom w:val="none" w:sz="0" w:space="0" w:color="auto"/>
                <w:right w:val="none" w:sz="0" w:space="0" w:color="auto"/>
              </w:divBdr>
            </w:div>
            <w:div w:id="876968568">
              <w:marLeft w:val="0"/>
              <w:marRight w:val="0"/>
              <w:marTop w:val="0"/>
              <w:marBottom w:val="0"/>
              <w:divBdr>
                <w:top w:val="none" w:sz="0" w:space="0" w:color="auto"/>
                <w:left w:val="none" w:sz="0" w:space="0" w:color="auto"/>
                <w:bottom w:val="none" w:sz="0" w:space="0" w:color="auto"/>
                <w:right w:val="none" w:sz="0" w:space="0" w:color="auto"/>
              </w:divBdr>
            </w:div>
            <w:div w:id="906036237">
              <w:marLeft w:val="0"/>
              <w:marRight w:val="0"/>
              <w:marTop w:val="0"/>
              <w:marBottom w:val="0"/>
              <w:divBdr>
                <w:top w:val="none" w:sz="0" w:space="0" w:color="auto"/>
                <w:left w:val="none" w:sz="0" w:space="0" w:color="auto"/>
                <w:bottom w:val="none" w:sz="0" w:space="0" w:color="auto"/>
                <w:right w:val="none" w:sz="0" w:space="0" w:color="auto"/>
              </w:divBdr>
            </w:div>
            <w:div w:id="962347800">
              <w:marLeft w:val="0"/>
              <w:marRight w:val="0"/>
              <w:marTop w:val="0"/>
              <w:marBottom w:val="0"/>
              <w:divBdr>
                <w:top w:val="none" w:sz="0" w:space="0" w:color="auto"/>
                <w:left w:val="none" w:sz="0" w:space="0" w:color="auto"/>
                <w:bottom w:val="none" w:sz="0" w:space="0" w:color="auto"/>
                <w:right w:val="none" w:sz="0" w:space="0" w:color="auto"/>
              </w:divBdr>
            </w:div>
            <w:div w:id="1035885890">
              <w:marLeft w:val="0"/>
              <w:marRight w:val="0"/>
              <w:marTop w:val="0"/>
              <w:marBottom w:val="0"/>
              <w:divBdr>
                <w:top w:val="none" w:sz="0" w:space="0" w:color="auto"/>
                <w:left w:val="none" w:sz="0" w:space="0" w:color="auto"/>
                <w:bottom w:val="none" w:sz="0" w:space="0" w:color="auto"/>
                <w:right w:val="none" w:sz="0" w:space="0" w:color="auto"/>
              </w:divBdr>
            </w:div>
            <w:div w:id="1173297812">
              <w:marLeft w:val="0"/>
              <w:marRight w:val="0"/>
              <w:marTop w:val="0"/>
              <w:marBottom w:val="0"/>
              <w:divBdr>
                <w:top w:val="none" w:sz="0" w:space="0" w:color="auto"/>
                <w:left w:val="none" w:sz="0" w:space="0" w:color="auto"/>
                <w:bottom w:val="none" w:sz="0" w:space="0" w:color="auto"/>
                <w:right w:val="none" w:sz="0" w:space="0" w:color="auto"/>
              </w:divBdr>
            </w:div>
            <w:div w:id="1249924010">
              <w:marLeft w:val="0"/>
              <w:marRight w:val="0"/>
              <w:marTop w:val="0"/>
              <w:marBottom w:val="0"/>
              <w:divBdr>
                <w:top w:val="none" w:sz="0" w:space="0" w:color="auto"/>
                <w:left w:val="none" w:sz="0" w:space="0" w:color="auto"/>
                <w:bottom w:val="none" w:sz="0" w:space="0" w:color="auto"/>
                <w:right w:val="none" w:sz="0" w:space="0" w:color="auto"/>
              </w:divBdr>
            </w:div>
            <w:div w:id="1280987934">
              <w:marLeft w:val="0"/>
              <w:marRight w:val="0"/>
              <w:marTop w:val="0"/>
              <w:marBottom w:val="0"/>
              <w:divBdr>
                <w:top w:val="none" w:sz="0" w:space="0" w:color="auto"/>
                <w:left w:val="none" w:sz="0" w:space="0" w:color="auto"/>
                <w:bottom w:val="none" w:sz="0" w:space="0" w:color="auto"/>
                <w:right w:val="none" w:sz="0" w:space="0" w:color="auto"/>
              </w:divBdr>
            </w:div>
            <w:div w:id="1427263421">
              <w:marLeft w:val="0"/>
              <w:marRight w:val="0"/>
              <w:marTop w:val="0"/>
              <w:marBottom w:val="0"/>
              <w:divBdr>
                <w:top w:val="none" w:sz="0" w:space="0" w:color="auto"/>
                <w:left w:val="none" w:sz="0" w:space="0" w:color="auto"/>
                <w:bottom w:val="none" w:sz="0" w:space="0" w:color="auto"/>
                <w:right w:val="none" w:sz="0" w:space="0" w:color="auto"/>
              </w:divBdr>
            </w:div>
            <w:div w:id="1501038562">
              <w:marLeft w:val="0"/>
              <w:marRight w:val="0"/>
              <w:marTop w:val="0"/>
              <w:marBottom w:val="0"/>
              <w:divBdr>
                <w:top w:val="none" w:sz="0" w:space="0" w:color="auto"/>
                <w:left w:val="none" w:sz="0" w:space="0" w:color="auto"/>
                <w:bottom w:val="none" w:sz="0" w:space="0" w:color="auto"/>
                <w:right w:val="none" w:sz="0" w:space="0" w:color="auto"/>
              </w:divBdr>
            </w:div>
            <w:div w:id="1564682086">
              <w:marLeft w:val="0"/>
              <w:marRight w:val="0"/>
              <w:marTop w:val="0"/>
              <w:marBottom w:val="0"/>
              <w:divBdr>
                <w:top w:val="none" w:sz="0" w:space="0" w:color="auto"/>
                <w:left w:val="none" w:sz="0" w:space="0" w:color="auto"/>
                <w:bottom w:val="none" w:sz="0" w:space="0" w:color="auto"/>
                <w:right w:val="none" w:sz="0" w:space="0" w:color="auto"/>
              </w:divBdr>
            </w:div>
            <w:div w:id="1607810288">
              <w:marLeft w:val="0"/>
              <w:marRight w:val="0"/>
              <w:marTop w:val="0"/>
              <w:marBottom w:val="0"/>
              <w:divBdr>
                <w:top w:val="none" w:sz="0" w:space="0" w:color="auto"/>
                <w:left w:val="none" w:sz="0" w:space="0" w:color="auto"/>
                <w:bottom w:val="none" w:sz="0" w:space="0" w:color="auto"/>
                <w:right w:val="none" w:sz="0" w:space="0" w:color="auto"/>
              </w:divBdr>
            </w:div>
            <w:div w:id="1756782933">
              <w:marLeft w:val="0"/>
              <w:marRight w:val="0"/>
              <w:marTop w:val="0"/>
              <w:marBottom w:val="0"/>
              <w:divBdr>
                <w:top w:val="none" w:sz="0" w:space="0" w:color="auto"/>
                <w:left w:val="none" w:sz="0" w:space="0" w:color="auto"/>
                <w:bottom w:val="none" w:sz="0" w:space="0" w:color="auto"/>
                <w:right w:val="none" w:sz="0" w:space="0" w:color="auto"/>
              </w:divBdr>
            </w:div>
            <w:div w:id="1956058142">
              <w:marLeft w:val="0"/>
              <w:marRight w:val="0"/>
              <w:marTop w:val="0"/>
              <w:marBottom w:val="0"/>
              <w:divBdr>
                <w:top w:val="none" w:sz="0" w:space="0" w:color="auto"/>
                <w:left w:val="none" w:sz="0" w:space="0" w:color="auto"/>
                <w:bottom w:val="none" w:sz="0" w:space="0" w:color="auto"/>
                <w:right w:val="none" w:sz="0" w:space="0" w:color="auto"/>
              </w:divBdr>
            </w:div>
            <w:div w:id="2001738244">
              <w:marLeft w:val="0"/>
              <w:marRight w:val="0"/>
              <w:marTop w:val="0"/>
              <w:marBottom w:val="0"/>
              <w:divBdr>
                <w:top w:val="none" w:sz="0" w:space="0" w:color="auto"/>
                <w:left w:val="none" w:sz="0" w:space="0" w:color="auto"/>
                <w:bottom w:val="none" w:sz="0" w:space="0" w:color="auto"/>
                <w:right w:val="none" w:sz="0" w:space="0" w:color="auto"/>
              </w:divBdr>
            </w:div>
            <w:div w:id="2029869238">
              <w:marLeft w:val="0"/>
              <w:marRight w:val="0"/>
              <w:marTop w:val="0"/>
              <w:marBottom w:val="0"/>
              <w:divBdr>
                <w:top w:val="none" w:sz="0" w:space="0" w:color="auto"/>
                <w:left w:val="none" w:sz="0" w:space="0" w:color="auto"/>
                <w:bottom w:val="none" w:sz="0" w:space="0" w:color="auto"/>
                <w:right w:val="none" w:sz="0" w:space="0" w:color="auto"/>
              </w:divBdr>
            </w:div>
            <w:div w:id="2039232394">
              <w:marLeft w:val="0"/>
              <w:marRight w:val="0"/>
              <w:marTop w:val="0"/>
              <w:marBottom w:val="0"/>
              <w:divBdr>
                <w:top w:val="none" w:sz="0" w:space="0" w:color="auto"/>
                <w:left w:val="none" w:sz="0" w:space="0" w:color="auto"/>
                <w:bottom w:val="none" w:sz="0" w:space="0" w:color="auto"/>
                <w:right w:val="none" w:sz="0" w:space="0" w:color="auto"/>
              </w:divBdr>
            </w:div>
            <w:div w:id="2049068267">
              <w:marLeft w:val="0"/>
              <w:marRight w:val="0"/>
              <w:marTop w:val="0"/>
              <w:marBottom w:val="0"/>
              <w:divBdr>
                <w:top w:val="none" w:sz="0" w:space="0" w:color="auto"/>
                <w:left w:val="none" w:sz="0" w:space="0" w:color="auto"/>
                <w:bottom w:val="none" w:sz="0" w:space="0" w:color="auto"/>
                <w:right w:val="none" w:sz="0" w:space="0" w:color="auto"/>
              </w:divBdr>
            </w:div>
          </w:divsChild>
        </w:div>
        <w:div w:id="1843813833">
          <w:marLeft w:val="0"/>
          <w:marRight w:val="0"/>
          <w:marTop w:val="0"/>
          <w:marBottom w:val="0"/>
          <w:divBdr>
            <w:top w:val="none" w:sz="0" w:space="0" w:color="auto"/>
            <w:left w:val="none" w:sz="0" w:space="0" w:color="auto"/>
            <w:bottom w:val="none" w:sz="0" w:space="0" w:color="auto"/>
            <w:right w:val="none" w:sz="0" w:space="0" w:color="auto"/>
          </w:divBdr>
        </w:div>
        <w:div w:id="1881815165">
          <w:marLeft w:val="0"/>
          <w:marRight w:val="0"/>
          <w:marTop w:val="0"/>
          <w:marBottom w:val="0"/>
          <w:divBdr>
            <w:top w:val="none" w:sz="0" w:space="0" w:color="auto"/>
            <w:left w:val="none" w:sz="0" w:space="0" w:color="auto"/>
            <w:bottom w:val="none" w:sz="0" w:space="0" w:color="auto"/>
            <w:right w:val="none" w:sz="0" w:space="0" w:color="auto"/>
          </w:divBdr>
        </w:div>
        <w:div w:id="2032299325">
          <w:marLeft w:val="0"/>
          <w:marRight w:val="0"/>
          <w:marTop w:val="0"/>
          <w:marBottom w:val="0"/>
          <w:divBdr>
            <w:top w:val="none" w:sz="0" w:space="0" w:color="auto"/>
            <w:left w:val="none" w:sz="0" w:space="0" w:color="auto"/>
            <w:bottom w:val="none" w:sz="0" w:space="0" w:color="auto"/>
            <w:right w:val="none" w:sz="0" w:space="0" w:color="auto"/>
          </w:divBdr>
          <w:divsChild>
            <w:div w:id="59715199">
              <w:marLeft w:val="0"/>
              <w:marRight w:val="0"/>
              <w:marTop w:val="0"/>
              <w:marBottom w:val="0"/>
              <w:divBdr>
                <w:top w:val="none" w:sz="0" w:space="0" w:color="auto"/>
                <w:left w:val="none" w:sz="0" w:space="0" w:color="auto"/>
                <w:bottom w:val="none" w:sz="0" w:space="0" w:color="auto"/>
                <w:right w:val="none" w:sz="0" w:space="0" w:color="auto"/>
              </w:divBdr>
            </w:div>
            <w:div w:id="317196778">
              <w:marLeft w:val="0"/>
              <w:marRight w:val="0"/>
              <w:marTop w:val="0"/>
              <w:marBottom w:val="0"/>
              <w:divBdr>
                <w:top w:val="none" w:sz="0" w:space="0" w:color="auto"/>
                <w:left w:val="none" w:sz="0" w:space="0" w:color="auto"/>
                <w:bottom w:val="none" w:sz="0" w:space="0" w:color="auto"/>
                <w:right w:val="none" w:sz="0" w:space="0" w:color="auto"/>
              </w:divBdr>
            </w:div>
            <w:div w:id="329449713">
              <w:marLeft w:val="0"/>
              <w:marRight w:val="0"/>
              <w:marTop w:val="0"/>
              <w:marBottom w:val="0"/>
              <w:divBdr>
                <w:top w:val="none" w:sz="0" w:space="0" w:color="auto"/>
                <w:left w:val="none" w:sz="0" w:space="0" w:color="auto"/>
                <w:bottom w:val="none" w:sz="0" w:space="0" w:color="auto"/>
                <w:right w:val="none" w:sz="0" w:space="0" w:color="auto"/>
              </w:divBdr>
            </w:div>
            <w:div w:id="432433330">
              <w:marLeft w:val="0"/>
              <w:marRight w:val="0"/>
              <w:marTop w:val="0"/>
              <w:marBottom w:val="0"/>
              <w:divBdr>
                <w:top w:val="none" w:sz="0" w:space="0" w:color="auto"/>
                <w:left w:val="none" w:sz="0" w:space="0" w:color="auto"/>
                <w:bottom w:val="none" w:sz="0" w:space="0" w:color="auto"/>
                <w:right w:val="none" w:sz="0" w:space="0" w:color="auto"/>
              </w:divBdr>
            </w:div>
            <w:div w:id="531383643">
              <w:marLeft w:val="0"/>
              <w:marRight w:val="0"/>
              <w:marTop w:val="0"/>
              <w:marBottom w:val="0"/>
              <w:divBdr>
                <w:top w:val="none" w:sz="0" w:space="0" w:color="auto"/>
                <w:left w:val="none" w:sz="0" w:space="0" w:color="auto"/>
                <w:bottom w:val="none" w:sz="0" w:space="0" w:color="auto"/>
                <w:right w:val="none" w:sz="0" w:space="0" w:color="auto"/>
              </w:divBdr>
            </w:div>
            <w:div w:id="596213622">
              <w:marLeft w:val="0"/>
              <w:marRight w:val="0"/>
              <w:marTop w:val="0"/>
              <w:marBottom w:val="0"/>
              <w:divBdr>
                <w:top w:val="none" w:sz="0" w:space="0" w:color="auto"/>
                <w:left w:val="none" w:sz="0" w:space="0" w:color="auto"/>
                <w:bottom w:val="none" w:sz="0" w:space="0" w:color="auto"/>
                <w:right w:val="none" w:sz="0" w:space="0" w:color="auto"/>
              </w:divBdr>
            </w:div>
            <w:div w:id="936133879">
              <w:marLeft w:val="0"/>
              <w:marRight w:val="0"/>
              <w:marTop w:val="0"/>
              <w:marBottom w:val="0"/>
              <w:divBdr>
                <w:top w:val="none" w:sz="0" w:space="0" w:color="auto"/>
                <w:left w:val="none" w:sz="0" w:space="0" w:color="auto"/>
                <w:bottom w:val="none" w:sz="0" w:space="0" w:color="auto"/>
                <w:right w:val="none" w:sz="0" w:space="0" w:color="auto"/>
              </w:divBdr>
            </w:div>
            <w:div w:id="1271858198">
              <w:marLeft w:val="0"/>
              <w:marRight w:val="0"/>
              <w:marTop w:val="0"/>
              <w:marBottom w:val="0"/>
              <w:divBdr>
                <w:top w:val="none" w:sz="0" w:space="0" w:color="auto"/>
                <w:left w:val="none" w:sz="0" w:space="0" w:color="auto"/>
                <w:bottom w:val="none" w:sz="0" w:space="0" w:color="auto"/>
                <w:right w:val="none" w:sz="0" w:space="0" w:color="auto"/>
              </w:divBdr>
            </w:div>
            <w:div w:id="1293288441">
              <w:marLeft w:val="0"/>
              <w:marRight w:val="0"/>
              <w:marTop w:val="0"/>
              <w:marBottom w:val="0"/>
              <w:divBdr>
                <w:top w:val="none" w:sz="0" w:space="0" w:color="auto"/>
                <w:left w:val="none" w:sz="0" w:space="0" w:color="auto"/>
                <w:bottom w:val="none" w:sz="0" w:space="0" w:color="auto"/>
                <w:right w:val="none" w:sz="0" w:space="0" w:color="auto"/>
              </w:divBdr>
            </w:div>
            <w:div w:id="1317150447">
              <w:marLeft w:val="0"/>
              <w:marRight w:val="0"/>
              <w:marTop w:val="0"/>
              <w:marBottom w:val="0"/>
              <w:divBdr>
                <w:top w:val="none" w:sz="0" w:space="0" w:color="auto"/>
                <w:left w:val="none" w:sz="0" w:space="0" w:color="auto"/>
                <w:bottom w:val="none" w:sz="0" w:space="0" w:color="auto"/>
                <w:right w:val="none" w:sz="0" w:space="0" w:color="auto"/>
              </w:divBdr>
            </w:div>
            <w:div w:id="1326779413">
              <w:marLeft w:val="0"/>
              <w:marRight w:val="0"/>
              <w:marTop w:val="0"/>
              <w:marBottom w:val="0"/>
              <w:divBdr>
                <w:top w:val="none" w:sz="0" w:space="0" w:color="auto"/>
                <w:left w:val="none" w:sz="0" w:space="0" w:color="auto"/>
                <w:bottom w:val="none" w:sz="0" w:space="0" w:color="auto"/>
                <w:right w:val="none" w:sz="0" w:space="0" w:color="auto"/>
              </w:divBdr>
            </w:div>
            <w:div w:id="1376387514">
              <w:marLeft w:val="0"/>
              <w:marRight w:val="0"/>
              <w:marTop w:val="0"/>
              <w:marBottom w:val="0"/>
              <w:divBdr>
                <w:top w:val="none" w:sz="0" w:space="0" w:color="auto"/>
                <w:left w:val="none" w:sz="0" w:space="0" w:color="auto"/>
                <w:bottom w:val="none" w:sz="0" w:space="0" w:color="auto"/>
                <w:right w:val="none" w:sz="0" w:space="0" w:color="auto"/>
              </w:divBdr>
            </w:div>
            <w:div w:id="1452094953">
              <w:marLeft w:val="0"/>
              <w:marRight w:val="0"/>
              <w:marTop w:val="0"/>
              <w:marBottom w:val="0"/>
              <w:divBdr>
                <w:top w:val="none" w:sz="0" w:space="0" w:color="auto"/>
                <w:left w:val="none" w:sz="0" w:space="0" w:color="auto"/>
                <w:bottom w:val="none" w:sz="0" w:space="0" w:color="auto"/>
                <w:right w:val="none" w:sz="0" w:space="0" w:color="auto"/>
              </w:divBdr>
            </w:div>
            <w:div w:id="1501577943">
              <w:marLeft w:val="0"/>
              <w:marRight w:val="0"/>
              <w:marTop w:val="0"/>
              <w:marBottom w:val="0"/>
              <w:divBdr>
                <w:top w:val="none" w:sz="0" w:space="0" w:color="auto"/>
                <w:left w:val="none" w:sz="0" w:space="0" w:color="auto"/>
                <w:bottom w:val="none" w:sz="0" w:space="0" w:color="auto"/>
                <w:right w:val="none" w:sz="0" w:space="0" w:color="auto"/>
              </w:divBdr>
            </w:div>
            <w:div w:id="1528833975">
              <w:marLeft w:val="0"/>
              <w:marRight w:val="0"/>
              <w:marTop w:val="0"/>
              <w:marBottom w:val="0"/>
              <w:divBdr>
                <w:top w:val="none" w:sz="0" w:space="0" w:color="auto"/>
                <w:left w:val="none" w:sz="0" w:space="0" w:color="auto"/>
                <w:bottom w:val="none" w:sz="0" w:space="0" w:color="auto"/>
                <w:right w:val="none" w:sz="0" w:space="0" w:color="auto"/>
              </w:divBdr>
            </w:div>
            <w:div w:id="1632860316">
              <w:marLeft w:val="0"/>
              <w:marRight w:val="0"/>
              <w:marTop w:val="0"/>
              <w:marBottom w:val="0"/>
              <w:divBdr>
                <w:top w:val="none" w:sz="0" w:space="0" w:color="auto"/>
                <w:left w:val="none" w:sz="0" w:space="0" w:color="auto"/>
                <w:bottom w:val="none" w:sz="0" w:space="0" w:color="auto"/>
                <w:right w:val="none" w:sz="0" w:space="0" w:color="auto"/>
              </w:divBdr>
            </w:div>
            <w:div w:id="2136215992">
              <w:marLeft w:val="0"/>
              <w:marRight w:val="0"/>
              <w:marTop w:val="0"/>
              <w:marBottom w:val="0"/>
              <w:divBdr>
                <w:top w:val="none" w:sz="0" w:space="0" w:color="auto"/>
                <w:left w:val="none" w:sz="0" w:space="0" w:color="auto"/>
                <w:bottom w:val="none" w:sz="0" w:space="0" w:color="auto"/>
                <w:right w:val="none" w:sz="0" w:space="0" w:color="auto"/>
              </w:divBdr>
            </w:div>
          </w:divsChild>
        </w:div>
        <w:div w:id="2144692916">
          <w:marLeft w:val="0"/>
          <w:marRight w:val="0"/>
          <w:marTop w:val="0"/>
          <w:marBottom w:val="0"/>
          <w:divBdr>
            <w:top w:val="none" w:sz="0" w:space="0" w:color="auto"/>
            <w:left w:val="none" w:sz="0" w:space="0" w:color="auto"/>
            <w:bottom w:val="none" w:sz="0" w:space="0" w:color="auto"/>
            <w:right w:val="none" w:sz="0" w:space="0" w:color="auto"/>
          </w:divBdr>
          <w:divsChild>
            <w:div w:id="225992429">
              <w:marLeft w:val="0"/>
              <w:marRight w:val="0"/>
              <w:marTop w:val="0"/>
              <w:marBottom w:val="0"/>
              <w:divBdr>
                <w:top w:val="none" w:sz="0" w:space="0" w:color="auto"/>
                <w:left w:val="none" w:sz="0" w:space="0" w:color="auto"/>
                <w:bottom w:val="none" w:sz="0" w:space="0" w:color="auto"/>
                <w:right w:val="none" w:sz="0" w:space="0" w:color="auto"/>
              </w:divBdr>
            </w:div>
            <w:div w:id="291401817">
              <w:marLeft w:val="0"/>
              <w:marRight w:val="0"/>
              <w:marTop w:val="0"/>
              <w:marBottom w:val="0"/>
              <w:divBdr>
                <w:top w:val="none" w:sz="0" w:space="0" w:color="auto"/>
                <w:left w:val="none" w:sz="0" w:space="0" w:color="auto"/>
                <w:bottom w:val="none" w:sz="0" w:space="0" w:color="auto"/>
                <w:right w:val="none" w:sz="0" w:space="0" w:color="auto"/>
              </w:divBdr>
            </w:div>
            <w:div w:id="311376642">
              <w:marLeft w:val="0"/>
              <w:marRight w:val="0"/>
              <w:marTop w:val="0"/>
              <w:marBottom w:val="0"/>
              <w:divBdr>
                <w:top w:val="none" w:sz="0" w:space="0" w:color="auto"/>
                <w:left w:val="none" w:sz="0" w:space="0" w:color="auto"/>
                <w:bottom w:val="none" w:sz="0" w:space="0" w:color="auto"/>
                <w:right w:val="none" w:sz="0" w:space="0" w:color="auto"/>
              </w:divBdr>
            </w:div>
            <w:div w:id="384261151">
              <w:marLeft w:val="0"/>
              <w:marRight w:val="0"/>
              <w:marTop w:val="0"/>
              <w:marBottom w:val="0"/>
              <w:divBdr>
                <w:top w:val="none" w:sz="0" w:space="0" w:color="auto"/>
                <w:left w:val="none" w:sz="0" w:space="0" w:color="auto"/>
                <w:bottom w:val="none" w:sz="0" w:space="0" w:color="auto"/>
                <w:right w:val="none" w:sz="0" w:space="0" w:color="auto"/>
              </w:divBdr>
            </w:div>
            <w:div w:id="393356825">
              <w:marLeft w:val="0"/>
              <w:marRight w:val="0"/>
              <w:marTop w:val="0"/>
              <w:marBottom w:val="0"/>
              <w:divBdr>
                <w:top w:val="none" w:sz="0" w:space="0" w:color="auto"/>
                <w:left w:val="none" w:sz="0" w:space="0" w:color="auto"/>
                <w:bottom w:val="none" w:sz="0" w:space="0" w:color="auto"/>
                <w:right w:val="none" w:sz="0" w:space="0" w:color="auto"/>
              </w:divBdr>
            </w:div>
            <w:div w:id="753555412">
              <w:marLeft w:val="0"/>
              <w:marRight w:val="0"/>
              <w:marTop w:val="0"/>
              <w:marBottom w:val="0"/>
              <w:divBdr>
                <w:top w:val="none" w:sz="0" w:space="0" w:color="auto"/>
                <w:left w:val="none" w:sz="0" w:space="0" w:color="auto"/>
                <w:bottom w:val="none" w:sz="0" w:space="0" w:color="auto"/>
                <w:right w:val="none" w:sz="0" w:space="0" w:color="auto"/>
              </w:divBdr>
            </w:div>
            <w:div w:id="837691112">
              <w:marLeft w:val="0"/>
              <w:marRight w:val="0"/>
              <w:marTop w:val="0"/>
              <w:marBottom w:val="0"/>
              <w:divBdr>
                <w:top w:val="none" w:sz="0" w:space="0" w:color="auto"/>
                <w:left w:val="none" w:sz="0" w:space="0" w:color="auto"/>
                <w:bottom w:val="none" w:sz="0" w:space="0" w:color="auto"/>
                <w:right w:val="none" w:sz="0" w:space="0" w:color="auto"/>
              </w:divBdr>
            </w:div>
            <w:div w:id="868104012">
              <w:marLeft w:val="0"/>
              <w:marRight w:val="0"/>
              <w:marTop w:val="0"/>
              <w:marBottom w:val="0"/>
              <w:divBdr>
                <w:top w:val="none" w:sz="0" w:space="0" w:color="auto"/>
                <w:left w:val="none" w:sz="0" w:space="0" w:color="auto"/>
                <w:bottom w:val="none" w:sz="0" w:space="0" w:color="auto"/>
                <w:right w:val="none" w:sz="0" w:space="0" w:color="auto"/>
              </w:divBdr>
            </w:div>
            <w:div w:id="916481923">
              <w:marLeft w:val="0"/>
              <w:marRight w:val="0"/>
              <w:marTop w:val="0"/>
              <w:marBottom w:val="0"/>
              <w:divBdr>
                <w:top w:val="none" w:sz="0" w:space="0" w:color="auto"/>
                <w:left w:val="none" w:sz="0" w:space="0" w:color="auto"/>
                <w:bottom w:val="none" w:sz="0" w:space="0" w:color="auto"/>
                <w:right w:val="none" w:sz="0" w:space="0" w:color="auto"/>
              </w:divBdr>
            </w:div>
            <w:div w:id="1033114316">
              <w:marLeft w:val="0"/>
              <w:marRight w:val="0"/>
              <w:marTop w:val="0"/>
              <w:marBottom w:val="0"/>
              <w:divBdr>
                <w:top w:val="none" w:sz="0" w:space="0" w:color="auto"/>
                <w:left w:val="none" w:sz="0" w:space="0" w:color="auto"/>
                <w:bottom w:val="none" w:sz="0" w:space="0" w:color="auto"/>
                <w:right w:val="none" w:sz="0" w:space="0" w:color="auto"/>
              </w:divBdr>
            </w:div>
            <w:div w:id="1037004617">
              <w:marLeft w:val="0"/>
              <w:marRight w:val="0"/>
              <w:marTop w:val="0"/>
              <w:marBottom w:val="0"/>
              <w:divBdr>
                <w:top w:val="none" w:sz="0" w:space="0" w:color="auto"/>
                <w:left w:val="none" w:sz="0" w:space="0" w:color="auto"/>
                <w:bottom w:val="none" w:sz="0" w:space="0" w:color="auto"/>
                <w:right w:val="none" w:sz="0" w:space="0" w:color="auto"/>
              </w:divBdr>
            </w:div>
            <w:div w:id="1043753214">
              <w:marLeft w:val="0"/>
              <w:marRight w:val="0"/>
              <w:marTop w:val="0"/>
              <w:marBottom w:val="0"/>
              <w:divBdr>
                <w:top w:val="none" w:sz="0" w:space="0" w:color="auto"/>
                <w:left w:val="none" w:sz="0" w:space="0" w:color="auto"/>
                <w:bottom w:val="none" w:sz="0" w:space="0" w:color="auto"/>
                <w:right w:val="none" w:sz="0" w:space="0" w:color="auto"/>
              </w:divBdr>
            </w:div>
            <w:div w:id="1469401192">
              <w:marLeft w:val="0"/>
              <w:marRight w:val="0"/>
              <w:marTop w:val="0"/>
              <w:marBottom w:val="0"/>
              <w:divBdr>
                <w:top w:val="none" w:sz="0" w:space="0" w:color="auto"/>
                <w:left w:val="none" w:sz="0" w:space="0" w:color="auto"/>
                <w:bottom w:val="none" w:sz="0" w:space="0" w:color="auto"/>
                <w:right w:val="none" w:sz="0" w:space="0" w:color="auto"/>
              </w:divBdr>
            </w:div>
            <w:div w:id="1522932175">
              <w:marLeft w:val="0"/>
              <w:marRight w:val="0"/>
              <w:marTop w:val="0"/>
              <w:marBottom w:val="0"/>
              <w:divBdr>
                <w:top w:val="none" w:sz="0" w:space="0" w:color="auto"/>
                <w:left w:val="none" w:sz="0" w:space="0" w:color="auto"/>
                <w:bottom w:val="none" w:sz="0" w:space="0" w:color="auto"/>
                <w:right w:val="none" w:sz="0" w:space="0" w:color="auto"/>
              </w:divBdr>
            </w:div>
            <w:div w:id="1611625771">
              <w:marLeft w:val="0"/>
              <w:marRight w:val="0"/>
              <w:marTop w:val="0"/>
              <w:marBottom w:val="0"/>
              <w:divBdr>
                <w:top w:val="none" w:sz="0" w:space="0" w:color="auto"/>
                <w:left w:val="none" w:sz="0" w:space="0" w:color="auto"/>
                <w:bottom w:val="none" w:sz="0" w:space="0" w:color="auto"/>
                <w:right w:val="none" w:sz="0" w:space="0" w:color="auto"/>
              </w:divBdr>
            </w:div>
            <w:div w:id="1681618972">
              <w:marLeft w:val="0"/>
              <w:marRight w:val="0"/>
              <w:marTop w:val="0"/>
              <w:marBottom w:val="0"/>
              <w:divBdr>
                <w:top w:val="none" w:sz="0" w:space="0" w:color="auto"/>
                <w:left w:val="none" w:sz="0" w:space="0" w:color="auto"/>
                <w:bottom w:val="none" w:sz="0" w:space="0" w:color="auto"/>
                <w:right w:val="none" w:sz="0" w:space="0" w:color="auto"/>
              </w:divBdr>
            </w:div>
            <w:div w:id="1847597376">
              <w:marLeft w:val="0"/>
              <w:marRight w:val="0"/>
              <w:marTop w:val="0"/>
              <w:marBottom w:val="0"/>
              <w:divBdr>
                <w:top w:val="none" w:sz="0" w:space="0" w:color="auto"/>
                <w:left w:val="none" w:sz="0" w:space="0" w:color="auto"/>
                <w:bottom w:val="none" w:sz="0" w:space="0" w:color="auto"/>
                <w:right w:val="none" w:sz="0" w:space="0" w:color="auto"/>
              </w:divBdr>
            </w:div>
            <w:div w:id="1932352067">
              <w:marLeft w:val="0"/>
              <w:marRight w:val="0"/>
              <w:marTop w:val="0"/>
              <w:marBottom w:val="0"/>
              <w:divBdr>
                <w:top w:val="none" w:sz="0" w:space="0" w:color="auto"/>
                <w:left w:val="none" w:sz="0" w:space="0" w:color="auto"/>
                <w:bottom w:val="none" w:sz="0" w:space="0" w:color="auto"/>
                <w:right w:val="none" w:sz="0" w:space="0" w:color="auto"/>
              </w:divBdr>
            </w:div>
            <w:div w:id="2040624517">
              <w:marLeft w:val="0"/>
              <w:marRight w:val="0"/>
              <w:marTop w:val="0"/>
              <w:marBottom w:val="0"/>
              <w:divBdr>
                <w:top w:val="none" w:sz="0" w:space="0" w:color="auto"/>
                <w:left w:val="none" w:sz="0" w:space="0" w:color="auto"/>
                <w:bottom w:val="none" w:sz="0" w:space="0" w:color="auto"/>
                <w:right w:val="none" w:sz="0" w:space="0" w:color="auto"/>
              </w:divBdr>
            </w:div>
            <w:div w:id="212811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7384">
      <w:bodyDiv w:val="1"/>
      <w:marLeft w:val="0"/>
      <w:marRight w:val="0"/>
      <w:marTop w:val="0"/>
      <w:marBottom w:val="0"/>
      <w:divBdr>
        <w:top w:val="none" w:sz="0" w:space="0" w:color="auto"/>
        <w:left w:val="none" w:sz="0" w:space="0" w:color="auto"/>
        <w:bottom w:val="none" w:sz="0" w:space="0" w:color="auto"/>
        <w:right w:val="none" w:sz="0" w:space="0" w:color="auto"/>
      </w:divBdr>
      <w:divsChild>
        <w:div w:id="10962041">
          <w:marLeft w:val="0"/>
          <w:marRight w:val="0"/>
          <w:marTop w:val="0"/>
          <w:marBottom w:val="0"/>
          <w:divBdr>
            <w:top w:val="none" w:sz="0" w:space="0" w:color="auto"/>
            <w:left w:val="none" w:sz="0" w:space="0" w:color="auto"/>
            <w:bottom w:val="none" w:sz="0" w:space="0" w:color="auto"/>
            <w:right w:val="none" w:sz="0" w:space="0" w:color="auto"/>
          </w:divBdr>
        </w:div>
        <w:div w:id="58406862">
          <w:marLeft w:val="0"/>
          <w:marRight w:val="0"/>
          <w:marTop w:val="0"/>
          <w:marBottom w:val="0"/>
          <w:divBdr>
            <w:top w:val="none" w:sz="0" w:space="0" w:color="auto"/>
            <w:left w:val="none" w:sz="0" w:space="0" w:color="auto"/>
            <w:bottom w:val="none" w:sz="0" w:space="0" w:color="auto"/>
            <w:right w:val="none" w:sz="0" w:space="0" w:color="auto"/>
          </w:divBdr>
        </w:div>
        <w:div w:id="96757059">
          <w:marLeft w:val="0"/>
          <w:marRight w:val="0"/>
          <w:marTop w:val="0"/>
          <w:marBottom w:val="0"/>
          <w:divBdr>
            <w:top w:val="none" w:sz="0" w:space="0" w:color="auto"/>
            <w:left w:val="none" w:sz="0" w:space="0" w:color="auto"/>
            <w:bottom w:val="none" w:sz="0" w:space="0" w:color="auto"/>
            <w:right w:val="none" w:sz="0" w:space="0" w:color="auto"/>
          </w:divBdr>
        </w:div>
        <w:div w:id="220485813">
          <w:marLeft w:val="0"/>
          <w:marRight w:val="0"/>
          <w:marTop w:val="0"/>
          <w:marBottom w:val="0"/>
          <w:divBdr>
            <w:top w:val="none" w:sz="0" w:space="0" w:color="auto"/>
            <w:left w:val="none" w:sz="0" w:space="0" w:color="auto"/>
            <w:bottom w:val="none" w:sz="0" w:space="0" w:color="auto"/>
            <w:right w:val="none" w:sz="0" w:space="0" w:color="auto"/>
          </w:divBdr>
        </w:div>
        <w:div w:id="267392096">
          <w:marLeft w:val="0"/>
          <w:marRight w:val="0"/>
          <w:marTop w:val="0"/>
          <w:marBottom w:val="0"/>
          <w:divBdr>
            <w:top w:val="none" w:sz="0" w:space="0" w:color="auto"/>
            <w:left w:val="none" w:sz="0" w:space="0" w:color="auto"/>
            <w:bottom w:val="none" w:sz="0" w:space="0" w:color="auto"/>
            <w:right w:val="none" w:sz="0" w:space="0" w:color="auto"/>
          </w:divBdr>
        </w:div>
        <w:div w:id="340545627">
          <w:marLeft w:val="0"/>
          <w:marRight w:val="0"/>
          <w:marTop w:val="0"/>
          <w:marBottom w:val="0"/>
          <w:divBdr>
            <w:top w:val="none" w:sz="0" w:space="0" w:color="auto"/>
            <w:left w:val="none" w:sz="0" w:space="0" w:color="auto"/>
            <w:bottom w:val="none" w:sz="0" w:space="0" w:color="auto"/>
            <w:right w:val="none" w:sz="0" w:space="0" w:color="auto"/>
          </w:divBdr>
        </w:div>
        <w:div w:id="357896507">
          <w:marLeft w:val="0"/>
          <w:marRight w:val="0"/>
          <w:marTop w:val="0"/>
          <w:marBottom w:val="0"/>
          <w:divBdr>
            <w:top w:val="none" w:sz="0" w:space="0" w:color="auto"/>
            <w:left w:val="none" w:sz="0" w:space="0" w:color="auto"/>
            <w:bottom w:val="none" w:sz="0" w:space="0" w:color="auto"/>
            <w:right w:val="none" w:sz="0" w:space="0" w:color="auto"/>
          </w:divBdr>
        </w:div>
        <w:div w:id="445344743">
          <w:marLeft w:val="0"/>
          <w:marRight w:val="0"/>
          <w:marTop w:val="0"/>
          <w:marBottom w:val="0"/>
          <w:divBdr>
            <w:top w:val="none" w:sz="0" w:space="0" w:color="auto"/>
            <w:left w:val="none" w:sz="0" w:space="0" w:color="auto"/>
            <w:bottom w:val="none" w:sz="0" w:space="0" w:color="auto"/>
            <w:right w:val="none" w:sz="0" w:space="0" w:color="auto"/>
          </w:divBdr>
        </w:div>
        <w:div w:id="458035972">
          <w:marLeft w:val="0"/>
          <w:marRight w:val="0"/>
          <w:marTop w:val="0"/>
          <w:marBottom w:val="0"/>
          <w:divBdr>
            <w:top w:val="none" w:sz="0" w:space="0" w:color="auto"/>
            <w:left w:val="none" w:sz="0" w:space="0" w:color="auto"/>
            <w:bottom w:val="none" w:sz="0" w:space="0" w:color="auto"/>
            <w:right w:val="none" w:sz="0" w:space="0" w:color="auto"/>
          </w:divBdr>
        </w:div>
        <w:div w:id="509880781">
          <w:marLeft w:val="0"/>
          <w:marRight w:val="0"/>
          <w:marTop w:val="0"/>
          <w:marBottom w:val="0"/>
          <w:divBdr>
            <w:top w:val="none" w:sz="0" w:space="0" w:color="auto"/>
            <w:left w:val="none" w:sz="0" w:space="0" w:color="auto"/>
            <w:bottom w:val="none" w:sz="0" w:space="0" w:color="auto"/>
            <w:right w:val="none" w:sz="0" w:space="0" w:color="auto"/>
          </w:divBdr>
        </w:div>
        <w:div w:id="529684442">
          <w:marLeft w:val="0"/>
          <w:marRight w:val="0"/>
          <w:marTop w:val="0"/>
          <w:marBottom w:val="0"/>
          <w:divBdr>
            <w:top w:val="none" w:sz="0" w:space="0" w:color="auto"/>
            <w:left w:val="none" w:sz="0" w:space="0" w:color="auto"/>
            <w:bottom w:val="none" w:sz="0" w:space="0" w:color="auto"/>
            <w:right w:val="none" w:sz="0" w:space="0" w:color="auto"/>
          </w:divBdr>
        </w:div>
        <w:div w:id="535318051">
          <w:marLeft w:val="0"/>
          <w:marRight w:val="0"/>
          <w:marTop w:val="0"/>
          <w:marBottom w:val="0"/>
          <w:divBdr>
            <w:top w:val="none" w:sz="0" w:space="0" w:color="auto"/>
            <w:left w:val="none" w:sz="0" w:space="0" w:color="auto"/>
            <w:bottom w:val="none" w:sz="0" w:space="0" w:color="auto"/>
            <w:right w:val="none" w:sz="0" w:space="0" w:color="auto"/>
          </w:divBdr>
        </w:div>
        <w:div w:id="568617497">
          <w:marLeft w:val="0"/>
          <w:marRight w:val="0"/>
          <w:marTop w:val="0"/>
          <w:marBottom w:val="0"/>
          <w:divBdr>
            <w:top w:val="none" w:sz="0" w:space="0" w:color="auto"/>
            <w:left w:val="none" w:sz="0" w:space="0" w:color="auto"/>
            <w:bottom w:val="none" w:sz="0" w:space="0" w:color="auto"/>
            <w:right w:val="none" w:sz="0" w:space="0" w:color="auto"/>
          </w:divBdr>
        </w:div>
        <w:div w:id="576325862">
          <w:marLeft w:val="0"/>
          <w:marRight w:val="0"/>
          <w:marTop w:val="0"/>
          <w:marBottom w:val="0"/>
          <w:divBdr>
            <w:top w:val="none" w:sz="0" w:space="0" w:color="auto"/>
            <w:left w:val="none" w:sz="0" w:space="0" w:color="auto"/>
            <w:bottom w:val="none" w:sz="0" w:space="0" w:color="auto"/>
            <w:right w:val="none" w:sz="0" w:space="0" w:color="auto"/>
          </w:divBdr>
        </w:div>
        <w:div w:id="579601097">
          <w:marLeft w:val="0"/>
          <w:marRight w:val="0"/>
          <w:marTop w:val="0"/>
          <w:marBottom w:val="0"/>
          <w:divBdr>
            <w:top w:val="none" w:sz="0" w:space="0" w:color="auto"/>
            <w:left w:val="none" w:sz="0" w:space="0" w:color="auto"/>
            <w:bottom w:val="none" w:sz="0" w:space="0" w:color="auto"/>
            <w:right w:val="none" w:sz="0" w:space="0" w:color="auto"/>
          </w:divBdr>
        </w:div>
        <w:div w:id="601839467">
          <w:marLeft w:val="0"/>
          <w:marRight w:val="0"/>
          <w:marTop w:val="0"/>
          <w:marBottom w:val="0"/>
          <w:divBdr>
            <w:top w:val="none" w:sz="0" w:space="0" w:color="auto"/>
            <w:left w:val="none" w:sz="0" w:space="0" w:color="auto"/>
            <w:bottom w:val="none" w:sz="0" w:space="0" w:color="auto"/>
            <w:right w:val="none" w:sz="0" w:space="0" w:color="auto"/>
          </w:divBdr>
        </w:div>
        <w:div w:id="722599938">
          <w:marLeft w:val="0"/>
          <w:marRight w:val="0"/>
          <w:marTop w:val="0"/>
          <w:marBottom w:val="0"/>
          <w:divBdr>
            <w:top w:val="none" w:sz="0" w:space="0" w:color="auto"/>
            <w:left w:val="none" w:sz="0" w:space="0" w:color="auto"/>
            <w:bottom w:val="none" w:sz="0" w:space="0" w:color="auto"/>
            <w:right w:val="none" w:sz="0" w:space="0" w:color="auto"/>
          </w:divBdr>
        </w:div>
        <w:div w:id="810948893">
          <w:marLeft w:val="0"/>
          <w:marRight w:val="0"/>
          <w:marTop w:val="0"/>
          <w:marBottom w:val="0"/>
          <w:divBdr>
            <w:top w:val="none" w:sz="0" w:space="0" w:color="auto"/>
            <w:left w:val="none" w:sz="0" w:space="0" w:color="auto"/>
            <w:bottom w:val="none" w:sz="0" w:space="0" w:color="auto"/>
            <w:right w:val="none" w:sz="0" w:space="0" w:color="auto"/>
          </w:divBdr>
        </w:div>
        <w:div w:id="841238649">
          <w:marLeft w:val="0"/>
          <w:marRight w:val="0"/>
          <w:marTop w:val="0"/>
          <w:marBottom w:val="0"/>
          <w:divBdr>
            <w:top w:val="none" w:sz="0" w:space="0" w:color="auto"/>
            <w:left w:val="none" w:sz="0" w:space="0" w:color="auto"/>
            <w:bottom w:val="none" w:sz="0" w:space="0" w:color="auto"/>
            <w:right w:val="none" w:sz="0" w:space="0" w:color="auto"/>
          </w:divBdr>
        </w:div>
        <w:div w:id="845824381">
          <w:marLeft w:val="0"/>
          <w:marRight w:val="0"/>
          <w:marTop w:val="0"/>
          <w:marBottom w:val="0"/>
          <w:divBdr>
            <w:top w:val="none" w:sz="0" w:space="0" w:color="auto"/>
            <w:left w:val="none" w:sz="0" w:space="0" w:color="auto"/>
            <w:bottom w:val="none" w:sz="0" w:space="0" w:color="auto"/>
            <w:right w:val="none" w:sz="0" w:space="0" w:color="auto"/>
          </w:divBdr>
        </w:div>
        <w:div w:id="943734841">
          <w:marLeft w:val="0"/>
          <w:marRight w:val="0"/>
          <w:marTop w:val="0"/>
          <w:marBottom w:val="0"/>
          <w:divBdr>
            <w:top w:val="none" w:sz="0" w:space="0" w:color="auto"/>
            <w:left w:val="none" w:sz="0" w:space="0" w:color="auto"/>
            <w:bottom w:val="none" w:sz="0" w:space="0" w:color="auto"/>
            <w:right w:val="none" w:sz="0" w:space="0" w:color="auto"/>
          </w:divBdr>
        </w:div>
        <w:div w:id="994796091">
          <w:marLeft w:val="0"/>
          <w:marRight w:val="0"/>
          <w:marTop w:val="0"/>
          <w:marBottom w:val="0"/>
          <w:divBdr>
            <w:top w:val="none" w:sz="0" w:space="0" w:color="auto"/>
            <w:left w:val="none" w:sz="0" w:space="0" w:color="auto"/>
            <w:bottom w:val="none" w:sz="0" w:space="0" w:color="auto"/>
            <w:right w:val="none" w:sz="0" w:space="0" w:color="auto"/>
          </w:divBdr>
        </w:div>
        <w:div w:id="1047413384">
          <w:marLeft w:val="0"/>
          <w:marRight w:val="0"/>
          <w:marTop w:val="0"/>
          <w:marBottom w:val="0"/>
          <w:divBdr>
            <w:top w:val="none" w:sz="0" w:space="0" w:color="auto"/>
            <w:left w:val="none" w:sz="0" w:space="0" w:color="auto"/>
            <w:bottom w:val="none" w:sz="0" w:space="0" w:color="auto"/>
            <w:right w:val="none" w:sz="0" w:space="0" w:color="auto"/>
          </w:divBdr>
        </w:div>
        <w:div w:id="1076630685">
          <w:marLeft w:val="0"/>
          <w:marRight w:val="0"/>
          <w:marTop w:val="0"/>
          <w:marBottom w:val="0"/>
          <w:divBdr>
            <w:top w:val="none" w:sz="0" w:space="0" w:color="auto"/>
            <w:left w:val="none" w:sz="0" w:space="0" w:color="auto"/>
            <w:bottom w:val="none" w:sz="0" w:space="0" w:color="auto"/>
            <w:right w:val="none" w:sz="0" w:space="0" w:color="auto"/>
          </w:divBdr>
        </w:div>
        <w:div w:id="1104769386">
          <w:marLeft w:val="0"/>
          <w:marRight w:val="0"/>
          <w:marTop w:val="0"/>
          <w:marBottom w:val="0"/>
          <w:divBdr>
            <w:top w:val="none" w:sz="0" w:space="0" w:color="auto"/>
            <w:left w:val="none" w:sz="0" w:space="0" w:color="auto"/>
            <w:bottom w:val="none" w:sz="0" w:space="0" w:color="auto"/>
            <w:right w:val="none" w:sz="0" w:space="0" w:color="auto"/>
          </w:divBdr>
        </w:div>
        <w:div w:id="1113284392">
          <w:marLeft w:val="0"/>
          <w:marRight w:val="0"/>
          <w:marTop w:val="0"/>
          <w:marBottom w:val="0"/>
          <w:divBdr>
            <w:top w:val="none" w:sz="0" w:space="0" w:color="auto"/>
            <w:left w:val="none" w:sz="0" w:space="0" w:color="auto"/>
            <w:bottom w:val="none" w:sz="0" w:space="0" w:color="auto"/>
            <w:right w:val="none" w:sz="0" w:space="0" w:color="auto"/>
          </w:divBdr>
        </w:div>
        <w:div w:id="1174153539">
          <w:marLeft w:val="0"/>
          <w:marRight w:val="0"/>
          <w:marTop w:val="0"/>
          <w:marBottom w:val="0"/>
          <w:divBdr>
            <w:top w:val="none" w:sz="0" w:space="0" w:color="auto"/>
            <w:left w:val="none" w:sz="0" w:space="0" w:color="auto"/>
            <w:bottom w:val="none" w:sz="0" w:space="0" w:color="auto"/>
            <w:right w:val="none" w:sz="0" w:space="0" w:color="auto"/>
          </w:divBdr>
        </w:div>
        <w:div w:id="1228952515">
          <w:marLeft w:val="0"/>
          <w:marRight w:val="0"/>
          <w:marTop w:val="0"/>
          <w:marBottom w:val="0"/>
          <w:divBdr>
            <w:top w:val="none" w:sz="0" w:space="0" w:color="auto"/>
            <w:left w:val="none" w:sz="0" w:space="0" w:color="auto"/>
            <w:bottom w:val="none" w:sz="0" w:space="0" w:color="auto"/>
            <w:right w:val="none" w:sz="0" w:space="0" w:color="auto"/>
          </w:divBdr>
        </w:div>
        <w:div w:id="1269509303">
          <w:marLeft w:val="0"/>
          <w:marRight w:val="0"/>
          <w:marTop w:val="0"/>
          <w:marBottom w:val="0"/>
          <w:divBdr>
            <w:top w:val="none" w:sz="0" w:space="0" w:color="auto"/>
            <w:left w:val="none" w:sz="0" w:space="0" w:color="auto"/>
            <w:bottom w:val="none" w:sz="0" w:space="0" w:color="auto"/>
            <w:right w:val="none" w:sz="0" w:space="0" w:color="auto"/>
          </w:divBdr>
        </w:div>
        <w:div w:id="1297374600">
          <w:marLeft w:val="0"/>
          <w:marRight w:val="0"/>
          <w:marTop w:val="0"/>
          <w:marBottom w:val="0"/>
          <w:divBdr>
            <w:top w:val="none" w:sz="0" w:space="0" w:color="auto"/>
            <w:left w:val="none" w:sz="0" w:space="0" w:color="auto"/>
            <w:bottom w:val="none" w:sz="0" w:space="0" w:color="auto"/>
            <w:right w:val="none" w:sz="0" w:space="0" w:color="auto"/>
          </w:divBdr>
        </w:div>
        <w:div w:id="1305506136">
          <w:marLeft w:val="0"/>
          <w:marRight w:val="0"/>
          <w:marTop w:val="0"/>
          <w:marBottom w:val="0"/>
          <w:divBdr>
            <w:top w:val="none" w:sz="0" w:space="0" w:color="auto"/>
            <w:left w:val="none" w:sz="0" w:space="0" w:color="auto"/>
            <w:bottom w:val="none" w:sz="0" w:space="0" w:color="auto"/>
            <w:right w:val="none" w:sz="0" w:space="0" w:color="auto"/>
          </w:divBdr>
        </w:div>
        <w:div w:id="1318269520">
          <w:marLeft w:val="0"/>
          <w:marRight w:val="0"/>
          <w:marTop w:val="0"/>
          <w:marBottom w:val="0"/>
          <w:divBdr>
            <w:top w:val="none" w:sz="0" w:space="0" w:color="auto"/>
            <w:left w:val="none" w:sz="0" w:space="0" w:color="auto"/>
            <w:bottom w:val="none" w:sz="0" w:space="0" w:color="auto"/>
            <w:right w:val="none" w:sz="0" w:space="0" w:color="auto"/>
          </w:divBdr>
        </w:div>
        <w:div w:id="1428428103">
          <w:marLeft w:val="0"/>
          <w:marRight w:val="0"/>
          <w:marTop w:val="0"/>
          <w:marBottom w:val="0"/>
          <w:divBdr>
            <w:top w:val="none" w:sz="0" w:space="0" w:color="auto"/>
            <w:left w:val="none" w:sz="0" w:space="0" w:color="auto"/>
            <w:bottom w:val="none" w:sz="0" w:space="0" w:color="auto"/>
            <w:right w:val="none" w:sz="0" w:space="0" w:color="auto"/>
          </w:divBdr>
        </w:div>
        <w:div w:id="1443650614">
          <w:marLeft w:val="0"/>
          <w:marRight w:val="0"/>
          <w:marTop w:val="0"/>
          <w:marBottom w:val="0"/>
          <w:divBdr>
            <w:top w:val="none" w:sz="0" w:space="0" w:color="auto"/>
            <w:left w:val="none" w:sz="0" w:space="0" w:color="auto"/>
            <w:bottom w:val="none" w:sz="0" w:space="0" w:color="auto"/>
            <w:right w:val="none" w:sz="0" w:space="0" w:color="auto"/>
          </w:divBdr>
        </w:div>
        <w:div w:id="1501043602">
          <w:marLeft w:val="0"/>
          <w:marRight w:val="0"/>
          <w:marTop w:val="0"/>
          <w:marBottom w:val="0"/>
          <w:divBdr>
            <w:top w:val="none" w:sz="0" w:space="0" w:color="auto"/>
            <w:left w:val="none" w:sz="0" w:space="0" w:color="auto"/>
            <w:bottom w:val="none" w:sz="0" w:space="0" w:color="auto"/>
            <w:right w:val="none" w:sz="0" w:space="0" w:color="auto"/>
          </w:divBdr>
        </w:div>
        <w:div w:id="1538733798">
          <w:marLeft w:val="0"/>
          <w:marRight w:val="0"/>
          <w:marTop w:val="0"/>
          <w:marBottom w:val="0"/>
          <w:divBdr>
            <w:top w:val="none" w:sz="0" w:space="0" w:color="auto"/>
            <w:left w:val="none" w:sz="0" w:space="0" w:color="auto"/>
            <w:bottom w:val="none" w:sz="0" w:space="0" w:color="auto"/>
            <w:right w:val="none" w:sz="0" w:space="0" w:color="auto"/>
          </w:divBdr>
        </w:div>
        <w:div w:id="1575428878">
          <w:marLeft w:val="0"/>
          <w:marRight w:val="0"/>
          <w:marTop w:val="0"/>
          <w:marBottom w:val="0"/>
          <w:divBdr>
            <w:top w:val="none" w:sz="0" w:space="0" w:color="auto"/>
            <w:left w:val="none" w:sz="0" w:space="0" w:color="auto"/>
            <w:bottom w:val="none" w:sz="0" w:space="0" w:color="auto"/>
            <w:right w:val="none" w:sz="0" w:space="0" w:color="auto"/>
          </w:divBdr>
        </w:div>
        <w:div w:id="1604653218">
          <w:marLeft w:val="0"/>
          <w:marRight w:val="0"/>
          <w:marTop w:val="0"/>
          <w:marBottom w:val="0"/>
          <w:divBdr>
            <w:top w:val="none" w:sz="0" w:space="0" w:color="auto"/>
            <w:left w:val="none" w:sz="0" w:space="0" w:color="auto"/>
            <w:bottom w:val="none" w:sz="0" w:space="0" w:color="auto"/>
            <w:right w:val="none" w:sz="0" w:space="0" w:color="auto"/>
          </w:divBdr>
        </w:div>
        <w:div w:id="1613393267">
          <w:marLeft w:val="0"/>
          <w:marRight w:val="0"/>
          <w:marTop w:val="0"/>
          <w:marBottom w:val="0"/>
          <w:divBdr>
            <w:top w:val="none" w:sz="0" w:space="0" w:color="auto"/>
            <w:left w:val="none" w:sz="0" w:space="0" w:color="auto"/>
            <w:bottom w:val="none" w:sz="0" w:space="0" w:color="auto"/>
            <w:right w:val="none" w:sz="0" w:space="0" w:color="auto"/>
          </w:divBdr>
        </w:div>
        <w:div w:id="1643459244">
          <w:marLeft w:val="0"/>
          <w:marRight w:val="0"/>
          <w:marTop w:val="0"/>
          <w:marBottom w:val="0"/>
          <w:divBdr>
            <w:top w:val="none" w:sz="0" w:space="0" w:color="auto"/>
            <w:left w:val="none" w:sz="0" w:space="0" w:color="auto"/>
            <w:bottom w:val="none" w:sz="0" w:space="0" w:color="auto"/>
            <w:right w:val="none" w:sz="0" w:space="0" w:color="auto"/>
          </w:divBdr>
        </w:div>
        <w:div w:id="1648701827">
          <w:marLeft w:val="0"/>
          <w:marRight w:val="0"/>
          <w:marTop w:val="0"/>
          <w:marBottom w:val="0"/>
          <w:divBdr>
            <w:top w:val="none" w:sz="0" w:space="0" w:color="auto"/>
            <w:left w:val="none" w:sz="0" w:space="0" w:color="auto"/>
            <w:bottom w:val="none" w:sz="0" w:space="0" w:color="auto"/>
            <w:right w:val="none" w:sz="0" w:space="0" w:color="auto"/>
          </w:divBdr>
        </w:div>
        <w:div w:id="1682663277">
          <w:marLeft w:val="0"/>
          <w:marRight w:val="0"/>
          <w:marTop w:val="0"/>
          <w:marBottom w:val="0"/>
          <w:divBdr>
            <w:top w:val="none" w:sz="0" w:space="0" w:color="auto"/>
            <w:left w:val="none" w:sz="0" w:space="0" w:color="auto"/>
            <w:bottom w:val="none" w:sz="0" w:space="0" w:color="auto"/>
            <w:right w:val="none" w:sz="0" w:space="0" w:color="auto"/>
          </w:divBdr>
        </w:div>
        <w:div w:id="1730230699">
          <w:marLeft w:val="0"/>
          <w:marRight w:val="0"/>
          <w:marTop w:val="0"/>
          <w:marBottom w:val="0"/>
          <w:divBdr>
            <w:top w:val="none" w:sz="0" w:space="0" w:color="auto"/>
            <w:left w:val="none" w:sz="0" w:space="0" w:color="auto"/>
            <w:bottom w:val="none" w:sz="0" w:space="0" w:color="auto"/>
            <w:right w:val="none" w:sz="0" w:space="0" w:color="auto"/>
          </w:divBdr>
        </w:div>
        <w:div w:id="1762405818">
          <w:marLeft w:val="0"/>
          <w:marRight w:val="0"/>
          <w:marTop w:val="0"/>
          <w:marBottom w:val="0"/>
          <w:divBdr>
            <w:top w:val="none" w:sz="0" w:space="0" w:color="auto"/>
            <w:left w:val="none" w:sz="0" w:space="0" w:color="auto"/>
            <w:bottom w:val="none" w:sz="0" w:space="0" w:color="auto"/>
            <w:right w:val="none" w:sz="0" w:space="0" w:color="auto"/>
          </w:divBdr>
        </w:div>
        <w:div w:id="1811358872">
          <w:marLeft w:val="0"/>
          <w:marRight w:val="0"/>
          <w:marTop w:val="0"/>
          <w:marBottom w:val="0"/>
          <w:divBdr>
            <w:top w:val="none" w:sz="0" w:space="0" w:color="auto"/>
            <w:left w:val="none" w:sz="0" w:space="0" w:color="auto"/>
            <w:bottom w:val="none" w:sz="0" w:space="0" w:color="auto"/>
            <w:right w:val="none" w:sz="0" w:space="0" w:color="auto"/>
          </w:divBdr>
        </w:div>
        <w:div w:id="1862745032">
          <w:marLeft w:val="0"/>
          <w:marRight w:val="0"/>
          <w:marTop w:val="0"/>
          <w:marBottom w:val="0"/>
          <w:divBdr>
            <w:top w:val="none" w:sz="0" w:space="0" w:color="auto"/>
            <w:left w:val="none" w:sz="0" w:space="0" w:color="auto"/>
            <w:bottom w:val="none" w:sz="0" w:space="0" w:color="auto"/>
            <w:right w:val="none" w:sz="0" w:space="0" w:color="auto"/>
          </w:divBdr>
        </w:div>
        <w:div w:id="1873225637">
          <w:marLeft w:val="0"/>
          <w:marRight w:val="0"/>
          <w:marTop w:val="0"/>
          <w:marBottom w:val="0"/>
          <w:divBdr>
            <w:top w:val="none" w:sz="0" w:space="0" w:color="auto"/>
            <w:left w:val="none" w:sz="0" w:space="0" w:color="auto"/>
            <w:bottom w:val="none" w:sz="0" w:space="0" w:color="auto"/>
            <w:right w:val="none" w:sz="0" w:space="0" w:color="auto"/>
          </w:divBdr>
        </w:div>
        <w:div w:id="1886060564">
          <w:marLeft w:val="0"/>
          <w:marRight w:val="0"/>
          <w:marTop w:val="0"/>
          <w:marBottom w:val="0"/>
          <w:divBdr>
            <w:top w:val="none" w:sz="0" w:space="0" w:color="auto"/>
            <w:left w:val="none" w:sz="0" w:space="0" w:color="auto"/>
            <w:bottom w:val="none" w:sz="0" w:space="0" w:color="auto"/>
            <w:right w:val="none" w:sz="0" w:space="0" w:color="auto"/>
          </w:divBdr>
        </w:div>
        <w:div w:id="1934631919">
          <w:marLeft w:val="0"/>
          <w:marRight w:val="0"/>
          <w:marTop w:val="0"/>
          <w:marBottom w:val="0"/>
          <w:divBdr>
            <w:top w:val="none" w:sz="0" w:space="0" w:color="auto"/>
            <w:left w:val="none" w:sz="0" w:space="0" w:color="auto"/>
            <w:bottom w:val="none" w:sz="0" w:space="0" w:color="auto"/>
            <w:right w:val="none" w:sz="0" w:space="0" w:color="auto"/>
          </w:divBdr>
        </w:div>
        <w:div w:id="1984114625">
          <w:marLeft w:val="0"/>
          <w:marRight w:val="0"/>
          <w:marTop w:val="0"/>
          <w:marBottom w:val="0"/>
          <w:divBdr>
            <w:top w:val="none" w:sz="0" w:space="0" w:color="auto"/>
            <w:left w:val="none" w:sz="0" w:space="0" w:color="auto"/>
            <w:bottom w:val="none" w:sz="0" w:space="0" w:color="auto"/>
            <w:right w:val="none" w:sz="0" w:space="0" w:color="auto"/>
          </w:divBdr>
        </w:div>
        <w:div w:id="2147163626">
          <w:marLeft w:val="0"/>
          <w:marRight w:val="0"/>
          <w:marTop w:val="0"/>
          <w:marBottom w:val="0"/>
          <w:divBdr>
            <w:top w:val="none" w:sz="0" w:space="0" w:color="auto"/>
            <w:left w:val="none" w:sz="0" w:space="0" w:color="auto"/>
            <w:bottom w:val="none" w:sz="0" w:space="0" w:color="auto"/>
            <w:right w:val="none" w:sz="0" w:space="0" w:color="auto"/>
          </w:divBdr>
        </w:div>
      </w:divsChild>
    </w:div>
    <w:div w:id="1532063115">
      <w:bodyDiv w:val="1"/>
      <w:marLeft w:val="0"/>
      <w:marRight w:val="0"/>
      <w:marTop w:val="0"/>
      <w:marBottom w:val="0"/>
      <w:divBdr>
        <w:top w:val="none" w:sz="0" w:space="0" w:color="auto"/>
        <w:left w:val="none" w:sz="0" w:space="0" w:color="auto"/>
        <w:bottom w:val="none" w:sz="0" w:space="0" w:color="auto"/>
        <w:right w:val="none" w:sz="0" w:space="0" w:color="auto"/>
      </w:divBdr>
      <w:divsChild>
        <w:div w:id="1173229194">
          <w:marLeft w:val="0"/>
          <w:marRight w:val="0"/>
          <w:marTop w:val="0"/>
          <w:marBottom w:val="0"/>
          <w:divBdr>
            <w:top w:val="none" w:sz="0" w:space="0" w:color="auto"/>
            <w:left w:val="none" w:sz="0" w:space="0" w:color="auto"/>
            <w:bottom w:val="none" w:sz="0" w:space="0" w:color="auto"/>
            <w:right w:val="none" w:sz="0" w:space="0" w:color="auto"/>
          </w:divBdr>
        </w:div>
        <w:div w:id="1776709608">
          <w:marLeft w:val="0"/>
          <w:marRight w:val="0"/>
          <w:marTop w:val="0"/>
          <w:marBottom w:val="0"/>
          <w:divBdr>
            <w:top w:val="none" w:sz="0" w:space="0" w:color="auto"/>
            <w:left w:val="none" w:sz="0" w:space="0" w:color="auto"/>
            <w:bottom w:val="none" w:sz="0" w:space="0" w:color="auto"/>
            <w:right w:val="none" w:sz="0" w:space="0" w:color="auto"/>
          </w:divBdr>
        </w:div>
      </w:divsChild>
    </w:div>
    <w:div w:id="1538351171">
      <w:bodyDiv w:val="1"/>
      <w:marLeft w:val="0"/>
      <w:marRight w:val="0"/>
      <w:marTop w:val="0"/>
      <w:marBottom w:val="0"/>
      <w:divBdr>
        <w:top w:val="none" w:sz="0" w:space="0" w:color="auto"/>
        <w:left w:val="none" w:sz="0" w:space="0" w:color="auto"/>
        <w:bottom w:val="none" w:sz="0" w:space="0" w:color="auto"/>
        <w:right w:val="none" w:sz="0" w:space="0" w:color="auto"/>
      </w:divBdr>
      <w:divsChild>
        <w:div w:id="1591743215">
          <w:marLeft w:val="0"/>
          <w:marRight w:val="0"/>
          <w:marTop w:val="0"/>
          <w:marBottom w:val="0"/>
          <w:divBdr>
            <w:top w:val="none" w:sz="0" w:space="0" w:color="auto"/>
            <w:left w:val="none" w:sz="0" w:space="0" w:color="auto"/>
            <w:bottom w:val="none" w:sz="0" w:space="0" w:color="auto"/>
            <w:right w:val="none" w:sz="0" w:space="0" w:color="auto"/>
          </w:divBdr>
        </w:div>
      </w:divsChild>
    </w:div>
    <w:div w:id="1549799317">
      <w:bodyDiv w:val="1"/>
      <w:marLeft w:val="0"/>
      <w:marRight w:val="0"/>
      <w:marTop w:val="0"/>
      <w:marBottom w:val="0"/>
      <w:divBdr>
        <w:top w:val="none" w:sz="0" w:space="0" w:color="auto"/>
        <w:left w:val="none" w:sz="0" w:space="0" w:color="auto"/>
        <w:bottom w:val="none" w:sz="0" w:space="0" w:color="auto"/>
        <w:right w:val="none" w:sz="0" w:space="0" w:color="auto"/>
      </w:divBdr>
      <w:divsChild>
        <w:div w:id="119492786">
          <w:marLeft w:val="0"/>
          <w:marRight w:val="0"/>
          <w:marTop w:val="0"/>
          <w:marBottom w:val="0"/>
          <w:divBdr>
            <w:top w:val="none" w:sz="0" w:space="0" w:color="auto"/>
            <w:left w:val="none" w:sz="0" w:space="0" w:color="auto"/>
            <w:bottom w:val="none" w:sz="0" w:space="0" w:color="auto"/>
            <w:right w:val="none" w:sz="0" w:space="0" w:color="auto"/>
          </w:divBdr>
        </w:div>
        <w:div w:id="989601264">
          <w:marLeft w:val="0"/>
          <w:marRight w:val="0"/>
          <w:marTop w:val="0"/>
          <w:marBottom w:val="0"/>
          <w:divBdr>
            <w:top w:val="none" w:sz="0" w:space="0" w:color="auto"/>
            <w:left w:val="none" w:sz="0" w:space="0" w:color="auto"/>
            <w:bottom w:val="none" w:sz="0" w:space="0" w:color="auto"/>
            <w:right w:val="none" w:sz="0" w:space="0" w:color="auto"/>
          </w:divBdr>
        </w:div>
      </w:divsChild>
    </w:div>
    <w:div w:id="1553300139">
      <w:bodyDiv w:val="1"/>
      <w:marLeft w:val="0"/>
      <w:marRight w:val="0"/>
      <w:marTop w:val="0"/>
      <w:marBottom w:val="0"/>
      <w:divBdr>
        <w:top w:val="none" w:sz="0" w:space="0" w:color="auto"/>
        <w:left w:val="none" w:sz="0" w:space="0" w:color="auto"/>
        <w:bottom w:val="none" w:sz="0" w:space="0" w:color="auto"/>
        <w:right w:val="none" w:sz="0" w:space="0" w:color="auto"/>
      </w:divBdr>
      <w:divsChild>
        <w:div w:id="756101179">
          <w:marLeft w:val="0"/>
          <w:marRight w:val="0"/>
          <w:marTop w:val="0"/>
          <w:marBottom w:val="0"/>
          <w:divBdr>
            <w:top w:val="none" w:sz="0" w:space="0" w:color="auto"/>
            <w:left w:val="none" w:sz="0" w:space="0" w:color="auto"/>
            <w:bottom w:val="none" w:sz="0" w:space="0" w:color="auto"/>
            <w:right w:val="none" w:sz="0" w:space="0" w:color="auto"/>
          </w:divBdr>
        </w:div>
        <w:div w:id="1285429212">
          <w:marLeft w:val="0"/>
          <w:marRight w:val="0"/>
          <w:marTop w:val="0"/>
          <w:marBottom w:val="0"/>
          <w:divBdr>
            <w:top w:val="none" w:sz="0" w:space="0" w:color="auto"/>
            <w:left w:val="none" w:sz="0" w:space="0" w:color="auto"/>
            <w:bottom w:val="none" w:sz="0" w:space="0" w:color="auto"/>
            <w:right w:val="none" w:sz="0" w:space="0" w:color="auto"/>
          </w:divBdr>
        </w:div>
      </w:divsChild>
    </w:div>
    <w:div w:id="1580866026">
      <w:bodyDiv w:val="1"/>
      <w:marLeft w:val="0"/>
      <w:marRight w:val="0"/>
      <w:marTop w:val="0"/>
      <w:marBottom w:val="0"/>
      <w:divBdr>
        <w:top w:val="none" w:sz="0" w:space="0" w:color="auto"/>
        <w:left w:val="none" w:sz="0" w:space="0" w:color="auto"/>
        <w:bottom w:val="none" w:sz="0" w:space="0" w:color="auto"/>
        <w:right w:val="none" w:sz="0" w:space="0" w:color="auto"/>
      </w:divBdr>
      <w:divsChild>
        <w:div w:id="230317215">
          <w:marLeft w:val="-720"/>
          <w:marRight w:val="0"/>
          <w:marTop w:val="0"/>
          <w:marBottom w:val="0"/>
          <w:divBdr>
            <w:top w:val="none" w:sz="0" w:space="0" w:color="auto"/>
            <w:left w:val="none" w:sz="0" w:space="0" w:color="auto"/>
            <w:bottom w:val="none" w:sz="0" w:space="0" w:color="auto"/>
            <w:right w:val="none" w:sz="0" w:space="0" w:color="auto"/>
          </w:divBdr>
        </w:div>
      </w:divsChild>
    </w:div>
    <w:div w:id="1590652496">
      <w:bodyDiv w:val="1"/>
      <w:marLeft w:val="0"/>
      <w:marRight w:val="0"/>
      <w:marTop w:val="0"/>
      <w:marBottom w:val="0"/>
      <w:divBdr>
        <w:top w:val="none" w:sz="0" w:space="0" w:color="auto"/>
        <w:left w:val="none" w:sz="0" w:space="0" w:color="auto"/>
        <w:bottom w:val="none" w:sz="0" w:space="0" w:color="auto"/>
        <w:right w:val="none" w:sz="0" w:space="0" w:color="auto"/>
      </w:divBdr>
      <w:divsChild>
        <w:div w:id="15008948">
          <w:marLeft w:val="0"/>
          <w:marRight w:val="0"/>
          <w:marTop w:val="0"/>
          <w:marBottom w:val="0"/>
          <w:divBdr>
            <w:top w:val="none" w:sz="0" w:space="0" w:color="auto"/>
            <w:left w:val="none" w:sz="0" w:space="0" w:color="auto"/>
            <w:bottom w:val="none" w:sz="0" w:space="0" w:color="auto"/>
            <w:right w:val="none" w:sz="0" w:space="0" w:color="auto"/>
          </w:divBdr>
          <w:divsChild>
            <w:div w:id="558981841">
              <w:marLeft w:val="0"/>
              <w:marRight w:val="0"/>
              <w:marTop w:val="0"/>
              <w:marBottom w:val="0"/>
              <w:divBdr>
                <w:top w:val="none" w:sz="0" w:space="0" w:color="auto"/>
                <w:left w:val="none" w:sz="0" w:space="0" w:color="auto"/>
                <w:bottom w:val="none" w:sz="0" w:space="0" w:color="auto"/>
                <w:right w:val="none" w:sz="0" w:space="0" w:color="auto"/>
              </w:divBdr>
            </w:div>
          </w:divsChild>
        </w:div>
        <w:div w:id="21905243">
          <w:marLeft w:val="0"/>
          <w:marRight w:val="0"/>
          <w:marTop w:val="0"/>
          <w:marBottom w:val="0"/>
          <w:divBdr>
            <w:top w:val="none" w:sz="0" w:space="0" w:color="auto"/>
            <w:left w:val="none" w:sz="0" w:space="0" w:color="auto"/>
            <w:bottom w:val="none" w:sz="0" w:space="0" w:color="auto"/>
            <w:right w:val="none" w:sz="0" w:space="0" w:color="auto"/>
          </w:divBdr>
          <w:divsChild>
            <w:div w:id="885798412">
              <w:marLeft w:val="0"/>
              <w:marRight w:val="0"/>
              <w:marTop w:val="0"/>
              <w:marBottom w:val="0"/>
              <w:divBdr>
                <w:top w:val="none" w:sz="0" w:space="0" w:color="auto"/>
                <w:left w:val="none" w:sz="0" w:space="0" w:color="auto"/>
                <w:bottom w:val="none" w:sz="0" w:space="0" w:color="auto"/>
                <w:right w:val="none" w:sz="0" w:space="0" w:color="auto"/>
              </w:divBdr>
            </w:div>
          </w:divsChild>
        </w:div>
        <w:div w:id="58983427">
          <w:marLeft w:val="0"/>
          <w:marRight w:val="0"/>
          <w:marTop w:val="0"/>
          <w:marBottom w:val="0"/>
          <w:divBdr>
            <w:top w:val="none" w:sz="0" w:space="0" w:color="auto"/>
            <w:left w:val="none" w:sz="0" w:space="0" w:color="auto"/>
            <w:bottom w:val="none" w:sz="0" w:space="0" w:color="auto"/>
            <w:right w:val="none" w:sz="0" w:space="0" w:color="auto"/>
          </w:divBdr>
          <w:divsChild>
            <w:div w:id="1115633808">
              <w:marLeft w:val="0"/>
              <w:marRight w:val="0"/>
              <w:marTop w:val="0"/>
              <w:marBottom w:val="0"/>
              <w:divBdr>
                <w:top w:val="none" w:sz="0" w:space="0" w:color="auto"/>
                <w:left w:val="none" w:sz="0" w:space="0" w:color="auto"/>
                <w:bottom w:val="none" w:sz="0" w:space="0" w:color="auto"/>
                <w:right w:val="none" w:sz="0" w:space="0" w:color="auto"/>
              </w:divBdr>
            </w:div>
          </w:divsChild>
        </w:div>
        <w:div w:id="122235948">
          <w:marLeft w:val="0"/>
          <w:marRight w:val="0"/>
          <w:marTop w:val="0"/>
          <w:marBottom w:val="0"/>
          <w:divBdr>
            <w:top w:val="none" w:sz="0" w:space="0" w:color="auto"/>
            <w:left w:val="none" w:sz="0" w:space="0" w:color="auto"/>
            <w:bottom w:val="none" w:sz="0" w:space="0" w:color="auto"/>
            <w:right w:val="none" w:sz="0" w:space="0" w:color="auto"/>
          </w:divBdr>
          <w:divsChild>
            <w:div w:id="2008171068">
              <w:marLeft w:val="0"/>
              <w:marRight w:val="0"/>
              <w:marTop w:val="0"/>
              <w:marBottom w:val="0"/>
              <w:divBdr>
                <w:top w:val="none" w:sz="0" w:space="0" w:color="auto"/>
                <w:left w:val="none" w:sz="0" w:space="0" w:color="auto"/>
                <w:bottom w:val="none" w:sz="0" w:space="0" w:color="auto"/>
                <w:right w:val="none" w:sz="0" w:space="0" w:color="auto"/>
              </w:divBdr>
            </w:div>
          </w:divsChild>
        </w:div>
        <w:div w:id="169300028">
          <w:marLeft w:val="0"/>
          <w:marRight w:val="0"/>
          <w:marTop w:val="0"/>
          <w:marBottom w:val="0"/>
          <w:divBdr>
            <w:top w:val="none" w:sz="0" w:space="0" w:color="auto"/>
            <w:left w:val="none" w:sz="0" w:space="0" w:color="auto"/>
            <w:bottom w:val="none" w:sz="0" w:space="0" w:color="auto"/>
            <w:right w:val="none" w:sz="0" w:space="0" w:color="auto"/>
          </w:divBdr>
          <w:divsChild>
            <w:div w:id="151339993">
              <w:marLeft w:val="0"/>
              <w:marRight w:val="0"/>
              <w:marTop w:val="0"/>
              <w:marBottom w:val="0"/>
              <w:divBdr>
                <w:top w:val="none" w:sz="0" w:space="0" w:color="auto"/>
                <w:left w:val="none" w:sz="0" w:space="0" w:color="auto"/>
                <w:bottom w:val="none" w:sz="0" w:space="0" w:color="auto"/>
                <w:right w:val="none" w:sz="0" w:space="0" w:color="auto"/>
              </w:divBdr>
            </w:div>
          </w:divsChild>
        </w:div>
        <w:div w:id="170722982">
          <w:marLeft w:val="0"/>
          <w:marRight w:val="0"/>
          <w:marTop w:val="0"/>
          <w:marBottom w:val="0"/>
          <w:divBdr>
            <w:top w:val="none" w:sz="0" w:space="0" w:color="auto"/>
            <w:left w:val="none" w:sz="0" w:space="0" w:color="auto"/>
            <w:bottom w:val="none" w:sz="0" w:space="0" w:color="auto"/>
            <w:right w:val="none" w:sz="0" w:space="0" w:color="auto"/>
          </w:divBdr>
          <w:divsChild>
            <w:div w:id="216628560">
              <w:marLeft w:val="0"/>
              <w:marRight w:val="0"/>
              <w:marTop w:val="0"/>
              <w:marBottom w:val="0"/>
              <w:divBdr>
                <w:top w:val="none" w:sz="0" w:space="0" w:color="auto"/>
                <w:left w:val="none" w:sz="0" w:space="0" w:color="auto"/>
                <w:bottom w:val="none" w:sz="0" w:space="0" w:color="auto"/>
                <w:right w:val="none" w:sz="0" w:space="0" w:color="auto"/>
              </w:divBdr>
            </w:div>
          </w:divsChild>
        </w:div>
        <w:div w:id="219942523">
          <w:marLeft w:val="0"/>
          <w:marRight w:val="0"/>
          <w:marTop w:val="0"/>
          <w:marBottom w:val="0"/>
          <w:divBdr>
            <w:top w:val="none" w:sz="0" w:space="0" w:color="auto"/>
            <w:left w:val="none" w:sz="0" w:space="0" w:color="auto"/>
            <w:bottom w:val="none" w:sz="0" w:space="0" w:color="auto"/>
            <w:right w:val="none" w:sz="0" w:space="0" w:color="auto"/>
          </w:divBdr>
          <w:divsChild>
            <w:div w:id="1040787539">
              <w:marLeft w:val="0"/>
              <w:marRight w:val="0"/>
              <w:marTop w:val="0"/>
              <w:marBottom w:val="0"/>
              <w:divBdr>
                <w:top w:val="none" w:sz="0" w:space="0" w:color="auto"/>
                <w:left w:val="none" w:sz="0" w:space="0" w:color="auto"/>
                <w:bottom w:val="none" w:sz="0" w:space="0" w:color="auto"/>
                <w:right w:val="none" w:sz="0" w:space="0" w:color="auto"/>
              </w:divBdr>
            </w:div>
          </w:divsChild>
        </w:div>
        <w:div w:id="228655343">
          <w:marLeft w:val="0"/>
          <w:marRight w:val="0"/>
          <w:marTop w:val="0"/>
          <w:marBottom w:val="0"/>
          <w:divBdr>
            <w:top w:val="none" w:sz="0" w:space="0" w:color="auto"/>
            <w:left w:val="none" w:sz="0" w:space="0" w:color="auto"/>
            <w:bottom w:val="none" w:sz="0" w:space="0" w:color="auto"/>
            <w:right w:val="none" w:sz="0" w:space="0" w:color="auto"/>
          </w:divBdr>
          <w:divsChild>
            <w:div w:id="1530757112">
              <w:marLeft w:val="0"/>
              <w:marRight w:val="0"/>
              <w:marTop w:val="0"/>
              <w:marBottom w:val="0"/>
              <w:divBdr>
                <w:top w:val="none" w:sz="0" w:space="0" w:color="auto"/>
                <w:left w:val="none" w:sz="0" w:space="0" w:color="auto"/>
                <w:bottom w:val="none" w:sz="0" w:space="0" w:color="auto"/>
                <w:right w:val="none" w:sz="0" w:space="0" w:color="auto"/>
              </w:divBdr>
            </w:div>
          </w:divsChild>
        </w:div>
        <w:div w:id="242643897">
          <w:marLeft w:val="0"/>
          <w:marRight w:val="0"/>
          <w:marTop w:val="0"/>
          <w:marBottom w:val="0"/>
          <w:divBdr>
            <w:top w:val="none" w:sz="0" w:space="0" w:color="auto"/>
            <w:left w:val="none" w:sz="0" w:space="0" w:color="auto"/>
            <w:bottom w:val="none" w:sz="0" w:space="0" w:color="auto"/>
            <w:right w:val="none" w:sz="0" w:space="0" w:color="auto"/>
          </w:divBdr>
          <w:divsChild>
            <w:div w:id="168182122">
              <w:marLeft w:val="0"/>
              <w:marRight w:val="0"/>
              <w:marTop w:val="0"/>
              <w:marBottom w:val="0"/>
              <w:divBdr>
                <w:top w:val="none" w:sz="0" w:space="0" w:color="auto"/>
                <w:left w:val="none" w:sz="0" w:space="0" w:color="auto"/>
                <w:bottom w:val="none" w:sz="0" w:space="0" w:color="auto"/>
                <w:right w:val="none" w:sz="0" w:space="0" w:color="auto"/>
              </w:divBdr>
            </w:div>
          </w:divsChild>
        </w:div>
        <w:div w:id="480586817">
          <w:marLeft w:val="0"/>
          <w:marRight w:val="0"/>
          <w:marTop w:val="0"/>
          <w:marBottom w:val="0"/>
          <w:divBdr>
            <w:top w:val="none" w:sz="0" w:space="0" w:color="auto"/>
            <w:left w:val="none" w:sz="0" w:space="0" w:color="auto"/>
            <w:bottom w:val="none" w:sz="0" w:space="0" w:color="auto"/>
            <w:right w:val="none" w:sz="0" w:space="0" w:color="auto"/>
          </w:divBdr>
          <w:divsChild>
            <w:div w:id="1558322295">
              <w:marLeft w:val="0"/>
              <w:marRight w:val="0"/>
              <w:marTop w:val="0"/>
              <w:marBottom w:val="0"/>
              <w:divBdr>
                <w:top w:val="none" w:sz="0" w:space="0" w:color="auto"/>
                <w:left w:val="none" w:sz="0" w:space="0" w:color="auto"/>
                <w:bottom w:val="none" w:sz="0" w:space="0" w:color="auto"/>
                <w:right w:val="none" w:sz="0" w:space="0" w:color="auto"/>
              </w:divBdr>
            </w:div>
          </w:divsChild>
        </w:div>
        <w:div w:id="504783390">
          <w:marLeft w:val="0"/>
          <w:marRight w:val="0"/>
          <w:marTop w:val="0"/>
          <w:marBottom w:val="0"/>
          <w:divBdr>
            <w:top w:val="none" w:sz="0" w:space="0" w:color="auto"/>
            <w:left w:val="none" w:sz="0" w:space="0" w:color="auto"/>
            <w:bottom w:val="none" w:sz="0" w:space="0" w:color="auto"/>
            <w:right w:val="none" w:sz="0" w:space="0" w:color="auto"/>
          </w:divBdr>
          <w:divsChild>
            <w:div w:id="873153905">
              <w:marLeft w:val="0"/>
              <w:marRight w:val="0"/>
              <w:marTop w:val="0"/>
              <w:marBottom w:val="0"/>
              <w:divBdr>
                <w:top w:val="none" w:sz="0" w:space="0" w:color="auto"/>
                <w:left w:val="none" w:sz="0" w:space="0" w:color="auto"/>
                <w:bottom w:val="none" w:sz="0" w:space="0" w:color="auto"/>
                <w:right w:val="none" w:sz="0" w:space="0" w:color="auto"/>
              </w:divBdr>
            </w:div>
          </w:divsChild>
        </w:div>
        <w:div w:id="571506082">
          <w:marLeft w:val="0"/>
          <w:marRight w:val="0"/>
          <w:marTop w:val="0"/>
          <w:marBottom w:val="0"/>
          <w:divBdr>
            <w:top w:val="none" w:sz="0" w:space="0" w:color="auto"/>
            <w:left w:val="none" w:sz="0" w:space="0" w:color="auto"/>
            <w:bottom w:val="none" w:sz="0" w:space="0" w:color="auto"/>
            <w:right w:val="none" w:sz="0" w:space="0" w:color="auto"/>
          </w:divBdr>
          <w:divsChild>
            <w:div w:id="729693149">
              <w:marLeft w:val="0"/>
              <w:marRight w:val="0"/>
              <w:marTop w:val="0"/>
              <w:marBottom w:val="0"/>
              <w:divBdr>
                <w:top w:val="none" w:sz="0" w:space="0" w:color="auto"/>
                <w:left w:val="none" w:sz="0" w:space="0" w:color="auto"/>
                <w:bottom w:val="none" w:sz="0" w:space="0" w:color="auto"/>
                <w:right w:val="none" w:sz="0" w:space="0" w:color="auto"/>
              </w:divBdr>
            </w:div>
          </w:divsChild>
        </w:div>
        <w:div w:id="585917786">
          <w:marLeft w:val="0"/>
          <w:marRight w:val="0"/>
          <w:marTop w:val="0"/>
          <w:marBottom w:val="0"/>
          <w:divBdr>
            <w:top w:val="none" w:sz="0" w:space="0" w:color="auto"/>
            <w:left w:val="none" w:sz="0" w:space="0" w:color="auto"/>
            <w:bottom w:val="none" w:sz="0" w:space="0" w:color="auto"/>
            <w:right w:val="none" w:sz="0" w:space="0" w:color="auto"/>
          </w:divBdr>
          <w:divsChild>
            <w:div w:id="2007586723">
              <w:marLeft w:val="0"/>
              <w:marRight w:val="0"/>
              <w:marTop w:val="0"/>
              <w:marBottom w:val="0"/>
              <w:divBdr>
                <w:top w:val="none" w:sz="0" w:space="0" w:color="auto"/>
                <w:left w:val="none" w:sz="0" w:space="0" w:color="auto"/>
                <w:bottom w:val="none" w:sz="0" w:space="0" w:color="auto"/>
                <w:right w:val="none" w:sz="0" w:space="0" w:color="auto"/>
              </w:divBdr>
            </w:div>
          </w:divsChild>
        </w:div>
        <w:div w:id="626013895">
          <w:marLeft w:val="0"/>
          <w:marRight w:val="0"/>
          <w:marTop w:val="0"/>
          <w:marBottom w:val="0"/>
          <w:divBdr>
            <w:top w:val="none" w:sz="0" w:space="0" w:color="auto"/>
            <w:left w:val="none" w:sz="0" w:space="0" w:color="auto"/>
            <w:bottom w:val="none" w:sz="0" w:space="0" w:color="auto"/>
            <w:right w:val="none" w:sz="0" w:space="0" w:color="auto"/>
          </w:divBdr>
          <w:divsChild>
            <w:div w:id="1587497363">
              <w:marLeft w:val="0"/>
              <w:marRight w:val="0"/>
              <w:marTop w:val="0"/>
              <w:marBottom w:val="0"/>
              <w:divBdr>
                <w:top w:val="none" w:sz="0" w:space="0" w:color="auto"/>
                <w:left w:val="none" w:sz="0" w:space="0" w:color="auto"/>
                <w:bottom w:val="none" w:sz="0" w:space="0" w:color="auto"/>
                <w:right w:val="none" w:sz="0" w:space="0" w:color="auto"/>
              </w:divBdr>
            </w:div>
          </w:divsChild>
        </w:div>
        <w:div w:id="681978849">
          <w:marLeft w:val="0"/>
          <w:marRight w:val="0"/>
          <w:marTop w:val="0"/>
          <w:marBottom w:val="0"/>
          <w:divBdr>
            <w:top w:val="none" w:sz="0" w:space="0" w:color="auto"/>
            <w:left w:val="none" w:sz="0" w:space="0" w:color="auto"/>
            <w:bottom w:val="none" w:sz="0" w:space="0" w:color="auto"/>
            <w:right w:val="none" w:sz="0" w:space="0" w:color="auto"/>
          </w:divBdr>
          <w:divsChild>
            <w:div w:id="102573029">
              <w:marLeft w:val="0"/>
              <w:marRight w:val="0"/>
              <w:marTop w:val="0"/>
              <w:marBottom w:val="0"/>
              <w:divBdr>
                <w:top w:val="none" w:sz="0" w:space="0" w:color="auto"/>
                <w:left w:val="none" w:sz="0" w:space="0" w:color="auto"/>
                <w:bottom w:val="none" w:sz="0" w:space="0" w:color="auto"/>
                <w:right w:val="none" w:sz="0" w:space="0" w:color="auto"/>
              </w:divBdr>
            </w:div>
          </w:divsChild>
        </w:div>
        <w:div w:id="821233658">
          <w:marLeft w:val="0"/>
          <w:marRight w:val="0"/>
          <w:marTop w:val="0"/>
          <w:marBottom w:val="0"/>
          <w:divBdr>
            <w:top w:val="none" w:sz="0" w:space="0" w:color="auto"/>
            <w:left w:val="none" w:sz="0" w:space="0" w:color="auto"/>
            <w:bottom w:val="none" w:sz="0" w:space="0" w:color="auto"/>
            <w:right w:val="none" w:sz="0" w:space="0" w:color="auto"/>
          </w:divBdr>
          <w:divsChild>
            <w:div w:id="313023135">
              <w:marLeft w:val="0"/>
              <w:marRight w:val="0"/>
              <w:marTop w:val="0"/>
              <w:marBottom w:val="0"/>
              <w:divBdr>
                <w:top w:val="none" w:sz="0" w:space="0" w:color="auto"/>
                <w:left w:val="none" w:sz="0" w:space="0" w:color="auto"/>
                <w:bottom w:val="none" w:sz="0" w:space="0" w:color="auto"/>
                <w:right w:val="none" w:sz="0" w:space="0" w:color="auto"/>
              </w:divBdr>
            </w:div>
          </w:divsChild>
        </w:div>
        <w:div w:id="863517150">
          <w:marLeft w:val="0"/>
          <w:marRight w:val="0"/>
          <w:marTop w:val="0"/>
          <w:marBottom w:val="0"/>
          <w:divBdr>
            <w:top w:val="none" w:sz="0" w:space="0" w:color="auto"/>
            <w:left w:val="none" w:sz="0" w:space="0" w:color="auto"/>
            <w:bottom w:val="none" w:sz="0" w:space="0" w:color="auto"/>
            <w:right w:val="none" w:sz="0" w:space="0" w:color="auto"/>
          </w:divBdr>
          <w:divsChild>
            <w:div w:id="2034500980">
              <w:marLeft w:val="0"/>
              <w:marRight w:val="0"/>
              <w:marTop w:val="0"/>
              <w:marBottom w:val="0"/>
              <w:divBdr>
                <w:top w:val="none" w:sz="0" w:space="0" w:color="auto"/>
                <w:left w:val="none" w:sz="0" w:space="0" w:color="auto"/>
                <w:bottom w:val="none" w:sz="0" w:space="0" w:color="auto"/>
                <w:right w:val="none" w:sz="0" w:space="0" w:color="auto"/>
              </w:divBdr>
            </w:div>
          </w:divsChild>
        </w:div>
        <w:div w:id="879049004">
          <w:marLeft w:val="0"/>
          <w:marRight w:val="0"/>
          <w:marTop w:val="0"/>
          <w:marBottom w:val="0"/>
          <w:divBdr>
            <w:top w:val="none" w:sz="0" w:space="0" w:color="auto"/>
            <w:left w:val="none" w:sz="0" w:space="0" w:color="auto"/>
            <w:bottom w:val="none" w:sz="0" w:space="0" w:color="auto"/>
            <w:right w:val="none" w:sz="0" w:space="0" w:color="auto"/>
          </w:divBdr>
          <w:divsChild>
            <w:div w:id="370810810">
              <w:marLeft w:val="0"/>
              <w:marRight w:val="0"/>
              <w:marTop w:val="0"/>
              <w:marBottom w:val="0"/>
              <w:divBdr>
                <w:top w:val="none" w:sz="0" w:space="0" w:color="auto"/>
                <w:left w:val="none" w:sz="0" w:space="0" w:color="auto"/>
                <w:bottom w:val="none" w:sz="0" w:space="0" w:color="auto"/>
                <w:right w:val="none" w:sz="0" w:space="0" w:color="auto"/>
              </w:divBdr>
            </w:div>
          </w:divsChild>
        </w:div>
        <w:div w:id="949361255">
          <w:marLeft w:val="0"/>
          <w:marRight w:val="0"/>
          <w:marTop w:val="0"/>
          <w:marBottom w:val="0"/>
          <w:divBdr>
            <w:top w:val="none" w:sz="0" w:space="0" w:color="auto"/>
            <w:left w:val="none" w:sz="0" w:space="0" w:color="auto"/>
            <w:bottom w:val="none" w:sz="0" w:space="0" w:color="auto"/>
            <w:right w:val="none" w:sz="0" w:space="0" w:color="auto"/>
          </w:divBdr>
          <w:divsChild>
            <w:div w:id="1737319733">
              <w:marLeft w:val="0"/>
              <w:marRight w:val="0"/>
              <w:marTop w:val="0"/>
              <w:marBottom w:val="0"/>
              <w:divBdr>
                <w:top w:val="none" w:sz="0" w:space="0" w:color="auto"/>
                <w:left w:val="none" w:sz="0" w:space="0" w:color="auto"/>
                <w:bottom w:val="none" w:sz="0" w:space="0" w:color="auto"/>
                <w:right w:val="none" w:sz="0" w:space="0" w:color="auto"/>
              </w:divBdr>
            </w:div>
          </w:divsChild>
        </w:div>
        <w:div w:id="964577738">
          <w:marLeft w:val="0"/>
          <w:marRight w:val="0"/>
          <w:marTop w:val="0"/>
          <w:marBottom w:val="0"/>
          <w:divBdr>
            <w:top w:val="none" w:sz="0" w:space="0" w:color="auto"/>
            <w:left w:val="none" w:sz="0" w:space="0" w:color="auto"/>
            <w:bottom w:val="none" w:sz="0" w:space="0" w:color="auto"/>
            <w:right w:val="none" w:sz="0" w:space="0" w:color="auto"/>
          </w:divBdr>
          <w:divsChild>
            <w:div w:id="414785443">
              <w:marLeft w:val="0"/>
              <w:marRight w:val="0"/>
              <w:marTop w:val="0"/>
              <w:marBottom w:val="0"/>
              <w:divBdr>
                <w:top w:val="none" w:sz="0" w:space="0" w:color="auto"/>
                <w:left w:val="none" w:sz="0" w:space="0" w:color="auto"/>
                <w:bottom w:val="none" w:sz="0" w:space="0" w:color="auto"/>
                <w:right w:val="none" w:sz="0" w:space="0" w:color="auto"/>
              </w:divBdr>
            </w:div>
          </w:divsChild>
        </w:div>
        <w:div w:id="1033192492">
          <w:marLeft w:val="0"/>
          <w:marRight w:val="0"/>
          <w:marTop w:val="0"/>
          <w:marBottom w:val="0"/>
          <w:divBdr>
            <w:top w:val="none" w:sz="0" w:space="0" w:color="auto"/>
            <w:left w:val="none" w:sz="0" w:space="0" w:color="auto"/>
            <w:bottom w:val="none" w:sz="0" w:space="0" w:color="auto"/>
            <w:right w:val="none" w:sz="0" w:space="0" w:color="auto"/>
          </w:divBdr>
          <w:divsChild>
            <w:div w:id="1815948356">
              <w:marLeft w:val="0"/>
              <w:marRight w:val="0"/>
              <w:marTop w:val="0"/>
              <w:marBottom w:val="0"/>
              <w:divBdr>
                <w:top w:val="none" w:sz="0" w:space="0" w:color="auto"/>
                <w:left w:val="none" w:sz="0" w:space="0" w:color="auto"/>
                <w:bottom w:val="none" w:sz="0" w:space="0" w:color="auto"/>
                <w:right w:val="none" w:sz="0" w:space="0" w:color="auto"/>
              </w:divBdr>
            </w:div>
          </w:divsChild>
        </w:div>
        <w:div w:id="1055735528">
          <w:marLeft w:val="0"/>
          <w:marRight w:val="0"/>
          <w:marTop w:val="0"/>
          <w:marBottom w:val="0"/>
          <w:divBdr>
            <w:top w:val="none" w:sz="0" w:space="0" w:color="auto"/>
            <w:left w:val="none" w:sz="0" w:space="0" w:color="auto"/>
            <w:bottom w:val="none" w:sz="0" w:space="0" w:color="auto"/>
            <w:right w:val="none" w:sz="0" w:space="0" w:color="auto"/>
          </w:divBdr>
          <w:divsChild>
            <w:div w:id="1631859363">
              <w:marLeft w:val="0"/>
              <w:marRight w:val="0"/>
              <w:marTop w:val="0"/>
              <w:marBottom w:val="0"/>
              <w:divBdr>
                <w:top w:val="none" w:sz="0" w:space="0" w:color="auto"/>
                <w:left w:val="none" w:sz="0" w:space="0" w:color="auto"/>
                <w:bottom w:val="none" w:sz="0" w:space="0" w:color="auto"/>
                <w:right w:val="none" w:sz="0" w:space="0" w:color="auto"/>
              </w:divBdr>
            </w:div>
          </w:divsChild>
        </w:div>
        <w:div w:id="1121995457">
          <w:marLeft w:val="0"/>
          <w:marRight w:val="0"/>
          <w:marTop w:val="0"/>
          <w:marBottom w:val="0"/>
          <w:divBdr>
            <w:top w:val="none" w:sz="0" w:space="0" w:color="auto"/>
            <w:left w:val="none" w:sz="0" w:space="0" w:color="auto"/>
            <w:bottom w:val="none" w:sz="0" w:space="0" w:color="auto"/>
            <w:right w:val="none" w:sz="0" w:space="0" w:color="auto"/>
          </w:divBdr>
          <w:divsChild>
            <w:div w:id="1514615263">
              <w:marLeft w:val="0"/>
              <w:marRight w:val="0"/>
              <w:marTop w:val="0"/>
              <w:marBottom w:val="0"/>
              <w:divBdr>
                <w:top w:val="none" w:sz="0" w:space="0" w:color="auto"/>
                <w:left w:val="none" w:sz="0" w:space="0" w:color="auto"/>
                <w:bottom w:val="none" w:sz="0" w:space="0" w:color="auto"/>
                <w:right w:val="none" w:sz="0" w:space="0" w:color="auto"/>
              </w:divBdr>
            </w:div>
          </w:divsChild>
        </w:div>
        <w:div w:id="1300764670">
          <w:marLeft w:val="0"/>
          <w:marRight w:val="0"/>
          <w:marTop w:val="0"/>
          <w:marBottom w:val="0"/>
          <w:divBdr>
            <w:top w:val="none" w:sz="0" w:space="0" w:color="auto"/>
            <w:left w:val="none" w:sz="0" w:space="0" w:color="auto"/>
            <w:bottom w:val="none" w:sz="0" w:space="0" w:color="auto"/>
            <w:right w:val="none" w:sz="0" w:space="0" w:color="auto"/>
          </w:divBdr>
          <w:divsChild>
            <w:div w:id="132989345">
              <w:marLeft w:val="0"/>
              <w:marRight w:val="0"/>
              <w:marTop w:val="0"/>
              <w:marBottom w:val="0"/>
              <w:divBdr>
                <w:top w:val="none" w:sz="0" w:space="0" w:color="auto"/>
                <w:left w:val="none" w:sz="0" w:space="0" w:color="auto"/>
                <w:bottom w:val="none" w:sz="0" w:space="0" w:color="auto"/>
                <w:right w:val="none" w:sz="0" w:space="0" w:color="auto"/>
              </w:divBdr>
            </w:div>
          </w:divsChild>
        </w:div>
        <w:div w:id="1353146000">
          <w:marLeft w:val="0"/>
          <w:marRight w:val="0"/>
          <w:marTop w:val="0"/>
          <w:marBottom w:val="0"/>
          <w:divBdr>
            <w:top w:val="none" w:sz="0" w:space="0" w:color="auto"/>
            <w:left w:val="none" w:sz="0" w:space="0" w:color="auto"/>
            <w:bottom w:val="none" w:sz="0" w:space="0" w:color="auto"/>
            <w:right w:val="none" w:sz="0" w:space="0" w:color="auto"/>
          </w:divBdr>
          <w:divsChild>
            <w:div w:id="1795909041">
              <w:marLeft w:val="0"/>
              <w:marRight w:val="0"/>
              <w:marTop w:val="0"/>
              <w:marBottom w:val="0"/>
              <w:divBdr>
                <w:top w:val="none" w:sz="0" w:space="0" w:color="auto"/>
                <w:left w:val="none" w:sz="0" w:space="0" w:color="auto"/>
                <w:bottom w:val="none" w:sz="0" w:space="0" w:color="auto"/>
                <w:right w:val="none" w:sz="0" w:space="0" w:color="auto"/>
              </w:divBdr>
            </w:div>
          </w:divsChild>
        </w:div>
        <w:div w:id="1355375344">
          <w:marLeft w:val="0"/>
          <w:marRight w:val="0"/>
          <w:marTop w:val="0"/>
          <w:marBottom w:val="0"/>
          <w:divBdr>
            <w:top w:val="none" w:sz="0" w:space="0" w:color="auto"/>
            <w:left w:val="none" w:sz="0" w:space="0" w:color="auto"/>
            <w:bottom w:val="none" w:sz="0" w:space="0" w:color="auto"/>
            <w:right w:val="none" w:sz="0" w:space="0" w:color="auto"/>
          </w:divBdr>
          <w:divsChild>
            <w:div w:id="1355376482">
              <w:marLeft w:val="0"/>
              <w:marRight w:val="0"/>
              <w:marTop w:val="0"/>
              <w:marBottom w:val="0"/>
              <w:divBdr>
                <w:top w:val="none" w:sz="0" w:space="0" w:color="auto"/>
                <w:left w:val="none" w:sz="0" w:space="0" w:color="auto"/>
                <w:bottom w:val="none" w:sz="0" w:space="0" w:color="auto"/>
                <w:right w:val="none" w:sz="0" w:space="0" w:color="auto"/>
              </w:divBdr>
            </w:div>
          </w:divsChild>
        </w:div>
        <w:div w:id="1356883722">
          <w:marLeft w:val="0"/>
          <w:marRight w:val="0"/>
          <w:marTop w:val="0"/>
          <w:marBottom w:val="0"/>
          <w:divBdr>
            <w:top w:val="none" w:sz="0" w:space="0" w:color="auto"/>
            <w:left w:val="none" w:sz="0" w:space="0" w:color="auto"/>
            <w:bottom w:val="none" w:sz="0" w:space="0" w:color="auto"/>
            <w:right w:val="none" w:sz="0" w:space="0" w:color="auto"/>
          </w:divBdr>
          <w:divsChild>
            <w:div w:id="1170607487">
              <w:marLeft w:val="0"/>
              <w:marRight w:val="0"/>
              <w:marTop w:val="0"/>
              <w:marBottom w:val="0"/>
              <w:divBdr>
                <w:top w:val="none" w:sz="0" w:space="0" w:color="auto"/>
                <w:left w:val="none" w:sz="0" w:space="0" w:color="auto"/>
                <w:bottom w:val="none" w:sz="0" w:space="0" w:color="auto"/>
                <w:right w:val="none" w:sz="0" w:space="0" w:color="auto"/>
              </w:divBdr>
            </w:div>
          </w:divsChild>
        </w:div>
        <w:div w:id="1356996984">
          <w:marLeft w:val="0"/>
          <w:marRight w:val="0"/>
          <w:marTop w:val="0"/>
          <w:marBottom w:val="0"/>
          <w:divBdr>
            <w:top w:val="none" w:sz="0" w:space="0" w:color="auto"/>
            <w:left w:val="none" w:sz="0" w:space="0" w:color="auto"/>
            <w:bottom w:val="none" w:sz="0" w:space="0" w:color="auto"/>
            <w:right w:val="none" w:sz="0" w:space="0" w:color="auto"/>
          </w:divBdr>
          <w:divsChild>
            <w:div w:id="523373084">
              <w:marLeft w:val="0"/>
              <w:marRight w:val="0"/>
              <w:marTop w:val="0"/>
              <w:marBottom w:val="0"/>
              <w:divBdr>
                <w:top w:val="none" w:sz="0" w:space="0" w:color="auto"/>
                <w:left w:val="none" w:sz="0" w:space="0" w:color="auto"/>
                <w:bottom w:val="none" w:sz="0" w:space="0" w:color="auto"/>
                <w:right w:val="none" w:sz="0" w:space="0" w:color="auto"/>
              </w:divBdr>
            </w:div>
          </w:divsChild>
        </w:div>
        <w:div w:id="1387681312">
          <w:marLeft w:val="0"/>
          <w:marRight w:val="0"/>
          <w:marTop w:val="0"/>
          <w:marBottom w:val="0"/>
          <w:divBdr>
            <w:top w:val="none" w:sz="0" w:space="0" w:color="auto"/>
            <w:left w:val="none" w:sz="0" w:space="0" w:color="auto"/>
            <w:bottom w:val="none" w:sz="0" w:space="0" w:color="auto"/>
            <w:right w:val="none" w:sz="0" w:space="0" w:color="auto"/>
          </w:divBdr>
          <w:divsChild>
            <w:div w:id="2135907166">
              <w:marLeft w:val="0"/>
              <w:marRight w:val="0"/>
              <w:marTop w:val="0"/>
              <w:marBottom w:val="0"/>
              <w:divBdr>
                <w:top w:val="none" w:sz="0" w:space="0" w:color="auto"/>
                <w:left w:val="none" w:sz="0" w:space="0" w:color="auto"/>
                <w:bottom w:val="none" w:sz="0" w:space="0" w:color="auto"/>
                <w:right w:val="none" w:sz="0" w:space="0" w:color="auto"/>
              </w:divBdr>
            </w:div>
          </w:divsChild>
        </w:div>
        <w:div w:id="1389643437">
          <w:marLeft w:val="0"/>
          <w:marRight w:val="0"/>
          <w:marTop w:val="0"/>
          <w:marBottom w:val="0"/>
          <w:divBdr>
            <w:top w:val="none" w:sz="0" w:space="0" w:color="auto"/>
            <w:left w:val="none" w:sz="0" w:space="0" w:color="auto"/>
            <w:bottom w:val="none" w:sz="0" w:space="0" w:color="auto"/>
            <w:right w:val="none" w:sz="0" w:space="0" w:color="auto"/>
          </w:divBdr>
          <w:divsChild>
            <w:div w:id="563757780">
              <w:marLeft w:val="0"/>
              <w:marRight w:val="0"/>
              <w:marTop w:val="0"/>
              <w:marBottom w:val="0"/>
              <w:divBdr>
                <w:top w:val="none" w:sz="0" w:space="0" w:color="auto"/>
                <w:left w:val="none" w:sz="0" w:space="0" w:color="auto"/>
                <w:bottom w:val="none" w:sz="0" w:space="0" w:color="auto"/>
                <w:right w:val="none" w:sz="0" w:space="0" w:color="auto"/>
              </w:divBdr>
            </w:div>
          </w:divsChild>
        </w:div>
        <w:div w:id="1406997479">
          <w:marLeft w:val="0"/>
          <w:marRight w:val="0"/>
          <w:marTop w:val="0"/>
          <w:marBottom w:val="0"/>
          <w:divBdr>
            <w:top w:val="none" w:sz="0" w:space="0" w:color="auto"/>
            <w:left w:val="none" w:sz="0" w:space="0" w:color="auto"/>
            <w:bottom w:val="none" w:sz="0" w:space="0" w:color="auto"/>
            <w:right w:val="none" w:sz="0" w:space="0" w:color="auto"/>
          </w:divBdr>
          <w:divsChild>
            <w:div w:id="2036227331">
              <w:marLeft w:val="0"/>
              <w:marRight w:val="0"/>
              <w:marTop w:val="0"/>
              <w:marBottom w:val="0"/>
              <w:divBdr>
                <w:top w:val="none" w:sz="0" w:space="0" w:color="auto"/>
                <w:left w:val="none" w:sz="0" w:space="0" w:color="auto"/>
                <w:bottom w:val="none" w:sz="0" w:space="0" w:color="auto"/>
                <w:right w:val="none" w:sz="0" w:space="0" w:color="auto"/>
              </w:divBdr>
            </w:div>
          </w:divsChild>
        </w:div>
        <w:div w:id="1486625957">
          <w:marLeft w:val="0"/>
          <w:marRight w:val="0"/>
          <w:marTop w:val="0"/>
          <w:marBottom w:val="0"/>
          <w:divBdr>
            <w:top w:val="none" w:sz="0" w:space="0" w:color="auto"/>
            <w:left w:val="none" w:sz="0" w:space="0" w:color="auto"/>
            <w:bottom w:val="none" w:sz="0" w:space="0" w:color="auto"/>
            <w:right w:val="none" w:sz="0" w:space="0" w:color="auto"/>
          </w:divBdr>
          <w:divsChild>
            <w:div w:id="1621643946">
              <w:marLeft w:val="0"/>
              <w:marRight w:val="0"/>
              <w:marTop w:val="0"/>
              <w:marBottom w:val="0"/>
              <w:divBdr>
                <w:top w:val="none" w:sz="0" w:space="0" w:color="auto"/>
                <w:left w:val="none" w:sz="0" w:space="0" w:color="auto"/>
                <w:bottom w:val="none" w:sz="0" w:space="0" w:color="auto"/>
                <w:right w:val="none" w:sz="0" w:space="0" w:color="auto"/>
              </w:divBdr>
            </w:div>
          </w:divsChild>
        </w:div>
        <w:div w:id="1576403464">
          <w:marLeft w:val="0"/>
          <w:marRight w:val="0"/>
          <w:marTop w:val="0"/>
          <w:marBottom w:val="0"/>
          <w:divBdr>
            <w:top w:val="none" w:sz="0" w:space="0" w:color="auto"/>
            <w:left w:val="none" w:sz="0" w:space="0" w:color="auto"/>
            <w:bottom w:val="none" w:sz="0" w:space="0" w:color="auto"/>
            <w:right w:val="none" w:sz="0" w:space="0" w:color="auto"/>
          </w:divBdr>
          <w:divsChild>
            <w:div w:id="1809349016">
              <w:marLeft w:val="0"/>
              <w:marRight w:val="0"/>
              <w:marTop w:val="0"/>
              <w:marBottom w:val="0"/>
              <w:divBdr>
                <w:top w:val="none" w:sz="0" w:space="0" w:color="auto"/>
                <w:left w:val="none" w:sz="0" w:space="0" w:color="auto"/>
                <w:bottom w:val="none" w:sz="0" w:space="0" w:color="auto"/>
                <w:right w:val="none" w:sz="0" w:space="0" w:color="auto"/>
              </w:divBdr>
            </w:div>
          </w:divsChild>
        </w:div>
        <w:div w:id="1640644764">
          <w:marLeft w:val="0"/>
          <w:marRight w:val="0"/>
          <w:marTop w:val="0"/>
          <w:marBottom w:val="0"/>
          <w:divBdr>
            <w:top w:val="none" w:sz="0" w:space="0" w:color="auto"/>
            <w:left w:val="none" w:sz="0" w:space="0" w:color="auto"/>
            <w:bottom w:val="none" w:sz="0" w:space="0" w:color="auto"/>
            <w:right w:val="none" w:sz="0" w:space="0" w:color="auto"/>
          </w:divBdr>
          <w:divsChild>
            <w:div w:id="78136277">
              <w:marLeft w:val="0"/>
              <w:marRight w:val="0"/>
              <w:marTop w:val="0"/>
              <w:marBottom w:val="0"/>
              <w:divBdr>
                <w:top w:val="none" w:sz="0" w:space="0" w:color="auto"/>
                <w:left w:val="none" w:sz="0" w:space="0" w:color="auto"/>
                <w:bottom w:val="none" w:sz="0" w:space="0" w:color="auto"/>
                <w:right w:val="none" w:sz="0" w:space="0" w:color="auto"/>
              </w:divBdr>
            </w:div>
          </w:divsChild>
        </w:div>
        <w:div w:id="1670064319">
          <w:marLeft w:val="0"/>
          <w:marRight w:val="0"/>
          <w:marTop w:val="0"/>
          <w:marBottom w:val="0"/>
          <w:divBdr>
            <w:top w:val="none" w:sz="0" w:space="0" w:color="auto"/>
            <w:left w:val="none" w:sz="0" w:space="0" w:color="auto"/>
            <w:bottom w:val="none" w:sz="0" w:space="0" w:color="auto"/>
            <w:right w:val="none" w:sz="0" w:space="0" w:color="auto"/>
          </w:divBdr>
          <w:divsChild>
            <w:div w:id="1165823233">
              <w:marLeft w:val="0"/>
              <w:marRight w:val="0"/>
              <w:marTop w:val="0"/>
              <w:marBottom w:val="0"/>
              <w:divBdr>
                <w:top w:val="none" w:sz="0" w:space="0" w:color="auto"/>
                <w:left w:val="none" w:sz="0" w:space="0" w:color="auto"/>
                <w:bottom w:val="none" w:sz="0" w:space="0" w:color="auto"/>
                <w:right w:val="none" w:sz="0" w:space="0" w:color="auto"/>
              </w:divBdr>
            </w:div>
          </w:divsChild>
        </w:div>
        <w:div w:id="1745957171">
          <w:marLeft w:val="0"/>
          <w:marRight w:val="0"/>
          <w:marTop w:val="0"/>
          <w:marBottom w:val="0"/>
          <w:divBdr>
            <w:top w:val="none" w:sz="0" w:space="0" w:color="auto"/>
            <w:left w:val="none" w:sz="0" w:space="0" w:color="auto"/>
            <w:bottom w:val="none" w:sz="0" w:space="0" w:color="auto"/>
            <w:right w:val="none" w:sz="0" w:space="0" w:color="auto"/>
          </w:divBdr>
          <w:divsChild>
            <w:div w:id="620187159">
              <w:marLeft w:val="0"/>
              <w:marRight w:val="0"/>
              <w:marTop w:val="0"/>
              <w:marBottom w:val="0"/>
              <w:divBdr>
                <w:top w:val="none" w:sz="0" w:space="0" w:color="auto"/>
                <w:left w:val="none" w:sz="0" w:space="0" w:color="auto"/>
                <w:bottom w:val="none" w:sz="0" w:space="0" w:color="auto"/>
                <w:right w:val="none" w:sz="0" w:space="0" w:color="auto"/>
              </w:divBdr>
            </w:div>
          </w:divsChild>
        </w:div>
        <w:div w:id="1752122801">
          <w:marLeft w:val="0"/>
          <w:marRight w:val="0"/>
          <w:marTop w:val="0"/>
          <w:marBottom w:val="0"/>
          <w:divBdr>
            <w:top w:val="none" w:sz="0" w:space="0" w:color="auto"/>
            <w:left w:val="none" w:sz="0" w:space="0" w:color="auto"/>
            <w:bottom w:val="none" w:sz="0" w:space="0" w:color="auto"/>
            <w:right w:val="none" w:sz="0" w:space="0" w:color="auto"/>
          </w:divBdr>
          <w:divsChild>
            <w:div w:id="1587422013">
              <w:marLeft w:val="0"/>
              <w:marRight w:val="0"/>
              <w:marTop w:val="0"/>
              <w:marBottom w:val="0"/>
              <w:divBdr>
                <w:top w:val="none" w:sz="0" w:space="0" w:color="auto"/>
                <w:left w:val="none" w:sz="0" w:space="0" w:color="auto"/>
                <w:bottom w:val="none" w:sz="0" w:space="0" w:color="auto"/>
                <w:right w:val="none" w:sz="0" w:space="0" w:color="auto"/>
              </w:divBdr>
            </w:div>
          </w:divsChild>
        </w:div>
        <w:div w:id="1875579031">
          <w:marLeft w:val="0"/>
          <w:marRight w:val="0"/>
          <w:marTop w:val="0"/>
          <w:marBottom w:val="0"/>
          <w:divBdr>
            <w:top w:val="none" w:sz="0" w:space="0" w:color="auto"/>
            <w:left w:val="none" w:sz="0" w:space="0" w:color="auto"/>
            <w:bottom w:val="none" w:sz="0" w:space="0" w:color="auto"/>
            <w:right w:val="none" w:sz="0" w:space="0" w:color="auto"/>
          </w:divBdr>
          <w:divsChild>
            <w:div w:id="589894790">
              <w:marLeft w:val="0"/>
              <w:marRight w:val="0"/>
              <w:marTop w:val="0"/>
              <w:marBottom w:val="0"/>
              <w:divBdr>
                <w:top w:val="none" w:sz="0" w:space="0" w:color="auto"/>
                <w:left w:val="none" w:sz="0" w:space="0" w:color="auto"/>
                <w:bottom w:val="none" w:sz="0" w:space="0" w:color="auto"/>
                <w:right w:val="none" w:sz="0" w:space="0" w:color="auto"/>
              </w:divBdr>
            </w:div>
          </w:divsChild>
        </w:div>
        <w:div w:id="1903979321">
          <w:marLeft w:val="0"/>
          <w:marRight w:val="0"/>
          <w:marTop w:val="0"/>
          <w:marBottom w:val="0"/>
          <w:divBdr>
            <w:top w:val="none" w:sz="0" w:space="0" w:color="auto"/>
            <w:left w:val="none" w:sz="0" w:space="0" w:color="auto"/>
            <w:bottom w:val="none" w:sz="0" w:space="0" w:color="auto"/>
            <w:right w:val="none" w:sz="0" w:space="0" w:color="auto"/>
          </w:divBdr>
          <w:divsChild>
            <w:div w:id="701367980">
              <w:marLeft w:val="0"/>
              <w:marRight w:val="0"/>
              <w:marTop w:val="0"/>
              <w:marBottom w:val="0"/>
              <w:divBdr>
                <w:top w:val="none" w:sz="0" w:space="0" w:color="auto"/>
                <w:left w:val="none" w:sz="0" w:space="0" w:color="auto"/>
                <w:bottom w:val="none" w:sz="0" w:space="0" w:color="auto"/>
                <w:right w:val="none" w:sz="0" w:space="0" w:color="auto"/>
              </w:divBdr>
            </w:div>
          </w:divsChild>
        </w:div>
        <w:div w:id="2042705446">
          <w:marLeft w:val="0"/>
          <w:marRight w:val="0"/>
          <w:marTop w:val="0"/>
          <w:marBottom w:val="0"/>
          <w:divBdr>
            <w:top w:val="none" w:sz="0" w:space="0" w:color="auto"/>
            <w:left w:val="none" w:sz="0" w:space="0" w:color="auto"/>
            <w:bottom w:val="none" w:sz="0" w:space="0" w:color="auto"/>
            <w:right w:val="none" w:sz="0" w:space="0" w:color="auto"/>
          </w:divBdr>
          <w:divsChild>
            <w:div w:id="12223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4007">
      <w:bodyDiv w:val="1"/>
      <w:marLeft w:val="0"/>
      <w:marRight w:val="0"/>
      <w:marTop w:val="0"/>
      <w:marBottom w:val="0"/>
      <w:divBdr>
        <w:top w:val="none" w:sz="0" w:space="0" w:color="auto"/>
        <w:left w:val="none" w:sz="0" w:space="0" w:color="auto"/>
        <w:bottom w:val="none" w:sz="0" w:space="0" w:color="auto"/>
        <w:right w:val="none" w:sz="0" w:space="0" w:color="auto"/>
      </w:divBdr>
      <w:divsChild>
        <w:div w:id="65304296">
          <w:marLeft w:val="0"/>
          <w:marRight w:val="0"/>
          <w:marTop w:val="0"/>
          <w:marBottom w:val="0"/>
          <w:divBdr>
            <w:top w:val="none" w:sz="0" w:space="0" w:color="auto"/>
            <w:left w:val="none" w:sz="0" w:space="0" w:color="auto"/>
            <w:bottom w:val="none" w:sz="0" w:space="0" w:color="auto"/>
            <w:right w:val="none" w:sz="0" w:space="0" w:color="auto"/>
          </w:divBdr>
        </w:div>
      </w:divsChild>
    </w:div>
    <w:div w:id="1610383093">
      <w:bodyDiv w:val="1"/>
      <w:marLeft w:val="0"/>
      <w:marRight w:val="0"/>
      <w:marTop w:val="0"/>
      <w:marBottom w:val="0"/>
      <w:divBdr>
        <w:top w:val="none" w:sz="0" w:space="0" w:color="auto"/>
        <w:left w:val="none" w:sz="0" w:space="0" w:color="auto"/>
        <w:bottom w:val="none" w:sz="0" w:space="0" w:color="auto"/>
        <w:right w:val="none" w:sz="0" w:space="0" w:color="auto"/>
      </w:divBdr>
    </w:div>
    <w:div w:id="1629817326">
      <w:bodyDiv w:val="1"/>
      <w:marLeft w:val="0"/>
      <w:marRight w:val="0"/>
      <w:marTop w:val="0"/>
      <w:marBottom w:val="0"/>
      <w:divBdr>
        <w:top w:val="none" w:sz="0" w:space="0" w:color="auto"/>
        <w:left w:val="none" w:sz="0" w:space="0" w:color="auto"/>
        <w:bottom w:val="none" w:sz="0" w:space="0" w:color="auto"/>
        <w:right w:val="none" w:sz="0" w:space="0" w:color="auto"/>
      </w:divBdr>
    </w:div>
    <w:div w:id="1662737193">
      <w:bodyDiv w:val="1"/>
      <w:marLeft w:val="0"/>
      <w:marRight w:val="0"/>
      <w:marTop w:val="0"/>
      <w:marBottom w:val="0"/>
      <w:divBdr>
        <w:top w:val="none" w:sz="0" w:space="0" w:color="auto"/>
        <w:left w:val="none" w:sz="0" w:space="0" w:color="auto"/>
        <w:bottom w:val="none" w:sz="0" w:space="0" w:color="auto"/>
        <w:right w:val="none" w:sz="0" w:space="0" w:color="auto"/>
      </w:divBdr>
      <w:divsChild>
        <w:div w:id="245385577">
          <w:marLeft w:val="0"/>
          <w:marRight w:val="0"/>
          <w:marTop w:val="0"/>
          <w:marBottom w:val="0"/>
          <w:divBdr>
            <w:top w:val="none" w:sz="0" w:space="0" w:color="auto"/>
            <w:left w:val="none" w:sz="0" w:space="0" w:color="auto"/>
            <w:bottom w:val="none" w:sz="0" w:space="0" w:color="auto"/>
            <w:right w:val="none" w:sz="0" w:space="0" w:color="auto"/>
          </w:divBdr>
        </w:div>
      </w:divsChild>
    </w:div>
    <w:div w:id="1668091461">
      <w:bodyDiv w:val="1"/>
      <w:marLeft w:val="0"/>
      <w:marRight w:val="0"/>
      <w:marTop w:val="0"/>
      <w:marBottom w:val="0"/>
      <w:divBdr>
        <w:top w:val="none" w:sz="0" w:space="0" w:color="auto"/>
        <w:left w:val="none" w:sz="0" w:space="0" w:color="auto"/>
        <w:bottom w:val="none" w:sz="0" w:space="0" w:color="auto"/>
        <w:right w:val="none" w:sz="0" w:space="0" w:color="auto"/>
      </w:divBdr>
    </w:div>
    <w:div w:id="1672682603">
      <w:bodyDiv w:val="1"/>
      <w:marLeft w:val="0"/>
      <w:marRight w:val="0"/>
      <w:marTop w:val="0"/>
      <w:marBottom w:val="0"/>
      <w:divBdr>
        <w:top w:val="none" w:sz="0" w:space="0" w:color="auto"/>
        <w:left w:val="none" w:sz="0" w:space="0" w:color="auto"/>
        <w:bottom w:val="none" w:sz="0" w:space="0" w:color="auto"/>
        <w:right w:val="none" w:sz="0" w:space="0" w:color="auto"/>
      </w:divBdr>
    </w:div>
    <w:div w:id="1700665327">
      <w:bodyDiv w:val="1"/>
      <w:marLeft w:val="0"/>
      <w:marRight w:val="0"/>
      <w:marTop w:val="0"/>
      <w:marBottom w:val="0"/>
      <w:divBdr>
        <w:top w:val="none" w:sz="0" w:space="0" w:color="auto"/>
        <w:left w:val="none" w:sz="0" w:space="0" w:color="auto"/>
        <w:bottom w:val="none" w:sz="0" w:space="0" w:color="auto"/>
        <w:right w:val="none" w:sz="0" w:space="0" w:color="auto"/>
      </w:divBdr>
      <w:divsChild>
        <w:div w:id="183135162">
          <w:marLeft w:val="0"/>
          <w:marRight w:val="0"/>
          <w:marTop w:val="0"/>
          <w:marBottom w:val="0"/>
          <w:divBdr>
            <w:top w:val="none" w:sz="0" w:space="0" w:color="auto"/>
            <w:left w:val="none" w:sz="0" w:space="0" w:color="auto"/>
            <w:bottom w:val="none" w:sz="0" w:space="0" w:color="auto"/>
            <w:right w:val="none" w:sz="0" w:space="0" w:color="auto"/>
          </w:divBdr>
        </w:div>
        <w:div w:id="272060534">
          <w:marLeft w:val="0"/>
          <w:marRight w:val="0"/>
          <w:marTop w:val="0"/>
          <w:marBottom w:val="0"/>
          <w:divBdr>
            <w:top w:val="none" w:sz="0" w:space="0" w:color="auto"/>
            <w:left w:val="none" w:sz="0" w:space="0" w:color="auto"/>
            <w:bottom w:val="none" w:sz="0" w:space="0" w:color="auto"/>
            <w:right w:val="none" w:sz="0" w:space="0" w:color="auto"/>
          </w:divBdr>
        </w:div>
        <w:div w:id="448208612">
          <w:marLeft w:val="0"/>
          <w:marRight w:val="0"/>
          <w:marTop w:val="0"/>
          <w:marBottom w:val="0"/>
          <w:divBdr>
            <w:top w:val="none" w:sz="0" w:space="0" w:color="auto"/>
            <w:left w:val="none" w:sz="0" w:space="0" w:color="auto"/>
            <w:bottom w:val="none" w:sz="0" w:space="0" w:color="auto"/>
            <w:right w:val="none" w:sz="0" w:space="0" w:color="auto"/>
          </w:divBdr>
        </w:div>
        <w:div w:id="672026737">
          <w:marLeft w:val="0"/>
          <w:marRight w:val="0"/>
          <w:marTop w:val="0"/>
          <w:marBottom w:val="0"/>
          <w:divBdr>
            <w:top w:val="none" w:sz="0" w:space="0" w:color="auto"/>
            <w:left w:val="none" w:sz="0" w:space="0" w:color="auto"/>
            <w:bottom w:val="none" w:sz="0" w:space="0" w:color="auto"/>
            <w:right w:val="none" w:sz="0" w:space="0" w:color="auto"/>
          </w:divBdr>
        </w:div>
        <w:div w:id="757025511">
          <w:marLeft w:val="0"/>
          <w:marRight w:val="0"/>
          <w:marTop w:val="0"/>
          <w:marBottom w:val="0"/>
          <w:divBdr>
            <w:top w:val="none" w:sz="0" w:space="0" w:color="auto"/>
            <w:left w:val="none" w:sz="0" w:space="0" w:color="auto"/>
            <w:bottom w:val="none" w:sz="0" w:space="0" w:color="auto"/>
            <w:right w:val="none" w:sz="0" w:space="0" w:color="auto"/>
          </w:divBdr>
        </w:div>
        <w:div w:id="878206855">
          <w:marLeft w:val="0"/>
          <w:marRight w:val="0"/>
          <w:marTop w:val="0"/>
          <w:marBottom w:val="0"/>
          <w:divBdr>
            <w:top w:val="none" w:sz="0" w:space="0" w:color="auto"/>
            <w:left w:val="none" w:sz="0" w:space="0" w:color="auto"/>
            <w:bottom w:val="none" w:sz="0" w:space="0" w:color="auto"/>
            <w:right w:val="none" w:sz="0" w:space="0" w:color="auto"/>
          </w:divBdr>
        </w:div>
        <w:div w:id="1690792772">
          <w:marLeft w:val="0"/>
          <w:marRight w:val="0"/>
          <w:marTop w:val="0"/>
          <w:marBottom w:val="0"/>
          <w:divBdr>
            <w:top w:val="none" w:sz="0" w:space="0" w:color="auto"/>
            <w:left w:val="none" w:sz="0" w:space="0" w:color="auto"/>
            <w:bottom w:val="none" w:sz="0" w:space="0" w:color="auto"/>
            <w:right w:val="none" w:sz="0" w:space="0" w:color="auto"/>
          </w:divBdr>
        </w:div>
        <w:div w:id="2031753832">
          <w:marLeft w:val="0"/>
          <w:marRight w:val="0"/>
          <w:marTop w:val="0"/>
          <w:marBottom w:val="0"/>
          <w:divBdr>
            <w:top w:val="none" w:sz="0" w:space="0" w:color="auto"/>
            <w:left w:val="none" w:sz="0" w:space="0" w:color="auto"/>
            <w:bottom w:val="none" w:sz="0" w:space="0" w:color="auto"/>
            <w:right w:val="none" w:sz="0" w:space="0" w:color="auto"/>
          </w:divBdr>
        </w:div>
      </w:divsChild>
    </w:div>
    <w:div w:id="1718702908">
      <w:bodyDiv w:val="1"/>
      <w:marLeft w:val="0"/>
      <w:marRight w:val="0"/>
      <w:marTop w:val="0"/>
      <w:marBottom w:val="0"/>
      <w:divBdr>
        <w:top w:val="none" w:sz="0" w:space="0" w:color="auto"/>
        <w:left w:val="none" w:sz="0" w:space="0" w:color="auto"/>
        <w:bottom w:val="none" w:sz="0" w:space="0" w:color="auto"/>
        <w:right w:val="none" w:sz="0" w:space="0" w:color="auto"/>
      </w:divBdr>
    </w:div>
    <w:div w:id="1724527348">
      <w:bodyDiv w:val="1"/>
      <w:marLeft w:val="0"/>
      <w:marRight w:val="0"/>
      <w:marTop w:val="0"/>
      <w:marBottom w:val="0"/>
      <w:divBdr>
        <w:top w:val="none" w:sz="0" w:space="0" w:color="auto"/>
        <w:left w:val="none" w:sz="0" w:space="0" w:color="auto"/>
        <w:bottom w:val="none" w:sz="0" w:space="0" w:color="auto"/>
        <w:right w:val="none" w:sz="0" w:space="0" w:color="auto"/>
      </w:divBdr>
      <w:divsChild>
        <w:div w:id="1248884650">
          <w:marLeft w:val="0"/>
          <w:marRight w:val="0"/>
          <w:marTop w:val="0"/>
          <w:marBottom w:val="0"/>
          <w:divBdr>
            <w:top w:val="none" w:sz="0" w:space="0" w:color="auto"/>
            <w:left w:val="none" w:sz="0" w:space="0" w:color="auto"/>
            <w:bottom w:val="none" w:sz="0" w:space="0" w:color="auto"/>
            <w:right w:val="none" w:sz="0" w:space="0" w:color="auto"/>
          </w:divBdr>
        </w:div>
        <w:div w:id="1755930283">
          <w:marLeft w:val="0"/>
          <w:marRight w:val="0"/>
          <w:marTop w:val="0"/>
          <w:marBottom w:val="0"/>
          <w:divBdr>
            <w:top w:val="none" w:sz="0" w:space="0" w:color="auto"/>
            <w:left w:val="none" w:sz="0" w:space="0" w:color="auto"/>
            <w:bottom w:val="none" w:sz="0" w:space="0" w:color="auto"/>
            <w:right w:val="none" w:sz="0" w:space="0" w:color="auto"/>
          </w:divBdr>
        </w:div>
      </w:divsChild>
    </w:div>
    <w:div w:id="1726296687">
      <w:bodyDiv w:val="1"/>
      <w:marLeft w:val="0"/>
      <w:marRight w:val="0"/>
      <w:marTop w:val="0"/>
      <w:marBottom w:val="0"/>
      <w:divBdr>
        <w:top w:val="none" w:sz="0" w:space="0" w:color="auto"/>
        <w:left w:val="none" w:sz="0" w:space="0" w:color="auto"/>
        <w:bottom w:val="none" w:sz="0" w:space="0" w:color="auto"/>
        <w:right w:val="none" w:sz="0" w:space="0" w:color="auto"/>
      </w:divBdr>
      <w:divsChild>
        <w:div w:id="385489070">
          <w:marLeft w:val="0"/>
          <w:marRight w:val="0"/>
          <w:marTop w:val="0"/>
          <w:marBottom w:val="0"/>
          <w:divBdr>
            <w:top w:val="none" w:sz="0" w:space="0" w:color="auto"/>
            <w:left w:val="none" w:sz="0" w:space="0" w:color="auto"/>
            <w:bottom w:val="none" w:sz="0" w:space="0" w:color="auto"/>
            <w:right w:val="none" w:sz="0" w:space="0" w:color="auto"/>
          </w:divBdr>
        </w:div>
        <w:div w:id="1984655575">
          <w:marLeft w:val="0"/>
          <w:marRight w:val="0"/>
          <w:marTop w:val="0"/>
          <w:marBottom w:val="0"/>
          <w:divBdr>
            <w:top w:val="none" w:sz="0" w:space="0" w:color="auto"/>
            <w:left w:val="none" w:sz="0" w:space="0" w:color="auto"/>
            <w:bottom w:val="none" w:sz="0" w:space="0" w:color="auto"/>
            <w:right w:val="none" w:sz="0" w:space="0" w:color="auto"/>
          </w:divBdr>
        </w:div>
      </w:divsChild>
    </w:div>
    <w:div w:id="1748305580">
      <w:bodyDiv w:val="1"/>
      <w:marLeft w:val="0"/>
      <w:marRight w:val="0"/>
      <w:marTop w:val="0"/>
      <w:marBottom w:val="0"/>
      <w:divBdr>
        <w:top w:val="none" w:sz="0" w:space="0" w:color="auto"/>
        <w:left w:val="none" w:sz="0" w:space="0" w:color="auto"/>
        <w:bottom w:val="none" w:sz="0" w:space="0" w:color="auto"/>
        <w:right w:val="none" w:sz="0" w:space="0" w:color="auto"/>
      </w:divBdr>
      <w:divsChild>
        <w:div w:id="15667030">
          <w:marLeft w:val="0"/>
          <w:marRight w:val="0"/>
          <w:marTop w:val="0"/>
          <w:marBottom w:val="0"/>
          <w:divBdr>
            <w:top w:val="none" w:sz="0" w:space="0" w:color="auto"/>
            <w:left w:val="none" w:sz="0" w:space="0" w:color="auto"/>
            <w:bottom w:val="none" w:sz="0" w:space="0" w:color="auto"/>
            <w:right w:val="none" w:sz="0" w:space="0" w:color="auto"/>
          </w:divBdr>
        </w:div>
        <w:div w:id="377509031">
          <w:marLeft w:val="0"/>
          <w:marRight w:val="0"/>
          <w:marTop w:val="0"/>
          <w:marBottom w:val="0"/>
          <w:divBdr>
            <w:top w:val="none" w:sz="0" w:space="0" w:color="auto"/>
            <w:left w:val="none" w:sz="0" w:space="0" w:color="auto"/>
            <w:bottom w:val="none" w:sz="0" w:space="0" w:color="auto"/>
            <w:right w:val="none" w:sz="0" w:space="0" w:color="auto"/>
          </w:divBdr>
        </w:div>
        <w:div w:id="973370127">
          <w:marLeft w:val="0"/>
          <w:marRight w:val="0"/>
          <w:marTop w:val="0"/>
          <w:marBottom w:val="0"/>
          <w:divBdr>
            <w:top w:val="none" w:sz="0" w:space="0" w:color="auto"/>
            <w:left w:val="none" w:sz="0" w:space="0" w:color="auto"/>
            <w:bottom w:val="none" w:sz="0" w:space="0" w:color="auto"/>
            <w:right w:val="none" w:sz="0" w:space="0" w:color="auto"/>
          </w:divBdr>
        </w:div>
        <w:div w:id="1009335088">
          <w:marLeft w:val="0"/>
          <w:marRight w:val="0"/>
          <w:marTop w:val="0"/>
          <w:marBottom w:val="0"/>
          <w:divBdr>
            <w:top w:val="none" w:sz="0" w:space="0" w:color="auto"/>
            <w:left w:val="none" w:sz="0" w:space="0" w:color="auto"/>
            <w:bottom w:val="none" w:sz="0" w:space="0" w:color="auto"/>
            <w:right w:val="none" w:sz="0" w:space="0" w:color="auto"/>
          </w:divBdr>
        </w:div>
        <w:div w:id="1460758085">
          <w:marLeft w:val="0"/>
          <w:marRight w:val="0"/>
          <w:marTop w:val="0"/>
          <w:marBottom w:val="0"/>
          <w:divBdr>
            <w:top w:val="none" w:sz="0" w:space="0" w:color="auto"/>
            <w:left w:val="none" w:sz="0" w:space="0" w:color="auto"/>
            <w:bottom w:val="none" w:sz="0" w:space="0" w:color="auto"/>
            <w:right w:val="none" w:sz="0" w:space="0" w:color="auto"/>
          </w:divBdr>
        </w:div>
        <w:div w:id="2071690044">
          <w:marLeft w:val="0"/>
          <w:marRight w:val="0"/>
          <w:marTop w:val="0"/>
          <w:marBottom w:val="0"/>
          <w:divBdr>
            <w:top w:val="none" w:sz="0" w:space="0" w:color="auto"/>
            <w:left w:val="none" w:sz="0" w:space="0" w:color="auto"/>
            <w:bottom w:val="none" w:sz="0" w:space="0" w:color="auto"/>
            <w:right w:val="none" w:sz="0" w:space="0" w:color="auto"/>
          </w:divBdr>
        </w:div>
      </w:divsChild>
    </w:div>
    <w:div w:id="1753038992">
      <w:bodyDiv w:val="1"/>
      <w:marLeft w:val="0"/>
      <w:marRight w:val="0"/>
      <w:marTop w:val="0"/>
      <w:marBottom w:val="0"/>
      <w:divBdr>
        <w:top w:val="none" w:sz="0" w:space="0" w:color="auto"/>
        <w:left w:val="none" w:sz="0" w:space="0" w:color="auto"/>
        <w:bottom w:val="none" w:sz="0" w:space="0" w:color="auto"/>
        <w:right w:val="none" w:sz="0" w:space="0" w:color="auto"/>
      </w:divBdr>
    </w:div>
    <w:div w:id="1775124186">
      <w:bodyDiv w:val="1"/>
      <w:marLeft w:val="0"/>
      <w:marRight w:val="0"/>
      <w:marTop w:val="0"/>
      <w:marBottom w:val="0"/>
      <w:divBdr>
        <w:top w:val="none" w:sz="0" w:space="0" w:color="auto"/>
        <w:left w:val="none" w:sz="0" w:space="0" w:color="auto"/>
        <w:bottom w:val="none" w:sz="0" w:space="0" w:color="auto"/>
        <w:right w:val="none" w:sz="0" w:space="0" w:color="auto"/>
      </w:divBdr>
    </w:div>
    <w:div w:id="1781030614">
      <w:bodyDiv w:val="1"/>
      <w:marLeft w:val="0"/>
      <w:marRight w:val="0"/>
      <w:marTop w:val="0"/>
      <w:marBottom w:val="0"/>
      <w:divBdr>
        <w:top w:val="none" w:sz="0" w:space="0" w:color="auto"/>
        <w:left w:val="none" w:sz="0" w:space="0" w:color="auto"/>
        <w:bottom w:val="none" w:sz="0" w:space="0" w:color="auto"/>
        <w:right w:val="none" w:sz="0" w:space="0" w:color="auto"/>
      </w:divBdr>
      <w:divsChild>
        <w:div w:id="132212838">
          <w:marLeft w:val="0"/>
          <w:marRight w:val="0"/>
          <w:marTop w:val="0"/>
          <w:marBottom w:val="0"/>
          <w:divBdr>
            <w:top w:val="none" w:sz="0" w:space="0" w:color="auto"/>
            <w:left w:val="none" w:sz="0" w:space="0" w:color="auto"/>
            <w:bottom w:val="none" w:sz="0" w:space="0" w:color="auto"/>
            <w:right w:val="none" w:sz="0" w:space="0" w:color="auto"/>
          </w:divBdr>
        </w:div>
        <w:div w:id="523830859">
          <w:marLeft w:val="0"/>
          <w:marRight w:val="0"/>
          <w:marTop w:val="0"/>
          <w:marBottom w:val="0"/>
          <w:divBdr>
            <w:top w:val="none" w:sz="0" w:space="0" w:color="auto"/>
            <w:left w:val="none" w:sz="0" w:space="0" w:color="auto"/>
            <w:bottom w:val="none" w:sz="0" w:space="0" w:color="auto"/>
            <w:right w:val="none" w:sz="0" w:space="0" w:color="auto"/>
          </w:divBdr>
        </w:div>
        <w:div w:id="1238591693">
          <w:marLeft w:val="0"/>
          <w:marRight w:val="0"/>
          <w:marTop w:val="0"/>
          <w:marBottom w:val="0"/>
          <w:divBdr>
            <w:top w:val="none" w:sz="0" w:space="0" w:color="auto"/>
            <w:left w:val="none" w:sz="0" w:space="0" w:color="auto"/>
            <w:bottom w:val="none" w:sz="0" w:space="0" w:color="auto"/>
            <w:right w:val="none" w:sz="0" w:space="0" w:color="auto"/>
          </w:divBdr>
        </w:div>
      </w:divsChild>
    </w:div>
    <w:div w:id="1781341002">
      <w:bodyDiv w:val="1"/>
      <w:marLeft w:val="0"/>
      <w:marRight w:val="0"/>
      <w:marTop w:val="0"/>
      <w:marBottom w:val="0"/>
      <w:divBdr>
        <w:top w:val="none" w:sz="0" w:space="0" w:color="auto"/>
        <w:left w:val="none" w:sz="0" w:space="0" w:color="auto"/>
        <w:bottom w:val="none" w:sz="0" w:space="0" w:color="auto"/>
        <w:right w:val="none" w:sz="0" w:space="0" w:color="auto"/>
      </w:divBdr>
    </w:div>
    <w:div w:id="1791196051">
      <w:bodyDiv w:val="1"/>
      <w:marLeft w:val="0"/>
      <w:marRight w:val="0"/>
      <w:marTop w:val="0"/>
      <w:marBottom w:val="0"/>
      <w:divBdr>
        <w:top w:val="none" w:sz="0" w:space="0" w:color="auto"/>
        <w:left w:val="none" w:sz="0" w:space="0" w:color="auto"/>
        <w:bottom w:val="none" w:sz="0" w:space="0" w:color="auto"/>
        <w:right w:val="none" w:sz="0" w:space="0" w:color="auto"/>
      </w:divBdr>
      <w:divsChild>
        <w:div w:id="43139065">
          <w:marLeft w:val="0"/>
          <w:marRight w:val="0"/>
          <w:marTop w:val="0"/>
          <w:marBottom w:val="0"/>
          <w:divBdr>
            <w:top w:val="none" w:sz="0" w:space="0" w:color="auto"/>
            <w:left w:val="none" w:sz="0" w:space="0" w:color="auto"/>
            <w:bottom w:val="none" w:sz="0" w:space="0" w:color="auto"/>
            <w:right w:val="none" w:sz="0" w:space="0" w:color="auto"/>
          </w:divBdr>
        </w:div>
        <w:div w:id="1062943257">
          <w:marLeft w:val="0"/>
          <w:marRight w:val="0"/>
          <w:marTop w:val="0"/>
          <w:marBottom w:val="0"/>
          <w:divBdr>
            <w:top w:val="none" w:sz="0" w:space="0" w:color="auto"/>
            <w:left w:val="none" w:sz="0" w:space="0" w:color="auto"/>
            <w:bottom w:val="none" w:sz="0" w:space="0" w:color="auto"/>
            <w:right w:val="none" w:sz="0" w:space="0" w:color="auto"/>
          </w:divBdr>
        </w:div>
      </w:divsChild>
    </w:div>
    <w:div w:id="1794130333">
      <w:bodyDiv w:val="1"/>
      <w:marLeft w:val="0"/>
      <w:marRight w:val="0"/>
      <w:marTop w:val="0"/>
      <w:marBottom w:val="0"/>
      <w:divBdr>
        <w:top w:val="none" w:sz="0" w:space="0" w:color="auto"/>
        <w:left w:val="none" w:sz="0" w:space="0" w:color="auto"/>
        <w:bottom w:val="none" w:sz="0" w:space="0" w:color="auto"/>
        <w:right w:val="none" w:sz="0" w:space="0" w:color="auto"/>
      </w:divBdr>
    </w:div>
    <w:div w:id="1823620961">
      <w:bodyDiv w:val="1"/>
      <w:marLeft w:val="0"/>
      <w:marRight w:val="0"/>
      <w:marTop w:val="0"/>
      <w:marBottom w:val="0"/>
      <w:divBdr>
        <w:top w:val="none" w:sz="0" w:space="0" w:color="auto"/>
        <w:left w:val="none" w:sz="0" w:space="0" w:color="auto"/>
        <w:bottom w:val="none" w:sz="0" w:space="0" w:color="auto"/>
        <w:right w:val="none" w:sz="0" w:space="0" w:color="auto"/>
      </w:divBdr>
    </w:div>
    <w:div w:id="1841115382">
      <w:bodyDiv w:val="1"/>
      <w:marLeft w:val="0"/>
      <w:marRight w:val="0"/>
      <w:marTop w:val="0"/>
      <w:marBottom w:val="0"/>
      <w:divBdr>
        <w:top w:val="none" w:sz="0" w:space="0" w:color="auto"/>
        <w:left w:val="none" w:sz="0" w:space="0" w:color="auto"/>
        <w:bottom w:val="none" w:sz="0" w:space="0" w:color="auto"/>
        <w:right w:val="none" w:sz="0" w:space="0" w:color="auto"/>
      </w:divBdr>
    </w:div>
    <w:div w:id="1848979754">
      <w:bodyDiv w:val="1"/>
      <w:marLeft w:val="0"/>
      <w:marRight w:val="0"/>
      <w:marTop w:val="0"/>
      <w:marBottom w:val="0"/>
      <w:divBdr>
        <w:top w:val="none" w:sz="0" w:space="0" w:color="auto"/>
        <w:left w:val="none" w:sz="0" w:space="0" w:color="auto"/>
        <w:bottom w:val="none" w:sz="0" w:space="0" w:color="auto"/>
        <w:right w:val="none" w:sz="0" w:space="0" w:color="auto"/>
      </w:divBdr>
    </w:div>
    <w:div w:id="1851941520">
      <w:bodyDiv w:val="1"/>
      <w:marLeft w:val="0"/>
      <w:marRight w:val="0"/>
      <w:marTop w:val="0"/>
      <w:marBottom w:val="0"/>
      <w:divBdr>
        <w:top w:val="none" w:sz="0" w:space="0" w:color="auto"/>
        <w:left w:val="none" w:sz="0" w:space="0" w:color="auto"/>
        <w:bottom w:val="none" w:sz="0" w:space="0" w:color="auto"/>
        <w:right w:val="none" w:sz="0" w:space="0" w:color="auto"/>
      </w:divBdr>
    </w:div>
    <w:div w:id="1939873917">
      <w:bodyDiv w:val="1"/>
      <w:marLeft w:val="0"/>
      <w:marRight w:val="0"/>
      <w:marTop w:val="0"/>
      <w:marBottom w:val="0"/>
      <w:divBdr>
        <w:top w:val="none" w:sz="0" w:space="0" w:color="auto"/>
        <w:left w:val="none" w:sz="0" w:space="0" w:color="auto"/>
        <w:bottom w:val="none" w:sz="0" w:space="0" w:color="auto"/>
        <w:right w:val="none" w:sz="0" w:space="0" w:color="auto"/>
      </w:divBdr>
    </w:div>
    <w:div w:id="1942452636">
      <w:bodyDiv w:val="1"/>
      <w:marLeft w:val="0"/>
      <w:marRight w:val="0"/>
      <w:marTop w:val="0"/>
      <w:marBottom w:val="0"/>
      <w:divBdr>
        <w:top w:val="none" w:sz="0" w:space="0" w:color="auto"/>
        <w:left w:val="none" w:sz="0" w:space="0" w:color="auto"/>
        <w:bottom w:val="none" w:sz="0" w:space="0" w:color="auto"/>
        <w:right w:val="none" w:sz="0" w:space="0" w:color="auto"/>
      </w:divBdr>
    </w:div>
    <w:div w:id="1948610471">
      <w:bodyDiv w:val="1"/>
      <w:marLeft w:val="0"/>
      <w:marRight w:val="0"/>
      <w:marTop w:val="0"/>
      <w:marBottom w:val="0"/>
      <w:divBdr>
        <w:top w:val="none" w:sz="0" w:space="0" w:color="auto"/>
        <w:left w:val="none" w:sz="0" w:space="0" w:color="auto"/>
        <w:bottom w:val="none" w:sz="0" w:space="0" w:color="auto"/>
        <w:right w:val="none" w:sz="0" w:space="0" w:color="auto"/>
      </w:divBdr>
    </w:div>
    <w:div w:id="2035307793">
      <w:bodyDiv w:val="1"/>
      <w:marLeft w:val="0"/>
      <w:marRight w:val="0"/>
      <w:marTop w:val="0"/>
      <w:marBottom w:val="0"/>
      <w:divBdr>
        <w:top w:val="none" w:sz="0" w:space="0" w:color="auto"/>
        <w:left w:val="none" w:sz="0" w:space="0" w:color="auto"/>
        <w:bottom w:val="none" w:sz="0" w:space="0" w:color="auto"/>
        <w:right w:val="none" w:sz="0" w:space="0" w:color="auto"/>
      </w:divBdr>
    </w:div>
    <w:div w:id="2068991939">
      <w:bodyDiv w:val="1"/>
      <w:marLeft w:val="0"/>
      <w:marRight w:val="0"/>
      <w:marTop w:val="0"/>
      <w:marBottom w:val="0"/>
      <w:divBdr>
        <w:top w:val="none" w:sz="0" w:space="0" w:color="auto"/>
        <w:left w:val="none" w:sz="0" w:space="0" w:color="auto"/>
        <w:bottom w:val="none" w:sz="0" w:space="0" w:color="auto"/>
        <w:right w:val="none" w:sz="0" w:space="0" w:color="auto"/>
      </w:divBdr>
    </w:div>
    <w:div w:id="2113475972">
      <w:bodyDiv w:val="1"/>
      <w:marLeft w:val="0"/>
      <w:marRight w:val="0"/>
      <w:marTop w:val="0"/>
      <w:marBottom w:val="0"/>
      <w:divBdr>
        <w:top w:val="none" w:sz="0" w:space="0" w:color="auto"/>
        <w:left w:val="none" w:sz="0" w:space="0" w:color="auto"/>
        <w:bottom w:val="none" w:sz="0" w:space="0" w:color="auto"/>
        <w:right w:val="none" w:sz="0" w:space="0" w:color="auto"/>
      </w:divBdr>
    </w:div>
    <w:div w:id="2125343122">
      <w:bodyDiv w:val="1"/>
      <w:marLeft w:val="0"/>
      <w:marRight w:val="0"/>
      <w:marTop w:val="0"/>
      <w:marBottom w:val="0"/>
      <w:divBdr>
        <w:top w:val="none" w:sz="0" w:space="0" w:color="auto"/>
        <w:left w:val="none" w:sz="0" w:space="0" w:color="auto"/>
        <w:bottom w:val="none" w:sz="0" w:space="0" w:color="auto"/>
        <w:right w:val="none" w:sz="0" w:space="0" w:color="auto"/>
      </w:divBdr>
      <w:divsChild>
        <w:div w:id="1113553475">
          <w:marLeft w:val="0"/>
          <w:marRight w:val="0"/>
          <w:marTop w:val="0"/>
          <w:marBottom w:val="0"/>
          <w:divBdr>
            <w:top w:val="none" w:sz="0" w:space="0" w:color="auto"/>
            <w:left w:val="none" w:sz="0" w:space="0" w:color="auto"/>
            <w:bottom w:val="none" w:sz="0" w:space="0" w:color="auto"/>
            <w:right w:val="none" w:sz="0" w:space="0" w:color="auto"/>
          </w:divBdr>
          <w:divsChild>
            <w:div w:id="52772651">
              <w:marLeft w:val="0"/>
              <w:marRight w:val="0"/>
              <w:marTop w:val="0"/>
              <w:marBottom w:val="0"/>
              <w:divBdr>
                <w:top w:val="none" w:sz="0" w:space="0" w:color="auto"/>
                <w:left w:val="none" w:sz="0" w:space="0" w:color="auto"/>
                <w:bottom w:val="none" w:sz="0" w:space="0" w:color="auto"/>
                <w:right w:val="none" w:sz="0" w:space="0" w:color="auto"/>
              </w:divBdr>
              <w:divsChild>
                <w:div w:id="339086096">
                  <w:marLeft w:val="0"/>
                  <w:marRight w:val="0"/>
                  <w:marTop w:val="0"/>
                  <w:marBottom w:val="0"/>
                  <w:divBdr>
                    <w:top w:val="none" w:sz="0" w:space="0" w:color="auto"/>
                    <w:left w:val="none" w:sz="0" w:space="0" w:color="auto"/>
                    <w:bottom w:val="none" w:sz="0" w:space="0" w:color="auto"/>
                    <w:right w:val="none" w:sz="0" w:space="0" w:color="auto"/>
                  </w:divBdr>
                </w:div>
              </w:divsChild>
            </w:div>
            <w:div w:id="333147408">
              <w:marLeft w:val="0"/>
              <w:marRight w:val="0"/>
              <w:marTop w:val="0"/>
              <w:marBottom w:val="0"/>
              <w:divBdr>
                <w:top w:val="none" w:sz="0" w:space="0" w:color="auto"/>
                <w:left w:val="none" w:sz="0" w:space="0" w:color="auto"/>
                <w:bottom w:val="none" w:sz="0" w:space="0" w:color="auto"/>
                <w:right w:val="none" w:sz="0" w:space="0" w:color="auto"/>
              </w:divBdr>
              <w:divsChild>
                <w:div w:id="1779569559">
                  <w:marLeft w:val="0"/>
                  <w:marRight w:val="0"/>
                  <w:marTop w:val="0"/>
                  <w:marBottom w:val="0"/>
                  <w:divBdr>
                    <w:top w:val="none" w:sz="0" w:space="0" w:color="auto"/>
                    <w:left w:val="none" w:sz="0" w:space="0" w:color="auto"/>
                    <w:bottom w:val="none" w:sz="0" w:space="0" w:color="auto"/>
                    <w:right w:val="none" w:sz="0" w:space="0" w:color="auto"/>
                  </w:divBdr>
                </w:div>
              </w:divsChild>
            </w:div>
            <w:div w:id="462235880">
              <w:marLeft w:val="0"/>
              <w:marRight w:val="0"/>
              <w:marTop w:val="0"/>
              <w:marBottom w:val="0"/>
              <w:divBdr>
                <w:top w:val="none" w:sz="0" w:space="0" w:color="auto"/>
                <w:left w:val="none" w:sz="0" w:space="0" w:color="auto"/>
                <w:bottom w:val="none" w:sz="0" w:space="0" w:color="auto"/>
                <w:right w:val="none" w:sz="0" w:space="0" w:color="auto"/>
              </w:divBdr>
              <w:divsChild>
                <w:div w:id="2083523632">
                  <w:marLeft w:val="0"/>
                  <w:marRight w:val="0"/>
                  <w:marTop w:val="0"/>
                  <w:marBottom w:val="0"/>
                  <w:divBdr>
                    <w:top w:val="none" w:sz="0" w:space="0" w:color="auto"/>
                    <w:left w:val="none" w:sz="0" w:space="0" w:color="auto"/>
                    <w:bottom w:val="none" w:sz="0" w:space="0" w:color="auto"/>
                    <w:right w:val="none" w:sz="0" w:space="0" w:color="auto"/>
                  </w:divBdr>
                </w:div>
              </w:divsChild>
            </w:div>
            <w:div w:id="482166562">
              <w:marLeft w:val="0"/>
              <w:marRight w:val="0"/>
              <w:marTop w:val="0"/>
              <w:marBottom w:val="0"/>
              <w:divBdr>
                <w:top w:val="none" w:sz="0" w:space="0" w:color="auto"/>
                <w:left w:val="none" w:sz="0" w:space="0" w:color="auto"/>
                <w:bottom w:val="none" w:sz="0" w:space="0" w:color="auto"/>
                <w:right w:val="none" w:sz="0" w:space="0" w:color="auto"/>
              </w:divBdr>
              <w:divsChild>
                <w:div w:id="1150754565">
                  <w:marLeft w:val="0"/>
                  <w:marRight w:val="0"/>
                  <w:marTop w:val="0"/>
                  <w:marBottom w:val="0"/>
                  <w:divBdr>
                    <w:top w:val="none" w:sz="0" w:space="0" w:color="auto"/>
                    <w:left w:val="none" w:sz="0" w:space="0" w:color="auto"/>
                    <w:bottom w:val="none" w:sz="0" w:space="0" w:color="auto"/>
                    <w:right w:val="none" w:sz="0" w:space="0" w:color="auto"/>
                  </w:divBdr>
                </w:div>
              </w:divsChild>
            </w:div>
            <w:div w:id="682320656">
              <w:marLeft w:val="0"/>
              <w:marRight w:val="0"/>
              <w:marTop w:val="0"/>
              <w:marBottom w:val="0"/>
              <w:divBdr>
                <w:top w:val="none" w:sz="0" w:space="0" w:color="auto"/>
                <w:left w:val="none" w:sz="0" w:space="0" w:color="auto"/>
                <w:bottom w:val="none" w:sz="0" w:space="0" w:color="auto"/>
                <w:right w:val="none" w:sz="0" w:space="0" w:color="auto"/>
              </w:divBdr>
              <w:divsChild>
                <w:div w:id="554464195">
                  <w:marLeft w:val="0"/>
                  <w:marRight w:val="0"/>
                  <w:marTop w:val="0"/>
                  <w:marBottom w:val="0"/>
                  <w:divBdr>
                    <w:top w:val="none" w:sz="0" w:space="0" w:color="auto"/>
                    <w:left w:val="none" w:sz="0" w:space="0" w:color="auto"/>
                    <w:bottom w:val="none" w:sz="0" w:space="0" w:color="auto"/>
                    <w:right w:val="none" w:sz="0" w:space="0" w:color="auto"/>
                  </w:divBdr>
                </w:div>
              </w:divsChild>
            </w:div>
            <w:div w:id="725681450">
              <w:marLeft w:val="0"/>
              <w:marRight w:val="0"/>
              <w:marTop w:val="0"/>
              <w:marBottom w:val="0"/>
              <w:divBdr>
                <w:top w:val="none" w:sz="0" w:space="0" w:color="auto"/>
                <w:left w:val="none" w:sz="0" w:space="0" w:color="auto"/>
                <w:bottom w:val="none" w:sz="0" w:space="0" w:color="auto"/>
                <w:right w:val="none" w:sz="0" w:space="0" w:color="auto"/>
              </w:divBdr>
              <w:divsChild>
                <w:div w:id="2062367432">
                  <w:marLeft w:val="0"/>
                  <w:marRight w:val="0"/>
                  <w:marTop w:val="0"/>
                  <w:marBottom w:val="0"/>
                  <w:divBdr>
                    <w:top w:val="none" w:sz="0" w:space="0" w:color="auto"/>
                    <w:left w:val="none" w:sz="0" w:space="0" w:color="auto"/>
                    <w:bottom w:val="none" w:sz="0" w:space="0" w:color="auto"/>
                    <w:right w:val="none" w:sz="0" w:space="0" w:color="auto"/>
                  </w:divBdr>
                </w:div>
              </w:divsChild>
            </w:div>
            <w:div w:id="726957140">
              <w:marLeft w:val="0"/>
              <w:marRight w:val="0"/>
              <w:marTop w:val="0"/>
              <w:marBottom w:val="0"/>
              <w:divBdr>
                <w:top w:val="none" w:sz="0" w:space="0" w:color="auto"/>
                <w:left w:val="none" w:sz="0" w:space="0" w:color="auto"/>
                <w:bottom w:val="none" w:sz="0" w:space="0" w:color="auto"/>
                <w:right w:val="none" w:sz="0" w:space="0" w:color="auto"/>
              </w:divBdr>
              <w:divsChild>
                <w:div w:id="149905763">
                  <w:marLeft w:val="0"/>
                  <w:marRight w:val="0"/>
                  <w:marTop w:val="0"/>
                  <w:marBottom w:val="0"/>
                  <w:divBdr>
                    <w:top w:val="none" w:sz="0" w:space="0" w:color="auto"/>
                    <w:left w:val="none" w:sz="0" w:space="0" w:color="auto"/>
                    <w:bottom w:val="none" w:sz="0" w:space="0" w:color="auto"/>
                    <w:right w:val="none" w:sz="0" w:space="0" w:color="auto"/>
                  </w:divBdr>
                </w:div>
              </w:divsChild>
            </w:div>
            <w:div w:id="882402035">
              <w:marLeft w:val="0"/>
              <w:marRight w:val="0"/>
              <w:marTop w:val="0"/>
              <w:marBottom w:val="0"/>
              <w:divBdr>
                <w:top w:val="none" w:sz="0" w:space="0" w:color="auto"/>
                <w:left w:val="none" w:sz="0" w:space="0" w:color="auto"/>
                <w:bottom w:val="none" w:sz="0" w:space="0" w:color="auto"/>
                <w:right w:val="none" w:sz="0" w:space="0" w:color="auto"/>
              </w:divBdr>
              <w:divsChild>
                <w:div w:id="90320013">
                  <w:marLeft w:val="0"/>
                  <w:marRight w:val="0"/>
                  <w:marTop w:val="0"/>
                  <w:marBottom w:val="0"/>
                  <w:divBdr>
                    <w:top w:val="none" w:sz="0" w:space="0" w:color="auto"/>
                    <w:left w:val="none" w:sz="0" w:space="0" w:color="auto"/>
                    <w:bottom w:val="none" w:sz="0" w:space="0" w:color="auto"/>
                    <w:right w:val="none" w:sz="0" w:space="0" w:color="auto"/>
                  </w:divBdr>
                </w:div>
              </w:divsChild>
            </w:div>
            <w:div w:id="1143813927">
              <w:marLeft w:val="0"/>
              <w:marRight w:val="0"/>
              <w:marTop w:val="0"/>
              <w:marBottom w:val="0"/>
              <w:divBdr>
                <w:top w:val="none" w:sz="0" w:space="0" w:color="auto"/>
                <w:left w:val="none" w:sz="0" w:space="0" w:color="auto"/>
                <w:bottom w:val="none" w:sz="0" w:space="0" w:color="auto"/>
                <w:right w:val="none" w:sz="0" w:space="0" w:color="auto"/>
              </w:divBdr>
              <w:divsChild>
                <w:div w:id="1812209518">
                  <w:marLeft w:val="0"/>
                  <w:marRight w:val="0"/>
                  <w:marTop w:val="0"/>
                  <w:marBottom w:val="0"/>
                  <w:divBdr>
                    <w:top w:val="none" w:sz="0" w:space="0" w:color="auto"/>
                    <w:left w:val="none" w:sz="0" w:space="0" w:color="auto"/>
                    <w:bottom w:val="none" w:sz="0" w:space="0" w:color="auto"/>
                    <w:right w:val="none" w:sz="0" w:space="0" w:color="auto"/>
                  </w:divBdr>
                </w:div>
              </w:divsChild>
            </w:div>
            <w:div w:id="1284196128">
              <w:marLeft w:val="0"/>
              <w:marRight w:val="0"/>
              <w:marTop w:val="0"/>
              <w:marBottom w:val="0"/>
              <w:divBdr>
                <w:top w:val="none" w:sz="0" w:space="0" w:color="auto"/>
                <w:left w:val="none" w:sz="0" w:space="0" w:color="auto"/>
                <w:bottom w:val="none" w:sz="0" w:space="0" w:color="auto"/>
                <w:right w:val="none" w:sz="0" w:space="0" w:color="auto"/>
              </w:divBdr>
              <w:divsChild>
                <w:div w:id="1225261438">
                  <w:marLeft w:val="0"/>
                  <w:marRight w:val="0"/>
                  <w:marTop w:val="0"/>
                  <w:marBottom w:val="0"/>
                  <w:divBdr>
                    <w:top w:val="none" w:sz="0" w:space="0" w:color="auto"/>
                    <w:left w:val="none" w:sz="0" w:space="0" w:color="auto"/>
                    <w:bottom w:val="none" w:sz="0" w:space="0" w:color="auto"/>
                    <w:right w:val="none" w:sz="0" w:space="0" w:color="auto"/>
                  </w:divBdr>
                </w:div>
              </w:divsChild>
            </w:div>
            <w:div w:id="1306469952">
              <w:marLeft w:val="0"/>
              <w:marRight w:val="0"/>
              <w:marTop w:val="0"/>
              <w:marBottom w:val="0"/>
              <w:divBdr>
                <w:top w:val="none" w:sz="0" w:space="0" w:color="auto"/>
                <w:left w:val="none" w:sz="0" w:space="0" w:color="auto"/>
                <w:bottom w:val="none" w:sz="0" w:space="0" w:color="auto"/>
                <w:right w:val="none" w:sz="0" w:space="0" w:color="auto"/>
              </w:divBdr>
              <w:divsChild>
                <w:div w:id="20056811">
                  <w:marLeft w:val="0"/>
                  <w:marRight w:val="0"/>
                  <w:marTop w:val="0"/>
                  <w:marBottom w:val="0"/>
                  <w:divBdr>
                    <w:top w:val="none" w:sz="0" w:space="0" w:color="auto"/>
                    <w:left w:val="none" w:sz="0" w:space="0" w:color="auto"/>
                    <w:bottom w:val="none" w:sz="0" w:space="0" w:color="auto"/>
                    <w:right w:val="none" w:sz="0" w:space="0" w:color="auto"/>
                  </w:divBdr>
                </w:div>
                <w:div w:id="1702972520">
                  <w:marLeft w:val="0"/>
                  <w:marRight w:val="0"/>
                  <w:marTop w:val="0"/>
                  <w:marBottom w:val="0"/>
                  <w:divBdr>
                    <w:top w:val="none" w:sz="0" w:space="0" w:color="auto"/>
                    <w:left w:val="none" w:sz="0" w:space="0" w:color="auto"/>
                    <w:bottom w:val="none" w:sz="0" w:space="0" w:color="auto"/>
                    <w:right w:val="none" w:sz="0" w:space="0" w:color="auto"/>
                  </w:divBdr>
                </w:div>
              </w:divsChild>
            </w:div>
            <w:div w:id="1310550315">
              <w:marLeft w:val="0"/>
              <w:marRight w:val="0"/>
              <w:marTop w:val="0"/>
              <w:marBottom w:val="0"/>
              <w:divBdr>
                <w:top w:val="none" w:sz="0" w:space="0" w:color="auto"/>
                <w:left w:val="none" w:sz="0" w:space="0" w:color="auto"/>
                <w:bottom w:val="none" w:sz="0" w:space="0" w:color="auto"/>
                <w:right w:val="none" w:sz="0" w:space="0" w:color="auto"/>
              </w:divBdr>
              <w:divsChild>
                <w:div w:id="713820846">
                  <w:marLeft w:val="0"/>
                  <w:marRight w:val="0"/>
                  <w:marTop w:val="0"/>
                  <w:marBottom w:val="0"/>
                  <w:divBdr>
                    <w:top w:val="none" w:sz="0" w:space="0" w:color="auto"/>
                    <w:left w:val="none" w:sz="0" w:space="0" w:color="auto"/>
                    <w:bottom w:val="none" w:sz="0" w:space="0" w:color="auto"/>
                    <w:right w:val="none" w:sz="0" w:space="0" w:color="auto"/>
                  </w:divBdr>
                </w:div>
              </w:divsChild>
            </w:div>
            <w:div w:id="1569458718">
              <w:marLeft w:val="0"/>
              <w:marRight w:val="0"/>
              <w:marTop w:val="0"/>
              <w:marBottom w:val="0"/>
              <w:divBdr>
                <w:top w:val="none" w:sz="0" w:space="0" w:color="auto"/>
                <w:left w:val="none" w:sz="0" w:space="0" w:color="auto"/>
                <w:bottom w:val="none" w:sz="0" w:space="0" w:color="auto"/>
                <w:right w:val="none" w:sz="0" w:space="0" w:color="auto"/>
              </w:divBdr>
              <w:divsChild>
                <w:div w:id="3870143">
                  <w:marLeft w:val="0"/>
                  <w:marRight w:val="0"/>
                  <w:marTop w:val="0"/>
                  <w:marBottom w:val="0"/>
                  <w:divBdr>
                    <w:top w:val="none" w:sz="0" w:space="0" w:color="auto"/>
                    <w:left w:val="none" w:sz="0" w:space="0" w:color="auto"/>
                    <w:bottom w:val="none" w:sz="0" w:space="0" w:color="auto"/>
                    <w:right w:val="none" w:sz="0" w:space="0" w:color="auto"/>
                  </w:divBdr>
                </w:div>
              </w:divsChild>
            </w:div>
            <w:div w:id="1570265511">
              <w:marLeft w:val="0"/>
              <w:marRight w:val="0"/>
              <w:marTop w:val="0"/>
              <w:marBottom w:val="0"/>
              <w:divBdr>
                <w:top w:val="none" w:sz="0" w:space="0" w:color="auto"/>
                <w:left w:val="none" w:sz="0" w:space="0" w:color="auto"/>
                <w:bottom w:val="none" w:sz="0" w:space="0" w:color="auto"/>
                <w:right w:val="none" w:sz="0" w:space="0" w:color="auto"/>
              </w:divBdr>
              <w:divsChild>
                <w:div w:id="1055852043">
                  <w:marLeft w:val="0"/>
                  <w:marRight w:val="0"/>
                  <w:marTop w:val="0"/>
                  <w:marBottom w:val="0"/>
                  <w:divBdr>
                    <w:top w:val="none" w:sz="0" w:space="0" w:color="auto"/>
                    <w:left w:val="none" w:sz="0" w:space="0" w:color="auto"/>
                    <w:bottom w:val="none" w:sz="0" w:space="0" w:color="auto"/>
                    <w:right w:val="none" w:sz="0" w:space="0" w:color="auto"/>
                  </w:divBdr>
                </w:div>
              </w:divsChild>
            </w:div>
            <w:div w:id="1727752182">
              <w:marLeft w:val="0"/>
              <w:marRight w:val="0"/>
              <w:marTop w:val="0"/>
              <w:marBottom w:val="0"/>
              <w:divBdr>
                <w:top w:val="none" w:sz="0" w:space="0" w:color="auto"/>
                <w:left w:val="none" w:sz="0" w:space="0" w:color="auto"/>
                <w:bottom w:val="none" w:sz="0" w:space="0" w:color="auto"/>
                <w:right w:val="none" w:sz="0" w:space="0" w:color="auto"/>
              </w:divBdr>
              <w:divsChild>
                <w:div w:id="497037695">
                  <w:marLeft w:val="0"/>
                  <w:marRight w:val="0"/>
                  <w:marTop w:val="0"/>
                  <w:marBottom w:val="0"/>
                  <w:divBdr>
                    <w:top w:val="none" w:sz="0" w:space="0" w:color="auto"/>
                    <w:left w:val="none" w:sz="0" w:space="0" w:color="auto"/>
                    <w:bottom w:val="none" w:sz="0" w:space="0" w:color="auto"/>
                    <w:right w:val="none" w:sz="0" w:space="0" w:color="auto"/>
                  </w:divBdr>
                </w:div>
                <w:div w:id="499930320">
                  <w:marLeft w:val="0"/>
                  <w:marRight w:val="0"/>
                  <w:marTop w:val="0"/>
                  <w:marBottom w:val="0"/>
                  <w:divBdr>
                    <w:top w:val="none" w:sz="0" w:space="0" w:color="auto"/>
                    <w:left w:val="none" w:sz="0" w:space="0" w:color="auto"/>
                    <w:bottom w:val="none" w:sz="0" w:space="0" w:color="auto"/>
                    <w:right w:val="none" w:sz="0" w:space="0" w:color="auto"/>
                  </w:divBdr>
                </w:div>
                <w:div w:id="1460224242">
                  <w:marLeft w:val="0"/>
                  <w:marRight w:val="0"/>
                  <w:marTop w:val="0"/>
                  <w:marBottom w:val="0"/>
                  <w:divBdr>
                    <w:top w:val="none" w:sz="0" w:space="0" w:color="auto"/>
                    <w:left w:val="none" w:sz="0" w:space="0" w:color="auto"/>
                    <w:bottom w:val="none" w:sz="0" w:space="0" w:color="auto"/>
                    <w:right w:val="none" w:sz="0" w:space="0" w:color="auto"/>
                  </w:divBdr>
                </w:div>
              </w:divsChild>
            </w:div>
            <w:div w:id="1774474063">
              <w:marLeft w:val="0"/>
              <w:marRight w:val="0"/>
              <w:marTop w:val="0"/>
              <w:marBottom w:val="0"/>
              <w:divBdr>
                <w:top w:val="none" w:sz="0" w:space="0" w:color="auto"/>
                <w:left w:val="none" w:sz="0" w:space="0" w:color="auto"/>
                <w:bottom w:val="none" w:sz="0" w:space="0" w:color="auto"/>
                <w:right w:val="none" w:sz="0" w:space="0" w:color="auto"/>
              </w:divBdr>
              <w:divsChild>
                <w:div w:id="1880119008">
                  <w:marLeft w:val="0"/>
                  <w:marRight w:val="0"/>
                  <w:marTop w:val="0"/>
                  <w:marBottom w:val="0"/>
                  <w:divBdr>
                    <w:top w:val="none" w:sz="0" w:space="0" w:color="auto"/>
                    <w:left w:val="none" w:sz="0" w:space="0" w:color="auto"/>
                    <w:bottom w:val="none" w:sz="0" w:space="0" w:color="auto"/>
                    <w:right w:val="none" w:sz="0" w:space="0" w:color="auto"/>
                  </w:divBdr>
                </w:div>
              </w:divsChild>
            </w:div>
            <w:div w:id="1780295332">
              <w:marLeft w:val="0"/>
              <w:marRight w:val="0"/>
              <w:marTop w:val="0"/>
              <w:marBottom w:val="0"/>
              <w:divBdr>
                <w:top w:val="none" w:sz="0" w:space="0" w:color="auto"/>
                <w:left w:val="none" w:sz="0" w:space="0" w:color="auto"/>
                <w:bottom w:val="none" w:sz="0" w:space="0" w:color="auto"/>
                <w:right w:val="none" w:sz="0" w:space="0" w:color="auto"/>
              </w:divBdr>
              <w:divsChild>
                <w:div w:id="1678464736">
                  <w:marLeft w:val="0"/>
                  <w:marRight w:val="0"/>
                  <w:marTop w:val="0"/>
                  <w:marBottom w:val="0"/>
                  <w:divBdr>
                    <w:top w:val="none" w:sz="0" w:space="0" w:color="auto"/>
                    <w:left w:val="none" w:sz="0" w:space="0" w:color="auto"/>
                    <w:bottom w:val="none" w:sz="0" w:space="0" w:color="auto"/>
                    <w:right w:val="none" w:sz="0" w:space="0" w:color="auto"/>
                  </w:divBdr>
                </w:div>
              </w:divsChild>
            </w:div>
            <w:div w:id="1786998547">
              <w:marLeft w:val="0"/>
              <w:marRight w:val="0"/>
              <w:marTop w:val="0"/>
              <w:marBottom w:val="0"/>
              <w:divBdr>
                <w:top w:val="none" w:sz="0" w:space="0" w:color="auto"/>
                <w:left w:val="none" w:sz="0" w:space="0" w:color="auto"/>
                <w:bottom w:val="none" w:sz="0" w:space="0" w:color="auto"/>
                <w:right w:val="none" w:sz="0" w:space="0" w:color="auto"/>
              </w:divBdr>
              <w:divsChild>
                <w:div w:id="1148279237">
                  <w:marLeft w:val="0"/>
                  <w:marRight w:val="0"/>
                  <w:marTop w:val="0"/>
                  <w:marBottom w:val="0"/>
                  <w:divBdr>
                    <w:top w:val="none" w:sz="0" w:space="0" w:color="auto"/>
                    <w:left w:val="none" w:sz="0" w:space="0" w:color="auto"/>
                    <w:bottom w:val="none" w:sz="0" w:space="0" w:color="auto"/>
                    <w:right w:val="none" w:sz="0" w:space="0" w:color="auto"/>
                  </w:divBdr>
                </w:div>
              </w:divsChild>
            </w:div>
            <w:div w:id="1835678444">
              <w:marLeft w:val="0"/>
              <w:marRight w:val="0"/>
              <w:marTop w:val="0"/>
              <w:marBottom w:val="0"/>
              <w:divBdr>
                <w:top w:val="none" w:sz="0" w:space="0" w:color="auto"/>
                <w:left w:val="none" w:sz="0" w:space="0" w:color="auto"/>
                <w:bottom w:val="none" w:sz="0" w:space="0" w:color="auto"/>
                <w:right w:val="none" w:sz="0" w:space="0" w:color="auto"/>
              </w:divBdr>
              <w:divsChild>
                <w:div w:id="1241598033">
                  <w:marLeft w:val="0"/>
                  <w:marRight w:val="0"/>
                  <w:marTop w:val="0"/>
                  <w:marBottom w:val="0"/>
                  <w:divBdr>
                    <w:top w:val="none" w:sz="0" w:space="0" w:color="auto"/>
                    <w:left w:val="none" w:sz="0" w:space="0" w:color="auto"/>
                    <w:bottom w:val="none" w:sz="0" w:space="0" w:color="auto"/>
                    <w:right w:val="none" w:sz="0" w:space="0" w:color="auto"/>
                  </w:divBdr>
                </w:div>
              </w:divsChild>
            </w:div>
            <w:div w:id="1961106299">
              <w:marLeft w:val="0"/>
              <w:marRight w:val="0"/>
              <w:marTop w:val="0"/>
              <w:marBottom w:val="0"/>
              <w:divBdr>
                <w:top w:val="none" w:sz="0" w:space="0" w:color="auto"/>
                <w:left w:val="none" w:sz="0" w:space="0" w:color="auto"/>
                <w:bottom w:val="none" w:sz="0" w:space="0" w:color="auto"/>
                <w:right w:val="none" w:sz="0" w:space="0" w:color="auto"/>
              </w:divBdr>
              <w:divsChild>
                <w:div w:id="180969612">
                  <w:marLeft w:val="0"/>
                  <w:marRight w:val="0"/>
                  <w:marTop w:val="0"/>
                  <w:marBottom w:val="0"/>
                  <w:divBdr>
                    <w:top w:val="none" w:sz="0" w:space="0" w:color="auto"/>
                    <w:left w:val="none" w:sz="0" w:space="0" w:color="auto"/>
                    <w:bottom w:val="none" w:sz="0" w:space="0" w:color="auto"/>
                    <w:right w:val="none" w:sz="0" w:space="0" w:color="auto"/>
                  </w:divBdr>
                </w:div>
              </w:divsChild>
            </w:div>
            <w:div w:id="1961452044">
              <w:marLeft w:val="0"/>
              <w:marRight w:val="0"/>
              <w:marTop w:val="0"/>
              <w:marBottom w:val="0"/>
              <w:divBdr>
                <w:top w:val="none" w:sz="0" w:space="0" w:color="auto"/>
                <w:left w:val="none" w:sz="0" w:space="0" w:color="auto"/>
                <w:bottom w:val="none" w:sz="0" w:space="0" w:color="auto"/>
                <w:right w:val="none" w:sz="0" w:space="0" w:color="auto"/>
              </w:divBdr>
              <w:divsChild>
                <w:div w:id="1589537028">
                  <w:marLeft w:val="0"/>
                  <w:marRight w:val="0"/>
                  <w:marTop w:val="0"/>
                  <w:marBottom w:val="0"/>
                  <w:divBdr>
                    <w:top w:val="none" w:sz="0" w:space="0" w:color="auto"/>
                    <w:left w:val="none" w:sz="0" w:space="0" w:color="auto"/>
                    <w:bottom w:val="none" w:sz="0" w:space="0" w:color="auto"/>
                    <w:right w:val="none" w:sz="0" w:space="0" w:color="auto"/>
                  </w:divBdr>
                </w:div>
              </w:divsChild>
            </w:div>
            <w:div w:id="1991399939">
              <w:marLeft w:val="0"/>
              <w:marRight w:val="0"/>
              <w:marTop w:val="0"/>
              <w:marBottom w:val="0"/>
              <w:divBdr>
                <w:top w:val="none" w:sz="0" w:space="0" w:color="auto"/>
                <w:left w:val="none" w:sz="0" w:space="0" w:color="auto"/>
                <w:bottom w:val="none" w:sz="0" w:space="0" w:color="auto"/>
                <w:right w:val="none" w:sz="0" w:space="0" w:color="auto"/>
              </w:divBdr>
              <w:divsChild>
                <w:div w:id="665472826">
                  <w:marLeft w:val="0"/>
                  <w:marRight w:val="0"/>
                  <w:marTop w:val="0"/>
                  <w:marBottom w:val="0"/>
                  <w:divBdr>
                    <w:top w:val="none" w:sz="0" w:space="0" w:color="auto"/>
                    <w:left w:val="none" w:sz="0" w:space="0" w:color="auto"/>
                    <w:bottom w:val="none" w:sz="0" w:space="0" w:color="auto"/>
                    <w:right w:val="none" w:sz="0" w:space="0" w:color="auto"/>
                  </w:divBdr>
                </w:div>
              </w:divsChild>
            </w:div>
            <w:div w:id="2017687990">
              <w:marLeft w:val="0"/>
              <w:marRight w:val="0"/>
              <w:marTop w:val="0"/>
              <w:marBottom w:val="0"/>
              <w:divBdr>
                <w:top w:val="none" w:sz="0" w:space="0" w:color="auto"/>
                <w:left w:val="none" w:sz="0" w:space="0" w:color="auto"/>
                <w:bottom w:val="none" w:sz="0" w:space="0" w:color="auto"/>
                <w:right w:val="none" w:sz="0" w:space="0" w:color="auto"/>
              </w:divBdr>
              <w:divsChild>
                <w:div w:id="1571233353">
                  <w:marLeft w:val="0"/>
                  <w:marRight w:val="0"/>
                  <w:marTop w:val="0"/>
                  <w:marBottom w:val="0"/>
                  <w:divBdr>
                    <w:top w:val="none" w:sz="0" w:space="0" w:color="auto"/>
                    <w:left w:val="none" w:sz="0" w:space="0" w:color="auto"/>
                    <w:bottom w:val="none" w:sz="0" w:space="0" w:color="auto"/>
                    <w:right w:val="none" w:sz="0" w:space="0" w:color="auto"/>
                  </w:divBdr>
                </w:div>
              </w:divsChild>
            </w:div>
            <w:div w:id="2042824871">
              <w:marLeft w:val="0"/>
              <w:marRight w:val="0"/>
              <w:marTop w:val="0"/>
              <w:marBottom w:val="0"/>
              <w:divBdr>
                <w:top w:val="none" w:sz="0" w:space="0" w:color="auto"/>
                <w:left w:val="none" w:sz="0" w:space="0" w:color="auto"/>
                <w:bottom w:val="none" w:sz="0" w:space="0" w:color="auto"/>
                <w:right w:val="none" w:sz="0" w:space="0" w:color="auto"/>
              </w:divBdr>
              <w:divsChild>
                <w:div w:id="1920669204">
                  <w:marLeft w:val="0"/>
                  <w:marRight w:val="0"/>
                  <w:marTop w:val="0"/>
                  <w:marBottom w:val="0"/>
                  <w:divBdr>
                    <w:top w:val="none" w:sz="0" w:space="0" w:color="auto"/>
                    <w:left w:val="none" w:sz="0" w:space="0" w:color="auto"/>
                    <w:bottom w:val="none" w:sz="0" w:space="0" w:color="auto"/>
                    <w:right w:val="none" w:sz="0" w:space="0" w:color="auto"/>
                  </w:divBdr>
                </w:div>
              </w:divsChild>
            </w:div>
            <w:div w:id="2054500708">
              <w:marLeft w:val="0"/>
              <w:marRight w:val="0"/>
              <w:marTop w:val="0"/>
              <w:marBottom w:val="0"/>
              <w:divBdr>
                <w:top w:val="none" w:sz="0" w:space="0" w:color="auto"/>
                <w:left w:val="none" w:sz="0" w:space="0" w:color="auto"/>
                <w:bottom w:val="none" w:sz="0" w:space="0" w:color="auto"/>
                <w:right w:val="none" w:sz="0" w:space="0" w:color="auto"/>
              </w:divBdr>
              <w:divsChild>
                <w:div w:id="15983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aterboards.ca.gov/board_decisions/adopted_orders/resolutions/2021/rs2021_0050.pdf" TargetMode="External"/><Relationship Id="rId21" Type="http://schemas.openxmlformats.org/officeDocument/2006/relationships/hyperlink" Target="https://www.waterboards.ca.gov/board_decisions/adopted_orders/resolutions/2015/020315_8_amendment_clean_version.pdf" TargetMode="External"/><Relationship Id="rId42" Type="http://schemas.openxmlformats.org/officeDocument/2006/relationships/hyperlink" Target="https://www.waterboards.ca.gov/water_issues/programs/tmdl/2023_2024state_ir_reports/apx-a-2024-303d-list-final.xlsx" TargetMode="External"/><Relationship Id="rId47" Type="http://schemas.openxmlformats.org/officeDocument/2006/relationships/hyperlink" Target="https://archive.epa.gov/epa/sites/production/files/2016-02/documents/draft-tsd-recommended-blm-parameters.pdf" TargetMode="External"/><Relationship Id="rId63" Type="http://schemas.openxmlformats.org/officeDocument/2006/relationships/hyperlink" Target="https://www.waterboards.ca.gov/northcoast/water_issues/programs/basin_plan/190204/Final%20Basin%20Plan_20180620_lmb.pdf" TargetMode="External"/><Relationship Id="rId68" Type="http://schemas.openxmlformats.org/officeDocument/2006/relationships/hyperlink" Target="https://www.nwri-usa.org/socal-coastal-model-review" TargetMode="External"/><Relationship Id="rId84" Type="http://schemas.openxmlformats.org/officeDocument/2006/relationships/hyperlink" Target="http://www.jstor.org/stable/pdfplus/2836308.pdf" TargetMode="External"/><Relationship Id="rId89" Type="http://schemas.openxmlformats.org/officeDocument/2006/relationships/hyperlink" Target="https://www.waterboards.ca.gov/water_issues/programs/swamp/docs/reports/app_c_assess_frmwrk.pdf" TargetMode="External"/><Relationship Id="rId16" Type="http://schemas.openxmlformats.org/officeDocument/2006/relationships/hyperlink" Target="https://www.waterboards.ca.gov/water_issues/programs/tmdl/docs/iw_policy.pdf" TargetMode="External"/><Relationship Id="rId107" Type="http://schemas.microsoft.com/office/2019/05/relationships/documenttasks" Target="documenttasks/documenttasks1.xml"/><Relationship Id="rId11" Type="http://schemas.openxmlformats.org/officeDocument/2006/relationships/image" Target="media/image1.png"/><Relationship Id="rId32" Type="http://schemas.openxmlformats.org/officeDocument/2006/relationships/hyperlink" Target="https://www.epa.gov/system/files/documents/2023-12/epa-policy-on-consultation-with-indian-tribes-2023.pdf" TargetMode="External"/><Relationship Id="rId37" Type="http://schemas.openxmlformats.org/officeDocument/2006/relationships/hyperlink" Target="https://www.waterboards.ca.gov/water_issues/programs/water_quality_assessment/docs/2026_solicitation_notice.pdf" TargetMode="External"/><Relationship Id="rId53" Type="http://schemas.openxmlformats.org/officeDocument/2006/relationships/hyperlink" Target="file:///C:/Users/lwebber/AppData/Local/Microsoft/Windows/INetCache/Content.Outlook/OEUTIOKY/USEPA%20Aquatic%20Life%20Benchmarks%20(https:/www.epa.gov/pesticide-science-and-assessing-pesticide-risks/aquatic-life-benchmarks-and-ecological-risk" TargetMode="External"/><Relationship Id="rId58" Type="http://schemas.openxmlformats.org/officeDocument/2006/relationships/hyperlink" Target="https://www.epa.gov/system/files/documents/2024-12/ca-2024-303d-list-epa-partial-approval-disapproval-2024-12-12.pdf" TargetMode="External"/><Relationship Id="rId74" Type="http://schemas.openxmlformats.org/officeDocument/2006/relationships/hyperlink" Target="https://www.waterboards.ca.gov/centralvalley/water_issues/tmdl/central_valley_projects/delta_hg/" TargetMode="External"/><Relationship Id="rId79" Type="http://schemas.openxmlformats.org/officeDocument/2006/relationships/hyperlink" Target="https://www.waterboards.ca.gov/lahontan/water_issues/programs/tmdl/bishopcreek.html" TargetMode="External"/><Relationship Id="rId102" Type="http://schemas.openxmlformats.org/officeDocument/2006/relationships/hyperlink" Target="https://www.epa.gov/pesticide-science-and-assessing-pesticide-risks/aquatic-life-benchmarks-and-ecological-risk" TargetMode="External"/><Relationship Id="rId5" Type="http://schemas.openxmlformats.org/officeDocument/2006/relationships/numbering" Target="numbering.xml"/><Relationship Id="rId90" Type="http://schemas.openxmlformats.org/officeDocument/2006/relationships/hyperlink" Target="https://www.waterboards.ca.gov/water_issues/programs/water_quality_goals/docs/wq_goals_text.pdf" TargetMode="External"/><Relationship Id="rId95" Type="http://schemas.openxmlformats.org/officeDocument/2006/relationships/hyperlink" Target="https://www.epa.gov/sites/production/files/2015-10/documents/rwqc2012.pdf" TargetMode="External"/><Relationship Id="rId22" Type="http://schemas.openxmlformats.org/officeDocument/2006/relationships/hyperlink" Target="https://www.waterboards.ca.gov/board_decisions/adopted_orders/resolutions/2015/020315_8_amendment_clean_version.pdf" TargetMode="External"/><Relationship Id="rId27" Type="http://schemas.openxmlformats.org/officeDocument/2006/relationships/hyperlink" Target="https://www.waterboards.ca.gov/board_decisions/adopted_orders/resolutions/2021/rs2021_0050.pdf" TargetMode="External"/><Relationship Id="rId43" Type="http://schemas.openxmlformats.org/officeDocument/2006/relationships/image" Target="media/image4.png"/><Relationship Id="rId48" Type="http://schemas.openxmlformats.org/officeDocument/2006/relationships/hyperlink" Target="https://archive.epa.gov/epa/sites/production/files/2016-02/documents/draft-tsd-recommended-blm-parameters.pdf" TargetMode="External"/><Relationship Id="rId64" Type="http://schemas.openxmlformats.org/officeDocument/2006/relationships/hyperlink" Target="https://www.waterboards.ca.gov/northcoast/water_issues/programs/basin_plan/190204/Final%20Basin%20Plan_20180620_lmb.pdf" TargetMode="External"/><Relationship Id="rId69" Type="http://schemas.openxmlformats.org/officeDocument/2006/relationships/image" Target="media/image8.jpeg"/><Relationship Id="rId80" Type="http://schemas.openxmlformats.org/officeDocument/2006/relationships/hyperlink" Target="https://www.waterboards.ca.gov/lahontan/water_issues/programs/tmdl/bishopcreek.html" TargetMode="External"/><Relationship Id="rId85" Type="http://schemas.openxmlformats.org/officeDocument/2006/relationships/hyperlink" Target="https://mywaterquality.ca.gov/monitoring_council/cyanohab_network/docs/2016/appendix_a_2016_1.pdf" TargetMode="External"/><Relationship Id="rId12" Type="http://schemas.openxmlformats.org/officeDocument/2006/relationships/image" Target="media/image2.png"/><Relationship Id="rId17" Type="http://schemas.openxmlformats.org/officeDocument/2006/relationships/hyperlink" Target="https://www.epa.gov/sites/default/files/2015-07/documents/vision_303d_program_dec_2013.pdf" TargetMode="External"/><Relationship Id="rId33" Type="http://schemas.openxmlformats.org/officeDocument/2006/relationships/hyperlink" Target="https://www.epa.gov/system/files/documents/2023-12/epa-policy-on-consultation-with-indian-tribes-2023.pdf" TargetMode="External"/><Relationship Id="rId38" Type="http://schemas.openxmlformats.org/officeDocument/2006/relationships/hyperlink" Target="https://www.epa.gov/system/files/documents/2023-03/2024IRmemo_032923.pdf" TargetMode="External"/><Relationship Id="rId59" Type="http://schemas.openxmlformats.org/officeDocument/2006/relationships/hyperlink" Target="https://www.waterboards.ca.gov/water_issues/programs/water_quality_assessment/2024_integrated_report/rs2024-0007.pdf" TargetMode="External"/><Relationship Id="rId103" Type="http://schemas.openxmlformats.org/officeDocument/2006/relationships/hyperlink" Target="https://www.epa.gov/system/files/documents/2023-03/2024IRmemo_032923.pdf.%20Accessed%20September%206,%202023." TargetMode="External"/><Relationship Id="rId108" Type="http://schemas.microsoft.com/office/2020/10/relationships/intelligence" Target="intelligence2.xml"/><Relationship Id="rId20" Type="http://schemas.openxmlformats.org/officeDocument/2006/relationships/hyperlink" Target="https://www.epa.gov/system/files/documents/2022-09/CWA%20Section%20303d%20Vision_September%202022.pdf" TargetMode="External"/><Relationship Id="rId41" Type="http://schemas.openxmlformats.org/officeDocument/2006/relationships/hyperlink" Target="https://www.waterboards.ca.gov/water_issues/programs/tmdl/2023_2024state_ir_reports/apx-a-2024-303d-list-final.xlsx" TargetMode="External"/><Relationship Id="rId54" Type="http://schemas.openxmlformats.org/officeDocument/2006/relationships/image" Target="media/image7.jpg"/><Relationship Id="rId62" Type="http://schemas.openxmlformats.org/officeDocument/2006/relationships/hyperlink" Target="https://www.waterboards.ca.gov/water_issues/programs/water_quality_assessment/docs/2024-misassigned-qapps-memo.pdf" TargetMode="External"/><Relationship Id="rId70" Type="http://schemas.openxmlformats.org/officeDocument/2006/relationships/image" Target="media/image9.jpeg"/><Relationship Id="rId75" Type="http://schemas.openxmlformats.org/officeDocument/2006/relationships/hyperlink" Target="https://www.waterboards.ca.gov/lahontan/water_issues/programs/basin_plan/bacteria_water_quality_objectives_amendment.html" TargetMode="External"/><Relationship Id="rId83" Type="http://schemas.openxmlformats.org/officeDocument/2006/relationships/hyperlink" Target="https://lawreview.uchicago.edu/sites/default/files/01%20Baude%26Doerfler_ART_IC.pdf" TargetMode="External"/><Relationship Id="rId88" Type="http://schemas.openxmlformats.org/officeDocument/2006/relationships/hyperlink" Target="https://doi.org/10.1002/etc.4448" TargetMode="External"/><Relationship Id="rId91" Type="http://schemas.openxmlformats.org/officeDocument/2006/relationships/hyperlink" Target="https://www.waterboards.ca.gov/bacterialobjectives/docs/bacteria.pdf" TargetMode="External"/><Relationship Id="rId96" Type="http://schemas.openxmlformats.org/officeDocument/2006/relationships/hyperlink" Target="https://www.waterboards.ca.gov/water_issues/programs/tmdl/records/state_board/2016/ref4295.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aterboards.ca.gov/water_issues/programs/tmdl/docs/iw_policy.pdf" TargetMode="External"/><Relationship Id="rId23" Type="http://schemas.openxmlformats.org/officeDocument/2006/relationships/hyperlink" Target="https://www.waterboards.ca.gov/water_issues/programs/tmdl/docs/ffed_093004.pdf" TargetMode="External"/><Relationship Id="rId28" Type="http://schemas.openxmlformats.org/officeDocument/2006/relationships/hyperlink" Target="https://oehha.ca.gov/calenviroscreen/report/calenviroscreen-40" TargetMode="External"/><Relationship Id="rId36" Type="http://schemas.openxmlformats.org/officeDocument/2006/relationships/hyperlink" Target="https://www.waterboards.ca.gov/water_issues/programs/water_quality_assessment/docs/2026_solicitation_notice.pdf" TargetMode="External"/><Relationship Id="rId49" Type="http://schemas.openxmlformats.org/officeDocument/2006/relationships/hyperlink" Target="https://www.govinfo.gov/content/pkg/FR-2021-03-19/pdf/2021-05428.pdf)" TargetMode="External"/><Relationship Id="rId57" Type="http://schemas.openxmlformats.org/officeDocument/2006/relationships/hyperlink" Target="https://www.epa.gov/system/files/documents/2024-12/ca-2024-303d-list-epa-partial-approval-disapproval-2024-12-12.pdf"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waterboards.ca.gov/racial_equity/docs/racial-equity-action-plan-final-en.pdf" TargetMode="External"/><Relationship Id="rId44" Type="http://schemas.openxmlformats.org/officeDocument/2006/relationships/image" Target="media/image5.jpg"/><Relationship Id="rId52" Type="http://schemas.openxmlformats.org/officeDocument/2006/relationships/image" Target="media/image6.png"/><Relationship Id="rId60" Type="http://schemas.openxmlformats.org/officeDocument/2006/relationships/hyperlink" Target="https://www.waterboards.ca.gov/water_issues/programs/water_quality_assessment/2024_integrated_report/rs2024-0007.pdf" TargetMode="External"/><Relationship Id="rId65" Type="http://schemas.openxmlformats.org/officeDocument/2006/relationships/hyperlink" Target="https://www.oregon.gov/deq/wq/Documents/ir2024oahWGoverview.pdf" TargetMode="External"/><Relationship Id="rId73" Type="http://schemas.openxmlformats.org/officeDocument/2006/relationships/hyperlink" Target="https://www.waterboards.ca.gov/centralvalley/water_issues/tmdl/central_valley_projects/delta_hg/" TargetMode="External"/><Relationship Id="rId78" Type="http://schemas.openxmlformats.org/officeDocument/2006/relationships/hyperlink" Target="https://tahoe.ca.gov/upper-truckee-marsh/" TargetMode="External"/><Relationship Id="rId81" Type="http://schemas.openxmlformats.org/officeDocument/2006/relationships/hyperlink" Target="https://www.waterboards.ca.gov/lahontan/water_issues/programs/tmdl/west_fork_carson_river.html" TargetMode="External"/><Relationship Id="rId86" Type="http://schemas.openxmlformats.org/officeDocument/2006/relationships/hyperlink" Target="https://www.epa.gov/sites/default/files/2018-12/documents/aluminum-final-national-recommended-awqc.pdf" TargetMode="External"/><Relationship Id="rId94" Type="http://schemas.openxmlformats.org/officeDocument/2006/relationships/hyperlink" Target="https://ecotox.ipmcenters.org/" TargetMode="External"/><Relationship Id="rId99" Type="http://schemas.openxmlformats.org/officeDocument/2006/relationships/hyperlink" Target="https://www.epa.gov/wqc/national-recommended-water-quality-criteria" TargetMode="External"/><Relationship Id="rId101" Type="http://schemas.openxmlformats.org/officeDocument/2006/relationships/hyperlink" Target="https://www.epa.gov/system/files/documents/2021-11/aluminum-tsd-draft-2021.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aterboards.ca.gov/board_decisions/adopted_orders/resolutions/2015/020315_8_amendment_clean_version.pdf" TargetMode="External"/><Relationship Id="rId18" Type="http://schemas.openxmlformats.org/officeDocument/2006/relationships/hyperlink" Target="https://www.epa.gov/sites/default/files/2015-07/documents/vision_303d_program_dec_2013.pdf" TargetMode="External"/><Relationship Id="rId39" Type="http://schemas.openxmlformats.org/officeDocument/2006/relationships/hyperlink" Target="https://www.epa.gov/system/files/documents/2023-03/2024IRmemo_032923.pdf" TargetMode="External"/><Relationship Id="rId34" Type="http://schemas.openxmlformats.org/officeDocument/2006/relationships/hyperlink" Target="https://www.epa.gov/system/files/documents/2022-12/clean-water-act-section-106-tribal-guidance.pdf" TargetMode="External"/><Relationship Id="rId50" Type="http://schemas.openxmlformats.org/officeDocument/2006/relationships/hyperlink" Target="https://www.epa.gov/sites/default/files/2019-03/documents/metals-criteria-interpret-aqlife-memo.pdf" TargetMode="External"/><Relationship Id="rId55" Type="http://schemas.openxmlformats.org/officeDocument/2006/relationships/hyperlink" Target="https://www.epa.gov/system/files/documents/2024-12/ca-2024-303d-list-epa-partial-approval-disapproval-2024-12-12.pdf" TargetMode="External"/><Relationship Id="rId76" Type="http://schemas.openxmlformats.org/officeDocument/2006/relationships/hyperlink" Target="https://www.waterboards.ca.gov/lahontan/water_issues/programs/basin_plan/bacteria_water_quality_objectives_amendment.html" TargetMode="External"/><Relationship Id="rId97" Type="http://schemas.openxmlformats.org/officeDocument/2006/relationships/hyperlink" Target="https://www.epa.gov/sites/production/files/2017-06/documents/cylindrospermopsin-report-2015.pdf" TargetMode="External"/><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waterboards.ca.gov/northcoast/water_issues/programs/tmdls/coastal_pathogen/" TargetMode="External"/><Relationship Id="rId92" Type="http://schemas.openxmlformats.org/officeDocument/2006/relationships/hyperlink" Target="https://www.waterboards.ca.gov/water_issues/programs/water_quality_assessment/2024-integrated-report.html" TargetMode="External"/><Relationship Id="rId2" Type="http://schemas.openxmlformats.org/officeDocument/2006/relationships/customXml" Target="../customXml/item2.xml"/><Relationship Id="rId29" Type="http://schemas.openxmlformats.org/officeDocument/2006/relationships/hyperlink" Target="https://oehha.ca.gov/calenviroscreen/report/calenviroscreen-40" TargetMode="External"/><Relationship Id="rId24" Type="http://schemas.openxmlformats.org/officeDocument/2006/relationships/hyperlink" Target="https://www.waterboards.ca.gov/water_issues/programs/tmdl/docs/ffed_093004.pdf" TargetMode="External"/><Relationship Id="rId40" Type="http://schemas.openxmlformats.org/officeDocument/2006/relationships/image" Target="media/image3.jpg"/><Relationship Id="rId45" Type="http://schemas.openxmlformats.org/officeDocument/2006/relationships/hyperlink" Target="https://www.epa.gov/wqc/aquatic-life-criteria-aluminum" TargetMode="External"/><Relationship Id="rId66" Type="http://schemas.openxmlformats.org/officeDocument/2006/relationships/hyperlink" Target="https://www.oregon.gov/deq/wq/Documents/ir2024oahWGoverview.pdf" TargetMode="External"/><Relationship Id="rId87" Type="http://schemas.openxmlformats.org/officeDocument/2006/relationships/hyperlink" Target="https://www.waterboards.ca.gov/water_issues/programs/tmdl/records/state_board/2016/ref4294.pdf" TargetMode="External"/><Relationship Id="rId61" Type="http://schemas.openxmlformats.org/officeDocument/2006/relationships/hyperlink" Target="https://www.waterboards.ca.gov/water_issues/programs/water_quality_assessment/docs/2024-misassigned-qapps-memo.pdf" TargetMode="External"/><Relationship Id="rId82" Type="http://schemas.openxmlformats.org/officeDocument/2006/relationships/hyperlink" Target="https://www.waterboards.ca.gov/lahontan/water_issues/programs/tmdl/west_fork_carson_river.html" TargetMode="External"/><Relationship Id="rId19" Type="http://schemas.openxmlformats.org/officeDocument/2006/relationships/hyperlink" Target="https://www.epa.gov/system/files/documents/2022-09/CWA%20Section%20303d%20Vision_September%202022.pdf" TargetMode="External"/><Relationship Id="rId14" Type="http://schemas.openxmlformats.org/officeDocument/2006/relationships/hyperlink" Target="https://www.waterboards.ca.gov/board_decisions/adopted_orders/resolutions/2015/020315_8_amendment_clean_version.pdf" TargetMode="External"/><Relationship Id="rId30" Type="http://schemas.openxmlformats.org/officeDocument/2006/relationships/hyperlink" Target="https://www.waterboards.ca.gov/racial_equity/docs/racial-equity-action-plan-final-en.pdf" TargetMode="External"/><Relationship Id="rId35" Type="http://schemas.openxmlformats.org/officeDocument/2006/relationships/hyperlink" Target="https://www.epa.gov/system/files/documents/2022-12/clean-water-act-section-106-tribal-guidance.pdf" TargetMode="External"/><Relationship Id="rId56" Type="http://schemas.openxmlformats.org/officeDocument/2006/relationships/hyperlink" Target="https://www.epa.gov/system/files/documents/2024-12/ca-2024-303d-list-epa-partial-approval-disapproval-2024-12-12.pdf" TargetMode="External"/><Relationship Id="rId77" Type="http://schemas.openxmlformats.org/officeDocument/2006/relationships/hyperlink" Target="https://tahoe.ca.gov/upper-truckee-marsh/" TargetMode="External"/><Relationship Id="rId100" Type="http://schemas.openxmlformats.org/officeDocument/2006/relationships/hyperlink" Target="https://www.epa.gov/wqc/2018-final-aquatic-life-criteria-aluminum-freshwater"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epa.gov/sites/default/files/2019-03/documents/metals-criteria-interpret-aqlife-memo.pdf" TargetMode="External"/><Relationship Id="rId72" Type="http://schemas.openxmlformats.org/officeDocument/2006/relationships/hyperlink" Target="https://www.waterboards.ca.gov/northcoast/water_issues/programs/tmdls/coastal_pathogen/" TargetMode="External"/><Relationship Id="rId93" Type="http://schemas.openxmlformats.org/officeDocument/2006/relationships/hyperlink" Target="https://www.epa.gov/system/files/documents/2021-11/aluminum-tsd-draft-2021.pdf" TargetMode="External"/><Relationship Id="rId98" Type="http://schemas.openxmlformats.org/officeDocument/2006/relationships/hyperlink" Target="https://archive.epa.gov/epa/sites/production/files/2016-02/documents/draft-tsd-recommended-blm-parameters.pdf" TargetMode="External"/><Relationship Id="rId3" Type="http://schemas.openxmlformats.org/officeDocument/2006/relationships/customXml" Target="../customXml/item3.xml"/><Relationship Id="rId25" Type="http://schemas.openxmlformats.org/officeDocument/2006/relationships/hyperlink" Target="https://www.epa.gov/sites/default/files/2015-10/documents/2003_07_23_tmdl_tmdl0103_2004rpt_guidance.pdf" TargetMode="External"/><Relationship Id="rId46" Type="http://schemas.openxmlformats.org/officeDocument/2006/relationships/hyperlink" Target="https://www.epa.gov/wqc/aquatic-life-criteria-aluminum" TargetMode="External"/><Relationship Id="rId67" Type="http://schemas.openxmlformats.org/officeDocument/2006/relationships/hyperlink" Target="https://www.nwri-usa.org/socal-coastal-model-review"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waterboards.ca.gov/water_issues/programs/tmdl/2020_2022state_ir_reports_revised_final/2020-2022-ir-final-revised-summary-of-responses-and-comments.pdf" TargetMode="External"/></Relationships>
</file>

<file path=word/documenttasks/documenttasks1.xml><?xml version="1.0" encoding="utf-8"?>
<t:Tasks xmlns:t="http://schemas.microsoft.com/office/tasks/2019/documenttasks" xmlns:oel="http://schemas.microsoft.com/office/2019/extlst">
  <t:Task id="{5FC985AB-B689-4C5C-B380-06113AFAD1FF}">
    <t:Anchor>
      <t:Comment id="2007740892"/>
    </t:Anchor>
    <t:History>
      <t:Event id="{99F1E4AA-466F-47EA-B7BA-0F5DCDB6E2BC}" time="2024-10-03T15:38:45.015Z">
        <t:Attribution userId="S::AnaMaria.Saenz@waterboards.ca.gov::70cf9818-f865-48b8-ac10-369be4411e44" userProvider="AD" userName="Saenz, AnaMaria@Waterboards"/>
        <t:Anchor>
          <t:Comment id="972113345"/>
        </t:Anchor>
        <t:Create/>
      </t:Event>
      <t:Event id="{C0CC4531-667A-45F4-888B-E3100848604C}" time="2024-10-03T15:38:45.015Z">
        <t:Attribution userId="S::AnaMaria.Saenz@waterboards.ca.gov::70cf9818-f865-48b8-ac10-369be4411e44" userProvider="AD" userName="Saenz, AnaMaria@Waterboards"/>
        <t:Anchor>
          <t:Comment id="972113345"/>
        </t:Anchor>
        <t:Assign userId="S::Lillibeth.Rodriguez@Waterboards.ca.gov::f9162899-6f8a-4a77-a703-4e1122c61a7d" userProvider="AD" userName="Rodriguez, Lillibeth@Waterboards"/>
      </t:Event>
      <t:Event id="{204F353D-BB0B-4536-8ACE-FF924C82AAEB}" time="2024-10-03T15:38:45.015Z">
        <t:Attribution userId="S::AnaMaria.Saenz@waterboards.ca.gov::70cf9818-f865-48b8-ac10-369be4411e44" userProvider="AD" userName="Saenz, AnaMaria@Waterboards"/>
        <t:Anchor>
          <t:Comment id="972113345"/>
        </t:Anchor>
        <t:SetTitle title="@Rodriguez, Lillibeth@Waterboards this section needs a better name. Something more descriptive. Can you please revise? "/>
      </t:Event>
      <t:Event id="{40CAE39A-DBD9-4C5C-ABB2-C8099E62F12D}" time="2024-10-03T18:18:11.375Z">
        <t:Attribution userId="S::Lillibeth.Rodriguez@Waterboards.ca.gov::f9162899-6f8a-4a77-a703-4e1122c61a7d" userProvider="AD" userName="Rodriguez, Lillibeth@Waterboards"/>
        <t:Progress percentComplete="100"/>
      </t:Event>
    </t:History>
  </t:Task>
  <t:Task id="{B98C3A0B-F1BE-4F43-AB93-1C1902562FA1}">
    <t:Anchor>
      <t:Comment id="1552671520"/>
    </t:Anchor>
    <t:History>
      <t:Event id="{4E644359-1CFA-4C3F-B699-EB9D3F8B750E}" time="2025-01-20T21:56:58.593Z">
        <t:Attribution userId="S::nicholas.martorano@waterboards.ca.gov::d0672822-f165-4957-af3a-607b5255ad10" userProvider="AD" userName="Martorano, Nicholas@Waterboards"/>
        <t:Anchor>
          <t:Comment id="1552671520"/>
        </t:Anchor>
        <t:Create/>
      </t:Event>
      <t:Event id="{EDAC804B-97B3-4FA7-B061-D65331AB9796}" time="2025-01-20T21:56:58.593Z">
        <t:Attribution userId="S::nicholas.martorano@waterboards.ca.gov::d0672822-f165-4957-af3a-607b5255ad10" userProvider="AD" userName="Martorano, Nicholas@Waterboards"/>
        <t:Anchor>
          <t:Comment id="1552671520"/>
        </t:Anchor>
        <t:Assign userId="S::AnaMaria.Saenz@waterboards.ca.gov::70cf9818-f865-48b8-ac10-369be4411e44" userProvider="AD" userName="Saenz, AnaMaria@Waterboards"/>
      </t:Event>
      <t:Event id="{C0B347F0-8E27-4F7D-9D7E-D9A46104EC29}" time="2025-01-20T21:56:58.593Z">
        <t:Attribution userId="S::nicholas.martorano@waterboards.ca.gov::d0672822-f165-4957-af3a-607b5255ad10" userProvider="AD" userName="Martorano, Nicholas@Waterboards"/>
        <t:Anchor>
          <t:Comment id="1552671520"/>
        </t:Anchor>
        <t:SetTitle title="@Saenz, AnaMaria@Waterboards Is this right or is it really the 2024 Integrated Report that did this and we are just mentioning it here as background and support for changing the process for 2026?"/>
      </t:Event>
      <t:Event id="{DC00527B-9EB8-44BB-8574-79A2B292A3FD}" time="2025-01-21T19:20:04.953Z">
        <t:Attribution userId="S::nicholas.martorano@waterboards.ca.gov::d0672822-f165-4957-af3a-607b5255ad10" userProvider="AD" userName="Martorano, Nicholas@Waterboard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218881f-c9e0-4165-a027-de00d9d4597f">
      <UserInfo>
        <DisplayName>Cubanski, Patricia@Waterboards</DisplayName>
        <AccountId>20382</AccountId>
        <AccountType/>
      </UserInfo>
      <UserInfo>
        <DisplayName>Udasco, Celene@Waterboards</DisplayName>
        <AccountId>20384</AccountId>
        <AccountType/>
      </UserInfo>
      <UserInfo>
        <DisplayName>Saenz, AnaMaria@Waterboards</DisplayName>
        <AccountId>739</AccountId>
        <AccountType/>
      </UserInfo>
    </SharedWithUsers>
    <lcf76f155ced4ddcb4097134ff3c332f xmlns="dae98449-543e-4ad9-9902-154f20e50de7">
      <Terms xmlns="http://schemas.microsoft.com/office/infopath/2007/PartnerControls"/>
    </lcf76f155ced4ddcb4097134ff3c332f>
    <TaxCatchAll xmlns="a218881f-c9e0-4165-a027-de00d9d4597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C5F0D0F353D4E42B5DADE0DD9B49428" ma:contentTypeVersion="16" ma:contentTypeDescription="Create a new document." ma:contentTypeScope="" ma:versionID="42508c9d7c2b0f7e9ffbd863aee78196">
  <xsd:schema xmlns:xsd="http://www.w3.org/2001/XMLSchema" xmlns:xs="http://www.w3.org/2001/XMLSchema" xmlns:p="http://schemas.microsoft.com/office/2006/metadata/properties" xmlns:ns2="a218881f-c9e0-4165-a027-de00d9d4597f" xmlns:ns3="dae98449-543e-4ad9-9902-154f20e50de7" targetNamespace="http://schemas.microsoft.com/office/2006/metadata/properties" ma:root="true" ma:fieldsID="51880bc72f38c74c826a3d0d959d34ee" ns2:_="" ns3:_="">
    <xsd:import namespace="a218881f-c9e0-4165-a027-de00d9d4597f"/>
    <xsd:import namespace="dae98449-543e-4ad9-9902-154f20e50d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18881f-c9e0-4165-a027-de00d9d4597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44a21ff-a32b-47ce-a995-dd9896db4f28}" ma:internalName="TaxCatchAll" ma:showField="CatchAllData" ma:web="a218881f-c9e0-4165-a027-de00d9d459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e98449-543e-4ad9-9902-154f20e50d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cfdcae8-6a83-4c52-b891-75b08cbe23e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C9A24D-B87A-49E8-9F3F-F55CED5756A1}">
  <ds:schemaRefs>
    <ds:schemaRef ds:uri="http://schemas.microsoft.com/sharepoint/v3/contenttype/forms"/>
  </ds:schemaRefs>
</ds:datastoreItem>
</file>

<file path=customXml/itemProps2.xml><?xml version="1.0" encoding="utf-8"?>
<ds:datastoreItem xmlns:ds="http://schemas.openxmlformats.org/officeDocument/2006/customXml" ds:itemID="{0C912481-AADA-4AC2-988A-0BF579613845}">
  <ds:schemaRefs>
    <ds:schemaRef ds:uri="http://schemas.microsoft.com/office/2006/metadata/properties"/>
    <ds:schemaRef ds:uri="http://schemas.microsoft.com/office/infopath/2007/PartnerControls"/>
    <ds:schemaRef ds:uri="a218881f-c9e0-4165-a027-de00d9d4597f"/>
    <ds:schemaRef ds:uri="dae98449-543e-4ad9-9902-154f20e50de7"/>
  </ds:schemaRefs>
</ds:datastoreItem>
</file>

<file path=customXml/itemProps3.xml><?xml version="1.0" encoding="utf-8"?>
<ds:datastoreItem xmlns:ds="http://schemas.openxmlformats.org/officeDocument/2006/customXml" ds:itemID="{D269A4AC-5AC0-4F4D-A99F-DB683CDC9427}">
  <ds:schemaRefs>
    <ds:schemaRef ds:uri="http://schemas.openxmlformats.org/officeDocument/2006/bibliography"/>
  </ds:schemaRefs>
</ds:datastoreItem>
</file>

<file path=customXml/itemProps4.xml><?xml version="1.0" encoding="utf-8"?>
<ds:datastoreItem xmlns:ds="http://schemas.openxmlformats.org/officeDocument/2006/customXml" ds:itemID="{442F5AC5-3FB5-4464-AE93-E64141694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18881f-c9e0-4165-a027-de00d9d4597f"/>
    <ds:schemaRef ds:uri="dae98449-543e-4ad9-9902-154f20e50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Pages>
  <Words>50483</Words>
  <Characters>287756</Characters>
  <Application>Microsoft Office Word</Application>
  <DocSecurity>4</DocSecurity>
  <Lines>2397</Lines>
  <Paragraphs>675</Paragraphs>
  <ScaleCrop>false</ScaleCrop>
  <Company/>
  <LinksUpToDate>false</LinksUpToDate>
  <CharactersWithSpaces>337564</CharactersWithSpaces>
  <SharedDoc>false</SharedDoc>
  <HLinks>
    <vt:vector size="1212" baseType="variant">
      <vt:variant>
        <vt:i4>7143437</vt:i4>
      </vt:variant>
      <vt:variant>
        <vt:i4>1017</vt:i4>
      </vt:variant>
      <vt:variant>
        <vt:i4>0</vt:i4>
      </vt:variant>
      <vt:variant>
        <vt:i4>5</vt:i4>
      </vt:variant>
      <vt:variant>
        <vt:lpwstr>https://www.epa.gov/system/files/documents/2023-03/2024IRmemo_032923.pdf. Accessed September 6, 2023.</vt:lpwstr>
      </vt:variant>
      <vt:variant>
        <vt:lpwstr/>
      </vt:variant>
      <vt:variant>
        <vt:i4>5636179</vt:i4>
      </vt:variant>
      <vt:variant>
        <vt:i4>1014</vt:i4>
      </vt:variant>
      <vt:variant>
        <vt:i4>0</vt:i4>
      </vt:variant>
      <vt:variant>
        <vt:i4>5</vt:i4>
      </vt:variant>
      <vt:variant>
        <vt:lpwstr>https://www.epa.gov/pesticide-science-and-assessing-pesticide-risks/aquatic-life-benchmarks-and-ecological-risk</vt:lpwstr>
      </vt:variant>
      <vt:variant>
        <vt:lpwstr>aquatic-benchmarks</vt:lpwstr>
      </vt:variant>
      <vt:variant>
        <vt:i4>7405614</vt:i4>
      </vt:variant>
      <vt:variant>
        <vt:i4>1011</vt:i4>
      </vt:variant>
      <vt:variant>
        <vt:i4>0</vt:i4>
      </vt:variant>
      <vt:variant>
        <vt:i4>5</vt:i4>
      </vt:variant>
      <vt:variant>
        <vt:lpwstr>https://www.epa.gov/system/files/documents/2021-11/aluminum-tsd-draft-2021.pdf</vt:lpwstr>
      </vt:variant>
      <vt:variant>
        <vt:lpwstr/>
      </vt:variant>
      <vt:variant>
        <vt:i4>84</vt:i4>
      </vt:variant>
      <vt:variant>
        <vt:i4>1008</vt:i4>
      </vt:variant>
      <vt:variant>
        <vt:i4>0</vt:i4>
      </vt:variant>
      <vt:variant>
        <vt:i4>5</vt:i4>
      </vt:variant>
      <vt:variant>
        <vt:lpwstr>https://www.epa.gov/wqc/2018-final-aquatic-life-criteria-aluminum-freshwater</vt:lpwstr>
      </vt:variant>
      <vt:variant>
        <vt:lpwstr/>
      </vt:variant>
      <vt:variant>
        <vt:i4>7077924</vt:i4>
      </vt:variant>
      <vt:variant>
        <vt:i4>1005</vt:i4>
      </vt:variant>
      <vt:variant>
        <vt:i4>0</vt:i4>
      </vt:variant>
      <vt:variant>
        <vt:i4>5</vt:i4>
      </vt:variant>
      <vt:variant>
        <vt:lpwstr>https://www.epa.gov/wqc/national-recommended-water-quality-criteria</vt:lpwstr>
      </vt:variant>
      <vt:variant>
        <vt:lpwstr/>
      </vt:variant>
      <vt:variant>
        <vt:i4>327695</vt:i4>
      </vt:variant>
      <vt:variant>
        <vt:i4>1002</vt:i4>
      </vt:variant>
      <vt:variant>
        <vt:i4>0</vt:i4>
      </vt:variant>
      <vt:variant>
        <vt:i4>5</vt:i4>
      </vt:variant>
      <vt:variant>
        <vt:lpwstr>https://archive.epa.gov/epa/sites/production/files/2016-02/documents/draft-tsd-recommended-blm-parameters.pdf</vt:lpwstr>
      </vt:variant>
      <vt:variant>
        <vt:lpwstr/>
      </vt:variant>
      <vt:variant>
        <vt:i4>7995427</vt:i4>
      </vt:variant>
      <vt:variant>
        <vt:i4>999</vt:i4>
      </vt:variant>
      <vt:variant>
        <vt:i4>0</vt:i4>
      </vt:variant>
      <vt:variant>
        <vt:i4>5</vt:i4>
      </vt:variant>
      <vt:variant>
        <vt:lpwstr>https://www.epa.gov/sites/production/files/2017-06/documents/cylindrospermopsin-report-2015.pdf</vt:lpwstr>
      </vt:variant>
      <vt:variant>
        <vt:lpwstr/>
      </vt:variant>
      <vt:variant>
        <vt:i4>4391004</vt:i4>
      </vt:variant>
      <vt:variant>
        <vt:i4>996</vt:i4>
      </vt:variant>
      <vt:variant>
        <vt:i4>0</vt:i4>
      </vt:variant>
      <vt:variant>
        <vt:i4>5</vt:i4>
      </vt:variant>
      <vt:variant>
        <vt:lpwstr>https://www.waterboards.ca.gov/water_issues/programs/tmdl/records/state_board/2016/ref4295.pdf</vt:lpwstr>
      </vt:variant>
      <vt:variant>
        <vt:lpwstr/>
      </vt:variant>
      <vt:variant>
        <vt:i4>6094853</vt:i4>
      </vt:variant>
      <vt:variant>
        <vt:i4>993</vt:i4>
      </vt:variant>
      <vt:variant>
        <vt:i4>0</vt:i4>
      </vt:variant>
      <vt:variant>
        <vt:i4>5</vt:i4>
      </vt:variant>
      <vt:variant>
        <vt:lpwstr>https://www.epa.gov/sites/production/files/2015-10/documents/rwqc2012.pdf</vt:lpwstr>
      </vt:variant>
      <vt:variant>
        <vt:lpwstr/>
      </vt:variant>
      <vt:variant>
        <vt:i4>6946920</vt:i4>
      </vt:variant>
      <vt:variant>
        <vt:i4>990</vt:i4>
      </vt:variant>
      <vt:variant>
        <vt:i4>0</vt:i4>
      </vt:variant>
      <vt:variant>
        <vt:i4>5</vt:i4>
      </vt:variant>
      <vt:variant>
        <vt:lpwstr>https://ecotox.ipmcenters.org/</vt:lpwstr>
      </vt:variant>
      <vt:variant>
        <vt:lpwstr/>
      </vt:variant>
      <vt:variant>
        <vt:i4>7405614</vt:i4>
      </vt:variant>
      <vt:variant>
        <vt:i4>987</vt:i4>
      </vt:variant>
      <vt:variant>
        <vt:i4>0</vt:i4>
      </vt:variant>
      <vt:variant>
        <vt:i4>5</vt:i4>
      </vt:variant>
      <vt:variant>
        <vt:lpwstr>https://www.epa.gov/system/files/documents/2021-11/aluminum-tsd-draft-2021.pdf</vt:lpwstr>
      </vt:variant>
      <vt:variant>
        <vt:lpwstr/>
      </vt:variant>
      <vt:variant>
        <vt:i4>4390944</vt:i4>
      </vt:variant>
      <vt:variant>
        <vt:i4>984</vt:i4>
      </vt:variant>
      <vt:variant>
        <vt:i4>0</vt:i4>
      </vt:variant>
      <vt:variant>
        <vt:i4>5</vt:i4>
      </vt:variant>
      <vt:variant>
        <vt:lpwstr>https://www.waterboards.ca.gov/water_issues/programs/water_quality_assessment/2024-integrated-report.html</vt:lpwstr>
      </vt:variant>
      <vt:variant>
        <vt:lpwstr/>
      </vt:variant>
      <vt:variant>
        <vt:i4>5898314</vt:i4>
      </vt:variant>
      <vt:variant>
        <vt:i4>981</vt:i4>
      </vt:variant>
      <vt:variant>
        <vt:i4>0</vt:i4>
      </vt:variant>
      <vt:variant>
        <vt:i4>5</vt:i4>
      </vt:variant>
      <vt:variant>
        <vt:lpwstr>https://www.waterboards.ca.gov/bacterialobjectives/docs/bacteria.pdf</vt:lpwstr>
      </vt:variant>
      <vt:variant>
        <vt:lpwstr/>
      </vt:variant>
      <vt:variant>
        <vt:i4>3997727</vt:i4>
      </vt:variant>
      <vt:variant>
        <vt:i4>978</vt:i4>
      </vt:variant>
      <vt:variant>
        <vt:i4>0</vt:i4>
      </vt:variant>
      <vt:variant>
        <vt:i4>5</vt:i4>
      </vt:variant>
      <vt:variant>
        <vt:lpwstr>https://www.waterboards.ca.gov/water_issues/programs/water_quality_goals/docs/wq_goals_text.pdf</vt:lpwstr>
      </vt:variant>
      <vt:variant>
        <vt:lpwstr/>
      </vt:variant>
      <vt:variant>
        <vt:i4>7209003</vt:i4>
      </vt:variant>
      <vt:variant>
        <vt:i4>975</vt:i4>
      </vt:variant>
      <vt:variant>
        <vt:i4>0</vt:i4>
      </vt:variant>
      <vt:variant>
        <vt:i4>5</vt:i4>
      </vt:variant>
      <vt:variant>
        <vt:lpwstr>https://www.waterboards.ca.gov/water_issues/programs/swamp/docs/reports/app_c_assess_frmwrk.pdf</vt:lpwstr>
      </vt:variant>
      <vt:variant>
        <vt:lpwstr/>
      </vt:variant>
      <vt:variant>
        <vt:i4>4522078</vt:i4>
      </vt:variant>
      <vt:variant>
        <vt:i4>972</vt:i4>
      </vt:variant>
      <vt:variant>
        <vt:i4>0</vt:i4>
      </vt:variant>
      <vt:variant>
        <vt:i4>5</vt:i4>
      </vt:variant>
      <vt:variant>
        <vt:lpwstr>https://doi.org/10.1002/etc.4448</vt:lpwstr>
      </vt:variant>
      <vt:variant>
        <vt:lpwstr/>
      </vt:variant>
      <vt:variant>
        <vt:i4>4325468</vt:i4>
      </vt:variant>
      <vt:variant>
        <vt:i4>966</vt:i4>
      </vt:variant>
      <vt:variant>
        <vt:i4>0</vt:i4>
      </vt:variant>
      <vt:variant>
        <vt:i4>5</vt:i4>
      </vt:variant>
      <vt:variant>
        <vt:lpwstr>https://www.waterboards.ca.gov/water_issues/programs/tmdl/records/state_board/2016/ref4294.pdf</vt:lpwstr>
      </vt:variant>
      <vt:variant>
        <vt:lpwstr/>
      </vt:variant>
      <vt:variant>
        <vt:i4>4128889</vt:i4>
      </vt:variant>
      <vt:variant>
        <vt:i4>963</vt:i4>
      </vt:variant>
      <vt:variant>
        <vt:i4>0</vt:i4>
      </vt:variant>
      <vt:variant>
        <vt:i4>5</vt:i4>
      </vt:variant>
      <vt:variant>
        <vt:lpwstr>https://www.epa.gov/sites/default/files/2018-12/documents/aluminum-final-national-recommended-awqc.pdf</vt:lpwstr>
      </vt:variant>
      <vt:variant>
        <vt:lpwstr/>
      </vt:variant>
      <vt:variant>
        <vt:i4>5046368</vt:i4>
      </vt:variant>
      <vt:variant>
        <vt:i4>960</vt:i4>
      </vt:variant>
      <vt:variant>
        <vt:i4>0</vt:i4>
      </vt:variant>
      <vt:variant>
        <vt:i4>5</vt:i4>
      </vt:variant>
      <vt:variant>
        <vt:lpwstr>https://mywaterquality.ca.gov/monitoring_council/cyanohab_network/docs/2016/appendix_a_2016_1.pdf</vt:lpwstr>
      </vt:variant>
      <vt:variant>
        <vt:lpwstr/>
      </vt:variant>
      <vt:variant>
        <vt:i4>2359359</vt:i4>
      </vt:variant>
      <vt:variant>
        <vt:i4>957</vt:i4>
      </vt:variant>
      <vt:variant>
        <vt:i4>0</vt:i4>
      </vt:variant>
      <vt:variant>
        <vt:i4>5</vt:i4>
      </vt:variant>
      <vt:variant>
        <vt:lpwstr>http://www.jstor.org/stable/pdfplus/2836308.pdf</vt:lpwstr>
      </vt:variant>
      <vt:variant>
        <vt:lpwstr/>
      </vt:variant>
      <vt:variant>
        <vt:i4>1441801</vt:i4>
      </vt:variant>
      <vt:variant>
        <vt:i4>954</vt:i4>
      </vt:variant>
      <vt:variant>
        <vt:i4>0</vt:i4>
      </vt:variant>
      <vt:variant>
        <vt:i4>5</vt:i4>
      </vt:variant>
      <vt:variant>
        <vt:lpwstr>https://lawreview.uchicago.edu/sites/default/files/01 Baude%26Doerfler_ART_IC.pdf</vt:lpwstr>
      </vt:variant>
      <vt:variant>
        <vt:lpwstr/>
      </vt:variant>
      <vt:variant>
        <vt:i4>1376266</vt:i4>
      </vt:variant>
      <vt:variant>
        <vt:i4>942</vt:i4>
      </vt:variant>
      <vt:variant>
        <vt:i4>0</vt:i4>
      </vt:variant>
      <vt:variant>
        <vt:i4>5</vt:i4>
      </vt:variant>
      <vt:variant>
        <vt:lpwstr>https://www.waterboards.ca.gov/lahontan/water_issues/programs/tmdl/west_fork_carson_river.html</vt:lpwstr>
      </vt:variant>
      <vt:variant>
        <vt:lpwstr/>
      </vt:variant>
      <vt:variant>
        <vt:i4>1376266</vt:i4>
      </vt:variant>
      <vt:variant>
        <vt:i4>939</vt:i4>
      </vt:variant>
      <vt:variant>
        <vt:i4>0</vt:i4>
      </vt:variant>
      <vt:variant>
        <vt:i4>5</vt:i4>
      </vt:variant>
      <vt:variant>
        <vt:lpwstr>https://www.waterboards.ca.gov/lahontan/water_issues/programs/tmdl/west_fork_carson_river.html</vt:lpwstr>
      </vt:variant>
      <vt:variant>
        <vt:lpwstr/>
      </vt:variant>
      <vt:variant>
        <vt:i4>4653155</vt:i4>
      </vt:variant>
      <vt:variant>
        <vt:i4>936</vt:i4>
      </vt:variant>
      <vt:variant>
        <vt:i4>0</vt:i4>
      </vt:variant>
      <vt:variant>
        <vt:i4>5</vt:i4>
      </vt:variant>
      <vt:variant>
        <vt:lpwstr>https://www.waterboards.ca.gov/lahontan/water_issues/programs/tmdl/bishopcreek.html</vt:lpwstr>
      </vt:variant>
      <vt:variant>
        <vt:lpwstr/>
      </vt:variant>
      <vt:variant>
        <vt:i4>4653155</vt:i4>
      </vt:variant>
      <vt:variant>
        <vt:i4>933</vt:i4>
      </vt:variant>
      <vt:variant>
        <vt:i4>0</vt:i4>
      </vt:variant>
      <vt:variant>
        <vt:i4>5</vt:i4>
      </vt:variant>
      <vt:variant>
        <vt:lpwstr>https://www.waterboards.ca.gov/lahontan/water_issues/programs/tmdl/bishopcreek.html</vt:lpwstr>
      </vt:variant>
      <vt:variant>
        <vt:lpwstr/>
      </vt:variant>
      <vt:variant>
        <vt:i4>5111879</vt:i4>
      </vt:variant>
      <vt:variant>
        <vt:i4>924</vt:i4>
      </vt:variant>
      <vt:variant>
        <vt:i4>0</vt:i4>
      </vt:variant>
      <vt:variant>
        <vt:i4>5</vt:i4>
      </vt:variant>
      <vt:variant>
        <vt:lpwstr>https://tahoe.ca.gov/upper-truckee-marsh/</vt:lpwstr>
      </vt:variant>
      <vt:variant>
        <vt:lpwstr/>
      </vt:variant>
      <vt:variant>
        <vt:i4>5111879</vt:i4>
      </vt:variant>
      <vt:variant>
        <vt:i4>921</vt:i4>
      </vt:variant>
      <vt:variant>
        <vt:i4>0</vt:i4>
      </vt:variant>
      <vt:variant>
        <vt:i4>5</vt:i4>
      </vt:variant>
      <vt:variant>
        <vt:lpwstr>https://tahoe.ca.gov/upper-truckee-marsh/</vt:lpwstr>
      </vt:variant>
      <vt:variant>
        <vt:lpwstr/>
      </vt:variant>
      <vt:variant>
        <vt:i4>3932217</vt:i4>
      </vt:variant>
      <vt:variant>
        <vt:i4>918</vt:i4>
      </vt:variant>
      <vt:variant>
        <vt:i4>0</vt:i4>
      </vt:variant>
      <vt:variant>
        <vt:i4>5</vt:i4>
      </vt:variant>
      <vt:variant>
        <vt:lpwstr>https://www.waterboards.ca.gov/lahontan/water_issues/programs/basin_plan/bacteria_water_quality_objectives_amendment.html</vt:lpwstr>
      </vt:variant>
      <vt:variant>
        <vt:lpwstr/>
      </vt:variant>
      <vt:variant>
        <vt:i4>3932217</vt:i4>
      </vt:variant>
      <vt:variant>
        <vt:i4>915</vt:i4>
      </vt:variant>
      <vt:variant>
        <vt:i4>0</vt:i4>
      </vt:variant>
      <vt:variant>
        <vt:i4>5</vt:i4>
      </vt:variant>
      <vt:variant>
        <vt:lpwstr>https://www.waterboards.ca.gov/lahontan/water_issues/programs/basin_plan/bacteria_water_quality_objectives_amendment.html</vt:lpwstr>
      </vt:variant>
      <vt:variant>
        <vt:lpwstr/>
      </vt:variant>
      <vt:variant>
        <vt:i4>2555952</vt:i4>
      </vt:variant>
      <vt:variant>
        <vt:i4>912</vt:i4>
      </vt:variant>
      <vt:variant>
        <vt:i4>0</vt:i4>
      </vt:variant>
      <vt:variant>
        <vt:i4>5</vt:i4>
      </vt:variant>
      <vt:variant>
        <vt:lpwstr>https://www.waterboards.ca.gov/centralvalley/water_issues/tmdl/central_valley_projects/delta_hg/</vt:lpwstr>
      </vt:variant>
      <vt:variant>
        <vt:lpwstr/>
      </vt:variant>
      <vt:variant>
        <vt:i4>2555952</vt:i4>
      </vt:variant>
      <vt:variant>
        <vt:i4>909</vt:i4>
      </vt:variant>
      <vt:variant>
        <vt:i4>0</vt:i4>
      </vt:variant>
      <vt:variant>
        <vt:i4>5</vt:i4>
      </vt:variant>
      <vt:variant>
        <vt:lpwstr>https://www.waterboards.ca.gov/centralvalley/water_issues/tmdl/central_valley_projects/delta_hg/</vt:lpwstr>
      </vt:variant>
      <vt:variant>
        <vt:lpwstr/>
      </vt:variant>
      <vt:variant>
        <vt:i4>4128878</vt:i4>
      </vt:variant>
      <vt:variant>
        <vt:i4>906</vt:i4>
      </vt:variant>
      <vt:variant>
        <vt:i4>0</vt:i4>
      </vt:variant>
      <vt:variant>
        <vt:i4>5</vt:i4>
      </vt:variant>
      <vt:variant>
        <vt:lpwstr>https://www.waterboards.ca.gov/northcoast/water_issues/programs/tmdls/coastal_pathogen/</vt:lpwstr>
      </vt:variant>
      <vt:variant>
        <vt:lpwstr/>
      </vt:variant>
      <vt:variant>
        <vt:i4>4128878</vt:i4>
      </vt:variant>
      <vt:variant>
        <vt:i4>903</vt:i4>
      </vt:variant>
      <vt:variant>
        <vt:i4>0</vt:i4>
      </vt:variant>
      <vt:variant>
        <vt:i4>5</vt:i4>
      </vt:variant>
      <vt:variant>
        <vt:lpwstr>https://www.waterboards.ca.gov/northcoast/water_issues/programs/tmdls/coastal_pathogen/</vt:lpwstr>
      </vt:variant>
      <vt:variant>
        <vt:lpwstr/>
      </vt:variant>
      <vt:variant>
        <vt:i4>2621481</vt:i4>
      </vt:variant>
      <vt:variant>
        <vt:i4>897</vt:i4>
      </vt:variant>
      <vt:variant>
        <vt:i4>0</vt:i4>
      </vt:variant>
      <vt:variant>
        <vt:i4>5</vt:i4>
      </vt:variant>
      <vt:variant>
        <vt:lpwstr>https://www.nwri-usa.org/socal-coastal-model-review</vt:lpwstr>
      </vt:variant>
      <vt:variant>
        <vt:lpwstr/>
      </vt:variant>
      <vt:variant>
        <vt:i4>2621481</vt:i4>
      </vt:variant>
      <vt:variant>
        <vt:i4>894</vt:i4>
      </vt:variant>
      <vt:variant>
        <vt:i4>0</vt:i4>
      </vt:variant>
      <vt:variant>
        <vt:i4>5</vt:i4>
      </vt:variant>
      <vt:variant>
        <vt:lpwstr>https://www.nwri-usa.org/socal-coastal-model-review</vt:lpwstr>
      </vt:variant>
      <vt:variant>
        <vt:lpwstr/>
      </vt:variant>
      <vt:variant>
        <vt:i4>7864420</vt:i4>
      </vt:variant>
      <vt:variant>
        <vt:i4>891</vt:i4>
      </vt:variant>
      <vt:variant>
        <vt:i4>0</vt:i4>
      </vt:variant>
      <vt:variant>
        <vt:i4>5</vt:i4>
      </vt:variant>
      <vt:variant>
        <vt:lpwstr>https://www.oregon.gov/deq/wq/Documents/ir2024oahWGoverview.pdf</vt:lpwstr>
      </vt:variant>
      <vt:variant>
        <vt:lpwstr/>
      </vt:variant>
      <vt:variant>
        <vt:i4>7864420</vt:i4>
      </vt:variant>
      <vt:variant>
        <vt:i4>888</vt:i4>
      </vt:variant>
      <vt:variant>
        <vt:i4>0</vt:i4>
      </vt:variant>
      <vt:variant>
        <vt:i4>5</vt:i4>
      </vt:variant>
      <vt:variant>
        <vt:lpwstr>https://www.oregon.gov/deq/wq/Documents/ir2024oahWGoverview.pdf</vt:lpwstr>
      </vt:variant>
      <vt:variant>
        <vt:lpwstr/>
      </vt:variant>
      <vt:variant>
        <vt:i4>196674</vt:i4>
      </vt:variant>
      <vt:variant>
        <vt:i4>885</vt:i4>
      </vt:variant>
      <vt:variant>
        <vt:i4>0</vt:i4>
      </vt:variant>
      <vt:variant>
        <vt:i4>5</vt:i4>
      </vt:variant>
      <vt:variant>
        <vt:lpwstr>https://www.waterboards.ca.gov/northcoast/water_issues/programs/basin_plan/190204/Final Basin Plan_20180620_lmb.pdf</vt:lpwstr>
      </vt:variant>
      <vt:variant>
        <vt:lpwstr/>
      </vt:variant>
      <vt:variant>
        <vt:i4>196674</vt:i4>
      </vt:variant>
      <vt:variant>
        <vt:i4>882</vt:i4>
      </vt:variant>
      <vt:variant>
        <vt:i4>0</vt:i4>
      </vt:variant>
      <vt:variant>
        <vt:i4>5</vt:i4>
      </vt:variant>
      <vt:variant>
        <vt:lpwstr>https://www.waterboards.ca.gov/northcoast/water_issues/programs/basin_plan/190204/Final Basin Plan_20180620_lmb.pdf</vt:lpwstr>
      </vt:variant>
      <vt:variant>
        <vt:lpwstr/>
      </vt:variant>
      <vt:variant>
        <vt:i4>2752596</vt:i4>
      </vt:variant>
      <vt:variant>
        <vt:i4>879</vt:i4>
      </vt:variant>
      <vt:variant>
        <vt:i4>0</vt:i4>
      </vt:variant>
      <vt:variant>
        <vt:i4>5</vt:i4>
      </vt:variant>
      <vt:variant>
        <vt:lpwstr>https://www.waterboards.ca.gov/water_issues/programs/water_quality_assessment/docs/2024-misassigned-qapps-memo.pdf</vt:lpwstr>
      </vt:variant>
      <vt:variant>
        <vt:lpwstr/>
      </vt:variant>
      <vt:variant>
        <vt:i4>2752596</vt:i4>
      </vt:variant>
      <vt:variant>
        <vt:i4>876</vt:i4>
      </vt:variant>
      <vt:variant>
        <vt:i4>0</vt:i4>
      </vt:variant>
      <vt:variant>
        <vt:i4>5</vt:i4>
      </vt:variant>
      <vt:variant>
        <vt:lpwstr>https://www.waterboards.ca.gov/water_issues/programs/water_quality_assessment/docs/2024-misassigned-qapps-memo.pdf</vt:lpwstr>
      </vt:variant>
      <vt:variant>
        <vt:lpwstr/>
      </vt:variant>
      <vt:variant>
        <vt:i4>7995418</vt:i4>
      </vt:variant>
      <vt:variant>
        <vt:i4>873</vt:i4>
      </vt:variant>
      <vt:variant>
        <vt:i4>0</vt:i4>
      </vt:variant>
      <vt:variant>
        <vt:i4>5</vt:i4>
      </vt:variant>
      <vt:variant>
        <vt:lpwstr>https://www.waterboards.ca.gov/water_issues/programs/water_quality_assessment/2024_integrated_report/rs2024-0007.pdf</vt:lpwstr>
      </vt:variant>
      <vt:variant>
        <vt:lpwstr/>
      </vt:variant>
      <vt:variant>
        <vt:i4>7995418</vt:i4>
      </vt:variant>
      <vt:variant>
        <vt:i4>870</vt:i4>
      </vt:variant>
      <vt:variant>
        <vt:i4>0</vt:i4>
      </vt:variant>
      <vt:variant>
        <vt:i4>5</vt:i4>
      </vt:variant>
      <vt:variant>
        <vt:lpwstr>https://www.waterboards.ca.gov/water_issues/programs/water_quality_assessment/2024_integrated_report/rs2024-0007.pdf</vt:lpwstr>
      </vt:variant>
      <vt:variant>
        <vt:lpwstr/>
      </vt:variant>
      <vt:variant>
        <vt:i4>720991</vt:i4>
      </vt:variant>
      <vt:variant>
        <vt:i4>867</vt:i4>
      </vt:variant>
      <vt:variant>
        <vt:i4>0</vt:i4>
      </vt:variant>
      <vt:variant>
        <vt:i4>5</vt:i4>
      </vt:variant>
      <vt:variant>
        <vt:lpwstr>https://www.epa.gov/system/files/documents/2024-12/ca-2024-303d-list-epa-partial-approval-disapproval-2024-12-12.pdf</vt:lpwstr>
      </vt:variant>
      <vt:variant>
        <vt:lpwstr/>
      </vt:variant>
      <vt:variant>
        <vt:i4>720991</vt:i4>
      </vt:variant>
      <vt:variant>
        <vt:i4>864</vt:i4>
      </vt:variant>
      <vt:variant>
        <vt:i4>0</vt:i4>
      </vt:variant>
      <vt:variant>
        <vt:i4>5</vt:i4>
      </vt:variant>
      <vt:variant>
        <vt:lpwstr>https://www.epa.gov/system/files/documents/2024-12/ca-2024-303d-list-epa-partial-approval-disapproval-2024-12-12.pdf</vt:lpwstr>
      </vt:variant>
      <vt:variant>
        <vt:lpwstr/>
      </vt:variant>
      <vt:variant>
        <vt:i4>720991</vt:i4>
      </vt:variant>
      <vt:variant>
        <vt:i4>855</vt:i4>
      </vt:variant>
      <vt:variant>
        <vt:i4>0</vt:i4>
      </vt:variant>
      <vt:variant>
        <vt:i4>5</vt:i4>
      </vt:variant>
      <vt:variant>
        <vt:lpwstr>https://www.epa.gov/system/files/documents/2024-12/ca-2024-303d-list-epa-partial-approval-disapproval-2024-12-12.pdf</vt:lpwstr>
      </vt:variant>
      <vt:variant>
        <vt:lpwstr/>
      </vt:variant>
      <vt:variant>
        <vt:i4>720991</vt:i4>
      </vt:variant>
      <vt:variant>
        <vt:i4>852</vt:i4>
      </vt:variant>
      <vt:variant>
        <vt:i4>0</vt:i4>
      </vt:variant>
      <vt:variant>
        <vt:i4>5</vt:i4>
      </vt:variant>
      <vt:variant>
        <vt:lpwstr>https://www.epa.gov/system/files/documents/2024-12/ca-2024-303d-list-epa-partial-approval-disapproval-2024-12-12.pdf</vt:lpwstr>
      </vt:variant>
      <vt:variant>
        <vt:lpwstr/>
      </vt:variant>
      <vt:variant>
        <vt:i4>1114167</vt:i4>
      </vt:variant>
      <vt:variant>
        <vt:i4>843</vt:i4>
      </vt:variant>
      <vt:variant>
        <vt:i4>0</vt:i4>
      </vt:variant>
      <vt:variant>
        <vt:i4>5</vt:i4>
      </vt:variant>
      <vt:variant>
        <vt:lpwstr>C:\Users\lwebber\AppData\Local\Microsoft\Windows\INetCache\Content.Outlook\OEUTIOKY\USEPA Aquatic Life Benchmarks (https:\www.epa.gov\pesticide-science-and-assessing-pesticide-risks\aquatic-life-benchmarks-and-ecological-risk</vt:lpwstr>
      </vt:variant>
      <vt:variant>
        <vt:lpwstr/>
      </vt:variant>
      <vt:variant>
        <vt:i4>8060969</vt:i4>
      </vt:variant>
      <vt:variant>
        <vt:i4>837</vt:i4>
      </vt:variant>
      <vt:variant>
        <vt:i4>0</vt:i4>
      </vt:variant>
      <vt:variant>
        <vt:i4>5</vt:i4>
      </vt:variant>
      <vt:variant>
        <vt:lpwstr>https://www.epa.gov/sites/default/files/2019-03/documents/metals-criteria-interpret-aqlife-memo.pdf</vt:lpwstr>
      </vt:variant>
      <vt:variant>
        <vt:lpwstr/>
      </vt:variant>
      <vt:variant>
        <vt:i4>8060969</vt:i4>
      </vt:variant>
      <vt:variant>
        <vt:i4>834</vt:i4>
      </vt:variant>
      <vt:variant>
        <vt:i4>0</vt:i4>
      </vt:variant>
      <vt:variant>
        <vt:i4>5</vt:i4>
      </vt:variant>
      <vt:variant>
        <vt:lpwstr>https://www.epa.gov/sites/default/files/2019-03/documents/metals-criteria-interpret-aqlife-memo.pdf</vt:lpwstr>
      </vt:variant>
      <vt:variant>
        <vt:lpwstr/>
      </vt:variant>
      <vt:variant>
        <vt:i4>4849746</vt:i4>
      </vt:variant>
      <vt:variant>
        <vt:i4>831</vt:i4>
      </vt:variant>
      <vt:variant>
        <vt:i4>0</vt:i4>
      </vt:variant>
      <vt:variant>
        <vt:i4>5</vt:i4>
      </vt:variant>
      <vt:variant>
        <vt:lpwstr>https://www.govinfo.gov/content/pkg/FR-2021-03-19/pdf/2021-05428.pdf)</vt:lpwstr>
      </vt:variant>
      <vt:variant>
        <vt:lpwstr/>
      </vt:variant>
      <vt:variant>
        <vt:i4>327695</vt:i4>
      </vt:variant>
      <vt:variant>
        <vt:i4>825</vt:i4>
      </vt:variant>
      <vt:variant>
        <vt:i4>0</vt:i4>
      </vt:variant>
      <vt:variant>
        <vt:i4>5</vt:i4>
      </vt:variant>
      <vt:variant>
        <vt:lpwstr>https://archive.epa.gov/epa/sites/production/files/2016-02/documents/draft-tsd-recommended-blm-parameters.pdf</vt:lpwstr>
      </vt:variant>
      <vt:variant>
        <vt:lpwstr/>
      </vt:variant>
      <vt:variant>
        <vt:i4>327695</vt:i4>
      </vt:variant>
      <vt:variant>
        <vt:i4>822</vt:i4>
      </vt:variant>
      <vt:variant>
        <vt:i4>0</vt:i4>
      </vt:variant>
      <vt:variant>
        <vt:i4>5</vt:i4>
      </vt:variant>
      <vt:variant>
        <vt:lpwstr>https://archive.epa.gov/epa/sites/production/files/2016-02/documents/draft-tsd-recommended-blm-parameters.pdf</vt:lpwstr>
      </vt:variant>
      <vt:variant>
        <vt:lpwstr/>
      </vt:variant>
      <vt:variant>
        <vt:i4>7405691</vt:i4>
      </vt:variant>
      <vt:variant>
        <vt:i4>819</vt:i4>
      </vt:variant>
      <vt:variant>
        <vt:i4>0</vt:i4>
      </vt:variant>
      <vt:variant>
        <vt:i4>5</vt:i4>
      </vt:variant>
      <vt:variant>
        <vt:lpwstr>https://www.epa.gov/wqc/aquatic-life-criteria-aluminum</vt:lpwstr>
      </vt:variant>
      <vt:variant>
        <vt:lpwstr>2018</vt:lpwstr>
      </vt:variant>
      <vt:variant>
        <vt:i4>7405691</vt:i4>
      </vt:variant>
      <vt:variant>
        <vt:i4>816</vt:i4>
      </vt:variant>
      <vt:variant>
        <vt:i4>0</vt:i4>
      </vt:variant>
      <vt:variant>
        <vt:i4>5</vt:i4>
      </vt:variant>
      <vt:variant>
        <vt:lpwstr>https://www.epa.gov/wqc/aquatic-life-criteria-aluminum</vt:lpwstr>
      </vt:variant>
      <vt:variant>
        <vt:lpwstr>2018</vt:lpwstr>
      </vt:variant>
      <vt:variant>
        <vt:i4>5505118</vt:i4>
      </vt:variant>
      <vt:variant>
        <vt:i4>807</vt:i4>
      </vt:variant>
      <vt:variant>
        <vt:i4>0</vt:i4>
      </vt:variant>
      <vt:variant>
        <vt:i4>5</vt:i4>
      </vt:variant>
      <vt:variant>
        <vt:lpwstr>https://www.waterboards.ca.gov/water_issues/programs/tmdl/2023_2024state_ir_reports/apx-a-2024-303d-list-final.xlsx</vt:lpwstr>
      </vt:variant>
      <vt:variant>
        <vt:lpwstr/>
      </vt:variant>
      <vt:variant>
        <vt:i4>5505118</vt:i4>
      </vt:variant>
      <vt:variant>
        <vt:i4>804</vt:i4>
      </vt:variant>
      <vt:variant>
        <vt:i4>0</vt:i4>
      </vt:variant>
      <vt:variant>
        <vt:i4>5</vt:i4>
      </vt:variant>
      <vt:variant>
        <vt:lpwstr>https://www.waterboards.ca.gov/water_issues/programs/tmdl/2023_2024state_ir_reports/apx-a-2024-303d-list-final.xlsx</vt:lpwstr>
      </vt:variant>
      <vt:variant>
        <vt:lpwstr/>
      </vt:variant>
      <vt:variant>
        <vt:i4>4128770</vt:i4>
      </vt:variant>
      <vt:variant>
        <vt:i4>789</vt:i4>
      </vt:variant>
      <vt:variant>
        <vt:i4>0</vt:i4>
      </vt:variant>
      <vt:variant>
        <vt:i4>5</vt:i4>
      </vt:variant>
      <vt:variant>
        <vt:lpwstr>https://www.epa.gov/system/files/documents/2023-03/2024IRmemo_032923.pdf</vt:lpwstr>
      </vt:variant>
      <vt:variant>
        <vt:lpwstr/>
      </vt:variant>
      <vt:variant>
        <vt:i4>4128770</vt:i4>
      </vt:variant>
      <vt:variant>
        <vt:i4>786</vt:i4>
      </vt:variant>
      <vt:variant>
        <vt:i4>0</vt:i4>
      </vt:variant>
      <vt:variant>
        <vt:i4>5</vt:i4>
      </vt:variant>
      <vt:variant>
        <vt:lpwstr>https://www.epa.gov/system/files/documents/2023-03/2024IRmemo_032923.pdf</vt:lpwstr>
      </vt:variant>
      <vt:variant>
        <vt:lpwstr/>
      </vt:variant>
      <vt:variant>
        <vt:i4>1441855</vt:i4>
      </vt:variant>
      <vt:variant>
        <vt:i4>783</vt:i4>
      </vt:variant>
      <vt:variant>
        <vt:i4>0</vt:i4>
      </vt:variant>
      <vt:variant>
        <vt:i4>5</vt:i4>
      </vt:variant>
      <vt:variant>
        <vt:lpwstr>https://www.waterboards.ca.gov/water_issues/programs/water_quality_assessment/docs/2026_solicitation_notice.pdf</vt:lpwstr>
      </vt:variant>
      <vt:variant>
        <vt:lpwstr/>
      </vt:variant>
      <vt:variant>
        <vt:i4>1441855</vt:i4>
      </vt:variant>
      <vt:variant>
        <vt:i4>780</vt:i4>
      </vt:variant>
      <vt:variant>
        <vt:i4>0</vt:i4>
      </vt:variant>
      <vt:variant>
        <vt:i4>5</vt:i4>
      </vt:variant>
      <vt:variant>
        <vt:lpwstr>https://www.waterboards.ca.gov/water_issues/programs/water_quality_assessment/docs/2026_solicitation_notice.pdf</vt:lpwstr>
      </vt:variant>
      <vt:variant>
        <vt:lpwstr/>
      </vt:variant>
      <vt:variant>
        <vt:i4>6684727</vt:i4>
      </vt:variant>
      <vt:variant>
        <vt:i4>777</vt:i4>
      </vt:variant>
      <vt:variant>
        <vt:i4>0</vt:i4>
      </vt:variant>
      <vt:variant>
        <vt:i4>5</vt:i4>
      </vt:variant>
      <vt:variant>
        <vt:lpwstr>https://www.epa.gov/system/files/documents/2022-12/clean-water-act-section-106-tribal-guidance.pdf</vt:lpwstr>
      </vt:variant>
      <vt:variant>
        <vt:lpwstr/>
      </vt:variant>
      <vt:variant>
        <vt:i4>6684727</vt:i4>
      </vt:variant>
      <vt:variant>
        <vt:i4>774</vt:i4>
      </vt:variant>
      <vt:variant>
        <vt:i4>0</vt:i4>
      </vt:variant>
      <vt:variant>
        <vt:i4>5</vt:i4>
      </vt:variant>
      <vt:variant>
        <vt:lpwstr>https://www.epa.gov/system/files/documents/2022-12/clean-water-act-section-106-tribal-guidance.pdf</vt:lpwstr>
      </vt:variant>
      <vt:variant>
        <vt:lpwstr/>
      </vt:variant>
      <vt:variant>
        <vt:i4>4980754</vt:i4>
      </vt:variant>
      <vt:variant>
        <vt:i4>771</vt:i4>
      </vt:variant>
      <vt:variant>
        <vt:i4>0</vt:i4>
      </vt:variant>
      <vt:variant>
        <vt:i4>5</vt:i4>
      </vt:variant>
      <vt:variant>
        <vt:lpwstr>https://www.epa.gov/system/files/documents/2023-12/epa-policy-on-consultation-with-indian-tribes-2023.pdf</vt:lpwstr>
      </vt:variant>
      <vt:variant>
        <vt:lpwstr/>
      </vt:variant>
      <vt:variant>
        <vt:i4>4980754</vt:i4>
      </vt:variant>
      <vt:variant>
        <vt:i4>768</vt:i4>
      </vt:variant>
      <vt:variant>
        <vt:i4>0</vt:i4>
      </vt:variant>
      <vt:variant>
        <vt:i4>5</vt:i4>
      </vt:variant>
      <vt:variant>
        <vt:lpwstr>https://www.epa.gov/system/files/documents/2023-12/epa-policy-on-consultation-with-indian-tribes-2023.pdf</vt:lpwstr>
      </vt:variant>
      <vt:variant>
        <vt:lpwstr/>
      </vt:variant>
      <vt:variant>
        <vt:i4>3866691</vt:i4>
      </vt:variant>
      <vt:variant>
        <vt:i4>765</vt:i4>
      </vt:variant>
      <vt:variant>
        <vt:i4>0</vt:i4>
      </vt:variant>
      <vt:variant>
        <vt:i4>5</vt:i4>
      </vt:variant>
      <vt:variant>
        <vt:lpwstr>https://www.waterboards.ca.gov/racial_equity/docs/racial-equity-action-plan-final-en.pdf</vt:lpwstr>
      </vt:variant>
      <vt:variant>
        <vt:lpwstr/>
      </vt:variant>
      <vt:variant>
        <vt:i4>3866691</vt:i4>
      </vt:variant>
      <vt:variant>
        <vt:i4>762</vt:i4>
      </vt:variant>
      <vt:variant>
        <vt:i4>0</vt:i4>
      </vt:variant>
      <vt:variant>
        <vt:i4>5</vt:i4>
      </vt:variant>
      <vt:variant>
        <vt:lpwstr>https://www.waterboards.ca.gov/racial_equity/docs/racial-equity-action-plan-final-en.pdf</vt:lpwstr>
      </vt:variant>
      <vt:variant>
        <vt:lpwstr/>
      </vt:variant>
      <vt:variant>
        <vt:i4>7012389</vt:i4>
      </vt:variant>
      <vt:variant>
        <vt:i4>759</vt:i4>
      </vt:variant>
      <vt:variant>
        <vt:i4>0</vt:i4>
      </vt:variant>
      <vt:variant>
        <vt:i4>5</vt:i4>
      </vt:variant>
      <vt:variant>
        <vt:lpwstr>https://oehha.ca.gov/calenviroscreen/report/calenviroscreen-40</vt:lpwstr>
      </vt:variant>
      <vt:variant>
        <vt:lpwstr/>
      </vt:variant>
      <vt:variant>
        <vt:i4>7012389</vt:i4>
      </vt:variant>
      <vt:variant>
        <vt:i4>756</vt:i4>
      </vt:variant>
      <vt:variant>
        <vt:i4>0</vt:i4>
      </vt:variant>
      <vt:variant>
        <vt:i4>5</vt:i4>
      </vt:variant>
      <vt:variant>
        <vt:lpwstr>https://oehha.ca.gov/calenviroscreen/report/calenviroscreen-40</vt:lpwstr>
      </vt:variant>
      <vt:variant>
        <vt:lpwstr/>
      </vt:variant>
      <vt:variant>
        <vt:i4>6226025</vt:i4>
      </vt:variant>
      <vt:variant>
        <vt:i4>753</vt:i4>
      </vt:variant>
      <vt:variant>
        <vt:i4>0</vt:i4>
      </vt:variant>
      <vt:variant>
        <vt:i4>5</vt:i4>
      </vt:variant>
      <vt:variant>
        <vt:lpwstr>https://www.waterboards.ca.gov/board_decisions/adopted_orders/resolutions/2021/rs2021_0050.pdf</vt:lpwstr>
      </vt:variant>
      <vt:variant>
        <vt:lpwstr/>
      </vt:variant>
      <vt:variant>
        <vt:i4>6226025</vt:i4>
      </vt:variant>
      <vt:variant>
        <vt:i4>750</vt:i4>
      </vt:variant>
      <vt:variant>
        <vt:i4>0</vt:i4>
      </vt:variant>
      <vt:variant>
        <vt:i4>5</vt:i4>
      </vt:variant>
      <vt:variant>
        <vt:lpwstr>https://www.waterboards.ca.gov/board_decisions/adopted_orders/resolutions/2021/rs2021_0050.pdf</vt:lpwstr>
      </vt:variant>
      <vt:variant>
        <vt:lpwstr/>
      </vt:variant>
      <vt:variant>
        <vt:i4>8323130</vt:i4>
      </vt:variant>
      <vt:variant>
        <vt:i4>747</vt:i4>
      </vt:variant>
      <vt:variant>
        <vt:i4>0</vt:i4>
      </vt:variant>
      <vt:variant>
        <vt:i4>5</vt:i4>
      </vt:variant>
      <vt:variant>
        <vt:lpwstr>https://www.epa.gov/sites/default/files/2015-10/documents/2003_07_23_tmdl_tmdl0103_2004rpt_guidance.pdf</vt:lpwstr>
      </vt:variant>
      <vt:variant>
        <vt:lpwstr/>
      </vt:variant>
      <vt:variant>
        <vt:i4>458753</vt:i4>
      </vt:variant>
      <vt:variant>
        <vt:i4>744</vt:i4>
      </vt:variant>
      <vt:variant>
        <vt:i4>0</vt:i4>
      </vt:variant>
      <vt:variant>
        <vt:i4>5</vt:i4>
      </vt:variant>
      <vt:variant>
        <vt:lpwstr>https://www.waterboards.ca.gov/water_issues/programs/tmdl/docs/ffed_093004.pdf</vt:lpwstr>
      </vt:variant>
      <vt:variant>
        <vt:lpwstr/>
      </vt:variant>
      <vt:variant>
        <vt:i4>458753</vt:i4>
      </vt:variant>
      <vt:variant>
        <vt:i4>741</vt:i4>
      </vt:variant>
      <vt:variant>
        <vt:i4>0</vt:i4>
      </vt:variant>
      <vt:variant>
        <vt:i4>5</vt:i4>
      </vt:variant>
      <vt:variant>
        <vt:lpwstr>https://www.waterboards.ca.gov/water_issues/programs/tmdl/docs/ffed_093004.pdf</vt:lpwstr>
      </vt:variant>
      <vt:variant>
        <vt:lpwstr/>
      </vt:variant>
      <vt:variant>
        <vt:i4>7274545</vt:i4>
      </vt:variant>
      <vt:variant>
        <vt:i4>738</vt:i4>
      </vt:variant>
      <vt:variant>
        <vt:i4>0</vt:i4>
      </vt:variant>
      <vt:variant>
        <vt:i4>5</vt:i4>
      </vt:variant>
      <vt:variant>
        <vt:lpwstr>https://www.waterboards.ca.gov/board_decisions/adopted_orders/resolutions/2015/020315_8_amendment_clean_version.pdf</vt:lpwstr>
      </vt:variant>
      <vt:variant>
        <vt:lpwstr/>
      </vt:variant>
      <vt:variant>
        <vt:i4>7274545</vt:i4>
      </vt:variant>
      <vt:variant>
        <vt:i4>735</vt:i4>
      </vt:variant>
      <vt:variant>
        <vt:i4>0</vt:i4>
      </vt:variant>
      <vt:variant>
        <vt:i4>5</vt:i4>
      </vt:variant>
      <vt:variant>
        <vt:lpwstr>https://www.waterboards.ca.gov/board_decisions/adopted_orders/resolutions/2015/020315_8_amendment_clean_version.pdf</vt:lpwstr>
      </vt:variant>
      <vt:variant>
        <vt:lpwstr/>
      </vt:variant>
      <vt:variant>
        <vt:i4>4915238</vt:i4>
      </vt:variant>
      <vt:variant>
        <vt:i4>732</vt:i4>
      </vt:variant>
      <vt:variant>
        <vt:i4>0</vt:i4>
      </vt:variant>
      <vt:variant>
        <vt:i4>5</vt:i4>
      </vt:variant>
      <vt:variant>
        <vt:lpwstr>https://www.epa.gov/system/files/documents/2022-09/CWA Section 303d Vision_September 2022.pdf</vt:lpwstr>
      </vt:variant>
      <vt:variant>
        <vt:lpwstr/>
      </vt:variant>
      <vt:variant>
        <vt:i4>4915238</vt:i4>
      </vt:variant>
      <vt:variant>
        <vt:i4>729</vt:i4>
      </vt:variant>
      <vt:variant>
        <vt:i4>0</vt:i4>
      </vt:variant>
      <vt:variant>
        <vt:i4>5</vt:i4>
      </vt:variant>
      <vt:variant>
        <vt:lpwstr>https://www.epa.gov/system/files/documents/2022-09/CWA Section 303d Vision_September 2022.pdf</vt:lpwstr>
      </vt:variant>
      <vt:variant>
        <vt:lpwstr/>
      </vt:variant>
      <vt:variant>
        <vt:i4>1703962</vt:i4>
      </vt:variant>
      <vt:variant>
        <vt:i4>726</vt:i4>
      </vt:variant>
      <vt:variant>
        <vt:i4>0</vt:i4>
      </vt:variant>
      <vt:variant>
        <vt:i4>5</vt:i4>
      </vt:variant>
      <vt:variant>
        <vt:lpwstr>https://www.epa.gov/sites/default/files/2015-07/documents/vision_303d_program_dec_2013.pdf</vt:lpwstr>
      </vt:variant>
      <vt:variant>
        <vt:lpwstr/>
      </vt:variant>
      <vt:variant>
        <vt:i4>1703962</vt:i4>
      </vt:variant>
      <vt:variant>
        <vt:i4>723</vt:i4>
      </vt:variant>
      <vt:variant>
        <vt:i4>0</vt:i4>
      </vt:variant>
      <vt:variant>
        <vt:i4>5</vt:i4>
      </vt:variant>
      <vt:variant>
        <vt:lpwstr>https://www.epa.gov/sites/default/files/2015-07/documents/vision_303d_program_dec_2013.pdf</vt:lpwstr>
      </vt:variant>
      <vt:variant>
        <vt:lpwstr/>
      </vt:variant>
      <vt:variant>
        <vt:i4>3080248</vt:i4>
      </vt:variant>
      <vt:variant>
        <vt:i4>720</vt:i4>
      </vt:variant>
      <vt:variant>
        <vt:i4>0</vt:i4>
      </vt:variant>
      <vt:variant>
        <vt:i4>5</vt:i4>
      </vt:variant>
      <vt:variant>
        <vt:lpwstr>https://www.waterboards.ca.gov/water_issues/programs/tmdl/docs/iw_policy.pdf</vt:lpwstr>
      </vt:variant>
      <vt:variant>
        <vt:lpwstr/>
      </vt:variant>
      <vt:variant>
        <vt:i4>3080248</vt:i4>
      </vt:variant>
      <vt:variant>
        <vt:i4>717</vt:i4>
      </vt:variant>
      <vt:variant>
        <vt:i4>0</vt:i4>
      </vt:variant>
      <vt:variant>
        <vt:i4>5</vt:i4>
      </vt:variant>
      <vt:variant>
        <vt:lpwstr>https://www.waterboards.ca.gov/water_issues/programs/tmdl/docs/iw_policy.pdf</vt:lpwstr>
      </vt:variant>
      <vt:variant>
        <vt:lpwstr/>
      </vt:variant>
      <vt:variant>
        <vt:i4>7274545</vt:i4>
      </vt:variant>
      <vt:variant>
        <vt:i4>714</vt:i4>
      </vt:variant>
      <vt:variant>
        <vt:i4>0</vt:i4>
      </vt:variant>
      <vt:variant>
        <vt:i4>5</vt:i4>
      </vt:variant>
      <vt:variant>
        <vt:lpwstr>https://www.waterboards.ca.gov/board_decisions/adopted_orders/resolutions/2015/020315_8_amendment_clean_version.pdf</vt:lpwstr>
      </vt:variant>
      <vt:variant>
        <vt:lpwstr/>
      </vt:variant>
      <vt:variant>
        <vt:i4>7274545</vt:i4>
      </vt:variant>
      <vt:variant>
        <vt:i4>711</vt:i4>
      </vt:variant>
      <vt:variant>
        <vt:i4>0</vt:i4>
      </vt:variant>
      <vt:variant>
        <vt:i4>5</vt:i4>
      </vt:variant>
      <vt:variant>
        <vt:lpwstr>https://www.waterboards.ca.gov/board_decisions/adopted_orders/resolutions/2015/020315_8_amendment_clean_version.pdf</vt:lpwstr>
      </vt:variant>
      <vt:variant>
        <vt:lpwstr/>
      </vt:variant>
      <vt:variant>
        <vt:i4>1179706</vt:i4>
      </vt:variant>
      <vt:variant>
        <vt:i4>698</vt:i4>
      </vt:variant>
      <vt:variant>
        <vt:i4>0</vt:i4>
      </vt:variant>
      <vt:variant>
        <vt:i4>5</vt:i4>
      </vt:variant>
      <vt:variant>
        <vt:lpwstr/>
      </vt:variant>
      <vt:variant>
        <vt:lpwstr>_Toc189048652</vt:lpwstr>
      </vt:variant>
      <vt:variant>
        <vt:i4>1179706</vt:i4>
      </vt:variant>
      <vt:variant>
        <vt:i4>692</vt:i4>
      </vt:variant>
      <vt:variant>
        <vt:i4>0</vt:i4>
      </vt:variant>
      <vt:variant>
        <vt:i4>5</vt:i4>
      </vt:variant>
      <vt:variant>
        <vt:lpwstr/>
      </vt:variant>
      <vt:variant>
        <vt:lpwstr>_Toc189048651</vt:lpwstr>
      </vt:variant>
      <vt:variant>
        <vt:i4>1179706</vt:i4>
      </vt:variant>
      <vt:variant>
        <vt:i4>686</vt:i4>
      </vt:variant>
      <vt:variant>
        <vt:i4>0</vt:i4>
      </vt:variant>
      <vt:variant>
        <vt:i4>5</vt:i4>
      </vt:variant>
      <vt:variant>
        <vt:lpwstr/>
      </vt:variant>
      <vt:variant>
        <vt:lpwstr>_Toc189048650</vt:lpwstr>
      </vt:variant>
      <vt:variant>
        <vt:i4>1245242</vt:i4>
      </vt:variant>
      <vt:variant>
        <vt:i4>680</vt:i4>
      </vt:variant>
      <vt:variant>
        <vt:i4>0</vt:i4>
      </vt:variant>
      <vt:variant>
        <vt:i4>5</vt:i4>
      </vt:variant>
      <vt:variant>
        <vt:lpwstr/>
      </vt:variant>
      <vt:variant>
        <vt:lpwstr>_Toc189048649</vt:lpwstr>
      </vt:variant>
      <vt:variant>
        <vt:i4>1245242</vt:i4>
      </vt:variant>
      <vt:variant>
        <vt:i4>674</vt:i4>
      </vt:variant>
      <vt:variant>
        <vt:i4>0</vt:i4>
      </vt:variant>
      <vt:variant>
        <vt:i4>5</vt:i4>
      </vt:variant>
      <vt:variant>
        <vt:lpwstr/>
      </vt:variant>
      <vt:variant>
        <vt:lpwstr>_Toc189048648</vt:lpwstr>
      </vt:variant>
      <vt:variant>
        <vt:i4>1245242</vt:i4>
      </vt:variant>
      <vt:variant>
        <vt:i4>668</vt:i4>
      </vt:variant>
      <vt:variant>
        <vt:i4>0</vt:i4>
      </vt:variant>
      <vt:variant>
        <vt:i4>5</vt:i4>
      </vt:variant>
      <vt:variant>
        <vt:lpwstr/>
      </vt:variant>
      <vt:variant>
        <vt:lpwstr>_Toc189048647</vt:lpwstr>
      </vt:variant>
      <vt:variant>
        <vt:i4>1245242</vt:i4>
      </vt:variant>
      <vt:variant>
        <vt:i4>662</vt:i4>
      </vt:variant>
      <vt:variant>
        <vt:i4>0</vt:i4>
      </vt:variant>
      <vt:variant>
        <vt:i4>5</vt:i4>
      </vt:variant>
      <vt:variant>
        <vt:lpwstr/>
      </vt:variant>
      <vt:variant>
        <vt:lpwstr>_Toc189048646</vt:lpwstr>
      </vt:variant>
      <vt:variant>
        <vt:i4>1245242</vt:i4>
      </vt:variant>
      <vt:variant>
        <vt:i4>656</vt:i4>
      </vt:variant>
      <vt:variant>
        <vt:i4>0</vt:i4>
      </vt:variant>
      <vt:variant>
        <vt:i4>5</vt:i4>
      </vt:variant>
      <vt:variant>
        <vt:lpwstr/>
      </vt:variant>
      <vt:variant>
        <vt:lpwstr>_Toc189048645</vt:lpwstr>
      </vt:variant>
      <vt:variant>
        <vt:i4>1245242</vt:i4>
      </vt:variant>
      <vt:variant>
        <vt:i4>650</vt:i4>
      </vt:variant>
      <vt:variant>
        <vt:i4>0</vt:i4>
      </vt:variant>
      <vt:variant>
        <vt:i4>5</vt:i4>
      </vt:variant>
      <vt:variant>
        <vt:lpwstr/>
      </vt:variant>
      <vt:variant>
        <vt:lpwstr>_Toc189048644</vt:lpwstr>
      </vt:variant>
      <vt:variant>
        <vt:i4>1245242</vt:i4>
      </vt:variant>
      <vt:variant>
        <vt:i4>644</vt:i4>
      </vt:variant>
      <vt:variant>
        <vt:i4>0</vt:i4>
      </vt:variant>
      <vt:variant>
        <vt:i4>5</vt:i4>
      </vt:variant>
      <vt:variant>
        <vt:lpwstr/>
      </vt:variant>
      <vt:variant>
        <vt:lpwstr>_Toc189048643</vt:lpwstr>
      </vt:variant>
      <vt:variant>
        <vt:i4>1245242</vt:i4>
      </vt:variant>
      <vt:variant>
        <vt:i4>638</vt:i4>
      </vt:variant>
      <vt:variant>
        <vt:i4>0</vt:i4>
      </vt:variant>
      <vt:variant>
        <vt:i4>5</vt:i4>
      </vt:variant>
      <vt:variant>
        <vt:lpwstr/>
      </vt:variant>
      <vt:variant>
        <vt:lpwstr>_Toc189048642</vt:lpwstr>
      </vt:variant>
      <vt:variant>
        <vt:i4>1245242</vt:i4>
      </vt:variant>
      <vt:variant>
        <vt:i4>632</vt:i4>
      </vt:variant>
      <vt:variant>
        <vt:i4>0</vt:i4>
      </vt:variant>
      <vt:variant>
        <vt:i4>5</vt:i4>
      </vt:variant>
      <vt:variant>
        <vt:lpwstr/>
      </vt:variant>
      <vt:variant>
        <vt:lpwstr>_Toc189048641</vt:lpwstr>
      </vt:variant>
      <vt:variant>
        <vt:i4>1245242</vt:i4>
      </vt:variant>
      <vt:variant>
        <vt:i4>626</vt:i4>
      </vt:variant>
      <vt:variant>
        <vt:i4>0</vt:i4>
      </vt:variant>
      <vt:variant>
        <vt:i4>5</vt:i4>
      </vt:variant>
      <vt:variant>
        <vt:lpwstr/>
      </vt:variant>
      <vt:variant>
        <vt:lpwstr>_Toc189048640</vt:lpwstr>
      </vt:variant>
      <vt:variant>
        <vt:i4>1310778</vt:i4>
      </vt:variant>
      <vt:variant>
        <vt:i4>620</vt:i4>
      </vt:variant>
      <vt:variant>
        <vt:i4>0</vt:i4>
      </vt:variant>
      <vt:variant>
        <vt:i4>5</vt:i4>
      </vt:variant>
      <vt:variant>
        <vt:lpwstr/>
      </vt:variant>
      <vt:variant>
        <vt:lpwstr>_Toc189048639</vt:lpwstr>
      </vt:variant>
      <vt:variant>
        <vt:i4>1310778</vt:i4>
      </vt:variant>
      <vt:variant>
        <vt:i4>614</vt:i4>
      </vt:variant>
      <vt:variant>
        <vt:i4>0</vt:i4>
      </vt:variant>
      <vt:variant>
        <vt:i4>5</vt:i4>
      </vt:variant>
      <vt:variant>
        <vt:lpwstr/>
      </vt:variant>
      <vt:variant>
        <vt:lpwstr>_Toc189048638</vt:lpwstr>
      </vt:variant>
      <vt:variant>
        <vt:i4>1310778</vt:i4>
      </vt:variant>
      <vt:variant>
        <vt:i4>608</vt:i4>
      </vt:variant>
      <vt:variant>
        <vt:i4>0</vt:i4>
      </vt:variant>
      <vt:variant>
        <vt:i4>5</vt:i4>
      </vt:variant>
      <vt:variant>
        <vt:lpwstr/>
      </vt:variant>
      <vt:variant>
        <vt:lpwstr>_Toc189048637</vt:lpwstr>
      </vt:variant>
      <vt:variant>
        <vt:i4>1310778</vt:i4>
      </vt:variant>
      <vt:variant>
        <vt:i4>602</vt:i4>
      </vt:variant>
      <vt:variant>
        <vt:i4>0</vt:i4>
      </vt:variant>
      <vt:variant>
        <vt:i4>5</vt:i4>
      </vt:variant>
      <vt:variant>
        <vt:lpwstr/>
      </vt:variant>
      <vt:variant>
        <vt:lpwstr>_Toc189048636</vt:lpwstr>
      </vt:variant>
      <vt:variant>
        <vt:i4>1310778</vt:i4>
      </vt:variant>
      <vt:variant>
        <vt:i4>596</vt:i4>
      </vt:variant>
      <vt:variant>
        <vt:i4>0</vt:i4>
      </vt:variant>
      <vt:variant>
        <vt:i4>5</vt:i4>
      </vt:variant>
      <vt:variant>
        <vt:lpwstr/>
      </vt:variant>
      <vt:variant>
        <vt:lpwstr>_Toc189048635</vt:lpwstr>
      </vt:variant>
      <vt:variant>
        <vt:i4>1310778</vt:i4>
      </vt:variant>
      <vt:variant>
        <vt:i4>590</vt:i4>
      </vt:variant>
      <vt:variant>
        <vt:i4>0</vt:i4>
      </vt:variant>
      <vt:variant>
        <vt:i4>5</vt:i4>
      </vt:variant>
      <vt:variant>
        <vt:lpwstr/>
      </vt:variant>
      <vt:variant>
        <vt:lpwstr>_Toc189048634</vt:lpwstr>
      </vt:variant>
      <vt:variant>
        <vt:i4>1310778</vt:i4>
      </vt:variant>
      <vt:variant>
        <vt:i4>584</vt:i4>
      </vt:variant>
      <vt:variant>
        <vt:i4>0</vt:i4>
      </vt:variant>
      <vt:variant>
        <vt:i4>5</vt:i4>
      </vt:variant>
      <vt:variant>
        <vt:lpwstr/>
      </vt:variant>
      <vt:variant>
        <vt:lpwstr>_Toc189048633</vt:lpwstr>
      </vt:variant>
      <vt:variant>
        <vt:i4>1310778</vt:i4>
      </vt:variant>
      <vt:variant>
        <vt:i4>578</vt:i4>
      </vt:variant>
      <vt:variant>
        <vt:i4>0</vt:i4>
      </vt:variant>
      <vt:variant>
        <vt:i4>5</vt:i4>
      </vt:variant>
      <vt:variant>
        <vt:lpwstr/>
      </vt:variant>
      <vt:variant>
        <vt:lpwstr>_Toc189048632</vt:lpwstr>
      </vt:variant>
      <vt:variant>
        <vt:i4>1310778</vt:i4>
      </vt:variant>
      <vt:variant>
        <vt:i4>572</vt:i4>
      </vt:variant>
      <vt:variant>
        <vt:i4>0</vt:i4>
      </vt:variant>
      <vt:variant>
        <vt:i4>5</vt:i4>
      </vt:variant>
      <vt:variant>
        <vt:lpwstr/>
      </vt:variant>
      <vt:variant>
        <vt:lpwstr>_Toc189048631</vt:lpwstr>
      </vt:variant>
      <vt:variant>
        <vt:i4>1310778</vt:i4>
      </vt:variant>
      <vt:variant>
        <vt:i4>566</vt:i4>
      </vt:variant>
      <vt:variant>
        <vt:i4>0</vt:i4>
      </vt:variant>
      <vt:variant>
        <vt:i4>5</vt:i4>
      </vt:variant>
      <vt:variant>
        <vt:lpwstr/>
      </vt:variant>
      <vt:variant>
        <vt:lpwstr>_Toc189048630</vt:lpwstr>
      </vt:variant>
      <vt:variant>
        <vt:i4>1376314</vt:i4>
      </vt:variant>
      <vt:variant>
        <vt:i4>560</vt:i4>
      </vt:variant>
      <vt:variant>
        <vt:i4>0</vt:i4>
      </vt:variant>
      <vt:variant>
        <vt:i4>5</vt:i4>
      </vt:variant>
      <vt:variant>
        <vt:lpwstr/>
      </vt:variant>
      <vt:variant>
        <vt:lpwstr>_Toc189048629</vt:lpwstr>
      </vt:variant>
      <vt:variant>
        <vt:i4>1376314</vt:i4>
      </vt:variant>
      <vt:variant>
        <vt:i4>554</vt:i4>
      </vt:variant>
      <vt:variant>
        <vt:i4>0</vt:i4>
      </vt:variant>
      <vt:variant>
        <vt:i4>5</vt:i4>
      </vt:variant>
      <vt:variant>
        <vt:lpwstr/>
      </vt:variant>
      <vt:variant>
        <vt:lpwstr>_Toc189048628</vt:lpwstr>
      </vt:variant>
      <vt:variant>
        <vt:i4>1376314</vt:i4>
      </vt:variant>
      <vt:variant>
        <vt:i4>548</vt:i4>
      </vt:variant>
      <vt:variant>
        <vt:i4>0</vt:i4>
      </vt:variant>
      <vt:variant>
        <vt:i4>5</vt:i4>
      </vt:variant>
      <vt:variant>
        <vt:lpwstr/>
      </vt:variant>
      <vt:variant>
        <vt:lpwstr>_Toc189048627</vt:lpwstr>
      </vt:variant>
      <vt:variant>
        <vt:i4>1376314</vt:i4>
      </vt:variant>
      <vt:variant>
        <vt:i4>542</vt:i4>
      </vt:variant>
      <vt:variant>
        <vt:i4>0</vt:i4>
      </vt:variant>
      <vt:variant>
        <vt:i4>5</vt:i4>
      </vt:variant>
      <vt:variant>
        <vt:lpwstr/>
      </vt:variant>
      <vt:variant>
        <vt:lpwstr>_Toc189048626</vt:lpwstr>
      </vt:variant>
      <vt:variant>
        <vt:i4>1376314</vt:i4>
      </vt:variant>
      <vt:variant>
        <vt:i4>536</vt:i4>
      </vt:variant>
      <vt:variant>
        <vt:i4>0</vt:i4>
      </vt:variant>
      <vt:variant>
        <vt:i4>5</vt:i4>
      </vt:variant>
      <vt:variant>
        <vt:lpwstr/>
      </vt:variant>
      <vt:variant>
        <vt:lpwstr>_Toc189048625</vt:lpwstr>
      </vt:variant>
      <vt:variant>
        <vt:i4>1376314</vt:i4>
      </vt:variant>
      <vt:variant>
        <vt:i4>530</vt:i4>
      </vt:variant>
      <vt:variant>
        <vt:i4>0</vt:i4>
      </vt:variant>
      <vt:variant>
        <vt:i4>5</vt:i4>
      </vt:variant>
      <vt:variant>
        <vt:lpwstr/>
      </vt:variant>
      <vt:variant>
        <vt:lpwstr>_Toc189048624</vt:lpwstr>
      </vt:variant>
      <vt:variant>
        <vt:i4>1376314</vt:i4>
      </vt:variant>
      <vt:variant>
        <vt:i4>524</vt:i4>
      </vt:variant>
      <vt:variant>
        <vt:i4>0</vt:i4>
      </vt:variant>
      <vt:variant>
        <vt:i4>5</vt:i4>
      </vt:variant>
      <vt:variant>
        <vt:lpwstr/>
      </vt:variant>
      <vt:variant>
        <vt:lpwstr>_Toc189048623</vt:lpwstr>
      </vt:variant>
      <vt:variant>
        <vt:i4>1376314</vt:i4>
      </vt:variant>
      <vt:variant>
        <vt:i4>518</vt:i4>
      </vt:variant>
      <vt:variant>
        <vt:i4>0</vt:i4>
      </vt:variant>
      <vt:variant>
        <vt:i4>5</vt:i4>
      </vt:variant>
      <vt:variant>
        <vt:lpwstr/>
      </vt:variant>
      <vt:variant>
        <vt:lpwstr>_Toc189048622</vt:lpwstr>
      </vt:variant>
      <vt:variant>
        <vt:i4>1376314</vt:i4>
      </vt:variant>
      <vt:variant>
        <vt:i4>512</vt:i4>
      </vt:variant>
      <vt:variant>
        <vt:i4>0</vt:i4>
      </vt:variant>
      <vt:variant>
        <vt:i4>5</vt:i4>
      </vt:variant>
      <vt:variant>
        <vt:lpwstr/>
      </vt:variant>
      <vt:variant>
        <vt:lpwstr>_Toc189048621</vt:lpwstr>
      </vt:variant>
      <vt:variant>
        <vt:i4>1376314</vt:i4>
      </vt:variant>
      <vt:variant>
        <vt:i4>506</vt:i4>
      </vt:variant>
      <vt:variant>
        <vt:i4>0</vt:i4>
      </vt:variant>
      <vt:variant>
        <vt:i4>5</vt:i4>
      </vt:variant>
      <vt:variant>
        <vt:lpwstr/>
      </vt:variant>
      <vt:variant>
        <vt:lpwstr>_Toc189048620</vt:lpwstr>
      </vt:variant>
      <vt:variant>
        <vt:i4>1441850</vt:i4>
      </vt:variant>
      <vt:variant>
        <vt:i4>500</vt:i4>
      </vt:variant>
      <vt:variant>
        <vt:i4>0</vt:i4>
      </vt:variant>
      <vt:variant>
        <vt:i4>5</vt:i4>
      </vt:variant>
      <vt:variant>
        <vt:lpwstr/>
      </vt:variant>
      <vt:variant>
        <vt:lpwstr>_Toc189048619</vt:lpwstr>
      </vt:variant>
      <vt:variant>
        <vt:i4>1441850</vt:i4>
      </vt:variant>
      <vt:variant>
        <vt:i4>494</vt:i4>
      </vt:variant>
      <vt:variant>
        <vt:i4>0</vt:i4>
      </vt:variant>
      <vt:variant>
        <vt:i4>5</vt:i4>
      </vt:variant>
      <vt:variant>
        <vt:lpwstr/>
      </vt:variant>
      <vt:variant>
        <vt:lpwstr>_Toc189048618</vt:lpwstr>
      </vt:variant>
      <vt:variant>
        <vt:i4>1441850</vt:i4>
      </vt:variant>
      <vt:variant>
        <vt:i4>488</vt:i4>
      </vt:variant>
      <vt:variant>
        <vt:i4>0</vt:i4>
      </vt:variant>
      <vt:variant>
        <vt:i4>5</vt:i4>
      </vt:variant>
      <vt:variant>
        <vt:lpwstr/>
      </vt:variant>
      <vt:variant>
        <vt:lpwstr>_Toc189048617</vt:lpwstr>
      </vt:variant>
      <vt:variant>
        <vt:i4>1441850</vt:i4>
      </vt:variant>
      <vt:variant>
        <vt:i4>482</vt:i4>
      </vt:variant>
      <vt:variant>
        <vt:i4>0</vt:i4>
      </vt:variant>
      <vt:variant>
        <vt:i4>5</vt:i4>
      </vt:variant>
      <vt:variant>
        <vt:lpwstr/>
      </vt:variant>
      <vt:variant>
        <vt:lpwstr>_Toc189048616</vt:lpwstr>
      </vt:variant>
      <vt:variant>
        <vt:i4>1441850</vt:i4>
      </vt:variant>
      <vt:variant>
        <vt:i4>476</vt:i4>
      </vt:variant>
      <vt:variant>
        <vt:i4>0</vt:i4>
      </vt:variant>
      <vt:variant>
        <vt:i4>5</vt:i4>
      </vt:variant>
      <vt:variant>
        <vt:lpwstr/>
      </vt:variant>
      <vt:variant>
        <vt:lpwstr>_Toc189048615</vt:lpwstr>
      </vt:variant>
      <vt:variant>
        <vt:i4>1441850</vt:i4>
      </vt:variant>
      <vt:variant>
        <vt:i4>470</vt:i4>
      </vt:variant>
      <vt:variant>
        <vt:i4>0</vt:i4>
      </vt:variant>
      <vt:variant>
        <vt:i4>5</vt:i4>
      </vt:variant>
      <vt:variant>
        <vt:lpwstr/>
      </vt:variant>
      <vt:variant>
        <vt:lpwstr>_Toc189048614</vt:lpwstr>
      </vt:variant>
      <vt:variant>
        <vt:i4>1441850</vt:i4>
      </vt:variant>
      <vt:variant>
        <vt:i4>464</vt:i4>
      </vt:variant>
      <vt:variant>
        <vt:i4>0</vt:i4>
      </vt:variant>
      <vt:variant>
        <vt:i4>5</vt:i4>
      </vt:variant>
      <vt:variant>
        <vt:lpwstr/>
      </vt:variant>
      <vt:variant>
        <vt:lpwstr>_Toc189048613</vt:lpwstr>
      </vt:variant>
      <vt:variant>
        <vt:i4>1441850</vt:i4>
      </vt:variant>
      <vt:variant>
        <vt:i4>458</vt:i4>
      </vt:variant>
      <vt:variant>
        <vt:i4>0</vt:i4>
      </vt:variant>
      <vt:variant>
        <vt:i4>5</vt:i4>
      </vt:variant>
      <vt:variant>
        <vt:lpwstr/>
      </vt:variant>
      <vt:variant>
        <vt:lpwstr>_Toc189048612</vt:lpwstr>
      </vt:variant>
      <vt:variant>
        <vt:i4>1441850</vt:i4>
      </vt:variant>
      <vt:variant>
        <vt:i4>452</vt:i4>
      </vt:variant>
      <vt:variant>
        <vt:i4>0</vt:i4>
      </vt:variant>
      <vt:variant>
        <vt:i4>5</vt:i4>
      </vt:variant>
      <vt:variant>
        <vt:lpwstr/>
      </vt:variant>
      <vt:variant>
        <vt:lpwstr>_Toc189048611</vt:lpwstr>
      </vt:variant>
      <vt:variant>
        <vt:i4>1441850</vt:i4>
      </vt:variant>
      <vt:variant>
        <vt:i4>446</vt:i4>
      </vt:variant>
      <vt:variant>
        <vt:i4>0</vt:i4>
      </vt:variant>
      <vt:variant>
        <vt:i4>5</vt:i4>
      </vt:variant>
      <vt:variant>
        <vt:lpwstr/>
      </vt:variant>
      <vt:variant>
        <vt:lpwstr>_Toc189048610</vt:lpwstr>
      </vt:variant>
      <vt:variant>
        <vt:i4>1507386</vt:i4>
      </vt:variant>
      <vt:variant>
        <vt:i4>440</vt:i4>
      </vt:variant>
      <vt:variant>
        <vt:i4>0</vt:i4>
      </vt:variant>
      <vt:variant>
        <vt:i4>5</vt:i4>
      </vt:variant>
      <vt:variant>
        <vt:lpwstr/>
      </vt:variant>
      <vt:variant>
        <vt:lpwstr>_Toc189048609</vt:lpwstr>
      </vt:variant>
      <vt:variant>
        <vt:i4>1507386</vt:i4>
      </vt:variant>
      <vt:variant>
        <vt:i4>434</vt:i4>
      </vt:variant>
      <vt:variant>
        <vt:i4>0</vt:i4>
      </vt:variant>
      <vt:variant>
        <vt:i4>5</vt:i4>
      </vt:variant>
      <vt:variant>
        <vt:lpwstr/>
      </vt:variant>
      <vt:variant>
        <vt:lpwstr>_Toc189048608</vt:lpwstr>
      </vt:variant>
      <vt:variant>
        <vt:i4>1507386</vt:i4>
      </vt:variant>
      <vt:variant>
        <vt:i4>428</vt:i4>
      </vt:variant>
      <vt:variant>
        <vt:i4>0</vt:i4>
      </vt:variant>
      <vt:variant>
        <vt:i4>5</vt:i4>
      </vt:variant>
      <vt:variant>
        <vt:lpwstr/>
      </vt:variant>
      <vt:variant>
        <vt:lpwstr>_Toc189048607</vt:lpwstr>
      </vt:variant>
      <vt:variant>
        <vt:i4>1507386</vt:i4>
      </vt:variant>
      <vt:variant>
        <vt:i4>422</vt:i4>
      </vt:variant>
      <vt:variant>
        <vt:i4>0</vt:i4>
      </vt:variant>
      <vt:variant>
        <vt:i4>5</vt:i4>
      </vt:variant>
      <vt:variant>
        <vt:lpwstr/>
      </vt:variant>
      <vt:variant>
        <vt:lpwstr>_Toc189048606</vt:lpwstr>
      </vt:variant>
      <vt:variant>
        <vt:i4>1507386</vt:i4>
      </vt:variant>
      <vt:variant>
        <vt:i4>416</vt:i4>
      </vt:variant>
      <vt:variant>
        <vt:i4>0</vt:i4>
      </vt:variant>
      <vt:variant>
        <vt:i4>5</vt:i4>
      </vt:variant>
      <vt:variant>
        <vt:lpwstr/>
      </vt:variant>
      <vt:variant>
        <vt:lpwstr>_Toc189048605</vt:lpwstr>
      </vt:variant>
      <vt:variant>
        <vt:i4>1507386</vt:i4>
      </vt:variant>
      <vt:variant>
        <vt:i4>410</vt:i4>
      </vt:variant>
      <vt:variant>
        <vt:i4>0</vt:i4>
      </vt:variant>
      <vt:variant>
        <vt:i4>5</vt:i4>
      </vt:variant>
      <vt:variant>
        <vt:lpwstr/>
      </vt:variant>
      <vt:variant>
        <vt:lpwstr>_Toc189048604</vt:lpwstr>
      </vt:variant>
      <vt:variant>
        <vt:i4>1507386</vt:i4>
      </vt:variant>
      <vt:variant>
        <vt:i4>404</vt:i4>
      </vt:variant>
      <vt:variant>
        <vt:i4>0</vt:i4>
      </vt:variant>
      <vt:variant>
        <vt:i4>5</vt:i4>
      </vt:variant>
      <vt:variant>
        <vt:lpwstr/>
      </vt:variant>
      <vt:variant>
        <vt:lpwstr>_Toc189048603</vt:lpwstr>
      </vt:variant>
      <vt:variant>
        <vt:i4>1507386</vt:i4>
      </vt:variant>
      <vt:variant>
        <vt:i4>398</vt:i4>
      </vt:variant>
      <vt:variant>
        <vt:i4>0</vt:i4>
      </vt:variant>
      <vt:variant>
        <vt:i4>5</vt:i4>
      </vt:variant>
      <vt:variant>
        <vt:lpwstr/>
      </vt:variant>
      <vt:variant>
        <vt:lpwstr>_Toc189048602</vt:lpwstr>
      </vt:variant>
      <vt:variant>
        <vt:i4>1507386</vt:i4>
      </vt:variant>
      <vt:variant>
        <vt:i4>392</vt:i4>
      </vt:variant>
      <vt:variant>
        <vt:i4>0</vt:i4>
      </vt:variant>
      <vt:variant>
        <vt:i4>5</vt:i4>
      </vt:variant>
      <vt:variant>
        <vt:lpwstr/>
      </vt:variant>
      <vt:variant>
        <vt:lpwstr>_Toc189048601</vt:lpwstr>
      </vt:variant>
      <vt:variant>
        <vt:i4>1507386</vt:i4>
      </vt:variant>
      <vt:variant>
        <vt:i4>386</vt:i4>
      </vt:variant>
      <vt:variant>
        <vt:i4>0</vt:i4>
      </vt:variant>
      <vt:variant>
        <vt:i4>5</vt:i4>
      </vt:variant>
      <vt:variant>
        <vt:lpwstr/>
      </vt:variant>
      <vt:variant>
        <vt:lpwstr>_Toc189048600</vt:lpwstr>
      </vt:variant>
      <vt:variant>
        <vt:i4>1966137</vt:i4>
      </vt:variant>
      <vt:variant>
        <vt:i4>380</vt:i4>
      </vt:variant>
      <vt:variant>
        <vt:i4>0</vt:i4>
      </vt:variant>
      <vt:variant>
        <vt:i4>5</vt:i4>
      </vt:variant>
      <vt:variant>
        <vt:lpwstr/>
      </vt:variant>
      <vt:variant>
        <vt:lpwstr>_Toc189048599</vt:lpwstr>
      </vt:variant>
      <vt:variant>
        <vt:i4>1966137</vt:i4>
      </vt:variant>
      <vt:variant>
        <vt:i4>374</vt:i4>
      </vt:variant>
      <vt:variant>
        <vt:i4>0</vt:i4>
      </vt:variant>
      <vt:variant>
        <vt:i4>5</vt:i4>
      </vt:variant>
      <vt:variant>
        <vt:lpwstr/>
      </vt:variant>
      <vt:variant>
        <vt:lpwstr>_Toc189048598</vt:lpwstr>
      </vt:variant>
      <vt:variant>
        <vt:i4>1966137</vt:i4>
      </vt:variant>
      <vt:variant>
        <vt:i4>368</vt:i4>
      </vt:variant>
      <vt:variant>
        <vt:i4>0</vt:i4>
      </vt:variant>
      <vt:variant>
        <vt:i4>5</vt:i4>
      </vt:variant>
      <vt:variant>
        <vt:lpwstr/>
      </vt:variant>
      <vt:variant>
        <vt:lpwstr>_Toc189048597</vt:lpwstr>
      </vt:variant>
      <vt:variant>
        <vt:i4>1966137</vt:i4>
      </vt:variant>
      <vt:variant>
        <vt:i4>362</vt:i4>
      </vt:variant>
      <vt:variant>
        <vt:i4>0</vt:i4>
      </vt:variant>
      <vt:variant>
        <vt:i4>5</vt:i4>
      </vt:variant>
      <vt:variant>
        <vt:lpwstr/>
      </vt:variant>
      <vt:variant>
        <vt:lpwstr>_Toc189048596</vt:lpwstr>
      </vt:variant>
      <vt:variant>
        <vt:i4>1966137</vt:i4>
      </vt:variant>
      <vt:variant>
        <vt:i4>356</vt:i4>
      </vt:variant>
      <vt:variant>
        <vt:i4>0</vt:i4>
      </vt:variant>
      <vt:variant>
        <vt:i4>5</vt:i4>
      </vt:variant>
      <vt:variant>
        <vt:lpwstr/>
      </vt:variant>
      <vt:variant>
        <vt:lpwstr>_Toc189048595</vt:lpwstr>
      </vt:variant>
      <vt:variant>
        <vt:i4>1966137</vt:i4>
      </vt:variant>
      <vt:variant>
        <vt:i4>350</vt:i4>
      </vt:variant>
      <vt:variant>
        <vt:i4>0</vt:i4>
      </vt:variant>
      <vt:variant>
        <vt:i4>5</vt:i4>
      </vt:variant>
      <vt:variant>
        <vt:lpwstr/>
      </vt:variant>
      <vt:variant>
        <vt:lpwstr>_Toc189048594</vt:lpwstr>
      </vt:variant>
      <vt:variant>
        <vt:i4>1966137</vt:i4>
      </vt:variant>
      <vt:variant>
        <vt:i4>344</vt:i4>
      </vt:variant>
      <vt:variant>
        <vt:i4>0</vt:i4>
      </vt:variant>
      <vt:variant>
        <vt:i4>5</vt:i4>
      </vt:variant>
      <vt:variant>
        <vt:lpwstr/>
      </vt:variant>
      <vt:variant>
        <vt:lpwstr>_Toc189048593</vt:lpwstr>
      </vt:variant>
      <vt:variant>
        <vt:i4>1966137</vt:i4>
      </vt:variant>
      <vt:variant>
        <vt:i4>338</vt:i4>
      </vt:variant>
      <vt:variant>
        <vt:i4>0</vt:i4>
      </vt:variant>
      <vt:variant>
        <vt:i4>5</vt:i4>
      </vt:variant>
      <vt:variant>
        <vt:lpwstr/>
      </vt:variant>
      <vt:variant>
        <vt:lpwstr>_Toc189048592</vt:lpwstr>
      </vt:variant>
      <vt:variant>
        <vt:i4>1966137</vt:i4>
      </vt:variant>
      <vt:variant>
        <vt:i4>332</vt:i4>
      </vt:variant>
      <vt:variant>
        <vt:i4>0</vt:i4>
      </vt:variant>
      <vt:variant>
        <vt:i4>5</vt:i4>
      </vt:variant>
      <vt:variant>
        <vt:lpwstr/>
      </vt:variant>
      <vt:variant>
        <vt:lpwstr>_Toc189048591</vt:lpwstr>
      </vt:variant>
      <vt:variant>
        <vt:i4>1966137</vt:i4>
      </vt:variant>
      <vt:variant>
        <vt:i4>326</vt:i4>
      </vt:variant>
      <vt:variant>
        <vt:i4>0</vt:i4>
      </vt:variant>
      <vt:variant>
        <vt:i4>5</vt:i4>
      </vt:variant>
      <vt:variant>
        <vt:lpwstr/>
      </vt:variant>
      <vt:variant>
        <vt:lpwstr>_Toc189048590</vt:lpwstr>
      </vt:variant>
      <vt:variant>
        <vt:i4>2031673</vt:i4>
      </vt:variant>
      <vt:variant>
        <vt:i4>320</vt:i4>
      </vt:variant>
      <vt:variant>
        <vt:i4>0</vt:i4>
      </vt:variant>
      <vt:variant>
        <vt:i4>5</vt:i4>
      </vt:variant>
      <vt:variant>
        <vt:lpwstr/>
      </vt:variant>
      <vt:variant>
        <vt:lpwstr>_Toc189048589</vt:lpwstr>
      </vt:variant>
      <vt:variant>
        <vt:i4>2031673</vt:i4>
      </vt:variant>
      <vt:variant>
        <vt:i4>314</vt:i4>
      </vt:variant>
      <vt:variant>
        <vt:i4>0</vt:i4>
      </vt:variant>
      <vt:variant>
        <vt:i4>5</vt:i4>
      </vt:variant>
      <vt:variant>
        <vt:lpwstr/>
      </vt:variant>
      <vt:variant>
        <vt:lpwstr>_Toc189048588</vt:lpwstr>
      </vt:variant>
      <vt:variant>
        <vt:i4>2031673</vt:i4>
      </vt:variant>
      <vt:variant>
        <vt:i4>308</vt:i4>
      </vt:variant>
      <vt:variant>
        <vt:i4>0</vt:i4>
      </vt:variant>
      <vt:variant>
        <vt:i4>5</vt:i4>
      </vt:variant>
      <vt:variant>
        <vt:lpwstr/>
      </vt:variant>
      <vt:variant>
        <vt:lpwstr>_Toc189048587</vt:lpwstr>
      </vt:variant>
      <vt:variant>
        <vt:i4>2031673</vt:i4>
      </vt:variant>
      <vt:variant>
        <vt:i4>302</vt:i4>
      </vt:variant>
      <vt:variant>
        <vt:i4>0</vt:i4>
      </vt:variant>
      <vt:variant>
        <vt:i4>5</vt:i4>
      </vt:variant>
      <vt:variant>
        <vt:lpwstr/>
      </vt:variant>
      <vt:variant>
        <vt:lpwstr>_Toc189048586</vt:lpwstr>
      </vt:variant>
      <vt:variant>
        <vt:i4>2031673</vt:i4>
      </vt:variant>
      <vt:variant>
        <vt:i4>296</vt:i4>
      </vt:variant>
      <vt:variant>
        <vt:i4>0</vt:i4>
      </vt:variant>
      <vt:variant>
        <vt:i4>5</vt:i4>
      </vt:variant>
      <vt:variant>
        <vt:lpwstr/>
      </vt:variant>
      <vt:variant>
        <vt:lpwstr>_Toc189048585</vt:lpwstr>
      </vt:variant>
      <vt:variant>
        <vt:i4>2031673</vt:i4>
      </vt:variant>
      <vt:variant>
        <vt:i4>290</vt:i4>
      </vt:variant>
      <vt:variant>
        <vt:i4>0</vt:i4>
      </vt:variant>
      <vt:variant>
        <vt:i4>5</vt:i4>
      </vt:variant>
      <vt:variant>
        <vt:lpwstr/>
      </vt:variant>
      <vt:variant>
        <vt:lpwstr>_Toc189048584</vt:lpwstr>
      </vt:variant>
      <vt:variant>
        <vt:i4>2031673</vt:i4>
      </vt:variant>
      <vt:variant>
        <vt:i4>284</vt:i4>
      </vt:variant>
      <vt:variant>
        <vt:i4>0</vt:i4>
      </vt:variant>
      <vt:variant>
        <vt:i4>5</vt:i4>
      </vt:variant>
      <vt:variant>
        <vt:lpwstr/>
      </vt:variant>
      <vt:variant>
        <vt:lpwstr>_Toc189048583</vt:lpwstr>
      </vt:variant>
      <vt:variant>
        <vt:i4>2031673</vt:i4>
      </vt:variant>
      <vt:variant>
        <vt:i4>278</vt:i4>
      </vt:variant>
      <vt:variant>
        <vt:i4>0</vt:i4>
      </vt:variant>
      <vt:variant>
        <vt:i4>5</vt:i4>
      </vt:variant>
      <vt:variant>
        <vt:lpwstr/>
      </vt:variant>
      <vt:variant>
        <vt:lpwstr>_Toc189048582</vt:lpwstr>
      </vt:variant>
      <vt:variant>
        <vt:i4>2031673</vt:i4>
      </vt:variant>
      <vt:variant>
        <vt:i4>272</vt:i4>
      </vt:variant>
      <vt:variant>
        <vt:i4>0</vt:i4>
      </vt:variant>
      <vt:variant>
        <vt:i4>5</vt:i4>
      </vt:variant>
      <vt:variant>
        <vt:lpwstr/>
      </vt:variant>
      <vt:variant>
        <vt:lpwstr>_Toc189048581</vt:lpwstr>
      </vt:variant>
      <vt:variant>
        <vt:i4>2031673</vt:i4>
      </vt:variant>
      <vt:variant>
        <vt:i4>266</vt:i4>
      </vt:variant>
      <vt:variant>
        <vt:i4>0</vt:i4>
      </vt:variant>
      <vt:variant>
        <vt:i4>5</vt:i4>
      </vt:variant>
      <vt:variant>
        <vt:lpwstr/>
      </vt:variant>
      <vt:variant>
        <vt:lpwstr>_Toc189048580</vt:lpwstr>
      </vt:variant>
      <vt:variant>
        <vt:i4>1048633</vt:i4>
      </vt:variant>
      <vt:variant>
        <vt:i4>260</vt:i4>
      </vt:variant>
      <vt:variant>
        <vt:i4>0</vt:i4>
      </vt:variant>
      <vt:variant>
        <vt:i4>5</vt:i4>
      </vt:variant>
      <vt:variant>
        <vt:lpwstr/>
      </vt:variant>
      <vt:variant>
        <vt:lpwstr>_Toc189048579</vt:lpwstr>
      </vt:variant>
      <vt:variant>
        <vt:i4>1048633</vt:i4>
      </vt:variant>
      <vt:variant>
        <vt:i4>254</vt:i4>
      </vt:variant>
      <vt:variant>
        <vt:i4>0</vt:i4>
      </vt:variant>
      <vt:variant>
        <vt:i4>5</vt:i4>
      </vt:variant>
      <vt:variant>
        <vt:lpwstr/>
      </vt:variant>
      <vt:variant>
        <vt:lpwstr>_Toc189048578</vt:lpwstr>
      </vt:variant>
      <vt:variant>
        <vt:i4>1048633</vt:i4>
      </vt:variant>
      <vt:variant>
        <vt:i4>248</vt:i4>
      </vt:variant>
      <vt:variant>
        <vt:i4>0</vt:i4>
      </vt:variant>
      <vt:variant>
        <vt:i4>5</vt:i4>
      </vt:variant>
      <vt:variant>
        <vt:lpwstr/>
      </vt:variant>
      <vt:variant>
        <vt:lpwstr>_Toc189048577</vt:lpwstr>
      </vt:variant>
      <vt:variant>
        <vt:i4>1048633</vt:i4>
      </vt:variant>
      <vt:variant>
        <vt:i4>242</vt:i4>
      </vt:variant>
      <vt:variant>
        <vt:i4>0</vt:i4>
      </vt:variant>
      <vt:variant>
        <vt:i4>5</vt:i4>
      </vt:variant>
      <vt:variant>
        <vt:lpwstr/>
      </vt:variant>
      <vt:variant>
        <vt:lpwstr>_Toc189048576</vt:lpwstr>
      </vt:variant>
      <vt:variant>
        <vt:i4>1048633</vt:i4>
      </vt:variant>
      <vt:variant>
        <vt:i4>236</vt:i4>
      </vt:variant>
      <vt:variant>
        <vt:i4>0</vt:i4>
      </vt:variant>
      <vt:variant>
        <vt:i4>5</vt:i4>
      </vt:variant>
      <vt:variant>
        <vt:lpwstr/>
      </vt:variant>
      <vt:variant>
        <vt:lpwstr>_Toc189048575</vt:lpwstr>
      </vt:variant>
      <vt:variant>
        <vt:i4>1048633</vt:i4>
      </vt:variant>
      <vt:variant>
        <vt:i4>230</vt:i4>
      </vt:variant>
      <vt:variant>
        <vt:i4>0</vt:i4>
      </vt:variant>
      <vt:variant>
        <vt:i4>5</vt:i4>
      </vt:variant>
      <vt:variant>
        <vt:lpwstr/>
      </vt:variant>
      <vt:variant>
        <vt:lpwstr>_Toc189048574</vt:lpwstr>
      </vt:variant>
      <vt:variant>
        <vt:i4>1048633</vt:i4>
      </vt:variant>
      <vt:variant>
        <vt:i4>224</vt:i4>
      </vt:variant>
      <vt:variant>
        <vt:i4>0</vt:i4>
      </vt:variant>
      <vt:variant>
        <vt:i4>5</vt:i4>
      </vt:variant>
      <vt:variant>
        <vt:lpwstr/>
      </vt:variant>
      <vt:variant>
        <vt:lpwstr>_Toc189048573</vt:lpwstr>
      </vt:variant>
      <vt:variant>
        <vt:i4>1048633</vt:i4>
      </vt:variant>
      <vt:variant>
        <vt:i4>218</vt:i4>
      </vt:variant>
      <vt:variant>
        <vt:i4>0</vt:i4>
      </vt:variant>
      <vt:variant>
        <vt:i4>5</vt:i4>
      </vt:variant>
      <vt:variant>
        <vt:lpwstr/>
      </vt:variant>
      <vt:variant>
        <vt:lpwstr>_Toc189048572</vt:lpwstr>
      </vt:variant>
      <vt:variant>
        <vt:i4>1048633</vt:i4>
      </vt:variant>
      <vt:variant>
        <vt:i4>212</vt:i4>
      </vt:variant>
      <vt:variant>
        <vt:i4>0</vt:i4>
      </vt:variant>
      <vt:variant>
        <vt:i4>5</vt:i4>
      </vt:variant>
      <vt:variant>
        <vt:lpwstr/>
      </vt:variant>
      <vt:variant>
        <vt:lpwstr>_Toc189048571</vt:lpwstr>
      </vt:variant>
      <vt:variant>
        <vt:i4>1048633</vt:i4>
      </vt:variant>
      <vt:variant>
        <vt:i4>206</vt:i4>
      </vt:variant>
      <vt:variant>
        <vt:i4>0</vt:i4>
      </vt:variant>
      <vt:variant>
        <vt:i4>5</vt:i4>
      </vt:variant>
      <vt:variant>
        <vt:lpwstr/>
      </vt:variant>
      <vt:variant>
        <vt:lpwstr>_Toc189048570</vt:lpwstr>
      </vt:variant>
      <vt:variant>
        <vt:i4>1114169</vt:i4>
      </vt:variant>
      <vt:variant>
        <vt:i4>200</vt:i4>
      </vt:variant>
      <vt:variant>
        <vt:i4>0</vt:i4>
      </vt:variant>
      <vt:variant>
        <vt:i4>5</vt:i4>
      </vt:variant>
      <vt:variant>
        <vt:lpwstr/>
      </vt:variant>
      <vt:variant>
        <vt:lpwstr>_Toc189048569</vt:lpwstr>
      </vt:variant>
      <vt:variant>
        <vt:i4>1114169</vt:i4>
      </vt:variant>
      <vt:variant>
        <vt:i4>194</vt:i4>
      </vt:variant>
      <vt:variant>
        <vt:i4>0</vt:i4>
      </vt:variant>
      <vt:variant>
        <vt:i4>5</vt:i4>
      </vt:variant>
      <vt:variant>
        <vt:lpwstr/>
      </vt:variant>
      <vt:variant>
        <vt:lpwstr>_Toc189048568</vt:lpwstr>
      </vt:variant>
      <vt:variant>
        <vt:i4>1114169</vt:i4>
      </vt:variant>
      <vt:variant>
        <vt:i4>188</vt:i4>
      </vt:variant>
      <vt:variant>
        <vt:i4>0</vt:i4>
      </vt:variant>
      <vt:variant>
        <vt:i4>5</vt:i4>
      </vt:variant>
      <vt:variant>
        <vt:lpwstr/>
      </vt:variant>
      <vt:variant>
        <vt:lpwstr>_Toc189048567</vt:lpwstr>
      </vt:variant>
      <vt:variant>
        <vt:i4>1114169</vt:i4>
      </vt:variant>
      <vt:variant>
        <vt:i4>182</vt:i4>
      </vt:variant>
      <vt:variant>
        <vt:i4>0</vt:i4>
      </vt:variant>
      <vt:variant>
        <vt:i4>5</vt:i4>
      </vt:variant>
      <vt:variant>
        <vt:lpwstr/>
      </vt:variant>
      <vt:variant>
        <vt:lpwstr>_Toc189048566</vt:lpwstr>
      </vt:variant>
      <vt:variant>
        <vt:i4>1114169</vt:i4>
      </vt:variant>
      <vt:variant>
        <vt:i4>176</vt:i4>
      </vt:variant>
      <vt:variant>
        <vt:i4>0</vt:i4>
      </vt:variant>
      <vt:variant>
        <vt:i4>5</vt:i4>
      </vt:variant>
      <vt:variant>
        <vt:lpwstr/>
      </vt:variant>
      <vt:variant>
        <vt:lpwstr>_Toc189048565</vt:lpwstr>
      </vt:variant>
      <vt:variant>
        <vt:i4>1114169</vt:i4>
      </vt:variant>
      <vt:variant>
        <vt:i4>170</vt:i4>
      </vt:variant>
      <vt:variant>
        <vt:i4>0</vt:i4>
      </vt:variant>
      <vt:variant>
        <vt:i4>5</vt:i4>
      </vt:variant>
      <vt:variant>
        <vt:lpwstr/>
      </vt:variant>
      <vt:variant>
        <vt:lpwstr>_Toc189048564</vt:lpwstr>
      </vt:variant>
      <vt:variant>
        <vt:i4>1114169</vt:i4>
      </vt:variant>
      <vt:variant>
        <vt:i4>164</vt:i4>
      </vt:variant>
      <vt:variant>
        <vt:i4>0</vt:i4>
      </vt:variant>
      <vt:variant>
        <vt:i4>5</vt:i4>
      </vt:variant>
      <vt:variant>
        <vt:lpwstr/>
      </vt:variant>
      <vt:variant>
        <vt:lpwstr>_Toc189048563</vt:lpwstr>
      </vt:variant>
      <vt:variant>
        <vt:i4>1114169</vt:i4>
      </vt:variant>
      <vt:variant>
        <vt:i4>158</vt:i4>
      </vt:variant>
      <vt:variant>
        <vt:i4>0</vt:i4>
      </vt:variant>
      <vt:variant>
        <vt:i4>5</vt:i4>
      </vt:variant>
      <vt:variant>
        <vt:lpwstr/>
      </vt:variant>
      <vt:variant>
        <vt:lpwstr>_Toc189048562</vt:lpwstr>
      </vt:variant>
      <vt:variant>
        <vt:i4>1114169</vt:i4>
      </vt:variant>
      <vt:variant>
        <vt:i4>152</vt:i4>
      </vt:variant>
      <vt:variant>
        <vt:i4>0</vt:i4>
      </vt:variant>
      <vt:variant>
        <vt:i4>5</vt:i4>
      </vt:variant>
      <vt:variant>
        <vt:lpwstr/>
      </vt:variant>
      <vt:variant>
        <vt:lpwstr>_Toc189048561</vt:lpwstr>
      </vt:variant>
      <vt:variant>
        <vt:i4>1114169</vt:i4>
      </vt:variant>
      <vt:variant>
        <vt:i4>146</vt:i4>
      </vt:variant>
      <vt:variant>
        <vt:i4>0</vt:i4>
      </vt:variant>
      <vt:variant>
        <vt:i4>5</vt:i4>
      </vt:variant>
      <vt:variant>
        <vt:lpwstr/>
      </vt:variant>
      <vt:variant>
        <vt:lpwstr>_Toc189048560</vt:lpwstr>
      </vt:variant>
      <vt:variant>
        <vt:i4>1179705</vt:i4>
      </vt:variant>
      <vt:variant>
        <vt:i4>140</vt:i4>
      </vt:variant>
      <vt:variant>
        <vt:i4>0</vt:i4>
      </vt:variant>
      <vt:variant>
        <vt:i4>5</vt:i4>
      </vt:variant>
      <vt:variant>
        <vt:lpwstr/>
      </vt:variant>
      <vt:variant>
        <vt:lpwstr>_Toc189048559</vt:lpwstr>
      </vt:variant>
      <vt:variant>
        <vt:i4>1179705</vt:i4>
      </vt:variant>
      <vt:variant>
        <vt:i4>134</vt:i4>
      </vt:variant>
      <vt:variant>
        <vt:i4>0</vt:i4>
      </vt:variant>
      <vt:variant>
        <vt:i4>5</vt:i4>
      </vt:variant>
      <vt:variant>
        <vt:lpwstr/>
      </vt:variant>
      <vt:variant>
        <vt:lpwstr>_Toc189048558</vt:lpwstr>
      </vt:variant>
      <vt:variant>
        <vt:i4>1179705</vt:i4>
      </vt:variant>
      <vt:variant>
        <vt:i4>128</vt:i4>
      </vt:variant>
      <vt:variant>
        <vt:i4>0</vt:i4>
      </vt:variant>
      <vt:variant>
        <vt:i4>5</vt:i4>
      </vt:variant>
      <vt:variant>
        <vt:lpwstr/>
      </vt:variant>
      <vt:variant>
        <vt:lpwstr>_Toc189048557</vt:lpwstr>
      </vt:variant>
      <vt:variant>
        <vt:i4>1179705</vt:i4>
      </vt:variant>
      <vt:variant>
        <vt:i4>122</vt:i4>
      </vt:variant>
      <vt:variant>
        <vt:i4>0</vt:i4>
      </vt:variant>
      <vt:variant>
        <vt:i4>5</vt:i4>
      </vt:variant>
      <vt:variant>
        <vt:lpwstr/>
      </vt:variant>
      <vt:variant>
        <vt:lpwstr>_Toc189048556</vt:lpwstr>
      </vt:variant>
      <vt:variant>
        <vt:i4>1179705</vt:i4>
      </vt:variant>
      <vt:variant>
        <vt:i4>116</vt:i4>
      </vt:variant>
      <vt:variant>
        <vt:i4>0</vt:i4>
      </vt:variant>
      <vt:variant>
        <vt:i4>5</vt:i4>
      </vt:variant>
      <vt:variant>
        <vt:lpwstr/>
      </vt:variant>
      <vt:variant>
        <vt:lpwstr>_Toc189048555</vt:lpwstr>
      </vt:variant>
      <vt:variant>
        <vt:i4>1179705</vt:i4>
      </vt:variant>
      <vt:variant>
        <vt:i4>110</vt:i4>
      </vt:variant>
      <vt:variant>
        <vt:i4>0</vt:i4>
      </vt:variant>
      <vt:variant>
        <vt:i4>5</vt:i4>
      </vt:variant>
      <vt:variant>
        <vt:lpwstr/>
      </vt:variant>
      <vt:variant>
        <vt:lpwstr>_Toc189048554</vt:lpwstr>
      </vt:variant>
      <vt:variant>
        <vt:i4>1179705</vt:i4>
      </vt:variant>
      <vt:variant>
        <vt:i4>104</vt:i4>
      </vt:variant>
      <vt:variant>
        <vt:i4>0</vt:i4>
      </vt:variant>
      <vt:variant>
        <vt:i4>5</vt:i4>
      </vt:variant>
      <vt:variant>
        <vt:lpwstr/>
      </vt:variant>
      <vt:variant>
        <vt:lpwstr>_Toc189048553</vt:lpwstr>
      </vt:variant>
      <vt:variant>
        <vt:i4>1179705</vt:i4>
      </vt:variant>
      <vt:variant>
        <vt:i4>98</vt:i4>
      </vt:variant>
      <vt:variant>
        <vt:i4>0</vt:i4>
      </vt:variant>
      <vt:variant>
        <vt:i4>5</vt:i4>
      </vt:variant>
      <vt:variant>
        <vt:lpwstr/>
      </vt:variant>
      <vt:variant>
        <vt:lpwstr>_Toc189048552</vt:lpwstr>
      </vt:variant>
      <vt:variant>
        <vt:i4>1179705</vt:i4>
      </vt:variant>
      <vt:variant>
        <vt:i4>92</vt:i4>
      </vt:variant>
      <vt:variant>
        <vt:i4>0</vt:i4>
      </vt:variant>
      <vt:variant>
        <vt:i4>5</vt:i4>
      </vt:variant>
      <vt:variant>
        <vt:lpwstr/>
      </vt:variant>
      <vt:variant>
        <vt:lpwstr>_Toc189048551</vt:lpwstr>
      </vt:variant>
      <vt:variant>
        <vt:i4>1179705</vt:i4>
      </vt:variant>
      <vt:variant>
        <vt:i4>86</vt:i4>
      </vt:variant>
      <vt:variant>
        <vt:i4>0</vt:i4>
      </vt:variant>
      <vt:variant>
        <vt:i4>5</vt:i4>
      </vt:variant>
      <vt:variant>
        <vt:lpwstr/>
      </vt:variant>
      <vt:variant>
        <vt:lpwstr>_Toc189048550</vt:lpwstr>
      </vt:variant>
      <vt:variant>
        <vt:i4>1245241</vt:i4>
      </vt:variant>
      <vt:variant>
        <vt:i4>80</vt:i4>
      </vt:variant>
      <vt:variant>
        <vt:i4>0</vt:i4>
      </vt:variant>
      <vt:variant>
        <vt:i4>5</vt:i4>
      </vt:variant>
      <vt:variant>
        <vt:lpwstr/>
      </vt:variant>
      <vt:variant>
        <vt:lpwstr>_Toc189048549</vt:lpwstr>
      </vt:variant>
      <vt:variant>
        <vt:i4>1245241</vt:i4>
      </vt:variant>
      <vt:variant>
        <vt:i4>74</vt:i4>
      </vt:variant>
      <vt:variant>
        <vt:i4>0</vt:i4>
      </vt:variant>
      <vt:variant>
        <vt:i4>5</vt:i4>
      </vt:variant>
      <vt:variant>
        <vt:lpwstr/>
      </vt:variant>
      <vt:variant>
        <vt:lpwstr>_Toc189048548</vt:lpwstr>
      </vt:variant>
      <vt:variant>
        <vt:i4>1245241</vt:i4>
      </vt:variant>
      <vt:variant>
        <vt:i4>68</vt:i4>
      </vt:variant>
      <vt:variant>
        <vt:i4>0</vt:i4>
      </vt:variant>
      <vt:variant>
        <vt:i4>5</vt:i4>
      </vt:variant>
      <vt:variant>
        <vt:lpwstr/>
      </vt:variant>
      <vt:variant>
        <vt:lpwstr>_Toc189048547</vt:lpwstr>
      </vt:variant>
      <vt:variant>
        <vt:i4>1245241</vt:i4>
      </vt:variant>
      <vt:variant>
        <vt:i4>62</vt:i4>
      </vt:variant>
      <vt:variant>
        <vt:i4>0</vt:i4>
      </vt:variant>
      <vt:variant>
        <vt:i4>5</vt:i4>
      </vt:variant>
      <vt:variant>
        <vt:lpwstr/>
      </vt:variant>
      <vt:variant>
        <vt:lpwstr>_Toc189048546</vt:lpwstr>
      </vt:variant>
      <vt:variant>
        <vt:i4>1245241</vt:i4>
      </vt:variant>
      <vt:variant>
        <vt:i4>56</vt:i4>
      </vt:variant>
      <vt:variant>
        <vt:i4>0</vt:i4>
      </vt:variant>
      <vt:variant>
        <vt:i4>5</vt:i4>
      </vt:variant>
      <vt:variant>
        <vt:lpwstr/>
      </vt:variant>
      <vt:variant>
        <vt:lpwstr>_Toc189048545</vt:lpwstr>
      </vt:variant>
      <vt:variant>
        <vt:i4>1245241</vt:i4>
      </vt:variant>
      <vt:variant>
        <vt:i4>50</vt:i4>
      </vt:variant>
      <vt:variant>
        <vt:i4>0</vt:i4>
      </vt:variant>
      <vt:variant>
        <vt:i4>5</vt:i4>
      </vt:variant>
      <vt:variant>
        <vt:lpwstr/>
      </vt:variant>
      <vt:variant>
        <vt:lpwstr>_Toc189048544</vt:lpwstr>
      </vt:variant>
      <vt:variant>
        <vt:i4>1245241</vt:i4>
      </vt:variant>
      <vt:variant>
        <vt:i4>44</vt:i4>
      </vt:variant>
      <vt:variant>
        <vt:i4>0</vt:i4>
      </vt:variant>
      <vt:variant>
        <vt:i4>5</vt:i4>
      </vt:variant>
      <vt:variant>
        <vt:lpwstr/>
      </vt:variant>
      <vt:variant>
        <vt:lpwstr>_Toc189048543</vt:lpwstr>
      </vt:variant>
      <vt:variant>
        <vt:i4>1245241</vt:i4>
      </vt:variant>
      <vt:variant>
        <vt:i4>38</vt:i4>
      </vt:variant>
      <vt:variant>
        <vt:i4>0</vt:i4>
      </vt:variant>
      <vt:variant>
        <vt:i4>5</vt:i4>
      </vt:variant>
      <vt:variant>
        <vt:lpwstr/>
      </vt:variant>
      <vt:variant>
        <vt:lpwstr>_Toc189048542</vt:lpwstr>
      </vt:variant>
      <vt:variant>
        <vt:i4>1245241</vt:i4>
      </vt:variant>
      <vt:variant>
        <vt:i4>32</vt:i4>
      </vt:variant>
      <vt:variant>
        <vt:i4>0</vt:i4>
      </vt:variant>
      <vt:variant>
        <vt:i4>5</vt:i4>
      </vt:variant>
      <vt:variant>
        <vt:lpwstr/>
      </vt:variant>
      <vt:variant>
        <vt:lpwstr>_Toc189048541</vt:lpwstr>
      </vt:variant>
      <vt:variant>
        <vt:i4>1245241</vt:i4>
      </vt:variant>
      <vt:variant>
        <vt:i4>26</vt:i4>
      </vt:variant>
      <vt:variant>
        <vt:i4>0</vt:i4>
      </vt:variant>
      <vt:variant>
        <vt:i4>5</vt:i4>
      </vt:variant>
      <vt:variant>
        <vt:lpwstr/>
      </vt:variant>
      <vt:variant>
        <vt:lpwstr>_Toc189048540</vt:lpwstr>
      </vt:variant>
      <vt:variant>
        <vt:i4>1310777</vt:i4>
      </vt:variant>
      <vt:variant>
        <vt:i4>20</vt:i4>
      </vt:variant>
      <vt:variant>
        <vt:i4>0</vt:i4>
      </vt:variant>
      <vt:variant>
        <vt:i4>5</vt:i4>
      </vt:variant>
      <vt:variant>
        <vt:lpwstr/>
      </vt:variant>
      <vt:variant>
        <vt:lpwstr>_Toc189048539</vt:lpwstr>
      </vt:variant>
      <vt:variant>
        <vt:i4>1310777</vt:i4>
      </vt:variant>
      <vt:variant>
        <vt:i4>14</vt:i4>
      </vt:variant>
      <vt:variant>
        <vt:i4>0</vt:i4>
      </vt:variant>
      <vt:variant>
        <vt:i4>5</vt:i4>
      </vt:variant>
      <vt:variant>
        <vt:lpwstr/>
      </vt:variant>
      <vt:variant>
        <vt:lpwstr>_Toc189048538</vt:lpwstr>
      </vt:variant>
      <vt:variant>
        <vt:i4>1310777</vt:i4>
      </vt:variant>
      <vt:variant>
        <vt:i4>8</vt:i4>
      </vt:variant>
      <vt:variant>
        <vt:i4>0</vt:i4>
      </vt:variant>
      <vt:variant>
        <vt:i4>5</vt:i4>
      </vt:variant>
      <vt:variant>
        <vt:lpwstr/>
      </vt:variant>
      <vt:variant>
        <vt:lpwstr>_Toc189048537</vt:lpwstr>
      </vt:variant>
      <vt:variant>
        <vt:i4>1310777</vt:i4>
      </vt:variant>
      <vt:variant>
        <vt:i4>2</vt:i4>
      </vt:variant>
      <vt:variant>
        <vt:i4>0</vt:i4>
      </vt:variant>
      <vt:variant>
        <vt:i4>5</vt:i4>
      </vt:variant>
      <vt:variant>
        <vt:lpwstr/>
      </vt:variant>
      <vt:variant>
        <vt:lpwstr>_Toc189048536</vt:lpwstr>
      </vt:variant>
      <vt:variant>
        <vt:i4>524355</vt:i4>
      </vt:variant>
      <vt:variant>
        <vt:i4>0</vt:i4>
      </vt:variant>
      <vt:variant>
        <vt:i4>0</vt:i4>
      </vt:variant>
      <vt:variant>
        <vt:i4>5</vt:i4>
      </vt:variant>
      <vt:variant>
        <vt:lpwstr>https://www.waterboards.ca.gov/water_issues/programs/tmdl/2020_2022state_ir_reports_revised_final/2020-2022-ir-final-revised-summary-of-responses-and-comments.pdf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Revised Proposed Final 2024 California Integrated Report Staff Report</dc:title>
  <dc:subject/>
  <dc:creator/>
  <cp:keywords/>
  <cp:lastModifiedBy>Rodriguez, Lillibeth@Waterboards</cp:lastModifiedBy>
  <cp:revision>4881</cp:revision>
  <cp:lastPrinted>2023-02-15T22:46:00Z</cp:lastPrinted>
  <dcterms:created xsi:type="dcterms:W3CDTF">2024-05-30T17:54:00Z</dcterms:created>
  <dcterms:modified xsi:type="dcterms:W3CDTF">2025-01-29T21:08:00Z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0x010100BC5F0D0F353D4E42B5DADE0DD9B49428</vt:lpwstr>
  </property>
  <property fmtid="{D5CDD505-2E9C-101B-9397-08002B2CF9AE}" pid="5" name="DWQ_DocType">
    <vt:lpwstr/>
  </property>
  <property fmtid="{D5CDD505-2E9C-101B-9397-08002B2CF9AE}" pid="6" name="DWQ_Projects">
    <vt:lpwstr/>
  </property>
  <property fmtid="{D5CDD505-2E9C-101B-9397-08002B2CF9AE}" pid="7" name="DWQ_Unit">
    <vt:lpwstr/>
  </property>
  <property fmtid="{D5CDD505-2E9C-101B-9397-08002B2CF9AE}" pid="8" name="DWQ_Section">
    <vt:lpwstr/>
  </property>
  <property fmtid="{D5CDD505-2E9C-101B-9397-08002B2CF9AE}" pid="9" name="_ExtendedDescription">
    <vt:lpwstr/>
  </property>
</Properties>
</file>